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A5344" w:rsidR="00DD755B" w:rsidP="00CE7745" w:rsidRDefault="00383548" w14:paraId="40D804CB" w14:textId="5E9C4694">
      <w:pPr>
        <w:tabs>
          <w:tab w:val="center" w:pos="4680"/>
        </w:tabs>
        <w:spacing w:after="0" w:line="259" w:lineRule="auto"/>
        <w:ind w:left="0" w:firstLine="0"/>
        <w:jc w:val="center"/>
        <w:rPr>
          <w:szCs w:val="24"/>
        </w:rPr>
      </w:pPr>
      <w:r w:rsidRPr="009A5344">
        <w:rPr>
          <w:szCs w:val="24"/>
        </w:rPr>
        <w:t xml:space="preserve">Supporting Statement for </w:t>
      </w:r>
    </w:p>
    <w:p w:rsidRPr="009A5344" w:rsidR="00DD755B" w:rsidP="00DE2487" w:rsidRDefault="00383548" w14:paraId="08F9040C" w14:textId="7B09AD39">
      <w:pPr>
        <w:pStyle w:val="Heading1"/>
        <w:spacing w:after="0"/>
        <w:ind w:left="0" w:firstLine="0"/>
        <w:jc w:val="center"/>
        <w:rPr>
          <w:szCs w:val="24"/>
        </w:rPr>
      </w:pPr>
      <w:r w:rsidRPr="009A5344">
        <w:rPr>
          <w:szCs w:val="24"/>
        </w:rPr>
        <w:t>FERC-516 (Electric Rate Schedules and Tariff Filings)</w:t>
      </w:r>
      <w:r w:rsidRPr="009A5344" w:rsidR="00DE2487">
        <w:rPr>
          <w:szCs w:val="24"/>
        </w:rPr>
        <w:t xml:space="preserve"> </w:t>
      </w:r>
    </w:p>
    <w:p w:rsidRPr="009A5344" w:rsidR="00DD755B" w:rsidRDefault="00383548" w14:paraId="541CF329" w14:textId="77777777">
      <w:pPr>
        <w:spacing w:after="0" w:line="259" w:lineRule="auto"/>
        <w:ind w:left="590" w:firstLine="0"/>
        <w:jc w:val="center"/>
        <w:outlineLvl w:val="4"/>
        <w:rPr>
          <w:szCs w:val="24"/>
        </w:rPr>
      </w:pPr>
      <w:r w:rsidRPr="009A5344">
        <w:rPr>
          <w:b/>
          <w:szCs w:val="24"/>
        </w:rPr>
        <w:t xml:space="preserve"> </w:t>
      </w:r>
    </w:p>
    <w:p w:rsidRPr="009A5344" w:rsidR="00DD755B" w:rsidRDefault="00383548" w14:paraId="75A94B93" w14:textId="472A92C7">
      <w:pPr>
        <w:spacing w:after="0" w:line="240" w:lineRule="auto"/>
        <w:ind w:left="0" w:firstLine="0"/>
        <w:contextualSpacing/>
        <w:rPr>
          <w:szCs w:val="24"/>
        </w:rPr>
      </w:pPr>
      <w:r w:rsidRPr="009A5344">
        <w:rPr>
          <w:szCs w:val="24"/>
        </w:rPr>
        <w:t xml:space="preserve">The Federal Energy Regulatory Commission (Commission or FERC) requests that the Office of Management and Budget (OMB) </w:t>
      </w:r>
      <w:r w:rsidRPr="009A5344" w:rsidR="00661677">
        <w:rPr>
          <w:szCs w:val="24"/>
        </w:rPr>
        <w:t xml:space="preserve">review and </w:t>
      </w:r>
      <w:r w:rsidRPr="009A5344">
        <w:rPr>
          <w:szCs w:val="24"/>
        </w:rPr>
        <w:t xml:space="preserve">approve the information collection requirements in FERC-516, </w:t>
      </w:r>
      <w:r w:rsidRPr="009A5344" w:rsidR="00661677">
        <w:rPr>
          <w:szCs w:val="24"/>
        </w:rPr>
        <w:t>Electric Rate Schedules and Tariff Filings, for a three-year period.  FERC-516 is an existing Commission information collection.</w:t>
      </w:r>
      <w:r w:rsidRPr="009A5344" w:rsidR="007B54E6">
        <w:rPr>
          <w:szCs w:val="24"/>
        </w:rPr>
        <w:t xml:space="preserve"> </w:t>
      </w:r>
    </w:p>
    <w:p w:rsidRPr="009A5344" w:rsidR="00DD755B" w:rsidRDefault="00383548" w14:paraId="7AC544E1" w14:textId="77777777">
      <w:pPr>
        <w:spacing w:after="0" w:line="240" w:lineRule="auto"/>
        <w:ind w:left="0" w:firstLine="0"/>
        <w:rPr>
          <w:b/>
          <w:szCs w:val="24"/>
        </w:rPr>
      </w:pPr>
      <w:r w:rsidRPr="009A5344">
        <w:rPr>
          <w:b/>
          <w:szCs w:val="24"/>
        </w:rPr>
        <w:t xml:space="preserve"> </w:t>
      </w:r>
    </w:p>
    <w:p w:rsidRPr="009A5344" w:rsidR="00241151" w:rsidP="00241151" w:rsidRDefault="00241151" w14:paraId="3B74F72B" w14:textId="77777777">
      <w:pPr>
        <w:pStyle w:val="Heading1"/>
        <w:spacing w:after="0" w:line="240" w:lineRule="auto"/>
        <w:ind w:left="0" w:firstLine="0"/>
        <w:rPr>
          <w:szCs w:val="24"/>
        </w:rPr>
      </w:pPr>
      <w:r w:rsidRPr="009A5344">
        <w:rPr>
          <w:bCs/>
          <w:szCs w:val="24"/>
        </w:rPr>
        <w:t>1.</w:t>
      </w:r>
      <w:r w:rsidRPr="009A5344">
        <w:rPr>
          <w:rFonts w:eastAsia="Arial"/>
          <w:b w:val="0"/>
          <w:szCs w:val="24"/>
        </w:rPr>
        <w:t xml:space="preserve"> </w:t>
      </w:r>
      <w:r w:rsidRPr="009A5344">
        <w:rPr>
          <w:szCs w:val="24"/>
        </w:rPr>
        <w:t xml:space="preserve">CIRCUMSTANCES THAT MAKE THE COLLECTION OF INFORMATION NECESSARY </w:t>
      </w:r>
    </w:p>
    <w:p w:rsidRPr="009A5344" w:rsidR="00661677" w:rsidRDefault="00661677" w14:paraId="745ED8B1" w14:textId="77777777">
      <w:pPr>
        <w:pStyle w:val="FERCparanumber"/>
        <w:numPr>
          <w:ilvl w:val="0"/>
          <w:numId w:val="0"/>
        </w:numPr>
        <w:spacing w:line="240" w:lineRule="auto"/>
        <w:rPr>
          <w:bCs/>
          <w:sz w:val="24"/>
          <w:szCs w:val="24"/>
        </w:rPr>
      </w:pPr>
    </w:p>
    <w:p w:rsidRPr="009A5344" w:rsidR="00886F4C" w:rsidP="00B347C1" w:rsidRDefault="00886F4C" w14:paraId="3CFC8D81" w14:textId="03802449">
      <w:pPr>
        <w:pStyle w:val="FERCparanumber"/>
        <w:numPr>
          <w:ilvl w:val="0"/>
          <w:numId w:val="0"/>
        </w:numPr>
        <w:spacing w:line="240" w:lineRule="auto"/>
        <w:rPr>
          <w:bCs/>
          <w:sz w:val="24"/>
          <w:szCs w:val="24"/>
        </w:rPr>
      </w:pPr>
      <w:bookmarkStart w:name="_bmk3" w:id="0"/>
      <w:r w:rsidRPr="009A5344">
        <w:rPr>
          <w:bCs/>
          <w:sz w:val="24"/>
          <w:szCs w:val="24"/>
        </w:rPr>
        <w:t>On August 8, 2005, The Electricity Modernization Act of 2005, which is Title XII of the Energy Policy Act of 2005 (EPAct 2005)</w:t>
      </w:r>
      <w:r w:rsidRPr="009A5344" w:rsidR="007450DD">
        <w:rPr>
          <w:rStyle w:val="FootnoteReference"/>
          <w:bCs/>
          <w:sz w:val="24"/>
          <w:szCs w:val="24"/>
        </w:rPr>
        <w:footnoteReference w:id="2"/>
      </w:r>
      <w:r w:rsidRPr="009A5344">
        <w:rPr>
          <w:bCs/>
          <w:sz w:val="24"/>
          <w:szCs w:val="24"/>
        </w:rPr>
        <w:t>, was enacted into law.</w:t>
      </w:r>
    </w:p>
    <w:p w:rsidRPr="009A5344" w:rsidR="007450DD" w:rsidP="00B347C1" w:rsidRDefault="007450DD" w14:paraId="4965BFF5" w14:textId="77777777">
      <w:pPr>
        <w:pStyle w:val="FERCparanumber"/>
        <w:numPr>
          <w:ilvl w:val="0"/>
          <w:numId w:val="0"/>
        </w:numPr>
        <w:spacing w:line="240" w:lineRule="auto"/>
        <w:rPr>
          <w:b/>
          <w:sz w:val="24"/>
          <w:szCs w:val="24"/>
          <w:u w:val="single"/>
        </w:rPr>
      </w:pPr>
    </w:p>
    <w:p w:rsidRPr="009A5344" w:rsidR="007450DD" w:rsidP="007450DD" w:rsidRDefault="007450DD" w14:paraId="27FA9949" w14:textId="150D21D3">
      <w:pPr>
        <w:pStyle w:val="FERCparanumber"/>
        <w:numPr>
          <w:ilvl w:val="0"/>
          <w:numId w:val="0"/>
        </w:numPr>
        <w:spacing w:line="240" w:lineRule="auto"/>
        <w:rPr>
          <w:b/>
          <w:sz w:val="24"/>
          <w:szCs w:val="24"/>
          <w:u w:val="single"/>
        </w:rPr>
      </w:pPr>
      <w:r w:rsidRPr="009A5344">
        <w:rPr>
          <w:b/>
          <w:sz w:val="24"/>
          <w:szCs w:val="24"/>
          <w:u w:val="single"/>
        </w:rPr>
        <w:t>FPA Section</w:t>
      </w:r>
      <w:r w:rsidR="00383CEA">
        <w:rPr>
          <w:b/>
          <w:sz w:val="24"/>
          <w:szCs w:val="24"/>
          <w:u w:val="single"/>
        </w:rPr>
        <w:t>s</w:t>
      </w:r>
      <w:r w:rsidRPr="009A5344">
        <w:rPr>
          <w:b/>
          <w:sz w:val="24"/>
          <w:szCs w:val="24"/>
          <w:u w:val="single"/>
        </w:rPr>
        <w:t xml:space="preserve"> 205 &amp; 206</w:t>
      </w:r>
    </w:p>
    <w:p w:rsidRPr="009A5344" w:rsidR="007450DD" w:rsidP="007450DD" w:rsidRDefault="007450DD" w14:paraId="53D7535F" w14:textId="77777777">
      <w:pPr>
        <w:pStyle w:val="FERCparanumber"/>
        <w:numPr>
          <w:ilvl w:val="0"/>
          <w:numId w:val="0"/>
        </w:numPr>
        <w:spacing w:line="240" w:lineRule="auto"/>
        <w:rPr>
          <w:sz w:val="24"/>
          <w:szCs w:val="24"/>
        </w:rPr>
      </w:pPr>
    </w:p>
    <w:p w:rsidRPr="009A5344" w:rsidR="007450DD" w:rsidP="007450DD" w:rsidRDefault="007450DD" w14:paraId="06A632CA" w14:textId="474DC950">
      <w:pPr>
        <w:pStyle w:val="FERCparanumber"/>
        <w:numPr>
          <w:ilvl w:val="0"/>
          <w:numId w:val="0"/>
        </w:numPr>
        <w:spacing w:line="240" w:lineRule="auto"/>
        <w:rPr>
          <w:bCs/>
          <w:sz w:val="24"/>
          <w:szCs w:val="24"/>
        </w:rPr>
      </w:pPr>
      <w:r w:rsidRPr="009A5344">
        <w:rPr>
          <w:bCs/>
          <w:sz w:val="24"/>
          <w:szCs w:val="24"/>
        </w:rPr>
        <w:t>Section 205(c) of the Federal Power Act (</w:t>
      </w:r>
      <w:r w:rsidRPr="009A5344" w:rsidR="00383CEA">
        <w:rPr>
          <w:bCs/>
          <w:sz w:val="24"/>
          <w:szCs w:val="24"/>
        </w:rPr>
        <w:t>F</w:t>
      </w:r>
      <w:r w:rsidR="00383CEA">
        <w:rPr>
          <w:bCs/>
          <w:sz w:val="24"/>
          <w:szCs w:val="24"/>
        </w:rPr>
        <w:t>P</w:t>
      </w:r>
      <w:r w:rsidRPr="009A5344" w:rsidR="00383CEA">
        <w:rPr>
          <w:bCs/>
          <w:sz w:val="24"/>
          <w:szCs w:val="24"/>
        </w:rPr>
        <w:t>A</w:t>
      </w:r>
      <w:r w:rsidRPr="009A5344">
        <w:rPr>
          <w:bCs/>
          <w:sz w:val="24"/>
          <w:szCs w:val="24"/>
        </w:rPr>
        <w:t xml:space="preserve">) requires that every public utility have all its jurisdictional rates and tariffs on file with the Commission and make them available for public inspection, within such time and in such form as the Commission may designate.  Section 205(d) of the FPA requires that every public utility must provide notice to FERC and the public of any changes to its jurisdictional rates and tariffs, file such changes with FERC, and make them available for public inspection, in such manner as directed by the Commission.  In addition, FPA section 206 requires the Commission, upon complaint or its own motion, to modify existing rates or services that are found to be unjust, unreasonable, unduly discriminatory or preferential.  </w:t>
      </w:r>
    </w:p>
    <w:p w:rsidRPr="009A5344" w:rsidR="007450DD" w:rsidP="00B347C1" w:rsidRDefault="007450DD" w14:paraId="7CA84896" w14:textId="30F7299A">
      <w:pPr>
        <w:pStyle w:val="FERCparanumber"/>
        <w:numPr>
          <w:ilvl w:val="0"/>
          <w:numId w:val="0"/>
        </w:numPr>
        <w:spacing w:line="240" w:lineRule="auto"/>
        <w:rPr>
          <w:b/>
          <w:sz w:val="24"/>
          <w:szCs w:val="24"/>
          <w:u w:val="single"/>
        </w:rPr>
      </w:pPr>
    </w:p>
    <w:p w:rsidRPr="009A5344" w:rsidR="00B347C1" w:rsidP="00B347C1" w:rsidRDefault="00B347C1" w14:paraId="12DA2E8C" w14:textId="26B4AEF2">
      <w:pPr>
        <w:pStyle w:val="FERCparanumber"/>
        <w:numPr>
          <w:ilvl w:val="0"/>
          <w:numId w:val="0"/>
        </w:numPr>
        <w:spacing w:line="240" w:lineRule="auto"/>
        <w:rPr>
          <w:b/>
          <w:sz w:val="24"/>
          <w:szCs w:val="24"/>
          <w:u w:val="single"/>
        </w:rPr>
      </w:pPr>
      <w:r w:rsidRPr="009A5344">
        <w:rPr>
          <w:b/>
          <w:sz w:val="24"/>
          <w:szCs w:val="24"/>
          <w:u w:val="single"/>
        </w:rPr>
        <w:t>F</w:t>
      </w:r>
      <w:bookmarkEnd w:id="0"/>
      <w:r w:rsidRPr="009A5344">
        <w:rPr>
          <w:b/>
          <w:sz w:val="24"/>
          <w:szCs w:val="24"/>
          <w:u w:val="single"/>
        </w:rPr>
        <w:t>PA Section 219</w:t>
      </w:r>
    </w:p>
    <w:p w:rsidRPr="009A5344" w:rsidR="00B347C1" w:rsidRDefault="00B347C1" w14:paraId="3035AFF8" w14:textId="395BD875">
      <w:pPr>
        <w:pStyle w:val="FERCparanumber"/>
        <w:numPr>
          <w:ilvl w:val="0"/>
          <w:numId w:val="0"/>
        </w:numPr>
        <w:spacing w:line="240" w:lineRule="auto"/>
        <w:rPr>
          <w:sz w:val="24"/>
          <w:szCs w:val="24"/>
        </w:rPr>
      </w:pPr>
    </w:p>
    <w:p w:rsidRPr="009A5344" w:rsidR="00B347C1" w:rsidP="00B347C1" w:rsidRDefault="00B347C1" w14:paraId="444EA833" w14:textId="425FAA70">
      <w:pPr>
        <w:tabs>
          <w:tab w:val="num" w:pos="720"/>
        </w:tabs>
        <w:spacing w:after="0" w:line="240" w:lineRule="auto"/>
        <w:ind w:left="0" w:firstLine="0"/>
        <w:rPr>
          <w:rFonts w:eastAsia="Calibri"/>
          <w:color w:val="auto"/>
          <w:szCs w:val="24"/>
        </w:rPr>
      </w:pPr>
      <w:r w:rsidRPr="009A5344">
        <w:rPr>
          <w:rFonts w:eastAsia="Calibri"/>
          <w:color w:val="auto"/>
          <w:szCs w:val="24"/>
        </w:rPr>
        <w:t>Prior to 2005, the Commission considered requests for certain transmission incentives pursuant to F</w:t>
      </w:r>
      <w:r w:rsidRPr="009A5344" w:rsidR="007450DD">
        <w:rPr>
          <w:rFonts w:eastAsia="Calibri"/>
          <w:color w:val="auto"/>
          <w:szCs w:val="24"/>
        </w:rPr>
        <w:t>ederal Power Act (F</w:t>
      </w:r>
      <w:r w:rsidRPr="009A5344">
        <w:rPr>
          <w:rFonts w:eastAsia="Calibri"/>
          <w:color w:val="auto"/>
          <w:szCs w:val="24"/>
        </w:rPr>
        <w:t>PA</w:t>
      </w:r>
      <w:r w:rsidRPr="009A5344" w:rsidR="007450DD">
        <w:rPr>
          <w:rFonts w:eastAsia="Calibri"/>
          <w:color w:val="auto"/>
          <w:szCs w:val="24"/>
        </w:rPr>
        <w:t>)</w:t>
      </w:r>
      <w:r w:rsidRPr="009A5344">
        <w:rPr>
          <w:rFonts w:eastAsia="Calibri"/>
          <w:color w:val="auto"/>
          <w:szCs w:val="24"/>
        </w:rPr>
        <w:t xml:space="preserve"> section 205.</w:t>
      </w:r>
      <w:r w:rsidRPr="009A5344">
        <w:rPr>
          <w:rFonts w:eastAsia="Calibri"/>
          <w:b/>
          <w:color w:val="auto"/>
          <w:szCs w:val="24"/>
          <w:vertAlign w:val="superscript"/>
        </w:rPr>
        <w:footnoteReference w:id="3"/>
      </w:r>
      <w:r w:rsidRPr="009A5344">
        <w:rPr>
          <w:rFonts w:eastAsia="Calibri"/>
          <w:color w:val="auto"/>
          <w:szCs w:val="24"/>
        </w:rPr>
        <w:t xml:space="preserve">  In 2005, Congress amended the FPA to, as relevant here, add a new section 219.</w:t>
      </w:r>
      <w:r w:rsidRPr="009A5344">
        <w:rPr>
          <w:rFonts w:eastAsia="Calibri"/>
          <w:b/>
          <w:color w:val="auto"/>
          <w:szCs w:val="24"/>
          <w:vertAlign w:val="superscript"/>
        </w:rPr>
        <w:footnoteReference w:id="4"/>
      </w:r>
      <w:r w:rsidRPr="009A5344">
        <w:rPr>
          <w:rFonts w:eastAsia="Calibri"/>
          <w:color w:val="auto"/>
          <w:szCs w:val="24"/>
        </w:rPr>
        <w:t xml:space="preserve">  FPA section 219(a) directed the Commission to promulgate a rule providing incentive-based rates for electric transmission for the purpose of benefitting consumers by ensuring reliability and reducing the cost of delivered power by reducing transmission congestion.  FPA section 219(b) included a number of specific directives in the required rulemaking, including that the rule shall:  </w:t>
      </w:r>
    </w:p>
    <w:p w:rsidRPr="009A5344" w:rsidR="00B347C1" w:rsidP="00B347C1" w:rsidRDefault="00B347C1" w14:paraId="18977A15" w14:textId="77777777">
      <w:pPr>
        <w:pStyle w:val="ListParagraph"/>
        <w:widowControl w:val="0"/>
        <w:numPr>
          <w:ilvl w:val="0"/>
          <w:numId w:val="31"/>
        </w:numPr>
        <w:spacing w:after="0" w:line="240" w:lineRule="auto"/>
        <w:rPr>
          <w:rFonts w:eastAsia="Calibri"/>
          <w:color w:val="auto"/>
          <w:szCs w:val="24"/>
        </w:rPr>
      </w:pPr>
      <w:r w:rsidRPr="009A5344">
        <w:rPr>
          <w:rFonts w:eastAsia="Calibri"/>
          <w:color w:val="auto"/>
          <w:szCs w:val="24"/>
        </w:rPr>
        <w:t>promote reliable and economically efficient transmission and generation of electricity by promoting capital investment in the enlargement, improvement, maintenance, and operation of all facilities for the transmission of electric energy in interstate commerce, regardless of the ownership of the facilities;</w:t>
      </w:r>
      <w:r w:rsidRPr="009A5344">
        <w:rPr>
          <w:rFonts w:eastAsia="Calibri"/>
          <w:b/>
          <w:szCs w:val="24"/>
          <w:vertAlign w:val="superscript"/>
        </w:rPr>
        <w:footnoteReference w:id="5"/>
      </w:r>
    </w:p>
    <w:p w:rsidRPr="009A5344" w:rsidR="00B347C1" w:rsidP="00B347C1" w:rsidRDefault="00B347C1" w14:paraId="06332B09" w14:textId="77777777">
      <w:pPr>
        <w:pStyle w:val="ListParagraph"/>
        <w:widowControl w:val="0"/>
        <w:numPr>
          <w:ilvl w:val="0"/>
          <w:numId w:val="31"/>
        </w:numPr>
        <w:spacing w:after="0" w:line="240" w:lineRule="auto"/>
        <w:rPr>
          <w:rFonts w:eastAsia="Calibri"/>
          <w:color w:val="auto"/>
          <w:szCs w:val="24"/>
        </w:rPr>
      </w:pPr>
      <w:r w:rsidRPr="009A5344">
        <w:rPr>
          <w:rFonts w:eastAsia="Calibri"/>
          <w:color w:val="auto"/>
          <w:szCs w:val="24"/>
        </w:rPr>
        <w:t xml:space="preserve">provide a return on equity that attracts new investment in transmission facilities, </w:t>
      </w:r>
      <w:r w:rsidRPr="009A5344">
        <w:rPr>
          <w:rFonts w:eastAsia="Calibri"/>
          <w:color w:val="auto"/>
          <w:szCs w:val="24"/>
        </w:rPr>
        <w:lastRenderedPageBreak/>
        <w:t>including related transmission technologies;</w:t>
      </w:r>
      <w:r w:rsidRPr="009A5344">
        <w:rPr>
          <w:rFonts w:eastAsia="Calibri"/>
          <w:b/>
          <w:szCs w:val="24"/>
          <w:vertAlign w:val="superscript"/>
        </w:rPr>
        <w:footnoteReference w:id="6"/>
      </w:r>
    </w:p>
    <w:p w:rsidRPr="009A5344" w:rsidR="00B347C1" w:rsidP="00B347C1" w:rsidRDefault="00B347C1" w14:paraId="74069C9B" w14:textId="77777777">
      <w:pPr>
        <w:pStyle w:val="ListParagraph"/>
        <w:widowControl w:val="0"/>
        <w:numPr>
          <w:ilvl w:val="0"/>
          <w:numId w:val="31"/>
        </w:numPr>
        <w:spacing w:after="0" w:line="240" w:lineRule="auto"/>
        <w:rPr>
          <w:rFonts w:eastAsia="Calibri"/>
          <w:color w:val="auto"/>
          <w:szCs w:val="24"/>
        </w:rPr>
      </w:pPr>
      <w:r w:rsidRPr="009A5344">
        <w:rPr>
          <w:rFonts w:eastAsia="Calibri"/>
          <w:color w:val="auto"/>
          <w:szCs w:val="24"/>
        </w:rPr>
        <w:t>encourage deployment of transmission technologies and other measures to increase the capacity and efficiency of existing transmission facilities and improve the operation of the facilities;</w:t>
      </w:r>
      <w:r w:rsidRPr="009A5344">
        <w:rPr>
          <w:rFonts w:eastAsia="Calibri"/>
          <w:b/>
          <w:szCs w:val="24"/>
          <w:vertAlign w:val="superscript"/>
        </w:rPr>
        <w:footnoteReference w:id="7"/>
      </w:r>
      <w:r w:rsidRPr="009A5344">
        <w:rPr>
          <w:rFonts w:eastAsia="Calibri"/>
          <w:color w:val="auto"/>
          <w:szCs w:val="24"/>
        </w:rPr>
        <w:t xml:space="preserve"> and</w:t>
      </w:r>
    </w:p>
    <w:p w:rsidRPr="009A5344" w:rsidR="00B347C1" w:rsidP="00B347C1" w:rsidRDefault="00B347C1" w14:paraId="3CB2EA2F" w14:textId="0DABF531">
      <w:pPr>
        <w:pStyle w:val="ListParagraph"/>
        <w:widowControl w:val="0"/>
        <w:numPr>
          <w:ilvl w:val="0"/>
          <w:numId w:val="31"/>
        </w:numPr>
        <w:spacing w:after="0" w:line="240" w:lineRule="auto"/>
        <w:rPr>
          <w:rFonts w:eastAsia="Calibri"/>
          <w:color w:val="auto"/>
          <w:szCs w:val="24"/>
        </w:rPr>
      </w:pPr>
      <w:r w:rsidRPr="009A5344">
        <w:rPr>
          <w:rFonts w:eastAsia="Calibri"/>
          <w:color w:val="auto"/>
          <w:szCs w:val="24"/>
        </w:rPr>
        <w:t>allow the recovery of all prudently incurred costs necessary to comply with mandatory reliability standards issued pursuant to FPA section 215,</w:t>
      </w:r>
      <w:r w:rsidRPr="009A5344">
        <w:rPr>
          <w:rFonts w:eastAsia="Calibri"/>
          <w:b/>
          <w:szCs w:val="24"/>
          <w:vertAlign w:val="superscript"/>
        </w:rPr>
        <w:footnoteReference w:id="8"/>
      </w:r>
      <w:r w:rsidRPr="009A5344">
        <w:rPr>
          <w:rFonts w:eastAsia="Calibri"/>
          <w:color w:val="auto"/>
          <w:szCs w:val="24"/>
        </w:rPr>
        <w:t xml:space="preserve"> and all prudently incurred costs related to transmission infrastructure development pursuant to FPA section 216.</w:t>
      </w:r>
      <w:r w:rsidRPr="009A5344">
        <w:rPr>
          <w:rFonts w:eastAsia="Calibri"/>
          <w:b/>
          <w:szCs w:val="24"/>
          <w:vertAlign w:val="superscript"/>
        </w:rPr>
        <w:footnoteReference w:id="9"/>
      </w:r>
      <w:r w:rsidRPr="009A5344">
        <w:rPr>
          <w:rFonts w:eastAsia="Calibri"/>
          <w:color w:val="auto"/>
          <w:szCs w:val="24"/>
        </w:rPr>
        <w:t xml:space="preserve">  </w:t>
      </w:r>
    </w:p>
    <w:p w:rsidRPr="009A5344" w:rsidR="00073684" w:rsidP="00073684" w:rsidRDefault="00073684" w14:paraId="6FF2CD34" w14:textId="77777777">
      <w:pPr>
        <w:widowControl w:val="0"/>
        <w:spacing w:after="0" w:line="240" w:lineRule="auto"/>
        <w:rPr>
          <w:rFonts w:eastAsia="Calibri"/>
          <w:color w:val="auto"/>
          <w:szCs w:val="24"/>
        </w:rPr>
      </w:pPr>
    </w:p>
    <w:p w:rsidRPr="009A5344" w:rsidR="00B347C1" w:rsidP="00B347C1" w:rsidRDefault="00B347C1" w14:paraId="36CEDAED" w14:textId="53B5FB1C">
      <w:pPr>
        <w:tabs>
          <w:tab w:val="num" w:pos="720"/>
        </w:tabs>
        <w:spacing w:after="0" w:line="240" w:lineRule="auto"/>
        <w:ind w:left="0" w:firstLine="0"/>
        <w:rPr>
          <w:rFonts w:eastAsia="Calibri"/>
          <w:color w:val="auto"/>
          <w:szCs w:val="24"/>
        </w:rPr>
      </w:pPr>
      <w:r w:rsidRPr="009A5344">
        <w:rPr>
          <w:rFonts w:eastAsia="Calibri"/>
          <w:color w:val="auto"/>
          <w:szCs w:val="24"/>
        </w:rPr>
        <w:t>FPA section 219(c)</w:t>
      </w:r>
      <w:r w:rsidRPr="009A5344" w:rsidDel="00EF71D0">
        <w:rPr>
          <w:rFonts w:eastAsia="Calibri"/>
          <w:color w:val="auto"/>
          <w:szCs w:val="24"/>
        </w:rPr>
        <w:t xml:space="preserve"> </w:t>
      </w:r>
      <w:r w:rsidRPr="009A5344">
        <w:rPr>
          <w:rFonts w:eastAsia="Calibri"/>
          <w:color w:val="auto"/>
          <w:szCs w:val="24"/>
        </w:rPr>
        <w:t>states that the Commission shall, to the extent within its jurisdiction, provide for incentives to each transmitting utility or electric utility that joins a Transmission Organization and ensure that any costs recoverable pursuant to this subsection may be recovered by such transmitting utility or electric utility through the transmission rates charged by such transmitting utility or electric utility or through the transmission rates charged by the Transmission Organization that provides transmission service to such transmitting utility or electric utility.</w:t>
      </w:r>
      <w:r w:rsidRPr="009A5344">
        <w:rPr>
          <w:rFonts w:eastAsia="Calibri"/>
          <w:b/>
          <w:color w:val="auto"/>
          <w:szCs w:val="24"/>
          <w:vertAlign w:val="superscript"/>
        </w:rPr>
        <w:footnoteReference w:id="10"/>
      </w:r>
      <w:r w:rsidRPr="009A5344">
        <w:rPr>
          <w:rFonts w:eastAsia="Calibri"/>
          <w:color w:val="auto"/>
          <w:szCs w:val="24"/>
        </w:rPr>
        <w:t xml:space="preserve">  </w:t>
      </w:r>
    </w:p>
    <w:p w:rsidRPr="009A5344" w:rsidR="00073684" w:rsidP="00B347C1" w:rsidRDefault="00073684" w14:paraId="30142966" w14:textId="77777777">
      <w:pPr>
        <w:tabs>
          <w:tab w:val="num" w:pos="720"/>
        </w:tabs>
        <w:spacing w:after="0" w:line="240" w:lineRule="auto"/>
        <w:ind w:left="0" w:firstLine="0"/>
        <w:rPr>
          <w:rFonts w:eastAsia="Calibri"/>
          <w:color w:val="auto"/>
          <w:szCs w:val="24"/>
        </w:rPr>
      </w:pPr>
    </w:p>
    <w:p w:rsidRPr="009A5344" w:rsidR="00B347C1" w:rsidP="00B347C1" w:rsidRDefault="00B347C1" w14:paraId="38B1855F" w14:textId="076F43EE">
      <w:pPr>
        <w:tabs>
          <w:tab w:val="num" w:pos="720"/>
        </w:tabs>
        <w:spacing w:after="0" w:line="240" w:lineRule="auto"/>
        <w:ind w:left="0" w:firstLine="0"/>
        <w:rPr>
          <w:rFonts w:eastAsia="Calibri"/>
          <w:color w:val="auto"/>
          <w:szCs w:val="24"/>
        </w:rPr>
      </w:pPr>
      <w:r w:rsidRPr="009A5344">
        <w:rPr>
          <w:rFonts w:eastAsia="Calibri"/>
          <w:color w:val="auto"/>
          <w:szCs w:val="24"/>
        </w:rPr>
        <w:t>Finally, FPA section 219(d) provides that rates approved pursuant to a rulemaking adopted pursuant to section 219 are subject to the requirements in FPA sections 205 and 206</w:t>
      </w:r>
      <w:r w:rsidRPr="009A5344">
        <w:rPr>
          <w:rFonts w:eastAsia="Calibri"/>
          <w:b/>
          <w:color w:val="auto"/>
          <w:szCs w:val="24"/>
          <w:vertAlign w:val="superscript"/>
        </w:rPr>
        <w:footnoteReference w:id="11"/>
      </w:r>
      <w:r w:rsidRPr="009A5344">
        <w:rPr>
          <w:rFonts w:eastAsia="Calibri"/>
          <w:color w:val="auto"/>
          <w:szCs w:val="24"/>
        </w:rPr>
        <w:t xml:space="preserve"> that all rates, charges, terms, and conditions be just and reasonable and not unduly discriminatory or preferential.</w:t>
      </w:r>
    </w:p>
    <w:p w:rsidRPr="009A5344" w:rsidR="00073684" w:rsidP="00B347C1" w:rsidRDefault="00073684" w14:paraId="528DC45F" w14:textId="23B35238">
      <w:pPr>
        <w:tabs>
          <w:tab w:val="num" w:pos="720"/>
        </w:tabs>
        <w:spacing w:after="0" w:line="240" w:lineRule="auto"/>
        <w:ind w:left="0" w:firstLine="0"/>
        <w:rPr>
          <w:rFonts w:eastAsia="Calibri"/>
          <w:color w:val="auto"/>
          <w:szCs w:val="24"/>
        </w:rPr>
      </w:pPr>
    </w:p>
    <w:p w:rsidRPr="009A5344" w:rsidR="00844F83" w:rsidP="00073684" w:rsidRDefault="00844F83" w14:paraId="70A74842" w14:textId="48CFAE6D">
      <w:pPr>
        <w:pStyle w:val="FERCparanumber"/>
        <w:numPr>
          <w:ilvl w:val="0"/>
          <w:numId w:val="0"/>
        </w:numPr>
        <w:spacing w:line="240" w:lineRule="auto"/>
        <w:rPr>
          <w:b/>
          <w:sz w:val="24"/>
          <w:szCs w:val="24"/>
          <w:u w:val="single"/>
        </w:rPr>
      </w:pPr>
      <w:r w:rsidRPr="009A5344">
        <w:rPr>
          <w:b/>
          <w:sz w:val="24"/>
          <w:szCs w:val="24"/>
          <w:u w:val="single"/>
        </w:rPr>
        <w:t>Recent Rulemakings related to FERC-516</w:t>
      </w:r>
    </w:p>
    <w:p w:rsidRPr="009A5344" w:rsidR="00844F83" w:rsidP="00073684" w:rsidRDefault="00844F83" w14:paraId="4E9960D4" w14:textId="10685B73">
      <w:pPr>
        <w:pStyle w:val="FERCparanumber"/>
        <w:numPr>
          <w:ilvl w:val="0"/>
          <w:numId w:val="0"/>
        </w:numPr>
        <w:spacing w:line="240" w:lineRule="auto"/>
        <w:rPr>
          <w:b/>
          <w:i/>
          <w:iCs/>
          <w:sz w:val="24"/>
          <w:szCs w:val="24"/>
          <w:u w:val="single"/>
        </w:rPr>
      </w:pPr>
    </w:p>
    <w:p w:rsidRPr="009A5344" w:rsidR="007B54E6" w:rsidP="00073684" w:rsidRDefault="007B54E6" w14:paraId="48C20106" w14:textId="38750063">
      <w:pPr>
        <w:pStyle w:val="FERCparanumber"/>
        <w:numPr>
          <w:ilvl w:val="0"/>
          <w:numId w:val="0"/>
        </w:numPr>
        <w:spacing w:line="240" w:lineRule="auto"/>
        <w:rPr>
          <w:bCs/>
          <w:sz w:val="24"/>
          <w:szCs w:val="24"/>
        </w:rPr>
      </w:pPr>
      <w:r w:rsidRPr="009A5344">
        <w:rPr>
          <w:bCs/>
          <w:sz w:val="24"/>
          <w:szCs w:val="24"/>
        </w:rPr>
        <w:t xml:space="preserve">On March 20, 2020, the Commission issued a Notice of Proposed Rulemaking (NOPR) in Docket No. RM20-10-000 </w:t>
      </w:r>
      <w:r w:rsidRPr="009A5344" w:rsidR="000A2AE3">
        <w:rPr>
          <w:bCs/>
          <w:sz w:val="24"/>
          <w:szCs w:val="24"/>
        </w:rPr>
        <w:t>the Commission propose</w:t>
      </w:r>
      <w:r w:rsidRPr="009A5344" w:rsidR="007450DD">
        <w:rPr>
          <w:bCs/>
          <w:sz w:val="24"/>
          <w:szCs w:val="24"/>
        </w:rPr>
        <w:t>d</w:t>
      </w:r>
      <w:r w:rsidRPr="009A5344" w:rsidR="000A2AE3">
        <w:rPr>
          <w:bCs/>
          <w:sz w:val="24"/>
          <w:szCs w:val="24"/>
        </w:rPr>
        <w:t xml:space="preserve"> to revise its existing transmission incentives policy and corresponding regulations (Transmission Incentives Regulations)</w:t>
      </w:r>
      <w:r w:rsidRPr="009A5344" w:rsidR="000A2AE3">
        <w:rPr>
          <w:rStyle w:val="FootnoteReference"/>
          <w:bCs/>
          <w:sz w:val="24"/>
          <w:szCs w:val="24"/>
        </w:rPr>
        <w:footnoteReference w:id="12"/>
      </w:r>
      <w:r w:rsidRPr="009A5344" w:rsidR="000A2AE3">
        <w:rPr>
          <w:bCs/>
          <w:sz w:val="24"/>
          <w:szCs w:val="24"/>
        </w:rPr>
        <w:t xml:space="preserve"> in light of changes in transmission development and planning in the last few years.  After the enactment of the Energy Policy Act of 2005, which added section 219 to the FPA  the Commission promulgated Order No. 679</w:t>
      </w:r>
      <w:r w:rsidRPr="009A5344" w:rsidR="000A2AE3">
        <w:rPr>
          <w:rStyle w:val="FootnoteReference"/>
          <w:bCs/>
          <w:sz w:val="24"/>
          <w:szCs w:val="24"/>
        </w:rPr>
        <w:footnoteReference w:id="13"/>
      </w:r>
      <w:r w:rsidRPr="009A5344" w:rsidR="000A2AE3">
        <w:rPr>
          <w:bCs/>
          <w:sz w:val="24"/>
          <w:szCs w:val="24"/>
        </w:rPr>
        <w:t xml:space="preserve"> pursuant to FPA section 219.   </w:t>
      </w:r>
    </w:p>
    <w:p w:rsidRPr="009A5344" w:rsidR="000A2AE3" w:rsidP="00073684" w:rsidRDefault="000A2AE3" w14:paraId="3A2CC27B" w14:textId="77777777">
      <w:pPr>
        <w:pStyle w:val="FERCparanumber"/>
        <w:numPr>
          <w:ilvl w:val="0"/>
          <w:numId w:val="0"/>
        </w:numPr>
        <w:spacing w:line="240" w:lineRule="auto"/>
        <w:rPr>
          <w:bCs/>
          <w:sz w:val="24"/>
          <w:szCs w:val="24"/>
        </w:rPr>
      </w:pPr>
    </w:p>
    <w:p w:rsidR="004C723D" w:rsidP="00073684" w:rsidRDefault="007B54E6" w14:paraId="6D34CB70" w14:textId="77777777">
      <w:pPr>
        <w:pStyle w:val="FERCparanumber"/>
        <w:numPr>
          <w:ilvl w:val="0"/>
          <w:numId w:val="0"/>
        </w:numPr>
        <w:spacing w:line="240" w:lineRule="auto"/>
        <w:rPr>
          <w:bCs/>
          <w:sz w:val="24"/>
          <w:szCs w:val="24"/>
        </w:rPr>
      </w:pPr>
      <w:r w:rsidRPr="009A5344">
        <w:rPr>
          <w:bCs/>
          <w:sz w:val="24"/>
          <w:szCs w:val="24"/>
        </w:rPr>
        <w:t>After Order No. 679, the Commission last reviewed its transmission incentives policy in its 2012 Policy Statement.</w:t>
      </w:r>
      <w:r w:rsidRPr="009A5344" w:rsidR="000A2AE3">
        <w:rPr>
          <w:rStyle w:val="FootnoteReference"/>
          <w:bCs/>
          <w:sz w:val="24"/>
          <w:szCs w:val="24"/>
        </w:rPr>
        <w:footnoteReference w:id="14"/>
      </w:r>
      <w:r w:rsidRPr="009A5344">
        <w:rPr>
          <w:bCs/>
          <w:sz w:val="24"/>
          <w:szCs w:val="24"/>
        </w:rPr>
        <w:t xml:space="preserve">   Even since then, the energy industry has undergone a transformation.  The </w:t>
      </w:r>
      <w:r w:rsidRPr="009A5344">
        <w:rPr>
          <w:bCs/>
          <w:sz w:val="24"/>
          <w:szCs w:val="24"/>
        </w:rPr>
        <w:lastRenderedPageBreak/>
        <w:t>landscape for planning, developing, operating, and maintaining transmission infrastructure has changed considerably.  Those changes include an evolution in the resource mix and an increase in the number of new resources seeking transmission service, shifts in load patterns, the impact of the implementation of the Commission’s major rulemaking on transmission planning and cost allocation (Order  No. 1000)</w:t>
      </w:r>
      <w:r w:rsidRPr="009A5344" w:rsidR="000A2AE3">
        <w:rPr>
          <w:rStyle w:val="FootnoteReference"/>
          <w:bCs/>
          <w:sz w:val="24"/>
          <w:szCs w:val="24"/>
        </w:rPr>
        <w:footnoteReference w:id="15"/>
      </w:r>
      <w:r w:rsidRPr="009A5344">
        <w:rPr>
          <w:bCs/>
          <w:sz w:val="24"/>
          <w:szCs w:val="24"/>
        </w:rPr>
        <w:t xml:space="preserve">,  and new challenges to maintaining the reliability of transmission infrastructure.  </w:t>
      </w:r>
    </w:p>
    <w:p w:rsidR="004C723D" w:rsidP="00073684" w:rsidRDefault="004C723D" w14:paraId="7725B727" w14:textId="77777777">
      <w:pPr>
        <w:pStyle w:val="FERCparanumber"/>
        <w:numPr>
          <w:ilvl w:val="0"/>
          <w:numId w:val="0"/>
        </w:numPr>
        <w:spacing w:line="240" w:lineRule="auto"/>
        <w:rPr>
          <w:bCs/>
          <w:sz w:val="24"/>
          <w:szCs w:val="24"/>
        </w:rPr>
      </w:pPr>
    </w:p>
    <w:p w:rsidRPr="009A5344" w:rsidR="007B54E6" w:rsidP="00073684" w:rsidRDefault="007B54E6" w14:paraId="1FC2AD46" w14:textId="4A1C782C">
      <w:pPr>
        <w:pStyle w:val="FERCparanumber"/>
        <w:numPr>
          <w:ilvl w:val="0"/>
          <w:numId w:val="0"/>
        </w:numPr>
        <w:spacing w:line="240" w:lineRule="auto"/>
        <w:rPr>
          <w:bCs/>
          <w:sz w:val="24"/>
          <w:szCs w:val="24"/>
        </w:rPr>
      </w:pPr>
      <w:r w:rsidRPr="009A5344">
        <w:rPr>
          <w:bCs/>
          <w:sz w:val="24"/>
          <w:szCs w:val="24"/>
        </w:rPr>
        <w:t xml:space="preserve">As a result of these changes and the Commission’s greater experience evaluating transmission incentive applications made pursuant to Order No. 679 and their relationship to the objectives of FPA section 219, </w:t>
      </w:r>
      <w:r w:rsidR="00D22142">
        <w:rPr>
          <w:bCs/>
          <w:sz w:val="24"/>
          <w:szCs w:val="24"/>
        </w:rPr>
        <w:t xml:space="preserve">FERC </w:t>
      </w:r>
      <w:r w:rsidRPr="009A5344" w:rsidR="000A2AE3">
        <w:rPr>
          <w:bCs/>
          <w:sz w:val="24"/>
          <w:szCs w:val="24"/>
        </w:rPr>
        <w:t>proposed</w:t>
      </w:r>
      <w:r w:rsidRPr="009A5344">
        <w:rPr>
          <w:bCs/>
          <w:sz w:val="24"/>
          <w:szCs w:val="24"/>
        </w:rPr>
        <w:t xml:space="preserve"> to revise </w:t>
      </w:r>
      <w:r w:rsidRPr="009A5344" w:rsidR="000A2AE3">
        <w:rPr>
          <w:bCs/>
          <w:sz w:val="24"/>
          <w:szCs w:val="24"/>
        </w:rPr>
        <w:t>the Commission’s</w:t>
      </w:r>
      <w:r w:rsidRPr="009A5344">
        <w:rPr>
          <w:bCs/>
          <w:sz w:val="24"/>
          <w:szCs w:val="24"/>
        </w:rPr>
        <w:t xml:space="preserve"> transmission incentives policy to more closely align it with the statutory language of FPA section 219.</w:t>
      </w:r>
      <w:r w:rsidRPr="009A5344" w:rsidR="000A2AE3">
        <w:rPr>
          <w:bCs/>
          <w:sz w:val="24"/>
          <w:szCs w:val="24"/>
        </w:rPr>
        <w:t xml:space="preserve">  On August 12, 2020 OMB concluded “comment and continue” indicating that FERC would consider public comments to m</w:t>
      </w:r>
      <w:r w:rsidRPr="009A5344" w:rsidR="002F47B4">
        <w:rPr>
          <w:bCs/>
          <w:sz w:val="24"/>
          <w:szCs w:val="24"/>
        </w:rPr>
        <w:t>aximize</w:t>
      </w:r>
      <w:r w:rsidRPr="009A5344" w:rsidR="000A2AE3">
        <w:rPr>
          <w:bCs/>
          <w:sz w:val="24"/>
          <w:szCs w:val="24"/>
        </w:rPr>
        <w:t xml:space="preserve"> practical utility of FERC-516 </w:t>
      </w:r>
      <w:r w:rsidRPr="009A5344" w:rsidR="002F47B4">
        <w:rPr>
          <w:bCs/>
          <w:sz w:val="24"/>
          <w:szCs w:val="24"/>
        </w:rPr>
        <w:t>w</w:t>
      </w:r>
      <w:r w:rsidRPr="009A5344" w:rsidR="000A2AE3">
        <w:rPr>
          <w:bCs/>
          <w:sz w:val="24"/>
          <w:szCs w:val="24"/>
        </w:rPr>
        <w:t xml:space="preserve">hile minimizing buden. </w:t>
      </w:r>
      <w:r w:rsidRPr="009A5344" w:rsidR="002F47B4">
        <w:rPr>
          <w:bCs/>
          <w:sz w:val="24"/>
          <w:szCs w:val="24"/>
        </w:rPr>
        <w:t xml:space="preserve"> </w:t>
      </w:r>
      <w:r w:rsidRPr="009A5344" w:rsidR="000A2AE3">
        <w:rPr>
          <w:bCs/>
          <w:sz w:val="24"/>
          <w:szCs w:val="24"/>
        </w:rPr>
        <w:t>FERC issued a Supplemental NOPR in Docket RM20-10-000</w:t>
      </w:r>
      <w:r w:rsidRPr="009A5344" w:rsidR="002F47B4">
        <w:rPr>
          <w:bCs/>
          <w:sz w:val="24"/>
          <w:szCs w:val="24"/>
        </w:rPr>
        <w:t xml:space="preserve"> on April 15, 2021 </w:t>
      </w:r>
      <w:r w:rsidR="00D22142">
        <w:rPr>
          <w:bCs/>
          <w:sz w:val="24"/>
          <w:szCs w:val="24"/>
        </w:rPr>
        <w:t>a</w:t>
      </w:r>
      <w:r w:rsidR="00A26BF8">
        <w:rPr>
          <w:bCs/>
          <w:sz w:val="24"/>
          <w:szCs w:val="24"/>
        </w:rPr>
        <w:t>nd OMB concluded “comment and continue”</w:t>
      </w:r>
      <w:r w:rsidRPr="009A5344" w:rsidR="002F47B4">
        <w:rPr>
          <w:bCs/>
          <w:sz w:val="24"/>
          <w:szCs w:val="24"/>
        </w:rPr>
        <w:t xml:space="preserve"> </w:t>
      </w:r>
      <w:r w:rsidR="00A26BF8">
        <w:rPr>
          <w:bCs/>
          <w:sz w:val="24"/>
          <w:szCs w:val="24"/>
        </w:rPr>
        <w:t>on June 29, 2021</w:t>
      </w:r>
      <w:r w:rsidR="00BE16FB">
        <w:rPr>
          <w:bCs/>
          <w:sz w:val="24"/>
          <w:szCs w:val="24"/>
        </w:rPr>
        <w:t xml:space="preserve">(ICR Ref. No. </w:t>
      </w:r>
      <w:r w:rsidRPr="00BE16FB" w:rsidR="00BE16FB">
        <w:rPr>
          <w:bCs/>
          <w:sz w:val="24"/>
          <w:szCs w:val="24"/>
        </w:rPr>
        <w:t>202104-1902-001</w:t>
      </w:r>
      <w:r w:rsidR="00BE16FB">
        <w:rPr>
          <w:bCs/>
          <w:sz w:val="24"/>
          <w:szCs w:val="24"/>
        </w:rPr>
        <w:t>)</w:t>
      </w:r>
      <w:r w:rsidR="00A26BF8">
        <w:rPr>
          <w:bCs/>
          <w:sz w:val="24"/>
          <w:szCs w:val="24"/>
        </w:rPr>
        <w:t xml:space="preserve">. </w:t>
      </w:r>
      <w:r w:rsidR="004C723D">
        <w:rPr>
          <w:bCs/>
          <w:sz w:val="24"/>
          <w:szCs w:val="24"/>
        </w:rPr>
        <w:t>T</w:t>
      </w:r>
      <w:r w:rsidRPr="009A5344" w:rsidR="002F47B4">
        <w:rPr>
          <w:bCs/>
          <w:sz w:val="24"/>
          <w:szCs w:val="24"/>
        </w:rPr>
        <w:t xml:space="preserve">he supplemental NOPR will </w:t>
      </w:r>
      <w:r w:rsidRPr="003C58CD" w:rsidR="002F47B4">
        <w:rPr>
          <w:bCs/>
          <w:sz w:val="24"/>
          <w:szCs w:val="24"/>
        </w:rPr>
        <w:t>not</w:t>
      </w:r>
      <w:r w:rsidRPr="004C723D" w:rsidR="002F47B4">
        <w:rPr>
          <w:bCs/>
          <w:sz w:val="24"/>
          <w:szCs w:val="24"/>
        </w:rPr>
        <w:t xml:space="preserve"> </w:t>
      </w:r>
      <w:r w:rsidRPr="009A5344" w:rsidR="002F47B4">
        <w:rPr>
          <w:bCs/>
          <w:sz w:val="24"/>
          <w:szCs w:val="24"/>
        </w:rPr>
        <w:t>be discussed further in this supporting statement</w:t>
      </w:r>
      <w:r w:rsidRPr="009A5344" w:rsidR="00871F95">
        <w:rPr>
          <w:bCs/>
          <w:sz w:val="24"/>
          <w:szCs w:val="24"/>
        </w:rPr>
        <w:t>.</w:t>
      </w:r>
      <w:r w:rsidRPr="009A5344" w:rsidR="00871F95">
        <w:rPr>
          <w:rStyle w:val="FootnoteReference"/>
          <w:bCs/>
          <w:sz w:val="24"/>
          <w:szCs w:val="24"/>
        </w:rPr>
        <w:footnoteReference w:id="16"/>
      </w:r>
    </w:p>
    <w:p w:rsidRPr="009A5344" w:rsidR="007B54E6" w:rsidP="00073684" w:rsidRDefault="007B54E6" w14:paraId="66B6E41F" w14:textId="77777777">
      <w:pPr>
        <w:pStyle w:val="FERCparanumber"/>
        <w:numPr>
          <w:ilvl w:val="0"/>
          <w:numId w:val="0"/>
        </w:numPr>
        <w:spacing w:line="240" w:lineRule="auto"/>
        <w:rPr>
          <w:bCs/>
          <w:sz w:val="24"/>
          <w:szCs w:val="24"/>
        </w:rPr>
      </w:pPr>
    </w:p>
    <w:p w:rsidRPr="009A5344" w:rsidR="00DD755B" w:rsidP="00565165" w:rsidRDefault="00383548" w14:paraId="4B011505" w14:textId="2E726E4F">
      <w:pPr>
        <w:pStyle w:val="Heading1"/>
        <w:ind w:left="360" w:hanging="360"/>
        <w:rPr>
          <w:szCs w:val="24"/>
        </w:rPr>
      </w:pPr>
      <w:r w:rsidRPr="009A5344">
        <w:rPr>
          <w:bCs/>
          <w:szCs w:val="24"/>
        </w:rPr>
        <w:t>2.</w:t>
      </w:r>
      <w:r w:rsidRPr="009A5344">
        <w:rPr>
          <w:rFonts w:eastAsia="Arial"/>
          <w:b w:val="0"/>
          <w:szCs w:val="24"/>
        </w:rPr>
        <w:t xml:space="preserve"> </w:t>
      </w:r>
      <w:r w:rsidRPr="009A5344">
        <w:rPr>
          <w:szCs w:val="24"/>
        </w:rPr>
        <w:t xml:space="preserve">HOW, BY WHOM, AND FOR WHAT PURPOSE THE INFORMATION IS TO BE </w:t>
      </w:r>
      <w:r w:rsidRPr="009A5344" w:rsidR="00CD17A0">
        <w:rPr>
          <w:szCs w:val="24"/>
        </w:rPr>
        <w:t>U</w:t>
      </w:r>
      <w:r w:rsidRPr="009A5344">
        <w:rPr>
          <w:szCs w:val="24"/>
        </w:rPr>
        <w:t xml:space="preserve">SED AND THE CONSEQUENCES OF NOT COLLECTING THE INFORMATION </w:t>
      </w:r>
    </w:p>
    <w:p w:rsidRPr="009A5344" w:rsidR="00600CA2" w:rsidP="00600CA2" w:rsidRDefault="00600CA2" w14:paraId="0E9CD0DB" w14:textId="77777777">
      <w:pPr>
        <w:pStyle w:val="FERCparanumber"/>
        <w:numPr>
          <w:ilvl w:val="0"/>
          <w:numId w:val="0"/>
        </w:numPr>
        <w:spacing w:line="240" w:lineRule="auto"/>
        <w:rPr>
          <w:bCs/>
          <w:sz w:val="24"/>
          <w:szCs w:val="24"/>
        </w:rPr>
      </w:pPr>
      <w:r w:rsidRPr="009A5344">
        <w:rPr>
          <w:bCs/>
          <w:sz w:val="24"/>
          <w:szCs w:val="24"/>
        </w:rPr>
        <w:t>FERC-516 includes 11 components listed in the table in Question 12.</w:t>
      </w:r>
      <w:r w:rsidRPr="009A5344">
        <w:rPr>
          <w:rStyle w:val="FootnoteReference"/>
          <w:bCs/>
          <w:sz w:val="24"/>
          <w:szCs w:val="24"/>
        </w:rPr>
        <w:footnoteReference w:id="17"/>
      </w:r>
      <w:r w:rsidRPr="009A5344">
        <w:rPr>
          <w:bCs/>
          <w:sz w:val="24"/>
          <w:szCs w:val="24"/>
        </w:rPr>
        <w:t xml:space="preserve">  Several rulemakings related to this information collection and its components have been summarized below.</w:t>
      </w:r>
    </w:p>
    <w:p w:rsidRPr="009A5344" w:rsidR="00600CA2" w:rsidP="00600CA2" w:rsidRDefault="00600CA2" w14:paraId="31050E4B" w14:textId="77777777">
      <w:pPr>
        <w:pStyle w:val="FERCparanumber"/>
        <w:numPr>
          <w:ilvl w:val="0"/>
          <w:numId w:val="0"/>
        </w:numPr>
        <w:spacing w:line="240" w:lineRule="auto"/>
        <w:rPr>
          <w:bCs/>
          <w:sz w:val="24"/>
          <w:szCs w:val="24"/>
        </w:rPr>
      </w:pPr>
    </w:p>
    <w:p w:rsidRPr="009A5344" w:rsidR="00600CA2" w:rsidP="00600CA2" w:rsidRDefault="00600CA2" w14:paraId="2A021795" w14:textId="4791D508">
      <w:pPr>
        <w:pStyle w:val="FERCparanumber"/>
        <w:numPr>
          <w:ilvl w:val="0"/>
          <w:numId w:val="32"/>
        </w:numPr>
        <w:spacing w:line="240" w:lineRule="auto"/>
        <w:rPr>
          <w:bCs/>
          <w:sz w:val="24"/>
          <w:szCs w:val="24"/>
        </w:rPr>
      </w:pPr>
      <w:r w:rsidRPr="009A5344">
        <w:rPr>
          <w:bCs/>
          <w:sz w:val="24"/>
          <w:szCs w:val="24"/>
        </w:rPr>
        <w:t xml:space="preserve">In Order No. 745 (in </w:t>
      </w:r>
      <w:bookmarkStart w:name="_Hlk72753840" w:id="1"/>
      <w:r w:rsidRPr="009A5344">
        <w:rPr>
          <w:b/>
          <w:sz w:val="24"/>
          <w:szCs w:val="24"/>
        </w:rPr>
        <w:t>Docket No. RM10-17-000</w:t>
      </w:r>
      <w:r w:rsidRPr="009A5344">
        <w:rPr>
          <w:bCs/>
          <w:sz w:val="24"/>
          <w:szCs w:val="24"/>
        </w:rPr>
        <w:t>), the Commission amended its regulations under the Federal Power Act (FPA). That amendment sought to ensure that when a demand response resource participating in an organized wholesale energy market administered by a Regional Transmission Organization (RTO) or Independent System Operator (ISO) has to demonstrate by a compliance filing that it has the capability to balance supply and demand as an alternative to a generation resource, and when dispatch of that demand response resource is cost-effective as determined by the net benefits test described in the final rule, that demand response resource must be compensated for the service it provides to the energy market at the market price for energy, referred to as the locational marginal price (LMP).</w:t>
      </w:r>
      <w:r w:rsidRPr="009A5344" w:rsidR="00886F4C">
        <w:rPr>
          <w:bCs/>
          <w:sz w:val="24"/>
          <w:szCs w:val="24"/>
        </w:rPr>
        <w:t xml:space="preserve">  </w:t>
      </w:r>
      <w:r w:rsidRPr="009A5344">
        <w:rPr>
          <w:bCs/>
          <w:sz w:val="24"/>
          <w:szCs w:val="24"/>
        </w:rPr>
        <w:t>This approach for compensating demand response resources helps to ensure the competitiveness of organized wholesale energy markets and remove barriers to the participation of demand response resources, thus ensuring just and reasonable wholesale rates.</w:t>
      </w:r>
    </w:p>
    <w:p w:rsidRPr="009A5344" w:rsidR="00600CA2" w:rsidP="00600CA2" w:rsidRDefault="00600CA2" w14:paraId="2D4F7BC8" w14:textId="77777777">
      <w:pPr>
        <w:pStyle w:val="FERCparanumber"/>
        <w:numPr>
          <w:ilvl w:val="0"/>
          <w:numId w:val="32"/>
        </w:numPr>
        <w:spacing w:line="240" w:lineRule="auto"/>
        <w:rPr>
          <w:bCs/>
          <w:sz w:val="24"/>
          <w:szCs w:val="24"/>
        </w:rPr>
      </w:pPr>
      <w:r w:rsidRPr="009A5344">
        <w:rPr>
          <w:bCs/>
          <w:sz w:val="24"/>
          <w:szCs w:val="24"/>
        </w:rPr>
        <w:t xml:space="preserve">In Order 845 (in </w:t>
      </w:r>
      <w:r w:rsidRPr="009A5344">
        <w:rPr>
          <w:b/>
          <w:sz w:val="24"/>
          <w:szCs w:val="24"/>
        </w:rPr>
        <w:t>Docket No. RM11-7-000</w:t>
      </w:r>
      <w:r w:rsidRPr="009A5344">
        <w:rPr>
          <w:bCs/>
          <w:sz w:val="24"/>
          <w:szCs w:val="24"/>
        </w:rPr>
        <w:t xml:space="preserve">), the Commission revised its regulations to remedy undue discrimination in the procurement of frequency regulation in the organized </w:t>
      </w:r>
      <w:r w:rsidRPr="009A5344">
        <w:rPr>
          <w:bCs/>
          <w:sz w:val="24"/>
          <w:szCs w:val="24"/>
        </w:rPr>
        <w:lastRenderedPageBreak/>
        <w:t>wholesale electric markets and ensure that providers of frequency regulation receive just and reasonable and not unduly discriminatory or preferential rates. To remedy this undue discrimination, the Commission found that it is just and reasonable to require all RTOs and ISOs to modify their tariffs to provide for a two-part payment to frequency regulation resources.   The compensation methods for regulation service in RTO and ISO markets failed to acknowledge the inherently greater amount of frequency regulation service being provided by faster-ramping resources.  In addition, certain practices of some RTOs and ISOs resulted in economically inefficient economic dispatch of frequency regulation resources.  By remedying these issues, the Commission removed unduly discriminatory and preferential practices from RTO and ISO tariffs and required the setting of just and reasonable rates.  It specifically required RTOs and ISOs to compensate frequency regulation resources based on the actual service provided, including a capacity payment that includes the marginal unit’s opportunity costs and a payment for performance that reflects the quantity of frequency regulation service provided by a resource when the resource is accurately following the dispatch signal.</w:t>
      </w:r>
    </w:p>
    <w:p w:rsidRPr="009A5344" w:rsidR="00600CA2" w:rsidP="00600CA2" w:rsidRDefault="00600CA2" w14:paraId="5D4C7A87" w14:textId="77777777">
      <w:pPr>
        <w:pStyle w:val="FERCparanumber"/>
        <w:numPr>
          <w:ilvl w:val="0"/>
          <w:numId w:val="32"/>
        </w:numPr>
        <w:spacing w:line="240" w:lineRule="auto"/>
        <w:rPr>
          <w:bCs/>
          <w:sz w:val="24"/>
          <w:szCs w:val="24"/>
        </w:rPr>
      </w:pPr>
      <w:r w:rsidRPr="009A5344">
        <w:rPr>
          <w:bCs/>
          <w:sz w:val="24"/>
          <w:szCs w:val="24"/>
        </w:rPr>
        <w:t xml:space="preserve">Order No. 764 (in </w:t>
      </w:r>
      <w:r w:rsidRPr="009A5344">
        <w:rPr>
          <w:b/>
          <w:sz w:val="24"/>
          <w:szCs w:val="24"/>
        </w:rPr>
        <w:t>Docket No. RM10-11-000</w:t>
      </w:r>
      <w:r w:rsidRPr="009A5344">
        <w:rPr>
          <w:bCs/>
          <w:sz w:val="24"/>
          <w:szCs w:val="24"/>
        </w:rPr>
        <w:t>), the Commission amended the pro forma Open Access Transmission Tariff (OATT) to remove unduly discriminatory practices and to ensure just and reasonable rates for Commission-jurisdictional services.  Specifically, the Commission removed barriers to the integration of variable energy resources by requiring each public utility transmission provider to:  (1) offer intra-hourly transmission scheduling; and, (2) incorporate provisions into the pro forma Large Generator Interconnection Agreement requiring interconnection customers whose generating facilities are variable energy resources to provide meteorological and forced outage data to the public utility transmission provider for the purpose of power production forecasting.</w:t>
      </w:r>
    </w:p>
    <w:p w:rsidRPr="009A5344" w:rsidR="00600CA2" w:rsidP="00600CA2" w:rsidRDefault="00600CA2" w14:paraId="5A0562D6" w14:textId="77777777">
      <w:pPr>
        <w:pStyle w:val="FERCparanumber"/>
        <w:numPr>
          <w:ilvl w:val="0"/>
          <w:numId w:val="32"/>
        </w:numPr>
        <w:spacing w:line="240" w:lineRule="auto"/>
        <w:rPr>
          <w:bCs/>
          <w:sz w:val="24"/>
          <w:szCs w:val="24"/>
        </w:rPr>
      </w:pPr>
      <w:r w:rsidRPr="009A5344">
        <w:rPr>
          <w:bCs/>
          <w:sz w:val="24"/>
          <w:szCs w:val="24"/>
        </w:rPr>
        <w:t xml:space="preserve">In Order 676-G (in Docket No. </w:t>
      </w:r>
      <w:r w:rsidRPr="009A5344">
        <w:rPr>
          <w:b/>
          <w:sz w:val="24"/>
          <w:szCs w:val="24"/>
        </w:rPr>
        <w:t>RM05-5-020</w:t>
      </w:r>
      <w:r w:rsidRPr="009A5344">
        <w:rPr>
          <w:bCs/>
          <w:sz w:val="24"/>
          <w:szCs w:val="24"/>
        </w:rPr>
        <w:t>), the Commission amended its regulations at 18 C.F.R. § 38.2 (which establish standards for business practices and electronic communications for public utilities) to incorporate by reference updated business practice standards adopted by the Wholesale Electric Quadrant (WEQ) of the North American Energy Standards Board (NAESB) to categorize various products and services for demand response and energy efficiency and to support the measurement and verification of these products and services in organized wholesale electric markets.  These standards provided common definitions and processes regarding demand response and energy efficiency products in organized wholesale electric markets where such products are offered.  The standards also required each RTO and ISO to address in the RTO or ISO’s governing documents the performance evaluation methods to be used for demand response and energy efficiency products.  The standards facilitated the ability of demand response and energy efficiency providers to participate in organized wholesale electric markets, reducing transaction costs and providing an opportunity for more customers to participate in these programs, especially for customers that operate in more than one organized market.</w:t>
      </w:r>
    </w:p>
    <w:p w:rsidRPr="009A5344" w:rsidR="00600CA2" w:rsidP="00600CA2" w:rsidRDefault="00600CA2" w14:paraId="1BAD84C2" w14:textId="77777777">
      <w:pPr>
        <w:pStyle w:val="FERCparanumber"/>
        <w:numPr>
          <w:ilvl w:val="0"/>
          <w:numId w:val="32"/>
        </w:numPr>
        <w:spacing w:line="240" w:lineRule="auto"/>
        <w:rPr>
          <w:bCs/>
          <w:sz w:val="24"/>
          <w:szCs w:val="24"/>
        </w:rPr>
      </w:pPr>
      <w:r w:rsidRPr="009A5344">
        <w:rPr>
          <w:bCs/>
          <w:sz w:val="24"/>
          <w:szCs w:val="24"/>
        </w:rPr>
        <w:t xml:space="preserve">In Order No. 676-H (in </w:t>
      </w:r>
      <w:r w:rsidRPr="009A5344">
        <w:rPr>
          <w:b/>
          <w:sz w:val="24"/>
          <w:szCs w:val="24"/>
        </w:rPr>
        <w:t>Docket No. RM05-5-022</w:t>
      </w:r>
      <w:r w:rsidRPr="009A5344">
        <w:rPr>
          <w:bCs/>
          <w:sz w:val="24"/>
          <w:szCs w:val="24"/>
        </w:rPr>
        <w:t xml:space="preserve">), the Commission revised its regulations to incorporate by reference, with certain enumerated exceptions, Version 003 of the Standards for Business Practices and Communication Protocols for Public Utilities adopted by the WEQ of NAESB as mandatory enforceable requirements.  These standards updated NAESB’s WEQ Version 002 and Version 002.1 Standards to reflect policy determinations made by the Commission in the Order Nos. 890, 890-A, 890-B and 890-C.   In addition, the Commission listed informationally, as guidance, NAESB’s Smart </w:t>
      </w:r>
      <w:r w:rsidRPr="009A5344">
        <w:rPr>
          <w:bCs/>
          <w:sz w:val="24"/>
          <w:szCs w:val="24"/>
        </w:rPr>
        <w:lastRenderedPageBreak/>
        <w:t>Grid Standards (WEQ-016 through WEQ-020) in Part 2 of the Commission’s regulations.  The Commission required public utilities and those entities with reciprocity tariffs to modify their open access transmission tariffs (OATTs) to include the WEQ standards that were incorporated by making a compliance filing.</w:t>
      </w:r>
    </w:p>
    <w:p w:rsidRPr="009A5344" w:rsidR="00600CA2" w:rsidP="00600CA2" w:rsidRDefault="00600CA2" w14:paraId="6ACAD839" w14:textId="77777777">
      <w:pPr>
        <w:pStyle w:val="FERCparanumber"/>
        <w:numPr>
          <w:ilvl w:val="0"/>
          <w:numId w:val="32"/>
        </w:numPr>
        <w:spacing w:line="240" w:lineRule="auto"/>
        <w:rPr>
          <w:bCs/>
          <w:sz w:val="24"/>
          <w:szCs w:val="24"/>
        </w:rPr>
      </w:pPr>
      <w:r w:rsidRPr="009A5344">
        <w:rPr>
          <w:bCs/>
          <w:sz w:val="24"/>
          <w:szCs w:val="24"/>
        </w:rPr>
        <w:t xml:space="preserve">In Order No. 819 (in </w:t>
      </w:r>
      <w:r w:rsidRPr="009A5344">
        <w:rPr>
          <w:b/>
          <w:sz w:val="24"/>
          <w:szCs w:val="24"/>
        </w:rPr>
        <w:t>Docket No. RM15-2-000</w:t>
      </w:r>
      <w:r w:rsidRPr="009A5344">
        <w:rPr>
          <w:bCs/>
          <w:sz w:val="24"/>
          <w:szCs w:val="24"/>
        </w:rPr>
        <w:t>), the Commission revised its regulations to foster competition in the sale of primary frequency response service.  Specifically, the Commission amended its regulations governing market-based rates for public utilities pursuant to the FPA to permit the sale of primary frequency response service at market-based rates by sellers with market-based rate authority for sales of energy and capacity.  The Commission found that a seller that already has market-based rate authority as of the effective date of the Final Rule is authorized as of that date to make sales of primary frequency response service at market-based rates.   Such a seller was required to revise the third-party provider ancillary services provision of its market-based rate tariff to reflect that it wished to make sales of primary frequency response service at market-based rates.  In order to reduce their administrative burden, the Commission permitted such sellers to wait to file this tariff revision until the next time they made a market-based rate filing with the Commission, such as a notice of change in status filing or a triennial update.</w:t>
      </w:r>
    </w:p>
    <w:p w:rsidRPr="009A5344" w:rsidR="00600CA2" w:rsidP="00600CA2" w:rsidRDefault="00600CA2" w14:paraId="02D5E312" w14:textId="77777777">
      <w:pPr>
        <w:pStyle w:val="FERCparanumber"/>
        <w:numPr>
          <w:ilvl w:val="0"/>
          <w:numId w:val="32"/>
        </w:numPr>
        <w:spacing w:line="240" w:lineRule="auto"/>
        <w:rPr>
          <w:bCs/>
          <w:sz w:val="24"/>
          <w:szCs w:val="24"/>
        </w:rPr>
      </w:pPr>
      <w:r w:rsidRPr="009A5344">
        <w:rPr>
          <w:bCs/>
          <w:sz w:val="24"/>
          <w:szCs w:val="24"/>
        </w:rPr>
        <w:t xml:space="preserve">In Order No. 842 (in </w:t>
      </w:r>
      <w:r w:rsidRPr="009A5344">
        <w:rPr>
          <w:b/>
          <w:sz w:val="24"/>
          <w:szCs w:val="24"/>
        </w:rPr>
        <w:t>Docket No. RM16-6-000</w:t>
      </w:r>
      <w:r w:rsidRPr="009A5344">
        <w:rPr>
          <w:bCs/>
          <w:sz w:val="24"/>
          <w:szCs w:val="24"/>
        </w:rPr>
        <w:t>), the Commission revised its regulations to require newly interconnecting large and small generating facilities, both synchronous and non-synchronous, to install, maintain, and operate equipment capable of providing primary frequency response as a condition of interconnection.  To implement these requirements, the Commission modified the pro forma Large Generator Interconnection Agreement (LGIA) and the pro forma Small Generator Interconnection Agreement (SGIA).  These changes were designed to address the potential reliability impact of the evolving generation resource mix, and to ensure that the relevant provisions of the pro forma LGIA and pro forma SGIA are just, reasonable, and not unduly discriminatory or preferential.  Section 35.28(f)(1) of the Commission’s regulations requires every public utility with a non-discriminatory OATT on file to also have a pro forma LGIA and pro forma SGIA on file with the Commission.  Each public utility transmission provider that has a pro forma LGIA and/or pro forma SGIA within its OATT was required to submit a compliance filing that demonstrates that it meets the requirements set forth in the Final Rule within Docket No. RM16-6-000.</w:t>
      </w:r>
    </w:p>
    <w:p w:rsidRPr="009A5344" w:rsidR="00600CA2" w:rsidP="00600CA2" w:rsidRDefault="00600CA2" w14:paraId="6274CD6E" w14:textId="77777777">
      <w:pPr>
        <w:pStyle w:val="FERCparanumber"/>
        <w:numPr>
          <w:ilvl w:val="0"/>
          <w:numId w:val="32"/>
        </w:numPr>
        <w:spacing w:line="240" w:lineRule="auto"/>
        <w:rPr>
          <w:bCs/>
          <w:sz w:val="24"/>
          <w:szCs w:val="24"/>
        </w:rPr>
      </w:pPr>
      <w:r w:rsidRPr="009A5344">
        <w:rPr>
          <w:bCs/>
          <w:sz w:val="24"/>
          <w:szCs w:val="24"/>
        </w:rPr>
        <w:t xml:space="preserve">In Order 845 (in </w:t>
      </w:r>
      <w:r w:rsidRPr="009A5344">
        <w:rPr>
          <w:b/>
          <w:sz w:val="24"/>
          <w:szCs w:val="24"/>
        </w:rPr>
        <w:t>Docket No. RM17-8-000</w:t>
      </w:r>
      <w:r w:rsidRPr="009A5344">
        <w:rPr>
          <w:bCs/>
          <w:sz w:val="24"/>
          <w:szCs w:val="24"/>
        </w:rPr>
        <w:t>), the Commission amended the pro forma Large Generator Interconnection Procedures and the pro forma LGIA to improve certainty, promote more informed interconnection, and enhance interconnection processes.  The reforms were intended to ensure that the generator interconnection process is just and reasonable and not unduly discriminatory or preferential.  The Commission required all public utility transmission providers to submit compliance filings to adopt the requirements of the Final Rule (in Docket No. RM17-8), as revisions to the LGIP and LGIA in their OATTs.</w:t>
      </w:r>
    </w:p>
    <w:p w:rsidRPr="009A5344" w:rsidR="00600CA2" w:rsidP="00600CA2" w:rsidRDefault="00600CA2" w14:paraId="35F9CF07" w14:textId="77777777">
      <w:pPr>
        <w:pStyle w:val="FERCparanumber"/>
        <w:numPr>
          <w:ilvl w:val="0"/>
          <w:numId w:val="32"/>
        </w:numPr>
        <w:spacing w:line="240" w:lineRule="auto"/>
        <w:rPr>
          <w:bCs/>
          <w:sz w:val="24"/>
          <w:szCs w:val="24"/>
        </w:rPr>
      </w:pPr>
      <w:r w:rsidRPr="009A5344">
        <w:rPr>
          <w:bCs/>
          <w:sz w:val="24"/>
          <w:szCs w:val="24"/>
        </w:rPr>
        <w:t xml:space="preserve">In Order 864 (in </w:t>
      </w:r>
      <w:r w:rsidRPr="009A5344">
        <w:rPr>
          <w:b/>
          <w:sz w:val="24"/>
          <w:szCs w:val="24"/>
        </w:rPr>
        <w:t>Docket No. RM19-5-000</w:t>
      </w:r>
      <w:r w:rsidRPr="009A5344">
        <w:rPr>
          <w:bCs/>
          <w:sz w:val="24"/>
          <w:szCs w:val="24"/>
        </w:rPr>
        <w:t xml:space="preserve">), the Commission required public utility transmission providers with transmission formula rates under an OATT, a transmission owner tariff, or a rate schedule to revise those transmission formula rates to account for changes caused by the Tax Cuts and Jobs Act of 2017.  The Commission required public utilities with transmission formula rates to include a mechanism in those transmission formula rates to deduct any excess accumulated deferred income taxes (ADIT) from or add any </w:t>
      </w:r>
      <w:r w:rsidRPr="009A5344">
        <w:rPr>
          <w:bCs/>
          <w:sz w:val="24"/>
          <w:szCs w:val="24"/>
        </w:rPr>
        <w:lastRenderedPageBreak/>
        <w:t>deficient ADIT to their rate bases.  Public utilities with transmission formula rates were also required to incorporate a mechanism to decrease or increase their income tax allowances by any amortized excess or deficient ADIT, respectively.  Finally, the Commission required public utilities with transmission to update their formula rates through a compliance filing to incorporate a new permanent worksheet into their transmission formula rates that will annually track information related to excess or deficient ADIT.</w:t>
      </w:r>
    </w:p>
    <w:bookmarkEnd w:id="1"/>
    <w:p w:rsidRPr="009A5344" w:rsidR="00600CA2" w:rsidP="00600CA2" w:rsidRDefault="00600CA2" w14:paraId="18E4E38D" w14:textId="05904780">
      <w:pPr>
        <w:rPr>
          <w:szCs w:val="24"/>
        </w:rPr>
      </w:pPr>
    </w:p>
    <w:p w:rsidRPr="009A5344" w:rsidR="00DD755B" w:rsidP="008B2C5F" w:rsidRDefault="00383548" w14:paraId="3E54150A" w14:textId="25F1C756">
      <w:pPr>
        <w:numPr>
          <w:ilvl w:val="0"/>
          <w:numId w:val="2"/>
        </w:numPr>
        <w:spacing w:after="13"/>
        <w:ind w:hanging="360"/>
        <w:rPr>
          <w:szCs w:val="24"/>
        </w:rPr>
      </w:pPr>
      <w:r w:rsidRPr="009A5344">
        <w:rPr>
          <w:b/>
          <w:szCs w:val="24"/>
        </w:rPr>
        <w:t xml:space="preserve">DESCRIBE ANY CONSIDERATION OF THE USE OF IMPROVED TECHNOLOGY TO REDUCE BURDEN AND TECHNICAL OR LEGAL OBSTACLES TO REDUCING BURDEN.  </w:t>
      </w:r>
    </w:p>
    <w:p w:rsidRPr="009A5344" w:rsidR="00DD755B" w:rsidRDefault="00383548" w14:paraId="3AB7F095" w14:textId="7C089D70">
      <w:pPr>
        <w:ind w:left="0" w:firstLine="0"/>
        <w:rPr>
          <w:szCs w:val="24"/>
        </w:rPr>
      </w:pPr>
      <w:r w:rsidRPr="009A5344">
        <w:rPr>
          <w:szCs w:val="24"/>
        </w:rPr>
        <w:t>Commission staff expects to receive all FERC-516 filings via eTariff</w:t>
      </w:r>
      <w:r w:rsidR="00C333CF">
        <w:rPr>
          <w:szCs w:val="24"/>
        </w:rPr>
        <w:t>.</w:t>
      </w:r>
      <w:r w:rsidRPr="009A5344">
        <w:rPr>
          <w:szCs w:val="24"/>
        </w:rPr>
        <w:t xml:space="preserve"> (eTariff is described at</w:t>
      </w:r>
      <w:r w:rsidRPr="009A5344" w:rsidR="002861EE">
        <w:rPr>
          <w:szCs w:val="24"/>
        </w:rPr>
        <w:t xml:space="preserve"> </w:t>
      </w:r>
      <w:hyperlink w:history="1" r:id="rId13">
        <w:r w:rsidRPr="009A5344" w:rsidR="002861EE">
          <w:rPr>
            <w:rStyle w:val="Hyperlink"/>
            <w:szCs w:val="24"/>
          </w:rPr>
          <w:t>https://www.ferc.gov/ferc-online/etariff</w:t>
        </w:r>
      </w:hyperlink>
      <w:r w:rsidRPr="009A5344">
        <w:rPr>
          <w:szCs w:val="24"/>
        </w:rPr>
        <w:t>.)</w:t>
      </w:r>
      <w:r w:rsidRPr="009A5344" w:rsidR="002861EE">
        <w:rPr>
          <w:szCs w:val="24"/>
        </w:rPr>
        <w:t xml:space="preserve"> </w:t>
      </w:r>
      <w:r w:rsidRPr="009A5344">
        <w:rPr>
          <w:szCs w:val="24"/>
        </w:rPr>
        <w:t xml:space="preserve"> In 2010, the Commission fully implemented its eTariff system for the electronic filing of tariffs.</w:t>
      </w:r>
    </w:p>
    <w:p w:rsidRPr="009A5344" w:rsidR="00DD755B" w:rsidRDefault="00DD755B" w14:paraId="21D54D33" w14:textId="77777777">
      <w:pPr>
        <w:spacing w:after="0" w:line="259" w:lineRule="auto"/>
        <w:ind w:left="360" w:firstLine="0"/>
        <w:rPr>
          <w:szCs w:val="24"/>
        </w:rPr>
      </w:pPr>
    </w:p>
    <w:p w:rsidRPr="009A5344" w:rsidR="00DD755B" w:rsidP="008B2C5F" w:rsidRDefault="00383548" w14:paraId="7823335F" w14:textId="67B2DCE0">
      <w:pPr>
        <w:numPr>
          <w:ilvl w:val="0"/>
          <w:numId w:val="2"/>
        </w:numPr>
        <w:spacing w:after="13"/>
        <w:ind w:hanging="360"/>
        <w:rPr>
          <w:b/>
          <w:szCs w:val="24"/>
        </w:rPr>
      </w:pPr>
      <w:r w:rsidRPr="009A5344">
        <w:rPr>
          <w:b/>
          <w:szCs w:val="24"/>
        </w:rPr>
        <w:t>DESCRIBE EFFORTS TO IDENTIFY DUPLICATION AND SHOW SPECIFICALLY WHY ANY SIMILAR INFORMATION ALREADY AVAILABLE CANNOT BE USED OR MODIFIED FOR USE FOR THE PURPOSE(S) DESCRIBED IN INSTRUCTION NO. 2.</w:t>
      </w:r>
    </w:p>
    <w:p w:rsidRPr="009A5344" w:rsidR="00871F95" w:rsidP="00871F95" w:rsidRDefault="00383548" w14:paraId="1F071851" w14:textId="413B125E">
      <w:pPr>
        <w:spacing w:after="0" w:line="240" w:lineRule="auto"/>
        <w:ind w:left="0" w:firstLine="0"/>
        <w:rPr>
          <w:szCs w:val="24"/>
        </w:rPr>
      </w:pPr>
      <w:r w:rsidRPr="009A5344">
        <w:rPr>
          <w:szCs w:val="24"/>
        </w:rPr>
        <w:t>The Commission periodically reviews filing requirements concurrent with OMB review or as the Commission deems necessary to eliminate duplicative filings and to minimize the filing burden.  The Commission is unaware of any other source of this information</w:t>
      </w:r>
      <w:r w:rsidRPr="009A5344" w:rsidR="00CF21FA">
        <w:rPr>
          <w:szCs w:val="24"/>
        </w:rPr>
        <w:t xml:space="preserve"> that </w:t>
      </w:r>
      <w:r w:rsidR="00C333CF">
        <w:rPr>
          <w:szCs w:val="24"/>
        </w:rPr>
        <w:t xml:space="preserve">is </w:t>
      </w:r>
      <w:r w:rsidRPr="009A5344" w:rsidR="00CF21FA">
        <w:rPr>
          <w:szCs w:val="24"/>
        </w:rPr>
        <w:t>readily available. Therefore, no duplicate information is available that would serve as a substitute for this information and for performing oversight and review responsibilities under applicable legislation</w:t>
      </w:r>
      <w:r w:rsidRPr="009A5344" w:rsidR="00684D17">
        <w:rPr>
          <w:szCs w:val="24"/>
        </w:rPr>
        <w:t xml:space="preserve"> specific to Eletric Rate Schedules and Tariff Filings.</w:t>
      </w:r>
    </w:p>
    <w:p w:rsidRPr="009A5344" w:rsidR="00DD755B" w:rsidRDefault="00383548" w14:paraId="7976B9AC" w14:textId="6F7F78F1">
      <w:pPr>
        <w:spacing w:after="0" w:line="240" w:lineRule="auto"/>
        <w:ind w:left="0" w:firstLine="0"/>
        <w:rPr>
          <w:szCs w:val="24"/>
        </w:rPr>
      </w:pPr>
      <w:r w:rsidRPr="009A5344">
        <w:rPr>
          <w:szCs w:val="24"/>
        </w:rPr>
        <w:t xml:space="preserve">  </w:t>
      </w:r>
    </w:p>
    <w:p w:rsidRPr="009A5344" w:rsidR="00DD755B" w:rsidP="008B2C5F" w:rsidRDefault="00383548" w14:paraId="169254C5" w14:textId="3D365A09">
      <w:pPr>
        <w:pStyle w:val="Heading1"/>
        <w:numPr>
          <w:ilvl w:val="0"/>
          <w:numId w:val="2"/>
        </w:numPr>
        <w:ind w:hanging="360"/>
        <w:rPr>
          <w:b w:val="0"/>
          <w:szCs w:val="24"/>
        </w:rPr>
      </w:pPr>
      <w:r w:rsidRPr="009A5344">
        <w:rPr>
          <w:szCs w:val="24"/>
        </w:rPr>
        <w:t>METHODS USED TO MINIMIZE BURDEN IN COLLECTION OF INFORMATION INVOLVING SMALL ENTITIES</w:t>
      </w:r>
      <w:r w:rsidRPr="009A5344">
        <w:rPr>
          <w:b w:val="0"/>
          <w:szCs w:val="24"/>
        </w:rPr>
        <w:t xml:space="preserve"> </w:t>
      </w:r>
    </w:p>
    <w:p w:rsidRPr="009A5344" w:rsidR="008E0E49" w:rsidP="008E0E49" w:rsidRDefault="00B7529D" w14:paraId="49CB7111" w14:textId="77777777">
      <w:pPr>
        <w:spacing w:after="0" w:line="240" w:lineRule="auto"/>
        <w:ind w:left="0" w:firstLine="0"/>
        <w:rPr>
          <w:rFonts w:eastAsiaTheme="minorHAnsi"/>
          <w:color w:val="auto"/>
          <w:szCs w:val="24"/>
        </w:rPr>
      </w:pPr>
      <w:r w:rsidRPr="009A5344">
        <w:rPr>
          <w:szCs w:val="24"/>
        </w:rPr>
        <w:t>There are no special methods used to minimize the burden of the collection of information on small entities.</w:t>
      </w:r>
      <w:r w:rsidRPr="009A5344" w:rsidR="008E0E49">
        <w:rPr>
          <w:szCs w:val="24"/>
        </w:rPr>
        <w:t xml:space="preserve">  According to SBA guidance, the determination of significance of impact “should be seen as relative to the size of the business, the size of the competitor’s business, and the impact the regulation has on larger competitors.”</w:t>
      </w:r>
      <w:r w:rsidRPr="009A5344" w:rsidR="008E0E49">
        <w:rPr>
          <w:b/>
          <w:szCs w:val="24"/>
          <w:vertAlign w:val="superscript"/>
        </w:rPr>
        <w:footnoteReference w:id="18"/>
      </w:r>
      <w:r w:rsidRPr="009A5344" w:rsidR="008E0E49">
        <w:rPr>
          <w:szCs w:val="24"/>
        </w:rPr>
        <w:t xml:space="preserve">  </w:t>
      </w:r>
    </w:p>
    <w:p w:rsidRPr="009A5344" w:rsidR="00B7529D" w:rsidRDefault="00B7529D" w14:paraId="3ED873F5" w14:textId="1CBD7DCF">
      <w:pPr>
        <w:pStyle w:val="FERCparanumber"/>
        <w:numPr>
          <w:ilvl w:val="0"/>
          <w:numId w:val="0"/>
        </w:numPr>
        <w:spacing w:line="240" w:lineRule="auto"/>
        <w:rPr>
          <w:sz w:val="24"/>
          <w:szCs w:val="24"/>
        </w:rPr>
      </w:pPr>
    </w:p>
    <w:p w:rsidRPr="009A5344" w:rsidR="00566E7E" w:rsidP="00B7529D" w:rsidRDefault="00844F83" w14:paraId="780CF4AE" w14:textId="67AA33EE">
      <w:pPr>
        <w:pStyle w:val="FERCparanumber"/>
        <w:numPr>
          <w:ilvl w:val="0"/>
          <w:numId w:val="34"/>
        </w:numPr>
        <w:spacing w:line="240" w:lineRule="auto"/>
        <w:rPr>
          <w:sz w:val="24"/>
          <w:szCs w:val="24"/>
        </w:rPr>
      </w:pPr>
      <w:r w:rsidRPr="009A5344">
        <w:rPr>
          <w:sz w:val="24"/>
          <w:szCs w:val="24"/>
        </w:rPr>
        <w:t xml:space="preserve">In </w:t>
      </w:r>
      <w:r w:rsidRPr="009A5344" w:rsidR="002F47B4">
        <w:rPr>
          <w:sz w:val="24"/>
          <w:szCs w:val="24"/>
        </w:rPr>
        <w:t xml:space="preserve">Docket Nos. </w:t>
      </w:r>
      <w:bookmarkStart w:name="_Hlk72504753" w:id="2"/>
      <w:r w:rsidRPr="009A5344" w:rsidR="002F47B4">
        <w:rPr>
          <w:sz w:val="24"/>
          <w:szCs w:val="24"/>
        </w:rPr>
        <w:t>RM17-8-000, RM11-7-000, RM05-05-020</w:t>
      </w:r>
      <w:bookmarkEnd w:id="2"/>
      <w:r w:rsidRPr="009A5344" w:rsidR="002F47B4">
        <w:rPr>
          <w:sz w:val="24"/>
          <w:szCs w:val="24"/>
        </w:rPr>
        <w:t xml:space="preserve">, and </w:t>
      </w:r>
      <w:r w:rsidRPr="009A5344">
        <w:rPr>
          <w:sz w:val="24"/>
          <w:szCs w:val="24"/>
        </w:rPr>
        <w:t>RM10-17-000, t</w:t>
      </w:r>
      <w:r w:rsidRPr="009A5344" w:rsidR="00566E7E">
        <w:rPr>
          <w:sz w:val="24"/>
          <w:szCs w:val="24"/>
        </w:rPr>
        <w:t>he six RTOs/ISOs (SPP, MISO, PJM, ISO New England, NYISO, and CAISO) each employ</w:t>
      </w:r>
      <w:r w:rsidR="00766820">
        <w:rPr>
          <w:sz w:val="24"/>
          <w:szCs w:val="24"/>
        </w:rPr>
        <w:t>ed</w:t>
      </w:r>
      <w:r w:rsidRPr="009A5344" w:rsidR="00566E7E">
        <w:rPr>
          <w:sz w:val="24"/>
          <w:szCs w:val="24"/>
        </w:rPr>
        <w:t xml:space="preserve"> more than 500 employees and are not considered small</w:t>
      </w:r>
      <w:r w:rsidRPr="009A5344">
        <w:rPr>
          <w:sz w:val="24"/>
          <w:szCs w:val="24"/>
        </w:rPr>
        <w:t xml:space="preserve"> entities.  </w:t>
      </w:r>
    </w:p>
    <w:p w:rsidRPr="009A5344" w:rsidR="00566E7E" w:rsidP="00B7529D" w:rsidRDefault="00566E7E" w14:paraId="45D78C66" w14:textId="1A2ECCAE">
      <w:pPr>
        <w:pStyle w:val="FERCparanumber"/>
        <w:numPr>
          <w:ilvl w:val="0"/>
          <w:numId w:val="34"/>
        </w:numPr>
        <w:spacing w:line="240" w:lineRule="auto"/>
        <w:rPr>
          <w:sz w:val="24"/>
          <w:szCs w:val="24"/>
        </w:rPr>
      </w:pPr>
      <w:r w:rsidRPr="009A5344">
        <w:rPr>
          <w:sz w:val="24"/>
          <w:szCs w:val="24"/>
        </w:rPr>
        <w:t xml:space="preserve">In Docket No. </w:t>
      </w:r>
      <w:bookmarkStart w:name="_Hlk72504769" w:id="3"/>
      <w:r w:rsidRPr="009A5344">
        <w:rPr>
          <w:sz w:val="24"/>
          <w:szCs w:val="24"/>
        </w:rPr>
        <w:t>RM19-5-000</w:t>
      </w:r>
      <w:bookmarkEnd w:id="3"/>
      <w:r w:rsidRPr="009A5344">
        <w:rPr>
          <w:sz w:val="24"/>
          <w:szCs w:val="24"/>
        </w:rPr>
        <w:t>, the Commission estimate</w:t>
      </w:r>
      <w:r w:rsidR="00766820">
        <w:rPr>
          <w:sz w:val="24"/>
          <w:szCs w:val="24"/>
        </w:rPr>
        <w:t>d</w:t>
      </w:r>
      <w:r w:rsidRPr="009A5344">
        <w:rPr>
          <w:sz w:val="24"/>
          <w:szCs w:val="24"/>
        </w:rPr>
        <w:t xml:space="preserve"> that the total number of public utility transmission providers with formula rates affected by </w:t>
      </w:r>
      <w:r w:rsidRPr="009A5344" w:rsidR="00844F83">
        <w:rPr>
          <w:sz w:val="24"/>
          <w:szCs w:val="24"/>
        </w:rPr>
        <w:t>the Fin</w:t>
      </w:r>
      <w:r w:rsidRPr="009A5344" w:rsidR="002F47B4">
        <w:rPr>
          <w:sz w:val="24"/>
          <w:szCs w:val="24"/>
        </w:rPr>
        <w:t>al</w:t>
      </w:r>
      <w:r w:rsidRPr="009A5344" w:rsidR="00844F83">
        <w:rPr>
          <w:sz w:val="24"/>
          <w:szCs w:val="24"/>
        </w:rPr>
        <w:t xml:space="preserve"> Rule</w:t>
      </w:r>
      <w:r w:rsidRPr="009A5344">
        <w:rPr>
          <w:sz w:val="24"/>
          <w:szCs w:val="24"/>
        </w:rPr>
        <w:t xml:space="preserve"> is 106.  Of these, the Commission estimate</w:t>
      </w:r>
      <w:r w:rsidR="00766820">
        <w:rPr>
          <w:sz w:val="24"/>
          <w:szCs w:val="24"/>
        </w:rPr>
        <w:t>d</w:t>
      </w:r>
      <w:r w:rsidRPr="009A5344">
        <w:rPr>
          <w:sz w:val="24"/>
          <w:szCs w:val="24"/>
        </w:rPr>
        <w:t xml:space="preserve"> that approximately 43 percent (approximately 46 entities) are small entities</w:t>
      </w:r>
      <w:r w:rsidRPr="009A5344" w:rsidR="00844F83">
        <w:rPr>
          <w:sz w:val="24"/>
          <w:szCs w:val="24"/>
        </w:rPr>
        <w:t>.</w:t>
      </w:r>
      <w:r w:rsidRPr="009A5344">
        <w:rPr>
          <w:sz w:val="24"/>
          <w:szCs w:val="24"/>
        </w:rPr>
        <w:t xml:space="preserve"> </w:t>
      </w:r>
    </w:p>
    <w:p w:rsidRPr="009A5344" w:rsidR="00566E7E" w:rsidP="00B7529D" w:rsidRDefault="00C333CF" w14:paraId="21DDC15D" w14:textId="0D4B30F4">
      <w:pPr>
        <w:pStyle w:val="FERCparanumber"/>
        <w:numPr>
          <w:ilvl w:val="0"/>
          <w:numId w:val="34"/>
        </w:numPr>
        <w:spacing w:line="240" w:lineRule="auto"/>
        <w:rPr>
          <w:sz w:val="24"/>
          <w:szCs w:val="24"/>
        </w:rPr>
      </w:pPr>
      <w:r>
        <w:rPr>
          <w:sz w:val="24"/>
          <w:szCs w:val="24"/>
        </w:rPr>
        <w:t>For t</w:t>
      </w:r>
      <w:r w:rsidRPr="009A5344" w:rsidR="002F47B4">
        <w:rPr>
          <w:sz w:val="24"/>
          <w:szCs w:val="24"/>
        </w:rPr>
        <w:t xml:space="preserve">he ongoing requirements </w:t>
      </w:r>
      <w:r w:rsidRPr="009A5344" w:rsidR="00844683">
        <w:rPr>
          <w:sz w:val="24"/>
          <w:szCs w:val="24"/>
        </w:rPr>
        <w:t>i</w:t>
      </w:r>
      <w:r w:rsidRPr="009A5344" w:rsidR="002F47B4">
        <w:rPr>
          <w:sz w:val="24"/>
          <w:szCs w:val="24"/>
        </w:rPr>
        <w:t xml:space="preserve">n Docket No. </w:t>
      </w:r>
      <w:bookmarkStart w:name="_Hlk72504784" w:id="4"/>
      <w:r w:rsidRPr="009A5344" w:rsidR="002F47B4">
        <w:rPr>
          <w:sz w:val="24"/>
          <w:szCs w:val="24"/>
        </w:rPr>
        <w:t>RM17-8-000</w:t>
      </w:r>
      <w:bookmarkEnd w:id="4"/>
      <w:r w:rsidRPr="009A5344" w:rsidR="002F47B4">
        <w:rPr>
          <w:sz w:val="24"/>
          <w:szCs w:val="24"/>
        </w:rPr>
        <w:t>, the Commission estimate</w:t>
      </w:r>
      <w:r w:rsidR="00766820">
        <w:rPr>
          <w:sz w:val="24"/>
          <w:szCs w:val="24"/>
        </w:rPr>
        <w:t>d</w:t>
      </w:r>
      <w:r w:rsidRPr="009A5344" w:rsidR="002F47B4">
        <w:rPr>
          <w:sz w:val="24"/>
          <w:szCs w:val="24"/>
        </w:rPr>
        <w:t xml:space="preserve"> that the total number of transmission providers, both public and non-public, affected by the Final Rule is 132.  Of these, the Commission estimates that approximately 43 percent </w:t>
      </w:r>
      <w:r w:rsidRPr="009A5344" w:rsidR="002F47B4">
        <w:rPr>
          <w:sz w:val="24"/>
          <w:szCs w:val="24"/>
        </w:rPr>
        <w:lastRenderedPageBreak/>
        <w:t xml:space="preserve">(approximately 57 entities) are small entities. </w:t>
      </w:r>
      <w:r w:rsidR="00766820">
        <w:rPr>
          <w:sz w:val="24"/>
          <w:szCs w:val="24"/>
        </w:rPr>
        <w:t xml:space="preserve"> </w:t>
      </w:r>
      <w:r w:rsidRPr="009A5344" w:rsidR="002F47B4">
        <w:rPr>
          <w:sz w:val="24"/>
          <w:szCs w:val="24"/>
        </w:rPr>
        <w:t>The Commission makes no specific concession with regard to entity size and requisite reporting requirements.</w:t>
      </w:r>
    </w:p>
    <w:p w:rsidRPr="009A5344" w:rsidR="00122021" w:rsidP="00B7529D" w:rsidRDefault="00122021" w14:paraId="786AF418" w14:textId="77777777">
      <w:pPr>
        <w:pStyle w:val="FERCparanumber"/>
        <w:numPr>
          <w:ilvl w:val="0"/>
          <w:numId w:val="34"/>
        </w:numPr>
        <w:spacing w:line="240" w:lineRule="auto"/>
        <w:rPr>
          <w:sz w:val="24"/>
          <w:szCs w:val="24"/>
        </w:rPr>
      </w:pPr>
      <w:r w:rsidRPr="009A5344">
        <w:rPr>
          <w:sz w:val="24"/>
          <w:szCs w:val="24"/>
        </w:rPr>
        <w:t xml:space="preserve">In Docket No. RM15-2-000, the applicable entities have a size threshold ranging from 250 employees to 750 employees.  For the analysis in the Final Rule, the Commission is using the threshold of 750 employees for all categories.  FERC anticipates that a maximum of 82 percent of the entities potentially affected by this Final Rule are small. </w:t>
      </w:r>
    </w:p>
    <w:p w:rsidRPr="009A5344" w:rsidR="00DD755B" w:rsidP="00CF21FA" w:rsidRDefault="008E0E49" w14:paraId="27206159" w14:textId="2462E7BC">
      <w:pPr>
        <w:pStyle w:val="FERCparanumber"/>
        <w:numPr>
          <w:ilvl w:val="0"/>
          <w:numId w:val="34"/>
        </w:numPr>
        <w:spacing w:line="240" w:lineRule="auto"/>
        <w:rPr>
          <w:sz w:val="24"/>
          <w:szCs w:val="24"/>
        </w:rPr>
      </w:pPr>
      <w:r w:rsidRPr="009A5344">
        <w:rPr>
          <w:sz w:val="24"/>
          <w:szCs w:val="24"/>
        </w:rPr>
        <w:t>In Docket No. RM16-6-000, the Commission estimate</w:t>
      </w:r>
      <w:r w:rsidR="00766820">
        <w:rPr>
          <w:sz w:val="24"/>
          <w:szCs w:val="24"/>
        </w:rPr>
        <w:t>d</w:t>
      </w:r>
      <w:r w:rsidRPr="009A5344">
        <w:rPr>
          <w:sz w:val="24"/>
          <w:szCs w:val="24"/>
        </w:rPr>
        <w:t xml:space="preserve"> that the total number of public utility transmission providers that would have to modif</w:t>
      </w:r>
      <w:r w:rsidR="00766820">
        <w:rPr>
          <w:sz w:val="24"/>
          <w:szCs w:val="24"/>
        </w:rPr>
        <w:t>ied</w:t>
      </w:r>
      <w:r w:rsidRPr="009A5344">
        <w:rPr>
          <w:sz w:val="24"/>
          <w:szCs w:val="24"/>
        </w:rPr>
        <w:t xml:space="preserve"> the LGIAs and SGIAs within </w:t>
      </w:r>
      <w:r w:rsidR="00766820">
        <w:rPr>
          <w:sz w:val="24"/>
          <w:szCs w:val="24"/>
        </w:rPr>
        <w:t>then</w:t>
      </w:r>
      <w:r w:rsidRPr="009A5344">
        <w:rPr>
          <w:sz w:val="24"/>
          <w:szCs w:val="24"/>
        </w:rPr>
        <w:t xml:space="preserve"> effective Open Access Transmission Tariff (OATTs) is 74.   Of these, the Commission estimate</w:t>
      </w:r>
      <w:r w:rsidR="00766820">
        <w:rPr>
          <w:sz w:val="24"/>
          <w:szCs w:val="24"/>
        </w:rPr>
        <w:t>d</w:t>
      </w:r>
      <w:r w:rsidRPr="009A5344">
        <w:rPr>
          <w:sz w:val="24"/>
          <w:szCs w:val="24"/>
        </w:rPr>
        <w:t xml:space="preserve"> that approximately 27.5 percent are small entities.</w:t>
      </w:r>
      <w:r w:rsidR="00766820">
        <w:rPr>
          <w:sz w:val="24"/>
          <w:szCs w:val="24"/>
        </w:rPr>
        <w:t xml:space="preserve"> </w:t>
      </w:r>
      <w:r w:rsidRPr="009A5344">
        <w:rPr>
          <w:sz w:val="24"/>
          <w:szCs w:val="24"/>
        </w:rPr>
        <w:t xml:space="preserve"> The Commission estimate</w:t>
      </w:r>
      <w:r w:rsidR="00766820">
        <w:rPr>
          <w:sz w:val="24"/>
          <w:szCs w:val="24"/>
        </w:rPr>
        <w:t>d</w:t>
      </w:r>
      <w:r w:rsidRPr="009A5344">
        <w:rPr>
          <w:sz w:val="24"/>
          <w:szCs w:val="24"/>
        </w:rPr>
        <w:t xml:space="preserve"> the average cost to each of these entities would be minimal.</w:t>
      </w:r>
    </w:p>
    <w:p w:rsidRPr="009A5344" w:rsidR="00CF21FA" w:rsidP="00CF21FA" w:rsidRDefault="00CF21FA" w14:paraId="4933C379" w14:textId="7D85CF1A">
      <w:pPr>
        <w:pStyle w:val="FERCparanumber"/>
        <w:numPr>
          <w:ilvl w:val="0"/>
          <w:numId w:val="34"/>
        </w:numPr>
        <w:spacing w:line="240" w:lineRule="auto"/>
        <w:rPr>
          <w:sz w:val="24"/>
          <w:szCs w:val="24"/>
        </w:rPr>
      </w:pPr>
      <w:r w:rsidRPr="009A5344">
        <w:rPr>
          <w:sz w:val="24"/>
          <w:szCs w:val="24"/>
        </w:rPr>
        <w:t>In Docket No. RM05-05-022, the Commission estimates that the total number of public utilities is 132.  Of the 132, 26 are small public utilities applicable under the Final Rule, or 19.5% of the 132 affected entities.  The Commission consider</w:t>
      </w:r>
      <w:r w:rsidR="00D22142">
        <w:rPr>
          <w:sz w:val="24"/>
          <w:szCs w:val="24"/>
        </w:rPr>
        <w:t>ed</w:t>
      </w:r>
      <w:r w:rsidRPr="009A5344">
        <w:rPr>
          <w:sz w:val="24"/>
          <w:szCs w:val="24"/>
        </w:rPr>
        <w:t xml:space="preserve"> waivers for small entities, which serve</w:t>
      </w:r>
      <w:r w:rsidR="00D22142">
        <w:rPr>
          <w:sz w:val="24"/>
          <w:szCs w:val="24"/>
        </w:rPr>
        <w:t>d</w:t>
      </w:r>
      <w:r w:rsidRPr="009A5344">
        <w:rPr>
          <w:sz w:val="24"/>
          <w:szCs w:val="24"/>
        </w:rPr>
        <w:t xml:space="preserve"> as an option for small entities to reduce their burden.  The Commission grants these waivers on a case-by-case basis.</w:t>
      </w:r>
    </w:p>
    <w:p w:rsidR="00CF21FA" w:rsidP="00CF21FA" w:rsidRDefault="00E744C1" w14:paraId="03A9F3F1" w14:textId="3505ABCE">
      <w:pPr>
        <w:pStyle w:val="FERCparanumber"/>
        <w:numPr>
          <w:ilvl w:val="0"/>
          <w:numId w:val="34"/>
        </w:numPr>
        <w:spacing w:line="240" w:lineRule="auto"/>
        <w:rPr>
          <w:sz w:val="24"/>
          <w:szCs w:val="24"/>
        </w:rPr>
      </w:pPr>
      <w:r w:rsidRPr="009A5344">
        <w:rPr>
          <w:sz w:val="24"/>
          <w:szCs w:val="24"/>
        </w:rPr>
        <w:t>In Docket No. RM10-17-000, the Commission estimate</w:t>
      </w:r>
      <w:r w:rsidR="00D22142">
        <w:rPr>
          <w:sz w:val="24"/>
          <w:szCs w:val="24"/>
        </w:rPr>
        <w:t>d</w:t>
      </w:r>
      <w:r w:rsidRPr="009A5344">
        <w:rPr>
          <w:sz w:val="24"/>
          <w:szCs w:val="24"/>
        </w:rPr>
        <w:t xml:space="preserve"> that all of the Variable Energy Resources (VERs) and ten of the transmission providers are small entities.  The Commission accept</w:t>
      </w:r>
      <w:r w:rsidR="00D22142">
        <w:rPr>
          <w:sz w:val="24"/>
          <w:szCs w:val="24"/>
        </w:rPr>
        <w:t>ed</w:t>
      </w:r>
      <w:r w:rsidRPr="009A5344">
        <w:rPr>
          <w:sz w:val="24"/>
          <w:szCs w:val="24"/>
        </w:rPr>
        <w:t xml:space="preserve"> waivers from transmission providers for the requirements in the final rule.  The criteria for waiver applied under this rulemaking for small entities </w:t>
      </w:r>
      <w:r w:rsidR="00D22142">
        <w:rPr>
          <w:sz w:val="24"/>
          <w:szCs w:val="24"/>
        </w:rPr>
        <w:t xml:space="preserve">was </w:t>
      </w:r>
      <w:r w:rsidRPr="009A5344">
        <w:rPr>
          <w:sz w:val="24"/>
          <w:szCs w:val="24"/>
        </w:rPr>
        <w:t xml:space="preserve">unchanged from that used to evaluate requests for waiver under Order Nos. 888, 889, and 890.  The Commission does not contemplate any methods to reduce the burden on the VERs.  However, the costs incurred by VERs due to </w:t>
      </w:r>
      <w:r w:rsidRPr="009A5344" w:rsidR="000079E5">
        <w:rPr>
          <w:sz w:val="24"/>
          <w:szCs w:val="24"/>
        </w:rPr>
        <w:t>the Final Rule</w:t>
      </w:r>
      <w:r w:rsidRPr="009A5344">
        <w:rPr>
          <w:sz w:val="24"/>
          <w:szCs w:val="24"/>
        </w:rPr>
        <w:t xml:space="preserve"> may be offset by an expected reduction in energy imbalance penalties that will be assessed to VERs in the future due to improved forecasting and reduced uncertainty across 15-minute scheduling periods compared to hour-long scheduling periods.</w:t>
      </w:r>
    </w:p>
    <w:p w:rsidRPr="009A5344" w:rsidR="00A26BF8" w:rsidP="00A26BF8" w:rsidRDefault="00A26BF8" w14:paraId="42FE44F0" w14:textId="77777777">
      <w:pPr>
        <w:pStyle w:val="FERCparanumber"/>
        <w:numPr>
          <w:ilvl w:val="0"/>
          <w:numId w:val="0"/>
        </w:numPr>
        <w:spacing w:line="240" w:lineRule="auto"/>
        <w:ind w:left="720"/>
        <w:rPr>
          <w:sz w:val="24"/>
          <w:szCs w:val="24"/>
        </w:rPr>
      </w:pPr>
    </w:p>
    <w:p w:rsidRPr="009A5344" w:rsidR="00DD755B" w:rsidP="008B2C5F" w:rsidRDefault="00383548" w14:paraId="52648953" w14:textId="3A79114A">
      <w:pPr>
        <w:pStyle w:val="Heading1"/>
        <w:ind w:left="360" w:hanging="360"/>
        <w:rPr>
          <w:szCs w:val="24"/>
        </w:rPr>
      </w:pPr>
      <w:r w:rsidRPr="009A5344">
        <w:rPr>
          <w:bCs/>
          <w:szCs w:val="24"/>
        </w:rPr>
        <w:t>6.</w:t>
      </w:r>
      <w:r w:rsidRPr="009A5344">
        <w:rPr>
          <w:rFonts w:eastAsia="Arial"/>
          <w:b w:val="0"/>
          <w:szCs w:val="24"/>
        </w:rPr>
        <w:t xml:space="preserve"> </w:t>
      </w:r>
      <w:r w:rsidRPr="009A5344">
        <w:rPr>
          <w:szCs w:val="24"/>
        </w:rPr>
        <w:t>CONSEQUENCE TO FEDERAL PROGRAM IF COLLECTION WERE CONDUCTED LESS FREQUENTLY</w:t>
      </w:r>
      <w:r w:rsidRPr="009A5344">
        <w:rPr>
          <w:b w:val="0"/>
          <w:szCs w:val="24"/>
        </w:rPr>
        <w:t xml:space="preserve"> </w:t>
      </w:r>
    </w:p>
    <w:p w:rsidRPr="009A5344" w:rsidR="00DD755B" w:rsidRDefault="00383548" w14:paraId="75F5131C" w14:textId="34E046EC">
      <w:pPr>
        <w:spacing w:after="0" w:line="259" w:lineRule="auto"/>
        <w:ind w:left="0" w:firstLine="0"/>
        <w:rPr>
          <w:szCs w:val="24"/>
        </w:rPr>
      </w:pPr>
      <w:r w:rsidRPr="009A5344">
        <w:rPr>
          <w:szCs w:val="24"/>
        </w:rPr>
        <w:t xml:space="preserve">To conduct these filings less frequently (i.e., not conducting them at all), the Commission would be unable to fulfill its statutory obligation to ensure that rates are just and reasonable and not unduly discriminatory or preferential.  Further, without collecting this information, the Commission would not be in compliance with the Congressional mandates of FPA section 219, which requires the Commission to establish incentive-based rate treatments for the transmission of electric energy in interstate commerce by public utilities for the purpose of benefitting consumers by ensuring reliability and reducing the cost of delivered power by reducing transmission congestion. The information will help to ensure just and reasonable incentive-based rates by enabling the Commission to determine the appropriate incentives </w:t>
      </w:r>
      <w:r w:rsidRPr="009A5344" w:rsidR="0034451E">
        <w:rPr>
          <w:szCs w:val="24"/>
        </w:rPr>
        <w:t xml:space="preserve">have been received for the proper </w:t>
      </w:r>
      <w:r w:rsidRPr="009A5344" w:rsidR="007A5AF2">
        <w:rPr>
          <w:szCs w:val="24"/>
        </w:rPr>
        <w:t>duration.</w:t>
      </w:r>
    </w:p>
    <w:p w:rsidRPr="009A5344" w:rsidR="000079E5" w:rsidRDefault="000079E5" w14:paraId="1B0D8B5A" w14:textId="68130D6E">
      <w:pPr>
        <w:spacing w:after="0" w:line="259" w:lineRule="auto"/>
        <w:ind w:left="0" w:firstLine="0"/>
        <w:rPr>
          <w:szCs w:val="24"/>
        </w:rPr>
      </w:pPr>
    </w:p>
    <w:p w:rsidRPr="009A5344" w:rsidR="007450DD" w:rsidRDefault="000079E5" w14:paraId="2AA2114B" w14:textId="0936AED9">
      <w:pPr>
        <w:spacing w:after="0" w:line="259" w:lineRule="auto"/>
        <w:ind w:left="0" w:firstLine="0"/>
        <w:rPr>
          <w:szCs w:val="24"/>
        </w:rPr>
      </w:pPr>
      <w:r w:rsidRPr="009A5344">
        <w:rPr>
          <w:szCs w:val="24"/>
        </w:rPr>
        <w:t>In reference to the NAESB V</w:t>
      </w:r>
      <w:r w:rsidR="00A90896">
        <w:rPr>
          <w:szCs w:val="24"/>
        </w:rPr>
        <w:t>e</w:t>
      </w:r>
      <w:r w:rsidRPr="009A5344">
        <w:rPr>
          <w:szCs w:val="24"/>
        </w:rPr>
        <w:t xml:space="preserve">rsion 003 standards, the Commission promotes an open transmission system through its policies and regulations.  The NAESB WEQ Version 003 standards were developed and vetted through an industry consensus process.  If the information collection components of the standards were conducted less frequently, then the standards would not fully achieve their purpose of promoting efficiency in the wholesale electric industry.  </w:t>
      </w:r>
    </w:p>
    <w:p w:rsidRPr="009A5344" w:rsidR="007450DD" w:rsidRDefault="007450DD" w14:paraId="5406FD2C" w14:textId="77777777">
      <w:pPr>
        <w:spacing w:after="0" w:line="259" w:lineRule="auto"/>
        <w:ind w:left="0" w:firstLine="0"/>
        <w:rPr>
          <w:szCs w:val="24"/>
        </w:rPr>
      </w:pPr>
    </w:p>
    <w:p w:rsidRPr="009A5344" w:rsidR="000079E5" w:rsidRDefault="000079E5" w14:paraId="3DF722BB" w14:textId="267E3D6B">
      <w:pPr>
        <w:spacing w:after="0" w:line="259" w:lineRule="auto"/>
        <w:ind w:left="0" w:firstLine="0"/>
        <w:rPr>
          <w:szCs w:val="24"/>
        </w:rPr>
      </w:pPr>
      <w:r w:rsidRPr="009A5344">
        <w:rPr>
          <w:szCs w:val="24"/>
        </w:rPr>
        <w:t xml:space="preserve">Without tariffs, FERC and the public would not be able to properly evaluate rates.    </w:t>
      </w:r>
    </w:p>
    <w:p w:rsidRPr="009A5344" w:rsidR="00DD755B" w:rsidRDefault="00DD755B" w14:paraId="48260E36" w14:textId="77777777">
      <w:pPr>
        <w:spacing w:after="0" w:line="259" w:lineRule="auto"/>
        <w:ind w:left="360" w:firstLine="0"/>
        <w:rPr>
          <w:szCs w:val="24"/>
        </w:rPr>
      </w:pPr>
    </w:p>
    <w:p w:rsidRPr="009A5344" w:rsidR="00DD755B" w:rsidP="008B2C5F" w:rsidRDefault="00383548" w14:paraId="3C6F33EB" w14:textId="4336577F">
      <w:pPr>
        <w:spacing w:after="13"/>
        <w:ind w:left="360" w:hanging="360"/>
        <w:rPr>
          <w:szCs w:val="24"/>
        </w:rPr>
      </w:pPr>
      <w:r w:rsidRPr="009A5344">
        <w:rPr>
          <w:b/>
          <w:bCs/>
          <w:szCs w:val="24"/>
        </w:rPr>
        <w:t>7.</w:t>
      </w:r>
      <w:r w:rsidRPr="009A5344">
        <w:rPr>
          <w:rFonts w:eastAsia="Arial"/>
          <w:szCs w:val="24"/>
        </w:rPr>
        <w:t xml:space="preserve"> </w:t>
      </w:r>
      <w:r w:rsidRPr="009A5344">
        <w:rPr>
          <w:b/>
          <w:szCs w:val="24"/>
        </w:rPr>
        <w:t>EXPLAIN ANY SPECIAL CIRCUMSTANCES RELATING TO THE INFORMATION COLLECTION</w:t>
      </w:r>
      <w:r w:rsidRPr="009A5344">
        <w:rPr>
          <w:szCs w:val="24"/>
        </w:rPr>
        <w:t xml:space="preserve"> </w:t>
      </w:r>
    </w:p>
    <w:p w:rsidRPr="009A5344" w:rsidR="00DD755B" w:rsidRDefault="00383548" w14:paraId="1127A134" w14:textId="0596C01A">
      <w:pPr>
        <w:ind w:left="0" w:firstLine="0"/>
        <w:rPr>
          <w:szCs w:val="24"/>
        </w:rPr>
      </w:pPr>
      <w:r w:rsidRPr="009A5344">
        <w:rPr>
          <w:szCs w:val="24"/>
        </w:rPr>
        <w:t>FERC-</w:t>
      </w:r>
      <w:r w:rsidRPr="009A5344" w:rsidR="007A5AF2">
        <w:rPr>
          <w:szCs w:val="24"/>
        </w:rPr>
        <w:t>516 has</w:t>
      </w:r>
      <w:r w:rsidRPr="009A5344">
        <w:rPr>
          <w:szCs w:val="24"/>
        </w:rPr>
        <w:t xml:space="preserve"> no special circumstances.   </w:t>
      </w:r>
    </w:p>
    <w:p w:rsidRPr="009A5344" w:rsidR="00DD755B" w:rsidRDefault="00383548" w14:paraId="386011C5" w14:textId="77777777">
      <w:pPr>
        <w:spacing w:after="0" w:line="259" w:lineRule="auto"/>
        <w:ind w:left="360" w:firstLine="0"/>
        <w:rPr>
          <w:szCs w:val="24"/>
        </w:rPr>
      </w:pPr>
      <w:r w:rsidRPr="009A5344">
        <w:rPr>
          <w:szCs w:val="24"/>
        </w:rPr>
        <w:t xml:space="preserve"> </w:t>
      </w:r>
    </w:p>
    <w:p w:rsidRPr="009A5344" w:rsidR="00DD755B" w:rsidRDefault="00383548" w14:paraId="58969027" w14:textId="77777777">
      <w:pPr>
        <w:pStyle w:val="Heading1"/>
        <w:ind w:left="355" w:hanging="355"/>
        <w:rPr>
          <w:szCs w:val="24"/>
        </w:rPr>
      </w:pPr>
      <w:r w:rsidRPr="009A5344">
        <w:rPr>
          <w:bCs/>
          <w:szCs w:val="24"/>
        </w:rPr>
        <w:t>8.</w:t>
      </w:r>
      <w:r w:rsidRPr="009A5344">
        <w:rPr>
          <w:rFonts w:eastAsia="Arial"/>
          <w:b w:val="0"/>
          <w:szCs w:val="24"/>
        </w:rPr>
        <w:t xml:space="preserve"> </w:t>
      </w:r>
      <w:r w:rsidRPr="009A5344">
        <w:rPr>
          <w:szCs w:val="24"/>
        </w:rPr>
        <w:t xml:space="preserve">DESCRIBE EFFORTS TO CONSULT OUTSIDE THE AGENCY: SUMMARIZE </w:t>
      </w:r>
    </w:p>
    <w:p w:rsidRPr="009A5344" w:rsidR="00DD755B" w:rsidP="008B2C5F" w:rsidRDefault="00383548" w14:paraId="5D0A4110" w14:textId="58F5FFA2">
      <w:pPr>
        <w:spacing w:after="0" w:line="238" w:lineRule="auto"/>
        <w:ind w:left="0" w:right="54" w:firstLine="0"/>
        <w:jc w:val="right"/>
        <w:rPr>
          <w:szCs w:val="24"/>
        </w:rPr>
      </w:pPr>
      <w:r w:rsidRPr="009A5344">
        <w:rPr>
          <w:b/>
          <w:szCs w:val="24"/>
        </w:rPr>
        <w:t>PUBLIC COMMENTS AND THE AGENCY</w:t>
      </w:r>
      <w:r w:rsidR="00665736">
        <w:rPr>
          <w:b/>
          <w:szCs w:val="24"/>
        </w:rPr>
        <w:t>’</w:t>
      </w:r>
      <w:r w:rsidRPr="009A5344">
        <w:rPr>
          <w:b/>
          <w:szCs w:val="24"/>
        </w:rPr>
        <w:t>S RESPONSE TO THESE COMMENTS</w:t>
      </w:r>
      <w:r w:rsidRPr="009A5344">
        <w:rPr>
          <w:szCs w:val="24"/>
        </w:rPr>
        <w:t xml:space="preserve"> </w:t>
      </w:r>
    </w:p>
    <w:p w:rsidRPr="009A5344" w:rsidR="0090586F" w:rsidP="0090586F" w:rsidRDefault="0090586F" w14:paraId="7F685792" w14:textId="636116FF">
      <w:pPr>
        <w:spacing w:after="0" w:line="259" w:lineRule="auto"/>
        <w:ind w:left="0" w:firstLine="0"/>
        <w:rPr>
          <w:szCs w:val="24"/>
        </w:rPr>
      </w:pPr>
      <w:r w:rsidRPr="009A5344">
        <w:rPr>
          <w:szCs w:val="24"/>
        </w:rPr>
        <w:t>In accordance with OMB requirements, the Commission published a 60-day notice (86 FR 22402) and a 30-day notice</w:t>
      </w:r>
      <w:r w:rsidR="00A26BF8">
        <w:rPr>
          <w:szCs w:val="24"/>
        </w:rPr>
        <w:t xml:space="preserve"> (</w:t>
      </w:r>
      <w:r w:rsidRPr="00A26BF8" w:rsidR="00A26BF8">
        <w:rPr>
          <w:szCs w:val="24"/>
        </w:rPr>
        <w:t>86 FR 35786</w:t>
      </w:r>
      <w:r w:rsidR="00A26BF8">
        <w:rPr>
          <w:szCs w:val="24"/>
        </w:rPr>
        <w:t xml:space="preserve">) </w:t>
      </w:r>
      <w:r w:rsidRPr="009A5344">
        <w:rPr>
          <w:szCs w:val="24"/>
        </w:rPr>
        <w:t xml:space="preserve">to the public regarding this information collection on 4/28/2021and </w:t>
      </w:r>
      <w:r w:rsidR="00A26BF8">
        <w:rPr>
          <w:szCs w:val="24"/>
        </w:rPr>
        <w:t xml:space="preserve">7/7/2021 </w:t>
      </w:r>
      <w:r w:rsidRPr="009A5344">
        <w:rPr>
          <w:szCs w:val="24"/>
        </w:rPr>
        <w:t xml:space="preserve">respectively.  Within the public notices, the Commission noted that it would be requesting a three-year extension of the public reporting burden.  </w:t>
      </w:r>
    </w:p>
    <w:p w:rsidRPr="009A5344" w:rsidR="0090586F" w:rsidP="0090586F" w:rsidRDefault="0090586F" w14:paraId="535DE067" w14:textId="77777777">
      <w:pPr>
        <w:spacing w:after="0" w:line="259" w:lineRule="auto"/>
        <w:ind w:left="0" w:firstLine="0"/>
        <w:rPr>
          <w:szCs w:val="24"/>
        </w:rPr>
      </w:pPr>
    </w:p>
    <w:p w:rsidRPr="009A5344" w:rsidR="00DD755B" w:rsidP="0090586F" w:rsidRDefault="0090586F" w14:paraId="5224D80E" w14:textId="5F2BC6A3">
      <w:pPr>
        <w:spacing w:after="0" w:line="259" w:lineRule="auto"/>
        <w:ind w:left="0" w:firstLine="0"/>
        <w:rPr>
          <w:szCs w:val="24"/>
        </w:rPr>
      </w:pPr>
      <w:r w:rsidRPr="009A5344">
        <w:rPr>
          <w:szCs w:val="24"/>
        </w:rPr>
        <w:t xml:space="preserve">The Commission </w:t>
      </w:r>
      <w:r w:rsidRPr="00A26BF8">
        <w:rPr>
          <w:szCs w:val="24"/>
        </w:rPr>
        <w:t>received no comments</w:t>
      </w:r>
      <w:r w:rsidRPr="009A5344">
        <w:rPr>
          <w:szCs w:val="24"/>
        </w:rPr>
        <w:t xml:space="preserve"> in response to</w:t>
      </w:r>
      <w:r w:rsidR="00A90896">
        <w:rPr>
          <w:szCs w:val="24"/>
        </w:rPr>
        <w:t xml:space="preserve"> the 60-day notice.  </w:t>
      </w:r>
      <w:r w:rsidRPr="009A5344">
        <w:rPr>
          <w:szCs w:val="24"/>
        </w:rPr>
        <w:t xml:space="preserve"> </w:t>
      </w:r>
    </w:p>
    <w:p w:rsidRPr="009A5344" w:rsidR="0090586F" w:rsidP="0090586F" w:rsidRDefault="0090586F" w14:paraId="0ABDF55A" w14:textId="77777777">
      <w:pPr>
        <w:spacing w:after="0" w:line="259" w:lineRule="auto"/>
        <w:ind w:left="0" w:firstLine="0"/>
        <w:rPr>
          <w:szCs w:val="24"/>
        </w:rPr>
      </w:pPr>
    </w:p>
    <w:p w:rsidRPr="009A5344" w:rsidR="00DD755B" w:rsidP="008B2C5F" w:rsidRDefault="00383548" w14:paraId="00B3A600" w14:textId="20810589">
      <w:pPr>
        <w:spacing w:after="13"/>
        <w:ind w:left="0" w:firstLine="0"/>
        <w:rPr>
          <w:szCs w:val="24"/>
        </w:rPr>
      </w:pPr>
      <w:r w:rsidRPr="009A5344">
        <w:rPr>
          <w:b/>
          <w:bCs/>
          <w:szCs w:val="24"/>
        </w:rPr>
        <w:t>9</w:t>
      </w:r>
      <w:r w:rsidRPr="009A5344">
        <w:rPr>
          <w:szCs w:val="24"/>
        </w:rPr>
        <w:t>.</w:t>
      </w:r>
      <w:r w:rsidRPr="009A5344">
        <w:rPr>
          <w:rFonts w:eastAsia="Arial"/>
          <w:szCs w:val="24"/>
        </w:rPr>
        <w:t xml:space="preserve"> </w:t>
      </w:r>
      <w:r w:rsidRPr="009A5344">
        <w:rPr>
          <w:b/>
          <w:szCs w:val="24"/>
        </w:rPr>
        <w:t>EXPLAIN ANY PAYMENT OR GIFTS TO RESPONDENTS</w:t>
      </w:r>
      <w:r w:rsidRPr="009A5344">
        <w:rPr>
          <w:szCs w:val="24"/>
        </w:rPr>
        <w:t xml:space="preserve"> </w:t>
      </w:r>
      <w:r w:rsidRPr="009A5344">
        <w:rPr>
          <w:b/>
          <w:szCs w:val="24"/>
        </w:rPr>
        <w:t xml:space="preserve"> </w:t>
      </w:r>
    </w:p>
    <w:p w:rsidRPr="009A5344" w:rsidR="00DD755B" w:rsidRDefault="002861EE" w14:paraId="06F3F9FD" w14:textId="6F6980E6">
      <w:pPr>
        <w:ind w:left="0" w:firstLine="0"/>
        <w:rPr>
          <w:szCs w:val="24"/>
        </w:rPr>
      </w:pPr>
      <w:r w:rsidRPr="009A5344">
        <w:rPr>
          <w:szCs w:val="24"/>
        </w:rPr>
        <w:t>The Commission makes n</w:t>
      </w:r>
      <w:r w:rsidRPr="009A5344" w:rsidR="00383548">
        <w:rPr>
          <w:szCs w:val="24"/>
        </w:rPr>
        <w:t>o payments or gifts to respondents</w:t>
      </w:r>
      <w:r w:rsidRPr="009A5344">
        <w:rPr>
          <w:szCs w:val="24"/>
        </w:rPr>
        <w:t xml:space="preserve"> as part of this collection</w:t>
      </w:r>
      <w:r w:rsidRPr="009A5344" w:rsidR="00383548">
        <w:rPr>
          <w:szCs w:val="24"/>
        </w:rPr>
        <w:t xml:space="preserve">. </w:t>
      </w:r>
    </w:p>
    <w:p w:rsidRPr="009A5344" w:rsidR="00DD755B" w:rsidRDefault="00383548" w14:paraId="58CA03ED" w14:textId="77777777">
      <w:pPr>
        <w:spacing w:after="0" w:line="259" w:lineRule="auto"/>
        <w:ind w:left="360" w:firstLine="0"/>
        <w:rPr>
          <w:szCs w:val="24"/>
        </w:rPr>
      </w:pPr>
      <w:r w:rsidRPr="009A5344">
        <w:rPr>
          <w:szCs w:val="24"/>
        </w:rPr>
        <w:t xml:space="preserve"> </w:t>
      </w:r>
    </w:p>
    <w:p w:rsidRPr="009A5344" w:rsidR="00DD755B" w:rsidP="008B2C5F" w:rsidRDefault="00383548" w14:paraId="41907AE4" w14:textId="1AB2E831">
      <w:pPr>
        <w:pStyle w:val="Heading1"/>
        <w:ind w:left="0" w:firstLine="0"/>
        <w:rPr>
          <w:szCs w:val="24"/>
        </w:rPr>
      </w:pPr>
      <w:r w:rsidRPr="009A5344">
        <w:rPr>
          <w:bCs/>
          <w:szCs w:val="24"/>
        </w:rPr>
        <w:t>10.</w:t>
      </w:r>
      <w:r w:rsidRPr="009A5344">
        <w:rPr>
          <w:rFonts w:eastAsia="Arial"/>
          <w:b w:val="0"/>
          <w:szCs w:val="24"/>
        </w:rPr>
        <w:t xml:space="preserve"> </w:t>
      </w:r>
      <w:r w:rsidRPr="009A5344">
        <w:rPr>
          <w:szCs w:val="24"/>
        </w:rPr>
        <w:t>DESCRIBE ANY ASSURANCE OF CONFIDENTIALITY PROVIDED TO RESPONDENTS</w:t>
      </w:r>
      <w:r w:rsidRPr="009A5344">
        <w:rPr>
          <w:b w:val="0"/>
          <w:szCs w:val="24"/>
        </w:rPr>
        <w:t xml:space="preserve"> </w:t>
      </w:r>
      <w:r w:rsidRPr="009A5344">
        <w:rPr>
          <w:szCs w:val="24"/>
        </w:rPr>
        <w:t xml:space="preserve"> </w:t>
      </w:r>
    </w:p>
    <w:p w:rsidRPr="009A5344" w:rsidR="00DD755B" w:rsidRDefault="00383548" w14:paraId="5EC7668D" w14:textId="2B2B6FE1">
      <w:pPr>
        <w:ind w:left="0" w:firstLine="0"/>
        <w:rPr>
          <w:szCs w:val="24"/>
        </w:rPr>
      </w:pPr>
      <w:r w:rsidRPr="009A5344">
        <w:rPr>
          <w:szCs w:val="24"/>
        </w:rPr>
        <w:t xml:space="preserve">In general, for all submittals to the Commission, filers may submit specific requests for confidential treatment to the extent permitted by law, as set forth in 18 CFR section 388.112. </w:t>
      </w:r>
    </w:p>
    <w:p w:rsidRPr="009A5344" w:rsidR="00DD755B" w:rsidRDefault="00383548" w14:paraId="22B61461" w14:textId="77777777">
      <w:pPr>
        <w:spacing w:after="0" w:line="259" w:lineRule="auto"/>
        <w:ind w:left="1080" w:firstLine="0"/>
        <w:rPr>
          <w:szCs w:val="24"/>
        </w:rPr>
      </w:pPr>
      <w:r w:rsidRPr="009A5344">
        <w:rPr>
          <w:szCs w:val="24"/>
        </w:rPr>
        <w:t xml:space="preserve"> </w:t>
      </w:r>
    </w:p>
    <w:p w:rsidRPr="009A5344" w:rsidR="00DD755B" w:rsidP="008B2C5F" w:rsidRDefault="00383548" w14:paraId="19EAEFEE" w14:textId="7B4FE040">
      <w:pPr>
        <w:spacing w:after="13"/>
        <w:ind w:left="360" w:hanging="360"/>
        <w:rPr>
          <w:szCs w:val="24"/>
        </w:rPr>
      </w:pPr>
      <w:r w:rsidRPr="009A5344">
        <w:rPr>
          <w:b/>
          <w:bCs/>
          <w:szCs w:val="24"/>
        </w:rPr>
        <w:t>11</w:t>
      </w:r>
      <w:r w:rsidRPr="009A5344">
        <w:rPr>
          <w:szCs w:val="24"/>
        </w:rPr>
        <w:t>.</w:t>
      </w:r>
      <w:r w:rsidRPr="009A5344">
        <w:rPr>
          <w:rFonts w:eastAsia="Arial"/>
          <w:szCs w:val="24"/>
        </w:rPr>
        <w:t xml:space="preserve"> </w:t>
      </w:r>
      <w:r w:rsidRPr="009A5344">
        <w:rPr>
          <w:b/>
          <w:szCs w:val="24"/>
        </w:rPr>
        <w:t>PROVIDE ADDITIONAL JUSTIFICATION FOR ANY QUESTIONS OF A SENSITIVE NATURE, SUCH AS SEXUAL BEHAVIOR AND ATTITUDES, RELIGIOUS BELIEFS, AND OTHER MATTERS THAT ARE COMMONLY CONSIDERED PRIVATE</w:t>
      </w:r>
      <w:r w:rsidRPr="009A5344">
        <w:rPr>
          <w:szCs w:val="24"/>
        </w:rPr>
        <w:t xml:space="preserve"> </w:t>
      </w:r>
    </w:p>
    <w:p w:rsidRPr="009A5344" w:rsidR="00DD755B" w:rsidRDefault="00383548" w14:paraId="65033787" w14:textId="29C9B7F8">
      <w:pPr>
        <w:spacing w:after="197"/>
        <w:ind w:left="0" w:firstLine="0"/>
        <w:rPr>
          <w:szCs w:val="24"/>
        </w:rPr>
      </w:pPr>
      <w:r w:rsidRPr="009A5344">
        <w:rPr>
          <w:szCs w:val="24"/>
        </w:rPr>
        <w:t>The collection</w:t>
      </w:r>
      <w:r w:rsidRPr="009A5344" w:rsidR="005F5745">
        <w:rPr>
          <w:szCs w:val="24"/>
        </w:rPr>
        <w:t xml:space="preserve"> </w:t>
      </w:r>
      <w:r w:rsidRPr="009A5344">
        <w:rPr>
          <w:szCs w:val="24"/>
        </w:rPr>
        <w:t>do</w:t>
      </w:r>
      <w:r w:rsidRPr="009A5344" w:rsidR="005F5745">
        <w:rPr>
          <w:szCs w:val="24"/>
        </w:rPr>
        <w:t>es</w:t>
      </w:r>
      <w:r w:rsidRPr="009A5344">
        <w:rPr>
          <w:szCs w:val="24"/>
        </w:rPr>
        <w:t xml:space="preserve"> not contain any questions of a sensitive nature. </w:t>
      </w:r>
    </w:p>
    <w:p w:rsidRPr="009A5344" w:rsidR="00DD755B" w:rsidP="008B2C5F" w:rsidRDefault="00383548" w14:paraId="1BBB8FB1" w14:textId="207A2B01">
      <w:pPr>
        <w:pStyle w:val="Heading1"/>
        <w:ind w:left="355" w:hanging="355"/>
        <w:rPr>
          <w:szCs w:val="24"/>
        </w:rPr>
      </w:pPr>
      <w:r w:rsidRPr="009A5344">
        <w:rPr>
          <w:bCs/>
          <w:szCs w:val="24"/>
        </w:rPr>
        <w:t>12</w:t>
      </w:r>
      <w:r w:rsidRPr="009A5344">
        <w:rPr>
          <w:b w:val="0"/>
          <w:szCs w:val="24"/>
        </w:rPr>
        <w:t>.</w:t>
      </w:r>
      <w:r w:rsidRPr="009A5344">
        <w:rPr>
          <w:rFonts w:eastAsia="Arial"/>
          <w:b w:val="0"/>
          <w:szCs w:val="24"/>
        </w:rPr>
        <w:t xml:space="preserve"> </w:t>
      </w:r>
      <w:r w:rsidRPr="009A5344">
        <w:rPr>
          <w:szCs w:val="24"/>
        </w:rPr>
        <w:t>ESTIMATED BURDEN OF COLLECTION OF INFORMATION</w:t>
      </w:r>
      <w:r w:rsidRPr="009A5344">
        <w:rPr>
          <w:b w:val="0"/>
          <w:szCs w:val="24"/>
        </w:rPr>
        <w:t xml:space="preserve"> </w:t>
      </w:r>
    </w:p>
    <w:p w:rsidRPr="009A5344" w:rsidR="00113231" w:rsidP="00113231" w:rsidRDefault="00113231" w14:paraId="57E73F13" w14:textId="77777777">
      <w:pPr>
        <w:tabs>
          <w:tab w:val="num" w:pos="720"/>
        </w:tabs>
        <w:spacing w:after="0" w:line="240" w:lineRule="auto"/>
        <w:ind w:left="0" w:firstLine="0"/>
        <w:rPr>
          <w:rFonts w:eastAsia="Calibri"/>
          <w:color w:val="auto"/>
          <w:szCs w:val="24"/>
        </w:rPr>
      </w:pPr>
      <w:r w:rsidRPr="009A5344">
        <w:rPr>
          <w:rFonts w:eastAsia="Calibri"/>
          <w:color w:val="auto"/>
          <w:szCs w:val="24"/>
        </w:rPr>
        <w:t>The currently approved information collection burden is:</w:t>
      </w:r>
    </w:p>
    <w:p w:rsidRPr="009A5344" w:rsidR="00113231" w:rsidP="00113231" w:rsidRDefault="00113231" w14:paraId="5D6BA2C7" w14:textId="77777777">
      <w:pPr>
        <w:tabs>
          <w:tab w:val="num" w:pos="720"/>
        </w:tabs>
        <w:spacing w:after="0" w:line="240" w:lineRule="auto"/>
        <w:ind w:left="0" w:firstLine="0"/>
        <w:rPr>
          <w:rFonts w:eastAsia="Calibri"/>
          <w:color w:val="auto"/>
          <w:szCs w:val="24"/>
        </w:rPr>
      </w:pPr>
    </w:p>
    <w:p w:rsidRPr="009A5344" w:rsidR="00113231" w:rsidP="00113231" w:rsidRDefault="00113231" w14:paraId="05509532" w14:textId="0D442A12">
      <w:pPr>
        <w:tabs>
          <w:tab w:val="num" w:pos="720"/>
        </w:tabs>
        <w:spacing w:after="0" w:line="240" w:lineRule="auto"/>
        <w:ind w:left="0" w:firstLine="0"/>
        <w:rPr>
          <w:rFonts w:eastAsia="Calibri"/>
          <w:color w:val="auto"/>
          <w:szCs w:val="24"/>
        </w:rPr>
      </w:pPr>
      <w:r w:rsidRPr="009A5344">
        <w:rPr>
          <w:rFonts w:eastAsia="Calibri"/>
          <w:color w:val="auto"/>
          <w:szCs w:val="24"/>
        </w:rPr>
        <w:t xml:space="preserve">Number of </w:t>
      </w:r>
      <w:r w:rsidR="00426EC5">
        <w:rPr>
          <w:rFonts w:eastAsia="Calibri"/>
          <w:color w:val="auto"/>
          <w:szCs w:val="24"/>
        </w:rPr>
        <w:t>responses</w:t>
      </w:r>
      <w:r w:rsidRPr="009A5344">
        <w:rPr>
          <w:rFonts w:eastAsia="Calibri"/>
          <w:color w:val="auto"/>
          <w:szCs w:val="24"/>
        </w:rPr>
        <w:t xml:space="preserve">: </w:t>
      </w:r>
      <w:r w:rsidRPr="009A5344" w:rsidR="00120E54">
        <w:rPr>
          <w:rFonts w:eastAsia="Calibri"/>
          <w:color w:val="auto"/>
          <w:szCs w:val="24"/>
        </w:rPr>
        <w:t>6,</w:t>
      </w:r>
      <w:r w:rsidR="004208B1">
        <w:rPr>
          <w:rFonts w:eastAsia="Calibri"/>
          <w:color w:val="auto"/>
          <w:szCs w:val="24"/>
        </w:rPr>
        <w:t>5</w:t>
      </w:r>
      <w:r w:rsidR="003C58CD">
        <w:rPr>
          <w:rFonts w:eastAsia="Calibri"/>
          <w:color w:val="auto"/>
          <w:szCs w:val="24"/>
        </w:rPr>
        <w:t>10</w:t>
      </w:r>
    </w:p>
    <w:p w:rsidRPr="009A5344" w:rsidR="00113231" w:rsidP="00113231" w:rsidRDefault="00113231" w14:paraId="7F785E06" w14:textId="376772D0">
      <w:pPr>
        <w:tabs>
          <w:tab w:val="num" w:pos="720"/>
        </w:tabs>
        <w:spacing w:after="0" w:line="240" w:lineRule="auto"/>
        <w:ind w:left="0" w:firstLine="0"/>
        <w:rPr>
          <w:rFonts w:eastAsia="Calibri"/>
          <w:color w:val="auto"/>
          <w:szCs w:val="24"/>
        </w:rPr>
      </w:pPr>
      <w:r w:rsidRPr="009A5344">
        <w:rPr>
          <w:rFonts w:eastAsia="Calibri"/>
          <w:color w:val="auto"/>
          <w:szCs w:val="24"/>
        </w:rPr>
        <w:t xml:space="preserve">Hourly Burden: </w:t>
      </w:r>
      <w:r w:rsidRPr="004208B1" w:rsidR="004208B1">
        <w:rPr>
          <w:rFonts w:eastAsia="Calibri"/>
          <w:color w:val="auto"/>
          <w:szCs w:val="24"/>
        </w:rPr>
        <w:t>503,</w:t>
      </w:r>
      <w:r w:rsidR="00BC1211">
        <w:rPr>
          <w:rFonts w:eastAsia="Calibri"/>
          <w:color w:val="auto"/>
          <w:szCs w:val="24"/>
        </w:rPr>
        <w:t>486</w:t>
      </w:r>
    </w:p>
    <w:p w:rsidRPr="009A5344" w:rsidR="00113231" w:rsidP="00113231" w:rsidRDefault="00113231" w14:paraId="47BC1B98" w14:textId="77777777">
      <w:pPr>
        <w:tabs>
          <w:tab w:val="num" w:pos="720"/>
        </w:tabs>
        <w:spacing w:after="0" w:line="240" w:lineRule="auto"/>
        <w:ind w:left="0" w:firstLine="0"/>
        <w:rPr>
          <w:rFonts w:eastAsia="Calibri"/>
          <w:color w:val="auto"/>
          <w:szCs w:val="24"/>
        </w:rPr>
      </w:pPr>
    </w:p>
    <w:p w:rsidRPr="009A5344" w:rsidR="003960AC" w:rsidP="00113231" w:rsidRDefault="00113231" w14:paraId="0B81F367" w14:textId="57C6D8ED">
      <w:pPr>
        <w:tabs>
          <w:tab w:val="num" w:pos="720"/>
        </w:tabs>
        <w:spacing w:after="0" w:line="240" w:lineRule="auto"/>
        <w:ind w:left="0" w:firstLine="0"/>
        <w:rPr>
          <w:szCs w:val="24"/>
        </w:rPr>
      </w:pPr>
      <w:r w:rsidRPr="009A5344">
        <w:rPr>
          <w:rFonts w:eastAsia="Calibri"/>
          <w:color w:val="auto"/>
          <w:szCs w:val="24"/>
        </w:rPr>
        <w:t>The burden is explained in further detail in the following table</w:t>
      </w:r>
      <w:r w:rsidRPr="009A5344" w:rsidR="00120E54">
        <w:rPr>
          <w:rFonts w:eastAsia="Calibri"/>
          <w:color w:val="auto"/>
          <w:szCs w:val="24"/>
        </w:rPr>
        <w:t xml:space="preserve">, </w:t>
      </w:r>
      <w:r w:rsidRPr="009A5344" w:rsidR="005E773B">
        <w:rPr>
          <w:rFonts w:eastAsia="Calibri"/>
          <w:color w:val="auto"/>
          <w:szCs w:val="24"/>
        </w:rPr>
        <w:t>which includes agency adjustments to</w:t>
      </w:r>
      <w:r w:rsidRPr="009A5344" w:rsidR="00120E54">
        <w:rPr>
          <w:rFonts w:eastAsia="Calibri"/>
          <w:color w:val="auto"/>
          <w:szCs w:val="24"/>
        </w:rPr>
        <w:t xml:space="preserve"> number of respondents and hourly burden</w:t>
      </w:r>
      <w:r w:rsidRPr="009A5344" w:rsidR="005E773B">
        <w:rPr>
          <w:rFonts w:eastAsia="Calibri"/>
          <w:color w:val="auto"/>
          <w:szCs w:val="24"/>
        </w:rPr>
        <w:t xml:space="preserve"> (as described in question 15</w:t>
      </w:r>
      <w:r w:rsidRPr="009A5344" w:rsidR="006E3E6A">
        <w:rPr>
          <w:rFonts w:eastAsia="Calibri"/>
          <w:color w:val="auto"/>
          <w:szCs w:val="24"/>
        </w:rPr>
        <w:t>)</w:t>
      </w:r>
      <w:r w:rsidRPr="009A5344" w:rsidR="00383548">
        <w:rPr>
          <w:rFonts w:eastAsia="Calibri"/>
          <w:color w:val="auto"/>
          <w:szCs w:val="24"/>
        </w:rPr>
        <w:t>:</w:t>
      </w:r>
      <w:r w:rsidRPr="009A5344" w:rsidDel="003960AC" w:rsidR="003960AC">
        <w:rPr>
          <w:rFonts w:eastAsia="Calibri"/>
          <w:color w:val="auto"/>
          <w:szCs w:val="24"/>
        </w:rPr>
        <w:t xml:space="preserve"> </w:t>
      </w:r>
    </w:p>
    <w:p w:rsidRPr="009A5344" w:rsidR="003960AC" w:rsidP="003960AC" w:rsidRDefault="003960AC" w14:paraId="73C4C2F1" w14:textId="5D73D9FF">
      <w:pPr>
        <w:tabs>
          <w:tab w:val="num" w:pos="720"/>
        </w:tabs>
        <w:spacing w:after="0" w:line="240" w:lineRule="auto"/>
        <w:ind w:left="0" w:firstLine="0"/>
        <w:rPr>
          <w:szCs w:val="24"/>
        </w:rPr>
      </w:pPr>
    </w:p>
    <w:tbl>
      <w:tblPr>
        <w:tblStyle w:val="TableGrid11"/>
        <w:tblW w:w="9535" w:type="dxa"/>
        <w:tblInd w:w="0" w:type="dxa"/>
        <w:tblLayout w:type="fixed"/>
        <w:tblLook w:val="04A0" w:firstRow="1" w:lastRow="0" w:firstColumn="1" w:lastColumn="0" w:noHBand="0" w:noVBand="1"/>
      </w:tblPr>
      <w:tblGrid>
        <w:gridCol w:w="1615"/>
        <w:gridCol w:w="990"/>
        <w:gridCol w:w="1440"/>
        <w:gridCol w:w="1530"/>
        <w:gridCol w:w="1260"/>
        <w:gridCol w:w="1620"/>
        <w:gridCol w:w="1080"/>
      </w:tblGrid>
      <w:tr w:rsidRPr="009A5344" w:rsidR="00113231" w:rsidTr="00A26BF8" w14:paraId="31EE5DD6" w14:textId="77777777">
        <w:trPr>
          <w:trHeight w:val="422"/>
        </w:trPr>
        <w:tc>
          <w:tcPr>
            <w:tcW w:w="9535" w:type="dxa"/>
            <w:gridSpan w:val="7"/>
            <w:tcBorders>
              <w:top w:val="single" w:color="auto" w:sz="4" w:space="0"/>
              <w:left w:val="single" w:color="auto" w:sz="4" w:space="0"/>
              <w:bottom w:val="single" w:color="auto" w:sz="4" w:space="0"/>
              <w:right w:val="single" w:color="auto" w:sz="4" w:space="0"/>
            </w:tcBorders>
            <w:shd w:val="clear" w:color="auto" w:fill="D9D9D9"/>
          </w:tcPr>
          <w:p w:rsidRPr="009A5344" w:rsidR="00113231" w:rsidP="00113231" w:rsidRDefault="00113231" w14:paraId="7BDB94F4" w14:textId="77777777">
            <w:pPr>
              <w:spacing w:after="0" w:line="480" w:lineRule="auto"/>
              <w:ind w:left="0" w:firstLine="0"/>
              <w:jc w:val="center"/>
              <w:rPr>
                <w:i/>
                <w:color w:val="auto"/>
                <w:szCs w:val="24"/>
              </w:rPr>
            </w:pPr>
            <w:r w:rsidRPr="009A5344">
              <w:rPr>
                <w:b/>
                <w:color w:val="auto"/>
                <w:szCs w:val="24"/>
              </w:rPr>
              <w:t xml:space="preserve">FERC-516, </w:t>
            </w:r>
            <w:r w:rsidRPr="009A5344">
              <w:rPr>
                <w:b/>
                <w:bCs/>
                <w:color w:val="auto"/>
                <w:szCs w:val="24"/>
              </w:rPr>
              <w:t>Electric Rate Schedules and Tariff Filings</w:t>
            </w:r>
          </w:p>
        </w:tc>
      </w:tr>
      <w:tr w:rsidRPr="009A5344" w:rsidR="00113231" w:rsidTr="003C58CD" w14:paraId="1BF3159A" w14:textId="77777777">
        <w:tc>
          <w:tcPr>
            <w:tcW w:w="1615" w:type="dxa"/>
            <w:tcBorders>
              <w:top w:val="single" w:color="auto" w:sz="4" w:space="0"/>
              <w:left w:val="single" w:color="auto" w:sz="4" w:space="0"/>
              <w:bottom w:val="single" w:color="auto" w:sz="4" w:space="0"/>
              <w:right w:val="single" w:color="auto" w:sz="4" w:space="0"/>
            </w:tcBorders>
            <w:shd w:val="clear" w:color="auto" w:fill="D9D9D9"/>
          </w:tcPr>
          <w:p w:rsidRPr="009A5344" w:rsidR="00113231" w:rsidP="00113231" w:rsidRDefault="00113231" w14:paraId="2092A4B3" w14:textId="77777777">
            <w:pPr>
              <w:spacing w:after="0" w:line="240" w:lineRule="auto"/>
              <w:ind w:left="0" w:firstLine="0"/>
              <w:rPr>
                <w:b/>
                <w:color w:val="auto"/>
                <w:szCs w:val="24"/>
              </w:rPr>
            </w:pPr>
          </w:p>
          <w:p w:rsidRPr="009A5344" w:rsidR="00113231" w:rsidP="00113231" w:rsidRDefault="00113231" w14:paraId="34C52538" w14:textId="77777777">
            <w:pPr>
              <w:spacing w:after="0" w:line="240" w:lineRule="auto"/>
              <w:ind w:left="0" w:firstLine="0"/>
              <w:rPr>
                <w:b/>
                <w:color w:val="auto"/>
                <w:szCs w:val="24"/>
              </w:rPr>
            </w:pPr>
          </w:p>
          <w:p w:rsidRPr="009A5344" w:rsidR="00113231" w:rsidP="00113231" w:rsidRDefault="00113231" w14:paraId="0A31A60C" w14:textId="77777777">
            <w:pPr>
              <w:spacing w:after="0" w:line="240" w:lineRule="auto"/>
              <w:ind w:left="0" w:firstLine="0"/>
              <w:rPr>
                <w:b/>
                <w:color w:val="auto"/>
                <w:szCs w:val="24"/>
              </w:rPr>
            </w:pPr>
          </w:p>
          <w:p w:rsidRPr="009A5344" w:rsidR="00113231" w:rsidP="00113231" w:rsidRDefault="00113231" w14:paraId="2DBBBF86" w14:textId="77777777">
            <w:pPr>
              <w:spacing w:after="0" w:line="240" w:lineRule="auto"/>
              <w:ind w:left="0" w:firstLine="0"/>
              <w:rPr>
                <w:b/>
                <w:color w:val="auto"/>
                <w:szCs w:val="24"/>
              </w:rPr>
            </w:pPr>
          </w:p>
          <w:p w:rsidRPr="009A5344" w:rsidR="00113231" w:rsidP="00113231" w:rsidRDefault="00113231" w14:paraId="16AF551E" w14:textId="77777777">
            <w:pPr>
              <w:spacing w:after="0" w:line="240" w:lineRule="auto"/>
              <w:ind w:left="0" w:firstLine="0"/>
              <w:rPr>
                <w:b/>
                <w:color w:val="auto"/>
                <w:szCs w:val="24"/>
              </w:rPr>
            </w:pPr>
            <w:r w:rsidRPr="009A5344">
              <w:rPr>
                <w:b/>
                <w:color w:val="auto"/>
                <w:szCs w:val="24"/>
              </w:rPr>
              <w:lastRenderedPageBreak/>
              <w:t>Requirements</w:t>
            </w:r>
          </w:p>
        </w:tc>
        <w:tc>
          <w:tcPr>
            <w:tcW w:w="99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5F6126C7" w14:textId="77777777">
            <w:pPr>
              <w:spacing w:after="0" w:line="240" w:lineRule="auto"/>
              <w:ind w:left="0" w:firstLine="0"/>
              <w:rPr>
                <w:b/>
                <w:color w:val="auto"/>
                <w:szCs w:val="24"/>
              </w:rPr>
            </w:pPr>
            <w:r w:rsidRPr="009A5344">
              <w:rPr>
                <w:b/>
                <w:color w:val="auto"/>
                <w:szCs w:val="24"/>
              </w:rPr>
              <w:lastRenderedPageBreak/>
              <w:t>No. of Respondents</w:t>
            </w:r>
          </w:p>
          <w:p w:rsidRPr="009A5344" w:rsidR="00113231" w:rsidP="00113231" w:rsidRDefault="00113231" w14:paraId="2D199A0E" w14:textId="77777777">
            <w:pPr>
              <w:spacing w:after="0" w:line="240" w:lineRule="auto"/>
              <w:ind w:left="0" w:firstLine="0"/>
              <w:rPr>
                <w:i/>
                <w:color w:val="auto"/>
                <w:szCs w:val="24"/>
              </w:rPr>
            </w:pPr>
            <w:r w:rsidRPr="009A5344">
              <w:rPr>
                <w:b/>
                <w:color w:val="auto"/>
                <w:szCs w:val="24"/>
              </w:rPr>
              <w:lastRenderedPageBreak/>
              <w:t>(1)</w:t>
            </w:r>
          </w:p>
        </w:tc>
        <w:tc>
          <w:tcPr>
            <w:tcW w:w="144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4A37C4EE" w14:textId="77777777">
            <w:pPr>
              <w:spacing w:after="0" w:line="240" w:lineRule="auto"/>
              <w:ind w:left="0" w:firstLine="0"/>
              <w:rPr>
                <w:b/>
                <w:color w:val="auto"/>
                <w:szCs w:val="24"/>
              </w:rPr>
            </w:pPr>
            <w:r w:rsidRPr="009A5344">
              <w:rPr>
                <w:b/>
                <w:color w:val="auto"/>
                <w:szCs w:val="24"/>
              </w:rPr>
              <w:lastRenderedPageBreak/>
              <w:t>Annual No. of Responses Per Respondent</w:t>
            </w:r>
          </w:p>
          <w:p w:rsidRPr="009A5344" w:rsidR="00113231" w:rsidP="00113231" w:rsidRDefault="00113231" w14:paraId="588AC0FE" w14:textId="77777777">
            <w:pPr>
              <w:spacing w:after="0" w:line="240" w:lineRule="auto"/>
              <w:ind w:left="0" w:firstLine="0"/>
              <w:rPr>
                <w:i/>
                <w:color w:val="auto"/>
                <w:szCs w:val="24"/>
              </w:rPr>
            </w:pPr>
            <w:r w:rsidRPr="009A5344">
              <w:rPr>
                <w:b/>
                <w:color w:val="auto"/>
                <w:szCs w:val="24"/>
              </w:rPr>
              <w:lastRenderedPageBreak/>
              <w:t>(2)</w:t>
            </w:r>
          </w:p>
        </w:tc>
        <w:tc>
          <w:tcPr>
            <w:tcW w:w="153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5E1AA4A4" w14:textId="77777777">
            <w:pPr>
              <w:spacing w:after="0" w:line="240" w:lineRule="auto"/>
              <w:ind w:left="0" w:firstLine="0"/>
              <w:rPr>
                <w:b/>
                <w:color w:val="auto"/>
                <w:szCs w:val="24"/>
              </w:rPr>
            </w:pPr>
            <w:r w:rsidRPr="009A5344">
              <w:rPr>
                <w:b/>
                <w:color w:val="auto"/>
                <w:szCs w:val="24"/>
              </w:rPr>
              <w:lastRenderedPageBreak/>
              <w:t>Total No. of Responses</w:t>
            </w:r>
          </w:p>
          <w:p w:rsidRPr="009A5344" w:rsidR="00113231" w:rsidP="00113231" w:rsidRDefault="00113231" w14:paraId="3F2B15A6" w14:textId="77777777">
            <w:pPr>
              <w:spacing w:after="0" w:line="240" w:lineRule="auto"/>
              <w:ind w:left="0" w:firstLine="0"/>
              <w:rPr>
                <w:i/>
                <w:color w:val="auto"/>
                <w:szCs w:val="24"/>
              </w:rPr>
            </w:pPr>
            <w:r w:rsidRPr="009A5344">
              <w:rPr>
                <w:b/>
                <w:color w:val="auto"/>
                <w:szCs w:val="24"/>
              </w:rPr>
              <w:t>(1)x(2)=(3)</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72EA549F" w14:textId="3DDF427D">
            <w:pPr>
              <w:spacing w:after="0" w:line="240" w:lineRule="auto"/>
              <w:ind w:left="0" w:firstLine="0"/>
              <w:rPr>
                <w:b/>
                <w:color w:val="auto"/>
                <w:szCs w:val="24"/>
              </w:rPr>
            </w:pPr>
            <w:r w:rsidRPr="009A5344">
              <w:rPr>
                <w:b/>
                <w:color w:val="auto"/>
                <w:szCs w:val="24"/>
              </w:rPr>
              <w:t xml:space="preserve">Average Burden </w:t>
            </w:r>
            <w:r w:rsidR="00A90896">
              <w:rPr>
                <w:b/>
                <w:color w:val="auto"/>
                <w:szCs w:val="24"/>
              </w:rPr>
              <w:t xml:space="preserve">Hrs. </w:t>
            </w:r>
            <w:r w:rsidRPr="009A5344">
              <w:rPr>
                <w:b/>
                <w:color w:val="auto"/>
                <w:szCs w:val="24"/>
              </w:rPr>
              <w:t xml:space="preserve">&amp; </w:t>
            </w:r>
            <w:r w:rsidRPr="009A5344">
              <w:rPr>
                <w:b/>
                <w:color w:val="auto"/>
                <w:szCs w:val="24"/>
              </w:rPr>
              <w:lastRenderedPageBreak/>
              <w:t>Cost</w:t>
            </w:r>
            <w:r w:rsidR="00D27A81">
              <w:rPr>
                <w:rStyle w:val="FootnoteReference"/>
                <w:b w:val="0"/>
                <w:color w:val="auto"/>
                <w:szCs w:val="24"/>
              </w:rPr>
              <w:footnoteReference w:id="19"/>
            </w:r>
            <w:r w:rsidRPr="009A5344">
              <w:rPr>
                <w:b/>
                <w:color w:val="auto"/>
                <w:szCs w:val="24"/>
              </w:rPr>
              <w:t xml:space="preserve"> </w:t>
            </w:r>
            <w:r w:rsidR="00A90896">
              <w:rPr>
                <w:b/>
                <w:color w:val="auto"/>
                <w:szCs w:val="24"/>
              </w:rPr>
              <w:t xml:space="preserve">($) </w:t>
            </w:r>
            <w:r w:rsidRPr="009A5344">
              <w:rPr>
                <w:b/>
                <w:color w:val="auto"/>
                <w:szCs w:val="24"/>
              </w:rPr>
              <w:t>per Response</w:t>
            </w:r>
            <w:bookmarkStart w:name="_GoBack" w:id="5"/>
            <w:bookmarkEnd w:id="5"/>
          </w:p>
          <w:p w:rsidRPr="009A5344" w:rsidR="00113231" w:rsidP="00113231" w:rsidRDefault="00113231" w14:paraId="22BD575E" w14:textId="77777777">
            <w:pPr>
              <w:spacing w:after="0" w:line="240" w:lineRule="auto"/>
              <w:ind w:left="0" w:firstLine="0"/>
              <w:rPr>
                <w:i/>
                <w:color w:val="auto"/>
                <w:szCs w:val="24"/>
              </w:rPr>
            </w:pPr>
            <w:r w:rsidRPr="009A5344">
              <w:rPr>
                <w:b/>
                <w:color w:val="auto"/>
                <w:szCs w:val="24"/>
              </w:rPr>
              <w:t>(4)</w:t>
            </w:r>
          </w:p>
        </w:tc>
        <w:tc>
          <w:tcPr>
            <w:tcW w:w="162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54CD7183" w14:textId="6F15BD3C">
            <w:pPr>
              <w:spacing w:after="0" w:line="240" w:lineRule="auto"/>
              <w:ind w:left="0" w:firstLine="0"/>
              <w:rPr>
                <w:b/>
                <w:color w:val="auto"/>
                <w:szCs w:val="24"/>
              </w:rPr>
            </w:pPr>
            <w:r w:rsidRPr="009A5344">
              <w:rPr>
                <w:b/>
                <w:color w:val="auto"/>
                <w:szCs w:val="24"/>
              </w:rPr>
              <w:lastRenderedPageBreak/>
              <w:t>Total Annual Burden Hrs. &amp; Cost</w:t>
            </w:r>
            <w:r w:rsidR="00A90896">
              <w:rPr>
                <w:b/>
                <w:color w:val="auto"/>
                <w:szCs w:val="24"/>
              </w:rPr>
              <w:t>($)</w:t>
            </w:r>
          </w:p>
          <w:p w:rsidR="00113231" w:rsidP="00113231" w:rsidRDefault="00113231" w14:paraId="1DBB2CDD" w14:textId="77777777">
            <w:pPr>
              <w:spacing w:after="0" w:line="240" w:lineRule="auto"/>
              <w:ind w:left="0" w:firstLine="0"/>
              <w:rPr>
                <w:b/>
                <w:color w:val="auto"/>
                <w:szCs w:val="24"/>
              </w:rPr>
            </w:pPr>
            <w:r w:rsidRPr="009A5344">
              <w:rPr>
                <w:b/>
                <w:color w:val="auto"/>
                <w:szCs w:val="24"/>
              </w:rPr>
              <w:t>(3)*(4)=(5)</w:t>
            </w:r>
          </w:p>
          <w:p w:rsidRPr="009459A1" w:rsidR="009459A1" w:rsidP="00113231" w:rsidRDefault="009459A1" w14:paraId="6888898D" w14:textId="5DF4BDBB">
            <w:pPr>
              <w:spacing w:after="0" w:line="240" w:lineRule="auto"/>
              <w:ind w:left="0" w:firstLine="0"/>
              <w:rPr>
                <w:bCs/>
                <w:i/>
                <w:iCs/>
                <w:color w:val="auto"/>
                <w:szCs w:val="24"/>
              </w:rPr>
            </w:pPr>
            <w:r w:rsidRPr="009459A1">
              <w:rPr>
                <w:bCs/>
                <w:i/>
                <w:iCs/>
                <w:color w:val="auto"/>
                <w:szCs w:val="24"/>
              </w:rPr>
              <w:lastRenderedPageBreak/>
              <w:t>(</w:t>
            </w:r>
            <w:r>
              <w:rPr>
                <w:bCs/>
                <w:i/>
                <w:iCs/>
                <w:color w:val="auto"/>
                <w:szCs w:val="24"/>
              </w:rPr>
              <w:t xml:space="preserve">Hours are </w:t>
            </w:r>
            <w:r w:rsidRPr="009459A1">
              <w:rPr>
                <w:bCs/>
                <w:i/>
                <w:iCs/>
                <w:color w:val="auto"/>
                <w:szCs w:val="24"/>
              </w:rPr>
              <w:t>rounded)</w:t>
            </w:r>
          </w:p>
        </w:tc>
        <w:tc>
          <w:tcPr>
            <w:tcW w:w="1080"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113231" w:rsidP="00113231" w:rsidRDefault="00113231" w14:paraId="5911D3B1" w14:textId="53F8D5A9">
            <w:pPr>
              <w:spacing w:after="0" w:line="240" w:lineRule="auto"/>
              <w:ind w:left="0" w:firstLine="0"/>
              <w:rPr>
                <w:i/>
                <w:color w:val="auto"/>
                <w:szCs w:val="24"/>
              </w:rPr>
            </w:pPr>
            <w:r w:rsidRPr="009A5344">
              <w:rPr>
                <w:b/>
                <w:color w:val="auto"/>
                <w:szCs w:val="24"/>
              </w:rPr>
              <w:lastRenderedPageBreak/>
              <w:t xml:space="preserve">Cost </w:t>
            </w:r>
            <w:r w:rsidR="00A90896">
              <w:rPr>
                <w:b/>
                <w:color w:val="auto"/>
                <w:szCs w:val="24"/>
              </w:rPr>
              <w:t xml:space="preserve">($) </w:t>
            </w:r>
            <w:r w:rsidRPr="009A5344">
              <w:rPr>
                <w:b/>
                <w:color w:val="auto"/>
                <w:szCs w:val="24"/>
              </w:rPr>
              <w:t xml:space="preserve">per Respondent </w:t>
            </w:r>
            <w:r w:rsidRPr="009A5344">
              <w:rPr>
                <w:b/>
                <w:color w:val="auto"/>
                <w:szCs w:val="24"/>
              </w:rPr>
              <w:lastRenderedPageBreak/>
              <w:t>(5)/(1)=(5)</w:t>
            </w:r>
          </w:p>
        </w:tc>
      </w:tr>
      <w:tr w:rsidRPr="009A5344" w:rsidR="00113231" w:rsidTr="003C58CD" w14:paraId="0A2E7ECB" w14:textId="77777777">
        <w:tc>
          <w:tcPr>
            <w:tcW w:w="1615" w:type="dxa"/>
            <w:tcBorders>
              <w:top w:val="single" w:color="auto" w:sz="4" w:space="0"/>
              <w:left w:val="single" w:color="auto" w:sz="4" w:space="0"/>
              <w:bottom w:val="single" w:color="auto" w:sz="4" w:space="0"/>
              <w:right w:val="single" w:color="auto" w:sz="4" w:space="0"/>
            </w:tcBorders>
          </w:tcPr>
          <w:p w:rsidRPr="009A5344" w:rsidR="00113231" w:rsidP="00113231" w:rsidRDefault="00113231" w14:paraId="579088CA" w14:textId="1E66361E">
            <w:pPr>
              <w:spacing w:after="0" w:line="240" w:lineRule="auto"/>
              <w:ind w:left="0" w:firstLine="0"/>
              <w:rPr>
                <w:b/>
                <w:color w:val="auto"/>
                <w:szCs w:val="24"/>
              </w:rPr>
            </w:pPr>
            <w:r w:rsidRPr="009A5344">
              <w:rPr>
                <w:b/>
                <w:color w:val="auto"/>
                <w:szCs w:val="24"/>
              </w:rPr>
              <w:lastRenderedPageBreak/>
              <w:t>Electric Rates Schedules and Tariff Filings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EDC9109" w14:textId="77777777">
            <w:pPr>
              <w:spacing w:after="0" w:line="240" w:lineRule="auto"/>
              <w:ind w:left="0" w:firstLine="0"/>
              <w:jc w:val="right"/>
              <w:rPr>
                <w:bCs/>
                <w:color w:val="auto"/>
                <w:szCs w:val="24"/>
              </w:rPr>
            </w:pPr>
            <w:r w:rsidRPr="009A5344">
              <w:rPr>
                <w:bCs/>
                <w:color w:val="auto"/>
                <w:szCs w:val="24"/>
              </w:rPr>
              <w:t>1,230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EB4F670" w14:textId="13DA0E03">
            <w:pPr>
              <w:spacing w:after="0" w:line="240" w:lineRule="auto"/>
              <w:ind w:left="0" w:firstLine="0"/>
              <w:jc w:val="right"/>
              <w:rPr>
                <w:bCs/>
                <w:color w:val="auto"/>
                <w:szCs w:val="24"/>
              </w:rPr>
            </w:pPr>
            <w:r w:rsidRPr="009A5344">
              <w:rPr>
                <w:bCs/>
                <w:color w:val="auto"/>
                <w:szCs w:val="24"/>
              </w:rPr>
              <w:t>3.63</w:t>
            </w:r>
            <w:r w:rsidR="004208B1">
              <w:rPr>
                <w:bCs/>
                <w:color w:val="auto"/>
                <w:szCs w:val="24"/>
              </w:rPr>
              <w:t>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F5EFD4F" w14:textId="77777777">
            <w:pPr>
              <w:spacing w:after="0" w:line="240" w:lineRule="auto"/>
              <w:ind w:left="0" w:firstLine="0"/>
              <w:jc w:val="right"/>
              <w:rPr>
                <w:bCs/>
                <w:color w:val="auto"/>
                <w:szCs w:val="24"/>
              </w:rPr>
            </w:pPr>
            <w:r w:rsidRPr="008F104A">
              <w:rPr>
                <w:bCs/>
                <w:color w:val="auto"/>
                <w:szCs w:val="24"/>
              </w:rPr>
              <w:t>4,469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A287247" w14:textId="69AB388A">
            <w:pPr>
              <w:spacing w:after="0" w:line="240" w:lineRule="auto"/>
              <w:ind w:left="0" w:firstLine="0"/>
              <w:jc w:val="right"/>
              <w:rPr>
                <w:bCs/>
                <w:color w:val="auto"/>
                <w:szCs w:val="24"/>
              </w:rPr>
            </w:pPr>
            <w:r w:rsidRPr="009A5344">
              <w:rPr>
                <w:bCs/>
                <w:color w:val="auto"/>
                <w:szCs w:val="24"/>
              </w:rPr>
              <w:t>103.</w:t>
            </w:r>
            <w:r w:rsidRPr="009459A1" w:rsidR="009459A1">
              <w:rPr>
                <w:bCs/>
                <w:color w:val="auto"/>
                <w:szCs w:val="24"/>
              </w:rPr>
              <w:t>2696</w:t>
            </w:r>
            <w:r w:rsidRPr="009A5344">
              <w:rPr>
                <w:bCs/>
                <w:color w:val="auto"/>
                <w:szCs w:val="24"/>
              </w:rPr>
              <w:t xml:space="preserve"> hrs.;</w:t>
            </w:r>
          </w:p>
          <w:p w:rsidRPr="009A5344" w:rsidR="00113231" w:rsidP="00113231" w:rsidRDefault="00113231" w14:paraId="0CB4D893" w14:textId="77777777">
            <w:pPr>
              <w:spacing w:after="0" w:line="240" w:lineRule="auto"/>
              <w:ind w:left="0" w:firstLine="0"/>
              <w:jc w:val="right"/>
              <w:rPr>
                <w:bCs/>
                <w:color w:val="auto"/>
                <w:szCs w:val="24"/>
              </w:rPr>
            </w:pPr>
            <w:r w:rsidRPr="009A5344">
              <w:rPr>
                <w:bCs/>
                <w:color w:val="auto"/>
                <w:szCs w:val="24"/>
              </w:rPr>
              <w:t>$8,571.41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0E53D85" w14:textId="326D699A">
            <w:pPr>
              <w:spacing w:after="0" w:line="240" w:lineRule="auto"/>
              <w:ind w:left="0" w:firstLine="0"/>
              <w:jc w:val="right"/>
              <w:rPr>
                <w:bCs/>
                <w:color w:val="auto"/>
                <w:szCs w:val="24"/>
              </w:rPr>
            </w:pPr>
            <w:r w:rsidRPr="009A5344">
              <w:rPr>
                <w:bCs/>
                <w:color w:val="auto"/>
                <w:szCs w:val="24"/>
              </w:rPr>
              <w:t>461,51</w:t>
            </w:r>
            <w:r w:rsidR="009459A1">
              <w:rPr>
                <w:bCs/>
                <w:color w:val="auto"/>
                <w:szCs w:val="24"/>
              </w:rPr>
              <w:t>2</w:t>
            </w:r>
            <w:r w:rsidRPr="009A5344">
              <w:rPr>
                <w:bCs/>
                <w:color w:val="auto"/>
                <w:szCs w:val="24"/>
              </w:rPr>
              <w:t xml:space="preserve"> hrs.;</w:t>
            </w:r>
          </w:p>
          <w:p w:rsidRPr="009A5344" w:rsidR="00113231" w:rsidP="00113231" w:rsidRDefault="00113231" w14:paraId="4575E10C" w14:textId="2940224E">
            <w:pPr>
              <w:spacing w:after="0" w:line="240" w:lineRule="auto"/>
              <w:ind w:left="0" w:firstLine="0"/>
              <w:jc w:val="right"/>
              <w:rPr>
                <w:bCs/>
                <w:color w:val="auto"/>
                <w:szCs w:val="24"/>
              </w:rPr>
            </w:pPr>
            <w:r w:rsidRPr="009A5344">
              <w:rPr>
                <w:bCs/>
                <w:color w:val="auto"/>
                <w:szCs w:val="24"/>
              </w:rPr>
              <w:t>$38,305,63</w:t>
            </w:r>
            <w:r w:rsidR="00012F33">
              <w:rPr>
                <w:b/>
                <w:color w:val="auto"/>
                <w:szCs w:val="24"/>
              </w:rPr>
              <w:t>.</w:t>
            </w:r>
            <w:r w:rsidRPr="00BC1211" w:rsidR="00012F33">
              <w:rPr>
                <w:bCs/>
                <w:color w:val="auto"/>
                <w:szCs w:val="24"/>
              </w:rPr>
              <w:t>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6475902" w14:textId="77777777">
            <w:pPr>
              <w:spacing w:after="0" w:line="240" w:lineRule="auto"/>
              <w:ind w:left="0" w:firstLine="0"/>
              <w:jc w:val="right"/>
              <w:rPr>
                <w:bCs/>
                <w:color w:val="auto"/>
                <w:szCs w:val="24"/>
              </w:rPr>
            </w:pPr>
            <w:r w:rsidRPr="009A5344">
              <w:rPr>
                <w:bCs/>
                <w:color w:val="auto"/>
                <w:szCs w:val="24"/>
              </w:rPr>
              <w:t>$31,142.79</w:t>
            </w:r>
          </w:p>
        </w:tc>
      </w:tr>
      <w:tr w:rsidRPr="009A5344" w:rsidR="00113231" w:rsidTr="003C58CD" w14:paraId="2E8AF7AB" w14:textId="77777777">
        <w:tc>
          <w:tcPr>
            <w:tcW w:w="1615" w:type="dxa"/>
            <w:tcBorders>
              <w:top w:val="single" w:color="auto" w:sz="4" w:space="0"/>
              <w:left w:val="single" w:color="auto" w:sz="4" w:space="0"/>
              <w:bottom w:val="single" w:color="auto" w:sz="4" w:space="0"/>
              <w:right w:val="single" w:color="auto" w:sz="4" w:space="0"/>
            </w:tcBorders>
          </w:tcPr>
          <w:p w:rsidRPr="009A5344" w:rsidR="00113231" w:rsidP="00113231" w:rsidRDefault="00113231" w14:paraId="34C2D5CA" w14:textId="77777777">
            <w:pPr>
              <w:spacing w:after="0" w:line="240" w:lineRule="auto"/>
              <w:ind w:left="0" w:firstLine="0"/>
              <w:rPr>
                <w:b/>
                <w:color w:val="auto"/>
                <w:szCs w:val="24"/>
              </w:rPr>
            </w:pPr>
            <w:r w:rsidRPr="009A5344">
              <w:rPr>
                <w:b/>
                <w:color w:val="auto"/>
                <w:szCs w:val="24"/>
              </w:rPr>
              <w:t>Demand Response, RM10-17 (one-time and monthly filings)</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1906805" w14:textId="77777777">
            <w:pPr>
              <w:spacing w:after="0" w:line="240" w:lineRule="auto"/>
              <w:ind w:left="0" w:firstLine="0"/>
              <w:jc w:val="right"/>
              <w:rPr>
                <w:bCs/>
                <w:color w:val="auto"/>
                <w:szCs w:val="24"/>
              </w:rPr>
            </w:pPr>
            <w:r w:rsidRPr="009A5344">
              <w:rPr>
                <w:bCs/>
                <w:color w:val="auto"/>
                <w:szCs w:val="24"/>
              </w:rPr>
              <w:t>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BF36628" w14:textId="2D7038BA">
            <w:pPr>
              <w:spacing w:after="0" w:line="240" w:lineRule="auto"/>
              <w:ind w:left="0" w:firstLine="0"/>
              <w:jc w:val="right"/>
              <w:rPr>
                <w:bCs/>
                <w:color w:val="auto"/>
                <w:szCs w:val="24"/>
              </w:rPr>
            </w:pPr>
            <w:r w:rsidRPr="009A5344">
              <w:rPr>
                <w:bCs/>
                <w:color w:val="auto"/>
                <w:szCs w:val="24"/>
              </w:rPr>
              <w:t>1</w:t>
            </w:r>
            <w:r w:rsidR="00B46924">
              <w:rPr>
                <w:bCs/>
                <w:color w:val="auto"/>
                <w:szCs w:val="24"/>
              </w:rPr>
              <w:t>2</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3A2B3F2" w14:textId="77777777">
            <w:pPr>
              <w:spacing w:after="0" w:line="240" w:lineRule="auto"/>
              <w:ind w:left="0" w:firstLine="0"/>
              <w:jc w:val="right"/>
              <w:rPr>
                <w:bCs/>
                <w:color w:val="auto"/>
                <w:szCs w:val="24"/>
              </w:rPr>
            </w:pPr>
          </w:p>
          <w:p w:rsidRPr="009A5344" w:rsidR="00113231" w:rsidP="00113231" w:rsidRDefault="00113231" w14:paraId="63DE1338" w14:textId="77777777">
            <w:pPr>
              <w:spacing w:after="0" w:line="240" w:lineRule="auto"/>
              <w:ind w:left="0" w:firstLine="0"/>
              <w:jc w:val="right"/>
              <w:rPr>
                <w:bCs/>
                <w:color w:val="auto"/>
                <w:szCs w:val="24"/>
              </w:rPr>
            </w:pPr>
          </w:p>
          <w:p w:rsidRPr="009A5344" w:rsidR="00113231" w:rsidP="00113231" w:rsidRDefault="00113231" w14:paraId="5994300C" w14:textId="77777777">
            <w:pPr>
              <w:spacing w:after="0" w:line="240" w:lineRule="auto"/>
              <w:ind w:left="0" w:firstLine="0"/>
              <w:jc w:val="right"/>
              <w:rPr>
                <w:bCs/>
                <w:color w:val="auto"/>
                <w:szCs w:val="24"/>
              </w:rPr>
            </w:pPr>
          </w:p>
          <w:p w:rsidRPr="009A5344" w:rsidR="00113231" w:rsidP="00113231" w:rsidRDefault="00B46924" w14:paraId="25041AFF" w14:textId="453D056C">
            <w:pPr>
              <w:spacing w:after="0" w:line="240" w:lineRule="auto"/>
              <w:ind w:left="0" w:firstLine="0"/>
              <w:jc w:val="right"/>
              <w:rPr>
                <w:bCs/>
                <w:color w:val="auto"/>
                <w:szCs w:val="24"/>
              </w:rPr>
            </w:pPr>
            <w:r>
              <w:rPr>
                <w:bCs/>
                <w:color w:val="auto"/>
                <w:szCs w:val="24"/>
              </w:rPr>
              <w:t>72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98C6BED" w14:textId="5105CF82">
            <w:pPr>
              <w:spacing w:after="0" w:line="240" w:lineRule="auto"/>
              <w:ind w:left="0" w:firstLine="0"/>
              <w:jc w:val="right"/>
              <w:rPr>
                <w:bCs/>
                <w:color w:val="auto"/>
                <w:szCs w:val="24"/>
              </w:rPr>
            </w:pPr>
            <w:r w:rsidRPr="009A5344">
              <w:rPr>
                <w:bCs/>
                <w:color w:val="auto"/>
                <w:szCs w:val="24"/>
              </w:rPr>
              <w:t>1</w:t>
            </w:r>
            <w:r w:rsidR="00B46924">
              <w:rPr>
                <w:bCs/>
                <w:color w:val="auto"/>
                <w:szCs w:val="24"/>
              </w:rPr>
              <w:t>08.333</w:t>
            </w:r>
            <w:r w:rsidRPr="009A5344">
              <w:rPr>
                <w:bCs/>
                <w:color w:val="auto"/>
                <w:szCs w:val="24"/>
              </w:rPr>
              <w:t xml:space="preserve"> hrs.;</w:t>
            </w:r>
          </w:p>
          <w:p w:rsidRPr="009A5344" w:rsidR="00A776A7" w:rsidP="00113231" w:rsidRDefault="00A776A7" w14:paraId="0B151AEC" w14:textId="66F68ECF">
            <w:pPr>
              <w:spacing w:after="0" w:line="240" w:lineRule="auto"/>
              <w:ind w:left="0" w:firstLine="0"/>
              <w:jc w:val="right"/>
              <w:rPr>
                <w:bCs/>
                <w:color w:val="auto"/>
                <w:szCs w:val="24"/>
              </w:rPr>
            </w:pPr>
            <w:r>
              <w:rPr>
                <w:bCs/>
                <w:color w:val="auto"/>
                <w:szCs w:val="24"/>
              </w:rPr>
              <w:t>$8,991.63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3B68F93" w14:textId="77777777">
            <w:pPr>
              <w:spacing w:after="0" w:line="240" w:lineRule="auto"/>
              <w:ind w:left="0" w:firstLine="0"/>
              <w:jc w:val="right"/>
              <w:rPr>
                <w:bCs/>
                <w:color w:val="auto"/>
                <w:szCs w:val="24"/>
              </w:rPr>
            </w:pPr>
          </w:p>
          <w:p w:rsidRPr="009A5344" w:rsidR="00113231" w:rsidP="00113231" w:rsidRDefault="00113231" w14:paraId="4DAECAF3" w14:textId="0EDDB8B8">
            <w:pPr>
              <w:spacing w:after="0" w:line="240" w:lineRule="auto"/>
              <w:ind w:left="0" w:firstLine="0"/>
              <w:jc w:val="right"/>
              <w:rPr>
                <w:bCs/>
                <w:color w:val="auto"/>
                <w:szCs w:val="24"/>
              </w:rPr>
            </w:pPr>
            <w:r w:rsidRPr="009A5344">
              <w:rPr>
                <w:bCs/>
                <w:color w:val="auto"/>
                <w:szCs w:val="24"/>
              </w:rPr>
              <w:t>7,800 hrs.;</w:t>
            </w:r>
          </w:p>
          <w:p w:rsidRPr="009A5344" w:rsidR="00A776A7" w:rsidP="00113231" w:rsidRDefault="00A776A7" w14:paraId="45ACB03B" w14:textId="4E7ECA79">
            <w:pPr>
              <w:spacing w:after="0" w:line="240" w:lineRule="auto"/>
              <w:ind w:left="0" w:firstLine="0"/>
              <w:jc w:val="right"/>
              <w:rPr>
                <w:bCs/>
                <w:color w:val="auto"/>
                <w:szCs w:val="24"/>
              </w:rPr>
            </w:pPr>
            <w:r>
              <w:rPr>
                <w:bCs/>
                <w:color w:val="auto"/>
                <w:szCs w:val="24"/>
              </w:rPr>
              <w:t>$647,397.36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CF1AD1D" w14:textId="4E4A2961">
            <w:pPr>
              <w:spacing w:after="0" w:line="240" w:lineRule="auto"/>
              <w:ind w:left="0" w:firstLine="0"/>
              <w:jc w:val="right"/>
              <w:rPr>
                <w:bCs/>
                <w:color w:val="auto"/>
                <w:szCs w:val="24"/>
              </w:rPr>
            </w:pPr>
            <w:r w:rsidRPr="009A5344">
              <w:rPr>
                <w:bCs/>
                <w:color w:val="auto"/>
                <w:szCs w:val="24"/>
              </w:rPr>
              <w:t>$107,</w:t>
            </w:r>
            <w:r w:rsidR="00A776A7">
              <w:rPr>
                <w:bCs/>
                <w:color w:val="auto"/>
                <w:szCs w:val="24"/>
              </w:rPr>
              <w:t>899</w:t>
            </w:r>
            <w:r w:rsidRPr="009A5344">
              <w:rPr>
                <w:bCs/>
                <w:color w:val="auto"/>
                <w:szCs w:val="24"/>
              </w:rPr>
              <w:t>.</w:t>
            </w:r>
            <w:r w:rsidR="00A776A7">
              <w:rPr>
                <w:bCs/>
                <w:color w:val="auto"/>
                <w:szCs w:val="24"/>
              </w:rPr>
              <w:t>56</w:t>
            </w:r>
          </w:p>
        </w:tc>
      </w:tr>
      <w:tr w:rsidRPr="009A5344" w:rsidR="00113231" w:rsidTr="003C58CD" w14:paraId="1BD54DC9" w14:textId="77777777">
        <w:tc>
          <w:tcPr>
            <w:tcW w:w="1615" w:type="dxa"/>
            <w:tcBorders>
              <w:top w:val="single" w:color="auto" w:sz="4" w:space="0"/>
              <w:left w:val="single" w:color="auto" w:sz="4" w:space="0"/>
              <w:bottom w:val="single" w:color="auto" w:sz="4" w:space="0"/>
              <w:right w:val="single" w:color="auto" w:sz="4" w:space="0"/>
            </w:tcBorders>
          </w:tcPr>
          <w:p w:rsidRPr="009A5344" w:rsidR="00113231" w:rsidP="00113231" w:rsidRDefault="00113231" w14:paraId="244C3590" w14:textId="7B098A4C">
            <w:pPr>
              <w:spacing w:after="0" w:line="240" w:lineRule="auto"/>
              <w:ind w:left="0" w:firstLine="0"/>
              <w:rPr>
                <w:b/>
                <w:color w:val="auto"/>
                <w:szCs w:val="24"/>
              </w:rPr>
            </w:pPr>
            <w:r w:rsidRPr="009A5344">
              <w:rPr>
                <w:b/>
                <w:color w:val="auto"/>
                <w:szCs w:val="24"/>
              </w:rPr>
              <w:t>Frequency Regulation, RM11-7 (one-time tariff filing and system modification)</w:t>
            </w:r>
            <w:bookmarkStart w:name="_Ref76973672" w:id="6"/>
            <w:r w:rsidR="004D45C2">
              <w:rPr>
                <w:rStyle w:val="FootnoteReference"/>
                <w:b w:val="0"/>
                <w:color w:val="auto"/>
                <w:szCs w:val="24"/>
              </w:rPr>
              <w:footnoteReference w:id="20"/>
            </w:r>
            <w:bookmarkEnd w:id="6"/>
            <w:r w:rsidRPr="009A5344" w:rsidDel="004D45C2" w:rsidR="004D45C2">
              <w:rPr>
                <w:b/>
                <w:color w:val="auto"/>
                <w:szCs w:val="24"/>
                <w:vertAlign w:val="superscript"/>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AAF9202" w14:textId="77777777">
            <w:pPr>
              <w:spacing w:after="0" w:line="240" w:lineRule="auto"/>
              <w:ind w:left="0" w:firstLine="0"/>
              <w:jc w:val="right"/>
              <w:rPr>
                <w:bCs/>
                <w:color w:val="auto"/>
                <w:szCs w:val="24"/>
              </w:rPr>
            </w:pPr>
            <w:r w:rsidRPr="009A5344">
              <w:rPr>
                <w:bCs/>
                <w:color w:val="auto"/>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C810F25" w14:textId="77777777">
            <w:pPr>
              <w:spacing w:after="0" w:line="240" w:lineRule="auto"/>
              <w:ind w:left="0" w:firstLine="0"/>
              <w:jc w:val="right"/>
              <w:rPr>
                <w:bCs/>
                <w:color w:val="auto"/>
                <w:szCs w:val="24"/>
              </w:rPr>
            </w:pPr>
            <w:r w:rsidRPr="009A5344">
              <w:rPr>
                <w:bCs/>
                <w:color w:val="auto"/>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E2EF607" w14:textId="77777777">
            <w:pPr>
              <w:spacing w:after="0" w:line="240" w:lineRule="auto"/>
              <w:ind w:left="0" w:firstLine="0"/>
              <w:jc w:val="right"/>
              <w:rPr>
                <w:bCs/>
                <w:color w:val="auto"/>
                <w:szCs w:val="24"/>
              </w:rPr>
            </w:pPr>
            <w:r w:rsidRPr="009A5344">
              <w:rPr>
                <w:bCs/>
                <w:color w:val="auto"/>
                <w:szCs w:val="24"/>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AA1407C" w14:textId="77777777">
            <w:pPr>
              <w:spacing w:after="0" w:line="240" w:lineRule="auto"/>
              <w:ind w:left="0" w:firstLine="0"/>
              <w:jc w:val="right"/>
              <w:rPr>
                <w:bCs/>
                <w:color w:val="auto"/>
                <w:szCs w:val="24"/>
              </w:rPr>
            </w:pPr>
            <w:r w:rsidRPr="009A5344">
              <w:rPr>
                <w:bCs/>
                <w:color w:val="auto"/>
                <w:szCs w:val="24"/>
              </w:rPr>
              <w:t>366.66 hrs.;</w:t>
            </w:r>
          </w:p>
          <w:p w:rsidRPr="009A5344" w:rsidR="00113231" w:rsidP="00113231" w:rsidRDefault="00113231" w14:paraId="2733BC00" w14:textId="77777777">
            <w:pPr>
              <w:spacing w:after="0" w:line="240" w:lineRule="auto"/>
              <w:ind w:left="0" w:firstLine="0"/>
              <w:jc w:val="right"/>
              <w:rPr>
                <w:bCs/>
                <w:color w:val="auto"/>
                <w:szCs w:val="24"/>
              </w:rPr>
            </w:pPr>
            <w:r w:rsidRPr="009A5344">
              <w:rPr>
                <w:bCs/>
                <w:color w:val="auto"/>
                <w:szCs w:val="24"/>
              </w:rPr>
              <w:t>$30,432.78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6C01582" w14:textId="77777777">
            <w:pPr>
              <w:spacing w:after="0" w:line="240" w:lineRule="auto"/>
              <w:ind w:left="0" w:firstLine="0"/>
              <w:jc w:val="right"/>
              <w:rPr>
                <w:bCs/>
                <w:color w:val="auto"/>
                <w:szCs w:val="24"/>
              </w:rPr>
            </w:pPr>
          </w:p>
          <w:p w:rsidRPr="009A5344" w:rsidR="00113231" w:rsidP="00113231" w:rsidRDefault="00113231" w14:paraId="1205D6F9" w14:textId="26B0E16D">
            <w:pPr>
              <w:spacing w:after="0" w:line="240" w:lineRule="auto"/>
              <w:ind w:left="0" w:firstLine="0"/>
              <w:jc w:val="right"/>
              <w:rPr>
                <w:bCs/>
                <w:color w:val="auto"/>
                <w:szCs w:val="24"/>
              </w:rPr>
            </w:pPr>
            <w:r w:rsidRPr="009A5344">
              <w:rPr>
                <w:bCs/>
                <w:color w:val="auto"/>
                <w:szCs w:val="24"/>
              </w:rPr>
              <w:t>36</w:t>
            </w:r>
            <w:r w:rsidR="009459A1">
              <w:rPr>
                <w:bCs/>
                <w:color w:val="auto"/>
                <w:szCs w:val="24"/>
              </w:rPr>
              <w:t>7</w:t>
            </w:r>
            <w:r w:rsidRPr="009A5344">
              <w:rPr>
                <w:bCs/>
                <w:color w:val="auto"/>
                <w:szCs w:val="24"/>
              </w:rPr>
              <w:t xml:space="preserve"> hrs.;</w:t>
            </w:r>
          </w:p>
          <w:p w:rsidRPr="009A5344" w:rsidR="00113231" w:rsidP="00113231" w:rsidRDefault="00113231" w14:paraId="0514D186" w14:textId="77777777">
            <w:pPr>
              <w:spacing w:after="0" w:line="240" w:lineRule="auto"/>
              <w:ind w:left="0" w:firstLine="0"/>
              <w:jc w:val="right"/>
              <w:rPr>
                <w:bCs/>
                <w:color w:val="auto"/>
                <w:szCs w:val="24"/>
              </w:rPr>
            </w:pPr>
            <w:r w:rsidRPr="009A5344">
              <w:rPr>
                <w:bCs/>
                <w:color w:val="auto"/>
                <w:szCs w:val="24"/>
              </w:rPr>
              <w:t>$30,432.78</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AB6A49A" w14:textId="77777777">
            <w:pPr>
              <w:spacing w:after="0" w:line="240" w:lineRule="auto"/>
              <w:ind w:left="0" w:firstLine="0"/>
              <w:jc w:val="right"/>
              <w:rPr>
                <w:bCs/>
                <w:color w:val="auto"/>
                <w:szCs w:val="24"/>
              </w:rPr>
            </w:pPr>
            <w:r w:rsidRPr="009A5344">
              <w:rPr>
                <w:bCs/>
                <w:color w:val="auto"/>
                <w:szCs w:val="24"/>
              </w:rPr>
              <w:t>$30,432.78</w:t>
            </w:r>
          </w:p>
        </w:tc>
      </w:tr>
      <w:tr w:rsidRPr="009A5344" w:rsidR="00113231" w:rsidTr="003C58CD" w14:paraId="5B6CCDB8" w14:textId="77777777">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113231" w14:paraId="6115E771" w14:textId="77777777">
            <w:pPr>
              <w:spacing w:after="0" w:line="240" w:lineRule="auto"/>
              <w:ind w:left="0" w:firstLine="0"/>
              <w:rPr>
                <w:b/>
                <w:color w:val="auto"/>
                <w:szCs w:val="24"/>
              </w:rPr>
            </w:pPr>
            <w:r w:rsidRPr="009A5344">
              <w:rPr>
                <w:b/>
                <w:color w:val="auto"/>
                <w:szCs w:val="24"/>
              </w:rPr>
              <w:t>Variable Energy Resource Integration Rule (RM10-11), Voluntary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05CC893" w14:textId="77777777">
            <w:pPr>
              <w:spacing w:after="0" w:line="240" w:lineRule="auto"/>
              <w:ind w:left="0" w:firstLine="0"/>
              <w:jc w:val="right"/>
              <w:rPr>
                <w:bCs/>
                <w:color w:val="auto"/>
                <w:szCs w:val="24"/>
              </w:rPr>
            </w:pPr>
            <w:r w:rsidRPr="009A5344">
              <w:rPr>
                <w:bCs/>
                <w:color w:val="auto"/>
                <w:szCs w:val="24"/>
              </w:rPr>
              <w:t>142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2875FCF" w14:textId="77777777">
            <w:pPr>
              <w:spacing w:after="0" w:line="240" w:lineRule="auto"/>
              <w:ind w:left="0" w:firstLine="0"/>
              <w:jc w:val="right"/>
              <w:rPr>
                <w:bCs/>
                <w:color w:val="auto"/>
                <w:szCs w:val="24"/>
              </w:rPr>
            </w:pPr>
            <w:r w:rsidRPr="009A5344">
              <w:rPr>
                <w:bCs/>
                <w:color w:val="auto"/>
                <w:szCs w:val="24"/>
              </w:rPr>
              <w:t>2.113</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E7348B7" w14:textId="77777777">
            <w:pPr>
              <w:spacing w:after="0" w:line="240" w:lineRule="auto"/>
              <w:ind w:left="0" w:firstLine="0"/>
              <w:jc w:val="right"/>
              <w:rPr>
                <w:bCs/>
                <w:color w:val="auto"/>
                <w:szCs w:val="24"/>
              </w:rPr>
            </w:pPr>
          </w:p>
          <w:p w:rsidRPr="009A5344" w:rsidR="00113231" w:rsidP="00113231" w:rsidRDefault="00113231" w14:paraId="67B95704" w14:textId="77777777">
            <w:pPr>
              <w:spacing w:after="0" w:line="240" w:lineRule="auto"/>
              <w:ind w:left="0" w:firstLine="0"/>
              <w:jc w:val="right"/>
              <w:rPr>
                <w:bCs/>
                <w:color w:val="auto"/>
                <w:szCs w:val="24"/>
              </w:rPr>
            </w:pPr>
          </w:p>
          <w:p w:rsidRPr="009A5344" w:rsidR="00113231" w:rsidP="00113231" w:rsidRDefault="00113231" w14:paraId="4C4C19AE" w14:textId="77777777">
            <w:pPr>
              <w:spacing w:after="0" w:line="240" w:lineRule="auto"/>
              <w:ind w:left="0" w:firstLine="0"/>
              <w:jc w:val="right"/>
              <w:rPr>
                <w:bCs/>
                <w:color w:val="auto"/>
                <w:szCs w:val="24"/>
              </w:rPr>
            </w:pPr>
          </w:p>
          <w:p w:rsidRPr="009A5344" w:rsidR="00113231" w:rsidP="00113231" w:rsidRDefault="00113231" w14:paraId="1E821143" w14:textId="77777777">
            <w:pPr>
              <w:spacing w:after="0" w:line="240" w:lineRule="auto"/>
              <w:ind w:left="0" w:firstLine="0"/>
              <w:jc w:val="right"/>
              <w:rPr>
                <w:bCs/>
                <w:color w:val="auto"/>
                <w:szCs w:val="24"/>
              </w:rPr>
            </w:pPr>
          </w:p>
          <w:p w:rsidRPr="009A5344" w:rsidR="00113231" w:rsidP="00113231" w:rsidRDefault="00113231" w14:paraId="7EDD0423" w14:textId="77777777">
            <w:pPr>
              <w:spacing w:after="0" w:line="240" w:lineRule="auto"/>
              <w:ind w:left="0" w:firstLine="0"/>
              <w:jc w:val="right"/>
              <w:rPr>
                <w:bCs/>
                <w:color w:val="auto"/>
                <w:szCs w:val="24"/>
              </w:rPr>
            </w:pPr>
            <w:r w:rsidRPr="009A5344">
              <w:rPr>
                <w:bCs/>
                <w:color w:val="auto"/>
                <w:szCs w:val="24"/>
              </w:rPr>
              <w:t>300</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FF4B9E2" w14:textId="67918839">
            <w:pPr>
              <w:spacing w:after="0" w:line="240" w:lineRule="auto"/>
              <w:ind w:left="0" w:firstLine="0"/>
              <w:jc w:val="right"/>
              <w:rPr>
                <w:bCs/>
                <w:color w:val="auto"/>
                <w:szCs w:val="24"/>
              </w:rPr>
            </w:pPr>
            <w:r w:rsidRPr="009A5344">
              <w:rPr>
                <w:bCs/>
                <w:color w:val="auto"/>
                <w:szCs w:val="24"/>
              </w:rPr>
              <w:t>29.9</w:t>
            </w:r>
            <w:r w:rsidR="009459A1">
              <w:rPr>
                <w:bCs/>
                <w:color w:val="auto"/>
                <w:szCs w:val="24"/>
              </w:rPr>
              <w:t>46</w:t>
            </w:r>
            <w:r w:rsidRPr="009A5344">
              <w:rPr>
                <w:bCs/>
                <w:color w:val="auto"/>
                <w:szCs w:val="24"/>
              </w:rPr>
              <w:t xml:space="preserve"> hrs.;</w:t>
            </w:r>
          </w:p>
          <w:p w:rsidRPr="009A5344" w:rsidR="00113231" w:rsidP="00113231" w:rsidRDefault="00113231" w14:paraId="6A8C0703" w14:textId="77777777">
            <w:pPr>
              <w:spacing w:after="0" w:line="240" w:lineRule="auto"/>
              <w:ind w:left="0" w:firstLine="0"/>
              <w:jc w:val="right"/>
              <w:rPr>
                <w:bCs/>
                <w:color w:val="auto"/>
                <w:szCs w:val="24"/>
              </w:rPr>
            </w:pPr>
            <w:r w:rsidRPr="009A5344">
              <w:rPr>
                <w:bCs/>
                <w:color w:val="auto"/>
                <w:szCs w:val="24"/>
              </w:rPr>
              <w:t>$2,485.85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8F5FE4B" w14:textId="77777777">
            <w:pPr>
              <w:spacing w:after="0" w:line="240" w:lineRule="auto"/>
              <w:ind w:left="0" w:firstLine="0"/>
              <w:jc w:val="right"/>
              <w:rPr>
                <w:bCs/>
                <w:color w:val="auto"/>
                <w:szCs w:val="24"/>
              </w:rPr>
            </w:pPr>
          </w:p>
          <w:p w:rsidRPr="009A5344" w:rsidR="00113231" w:rsidP="00113231" w:rsidRDefault="00113231" w14:paraId="302954EB" w14:textId="77777777">
            <w:pPr>
              <w:spacing w:after="0" w:line="240" w:lineRule="auto"/>
              <w:ind w:left="0" w:firstLine="0"/>
              <w:jc w:val="right"/>
              <w:rPr>
                <w:bCs/>
                <w:color w:val="auto"/>
                <w:szCs w:val="24"/>
              </w:rPr>
            </w:pPr>
          </w:p>
          <w:p w:rsidRPr="009A5344" w:rsidR="00113231" w:rsidP="00113231" w:rsidRDefault="00113231" w14:paraId="3CAB94C3" w14:textId="77777777">
            <w:pPr>
              <w:spacing w:after="0" w:line="240" w:lineRule="auto"/>
              <w:ind w:left="0" w:firstLine="0"/>
              <w:jc w:val="right"/>
              <w:rPr>
                <w:bCs/>
                <w:color w:val="auto"/>
                <w:szCs w:val="24"/>
              </w:rPr>
            </w:pPr>
          </w:p>
          <w:p w:rsidRPr="009A5344" w:rsidR="00113231" w:rsidP="00113231" w:rsidRDefault="00113231" w14:paraId="1D76CB11" w14:textId="5D7B90B7">
            <w:pPr>
              <w:spacing w:after="0" w:line="240" w:lineRule="auto"/>
              <w:ind w:left="0" w:firstLine="0"/>
              <w:jc w:val="right"/>
              <w:rPr>
                <w:bCs/>
                <w:color w:val="auto"/>
                <w:szCs w:val="24"/>
              </w:rPr>
            </w:pPr>
            <w:r w:rsidRPr="009A5344">
              <w:rPr>
                <w:bCs/>
                <w:color w:val="auto"/>
                <w:szCs w:val="24"/>
              </w:rPr>
              <w:t>8,98</w:t>
            </w:r>
            <w:r w:rsidR="009459A1">
              <w:rPr>
                <w:bCs/>
                <w:color w:val="auto"/>
                <w:szCs w:val="24"/>
              </w:rPr>
              <w:t>4</w:t>
            </w:r>
            <w:r w:rsidRPr="009A5344">
              <w:rPr>
                <w:bCs/>
                <w:color w:val="auto"/>
                <w:szCs w:val="24"/>
              </w:rPr>
              <w:t xml:space="preserve"> hrs.;</w:t>
            </w:r>
          </w:p>
          <w:p w:rsidRPr="009A5344" w:rsidR="00113231" w:rsidP="00113231" w:rsidRDefault="00113231" w14:paraId="715916ED" w14:textId="77777777">
            <w:pPr>
              <w:spacing w:after="0" w:line="240" w:lineRule="auto"/>
              <w:ind w:left="0" w:firstLine="0"/>
              <w:jc w:val="right"/>
              <w:rPr>
                <w:bCs/>
                <w:color w:val="auto"/>
                <w:szCs w:val="24"/>
              </w:rPr>
            </w:pPr>
            <w:r w:rsidRPr="009A5344">
              <w:rPr>
                <w:bCs/>
                <w:color w:val="auto"/>
                <w:szCs w:val="24"/>
              </w:rPr>
              <w:t>$745,755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1D17471" w14:textId="77777777">
            <w:pPr>
              <w:spacing w:after="0" w:line="240" w:lineRule="auto"/>
              <w:ind w:left="0" w:firstLine="0"/>
              <w:jc w:val="right"/>
              <w:rPr>
                <w:bCs/>
                <w:color w:val="auto"/>
                <w:szCs w:val="24"/>
              </w:rPr>
            </w:pPr>
            <w:r w:rsidRPr="009A5344">
              <w:rPr>
                <w:bCs/>
                <w:color w:val="auto"/>
                <w:szCs w:val="24"/>
              </w:rPr>
              <w:t>$5,251.80</w:t>
            </w:r>
          </w:p>
        </w:tc>
      </w:tr>
      <w:tr w:rsidRPr="009A5344" w:rsidR="00113231" w:rsidTr="003C58CD" w14:paraId="5A467525" w14:textId="77777777">
        <w:trPr>
          <w:trHeight w:val="2141"/>
        </w:trPr>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113231" w14:paraId="781CEE4C" w14:textId="77777777">
            <w:pPr>
              <w:spacing w:after="0" w:line="240" w:lineRule="auto"/>
              <w:ind w:left="0" w:firstLine="0"/>
              <w:rPr>
                <w:b/>
                <w:color w:val="auto"/>
                <w:szCs w:val="24"/>
              </w:rPr>
            </w:pPr>
            <w:r w:rsidRPr="009A5344">
              <w:rPr>
                <w:b/>
                <w:color w:val="auto"/>
                <w:szCs w:val="24"/>
              </w:rPr>
              <w:t>Variable Energy Resource Integration Rule, (RM10-11) Mandatory Burden</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8EEE461" w14:textId="77777777">
            <w:pPr>
              <w:spacing w:after="0" w:line="240" w:lineRule="auto"/>
              <w:ind w:left="0" w:firstLine="0"/>
              <w:jc w:val="right"/>
              <w:rPr>
                <w:bCs/>
                <w:color w:val="auto"/>
                <w:szCs w:val="24"/>
              </w:rPr>
            </w:pPr>
            <w:r w:rsidRPr="009A5344">
              <w:rPr>
                <w:bCs/>
                <w:color w:val="auto"/>
                <w:szCs w:val="24"/>
              </w:rPr>
              <w:t>294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FBC2000" w14:textId="77777777">
            <w:pPr>
              <w:spacing w:after="0" w:line="240" w:lineRule="auto"/>
              <w:ind w:left="0" w:firstLine="0"/>
              <w:jc w:val="right"/>
              <w:rPr>
                <w:bCs/>
                <w:color w:val="auto"/>
                <w:szCs w:val="24"/>
              </w:rPr>
            </w:pPr>
            <w:r w:rsidRPr="009A5344">
              <w:rPr>
                <w:bCs/>
                <w:color w:val="auto"/>
                <w:szCs w:val="24"/>
              </w:rPr>
              <w:t>1.9116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F2473C4" w14:textId="77777777">
            <w:pPr>
              <w:spacing w:after="0" w:line="240" w:lineRule="auto"/>
              <w:ind w:left="0" w:firstLine="0"/>
              <w:jc w:val="right"/>
              <w:rPr>
                <w:bCs/>
                <w:color w:val="auto"/>
                <w:szCs w:val="24"/>
              </w:rPr>
            </w:pPr>
            <w:r w:rsidRPr="009A5344">
              <w:rPr>
                <w:bCs/>
                <w:color w:val="auto"/>
                <w:szCs w:val="24"/>
              </w:rPr>
              <w:t>562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47A2941" w14:textId="77777777">
            <w:pPr>
              <w:spacing w:after="0" w:line="240" w:lineRule="auto"/>
              <w:ind w:left="0" w:firstLine="0"/>
              <w:jc w:val="right"/>
              <w:rPr>
                <w:bCs/>
                <w:color w:val="auto"/>
                <w:szCs w:val="24"/>
              </w:rPr>
            </w:pPr>
            <w:r w:rsidRPr="009A5344">
              <w:rPr>
                <w:bCs/>
                <w:color w:val="auto"/>
                <w:szCs w:val="24"/>
              </w:rPr>
              <w:t>30.91 hrs.;</w:t>
            </w:r>
          </w:p>
          <w:p w:rsidRPr="009A5344" w:rsidR="00113231" w:rsidP="00113231" w:rsidRDefault="00113231" w14:paraId="4D8D709D" w14:textId="77777777">
            <w:pPr>
              <w:spacing w:after="0" w:line="240" w:lineRule="auto"/>
              <w:ind w:left="0" w:firstLine="0"/>
              <w:jc w:val="right"/>
              <w:rPr>
                <w:bCs/>
                <w:color w:val="auto"/>
                <w:szCs w:val="24"/>
              </w:rPr>
            </w:pPr>
            <w:r w:rsidRPr="009A5344">
              <w:rPr>
                <w:bCs/>
                <w:color w:val="auto"/>
                <w:szCs w:val="24"/>
              </w:rPr>
              <w:t>$2,565.53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626143F" w14:textId="77777777">
            <w:pPr>
              <w:spacing w:after="0" w:line="240" w:lineRule="auto"/>
              <w:ind w:left="0" w:firstLine="0"/>
              <w:jc w:val="right"/>
              <w:rPr>
                <w:bCs/>
                <w:color w:val="auto"/>
                <w:szCs w:val="24"/>
              </w:rPr>
            </w:pPr>
          </w:p>
          <w:p w:rsidRPr="009A5344" w:rsidR="00113231" w:rsidP="00113231" w:rsidRDefault="00113231" w14:paraId="3DE38D3A" w14:textId="77777777">
            <w:pPr>
              <w:spacing w:after="0" w:line="240" w:lineRule="auto"/>
              <w:ind w:left="0" w:firstLine="0"/>
              <w:jc w:val="right"/>
              <w:rPr>
                <w:bCs/>
                <w:color w:val="auto"/>
                <w:szCs w:val="24"/>
              </w:rPr>
            </w:pPr>
          </w:p>
          <w:p w:rsidRPr="009A5344" w:rsidR="00113231" w:rsidP="00113231" w:rsidRDefault="00113231" w14:paraId="5DADC9D4" w14:textId="77777777">
            <w:pPr>
              <w:spacing w:after="0" w:line="240" w:lineRule="auto"/>
              <w:ind w:left="0" w:firstLine="0"/>
              <w:jc w:val="right"/>
              <w:rPr>
                <w:bCs/>
                <w:color w:val="auto"/>
                <w:szCs w:val="24"/>
              </w:rPr>
            </w:pPr>
          </w:p>
          <w:p w:rsidRPr="009A5344" w:rsidR="00113231" w:rsidP="00113231" w:rsidRDefault="00113231" w14:paraId="6F24A919" w14:textId="4539B61C">
            <w:pPr>
              <w:spacing w:after="0" w:line="240" w:lineRule="auto"/>
              <w:ind w:left="0" w:firstLine="0"/>
              <w:jc w:val="right"/>
              <w:rPr>
                <w:bCs/>
                <w:color w:val="auto"/>
                <w:szCs w:val="24"/>
              </w:rPr>
            </w:pPr>
            <w:r w:rsidRPr="009A5344">
              <w:rPr>
                <w:bCs/>
                <w:color w:val="auto"/>
                <w:szCs w:val="24"/>
              </w:rPr>
              <w:t>17,37</w:t>
            </w:r>
            <w:r w:rsidR="009459A1">
              <w:rPr>
                <w:bCs/>
                <w:color w:val="auto"/>
                <w:szCs w:val="24"/>
              </w:rPr>
              <w:t>2</w:t>
            </w:r>
            <w:r w:rsidRPr="009A5344">
              <w:rPr>
                <w:bCs/>
                <w:color w:val="auto"/>
                <w:szCs w:val="24"/>
              </w:rPr>
              <w:t xml:space="preserve"> hrs.;</w:t>
            </w:r>
          </w:p>
          <w:p w:rsidRPr="009A5344" w:rsidR="00113231" w:rsidP="00113231" w:rsidRDefault="00113231" w14:paraId="6C78112D" w14:textId="77777777">
            <w:pPr>
              <w:spacing w:after="0" w:line="240" w:lineRule="auto"/>
              <w:ind w:left="0" w:firstLine="0"/>
              <w:jc w:val="right"/>
              <w:rPr>
                <w:bCs/>
                <w:color w:val="auto"/>
                <w:szCs w:val="24"/>
              </w:rPr>
            </w:pPr>
            <w:r w:rsidRPr="009A5344">
              <w:rPr>
                <w:bCs/>
                <w:color w:val="auto"/>
                <w:szCs w:val="24"/>
              </w:rPr>
              <w:t>$1,441,827.86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537D72B" w14:textId="77777777">
            <w:pPr>
              <w:spacing w:after="0" w:line="240" w:lineRule="auto"/>
              <w:ind w:left="0" w:firstLine="0"/>
              <w:jc w:val="right"/>
              <w:rPr>
                <w:bCs/>
                <w:color w:val="auto"/>
                <w:szCs w:val="24"/>
              </w:rPr>
            </w:pPr>
            <w:r w:rsidRPr="009A5344">
              <w:rPr>
                <w:bCs/>
                <w:color w:val="auto"/>
                <w:szCs w:val="24"/>
              </w:rPr>
              <w:t>$4,904.18</w:t>
            </w:r>
          </w:p>
        </w:tc>
      </w:tr>
      <w:tr w:rsidRPr="009A5344" w:rsidR="00113231" w:rsidTr="003C58CD" w14:paraId="6A257870" w14:textId="77777777">
        <w:trPr>
          <w:trHeight w:val="1187"/>
        </w:trPr>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113231" w14:paraId="5C08F531" w14:textId="5C6AAD81">
            <w:pPr>
              <w:spacing w:after="0" w:line="240" w:lineRule="auto"/>
              <w:ind w:left="0" w:firstLine="0"/>
              <w:rPr>
                <w:b/>
                <w:color w:val="auto"/>
                <w:szCs w:val="24"/>
              </w:rPr>
            </w:pPr>
            <w:r w:rsidRPr="009A5344">
              <w:rPr>
                <w:b/>
                <w:color w:val="auto"/>
                <w:szCs w:val="24"/>
              </w:rPr>
              <w:lastRenderedPageBreak/>
              <w:t>Tariff Filings in RM05-5-020 (one-time)</w:t>
            </w:r>
            <w:r w:rsidRPr="003C58CD" w:rsidR="004D45C2">
              <w:rPr>
                <w:b/>
                <w:color w:val="auto"/>
                <w:szCs w:val="24"/>
                <w:vertAlign w:val="superscript"/>
              </w:rPr>
              <w:fldChar w:fldCharType="begin"/>
            </w:r>
            <w:r w:rsidRPr="003C58CD" w:rsidR="004D45C2">
              <w:rPr>
                <w:b/>
                <w:color w:val="auto"/>
                <w:szCs w:val="24"/>
                <w:vertAlign w:val="superscript"/>
              </w:rPr>
              <w:instrText xml:space="preserve"> NOTEREF _Ref76973672 \h </w:instrText>
            </w:r>
            <w:r w:rsidR="004D45C2">
              <w:rPr>
                <w:b/>
                <w:color w:val="auto"/>
                <w:szCs w:val="24"/>
                <w:vertAlign w:val="superscript"/>
              </w:rPr>
              <w:instrText xml:space="preserve"> \* MERGEFORMAT </w:instrText>
            </w:r>
            <w:r w:rsidRPr="003C58CD" w:rsidR="004D45C2">
              <w:rPr>
                <w:b/>
                <w:color w:val="auto"/>
                <w:szCs w:val="24"/>
                <w:vertAlign w:val="superscript"/>
              </w:rPr>
            </w:r>
            <w:r w:rsidRPr="003C58CD" w:rsidR="004D45C2">
              <w:rPr>
                <w:b/>
                <w:color w:val="auto"/>
                <w:szCs w:val="24"/>
                <w:vertAlign w:val="superscript"/>
              </w:rPr>
              <w:fldChar w:fldCharType="separate"/>
            </w:r>
            <w:r w:rsidRPr="003C58CD" w:rsidR="004D45C2">
              <w:rPr>
                <w:b/>
                <w:color w:val="auto"/>
                <w:szCs w:val="24"/>
                <w:vertAlign w:val="superscript"/>
              </w:rPr>
              <w:t>19</w:t>
            </w:r>
            <w:r w:rsidRPr="003C58CD" w:rsidR="004D45C2">
              <w:rPr>
                <w:b/>
                <w:color w:val="auto"/>
                <w:szCs w:val="24"/>
                <w:vertAlign w:val="superscript"/>
              </w:rPr>
              <w:fldChar w:fldCharType="end"/>
            </w:r>
            <w:r w:rsidRPr="004D45C2" w:rsidDel="004D45C2" w:rsidR="004D45C2">
              <w:rPr>
                <w:b/>
                <w:color w:val="auto"/>
                <w:szCs w:val="24"/>
                <w:vertAlign w:val="superscript"/>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EB33017" w14:textId="77777777">
            <w:pPr>
              <w:spacing w:after="0" w:line="240" w:lineRule="auto"/>
              <w:ind w:left="0" w:firstLine="0"/>
              <w:jc w:val="right"/>
              <w:rPr>
                <w:bCs/>
                <w:color w:val="auto"/>
                <w:szCs w:val="24"/>
              </w:rPr>
            </w:pPr>
            <w:r w:rsidRPr="009A5344">
              <w:rPr>
                <w:bCs/>
                <w:color w:val="auto"/>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B48D3A6" w14:textId="77777777">
            <w:pPr>
              <w:spacing w:after="0" w:line="240" w:lineRule="auto"/>
              <w:ind w:left="0" w:firstLine="0"/>
              <w:jc w:val="right"/>
              <w:rPr>
                <w:bCs/>
                <w:color w:val="auto"/>
                <w:szCs w:val="24"/>
              </w:rPr>
            </w:pPr>
            <w:r w:rsidRPr="009A5344">
              <w:rPr>
                <w:bCs/>
                <w:color w:val="auto"/>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3EC535B" w14:textId="77777777">
            <w:pPr>
              <w:spacing w:after="0" w:line="240" w:lineRule="auto"/>
              <w:ind w:left="0" w:firstLine="0"/>
              <w:jc w:val="right"/>
              <w:rPr>
                <w:bCs/>
                <w:color w:val="auto"/>
                <w:szCs w:val="24"/>
              </w:rPr>
            </w:pPr>
            <w:r w:rsidRPr="009A5344">
              <w:rPr>
                <w:bCs/>
                <w:color w:val="auto"/>
                <w:szCs w:val="24"/>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C46B1E9" w14:textId="77777777">
            <w:pPr>
              <w:spacing w:after="0" w:line="240" w:lineRule="auto"/>
              <w:ind w:left="0" w:firstLine="0"/>
              <w:jc w:val="right"/>
              <w:rPr>
                <w:bCs/>
                <w:color w:val="auto"/>
                <w:szCs w:val="24"/>
              </w:rPr>
            </w:pPr>
            <w:r w:rsidRPr="009A5344">
              <w:rPr>
                <w:bCs/>
                <w:color w:val="auto"/>
                <w:szCs w:val="24"/>
              </w:rPr>
              <w:t>5 hrs.;</w:t>
            </w:r>
          </w:p>
          <w:p w:rsidRPr="009A5344" w:rsidR="00113231" w:rsidP="00113231" w:rsidRDefault="00113231" w14:paraId="2F24080B" w14:textId="77777777">
            <w:pPr>
              <w:spacing w:after="0" w:line="240" w:lineRule="auto"/>
              <w:ind w:left="0" w:firstLine="0"/>
              <w:jc w:val="right"/>
              <w:rPr>
                <w:bCs/>
                <w:color w:val="auto"/>
                <w:szCs w:val="24"/>
              </w:rPr>
            </w:pPr>
            <w:r w:rsidRPr="009A5344">
              <w:rPr>
                <w:bCs/>
                <w:color w:val="auto"/>
                <w:szCs w:val="24"/>
              </w:rPr>
              <w:t>$415</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4556404" w14:textId="77777777">
            <w:pPr>
              <w:spacing w:after="0" w:line="240" w:lineRule="auto"/>
              <w:ind w:left="0" w:firstLine="0"/>
              <w:jc w:val="right"/>
              <w:rPr>
                <w:bCs/>
                <w:color w:val="auto"/>
                <w:szCs w:val="24"/>
              </w:rPr>
            </w:pPr>
            <w:r w:rsidRPr="009A5344">
              <w:rPr>
                <w:bCs/>
                <w:color w:val="auto"/>
                <w:szCs w:val="24"/>
              </w:rPr>
              <w:t>5 hrs.;</w:t>
            </w:r>
          </w:p>
          <w:p w:rsidRPr="009A5344" w:rsidR="00113231" w:rsidP="00113231" w:rsidRDefault="00113231" w14:paraId="2AEAB503" w14:textId="77777777">
            <w:pPr>
              <w:spacing w:after="0" w:line="240" w:lineRule="auto"/>
              <w:ind w:left="0" w:firstLine="0"/>
              <w:jc w:val="right"/>
              <w:rPr>
                <w:bCs/>
                <w:color w:val="auto"/>
                <w:szCs w:val="24"/>
              </w:rPr>
            </w:pPr>
            <w:r w:rsidRPr="009A5344">
              <w:rPr>
                <w:bCs/>
                <w:color w:val="auto"/>
                <w:szCs w:val="24"/>
              </w:rPr>
              <w:t>$415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92EF97A" w14:textId="77777777">
            <w:pPr>
              <w:spacing w:after="0" w:line="240" w:lineRule="auto"/>
              <w:ind w:left="0" w:firstLine="0"/>
              <w:jc w:val="right"/>
              <w:rPr>
                <w:bCs/>
                <w:color w:val="auto"/>
                <w:szCs w:val="24"/>
              </w:rPr>
            </w:pPr>
            <w:r w:rsidRPr="009A5344">
              <w:rPr>
                <w:bCs/>
                <w:color w:val="auto"/>
                <w:szCs w:val="24"/>
              </w:rPr>
              <w:t>$415</w:t>
            </w:r>
          </w:p>
        </w:tc>
      </w:tr>
      <w:tr w:rsidRPr="009A5344" w:rsidR="00113231" w:rsidTr="003C58CD" w14:paraId="7098CC63" w14:textId="77777777">
        <w:trPr>
          <w:cantSplit/>
        </w:trPr>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AE6061" w14:paraId="3A8A4697" w14:textId="201434FF">
            <w:pPr>
              <w:spacing w:after="0" w:line="240" w:lineRule="auto"/>
              <w:ind w:left="0" w:firstLine="0"/>
              <w:rPr>
                <w:b/>
                <w:color w:val="auto"/>
                <w:szCs w:val="24"/>
              </w:rPr>
            </w:pPr>
            <w:r w:rsidRPr="00AE6061">
              <w:rPr>
                <w:b/>
                <w:color w:val="auto"/>
                <w:szCs w:val="24"/>
              </w:rPr>
              <w:t xml:space="preserve">Standards for Business Practices and Communication Protocols for Public Utilities </w:t>
            </w:r>
            <w:r w:rsidRPr="009A5344" w:rsidR="00113231">
              <w:rPr>
                <w:b/>
                <w:color w:val="auto"/>
                <w:szCs w:val="24"/>
              </w:rPr>
              <w:t>Tariff Filings in RM05-5-022 (one-time)</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65C2E9E4" w14:textId="00395CE7">
            <w:pPr>
              <w:spacing w:after="0" w:line="240" w:lineRule="auto"/>
              <w:ind w:left="0" w:firstLine="0"/>
              <w:jc w:val="right"/>
              <w:rPr>
                <w:bCs/>
                <w:color w:val="auto"/>
                <w:szCs w:val="24"/>
              </w:rPr>
            </w:pPr>
            <w:r w:rsidRPr="009A5344">
              <w:rPr>
                <w:bCs/>
                <w:color w:val="auto"/>
                <w:szCs w:val="24"/>
              </w:rPr>
              <w:t>1</w:t>
            </w:r>
            <w:r w:rsidR="00CC230C">
              <w:rPr>
                <w:bCs/>
                <w:color w:val="auto"/>
                <w:szCs w:val="24"/>
              </w:rPr>
              <w:t>6</w:t>
            </w:r>
            <w:r w:rsidRPr="009A5344">
              <w:rPr>
                <w:bCs/>
                <w:color w:val="auto"/>
                <w:szCs w:val="24"/>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4208B1" w14:paraId="0193C445" w14:textId="33ADB082">
            <w:pPr>
              <w:spacing w:after="0" w:line="240" w:lineRule="auto"/>
              <w:ind w:left="0" w:firstLine="0"/>
              <w:jc w:val="right"/>
              <w:rPr>
                <w:bCs/>
                <w:color w:val="auto"/>
                <w:szCs w:val="24"/>
              </w:rPr>
            </w:pPr>
            <w:r>
              <w:rPr>
                <w:bCs/>
                <w:color w:val="auto"/>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CDD48E2" w14:textId="77777777">
            <w:pPr>
              <w:spacing w:after="0" w:line="240" w:lineRule="auto"/>
              <w:ind w:left="0" w:firstLine="0"/>
              <w:rPr>
                <w:bCs/>
                <w:color w:val="auto"/>
                <w:szCs w:val="24"/>
              </w:rPr>
            </w:pPr>
          </w:p>
          <w:p w:rsidRPr="009A5344" w:rsidR="00113231" w:rsidP="00113231" w:rsidRDefault="004208B1" w14:paraId="7041DA52" w14:textId="2959339C">
            <w:pPr>
              <w:spacing w:after="0" w:line="240" w:lineRule="auto"/>
              <w:ind w:left="0" w:firstLine="0"/>
              <w:jc w:val="right"/>
              <w:rPr>
                <w:bCs/>
                <w:color w:val="auto"/>
                <w:szCs w:val="24"/>
              </w:rPr>
            </w:pPr>
            <w:r>
              <w:rPr>
                <w:bCs/>
                <w:color w:val="auto"/>
                <w:szCs w:val="24"/>
              </w:rPr>
              <w:t>162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961676D" w14:textId="77777777">
            <w:pPr>
              <w:spacing w:after="0" w:line="240" w:lineRule="auto"/>
              <w:ind w:left="0" w:firstLine="0"/>
              <w:jc w:val="right"/>
              <w:rPr>
                <w:bCs/>
                <w:color w:val="auto"/>
                <w:szCs w:val="24"/>
              </w:rPr>
            </w:pPr>
            <w:r w:rsidRPr="009A5344">
              <w:rPr>
                <w:bCs/>
                <w:color w:val="auto"/>
                <w:szCs w:val="24"/>
              </w:rPr>
              <w:t>6 hrs.;</w:t>
            </w:r>
          </w:p>
          <w:p w:rsidRPr="009A5344" w:rsidR="00113231" w:rsidP="00113231" w:rsidRDefault="00113231" w14:paraId="18C9848F" w14:textId="77777777">
            <w:pPr>
              <w:spacing w:after="0" w:line="240" w:lineRule="auto"/>
              <w:ind w:left="0" w:firstLine="0"/>
              <w:jc w:val="right"/>
              <w:rPr>
                <w:bCs/>
                <w:color w:val="auto"/>
                <w:szCs w:val="24"/>
              </w:rPr>
            </w:pPr>
            <w:r w:rsidRPr="009A5344">
              <w:rPr>
                <w:bCs/>
                <w:color w:val="auto"/>
                <w:szCs w:val="24"/>
              </w:rPr>
              <w:t>$498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A26BF8" w:rsidRDefault="004208B1" w14:paraId="05EF3220" w14:textId="35A9DADE">
            <w:pPr>
              <w:spacing w:after="0" w:line="240" w:lineRule="auto"/>
              <w:ind w:left="0" w:firstLine="0"/>
              <w:jc w:val="right"/>
              <w:rPr>
                <w:bCs/>
                <w:color w:val="auto"/>
                <w:szCs w:val="24"/>
              </w:rPr>
            </w:pPr>
            <w:r>
              <w:rPr>
                <w:bCs/>
                <w:color w:val="auto"/>
                <w:szCs w:val="24"/>
              </w:rPr>
              <w:t>972</w:t>
            </w:r>
            <w:r w:rsidR="00426EC5">
              <w:rPr>
                <w:bCs/>
                <w:color w:val="auto"/>
                <w:szCs w:val="24"/>
              </w:rPr>
              <w:t xml:space="preserve"> </w:t>
            </w:r>
            <w:r w:rsidRPr="009A5344" w:rsidR="00113231">
              <w:rPr>
                <w:bCs/>
                <w:color w:val="auto"/>
                <w:szCs w:val="24"/>
              </w:rPr>
              <w:t>hrs.;</w:t>
            </w:r>
          </w:p>
          <w:p w:rsidRPr="009A5344" w:rsidR="00113231" w:rsidP="00426EC5" w:rsidRDefault="00113231" w14:paraId="4462B6BD" w14:textId="503E48B2">
            <w:pPr>
              <w:spacing w:after="0" w:line="240" w:lineRule="auto"/>
              <w:ind w:left="0" w:firstLine="0"/>
              <w:jc w:val="right"/>
              <w:rPr>
                <w:bCs/>
                <w:color w:val="auto"/>
                <w:szCs w:val="24"/>
              </w:rPr>
            </w:pPr>
            <w:r w:rsidRPr="009A5344">
              <w:rPr>
                <w:bCs/>
                <w:color w:val="auto"/>
                <w:szCs w:val="24"/>
              </w:rPr>
              <w:t>$</w:t>
            </w:r>
            <w:r w:rsidR="004208B1">
              <w:rPr>
                <w:bCs/>
                <w:color w:val="auto"/>
                <w:szCs w:val="24"/>
              </w:rPr>
              <w:t>80,676</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A094495" w14:textId="1E2F3F09">
            <w:pPr>
              <w:spacing w:after="0" w:line="240" w:lineRule="auto"/>
              <w:ind w:left="0" w:firstLine="0"/>
              <w:jc w:val="right"/>
              <w:rPr>
                <w:bCs/>
                <w:color w:val="auto"/>
                <w:szCs w:val="24"/>
              </w:rPr>
            </w:pPr>
            <w:r w:rsidRPr="009A5344">
              <w:rPr>
                <w:bCs/>
                <w:color w:val="auto"/>
                <w:szCs w:val="24"/>
              </w:rPr>
              <w:t>$498</w:t>
            </w:r>
          </w:p>
        </w:tc>
      </w:tr>
      <w:tr w:rsidRPr="009A5344" w:rsidR="00113231" w:rsidTr="003C58CD" w14:paraId="07E76D2F" w14:textId="77777777">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113231" w14:paraId="30E5DE03" w14:textId="77777777">
            <w:pPr>
              <w:spacing w:after="0" w:line="240" w:lineRule="auto"/>
              <w:ind w:left="0" w:firstLine="0"/>
              <w:rPr>
                <w:b/>
                <w:color w:val="auto"/>
                <w:szCs w:val="24"/>
              </w:rPr>
            </w:pPr>
            <w:r w:rsidRPr="009A5344">
              <w:rPr>
                <w:b/>
                <w:color w:val="auto"/>
                <w:szCs w:val="24"/>
              </w:rPr>
              <w:t>Tariff Filings to Reflect Primary Frequency Response Services in MBR (Final Rule in RM15-2)</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D82F03A" w14:textId="77777777">
            <w:pPr>
              <w:spacing w:after="0" w:line="240" w:lineRule="auto"/>
              <w:ind w:left="0" w:firstLine="0"/>
              <w:jc w:val="right"/>
              <w:rPr>
                <w:bCs/>
                <w:color w:val="auto"/>
                <w:szCs w:val="24"/>
              </w:rPr>
            </w:pPr>
            <w:r w:rsidRPr="009A5344">
              <w:rPr>
                <w:bCs/>
                <w:color w:val="auto"/>
                <w:szCs w:val="24"/>
              </w:rPr>
              <w:t>1,585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346EACA" w14:textId="77777777">
            <w:pPr>
              <w:spacing w:after="0" w:line="240" w:lineRule="auto"/>
              <w:ind w:left="0" w:firstLine="0"/>
              <w:jc w:val="right"/>
              <w:rPr>
                <w:bCs/>
                <w:color w:val="auto"/>
                <w:szCs w:val="24"/>
              </w:rPr>
            </w:pPr>
            <w:r w:rsidRPr="009A5344">
              <w:rPr>
                <w:bCs/>
                <w:color w:val="auto"/>
                <w:szCs w:val="24"/>
              </w:rPr>
              <w:t>0.1634</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2AA1BD3" w14:textId="77777777">
            <w:pPr>
              <w:spacing w:after="0" w:line="240" w:lineRule="auto"/>
              <w:ind w:left="0" w:firstLine="0"/>
              <w:jc w:val="right"/>
              <w:rPr>
                <w:bCs/>
                <w:color w:val="auto"/>
                <w:szCs w:val="24"/>
              </w:rPr>
            </w:pPr>
          </w:p>
          <w:p w:rsidRPr="009A5344" w:rsidR="00113231" w:rsidP="00113231" w:rsidRDefault="00113231" w14:paraId="02FA62B2" w14:textId="77777777">
            <w:pPr>
              <w:spacing w:after="0" w:line="240" w:lineRule="auto"/>
              <w:ind w:left="0" w:firstLine="0"/>
              <w:jc w:val="right"/>
              <w:rPr>
                <w:bCs/>
                <w:color w:val="auto"/>
                <w:szCs w:val="24"/>
              </w:rPr>
            </w:pPr>
          </w:p>
          <w:p w:rsidRPr="009A5344" w:rsidR="00113231" w:rsidP="00113231" w:rsidRDefault="00113231" w14:paraId="5AA8EFA6" w14:textId="77777777">
            <w:pPr>
              <w:spacing w:after="0" w:line="240" w:lineRule="auto"/>
              <w:ind w:left="0" w:firstLine="0"/>
              <w:jc w:val="right"/>
              <w:rPr>
                <w:bCs/>
                <w:color w:val="auto"/>
                <w:szCs w:val="24"/>
              </w:rPr>
            </w:pPr>
          </w:p>
          <w:p w:rsidRPr="009A5344" w:rsidR="00113231" w:rsidP="00113231" w:rsidRDefault="00113231" w14:paraId="1DFE9ADC" w14:textId="77777777">
            <w:pPr>
              <w:spacing w:after="0" w:line="240" w:lineRule="auto"/>
              <w:ind w:left="0" w:firstLine="0"/>
              <w:jc w:val="right"/>
              <w:rPr>
                <w:bCs/>
                <w:color w:val="auto"/>
                <w:szCs w:val="24"/>
              </w:rPr>
            </w:pPr>
          </w:p>
          <w:p w:rsidRPr="009A5344" w:rsidR="00113231" w:rsidP="00113231" w:rsidRDefault="00113231" w14:paraId="4B87B573" w14:textId="77777777">
            <w:pPr>
              <w:spacing w:after="0" w:line="240" w:lineRule="auto"/>
              <w:ind w:left="0" w:firstLine="0"/>
              <w:jc w:val="right"/>
              <w:rPr>
                <w:bCs/>
                <w:color w:val="auto"/>
                <w:szCs w:val="24"/>
              </w:rPr>
            </w:pPr>
          </w:p>
          <w:p w:rsidRPr="009A5344" w:rsidR="00113231" w:rsidP="00113231" w:rsidRDefault="00113231" w14:paraId="3048DA37" w14:textId="77777777">
            <w:pPr>
              <w:spacing w:after="0" w:line="240" w:lineRule="auto"/>
              <w:ind w:left="0" w:firstLine="0"/>
              <w:jc w:val="right"/>
              <w:rPr>
                <w:bCs/>
                <w:color w:val="auto"/>
                <w:szCs w:val="24"/>
              </w:rPr>
            </w:pPr>
          </w:p>
          <w:p w:rsidRPr="009A5344" w:rsidR="00113231" w:rsidP="00113231" w:rsidRDefault="00113231" w14:paraId="75E836DC" w14:textId="77777777">
            <w:pPr>
              <w:spacing w:after="0" w:line="240" w:lineRule="auto"/>
              <w:ind w:left="0" w:firstLine="0"/>
              <w:jc w:val="right"/>
              <w:rPr>
                <w:bCs/>
                <w:color w:val="auto"/>
                <w:szCs w:val="24"/>
              </w:rPr>
            </w:pPr>
            <w:r w:rsidRPr="009A5344">
              <w:rPr>
                <w:bCs/>
                <w:color w:val="auto"/>
                <w:szCs w:val="24"/>
              </w:rPr>
              <w:t>259</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688D8FAE" w14:textId="77777777">
            <w:pPr>
              <w:spacing w:after="0" w:line="240" w:lineRule="auto"/>
              <w:ind w:left="0" w:firstLine="0"/>
              <w:jc w:val="right"/>
              <w:rPr>
                <w:bCs/>
                <w:color w:val="auto"/>
                <w:szCs w:val="24"/>
              </w:rPr>
            </w:pPr>
            <w:r w:rsidRPr="009A5344">
              <w:rPr>
                <w:bCs/>
                <w:color w:val="auto"/>
                <w:szCs w:val="24"/>
              </w:rPr>
              <w:t>6 hrs.;</w:t>
            </w:r>
          </w:p>
          <w:p w:rsidRPr="009A5344" w:rsidR="00113231" w:rsidP="00113231" w:rsidRDefault="00113231" w14:paraId="19CDE67F" w14:textId="77777777">
            <w:pPr>
              <w:spacing w:after="0" w:line="240" w:lineRule="auto"/>
              <w:ind w:left="0" w:firstLine="0"/>
              <w:jc w:val="right"/>
              <w:rPr>
                <w:bCs/>
                <w:color w:val="auto"/>
                <w:szCs w:val="24"/>
              </w:rPr>
            </w:pPr>
            <w:r w:rsidRPr="009A5344">
              <w:rPr>
                <w:bCs/>
                <w:color w:val="auto"/>
                <w:szCs w:val="24"/>
              </w:rPr>
              <w:t>$498</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B105947" w14:textId="77777777">
            <w:pPr>
              <w:spacing w:after="0" w:line="240" w:lineRule="auto"/>
              <w:ind w:left="0" w:firstLine="0"/>
              <w:jc w:val="right"/>
              <w:rPr>
                <w:bCs/>
                <w:color w:val="auto"/>
                <w:szCs w:val="24"/>
              </w:rPr>
            </w:pPr>
          </w:p>
          <w:p w:rsidRPr="009A5344" w:rsidR="00113231" w:rsidP="00113231" w:rsidRDefault="00113231" w14:paraId="0D3DA2AE" w14:textId="77777777">
            <w:pPr>
              <w:spacing w:after="0" w:line="240" w:lineRule="auto"/>
              <w:ind w:left="0" w:firstLine="0"/>
              <w:jc w:val="right"/>
              <w:rPr>
                <w:bCs/>
                <w:color w:val="auto"/>
                <w:szCs w:val="24"/>
              </w:rPr>
            </w:pPr>
          </w:p>
          <w:p w:rsidRPr="009A5344" w:rsidR="00113231" w:rsidP="00113231" w:rsidRDefault="00113231" w14:paraId="1096B54C" w14:textId="77777777">
            <w:pPr>
              <w:spacing w:after="0" w:line="240" w:lineRule="auto"/>
              <w:ind w:left="0" w:firstLine="0"/>
              <w:jc w:val="right"/>
              <w:rPr>
                <w:bCs/>
                <w:color w:val="auto"/>
                <w:szCs w:val="24"/>
              </w:rPr>
            </w:pPr>
          </w:p>
          <w:p w:rsidRPr="009A5344" w:rsidR="00113231" w:rsidP="00113231" w:rsidRDefault="00113231" w14:paraId="00B5CE0D" w14:textId="77777777">
            <w:pPr>
              <w:spacing w:after="0" w:line="240" w:lineRule="auto"/>
              <w:ind w:left="0" w:firstLine="0"/>
              <w:jc w:val="right"/>
              <w:rPr>
                <w:bCs/>
                <w:color w:val="auto"/>
                <w:szCs w:val="24"/>
              </w:rPr>
            </w:pPr>
          </w:p>
          <w:p w:rsidRPr="009A5344" w:rsidR="00113231" w:rsidP="00113231" w:rsidRDefault="00113231" w14:paraId="59AE66FE" w14:textId="77777777">
            <w:pPr>
              <w:spacing w:after="0" w:line="240" w:lineRule="auto"/>
              <w:ind w:left="0" w:firstLine="0"/>
              <w:jc w:val="right"/>
              <w:rPr>
                <w:bCs/>
                <w:color w:val="auto"/>
                <w:szCs w:val="24"/>
              </w:rPr>
            </w:pPr>
          </w:p>
          <w:p w:rsidRPr="009A5344" w:rsidR="00113231" w:rsidP="00113231" w:rsidRDefault="00113231" w14:paraId="12B206CD" w14:textId="77777777">
            <w:pPr>
              <w:spacing w:after="0" w:line="240" w:lineRule="auto"/>
              <w:ind w:left="0" w:firstLine="0"/>
              <w:jc w:val="right"/>
              <w:rPr>
                <w:bCs/>
                <w:color w:val="auto"/>
                <w:szCs w:val="24"/>
              </w:rPr>
            </w:pPr>
            <w:r w:rsidRPr="009A5344">
              <w:rPr>
                <w:bCs/>
                <w:color w:val="auto"/>
                <w:szCs w:val="24"/>
              </w:rPr>
              <w:t>1,554 hrs.;</w:t>
            </w:r>
          </w:p>
          <w:p w:rsidRPr="009A5344" w:rsidR="00113231" w:rsidP="00113231" w:rsidRDefault="00113231" w14:paraId="52BBB453" w14:textId="77777777">
            <w:pPr>
              <w:spacing w:after="0" w:line="240" w:lineRule="auto"/>
              <w:ind w:left="0" w:firstLine="0"/>
              <w:jc w:val="right"/>
              <w:rPr>
                <w:bCs/>
                <w:color w:val="auto"/>
                <w:szCs w:val="24"/>
              </w:rPr>
            </w:pPr>
            <w:r w:rsidRPr="009A5344">
              <w:rPr>
                <w:bCs/>
                <w:color w:val="auto"/>
                <w:szCs w:val="24"/>
              </w:rPr>
              <w:t>$128,982</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601A36E" w14:textId="77777777">
            <w:pPr>
              <w:spacing w:after="0" w:line="240" w:lineRule="auto"/>
              <w:ind w:left="0" w:firstLine="0"/>
              <w:jc w:val="right"/>
              <w:rPr>
                <w:bCs/>
                <w:color w:val="auto"/>
                <w:szCs w:val="24"/>
              </w:rPr>
            </w:pPr>
            <w:r w:rsidRPr="009A5344">
              <w:rPr>
                <w:bCs/>
                <w:color w:val="auto"/>
                <w:szCs w:val="24"/>
              </w:rPr>
              <w:t>$81.38</w:t>
            </w:r>
          </w:p>
        </w:tc>
      </w:tr>
      <w:tr w:rsidRPr="009A5344" w:rsidR="00113231" w:rsidTr="003C58CD" w14:paraId="783D5B92" w14:textId="77777777">
        <w:tc>
          <w:tcPr>
            <w:tcW w:w="1615" w:type="dxa"/>
            <w:tcBorders>
              <w:top w:val="single" w:color="auto" w:sz="4" w:space="0"/>
              <w:left w:val="single" w:color="auto" w:sz="4" w:space="0"/>
              <w:bottom w:val="single" w:color="auto" w:sz="4" w:space="0"/>
              <w:right w:val="single" w:color="auto" w:sz="4" w:space="0"/>
            </w:tcBorders>
            <w:vAlign w:val="bottom"/>
          </w:tcPr>
          <w:p w:rsidRPr="00AE6061" w:rsidR="00AE6061" w:rsidP="00AE6061" w:rsidRDefault="00AE6061" w14:paraId="0C9F7DE8" w14:textId="77777777">
            <w:pPr>
              <w:spacing w:after="0" w:line="240" w:lineRule="auto"/>
              <w:ind w:left="0" w:firstLine="0"/>
              <w:rPr>
                <w:b/>
                <w:color w:val="auto"/>
                <w:szCs w:val="24"/>
              </w:rPr>
            </w:pPr>
            <w:r w:rsidRPr="00AE6061">
              <w:rPr>
                <w:b/>
                <w:color w:val="auto"/>
                <w:szCs w:val="24"/>
              </w:rPr>
              <w:t>Essential Reliability Services and the Evolving Bulk-Power System—Primary Frequency</w:t>
            </w:r>
          </w:p>
          <w:p w:rsidRPr="009A5344" w:rsidR="00113231" w:rsidP="00AE6061" w:rsidRDefault="00AE6061" w14:paraId="54545CB8" w14:textId="0E2214A3">
            <w:pPr>
              <w:spacing w:after="0" w:line="240" w:lineRule="auto"/>
              <w:ind w:left="0" w:firstLine="0"/>
              <w:rPr>
                <w:b/>
                <w:color w:val="auto"/>
                <w:szCs w:val="24"/>
              </w:rPr>
            </w:pPr>
            <w:r w:rsidRPr="00AE6061">
              <w:rPr>
                <w:b/>
                <w:color w:val="auto"/>
                <w:szCs w:val="24"/>
              </w:rPr>
              <w:t>Response</w:t>
            </w:r>
            <w:r w:rsidR="00352972">
              <w:rPr>
                <w:b/>
                <w:color w:val="auto"/>
                <w:szCs w:val="24"/>
              </w:rPr>
              <w:t xml:space="preserve"> </w:t>
            </w:r>
            <w:r w:rsidRPr="009A5344" w:rsidR="00113231">
              <w:rPr>
                <w:b/>
                <w:color w:val="auto"/>
                <w:szCs w:val="24"/>
              </w:rPr>
              <w:t>in RM16-6</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375E4F9" w14:textId="77777777">
            <w:pPr>
              <w:spacing w:after="0" w:line="240" w:lineRule="auto"/>
              <w:ind w:left="0" w:firstLine="0"/>
              <w:jc w:val="right"/>
              <w:rPr>
                <w:bCs/>
                <w:color w:val="auto"/>
                <w:szCs w:val="24"/>
              </w:rPr>
            </w:pPr>
            <w:r w:rsidRPr="009A5344">
              <w:rPr>
                <w:bCs/>
                <w:color w:val="auto"/>
                <w:szCs w:val="24"/>
              </w:rPr>
              <w:t>74</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CDDEE0A" w14:textId="77777777">
            <w:pPr>
              <w:spacing w:after="0" w:line="240" w:lineRule="auto"/>
              <w:ind w:left="0" w:firstLine="0"/>
              <w:jc w:val="right"/>
              <w:rPr>
                <w:bCs/>
                <w:color w:val="auto"/>
                <w:szCs w:val="24"/>
              </w:rPr>
            </w:pPr>
            <w:r w:rsidRPr="009A5344">
              <w:rPr>
                <w:bCs/>
                <w:color w:val="auto"/>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901B759" w14:textId="77777777">
            <w:pPr>
              <w:spacing w:after="0" w:line="240" w:lineRule="auto"/>
              <w:ind w:left="0" w:firstLine="0"/>
              <w:jc w:val="right"/>
              <w:rPr>
                <w:bCs/>
                <w:color w:val="auto"/>
                <w:szCs w:val="24"/>
              </w:rPr>
            </w:pPr>
          </w:p>
          <w:p w:rsidRPr="009A5344" w:rsidR="00113231" w:rsidP="00113231" w:rsidRDefault="00113231" w14:paraId="21E39046" w14:textId="77777777">
            <w:pPr>
              <w:spacing w:after="0" w:line="240" w:lineRule="auto"/>
              <w:ind w:left="0" w:firstLine="0"/>
              <w:jc w:val="right"/>
              <w:rPr>
                <w:bCs/>
                <w:color w:val="auto"/>
                <w:szCs w:val="24"/>
              </w:rPr>
            </w:pPr>
          </w:p>
          <w:p w:rsidRPr="009A5344" w:rsidR="00113231" w:rsidP="00113231" w:rsidRDefault="00113231" w14:paraId="32229716" w14:textId="77777777">
            <w:pPr>
              <w:spacing w:after="0" w:line="240" w:lineRule="auto"/>
              <w:ind w:left="0" w:firstLine="0"/>
              <w:jc w:val="right"/>
              <w:rPr>
                <w:bCs/>
                <w:color w:val="auto"/>
                <w:szCs w:val="24"/>
              </w:rPr>
            </w:pPr>
          </w:p>
          <w:p w:rsidRPr="009A5344" w:rsidR="00113231" w:rsidP="00113231" w:rsidRDefault="00113231" w14:paraId="740AEFAB" w14:textId="77777777">
            <w:pPr>
              <w:spacing w:after="0" w:line="240" w:lineRule="auto"/>
              <w:ind w:left="0" w:firstLine="0"/>
              <w:jc w:val="right"/>
              <w:rPr>
                <w:bCs/>
                <w:color w:val="auto"/>
                <w:szCs w:val="24"/>
              </w:rPr>
            </w:pPr>
          </w:p>
          <w:p w:rsidRPr="009A5344" w:rsidR="00113231" w:rsidP="00113231" w:rsidRDefault="00113231" w14:paraId="62997AAA" w14:textId="77777777">
            <w:pPr>
              <w:spacing w:after="0" w:line="240" w:lineRule="auto"/>
              <w:ind w:left="0" w:firstLine="0"/>
              <w:jc w:val="right"/>
              <w:rPr>
                <w:bCs/>
                <w:color w:val="auto"/>
                <w:szCs w:val="24"/>
              </w:rPr>
            </w:pPr>
            <w:r w:rsidRPr="009A5344">
              <w:rPr>
                <w:bCs/>
                <w:color w:val="auto"/>
                <w:szCs w:val="24"/>
              </w:rPr>
              <w:t>74</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503BC3A" w14:textId="77777777">
            <w:pPr>
              <w:spacing w:after="0" w:line="240" w:lineRule="auto"/>
              <w:ind w:left="0" w:firstLine="0"/>
              <w:jc w:val="right"/>
              <w:rPr>
                <w:bCs/>
                <w:color w:val="auto"/>
                <w:szCs w:val="24"/>
              </w:rPr>
            </w:pPr>
            <w:r w:rsidRPr="009A5344">
              <w:rPr>
                <w:bCs/>
                <w:color w:val="auto"/>
                <w:szCs w:val="24"/>
              </w:rPr>
              <w:t>10 hrs.;</w:t>
            </w:r>
          </w:p>
          <w:p w:rsidRPr="009A5344" w:rsidR="00113231" w:rsidP="00113231" w:rsidRDefault="00113231" w14:paraId="6B58C932" w14:textId="77777777">
            <w:pPr>
              <w:spacing w:after="0" w:line="240" w:lineRule="auto"/>
              <w:ind w:left="0" w:firstLine="0"/>
              <w:jc w:val="right"/>
              <w:rPr>
                <w:bCs/>
                <w:color w:val="auto"/>
                <w:szCs w:val="24"/>
              </w:rPr>
            </w:pPr>
            <w:r w:rsidRPr="009A5344">
              <w:rPr>
                <w:bCs/>
                <w:color w:val="auto"/>
                <w:szCs w:val="24"/>
              </w:rPr>
              <w:t>$830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82B71FC" w14:textId="77777777">
            <w:pPr>
              <w:spacing w:after="0" w:line="240" w:lineRule="auto"/>
              <w:ind w:left="0" w:firstLine="0"/>
              <w:jc w:val="right"/>
              <w:rPr>
                <w:bCs/>
                <w:color w:val="auto"/>
                <w:szCs w:val="24"/>
              </w:rPr>
            </w:pPr>
          </w:p>
          <w:p w:rsidRPr="009A5344" w:rsidR="00113231" w:rsidP="00113231" w:rsidRDefault="00113231" w14:paraId="45C09CE6" w14:textId="77777777">
            <w:pPr>
              <w:spacing w:after="0" w:line="240" w:lineRule="auto"/>
              <w:ind w:left="0" w:firstLine="0"/>
              <w:jc w:val="right"/>
              <w:rPr>
                <w:bCs/>
                <w:color w:val="auto"/>
                <w:szCs w:val="24"/>
              </w:rPr>
            </w:pPr>
          </w:p>
          <w:p w:rsidRPr="009A5344" w:rsidR="00113231" w:rsidP="00113231" w:rsidRDefault="00113231" w14:paraId="095000EB" w14:textId="77777777">
            <w:pPr>
              <w:spacing w:after="0" w:line="240" w:lineRule="auto"/>
              <w:ind w:left="0" w:firstLine="0"/>
              <w:jc w:val="right"/>
              <w:rPr>
                <w:bCs/>
                <w:color w:val="auto"/>
                <w:szCs w:val="24"/>
              </w:rPr>
            </w:pPr>
          </w:p>
          <w:p w:rsidRPr="009A5344" w:rsidR="00113231" w:rsidP="00113231" w:rsidRDefault="00113231" w14:paraId="5D3FF749" w14:textId="77777777">
            <w:pPr>
              <w:spacing w:after="0" w:line="240" w:lineRule="auto"/>
              <w:ind w:left="0" w:firstLine="0"/>
              <w:jc w:val="right"/>
              <w:rPr>
                <w:bCs/>
                <w:color w:val="auto"/>
                <w:szCs w:val="24"/>
              </w:rPr>
            </w:pPr>
            <w:r w:rsidRPr="009A5344">
              <w:rPr>
                <w:bCs/>
                <w:color w:val="auto"/>
                <w:szCs w:val="24"/>
              </w:rPr>
              <w:t>740 hrs.;</w:t>
            </w:r>
          </w:p>
          <w:p w:rsidRPr="009A5344" w:rsidR="00113231" w:rsidP="00113231" w:rsidRDefault="00113231" w14:paraId="79FE8308" w14:textId="77777777">
            <w:pPr>
              <w:spacing w:after="0" w:line="240" w:lineRule="auto"/>
              <w:ind w:left="0" w:firstLine="0"/>
              <w:jc w:val="right"/>
              <w:rPr>
                <w:bCs/>
                <w:color w:val="auto"/>
                <w:szCs w:val="24"/>
              </w:rPr>
            </w:pPr>
            <w:r w:rsidRPr="009A5344">
              <w:rPr>
                <w:bCs/>
                <w:color w:val="auto"/>
                <w:szCs w:val="24"/>
              </w:rPr>
              <w:t>$61,420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3F5D01B" w14:textId="77777777">
            <w:pPr>
              <w:spacing w:after="0" w:line="240" w:lineRule="auto"/>
              <w:ind w:left="0" w:firstLine="0"/>
              <w:jc w:val="right"/>
              <w:rPr>
                <w:bCs/>
                <w:color w:val="auto"/>
                <w:szCs w:val="24"/>
              </w:rPr>
            </w:pPr>
            <w:r w:rsidRPr="009A5344">
              <w:rPr>
                <w:bCs/>
                <w:color w:val="auto"/>
                <w:szCs w:val="24"/>
              </w:rPr>
              <w:t>$830</w:t>
            </w:r>
          </w:p>
        </w:tc>
      </w:tr>
      <w:tr w:rsidRPr="009A5344" w:rsidR="00113231" w:rsidTr="003C58CD" w14:paraId="446F7B81" w14:textId="77777777">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AE6061" w14:paraId="64EEDFFB" w14:textId="7043A2BB">
            <w:pPr>
              <w:spacing w:after="0" w:line="240" w:lineRule="auto"/>
              <w:ind w:left="0" w:firstLine="0"/>
              <w:rPr>
                <w:b/>
                <w:color w:val="auto"/>
                <w:szCs w:val="24"/>
              </w:rPr>
            </w:pPr>
            <w:r w:rsidRPr="00AE6061">
              <w:rPr>
                <w:b/>
                <w:color w:val="auto"/>
                <w:szCs w:val="24"/>
              </w:rPr>
              <w:t>Reform of Generator Interconnection Procedures and Agreements</w:t>
            </w:r>
            <w:r w:rsidR="00352972">
              <w:rPr>
                <w:b/>
                <w:color w:val="auto"/>
                <w:szCs w:val="24"/>
              </w:rPr>
              <w:t xml:space="preserve"> </w:t>
            </w:r>
            <w:r w:rsidRPr="009A5344" w:rsidR="00113231">
              <w:rPr>
                <w:b/>
                <w:color w:val="auto"/>
                <w:szCs w:val="24"/>
              </w:rPr>
              <w:t>in RM17-8 (ongoing)</w:t>
            </w:r>
            <w:r w:rsidRPr="009A5344" w:rsidDel="001A48E5" w:rsidR="00113231">
              <w:rPr>
                <w:color w:val="auto"/>
                <w:szCs w:val="24"/>
                <w:vertAlign w:val="superscript"/>
              </w:rPr>
              <w:t xml:space="preserve"> </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B138869" w14:textId="724CE0F4">
            <w:pPr>
              <w:spacing w:after="0" w:line="240" w:lineRule="auto"/>
              <w:ind w:left="0" w:firstLine="0"/>
              <w:jc w:val="right"/>
              <w:rPr>
                <w:bCs/>
                <w:color w:val="auto"/>
                <w:szCs w:val="24"/>
              </w:rPr>
            </w:pPr>
            <w:r w:rsidRPr="009A5344">
              <w:rPr>
                <w:bCs/>
                <w:color w:val="auto"/>
                <w:szCs w:val="24"/>
              </w:rPr>
              <w:t>1</w:t>
            </w:r>
            <w:r w:rsidR="00CC230C">
              <w:rPr>
                <w:bCs/>
                <w:color w:val="auto"/>
                <w:szCs w:val="24"/>
              </w:rPr>
              <w:t>6</w:t>
            </w:r>
            <w:r w:rsidRPr="009A5344">
              <w:rPr>
                <w:bCs/>
                <w:color w:val="auto"/>
                <w:szCs w:val="24"/>
              </w:rPr>
              <w:t>2</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764F105" w14:textId="1FB313C5">
            <w:pPr>
              <w:spacing w:after="0" w:line="240" w:lineRule="auto"/>
              <w:ind w:left="0" w:firstLine="0"/>
              <w:jc w:val="right"/>
              <w:rPr>
                <w:bCs/>
                <w:color w:val="auto"/>
                <w:szCs w:val="24"/>
              </w:rPr>
            </w:pPr>
            <w:r w:rsidRPr="009A5344">
              <w:rPr>
                <w:bCs/>
                <w:color w:val="auto"/>
                <w:szCs w:val="24"/>
              </w:rPr>
              <w:t>2.66</w:t>
            </w:r>
            <w:r w:rsidR="00012F33">
              <w:rPr>
                <w:bCs/>
                <w:color w:val="auto"/>
                <w:szCs w:val="24"/>
              </w:rPr>
              <w:t>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67F3497" w14:textId="77777777">
            <w:pPr>
              <w:spacing w:after="0" w:line="240" w:lineRule="auto"/>
              <w:ind w:left="0" w:firstLine="0"/>
              <w:jc w:val="right"/>
              <w:rPr>
                <w:bCs/>
                <w:color w:val="auto"/>
                <w:szCs w:val="24"/>
              </w:rPr>
            </w:pPr>
          </w:p>
          <w:p w:rsidRPr="009A5344" w:rsidR="00113231" w:rsidP="00113231" w:rsidRDefault="00113231" w14:paraId="091174BA" w14:textId="77777777">
            <w:pPr>
              <w:spacing w:after="0" w:line="240" w:lineRule="auto"/>
              <w:ind w:left="0" w:firstLine="0"/>
              <w:jc w:val="right"/>
              <w:rPr>
                <w:bCs/>
                <w:color w:val="auto"/>
                <w:szCs w:val="24"/>
              </w:rPr>
            </w:pPr>
          </w:p>
          <w:p w:rsidRPr="009A5344" w:rsidR="00113231" w:rsidP="00113231" w:rsidRDefault="00113231" w14:paraId="7DB7BE63" w14:textId="77777777">
            <w:pPr>
              <w:spacing w:after="0" w:line="240" w:lineRule="auto"/>
              <w:ind w:left="0" w:firstLine="0"/>
              <w:jc w:val="right"/>
              <w:rPr>
                <w:bCs/>
                <w:color w:val="auto"/>
                <w:szCs w:val="24"/>
              </w:rPr>
            </w:pPr>
          </w:p>
          <w:p w:rsidRPr="009A5344" w:rsidR="00113231" w:rsidP="00113231" w:rsidRDefault="00113231" w14:paraId="0D0FCC5C" w14:textId="77777777">
            <w:pPr>
              <w:spacing w:after="0" w:line="240" w:lineRule="auto"/>
              <w:ind w:left="0" w:firstLine="0"/>
              <w:jc w:val="right"/>
              <w:rPr>
                <w:bCs/>
                <w:color w:val="auto"/>
                <w:szCs w:val="24"/>
              </w:rPr>
            </w:pPr>
          </w:p>
          <w:p w:rsidRPr="009A5344" w:rsidR="00113231" w:rsidP="00113231" w:rsidRDefault="00113231" w14:paraId="321FAA95" w14:textId="77777777">
            <w:pPr>
              <w:spacing w:after="0" w:line="240" w:lineRule="auto"/>
              <w:ind w:left="0" w:firstLine="0"/>
              <w:jc w:val="right"/>
              <w:rPr>
                <w:bCs/>
                <w:color w:val="auto"/>
                <w:szCs w:val="24"/>
              </w:rPr>
            </w:pPr>
          </w:p>
          <w:p w:rsidRPr="009A5344" w:rsidR="00113231" w:rsidP="00113231" w:rsidRDefault="004208B1" w14:paraId="03DFE2B6" w14:textId="7C66F152">
            <w:pPr>
              <w:spacing w:after="0" w:line="240" w:lineRule="auto"/>
              <w:ind w:left="0" w:firstLine="0"/>
              <w:jc w:val="right"/>
              <w:rPr>
                <w:bCs/>
                <w:color w:val="auto"/>
                <w:szCs w:val="24"/>
              </w:rPr>
            </w:pPr>
            <w:r>
              <w:rPr>
                <w:bCs/>
                <w:color w:val="auto"/>
                <w:szCs w:val="24"/>
              </w:rPr>
              <w:t>43</w:t>
            </w:r>
            <w:r w:rsidR="00012F33">
              <w:rPr>
                <w:bCs/>
                <w:color w:val="auto"/>
                <w:szCs w:val="24"/>
              </w:rPr>
              <w:t>2</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BC1211" w:rsidR="00113231" w:rsidP="00113231" w:rsidRDefault="00113231" w14:paraId="3F0905A8" w14:textId="77777777">
            <w:pPr>
              <w:spacing w:after="0" w:line="240" w:lineRule="auto"/>
              <w:ind w:left="0" w:firstLine="0"/>
              <w:jc w:val="right"/>
              <w:rPr>
                <w:bCs/>
                <w:color w:val="auto"/>
                <w:szCs w:val="24"/>
              </w:rPr>
            </w:pPr>
            <w:r w:rsidRPr="00BC1211">
              <w:rPr>
                <w:bCs/>
                <w:color w:val="auto"/>
                <w:szCs w:val="24"/>
              </w:rPr>
              <w:t>4 hrs.;</w:t>
            </w:r>
          </w:p>
          <w:p w:rsidRPr="00BC1211" w:rsidR="00113231" w:rsidP="00113231" w:rsidRDefault="00113231" w14:paraId="582AD7F2" w14:textId="77777777">
            <w:pPr>
              <w:spacing w:after="0" w:line="240" w:lineRule="auto"/>
              <w:ind w:left="0" w:firstLine="0"/>
              <w:jc w:val="right"/>
              <w:rPr>
                <w:bCs/>
                <w:color w:val="auto"/>
                <w:szCs w:val="24"/>
              </w:rPr>
            </w:pPr>
            <w:r w:rsidRPr="00BC1211">
              <w:rPr>
                <w:bCs/>
                <w:color w:val="auto"/>
                <w:szCs w:val="24"/>
              </w:rPr>
              <w:t>$322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BC1211" w:rsidR="00113231" w:rsidP="00113231" w:rsidRDefault="00113231" w14:paraId="7EAB378D" w14:textId="77777777">
            <w:pPr>
              <w:spacing w:after="0" w:line="240" w:lineRule="auto"/>
              <w:ind w:left="0" w:firstLine="0"/>
              <w:jc w:val="right"/>
              <w:rPr>
                <w:bCs/>
                <w:color w:val="auto"/>
                <w:szCs w:val="24"/>
              </w:rPr>
            </w:pPr>
          </w:p>
          <w:p w:rsidRPr="00BC1211" w:rsidR="00113231" w:rsidP="00113231" w:rsidRDefault="00113231" w14:paraId="097F17DC" w14:textId="77777777">
            <w:pPr>
              <w:spacing w:after="0" w:line="240" w:lineRule="auto"/>
              <w:ind w:left="0" w:firstLine="0"/>
              <w:jc w:val="right"/>
              <w:rPr>
                <w:bCs/>
                <w:color w:val="auto"/>
                <w:szCs w:val="24"/>
              </w:rPr>
            </w:pPr>
          </w:p>
          <w:p w:rsidRPr="00BC1211" w:rsidR="00113231" w:rsidP="00113231" w:rsidRDefault="00113231" w14:paraId="6BC2FB4E" w14:textId="77777777">
            <w:pPr>
              <w:spacing w:after="0" w:line="240" w:lineRule="auto"/>
              <w:ind w:left="0" w:firstLine="0"/>
              <w:jc w:val="right"/>
              <w:rPr>
                <w:bCs/>
                <w:color w:val="auto"/>
                <w:szCs w:val="24"/>
              </w:rPr>
            </w:pPr>
          </w:p>
          <w:p w:rsidRPr="00BC1211" w:rsidR="00113231" w:rsidP="00113231" w:rsidRDefault="00113231" w14:paraId="322FDBDE" w14:textId="77777777">
            <w:pPr>
              <w:spacing w:after="0" w:line="240" w:lineRule="auto"/>
              <w:ind w:left="0" w:firstLine="0"/>
              <w:jc w:val="right"/>
              <w:rPr>
                <w:bCs/>
                <w:color w:val="auto"/>
                <w:szCs w:val="24"/>
              </w:rPr>
            </w:pPr>
          </w:p>
          <w:p w:rsidRPr="00BC1211" w:rsidR="00113231" w:rsidP="00113231" w:rsidRDefault="00A35603" w14:paraId="7112A94A" w14:textId="5D8861C5">
            <w:pPr>
              <w:spacing w:after="0" w:line="240" w:lineRule="auto"/>
              <w:ind w:left="0" w:firstLine="0"/>
              <w:jc w:val="right"/>
              <w:rPr>
                <w:bCs/>
                <w:color w:val="auto"/>
                <w:szCs w:val="24"/>
              </w:rPr>
            </w:pPr>
            <w:r w:rsidRPr="00BC1211">
              <w:rPr>
                <w:bCs/>
                <w:color w:val="auto"/>
                <w:szCs w:val="24"/>
              </w:rPr>
              <w:t>1,</w:t>
            </w:r>
            <w:r w:rsidRPr="00BC1211" w:rsidR="004208B1">
              <w:rPr>
                <w:bCs/>
                <w:color w:val="auto"/>
                <w:szCs w:val="24"/>
              </w:rPr>
              <w:t>72</w:t>
            </w:r>
            <w:r w:rsidRPr="00BC1211" w:rsidR="00012F33">
              <w:rPr>
                <w:bCs/>
                <w:color w:val="auto"/>
                <w:szCs w:val="24"/>
              </w:rPr>
              <w:t>8</w:t>
            </w:r>
            <w:r w:rsidRPr="00BC1211" w:rsidR="00113231">
              <w:rPr>
                <w:bCs/>
                <w:color w:val="auto"/>
                <w:szCs w:val="24"/>
              </w:rPr>
              <w:t xml:space="preserve"> hrs.;</w:t>
            </w:r>
          </w:p>
          <w:p w:rsidRPr="00BC1211" w:rsidR="00012F33" w:rsidP="00426EC5" w:rsidRDefault="00012F33" w14:paraId="73F56D52" w14:textId="1D842947">
            <w:pPr>
              <w:spacing w:after="0" w:line="240" w:lineRule="auto"/>
              <w:ind w:left="0" w:firstLine="0"/>
              <w:jc w:val="right"/>
              <w:rPr>
                <w:bCs/>
                <w:color w:val="auto"/>
                <w:szCs w:val="24"/>
              </w:rPr>
            </w:pPr>
            <w:r w:rsidRPr="00BC1211">
              <w:rPr>
                <w:bCs/>
                <w:color w:val="auto"/>
                <w:szCs w:val="24"/>
              </w:rPr>
              <w:t>$139,104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96FE34B" w14:textId="4EB0D0C4">
            <w:pPr>
              <w:spacing w:after="0" w:line="240" w:lineRule="auto"/>
              <w:ind w:left="0" w:firstLine="0"/>
              <w:jc w:val="center"/>
              <w:rPr>
                <w:bCs/>
                <w:color w:val="auto"/>
                <w:szCs w:val="24"/>
              </w:rPr>
            </w:pPr>
            <w:r w:rsidRPr="009A5344">
              <w:rPr>
                <w:bCs/>
                <w:color w:val="auto"/>
                <w:szCs w:val="24"/>
              </w:rPr>
              <w:t>$</w:t>
            </w:r>
            <w:r w:rsidRPr="00A35603" w:rsidR="00A35603">
              <w:rPr>
                <w:bCs/>
                <w:color w:val="auto"/>
                <w:szCs w:val="24"/>
              </w:rPr>
              <w:t>856.</w:t>
            </w:r>
            <w:r w:rsidR="004208B1">
              <w:rPr>
                <w:bCs/>
                <w:color w:val="auto"/>
                <w:szCs w:val="24"/>
              </w:rPr>
              <w:t>68</w:t>
            </w:r>
          </w:p>
        </w:tc>
      </w:tr>
      <w:tr w:rsidRPr="009A5344" w:rsidR="00113231" w:rsidTr="003C58CD" w14:paraId="6F953A56" w14:textId="77777777">
        <w:trPr>
          <w:cantSplit/>
        </w:trPr>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AE6061" w14:paraId="03E1D3BE" w14:textId="1E0FBA4C">
            <w:pPr>
              <w:spacing w:after="0" w:line="240" w:lineRule="auto"/>
              <w:ind w:left="0" w:firstLine="0"/>
              <w:rPr>
                <w:b/>
                <w:color w:val="auto"/>
                <w:szCs w:val="24"/>
              </w:rPr>
            </w:pPr>
            <w:r w:rsidRPr="00AE6061">
              <w:rPr>
                <w:b/>
                <w:color w:val="auto"/>
                <w:szCs w:val="24"/>
              </w:rPr>
              <w:lastRenderedPageBreak/>
              <w:t>Reform of Generator Interconnection Procedures and Agreements</w:t>
            </w:r>
            <w:r w:rsidR="00352972">
              <w:rPr>
                <w:b/>
                <w:color w:val="auto"/>
                <w:szCs w:val="24"/>
              </w:rPr>
              <w:t xml:space="preserve"> </w:t>
            </w:r>
            <w:r w:rsidRPr="009A5344" w:rsidR="00113231">
              <w:rPr>
                <w:b/>
                <w:color w:val="auto"/>
                <w:szCs w:val="24"/>
              </w:rPr>
              <w:t>in RM17-8 (one-time)</w:t>
            </w:r>
            <w:r w:rsidRPr="003C58CD" w:rsidR="004D45C2">
              <w:rPr>
                <w:b/>
                <w:color w:val="auto"/>
                <w:szCs w:val="24"/>
                <w:vertAlign w:val="superscript"/>
              </w:rPr>
              <w:fldChar w:fldCharType="begin"/>
            </w:r>
            <w:r w:rsidRPr="003C58CD" w:rsidR="004D45C2">
              <w:rPr>
                <w:b/>
                <w:color w:val="auto"/>
                <w:szCs w:val="24"/>
                <w:vertAlign w:val="superscript"/>
              </w:rPr>
              <w:instrText xml:space="preserve"> NOTEREF _Ref76973672 \h </w:instrText>
            </w:r>
            <w:r w:rsidR="004D45C2">
              <w:rPr>
                <w:b/>
                <w:color w:val="auto"/>
                <w:szCs w:val="24"/>
                <w:vertAlign w:val="superscript"/>
              </w:rPr>
              <w:instrText xml:space="preserve"> \* MERGEFORMAT </w:instrText>
            </w:r>
            <w:r w:rsidRPr="003C58CD" w:rsidR="004D45C2">
              <w:rPr>
                <w:b/>
                <w:color w:val="auto"/>
                <w:szCs w:val="24"/>
                <w:vertAlign w:val="superscript"/>
              </w:rPr>
            </w:r>
            <w:r w:rsidRPr="003C58CD" w:rsidR="004D45C2">
              <w:rPr>
                <w:b/>
                <w:color w:val="auto"/>
                <w:szCs w:val="24"/>
                <w:vertAlign w:val="superscript"/>
              </w:rPr>
              <w:fldChar w:fldCharType="separate"/>
            </w:r>
            <w:r w:rsidRPr="003C58CD" w:rsidR="004D45C2">
              <w:rPr>
                <w:b/>
                <w:color w:val="auto"/>
                <w:szCs w:val="24"/>
                <w:vertAlign w:val="superscript"/>
              </w:rPr>
              <w:t>19</w:t>
            </w:r>
            <w:r w:rsidRPr="003C58CD" w:rsidR="004D45C2">
              <w:rPr>
                <w:b/>
                <w:color w:val="auto"/>
                <w:szCs w:val="24"/>
                <w:vertAlign w:val="superscript"/>
              </w:rPr>
              <w:fldChar w:fldCharType="end"/>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0984C544" w14:textId="77777777">
            <w:pPr>
              <w:spacing w:after="0" w:line="240" w:lineRule="auto"/>
              <w:ind w:left="0" w:firstLine="0"/>
              <w:jc w:val="right"/>
              <w:rPr>
                <w:bCs/>
                <w:color w:val="auto"/>
                <w:szCs w:val="24"/>
              </w:rPr>
            </w:pPr>
            <w:r w:rsidRPr="009A5344">
              <w:rPr>
                <w:bCs/>
                <w:color w:val="auto"/>
                <w:szCs w:val="24"/>
              </w:rPr>
              <w:t>1</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45907FBE" w14:textId="77777777">
            <w:pPr>
              <w:spacing w:after="0" w:line="240" w:lineRule="auto"/>
              <w:ind w:left="0" w:firstLine="0"/>
              <w:jc w:val="right"/>
              <w:rPr>
                <w:bCs/>
                <w:color w:val="auto"/>
                <w:szCs w:val="24"/>
              </w:rPr>
            </w:pPr>
            <w:r w:rsidRPr="009A5344">
              <w:rPr>
                <w:bCs/>
                <w:color w:val="auto"/>
                <w:szCs w:val="24"/>
              </w:rPr>
              <w:t>1</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3818526" w14:textId="77777777">
            <w:pPr>
              <w:spacing w:after="0" w:line="240" w:lineRule="auto"/>
              <w:ind w:left="0" w:firstLine="0"/>
              <w:jc w:val="right"/>
              <w:rPr>
                <w:bCs/>
                <w:color w:val="auto"/>
                <w:szCs w:val="24"/>
              </w:rPr>
            </w:pPr>
            <w:r w:rsidRPr="009A5344">
              <w:rPr>
                <w:bCs/>
                <w:color w:val="auto"/>
                <w:szCs w:val="24"/>
              </w:rPr>
              <w:t>1</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ADDD693" w14:textId="77777777">
            <w:pPr>
              <w:spacing w:after="0" w:line="240" w:lineRule="auto"/>
              <w:ind w:left="0" w:firstLine="0"/>
              <w:jc w:val="right"/>
              <w:rPr>
                <w:bCs/>
                <w:color w:val="auto"/>
                <w:szCs w:val="24"/>
              </w:rPr>
            </w:pPr>
            <w:r w:rsidRPr="009A5344">
              <w:rPr>
                <w:bCs/>
                <w:color w:val="auto"/>
                <w:szCs w:val="24"/>
              </w:rPr>
              <w:t>49.41 hrs.;</w:t>
            </w:r>
          </w:p>
          <w:p w:rsidRPr="009A5344" w:rsidR="00113231" w:rsidP="00113231" w:rsidRDefault="00113231" w14:paraId="1B7DA217" w14:textId="77777777">
            <w:pPr>
              <w:spacing w:after="0" w:line="240" w:lineRule="auto"/>
              <w:ind w:left="0" w:firstLine="0"/>
              <w:jc w:val="right"/>
              <w:rPr>
                <w:bCs/>
                <w:color w:val="auto"/>
                <w:szCs w:val="24"/>
              </w:rPr>
            </w:pPr>
            <w:r w:rsidRPr="009A5344">
              <w:rPr>
                <w:bCs/>
                <w:color w:val="auto"/>
                <w:szCs w:val="24"/>
              </w:rPr>
              <w:t>$4,101.03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DC01A48" w14:textId="687305D1">
            <w:pPr>
              <w:spacing w:after="0" w:line="240" w:lineRule="auto"/>
              <w:ind w:left="0" w:firstLine="0"/>
              <w:jc w:val="right"/>
              <w:rPr>
                <w:bCs/>
                <w:color w:val="auto"/>
                <w:szCs w:val="24"/>
              </w:rPr>
            </w:pPr>
            <w:r w:rsidRPr="009A5344">
              <w:rPr>
                <w:bCs/>
                <w:color w:val="auto"/>
                <w:szCs w:val="24"/>
              </w:rPr>
              <w:t>49 hrs.;</w:t>
            </w:r>
          </w:p>
          <w:p w:rsidRPr="009A5344" w:rsidR="00113231" w:rsidP="00113231" w:rsidRDefault="00113231" w14:paraId="0DBD1267" w14:textId="77777777">
            <w:pPr>
              <w:spacing w:after="0" w:line="240" w:lineRule="auto"/>
              <w:ind w:left="0" w:firstLine="0"/>
              <w:jc w:val="right"/>
              <w:rPr>
                <w:bCs/>
                <w:color w:val="auto"/>
                <w:szCs w:val="24"/>
              </w:rPr>
            </w:pPr>
            <w:r w:rsidRPr="009A5344">
              <w:rPr>
                <w:bCs/>
                <w:color w:val="auto"/>
                <w:szCs w:val="24"/>
              </w:rPr>
              <w:t>$4,101.03</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A26BF8" w:rsidRDefault="00113231" w14:paraId="2977AF85" w14:textId="77777777">
            <w:pPr>
              <w:spacing w:after="0" w:line="240" w:lineRule="auto"/>
              <w:ind w:left="0" w:firstLine="0"/>
              <w:jc w:val="right"/>
              <w:rPr>
                <w:bCs/>
                <w:color w:val="auto"/>
                <w:szCs w:val="24"/>
              </w:rPr>
            </w:pPr>
            <w:r w:rsidRPr="009A5344">
              <w:rPr>
                <w:bCs/>
                <w:color w:val="auto"/>
                <w:szCs w:val="24"/>
              </w:rPr>
              <w:t>$4,101.03</w:t>
            </w:r>
          </w:p>
        </w:tc>
      </w:tr>
      <w:tr w:rsidRPr="009A5344" w:rsidR="00113231" w:rsidTr="003C58CD" w14:paraId="0C525D8E" w14:textId="77777777">
        <w:tc>
          <w:tcPr>
            <w:tcW w:w="1615" w:type="dxa"/>
            <w:tcBorders>
              <w:top w:val="single" w:color="auto" w:sz="4" w:space="0"/>
              <w:left w:val="single" w:color="auto" w:sz="4" w:space="0"/>
              <w:bottom w:val="single" w:color="auto" w:sz="4" w:space="0"/>
              <w:right w:val="single" w:color="auto" w:sz="4" w:space="0"/>
            </w:tcBorders>
            <w:vAlign w:val="bottom"/>
          </w:tcPr>
          <w:p w:rsidRPr="00AE6061" w:rsidR="00AE6061" w:rsidP="00AE6061" w:rsidRDefault="00AE6061" w14:paraId="197D0C89" w14:textId="77777777">
            <w:pPr>
              <w:spacing w:after="0" w:line="240" w:lineRule="auto"/>
              <w:ind w:left="0" w:firstLine="0"/>
              <w:rPr>
                <w:b/>
                <w:color w:val="auto"/>
                <w:szCs w:val="24"/>
              </w:rPr>
            </w:pPr>
            <w:r w:rsidRPr="00AE6061">
              <w:rPr>
                <w:b/>
                <w:color w:val="auto"/>
                <w:szCs w:val="24"/>
              </w:rPr>
              <w:t>Public Utility Transmission Rate Changes to Address Accumulated Deferred</w:t>
            </w:r>
          </w:p>
          <w:p w:rsidRPr="009A5344" w:rsidR="00113231" w:rsidP="00AE6061" w:rsidRDefault="00AE6061" w14:paraId="4AEBD7D9" w14:textId="6D56A1CF">
            <w:pPr>
              <w:spacing w:after="0" w:line="240" w:lineRule="auto"/>
              <w:ind w:left="0" w:firstLine="0"/>
              <w:rPr>
                <w:b/>
                <w:color w:val="auto"/>
                <w:szCs w:val="24"/>
              </w:rPr>
            </w:pPr>
            <w:r w:rsidRPr="00AE6061">
              <w:rPr>
                <w:b/>
                <w:color w:val="auto"/>
                <w:szCs w:val="24"/>
              </w:rPr>
              <w:t xml:space="preserve">Income Taxes in </w:t>
            </w:r>
            <w:r w:rsidRPr="009A5344" w:rsidR="00113231">
              <w:rPr>
                <w:b/>
                <w:color w:val="auto"/>
                <w:szCs w:val="24"/>
              </w:rPr>
              <w:t>RM19-5, one-time and ongoing</w:t>
            </w: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54C47B2B" w14:textId="77777777">
            <w:pPr>
              <w:spacing w:after="0" w:line="240" w:lineRule="auto"/>
              <w:ind w:left="0" w:firstLine="0"/>
              <w:jc w:val="right"/>
              <w:rPr>
                <w:bCs/>
                <w:color w:val="auto"/>
                <w:szCs w:val="24"/>
              </w:rPr>
            </w:pPr>
            <w:r w:rsidRPr="009A5344">
              <w:rPr>
                <w:bCs/>
                <w:color w:val="auto"/>
                <w:szCs w:val="24"/>
              </w:rPr>
              <w:t>106</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0B60A93" w14:textId="20CCB80B">
            <w:pPr>
              <w:spacing w:after="0" w:line="240" w:lineRule="auto"/>
              <w:ind w:left="0" w:firstLine="0"/>
              <w:jc w:val="right"/>
              <w:rPr>
                <w:bCs/>
                <w:color w:val="auto"/>
                <w:szCs w:val="24"/>
              </w:rPr>
            </w:pPr>
            <w:r w:rsidRPr="009A5344">
              <w:rPr>
                <w:bCs/>
                <w:color w:val="auto"/>
                <w:szCs w:val="24"/>
              </w:rPr>
              <w:t>1.66</w:t>
            </w:r>
            <w:r w:rsidR="004208B1">
              <w:rPr>
                <w:bCs/>
                <w:color w:val="auto"/>
                <w:szCs w:val="24"/>
              </w:rPr>
              <w:t>6</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32C056BC" w14:textId="77777777">
            <w:pPr>
              <w:spacing w:after="0" w:line="240" w:lineRule="auto"/>
              <w:ind w:left="0" w:firstLine="0"/>
              <w:jc w:val="right"/>
              <w:rPr>
                <w:bCs/>
                <w:color w:val="auto"/>
                <w:szCs w:val="24"/>
              </w:rPr>
            </w:pPr>
            <w:r w:rsidRPr="009A5344">
              <w:rPr>
                <w:bCs/>
                <w:color w:val="auto"/>
                <w:szCs w:val="24"/>
              </w:rPr>
              <w:t>177</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7CC4005" w14:textId="75F47FDA">
            <w:pPr>
              <w:spacing w:after="0" w:line="240" w:lineRule="auto"/>
              <w:ind w:left="0" w:firstLine="0"/>
              <w:jc w:val="right"/>
              <w:rPr>
                <w:bCs/>
                <w:color w:val="auto"/>
                <w:szCs w:val="24"/>
              </w:rPr>
            </w:pPr>
            <w:r w:rsidRPr="009A5344">
              <w:rPr>
                <w:bCs/>
                <w:color w:val="auto"/>
                <w:szCs w:val="24"/>
              </w:rPr>
              <w:t>13.57</w:t>
            </w:r>
            <w:r w:rsidR="00012F33">
              <w:rPr>
                <w:bCs/>
                <w:color w:val="auto"/>
                <w:szCs w:val="24"/>
              </w:rPr>
              <w:t>44</w:t>
            </w:r>
            <w:r w:rsidRPr="009A5344">
              <w:rPr>
                <w:bCs/>
                <w:color w:val="auto"/>
                <w:szCs w:val="24"/>
              </w:rPr>
              <w:t xml:space="preserve"> hrs.;</w:t>
            </w:r>
          </w:p>
          <w:p w:rsidRPr="009A5344" w:rsidR="00113231" w:rsidP="00113231" w:rsidRDefault="00113231" w14:paraId="11C0AB81" w14:textId="6BACACC8">
            <w:pPr>
              <w:spacing w:after="0" w:line="240" w:lineRule="auto"/>
              <w:ind w:left="0" w:firstLine="0"/>
              <w:jc w:val="right"/>
              <w:rPr>
                <w:bCs/>
                <w:color w:val="auto"/>
                <w:szCs w:val="24"/>
              </w:rPr>
            </w:pPr>
            <w:r w:rsidRPr="009A5344">
              <w:rPr>
                <w:bCs/>
                <w:color w:val="auto"/>
                <w:szCs w:val="24"/>
              </w:rPr>
              <w:t>$1,126.</w:t>
            </w:r>
            <w:r w:rsidR="00012F33">
              <w:rPr>
                <w:bCs/>
                <w:color w:val="auto"/>
                <w:szCs w:val="24"/>
              </w:rPr>
              <w:t>67</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780235F" w14:textId="6191D2A2">
            <w:pPr>
              <w:spacing w:after="0" w:line="240" w:lineRule="auto"/>
              <w:ind w:left="0" w:firstLine="0"/>
              <w:jc w:val="right"/>
              <w:rPr>
                <w:bCs/>
                <w:color w:val="auto"/>
                <w:szCs w:val="24"/>
              </w:rPr>
            </w:pPr>
            <w:r w:rsidRPr="009A5344">
              <w:rPr>
                <w:bCs/>
                <w:color w:val="auto"/>
                <w:szCs w:val="24"/>
              </w:rPr>
              <w:t>2,40</w:t>
            </w:r>
            <w:r w:rsidR="00012F33">
              <w:rPr>
                <w:bCs/>
                <w:color w:val="auto"/>
                <w:szCs w:val="24"/>
              </w:rPr>
              <w:t>3</w:t>
            </w:r>
            <w:r w:rsidRPr="009A5344">
              <w:rPr>
                <w:bCs/>
                <w:color w:val="auto"/>
                <w:szCs w:val="24"/>
              </w:rPr>
              <w:t xml:space="preserve"> hrs.;</w:t>
            </w:r>
          </w:p>
          <w:p w:rsidRPr="009A5344" w:rsidR="00113231" w:rsidP="00113231" w:rsidRDefault="00113231" w14:paraId="79D9AD21" w14:textId="55877EA4">
            <w:pPr>
              <w:spacing w:after="0" w:line="240" w:lineRule="auto"/>
              <w:ind w:left="0" w:firstLine="0"/>
              <w:jc w:val="right"/>
              <w:rPr>
                <w:bCs/>
                <w:color w:val="auto"/>
                <w:szCs w:val="24"/>
              </w:rPr>
            </w:pPr>
            <w:r w:rsidRPr="009A5344">
              <w:rPr>
                <w:bCs/>
                <w:color w:val="auto"/>
                <w:szCs w:val="24"/>
              </w:rPr>
              <w:t>$199,</w:t>
            </w:r>
            <w:r w:rsidR="00012F33">
              <w:rPr>
                <w:bCs/>
                <w:color w:val="auto"/>
                <w:szCs w:val="24"/>
              </w:rPr>
              <w:t>421.51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2ED3BEFB" w14:textId="58CFEA63">
            <w:pPr>
              <w:spacing w:after="0" w:line="240" w:lineRule="auto"/>
              <w:ind w:left="0" w:firstLine="0"/>
              <w:jc w:val="center"/>
              <w:rPr>
                <w:bCs/>
                <w:color w:val="auto"/>
                <w:szCs w:val="24"/>
              </w:rPr>
            </w:pPr>
            <w:r w:rsidRPr="009A5344">
              <w:rPr>
                <w:bCs/>
                <w:color w:val="auto"/>
                <w:szCs w:val="24"/>
              </w:rPr>
              <w:t>$1,88</w:t>
            </w:r>
            <w:r w:rsidR="00012F33">
              <w:rPr>
                <w:bCs/>
                <w:color w:val="auto"/>
                <w:szCs w:val="24"/>
              </w:rPr>
              <w:t>1.24</w:t>
            </w:r>
          </w:p>
        </w:tc>
      </w:tr>
      <w:tr w:rsidRPr="009A5344" w:rsidR="00113231" w:rsidTr="003C58CD" w14:paraId="5868504D" w14:textId="77777777">
        <w:tc>
          <w:tcPr>
            <w:tcW w:w="1615" w:type="dxa"/>
            <w:tcBorders>
              <w:top w:val="single" w:color="auto" w:sz="4" w:space="0"/>
              <w:left w:val="single" w:color="auto" w:sz="4" w:space="0"/>
              <w:bottom w:val="single" w:color="auto" w:sz="4" w:space="0"/>
              <w:right w:val="single" w:color="auto" w:sz="4" w:space="0"/>
            </w:tcBorders>
            <w:vAlign w:val="bottom"/>
          </w:tcPr>
          <w:p w:rsidRPr="009A5344" w:rsidR="00113231" w:rsidP="00113231" w:rsidRDefault="00113231" w14:paraId="4EDBD72B" w14:textId="1D55A3E6">
            <w:pPr>
              <w:spacing w:after="0" w:line="240" w:lineRule="auto"/>
              <w:ind w:left="0" w:firstLine="0"/>
              <w:rPr>
                <w:b/>
                <w:color w:val="auto"/>
                <w:szCs w:val="24"/>
              </w:rPr>
            </w:pPr>
            <w:r w:rsidRPr="009A5344">
              <w:rPr>
                <w:b/>
                <w:color w:val="auto"/>
                <w:szCs w:val="24"/>
              </w:rPr>
              <w:t>Total Burden for FERC-516</w:t>
            </w:r>
          </w:p>
        </w:tc>
        <w:tc>
          <w:tcPr>
            <w:tcW w:w="2430" w:type="dxa"/>
            <w:gridSpan w:val="2"/>
            <w:tcBorders>
              <w:top w:val="single" w:color="auto" w:sz="4" w:space="0"/>
              <w:left w:val="single" w:color="auto" w:sz="4" w:space="0"/>
              <w:bottom w:val="single" w:color="auto" w:sz="4" w:space="0"/>
              <w:right w:val="single" w:color="auto" w:sz="4" w:space="0"/>
            </w:tcBorders>
            <w:shd w:val="clear" w:color="auto" w:fill="D9D9D9"/>
            <w:vAlign w:val="bottom"/>
          </w:tcPr>
          <w:p w:rsidRPr="009A5344" w:rsidR="00113231" w:rsidP="00113231" w:rsidRDefault="00113231" w14:paraId="62DA6A81" w14:textId="77777777">
            <w:pPr>
              <w:spacing w:after="0" w:line="240" w:lineRule="auto"/>
              <w:ind w:left="0" w:firstLine="0"/>
              <w:jc w:val="right"/>
              <w:rPr>
                <w:bCs/>
                <w:color w:val="auto"/>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7034C78E" w14:textId="76AD0FD6">
            <w:pPr>
              <w:spacing w:after="0" w:line="240" w:lineRule="auto"/>
              <w:ind w:left="0" w:firstLine="0"/>
              <w:jc w:val="right"/>
              <w:rPr>
                <w:bCs/>
                <w:color w:val="auto"/>
                <w:szCs w:val="24"/>
              </w:rPr>
            </w:pPr>
            <w:bookmarkStart w:name="_Hlk72404824" w:id="7"/>
            <w:r w:rsidRPr="009A5344">
              <w:rPr>
                <w:bCs/>
                <w:color w:val="auto"/>
                <w:szCs w:val="24"/>
              </w:rPr>
              <w:t>6,</w:t>
            </w:r>
            <w:r w:rsidR="004208B1">
              <w:rPr>
                <w:bCs/>
                <w:color w:val="auto"/>
                <w:szCs w:val="24"/>
              </w:rPr>
              <w:t>5</w:t>
            </w:r>
            <w:r w:rsidR="00A776A7">
              <w:rPr>
                <w:bCs/>
                <w:color w:val="auto"/>
                <w:szCs w:val="24"/>
              </w:rPr>
              <w:t>10</w:t>
            </w:r>
            <w:bookmarkEnd w:id="7"/>
          </w:p>
        </w:tc>
        <w:tc>
          <w:tcPr>
            <w:tcW w:w="1260" w:type="dxa"/>
            <w:tcBorders>
              <w:top w:val="single" w:color="auto" w:sz="4" w:space="0"/>
              <w:left w:val="single" w:color="auto" w:sz="4" w:space="0"/>
              <w:bottom w:val="single" w:color="auto" w:sz="4" w:space="0"/>
              <w:right w:val="single" w:color="auto" w:sz="4" w:space="0"/>
            </w:tcBorders>
            <w:shd w:val="clear" w:color="auto" w:fill="D9D9D9"/>
            <w:vAlign w:val="bottom"/>
          </w:tcPr>
          <w:p w:rsidRPr="009A5344" w:rsidR="00113231" w:rsidP="00113231" w:rsidRDefault="00113231" w14:paraId="33D8739F" w14:textId="77777777">
            <w:pPr>
              <w:spacing w:after="0" w:line="240" w:lineRule="auto"/>
              <w:ind w:left="0" w:firstLine="0"/>
              <w:jc w:val="right"/>
              <w:rPr>
                <w:bCs/>
                <w:color w:val="auto"/>
                <w:szCs w:val="24"/>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bottom"/>
          </w:tcPr>
          <w:p w:rsidRPr="009A5344" w:rsidR="00113231" w:rsidP="00113231" w:rsidRDefault="00113231" w14:paraId="11D856EF" w14:textId="77777777">
            <w:pPr>
              <w:spacing w:after="0" w:line="240" w:lineRule="auto"/>
              <w:ind w:left="0" w:firstLine="0"/>
              <w:jc w:val="right"/>
              <w:rPr>
                <w:bCs/>
                <w:color w:val="auto"/>
                <w:szCs w:val="24"/>
              </w:rPr>
            </w:pPr>
          </w:p>
          <w:p w:rsidRPr="009A5344" w:rsidR="00113231" w:rsidP="00113231" w:rsidRDefault="004208B1" w14:paraId="338BBCD5" w14:textId="185AD148">
            <w:pPr>
              <w:spacing w:after="0" w:line="240" w:lineRule="auto"/>
              <w:ind w:left="0" w:firstLine="0"/>
              <w:jc w:val="right"/>
              <w:rPr>
                <w:bCs/>
                <w:color w:val="auto"/>
                <w:szCs w:val="24"/>
              </w:rPr>
            </w:pPr>
            <w:bookmarkStart w:name="_Hlk75784016" w:id="8"/>
            <w:bookmarkStart w:name="_Hlk72404787" w:id="9"/>
            <w:r>
              <w:rPr>
                <w:bCs/>
                <w:color w:val="auto"/>
                <w:szCs w:val="24"/>
              </w:rPr>
              <w:t>503,4</w:t>
            </w:r>
            <w:bookmarkEnd w:id="8"/>
            <w:r w:rsidR="00012F33">
              <w:rPr>
                <w:bCs/>
                <w:color w:val="auto"/>
                <w:szCs w:val="24"/>
              </w:rPr>
              <w:t>86</w:t>
            </w:r>
            <w:r w:rsidR="00426EC5">
              <w:rPr>
                <w:bCs/>
                <w:color w:val="auto"/>
                <w:szCs w:val="24"/>
              </w:rPr>
              <w:t xml:space="preserve"> </w:t>
            </w:r>
            <w:bookmarkEnd w:id="9"/>
            <w:r w:rsidRPr="009A5344" w:rsidR="00113231">
              <w:rPr>
                <w:bCs/>
                <w:color w:val="auto"/>
                <w:szCs w:val="24"/>
              </w:rPr>
              <w:t>hrs.;</w:t>
            </w:r>
          </w:p>
          <w:p w:rsidRPr="009A5344" w:rsidR="00113231" w:rsidP="00113231" w:rsidRDefault="00113231" w14:paraId="12D7FF17" w14:textId="4ECD80DE">
            <w:pPr>
              <w:spacing w:after="0" w:line="240" w:lineRule="auto"/>
              <w:ind w:left="0" w:firstLine="0"/>
              <w:jc w:val="right"/>
              <w:rPr>
                <w:bCs/>
                <w:color w:val="auto"/>
                <w:szCs w:val="24"/>
              </w:rPr>
            </w:pPr>
            <w:r w:rsidRPr="009A5344">
              <w:rPr>
                <w:bCs/>
                <w:color w:val="auto"/>
                <w:szCs w:val="24"/>
              </w:rPr>
              <w:t>$</w:t>
            </w:r>
            <w:r w:rsidR="004208B1">
              <w:rPr>
                <w:bCs/>
                <w:color w:val="auto"/>
                <w:szCs w:val="24"/>
              </w:rPr>
              <w:t>41,784,</w:t>
            </w:r>
            <w:r w:rsidR="00BC1211">
              <w:rPr>
                <w:bCs/>
                <w:color w:val="auto"/>
                <w:szCs w:val="24"/>
              </w:rPr>
              <w:t>4</w:t>
            </w:r>
            <w:r w:rsidR="00A776A7">
              <w:rPr>
                <w:bCs/>
                <w:color w:val="auto"/>
                <w:szCs w:val="24"/>
              </w:rPr>
              <w:t>29</w:t>
            </w:r>
            <w:r w:rsidR="00BC1211">
              <w:rPr>
                <w:bCs/>
                <w:color w:val="auto"/>
                <w:szCs w:val="24"/>
              </w:rPr>
              <w:t>.</w:t>
            </w:r>
            <w:r w:rsidR="00A776A7">
              <w:rPr>
                <w:bCs/>
                <w:color w:val="auto"/>
                <w:szCs w:val="24"/>
              </w:rPr>
              <w:t>18</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tcPr>
          <w:p w:rsidRPr="009A5344" w:rsidR="00113231" w:rsidP="00A26BF8" w:rsidRDefault="00113231" w14:paraId="0361C251" w14:textId="4A123B6F">
            <w:pPr>
              <w:spacing w:after="0" w:line="240" w:lineRule="auto"/>
              <w:ind w:left="0" w:firstLine="0"/>
              <w:jc w:val="right"/>
              <w:rPr>
                <w:bCs/>
                <w:color w:val="auto"/>
                <w:szCs w:val="24"/>
              </w:rPr>
            </w:pPr>
          </w:p>
        </w:tc>
      </w:tr>
    </w:tbl>
    <w:p w:rsidRPr="009A5344" w:rsidR="00113231" w:rsidP="003960AC" w:rsidRDefault="00113231" w14:paraId="407EFE34" w14:textId="57DC69E5">
      <w:pPr>
        <w:tabs>
          <w:tab w:val="num" w:pos="720"/>
        </w:tabs>
        <w:spacing w:after="0" w:line="240" w:lineRule="auto"/>
        <w:ind w:left="0" w:firstLine="0"/>
        <w:rPr>
          <w:szCs w:val="24"/>
        </w:rPr>
      </w:pPr>
    </w:p>
    <w:p w:rsidRPr="009A5344" w:rsidR="00DD755B" w:rsidP="008B2C5F" w:rsidRDefault="00383548" w14:paraId="04AA4D5D" w14:textId="0E4AB3E6">
      <w:pPr>
        <w:pStyle w:val="Heading1"/>
        <w:ind w:left="0" w:firstLine="0"/>
        <w:rPr>
          <w:szCs w:val="24"/>
        </w:rPr>
      </w:pPr>
      <w:r w:rsidRPr="009A5344">
        <w:rPr>
          <w:bCs/>
          <w:szCs w:val="24"/>
        </w:rPr>
        <w:t>13.</w:t>
      </w:r>
      <w:r w:rsidRPr="009A5344">
        <w:rPr>
          <w:rFonts w:eastAsia="Arial"/>
          <w:b w:val="0"/>
          <w:szCs w:val="24"/>
        </w:rPr>
        <w:t xml:space="preserve"> </w:t>
      </w:r>
      <w:r w:rsidRPr="009A5344">
        <w:rPr>
          <w:szCs w:val="24"/>
        </w:rPr>
        <w:t>ESTIMATE OF THE TOTAL ANNUAL COST BURDEN TO RESPONDENTS</w:t>
      </w:r>
      <w:r w:rsidRPr="009A5344">
        <w:rPr>
          <w:b w:val="0"/>
          <w:szCs w:val="24"/>
        </w:rPr>
        <w:t xml:space="preserve"> </w:t>
      </w:r>
    </w:p>
    <w:p w:rsidRPr="009A5344" w:rsidR="00DD755B" w:rsidRDefault="00383548" w14:paraId="1466A063" w14:textId="77777777">
      <w:pPr>
        <w:spacing w:after="0" w:line="259" w:lineRule="auto"/>
        <w:ind w:left="0" w:firstLine="0"/>
        <w:rPr>
          <w:szCs w:val="24"/>
        </w:rPr>
      </w:pPr>
      <w:r w:rsidRPr="009A5344">
        <w:rPr>
          <w:szCs w:val="24"/>
        </w:rPr>
        <w:t>There are no start-up or other non-labor costs.</w:t>
      </w:r>
    </w:p>
    <w:p w:rsidRPr="009A5344" w:rsidR="00DD755B" w:rsidRDefault="00DD755B" w14:paraId="4023A0E6" w14:textId="77777777">
      <w:pPr>
        <w:spacing w:after="0" w:line="259" w:lineRule="auto"/>
        <w:ind w:left="360" w:firstLine="0"/>
        <w:rPr>
          <w:szCs w:val="24"/>
        </w:rPr>
      </w:pPr>
    </w:p>
    <w:p w:rsidRPr="009A5344" w:rsidR="00DD755B" w:rsidRDefault="00383548" w14:paraId="31E07478" w14:textId="77777777">
      <w:pPr>
        <w:spacing w:after="0" w:line="259" w:lineRule="auto"/>
        <w:ind w:left="720" w:firstLine="0"/>
        <w:rPr>
          <w:szCs w:val="24"/>
        </w:rPr>
      </w:pPr>
      <w:r w:rsidRPr="009A5344">
        <w:rPr>
          <w:szCs w:val="24"/>
        </w:rPr>
        <w:t>Total Capital and Start-up cost: $0</w:t>
      </w:r>
    </w:p>
    <w:p w:rsidRPr="009A5344" w:rsidR="00DD755B" w:rsidRDefault="00383548" w14:paraId="0AE0DC10" w14:textId="77777777">
      <w:pPr>
        <w:spacing w:after="0" w:line="259" w:lineRule="auto"/>
        <w:ind w:left="720" w:firstLine="0"/>
        <w:rPr>
          <w:szCs w:val="24"/>
        </w:rPr>
      </w:pPr>
      <w:r w:rsidRPr="009A5344">
        <w:rPr>
          <w:szCs w:val="24"/>
        </w:rPr>
        <w:t>Total Operation, Maintenance, and Purchase of Services: $0</w:t>
      </w:r>
    </w:p>
    <w:p w:rsidRPr="009A5344" w:rsidR="00DD755B" w:rsidRDefault="00DD755B" w14:paraId="6F671BB0" w14:textId="77777777">
      <w:pPr>
        <w:spacing w:after="0" w:line="259" w:lineRule="auto"/>
        <w:ind w:left="360" w:firstLine="0"/>
        <w:rPr>
          <w:szCs w:val="24"/>
        </w:rPr>
      </w:pPr>
    </w:p>
    <w:p w:rsidRPr="009A5344" w:rsidR="00DD755B" w:rsidRDefault="00383548" w14:paraId="619E32E2" w14:textId="218EC59B">
      <w:pPr>
        <w:spacing w:after="0" w:line="259" w:lineRule="auto"/>
        <w:ind w:left="0" w:firstLine="0"/>
        <w:rPr>
          <w:szCs w:val="24"/>
        </w:rPr>
      </w:pPr>
      <w:r w:rsidRPr="009A5344">
        <w:rPr>
          <w:szCs w:val="24"/>
        </w:rPr>
        <w:t>All of the costs associated with burden hours (labor) a</w:t>
      </w:r>
      <w:r w:rsidRPr="009A5344" w:rsidR="00863A4D">
        <w:rPr>
          <w:szCs w:val="24"/>
        </w:rPr>
        <w:t>re</w:t>
      </w:r>
      <w:r w:rsidRPr="009A5344">
        <w:rPr>
          <w:szCs w:val="24"/>
        </w:rPr>
        <w:t xml:space="preserve"> described in Questions #12 and #15 in this supporting statement.</w:t>
      </w:r>
    </w:p>
    <w:p w:rsidRPr="009A5344" w:rsidR="00DD755B" w:rsidRDefault="00DD755B" w14:paraId="0D13035D" w14:textId="77777777">
      <w:pPr>
        <w:spacing w:after="0" w:line="259" w:lineRule="auto"/>
        <w:ind w:left="360" w:firstLine="0"/>
        <w:rPr>
          <w:szCs w:val="24"/>
        </w:rPr>
      </w:pPr>
    </w:p>
    <w:p w:rsidRPr="009A5344" w:rsidR="00DD755B" w:rsidP="008B2C5F" w:rsidRDefault="00383548" w14:paraId="70F25B54" w14:textId="7CC11A7D">
      <w:pPr>
        <w:pStyle w:val="Heading1"/>
        <w:ind w:left="0" w:firstLine="0"/>
        <w:rPr>
          <w:szCs w:val="24"/>
        </w:rPr>
      </w:pPr>
      <w:r w:rsidRPr="009A5344">
        <w:rPr>
          <w:bCs/>
          <w:szCs w:val="24"/>
        </w:rPr>
        <w:t>14.</w:t>
      </w:r>
      <w:r w:rsidRPr="009A5344">
        <w:rPr>
          <w:rFonts w:eastAsia="Arial"/>
          <w:b w:val="0"/>
          <w:szCs w:val="24"/>
        </w:rPr>
        <w:t xml:space="preserve"> </w:t>
      </w:r>
      <w:r w:rsidRPr="009A5344">
        <w:rPr>
          <w:szCs w:val="24"/>
        </w:rPr>
        <w:t>ESTIMATED ANNUALIZED COST TO FEDERAL GOVERNMENT</w:t>
      </w:r>
      <w:r w:rsidRPr="009A5344">
        <w:rPr>
          <w:b w:val="0"/>
          <w:szCs w:val="24"/>
        </w:rPr>
        <w:t xml:space="preserve"> </w:t>
      </w:r>
    </w:p>
    <w:p w:rsidRPr="009A5344" w:rsidR="00DD755B" w:rsidRDefault="00383548" w14:paraId="1CA6A7BE" w14:textId="70DA7B1E">
      <w:pPr>
        <w:spacing w:after="0" w:line="240" w:lineRule="auto"/>
        <w:ind w:left="0" w:firstLine="0"/>
        <w:rPr>
          <w:rFonts w:eastAsiaTheme="minorHAnsi"/>
          <w:color w:val="auto"/>
          <w:szCs w:val="24"/>
        </w:rPr>
      </w:pPr>
      <w:r w:rsidRPr="009A5344">
        <w:rPr>
          <w:rFonts w:eastAsiaTheme="minorHAnsi"/>
          <w:color w:val="auto"/>
          <w:szCs w:val="24"/>
        </w:rPr>
        <w:t xml:space="preserve">The estimates of the cost for analysis and processing of filings are based on salaries and benefits for professional and clerical support.  The </w:t>
      </w:r>
      <w:r w:rsidRPr="009A5344" w:rsidR="00863A4D">
        <w:rPr>
          <w:rFonts w:eastAsiaTheme="minorHAnsi"/>
          <w:color w:val="auto"/>
          <w:szCs w:val="24"/>
        </w:rPr>
        <w:t xml:space="preserve">estimated </w:t>
      </w:r>
      <w:r w:rsidRPr="009A5344">
        <w:rPr>
          <w:rFonts w:eastAsiaTheme="minorHAnsi"/>
          <w:color w:val="auto"/>
          <w:szCs w:val="24"/>
        </w:rPr>
        <w:t>cost represents staff analysis, decision-making, and review of any actual filings submitted in response to the information collection.</w:t>
      </w:r>
    </w:p>
    <w:p w:rsidRPr="009A5344" w:rsidR="00DD755B" w:rsidRDefault="00DD755B" w14:paraId="407DF22D" w14:textId="77777777">
      <w:pPr>
        <w:spacing w:after="0" w:line="240" w:lineRule="auto"/>
        <w:ind w:left="0" w:firstLine="0"/>
        <w:rPr>
          <w:rFonts w:eastAsiaTheme="minorHAnsi"/>
          <w:color w:val="auto"/>
          <w:szCs w:val="24"/>
        </w:rPr>
      </w:pPr>
    </w:p>
    <w:p w:rsidR="00DD755B" w:rsidRDefault="00383548" w14:paraId="3AC06D22" w14:textId="53EE30F1">
      <w:pPr>
        <w:spacing w:after="0" w:line="240" w:lineRule="auto"/>
        <w:ind w:left="0" w:firstLine="0"/>
        <w:rPr>
          <w:rFonts w:eastAsiaTheme="minorHAnsi"/>
          <w:color w:val="auto"/>
          <w:szCs w:val="24"/>
        </w:rPr>
      </w:pPr>
      <w:r w:rsidRPr="009A5344">
        <w:rPr>
          <w:rFonts w:eastAsiaTheme="minorHAnsi"/>
          <w:color w:val="auto"/>
          <w:szCs w:val="24"/>
        </w:rPr>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other changes to the collection, and publications in the Federal Register.</w:t>
      </w:r>
    </w:p>
    <w:p w:rsidR="00ED0044" w:rsidRDefault="00ED0044" w14:paraId="73D86657" w14:textId="35A2FABE">
      <w:pPr>
        <w:spacing w:after="0" w:line="240" w:lineRule="auto"/>
        <w:ind w:left="0" w:firstLine="0"/>
        <w:rPr>
          <w:rFonts w:eastAsiaTheme="minorHAnsi"/>
          <w:color w:val="auto"/>
          <w:szCs w:val="24"/>
        </w:rPr>
      </w:pPr>
    </w:p>
    <w:p w:rsidR="00ED0044" w:rsidRDefault="00ED0044" w14:paraId="487A0CE3" w14:textId="67353F4A">
      <w:pPr>
        <w:spacing w:after="0" w:line="240" w:lineRule="auto"/>
        <w:ind w:left="0" w:firstLine="0"/>
        <w:rPr>
          <w:rFonts w:eastAsiaTheme="minorHAnsi"/>
          <w:color w:val="auto"/>
          <w:szCs w:val="24"/>
        </w:rPr>
      </w:pPr>
      <w:r w:rsidRPr="00ED0044">
        <w:rPr>
          <w:rFonts w:eastAsiaTheme="minorHAnsi"/>
          <w:color w:val="auto"/>
          <w:szCs w:val="24"/>
        </w:rPr>
        <w:lastRenderedPageBreak/>
        <w:t xml:space="preserve">Since there are one-time filings </w:t>
      </w:r>
      <w:r w:rsidR="00A6212B">
        <w:rPr>
          <w:rFonts w:eastAsiaTheme="minorHAnsi"/>
          <w:color w:val="auto"/>
          <w:szCs w:val="24"/>
        </w:rPr>
        <w:t>and</w:t>
      </w:r>
      <w:r w:rsidRPr="00ED0044">
        <w:rPr>
          <w:rFonts w:eastAsiaTheme="minorHAnsi"/>
          <w:color w:val="auto"/>
          <w:szCs w:val="24"/>
        </w:rPr>
        <w:t xml:space="preserve"> periodical filings; this is our best approximation based on the amount of FTEs specified in all 11 final rules.</w:t>
      </w:r>
    </w:p>
    <w:p w:rsidRPr="009A5344" w:rsidR="009213B4" w:rsidRDefault="009213B4" w14:paraId="6C13C0EB" w14:textId="77777777">
      <w:pPr>
        <w:spacing w:after="0" w:line="240" w:lineRule="auto"/>
        <w:ind w:left="0" w:firstLine="0"/>
        <w:rPr>
          <w:rFonts w:eastAsiaTheme="minorHAnsi"/>
          <w:color w:val="auto"/>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686"/>
        <w:gridCol w:w="3149"/>
        <w:gridCol w:w="2515"/>
      </w:tblGrid>
      <w:tr w:rsidRPr="009A5344" w:rsidR="00DD755B" w14:paraId="5902C307" w14:textId="77777777">
        <w:tc>
          <w:tcPr>
            <w:tcW w:w="1971" w:type="pct"/>
            <w:tcBorders>
              <w:top w:val="single" w:color="auto" w:sz="4" w:space="0"/>
              <w:left w:val="single" w:color="auto" w:sz="4" w:space="0"/>
              <w:bottom w:val="single" w:color="auto" w:sz="4" w:space="0"/>
              <w:right w:val="single" w:color="auto" w:sz="4" w:space="0"/>
            </w:tcBorders>
            <w:shd w:val="clear" w:color="auto" w:fill="D9D9D9"/>
            <w:vAlign w:val="bottom"/>
          </w:tcPr>
          <w:p w:rsidRPr="009A5344" w:rsidR="00DD755B" w:rsidRDefault="00DD755B" w14:paraId="1D9DF94A" w14:textId="77777777">
            <w:pPr>
              <w:spacing w:after="160" w:line="259" w:lineRule="auto"/>
              <w:ind w:left="0" w:firstLine="0"/>
              <w:jc w:val="center"/>
              <w:rPr>
                <w:rFonts w:eastAsiaTheme="minorHAnsi"/>
                <w:b/>
                <w:color w:val="auto"/>
                <w:szCs w:val="24"/>
              </w:rPr>
            </w:pP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DD755B" w:rsidRDefault="00383548" w14:paraId="50713D90" w14:textId="77777777">
            <w:pPr>
              <w:spacing w:after="160" w:line="259" w:lineRule="auto"/>
              <w:ind w:left="0" w:firstLine="0"/>
              <w:jc w:val="center"/>
              <w:rPr>
                <w:rFonts w:eastAsiaTheme="minorHAnsi"/>
                <w:b/>
                <w:color w:val="auto"/>
                <w:szCs w:val="24"/>
              </w:rPr>
            </w:pPr>
            <w:r w:rsidRPr="009A5344">
              <w:rPr>
                <w:rFonts w:eastAsiaTheme="minorHAnsi"/>
                <w:b/>
                <w:color w:val="auto"/>
                <w:szCs w:val="24"/>
              </w:rPr>
              <w:t>Number of Employees (Full-Time Equivalents [FTE])</w:t>
            </w:r>
          </w:p>
        </w:tc>
        <w:tc>
          <w:tcPr>
            <w:tcW w:w="134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9A5344" w:rsidR="00DD755B" w:rsidRDefault="00383548" w14:paraId="23539834" w14:textId="77777777">
            <w:pPr>
              <w:spacing w:after="160" w:line="259" w:lineRule="auto"/>
              <w:ind w:left="0" w:firstLine="0"/>
              <w:jc w:val="center"/>
              <w:rPr>
                <w:rFonts w:eastAsiaTheme="minorHAnsi"/>
                <w:b/>
                <w:color w:val="auto"/>
                <w:szCs w:val="24"/>
              </w:rPr>
            </w:pPr>
            <w:r w:rsidRPr="009A5344">
              <w:rPr>
                <w:rFonts w:eastAsiaTheme="minorHAnsi"/>
                <w:b/>
                <w:color w:val="auto"/>
                <w:szCs w:val="24"/>
              </w:rPr>
              <w:t>Estimated Annual Federal Cost</w:t>
            </w:r>
          </w:p>
        </w:tc>
      </w:tr>
      <w:tr w:rsidRPr="009A5344" w:rsidR="00DD755B" w14:paraId="0DD930E1"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9A5344" w:rsidR="00DD755B" w:rsidRDefault="00383548" w14:paraId="5A00CFF7" w14:textId="01E97230">
            <w:pPr>
              <w:spacing w:after="0" w:line="259" w:lineRule="auto"/>
              <w:ind w:left="0" w:firstLine="0"/>
              <w:rPr>
                <w:rFonts w:eastAsiaTheme="minorHAnsi"/>
                <w:color w:val="auto"/>
                <w:szCs w:val="24"/>
              </w:rPr>
            </w:pPr>
            <w:r w:rsidRPr="009A5344">
              <w:rPr>
                <w:rFonts w:eastAsiaTheme="minorHAnsi"/>
                <w:color w:val="auto"/>
                <w:szCs w:val="24"/>
              </w:rPr>
              <w:t>Analysis and Processing of FERC-516</w:t>
            </w:r>
            <w:r w:rsidRPr="009A5344">
              <w:rPr>
                <w:rFonts w:eastAsiaTheme="minorHAnsi"/>
                <w:color w:val="auto"/>
                <w:szCs w:val="24"/>
                <w:vertAlign w:val="superscript"/>
              </w:rPr>
              <w:footnoteReference w:id="21"/>
            </w:r>
          </w:p>
        </w:tc>
        <w:tc>
          <w:tcPr>
            <w:tcW w:w="1684" w:type="pct"/>
            <w:tcBorders>
              <w:top w:val="single" w:color="auto" w:sz="4" w:space="0"/>
              <w:left w:val="single" w:color="auto" w:sz="4" w:space="0"/>
              <w:bottom w:val="single" w:color="auto" w:sz="4" w:space="0"/>
              <w:right w:val="single" w:color="auto" w:sz="4" w:space="0"/>
            </w:tcBorders>
            <w:vAlign w:val="bottom"/>
            <w:hideMark/>
          </w:tcPr>
          <w:p w:rsidRPr="009A5344" w:rsidR="00DD755B" w:rsidRDefault="004D45C2" w14:paraId="6C370A33" w14:textId="73CE47CB">
            <w:pPr>
              <w:spacing w:after="160" w:line="259" w:lineRule="auto"/>
              <w:ind w:left="0" w:firstLine="0"/>
              <w:jc w:val="right"/>
              <w:rPr>
                <w:rFonts w:eastAsiaTheme="minorHAnsi"/>
                <w:color w:val="auto"/>
                <w:szCs w:val="24"/>
              </w:rPr>
            </w:pPr>
            <w:r>
              <w:rPr>
                <w:rFonts w:eastAsiaTheme="minorHAnsi"/>
                <w:color w:val="auto"/>
                <w:szCs w:val="24"/>
              </w:rPr>
              <w:t>20</w:t>
            </w:r>
            <w:r w:rsidR="0015414D">
              <w:rPr>
                <w:rStyle w:val="FootnoteReference"/>
                <w:rFonts w:eastAsiaTheme="minorHAnsi"/>
                <w:color w:val="auto"/>
                <w:szCs w:val="24"/>
              </w:rPr>
              <w:footnoteReference w:id="22"/>
            </w:r>
          </w:p>
        </w:tc>
        <w:tc>
          <w:tcPr>
            <w:tcW w:w="1345" w:type="pct"/>
            <w:tcBorders>
              <w:top w:val="single" w:color="auto" w:sz="4" w:space="0"/>
              <w:left w:val="single" w:color="auto" w:sz="4" w:space="0"/>
              <w:bottom w:val="single" w:color="auto" w:sz="4" w:space="0"/>
              <w:right w:val="single" w:color="auto" w:sz="4" w:space="0"/>
            </w:tcBorders>
            <w:vAlign w:val="bottom"/>
            <w:hideMark/>
          </w:tcPr>
          <w:p w:rsidRPr="009A5344" w:rsidR="00DD755B" w:rsidRDefault="00F31B4C" w14:paraId="168F2DB5" w14:textId="4BA524F8">
            <w:pPr>
              <w:spacing w:after="160" w:line="259" w:lineRule="auto"/>
              <w:ind w:left="0" w:firstLine="0"/>
              <w:jc w:val="right"/>
              <w:rPr>
                <w:rFonts w:eastAsiaTheme="minorHAnsi"/>
                <w:color w:val="auto"/>
                <w:szCs w:val="24"/>
              </w:rPr>
            </w:pPr>
            <w:r w:rsidRPr="009A5344">
              <w:rPr>
                <w:rFonts w:eastAsiaTheme="minorHAnsi"/>
                <w:color w:val="auto"/>
                <w:szCs w:val="24"/>
              </w:rPr>
              <w:t>$</w:t>
            </w:r>
            <w:r w:rsidR="00AE6061">
              <w:rPr>
                <w:rFonts w:eastAsiaTheme="minorHAnsi"/>
                <w:color w:val="auto"/>
                <w:szCs w:val="24"/>
              </w:rPr>
              <w:t>3</w:t>
            </w:r>
            <w:r w:rsidR="004D45C2">
              <w:rPr>
                <w:rFonts w:eastAsiaTheme="minorHAnsi"/>
                <w:color w:val="auto"/>
                <w:szCs w:val="24"/>
              </w:rPr>
              <w:t>,</w:t>
            </w:r>
            <w:r w:rsidR="00AE6061">
              <w:rPr>
                <w:rFonts w:eastAsiaTheme="minorHAnsi"/>
                <w:color w:val="auto"/>
                <w:szCs w:val="24"/>
              </w:rPr>
              <w:t>44</w:t>
            </w:r>
            <w:r w:rsidR="004D45C2">
              <w:rPr>
                <w:rFonts w:eastAsiaTheme="minorHAnsi"/>
                <w:color w:val="auto"/>
                <w:szCs w:val="24"/>
              </w:rPr>
              <w:t>6</w:t>
            </w:r>
            <w:r w:rsidR="00AE6061">
              <w:rPr>
                <w:rFonts w:eastAsiaTheme="minorHAnsi"/>
                <w:color w:val="auto"/>
                <w:szCs w:val="24"/>
              </w:rPr>
              <w:t>,</w:t>
            </w:r>
            <w:r w:rsidR="004D45C2">
              <w:rPr>
                <w:rFonts w:eastAsiaTheme="minorHAnsi"/>
                <w:color w:val="auto"/>
                <w:szCs w:val="24"/>
              </w:rPr>
              <w:t>580</w:t>
            </w:r>
            <w:r w:rsidRPr="009A5344" w:rsidR="00383548">
              <w:rPr>
                <w:rFonts w:eastAsiaTheme="minorHAnsi"/>
                <w:color w:val="auto"/>
                <w:szCs w:val="24"/>
              </w:rPr>
              <w:t xml:space="preserve"> </w:t>
            </w:r>
          </w:p>
        </w:tc>
      </w:tr>
      <w:tr w:rsidRPr="009A5344" w:rsidR="00DD755B" w14:paraId="4CF404FF"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9A5344" w:rsidR="00DD755B" w:rsidRDefault="00383548" w14:paraId="3FC36FD3" w14:textId="2F5E1568">
            <w:pPr>
              <w:spacing w:after="0" w:line="259" w:lineRule="auto"/>
              <w:ind w:left="0" w:firstLine="0"/>
              <w:rPr>
                <w:rFonts w:eastAsiaTheme="minorHAnsi"/>
                <w:color w:val="auto"/>
                <w:szCs w:val="24"/>
              </w:rPr>
            </w:pPr>
            <w:r w:rsidRPr="009A5344">
              <w:rPr>
                <w:rFonts w:eastAsiaTheme="minorHAnsi"/>
                <w:color w:val="auto"/>
                <w:szCs w:val="24"/>
              </w:rPr>
              <w:t>PRA</w:t>
            </w:r>
            <w:r w:rsidRPr="009A5344">
              <w:rPr>
                <w:rFonts w:eastAsiaTheme="minorHAnsi"/>
                <w:color w:val="auto"/>
                <w:szCs w:val="24"/>
                <w:vertAlign w:val="superscript"/>
              </w:rPr>
              <w:footnoteReference w:id="23"/>
            </w:r>
            <w:r w:rsidRPr="009A5344">
              <w:rPr>
                <w:rFonts w:eastAsiaTheme="minorHAnsi"/>
                <w:color w:val="auto"/>
                <w:szCs w:val="24"/>
              </w:rPr>
              <w:t xml:space="preserve"> Administrative Cost </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Pr="009A5344" w:rsidR="00DD755B" w:rsidRDefault="00DD755B" w14:paraId="47A5D395" w14:textId="77777777">
            <w:pPr>
              <w:spacing w:after="160" w:line="259" w:lineRule="auto"/>
              <w:ind w:left="0" w:firstLine="0"/>
              <w:jc w:val="right"/>
              <w:rPr>
                <w:rFonts w:eastAsiaTheme="minorHAnsi"/>
                <w:b/>
                <w:color w:val="auto"/>
                <w:szCs w:val="24"/>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Pr="009A5344" w:rsidR="00DD755B" w:rsidRDefault="005D4A6E" w14:paraId="3FB2E47A" w14:textId="476812F1">
            <w:pPr>
              <w:spacing w:after="160" w:line="259" w:lineRule="auto"/>
              <w:ind w:left="0" w:firstLine="0"/>
              <w:jc w:val="right"/>
              <w:rPr>
                <w:rFonts w:eastAsiaTheme="minorHAnsi"/>
                <w:color w:val="auto"/>
                <w:szCs w:val="24"/>
              </w:rPr>
            </w:pPr>
            <w:r w:rsidRPr="009A5344">
              <w:rPr>
                <w:rFonts w:eastAsiaTheme="minorHAnsi"/>
                <w:color w:val="auto"/>
                <w:szCs w:val="24"/>
              </w:rPr>
              <w:t>$6,475</w:t>
            </w:r>
          </w:p>
        </w:tc>
      </w:tr>
      <w:tr w:rsidRPr="009A5344" w:rsidR="00DD755B" w14:paraId="6D91583B" w14:textId="77777777">
        <w:tc>
          <w:tcPr>
            <w:tcW w:w="1971" w:type="pct"/>
            <w:tcBorders>
              <w:top w:val="single" w:color="auto" w:sz="4" w:space="0"/>
              <w:left w:val="single" w:color="auto" w:sz="4" w:space="0"/>
              <w:bottom w:val="single" w:color="auto" w:sz="4" w:space="0"/>
              <w:right w:val="single" w:color="auto" w:sz="4" w:space="0"/>
            </w:tcBorders>
            <w:vAlign w:val="center"/>
            <w:hideMark/>
          </w:tcPr>
          <w:p w:rsidRPr="009A5344" w:rsidR="00DD755B" w:rsidRDefault="00383548" w14:paraId="48707AF6" w14:textId="77777777">
            <w:pPr>
              <w:spacing w:after="0" w:line="259" w:lineRule="auto"/>
              <w:ind w:left="0" w:firstLine="0"/>
              <w:rPr>
                <w:rFonts w:eastAsiaTheme="minorHAnsi"/>
                <w:color w:val="auto"/>
                <w:szCs w:val="24"/>
              </w:rPr>
            </w:pPr>
            <w:r w:rsidRPr="009A5344">
              <w:rPr>
                <w:rFonts w:eastAsiaTheme="minorHAnsi"/>
                <w:color w:val="auto"/>
                <w:szCs w:val="24"/>
              </w:rPr>
              <w:t>FERC Total</w:t>
            </w:r>
          </w:p>
        </w:tc>
        <w:tc>
          <w:tcPr>
            <w:tcW w:w="1684" w:type="pct"/>
            <w:tcBorders>
              <w:top w:val="single" w:color="auto" w:sz="4" w:space="0"/>
              <w:left w:val="single" w:color="auto" w:sz="4" w:space="0"/>
              <w:bottom w:val="single" w:color="auto" w:sz="4" w:space="0"/>
              <w:right w:val="single" w:color="auto" w:sz="4" w:space="0"/>
            </w:tcBorders>
            <w:shd w:val="clear" w:color="auto" w:fill="D9D9D9"/>
            <w:vAlign w:val="bottom"/>
          </w:tcPr>
          <w:p w:rsidRPr="009A5344" w:rsidR="00DD755B" w:rsidRDefault="00DD755B" w14:paraId="1E29FE6B" w14:textId="77777777">
            <w:pPr>
              <w:spacing w:after="160" w:line="259" w:lineRule="auto"/>
              <w:ind w:left="0" w:firstLine="0"/>
              <w:jc w:val="right"/>
              <w:rPr>
                <w:rFonts w:eastAsiaTheme="minorHAnsi"/>
                <w:b/>
                <w:color w:val="auto"/>
                <w:szCs w:val="24"/>
              </w:rPr>
            </w:pPr>
          </w:p>
        </w:tc>
        <w:tc>
          <w:tcPr>
            <w:tcW w:w="1345" w:type="pct"/>
            <w:tcBorders>
              <w:top w:val="single" w:color="auto" w:sz="4" w:space="0"/>
              <w:left w:val="single" w:color="auto" w:sz="4" w:space="0"/>
              <w:bottom w:val="single" w:color="auto" w:sz="4" w:space="0"/>
              <w:right w:val="single" w:color="auto" w:sz="4" w:space="0"/>
            </w:tcBorders>
            <w:vAlign w:val="bottom"/>
            <w:hideMark/>
          </w:tcPr>
          <w:p w:rsidRPr="009A5344" w:rsidR="00DD755B" w:rsidRDefault="00383548" w14:paraId="4C121A8C" w14:textId="19880FFE">
            <w:pPr>
              <w:spacing w:after="160" w:line="259" w:lineRule="auto"/>
              <w:ind w:left="0" w:firstLine="0"/>
              <w:jc w:val="right"/>
              <w:rPr>
                <w:rFonts w:eastAsiaTheme="minorHAnsi"/>
                <w:color w:val="auto"/>
                <w:szCs w:val="24"/>
              </w:rPr>
            </w:pPr>
            <w:r w:rsidRPr="009A5344">
              <w:rPr>
                <w:rFonts w:eastAsiaTheme="minorHAnsi"/>
                <w:color w:val="auto"/>
                <w:szCs w:val="24"/>
              </w:rPr>
              <w:t>$</w:t>
            </w:r>
            <w:r w:rsidR="00AE6061">
              <w:rPr>
                <w:rFonts w:eastAsiaTheme="minorHAnsi"/>
                <w:color w:val="auto"/>
                <w:szCs w:val="24"/>
              </w:rPr>
              <w:t>3</w:t>
            </w:r>
            <w:r w:rsidR="004D45C2">
              <w:rPr>
                <w:rFonts w:eastAsiaTheme="minorHAnsi"/>
                <w:color w:val="auto"/>
                <w:szCs w:val="24"/>
              </w:rPr>
              <w:t>,4</w:t>
            </w:r>
            <w:r w:rsidR="00AE6061">
              <w:rPr>
                <w:rFonts w:eastAsiaTheme="minorHAnsi"/>
                <w:color w:val="auto"/>
                <w:szCs w:val="24"/>
              </w:rPr>
              <w:t>5</w:t>
            </w:r>
            <w:r w:rsidR="004D45C2">
              <w:rPr>
                <w:rFonts w:eastAsiaTheme="minorHAnsi"/>
                <w:color w:val="auto"/>
                <w:szCs w:val="24"/>
              </w:rPr>
              <w:t>3,055</w:t>
            </w:r>
          </w:p>
        </w:tc>
      </w:tr>
    </w:tbl>
    <w:p w:rsidRPr="009A5344" w:rsidR="00DD755B" w:rsidRDefault="00DD755B" w14:paraId="7BF2B46F" w14:textId="77777777">
      <w:pPr>
        <w:spacing w:after="0" w:line="259" w:lineRule="auto"/>
        <w:ind w:left="0" w:firstLine="0"/>
        <w:rPr>
          <w:b/>
          <w:szCs w:val="24"/>
        </w:rPr>
      </w:pPr>
    </w:p>
    <w:p w:rsidRPr="009A5344" w:rsidR="00DD755B" w:rsidP="008B2C5F" w:rsidRDefault="00383548" w14:paraId="2689C49F" w14:textId="30258C72">
      <w:pPr>
        <w:pStyle w:val="Heading1"/>
        <w:ind w:left="0" w:firstLine="0"/>
        <w:rPr>
          <w:szCs w:val="24"/>
        </w:rPr>
      </w:pPr>
      <w:r w:rsidRPr="009A5344">
        <w:rPr>
          <w:bCs/>
          <w:szCs w:val="24"/>
        </w:rPr>
        <w:t>15</w:t>
      </w:r>
      <w:r w:rsidRPr="009A5344">
        <w:rPr>
          <w:b w:val="0"/>
          <w:szCs w:val="24"/>
        </w:rPr>
        <w:t>.</w:t>
      </w:r>
      <w:r w:rsidRPr="009A5344">
        <w:rPr>
          <w:rFonts w:eastAsia="Arial"/>
          <w:b w:val="0"/>
          <w:szCs w:val="24"/>
        </w:rPr>
        <w:t xml:space="preserve"> </w:t>
      </w:r>
      <w:r w:rsidRPr="009A5344">
        <w:rPr>
          <w:szCs w:val="24"/>
        </w:rPr>
        <w:t>REASONS FOR CHANGES IN BURDEN INCLUDING THE NEED FOR ANY INCREASE</w:t>
      </w:r>
      <w:r w:rsidRPr="009A5344">
        <w:rPr>
          <w:b w:val="0"/>
          <w:szCs w:val="24"/>
        </w:rPr>
        <w:t xml:space="preserve"> </w:t>
      </w:r>
    </w:p>
    <w:p w:rsidRPr="009A5344" w:rsidR="00C41333" w:rsidP="00C41333" w:rsidRDefault="00DF6C2D" w14:paraId="510C8D57" w14:textId="3883F21E">
      <w:pPr>
        <w:ind w:left="10"/>
        <w:rPr>
          <w:color w:val="auto"/>
          <w:szCs w:val="24"/>
        </w:rPr>
      </w:pPr>
      <w:r>
        <w:rPr>
          <w:color w:val="auto"/>
          <w:szCs w:val="24"/>
        </w:rPr>
        <w:t xml:space="preserve">Program Decreases.  </w:t>
      </w:r>
      <w:r w:rsidRPr="009A5344" w:rsidR="009213B4">
        <w:rPr>
          <w:color w:val="auto"/>
          <w:szCs w:val="24"/>
        </w:rPr>
        <w:t xml:space="preserve">The one-time filings required in Order 845 (in Docket No. RM17-8), Order 755 (in Docket No. RM11-7), and Order 676-G (in Docket No. RM05-05-020) are complete and </w:t>
      </w:r>
      <w:r w:rsidRPr="00A26BF8" w:rsidR="009213B4">
        <w:rPr>
          <w:i/>
          <w:iCs/>
          <w:color w:val="auto"/>
          <w:szCs w:val="24"/>
        </w:rPr>
        <w:t>reduce the total</w:t>
      </w:r>
      <w:r w:rsidRPr="009A5344" w:rsidR="009213B4">
        <w:rPr>
          <w:color w:val="auto"/>
          <w:szCs w:val="24"/>
        </w:rPr>
        <w:t xml:space="preserve"> </w:t>
      </w:r>
      <w:r w:rsidRPr="00A26BF8" w:rsidR="009213B4">
        <w:rPr>
          <w:i/>
          <w:iCs/>
          <w:color w:val="auto"/>
          <w:szCs w:val="24"/>
        </w:rPr>
        <w:t>number of respondents and hourly burden</w:t>
      </w:r>
      <w:r w:rsidRPr="009A5344" w:rsidR="009213B4">
        <w:rPr>
          <w:color w:val="auto"/>
          <w:szCs w:val="24"/>
        </w:rPr>
        <w:t>.</w:t>
      </w:r>
      <w:r w:rsidRPr="009A5344" w:rsidR="009F7590">
        <w:rPr>
          <w:rStyle w:val="FootnoteReference"/>
          <w:color w:val="auto"/>
          <w:sz w:val="24"/>
          <w:szCs w:val="24"/>
        </w:rPr>
        <w:footnoteReference w:id="24"/>
      </w:r>
      <w:r w:rsidRPr="009A5344" w:rsidR="009F7590">
        <w:rPr>
          <w:color w:val="auto"/>
          <w:szCs w:val="24"/>
        </w:rPr>
        <w:t xml:space="preserve"> </w:t>
      </w:r>
      <w:r w:rsidRPr="009A5344" w:rsidR="009213B4">
        <w:rPr>
          <w:color w:val="auto"/>
          <w:szCs w:val="24"/>
        </w:rPr>
        <w:t xml:space="preserve"> Because Order Nos. 845, 755, </w:t>
      </w:r>
      <w:r w:rsidRPr="009A5344" w:rsidR="007450DD">
        <w:rPr>
          <w:color w:val="auto"/>
          <w:szCs w:val="24"/>
        </w:rPr>
        <w:t xml:space="preserve">and </w:t>
      </w:r>
      <w:r w:rsidRPr="009A5344" w:rsidR="009213B4">
        <w:rPr>
          <w:color w:val="auto"/>
          <w:szCs w:val="24"/>
        </w:rPr>
        <w:t xml:space="preserve">676-G remain a one-time filing requirement for transmission organizations, the burden associated with this data collections will result only if a new transmission organization enters FERC jurisdiction.  One response for one new transmission organization is being used as a placeholder </w:t>
      </w:r>
      <w:r w:rsidRPr="009A5344" w:rsidR="009F7590">
        <w:rPr>
          <w:color w:val="auto"/>
          <w:szCs w:val="24"/>
        </w:rPr>
        <w:t xml:space="preserve">(in the table on question 12) </w:t>
      </w:r>
      <w:r w:rsidRPr="009A5344" w:rsidR="009213B4">
        <w:rPr>
          <w:color w:val="auto"/>
          <w:szCs w:val="24"/>
        </w:rPr>
        <w:t>for a possible application from such a new transmission organization with an organized electricity market.</w:t>
      </w:r>
      <w:r w:rsidRPr="009A5344" w:rsidR="00863A4D">
        <w:rPr>
          <w:rStyle w:val="FootnoteReference"/>
          <w:color w:val="auto"/>
          <w:sz w:val="24"/>
          <w:szCs w:val="24"/>
        </w:rPr>
        <w:footnoteReference w:id="25"/>
      </w:r>
      <w:r w:rsidR="00374D78">
        <w:rPr>
          <w:color w:val="auto"/>
          <w:szCs w:val="24"/>
        </w:rPr>
        <w:t xml:space="preserve">  </w:t>
      </w:r>
      <w:r w:rsidR="00C41333">
        <w:rPr>
          <w:color w:val="auto"/>
          <w:szCs w:val="24"/>
        </w:rPr>
        <w:t xml:space="preserve">This results in a program change (decrease) of </w:t>
      </w:r>
      <w:r w:rsidR="00250554">
        <w:rPr>
          <w:color w:val="auto"/>
          <w:szCs w:val="24"/>
        </w:rPr>
        <w:t>4</w:t>
      </w:r>
      <w:r w:rsidR="00A776A7">
        <w:rPr>
          <w:color w:val="auto"/>
          <w:szCs w:val="24"/>
        </w:rPr>
        <w:t>50</w:t>
      </w:r>
      <w:r w:rsidR="00C41333">
        <w:rPr>
          <w:color w:val="auto"/>
          <w:szCs w:val="24"/>
        </w:rPr>
        <w:t xml:space="preserve"> responses, </w:t>
      </w:r>
      <w:r w:rsidR="00250554">
        <w:rPr>
          <w:color w:val="auto"/>
          <w:szCs w:val="24"/>
        </w:rPr>
        <w:t>23,</w:t>
      </w:r>
      <w:r w:rsidR="00A776A7">
        <w:rPr>
          <w:color w:val="auto"/>
          <w:szCs w:val="24"/>
        </w:rPr>
        <w:t>212</w:t>
      </w:r>
      <w:r w:rsidR="00C41333">
        <w:rPr>
          <w:color w:val="auto"/>
          <w:szCs w:val="24"/>
        </w:rPr>
        <w:t xml:space="preserve"> burden hours.</w:t>
      </w:r>
    </w:p>
    <w:p w:rsidR="00DF6C2D" w:rsidP="009F7590" w:rsidRDefault="00DF6C2D" w14:paraId="4798CBF9" w14:textId="69972D73">
      <w:pPr>
        <w:ind w:left="10"/>
        <w:rPr>
          <w:color w:val="auto"/>
          <w:szCs w:val="24"/>
        </w:rPr>
      </w:pPr>
    </w:p>
    <w:p w:rsidRPr="009A5344" w:rsidR="00DD755B" w:rsidP="009F7590" w:rsidRDefault="0015414D" w14:paraId="53211E77" w14:textId="63A9E322">
      <w:pPr>
        <w:ind w:left="10"/>
        <w:rPr>
          <w:color w:val="auto"/>
          <w:szCs w:val="24"/>
        </w:rPr>
      </w:pPr>
      <w:r>
        <w:rPr>
          <w:color w:val="auto"/>
          <w:szCs w:val="24"/>
        </w:rPr>
        <w:t xml:space="preserve">Agency </w:t>
      </w:r>
      <w:r w:rsidR="00DF6C2D">
        <w:rPr>
          <w:color w:val="auto"/>
          <w:szCs w:val="24"/>
        </w:rPr>
        <w:t xml:space="preserve">Adjustment.  </w:t>
      </w:r>
      <w:r w:rsidR="00374D78">
        <w:rPr>
          <w:color w:val="auto"/>
          <w:szCs w:val="24"/>
        </w:rPr>
        <w:t>The n</w:t>
      </w:r>
      <w:r w:rsidR="008D3DC2">
        <w:rPr>
          <w:color w:val="auto"/>
          <w:szCs w:val="24"/>
        </w:rPr>
        <w:t xml:space="preserve">umber of respondents from </w:t>
      </w:r>
      <w:r w:rsidRPr="00374D78" w:rsidR="00374D78">
        <w:rPr>
          <w:color w:val="auto"/>
          <w:szCs w:val="24"/>
        </w:rPr>
        <w:t>RM05-5-022</w:t>
      </w:r>
      <w:r w:rsidR="00374D78">
        <w:rPr>
          <w:color w:val="auto"/>
          <w:szCs w:val="24"/>
        </w:rPr>
        <w:t xml:space="preserve"> and</w:t>
      </w:r>
      <w:r w:rsidR="00652054">
        <w:rPr>
          <w:color w:val="auto"/>
          <w:szCs w:val="24"/>
        </w:rPr>
        <w:t xml:space="preserve"> RM17-8</w:t>
      </w:r>
      <w:r w:rsidR="00374D78">
        <w:rPr>
          <w:color w:val="auto"/>
          <w:szCs w:val="24"/>
        </w:rPr>
        <w:t xml:space="preserve"> </w:t>
      </w:r>
      <w:r w:rsidR="008D3DC2">
        <w:rPr>
          <w:color w:val="auto"/>
          <w:szCs w:val="24"/>
        </w:rPr>
        <w:t xml:space="preserve">filings (in the table above) increased the total burden by changing the number of respondents from 132 to 162. This change </w:t>
      </w:r>
      <w:r w:rsidRPr="008D3DC2" w:rsidR="008D3DC2">
        <w:rPr>
          <w:color w:val="auto"/>
          <w:szCs w:val="24"/>
        </w:rPr>
        <w:t xml:space="preserve">is based on the increased number of companies subject to compliance and changes </w:t>
      </w:r>
      <w:r w:rsidRPr="008D3DC2" w:rsidR="008D3DC2">
        <w:rPr>
          <w:color w:val="auto"/>
          <w:szCs w:val="24"/>
        </w:rPr>
        <w:lastRenderedPageBreak/>
        <w:t>in the last few years, as identified by the NERC registry</w:t>
      </w:r>
      <w:r w:rsidR="00C41333">
        <w:rPr>
          <w:color w:val="auto"/>
          <w:szCs w:val="24"/>
        </w:rPr>
        <w:t xml:space="preserve">, </w:t>
      </w:r>
      <w:r w:rsidRPr="00C41333" w:rsidR="00C41333">
        <w:rPr>
          <w:color w:val="auto"/>
          <w:szCs w:val="24"/>
        </w:rPr>
        <w:t>as of April 28, 2020</w:t>
      </w:r>
      <w:r w:rsidR="00652054">
        <w:rPr>
          <w:color w:val="auto"/>
          <w:szCs w:val="24"/>
        </w:rPr>
        <w:t>.</w:t>
      </w:r>
      <w:r w:rsidR="00C41333">
        <w:rPr>
          <w:color w:val="auto"/>
          <w:szCs w:val="24"/>
        </w:rPr>
        <w:t xml:space="preserve">   This results in a agency adjusement (increase) of </w:t>
      </w:r>
      <w:r w:rsidR="002768DF">
        <w:rPr>
          <w:color w:val="auto"/>
          <w:szCs w:val="24"/>
        </w:rPr>
        <w:t>110</w:t>
      </w:r>
      <w:r w:rsidR="00C41333">
        <w:rPr>
          <w:color w:val="auto"/>
          <w:szCs w:val="24"/>
        </w:rPr>
        <w:t xml:space="preserve"> responses, </w:t>
      </w:r>
      <w:r w:rsidR="002768DF">
        <w:rPr>
          <w:color w:val="auto"/>
          <w:szCs w:val="24"/>
        </w:rPr>
        <w:t>50</w:t>
      </w:r>
      <w:r w:rsidR="00C41333">
        <w:rPr>
          <w:color w:val="auto"/>
          <w:szCs w:val="24"/>
        </w:rPr>
        <w:t>0 burden hours.</w:t>
      </w:r>
    </w:p>
    <w:p w:rsidRPr="009A5344" w:rsidR="009213B4" w:rsidRDefault="009213B4" w14:paraId="685E9334" w14:textId="77777777">
      <w:pPr>
        <w:widowControl w:val="0"/>
        <w:autoSpaceDE w:val="0"/>
        <w:autoSpaceDN w:val="0"/>
        <w:adjustRightInd w:val="0"/>
        <w:spacing w:after="0" w:line="240" w:lineRule="auto"/>
        <w:ind w:left="0" w:firstLine="0"/>
        <w:rPr>
          <w:color w:val="auto"/>
          <w:szCs w:val="24"/>
        </w:rPr>
      </w:pPr>
    </w:p>
    <w:tbl>
      <w:tblPr>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9A5344" w:rsidR="00CD17A0" w14:paraId="58FE8EE8" w14:textId="77777777">
        <w:trPr>
          <w:trHeight w:val="870"/>
          <w:jc w:val="right"/>
        </w:trPr>
        <w:tc>
          <w:tcPr>
            <w:tcW w:w="1442"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9A5344" w:rsidR="00DD755B" w:rsidRDefault="009F7590" w14:paraId="389A9299" w14:textId="561B9898">
            <w:pPr>
              <w:keepNext/>
              <w:widowControl w:val="0"/>
              <w:autoSpaceDE w:val="0"/>
              <w:autoSpaceDN w:val="0"/>
              <w:adjustRightInd w:val="0"/>
              <w:spacing w:after="0" w:line="256" w:lineRule="auto"/>
              <w:ind w:left="0" w:firstLine="0"/>
              <w:jc w:val="center"/>
              <w:rPr>
                <w:b/>
                <w:color w:val="auto"/>
                <w:szCs w:val="24"/>
              </w:rPr>
            </w:pPr>
            <w:r w:rsidRPr="009A5344">
              <w:rPr>
                <w:b/>
                <w:bCs/>
                <w:szCs w:val="24"/>
              </w:rPr>
              <w:t>FERC-516</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9A5344" w:rsidR="00DD755B" w:rsidRDefault="00383548" w14:paraId="1CF6C97B" w14:textId="77777777">
            <w:pPr>
              <w:keepNext/>
              <w:widowControl w:val="0"/>
              <w:autoSpaceDE w:val="0"/>
              <w:autoSpaceDN w:val="0"/>
              <w:adjustRightInd w:val="0"/>
              <w:spacing w:after="0" w:line="256" w:lineRule="auto"/>
              <w:ind w:left="0" w:firstLine="0"/>
              <w:jc w:val="center"/>
              <w:rPr>
                <w:b/>
                <w:color w:val="auto"/>
                <w:szCs w:val="24"/>
              </w:rPr>
            </w:pPr>
            <w:r w:rsidRPr="009A5344">
              <w:rPr>
                <w:b/>
                <w:color w:val="auto"/>
                <w:szCs w:val="24"/>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9A5344" w:rsidR="00DD755B" w:rsidRDefault="00383548" w14:paraId="429C3B9D" w14:textId="77777777">
            <w:pPr>
              <w:keepNext/>
              <w:widowControl w:val="0"/>
              <w:autoSpaceDE w:val="0"/>
              <w:autoSpaceDN w:val="0"/>
              <w:adjustRightInd w:val="0"/>
              <w:spacing w:after="0" w:line="256" w:lineRule="auto"/>
              <w:ind w:left="0" w:firstLine="0"/>
              <w:jc w:val="center"/>
              <w:rPr>
                <w:b/>
                <w:color w:val="auto"/>
                <w:szCs w:val="24"/>
              </w:rPr>
            </w:pPr>
            <w:r w:rsidRPr="009A5344">
              <w:rPr>
                <w:b/>
                <w:color w:val="auto"/>
                <w:szCs w:val="24"/>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9A5344" w:rsidR="00DD755B" w:rsidRDefault="00383548" w14:paraId="7EA7DE42" w14:textId="5EDBBE36">
            <w:pPr>
              <w:keepNext/>
              <w:widowControl w:val="0"/>
              <w:autoSpaceDE w:val="0"/>
              <w:autoSpaceDN w:val="0"/>
              <w:adjustRightInd w:val="0"/>
              <w:spacing w:after="0" w:line="256" w:lineRule="auto"/>
              <w:ind w:left="0" w:firstLine="0"/>
              <w:jc w:val="center"/>
              <w:rPr>
                <w:b/>
                <w:color w:val="auto"/>
                <w:szCs w:val="24"/>
              </w:rPr>
            </w:pPr>
            <w:r w:rsidRPr="009A5344">
              <w:rPr>
                <w:b/>
                <w:color w:val="auto"/>
                <w:szCs w:val="24"/>
              </w:rPr>
              <w:t xml:space="preserve">Change due to </w:t>
            </w:r>
            <w:r w:rsidRPr="009A5344" w:rsidR="005E773B">
              <w:rPr>
                <w:b/>
                <w:color w:val="auto"/>
                <w:szCs w:val="24"/>
              </w:rPr>
              <w:t xml:space="preserve">Agency </w:t>
            </w:r>
            <w:r w:rsidRPr="009A5344">
              <w:rPr>
                <w:b/>
                <w:color w:val="auto"/>
                <w:szCs w:val="24"/>
              </w:rPr>
              <w:t>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9A5344" w:rsidR="00DD755B" w:rsidRDefault="00383548" w14:paraId="09067D38" w14:textId="3F8BF495">
            <w:pPr>
              <w:keepNext/>
              <w:widowControl w:val="0"/>
              <w:autoSpaceDE w:val="0"/>
              <w:autoSpaceDN w:val="0"/>
              <w:adjustRightInd w:val="0"/>
              <w:spacing w:after="0" w:line="256" w:lineRule="auto"/>
              <w:ind w:left="0" w:firstLine="0"/>
              <w:jc w:val="center"/>
              <w:rPr>
                <w:b/>
                <w:color w:val="auto"/>
                <w:szCs w:val="24"/>
              </w:rPr>
            </w:pPr>
            <w:r w:rsidRPr="009A5344">
              <w:rPr>
                <w:b/>
                <w:color w:val="auto"/>
                <w:szCs w:val="24"/>
              </w:rPr>
              <w:t>Change Due to Agency Discretion</w:t>
            </w:r>
          </w:p>
        </w:tc>
      </w:tr>
      <w:tr w:rsidRPr="009A5344" w:rsidR="00DD755B" w14:paraId="272DB98F" w14:textId="77777777">
        <w:trPr>
          <w:trHeight w:val="295"/>
          <w:jc w:val="right"/>
        </w:trPr>
        <w:tc>
          <w:tcPr>
            <w:tcW w:w="5000" w:type="pct"/>
            <w:gridSpan w:val="5"/>
            <w:tcBorders>
              <w:top w:val="single" w:color="auto" w:sz="4" w:space="0"/>
              <w:left w:val="single" w:color="auto" w:sz="4" w:space="0"/>
              <w:bottom w:val="single" w:color="auto" w:sz="4" w:space="0"/>
              <w:right w:val="single" w:color="auto" w:sz="4" w:space="0"/>
            </w:tcBorders>
            <w:shd w:val="pct15" w:color="auto" w:fill="auto"/>
          </w:tcPr>
          <w:p w:rsidRPr="009A5344" w:rsidR="00DD755B" w:rsidRDefault="00383548" w14:paraId="68588686" w14:textId="77777777">
            <w:pPr>
              <w:widowControl w:val="0"/>
              <w:autoSpaceDE w:val="0"/>
              <w:autoSpaceDN w:val="0"/>
              <w:adjustRightInd w:val="0"/>
              <w:spacing w:after="0" w:line="256" w:lineRule="auto"/>
              <w:ind w:left="0" w:firstLine="0"/>
              <w:jc w:val="center"/>
              <w:rPr>
                <w:b/>
                <w:bCs/>
                <w:color w:val="auto"/>
                <w:szCs w:val="24"/>
              </w:rPr>
            </w:pPr>
            <w:r w:rsidRPr="009A5344">
              <w:rPr>
                <w:b/>
                <w:bCs/>
                <w:color w:val="auto"/>
                <w:szCs w:val="24"/>
              </w:rPr>
              <w:t>FERC-516</w:t>
            </w:r>
          </w:p>
        </w:tc>
      </w:tr>
      <w:tr w:rsidRPr="009A5344" w:rsidR="00250554" w14:paraId="57E4580F"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9A5344" w:rsidR="00250554" w:rsidP="00250554" w:rsidRDefault="00250554" w14:paraId="203460D8" w14:textId="77777777">
            <w:pPr>
              <w:widowControl w:val="0"/>
              <w:autoSpaceDE w:val="0"/>
              <w:autoSpaceDN w:val="0"/>
              <w:adjustRightInd w:val="0"/>
              <w:spacing w:after="0" w:line="256" w:lineRule="auto"/>
              <w:ind w:left="0" w:firstLine="0"/>
              <w:rPr>
                <w:color w:val="auto"/>
                <w:szCs w:val="24"/>
              </w:rPr>
            </w:pPr>
            <w:r w:rsidRPr="009A5344">
              <w:rPr>
                <w:szCs w:val="24"/>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tcPr>
          <w:p w:rsidRPr="009A5344" w:rsidR="00250554" w:rsidP="00250554" w:rsidRDefault="00250554" w14:paraId="1473F34C" w14:textId="6B07ED2E">
            <w:pPr>
              <w:widowControl w:val="0"/>
              <w:autoSpaceDE w:val="0"/>
              <w:autoSpaceDN w:val="0"/>
              <w:adjustRightInd w:val="0"/>
              <w:spacing w:after="0" w:line="256" w:lineRule="auto"/>
              <w:ind w:left="0" w:firstLine="0"/>
              <w:jc w:val="right"/>
              <w:rPr>
                <w:color w:val="auto"/>
                <w:szCs w:val="24"/>
              </w:rPr>
            </w:pPr>
            <w:r>
              <w:rPr>
                <w:color w:val="auto"/>
                <w:szCs w:val="24"/>
              </w:rPr>
              <w:t>6,5</w:t>
            </w:r>
            <w:r w:rsidR="00A776A7">
              <w:rPr>
                <w:color w:val="auto"/>
                <w:szCs w:val="24"/>
              </w:rPr>
              <w:t>10</w:t>
            </w:r>
          </w:p>
        </w:tc>
        <w:tc>
          <w:tcPr>
            <w:tcW w:w="854" w:type="pct"/>
            <w:tcBorders>
              <w:top w:val="single" w:color="auto" w:sz="4" w:space="0"/>
              <w:left w:val="single" w:color="auto" w:sz="4" w:space="0"/>
              <w:bottom w:val="single" w:color="auto" w:sz="4" w:space="0"/>
              <w:right w:val="single" w:color="auto" w:sz="4" w:space="0"/>
            </w:tcBorders>
            <w:vAlign w:val="center"/>
          </w:tcPr>
          <w:p w:rsidRPr="009A5344" w:rsidR="00250554" w:rsidP="00250554" w:rsidRDefault="00250554" w14:paraId="3F496042" w14:textId="77777777">
            <w:pPr>
              <w:widowControl w:val="0"/>
              <w:autoSpaceDE w:val="0"/>
              <w:autoSpaceDN w:val="0"/>
              <w:adjustRightInd w:val="0"/>
              <w:spacing w:after="0" w:line="256" w:lineRule="auto"/>
              <w:ind w:left="0" w:firstLine="0"/>
              <w:jc w:val="right"/>
              <w:rPr>
                <w:color w:val="auto"/>
                <w:szCs w:val="24"/>
              </w:rPr>
            </w:pPr>
            <w:r w:rsidRPr="009A5344">
              <w:rPr>
                <w:szCs w:val="24"/>
              </w:rPr>
              <w:t>6,850</w:t>
            </w:r>
          </w:p>
        </w:tc>
        <w:tc>
          <w:tcPr>
            <w:tcW w:w="1010" w:type="pct"/>
            <w:tcBorders>
              <w:top w:val="single" w:color="auto" w:sz="4" w:space="0"/>
              <w:left w:val="single" w:color="auto" w:sz="4" w:space="0"/>
              <w:bottom w:val="single" w:color="auto" w:sz="4" w:space="0"/>
              <w:right w:val="single" w:color="auto" w:sz="4" w:space="0"/>
            </w:tcBorders>
            <w:vAlign w:val="center"/>
          </w:tcPr>
          <w:p w:rsidRPr="0015414D" w:rsidR="00250554" w:rsidP="00250554" w:rsidRDefault="00A776A7" w14:paraId="7CFE9FE9" w14:textId="7D763308">
            <w:pPr>
              <w:widowControl w:val="0"/>
              <w:autoSpaceDE w:val="0"/>
              <w:autoSpaceDN w:val="0"/>
              <w:adjustRightInd w:val="0"/>
              <w:spacing w:after="0" w:line="256" w:lineRule="auto"/>
              <w:ind w:left="0" w:firstLine="0"/>
              <w:jc w:val="right"/>
              <w:rPr>
                <w:color w:val="auto"/>
                <w:szCs w:val="24"/>
              </w:rPr>
            </w:pPr>
            <w:r w:rsidRPr="003C58CD">
              <w:rPr>
                <w:color w:val="auto"/>
                <w:szCs w:val="24"/>
              </w:rPr>
              <w:t>110</w:t>
            </w:r>
          </w:p>
        </w:tc>
        <w:tc>
          <w:tcPr>
            <w:tcW w:w="865" w:type="pct"/>
            <w:tcBorders>
              <w:top w:val="single" w:color="auto" w:sz="4" w:space="0"/>
              <w:left w:val="single" w:color="auto" w:sz="4" w:space="0"/>
              <w:bottom w:val="single" w:color="auto" w:sz="4" w:space="0"/>
              <w:right w:val="single" w:color="auto" w:sz="4" w:space="0"/>
            </w:tcBorders>
            <w:vAlign w:val="center"/>
          </w:tcPr>
          <w:p w:rsidRPr="0015414D" w:rsidR="00250554" w:rsidP="00250554" w:rsidRDefault="00250554" w14:paraId="4F49A8FA" w14:textId="3A90ABDF">
            <w:pPr>
              <w:widowControl w:val="0"/>
              <w:autoSpaceDE w:val="0"/>
              <w:autoSpaceDN w:val="0"/>
              <w:adjustRightInd w:val="0"/>
              <w:spacing w:after="0" w:line="256" w:lineRule="auto"/>
              <w:ind w:left="0" w:firstLine="0"/>
              <w:jc w:val="right"/>
              <w:rPr>
                <w:color w:val="auto"/>
                <w:szCs w:val="24"/>
              </w:rPr>
            </w:pPr>
            <w:r w:rsidRPr="003C58CD">
              <w:rPr>
                <w:color w:val="auto"/>
                <w:szCs w:val="24"/>
              </w:rPr>
              <w:t>-</w:t>
            </w:r>
            <w:r w:rsidRPr="003C58CD" w:rsidR="00A776A7">
              <w:rPr>
                <w:color w:val="auto"/>
                <w:szCs w:val="24"/>
              </w:rPr>
              <w:t>450</w:t>
            </w:r>
          </w:p>
        </w:tc>
      </w:tr>
      <w:tr w:rsidRPr="009A5344" w:rsidR="00250554" w14:paraId="1DE2B99C"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9A5344" w:rsidR="00250554" w:rsidP="00250554" w:rsidRDefault="00250554" w14:paraId="6E131E19" w14:textId="77777777">
            <w:pPr>
              <w:widowControl w:val="0"/>
              <w:autoSpaceDE w:val="0"/>
              <w:autoSpaceDN w:val="0"/>
              <w:adjustRightInd w:val="0"/>
              <w:spacing w:after="0" w:line="256" w:lineRule="auto"/>
              <w:ind w:left="0" w:firstLine="0"/>
              <w:rPr>
                <w:color w:val="auto"/>
                <w:szCs w:val="24"/>
              </w:rPr>
            </w:pPr>
            <w:r w:rsidRPr="009A5344">
              <w:rPr>
                <w:szCs w:val="24"/>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tcPr>
          <w:p w:rsidRPr="009A5344" w:rsidR="00250554" w:rsidP="00250554" w:rsidRDefault="00250554" w14:paraId="6E769F70" w14:textId="46550FD3">
            <w:pPr>
              <w:widowControl w:val="0"/>
              <w:autoSpaceDE w:val="0"/>
              <w:autoSpaceDN w:val="0"/>
              <w:adjustRightInd w:val="0"/>
              <w:spacing w:after="0" w:line="256" w:lineRule="auto"/>
              <w:ind w:left="0" w:firstLine="0"/>
              <w:jc w:val="right"/>
              <w:rPr>
                <w:color w:val="auto"/>
                <w:szCs w:val="24"/>
              </w:rPr>
            </w:pPr>
            <w:r>
              <w:rPr>
                <w:bCs/>
                <w:color w:val="auto"/>
                <w:szCs w:val="24"/>
              </w:rPr>
              <w:t>503,486</w:t>
            </w:r>
          </w:p>
        </w:tc>
        <w:tc>
          <w:tcPr>
            <w:tcW w:w="854" w:type="pct"/>
            <w:tcBorders>
              <w:top w:val="single" w:color="auto" w:sz="4" w:space="0"/>
              <w:left w:val="single" w:color="auto" w:sz="4" w:space="0"/>
              <w:bottom w:val="single" w:color="auto" w:sz="4" w:space="0"/>
              <w:right w:val="single" w:color="auto" w:sz="4" w:space="0"/>
            </w:tcBorders>
            <w:vAlign w:val="center"/>
          </w:tcPr>
          <w:p w:rsidRPr="009A5344" w:rsidR="00250554" w:rsidP="00250554" w:rsidRDefault="00250554" w14:paraId="57CF7D5A" w14:textId="77777777">
            <w:pPr>
              <w:widowControl w:val="0"/>
              <w:autoSpaceDE w:val="0"/>
              <w:autoSpaceDN w:val="0"/>
              <w:adjustRightInd w:val="0"/>
              <w:spacing w:after="0" w:line="256" w:lineRule="auto"/>
              <w:ind w:left="0" w:firstLine="0"/>
              <w:jc w:val="right"/>
              <w:rPr>
                <w:color w:val="auto"/>
                <w:szCs w:val="24"/>
              </w:rPr>
            </w:pPr>
            <w:r w:rsidRPr="009A5344">
              <w:rPr>
                <w:szCs w:val="24"/>
              </w:rPr>
              <w:t>526,198</w:t>
            </w:r>
          </w:p>
        </w:tc>
        <w:tc>
          <w:tcPr>
            <w:tcW w:w="1010" w:type="pct"/>
            <w:tcBorders>
              <w:top w:val="single" w:color="auto" w:sz="4" w:space="0"/>
              <w:left w:val="single" w:color="auto" w:sz="4" w:space="0"/>
              <w:bottom w:val="single" w:color="auto" w:sz="4" w:space="0"/>
              <w:right w:val="single" w:color="auto" w:sz="4" w:space="0"/>
            </w:tcBorders>
            <w:vAlign w:val="center"/>
          </w:tcPr>
          <w:p w:rsidRPr="0015414D" w:rsidR="00250554" w:rsidP="00250554" w:rsidRDefault="00A776A7" w14:paraId="4E08D4AA" w14:textId="34C9FBA7">
            <w:pPr>
              <w:widowControl w:val="0"/>
              <w:autoSpaceDE w:val="0"/>
              <w:autoSpaceDN w:val="0"/>
              <w:adjustRightInd w:val="0"/>
              <w:spacing w:after="0" w:line="256" w:lineRule="auto"/>
              <w:ind w:left="0" w:firstLine="0"/>
              <w:jc w:val="right"/>
              <w:rPr>
                <w:color w:val="auto"/>
                <w:szCs w:val="24"/>
              </w:rPr>
            </w:pPr>
            <w:r w:rsidRPr="003C58CD">
              <w:rPr>
                <w:color w:val="auto"/>
                <w:szCs w:val="24"/>
              </w:rPr>
              <w:t>500</w:t>
            </w:r>
          </w:p>
        </w:tc>
        <w:tc>
          <w:tcPr>
            <w:tcW w:w="865" w:type="pct"/>
            <w:tcBorders>
              <w:top w:val="single" w:color="auto" w:sz="4" w:space="0"/>
              <w:left w:val="single" w:color="auto" w:sz="4" w:space="0"/>
              <w:bottom w:val="single" w:color="auto" w:sz="4" w:space="0"/>
              <w:right w:val="single" w:color="auto" w:sz="4" w:space="0"/>
            </w:tcBorders>
            <w:vAlign w:val="center"/>
          </w:tcPr>
          <w:p w:rsidRPr="0015414D" w:rsidR="00250554" w:rsidP="00250554" w:rsidRDefault="00250554" w14:paraId="43D357F9" w14:textId="43C80012">
            <w:pPr>
              <w:widowControl w:val="0"/>
              <w:autoSpaceDE w:val="0"/>
              <w:autoSpaceDN w:val="0"/>
              <w:adjustRightInd w:val="0"/>
              <w:spacing w:after="0" w:line="256" w:lineRule="auto"/>
              <w:ind w:left="0" w:firstLine="0"/>
              <w:jc w:val="right"/>
              <w:rPr>
                <w:color w:val="auto"/>
                <w:szCs w:val="24"/>
              </w:rPr>
            </w:pPr>
            <w:r w:rsidRPr="003C58CD">
              <w:rPr>
                <w:color w:val="auto"/>
                <w:szCs w:val="24"/>
              </w:rPr>
              <w:t>-23,</w:t>
            </w:r>
            <w:r w:rsidRPr="003C58CD" w:rsidR="00A776A7">
              <w:rPr>
                <w:color w:val="auto"/>
                <w:szCs w:val="24"/>
              </w:rPr>
              <w:t>212</w:t>
            </w:r>
          </w:p>
        </w:tc>
      </w:tr>
      <w:tr w:rsidRPr="009A5344" w:rsidR="00DD755B" w14:paraId="671CF492" w14:textId="77777777">
        <w:trPr>
          <w:trHeight w:val="295"/>
          <w:jc w:val="right"/>
        </w:trPr>
        <w:tc>
          <w:tcPr>
            <w:tcW w:w="1442" w:type="pct"/>
            <w:tcBorders>
              <w:top w:val="single" w:color="auto" w:sz="4" w:space="0"/>
              <w:left w:val="single" w:color="auto" w:sz="4" w:space="0"/>
              <w:bottom w:val="single" w:color="auto" w:sz="4" w:space="0"/>
              <w:right w:val="single" w:color="auto" w:sz="4" w:space="0"/>
            </w:tcBorders>
          </w:tcPr>
          <w:p w:rsidRPr="009A5344" w:rsidR="00DD755B" w:rsidRDefault="00383548" w14:paraId="1DF75A75" w14:textId="77777777">
            <w:pPr>
              <w:widowControl w:val="0"/>
              <w:autoSpaceDE w:val="0"/>
              <w:autoSpaceDN w:val="0"/>
              <w:adjustRightInd w:val="0"/>
              <w:spacing w:after="0" w:line="256" w:lineRule="auto"/>
              <w:ind w:left="0" w:firstLine="0"/>
              <w:rPr>
                <w:color w:val="auto"/>
                <w:szCs w:val="24"/>
              </w:rPr>
            </w:pPr>
            <w:r w:rsidRPr="009A5344">
              <w:rPr>
                <w:szCs w:val="24"/>
              </w:rPr>
              <w:t>Annual Cost Burden ($)</w:t>
            </w:r>
          </w:p>
        </w:tc>
        <w:tc>
          <w:tcPr>
            <w:tcW w:w="829" w:type="pct"/>
            <w:tcBorders>
              <w:top w:val="single" w:color="auto" w:sz="4" w:space="0"/>
              <w:left w:val="single" w:color="auto" w:sz="4" w:space="0"/>
              <w:bottom w:val="single" w:color="auto" w:sz="4" w:space="0"/>
              <w:right w:val="single" w:color="auto" w:sz="4" w:space="0"/>
            </w:tcBorders>
            <w:vAlign w:val="center"/>
          </w:tcPr>
          <w:p w:rsidRPr="009A5344" w:rsidR="00DD755B" w:rsidRDefault="00383548" w14:paraId="35560A9A" w14:textId="77777777">
            <w:pPr>
              <w:widowControl w:val="0"/>
              <w:autoSpaceDE w:val="0"/>
              <w:autoSpaceDN w:val="0"/>
              <w:adjustRightInd w:val="0"/>
              <w:spacing w:after="0" w:line="256" w:lineRule="auto"/>
              <w:ind w:left="0" w:firstLine="0"/>
              <w:jc w:val="right"/>
              <w:rPr>
                <w:color w:val="auto"/>
                <w:szCs w:val="24"/>
              </w:rPr>
            </w:pPr>
            <w:r w:rsidRPr="009A5344">
              <w:rPr>
                <w:color w:val="auto"/>
                <w:szCs w:val="24"/>
              </w:rPr>
              <w:t>$0</w:t>
            </w:r>
          </w:p>
        </w:tc>
        <w:tc>
          <w:tcPr>
            <w:tcW w:w="854" w:type="pct"/>
            <w:tcBorders>
              <w:top w:val="single" w:color="auto" w:sz="4" w:space="0"/>
              <w:left w:val="single" w:color="auto" w:sz="4" w:space="0"/>
              <w:bottom w:val="single" w:color="auto" w:sz="4" w:space="0"/>
              <w:right w:val="single" w:color="auto" w:sz="4" w:space="0"/>
            </w:tcBorders>
            <w:vAlign w:val="center"/>
          </w:tcPr>
          <w:p w:rsidRPr="009A5344" w:rsidR="00DD755B" w:rsidRDefault="00383548" w14:paraId="40E19674" w14:textId="77777777">
            <w:pPr>
              <w:widowControl w:val="0"/>
              <w:autoSpaceDE w:val="0"/>
              <w:autoSpaceDN w:val="0"/>
              <w:adjustRightInd w:val="0"/>
              <w:spacing w:after="0" w:line="256" w:lineRule="auto"/>
              <w:ind w:left="0" w:firstLine="0"/>
              <w:jc w:val="right"/>
              <w:rPr>
                <w:color w:val="auto"/>
                <w:szCs w:val="24"/>
              </w:rPr>
            </w:pPr>
            <w:r w:rsidRPr="009A5344">
              <w:rPr>
                <w:szCs w:val="24"/>
              </w:rPr>
              <w:t>$0</w:t>
            </w:r>
          </w:p>
        </w:tc>
        <w:tc>
          <w:tcPr>
            <w:tcW w:w="1010" w:type="pct"/>
            <w:tcBorders>
              <w:top w:val="single" w:color="auto" w:sz="4" w:space="0"/>
              <w:left w:val="single" w:color="auto" w:sz="4" w:space="0"/>
              <w:bottom w:val="single" w:color="auto" w:sz="4" w:space="0"/>
              <w:right w:val="single" w:color="auto" w:sz="4" w:space="0"/>
            </w:tcBorders>
            <w:vAlign w:val="center"/>
          </w:tcPr>
          <w:p w:rsidRPr="009A5344" w:rsidR="00DD755B" w:rsidRDefault="00383548" w14:paraId="2955B82F" w14:textId="77777777">
            <w:pPr>
              <w:widowControl w:val="0"/>
              <w:autoSpaceDE w:val="0"/>
              <w:autoSpaceDN w:val="0"/>
              <w:adjustRightInd w:val="0"/>
              <w:spacing w:after="0" w:line="256" w:lineRule="auto"/>
              <w:ind w:left="0" w:firstLine="0"/>
              <w:jc w:val="right"/>
              <w:rPr>
                <w:color w:val="auto"/>
                <w:szCs w:val="24"/>
              </w:rPr>
            </w:pPr>
            <w:r w:rsidRPr="009A5344">
              <w:rPr>
                <w:color w:val="auto"/>
                <w:szCs w:val="24"/>
              </w:rPr>
              <w:t>$0</w:t>
            </w:r>
          </w:p>
        </w:tc>
        <w:tc>
          <w:tcPr>
            <w:tcW w:w="865" w:type="pct"/>
            <w:tcBorders>
              <w:top w:val="single" w:color="auto" w:sz="4" w:space="0"/>
              <w:left w:val="single" w:color="auto" w:sz="4" w:space="0"/>
              <w:bottom w:val="single" w:color="auto" w:sz="4" w:space="0"/>
              <w:right w:val="single" w:color="auto" w:sz="4" w:space="0"/>
            </w:tcBorders>
            <w:vAlign w:val="center"/>
          </w:tcPr>
          <w:p w:rsidRPr="009A5344" w:rsidR="00DD755B" w:rsidRDefault="00383548" w14:paraId="5887A6F5" w14:textId="77777777">
            <w:pPr>
              <w:widowControl w:val="0"/>
              <w:autoSpaceDE w:val="0"/>
              <w:autoSpaceDN w:val="0"/>
              <w:adjustRightInd w:val="0"/>
              <w:spacing w:after="0" w:line="256" w:lineRule="auto"/>
              <w:ind w:left="0" w:firstLine="0"/>
              <w:jc w:val="right"/>
              <w:rPr>
                <w:color w:val="auto"/>
                <w:szCs w:val="24"/>
              </w:rPr>
            </w:pPr>
            <w:r w:rsidRPr="009A5344">
              <w:rPr>
                <w:color w:val="auto"/>
                <w:szCs w:val="24"/>
              </w:rPr>
              <w:t>$0</w:t>
            </w:r>
          </w:p>
        </w:tc>
      </w:tr>
    </w:tbl>
    <w:p w:rsidRPr="009A5344" w:rsidR="00923C78" w:rsidRDefault="00923C78" w14:paraId="09D50818" w14:textId="77777777">
      <w:pPr>
        <w:pStyle w:val="Heading1"/>
        <w:spacing w:after="0" w:line="240" w:lineRule="auto"/>
        <w:ind w:left="0" w:firstLine="0"/>
        <w:rPr>
          <w:bCs/>
          <w:szCs w:val="24"/>
        </w:rPr>
      </w:pPr>
    </w:p>
    <w:p w:rsidRPr="009A5344" w:rsidR="00DD755B" w:rsidP="008B2C5F" w:rsidRDefault="00383548" w14:paraId="7051309E" w14:textId="7D4ED671">
      <w:pPr>
        <w:pStyle w:val="Heading1"/>
        <w:spacing w:after="0" w:line="240" w:lineRule="auto"/>
        <w:ind w:left="0" w:firstLine="0"/>
        <w:rPr>
          <w:szCs w:val="24"/>
        </w:rPr>
      </w:pPr>
      <w:r w:rsidRPr="009A5344">
        <w:rPr>
          <w:bCs/>
          <w:szCs w:val="24"/>
        </w:rPr>
        <w:t>16</w:t>
      </w:r>
      <w:r w:rsidRPr="009A5344">
        <w:rPr>
          <w:b w:val="0"/>
          <w:szCs w:val="24"/>
        </w:rPr>
        <w:t>.</w:t>
      </w:r>
      <w:r w:rsidRPr="009A5344">
        <w:rPr>
          <w:rFonts w:eastAsia="Arial"/>
          <w:b w:val="0"/>
          <w:szCs w:val="24"/>
        </w:rPr>
        <w:t xml:space="preserve"> </w:t>
      </w:r>
      <w:r w:rsidRPr="009A5344">
        <w:rPr>
          <w:szCs w:val="24"/>
        </w:rPr>
        <w:t xml:space="preserve">TIME SCHEDULE FOR THE PUBLICATION OF DATA </w:t>
      </w:r>
    </w:p>
    <w:p w:rsidRPr="009A5344" w:rsidR="00DD755B" w:rsidRDefault="00383548" w14:paraId="75C31E0D" w14:textId="7F43F78C">
      <w:pPr>
        <w:spacing w:line="240" w:lineRule="auto"/>
        <w:ind w:left="0" w:firstLine="0"/>
        <w:rPr>
          <w:szCs w:val="24"/>
        </w:rPr>
      </w:pPr>
      <w:r w:rsidRPr="009A5344">
        <w:rPr>
          <w:szCs w:val="24"/>
        </w:rPr>
        <w:t xml:space="preserve">There are no publication plans for the collection of information.  </w:t>
      </w:r>
    </w:p>
    <w:p w:rsidRPr="009A5344" w:rsidR="00DD755B" w:rsidRDefault="00383548" w14:paraId="5964C4D8" w14:textId="77777777">
      <w:pPr>
        <w:spacing w:after="0" w:line="240" w:lineRule="auto"/>
        <w:ind w:left="360" w:firstLine="0"/>
        <w:rPr>
          <w:szCs w:val="24"/>
        </w:rPr>
      </w:pPr>
      <w:r w:rsidRPr="009A5344">
        <w:rPr>
          <w:szCs w:val="24"/>
        </w:rPr>
        <w:t xml:space="preserve"> </w:t>
      </w:r>
    </w:p>
    <w:p w:rsidRPr="009A5344" w:rsidR="00DD755B" w:rsidP="008B2C5F" w:rsidRDefault="00383548" w14:paraId="0248DD22" w14:textId="34D126B5">
      <w:pPr>
        <w:pStyle w:val="Heading1"/>
        <w:spacing w:line="240" w:lineRule="auto"/>
        <w:ind w:left="0" w:firstLine="0"/>
        <w:rPr>
          <w:szCs w:val="24"/>
        </w:rPr>
      </w:pPr>
      <w:r w:rsidRPr="009A5344">
        <w:rPr>
          <w:bCs/>
          <w:szCs w:val="24"/>
        </w:rPr>
        <w:t>17</w:t>
      </w:r>
      <w:r w:rsidRPr="009A5344">
        <w:rPr>
          <w:b w:val="0"/>
          <w:szCs w:val="24"/>
        </w:rPr>
        <w:t>.</w:t>
      </w:r>
      <w:r w:rsidRPr="009A5344">
        <w:rPr>
          <w:rFonts w:eastAsia="Arial"/>
          <w:b w:val="0"/>
          <w:szCs w:val="24"/>
        </w:rPr>
        <w:t xml:space="preserve"> </w:t>
      </w:r>
      <w:r w:rsidRPr="009A5344">
        <w:rPr>
          <w:szCs w:val="24"/>
        </w:rPr>
        <w:t>DISPLAY OF THE EXPIRATION DATE</w:t>
      </w:r>
      <w:r w:rsidRPr="009A5344">
        <w:rPr>
          <w:b w:val="0"/>
          <w:szCs w:val="24"/>
        </w:rPr>
        <w:t xml:space="preserve"> </w:t>
      </w:r>
      <w:r w:rsidRPr="009A5344">
        <w:rPr>
          <w:szCs w:val="24"/>
        </w:rPr>
        <w:t xml:space="preserve"> </w:t>
      </w:r>
    </w:p>
    <w:p w:rsidRPr="009A5344" w:rsidR="00DD755B" w:rsidRDefault="00383548" w14:paraId="405813C7" w14:textId="0968CDC9">
      <w:pPr>
        <w:spacing w:after="0" w:line="240" w:lineRule="auto"/>
        <w:ind w:left="0" w:firstLine="0"/>
        <w:rPr>
          <w:szCs w:val="24"/>
        </w:rPr>
      </w:pPr>
      <w:r w:rsidRPr="009A5344">
        <w:rPr>
          <w:szCs w:val="24"/>
        </w:rPr>
        <w:t>The OMB expiration dates are posted on</w:t>
      </w:r>
      <w:r w:rsidRPr="009A5344" w:rsidR="00A02CC7">
        <w:rPr>
          <w:szCs w:val="24"/>
        </w:rPr>
        <w:t xml:space="preserve"> </w:t>
      </w:r>
      <w:hyperlink w:history="1" r:id="rId14">
        <w:r w:rsidRPr="009A5344" w:rsidR="006E3E6A">
          <w:rPr>
            <w:rStyle w:val="Hyperlink"/>
            <w:szCs w:val="24"/>
          </w:rPr>
          <w:t>https://www.ferc.gov/enforcement-legal/legal/information-collections</w:t>
        </w:r>
      </w:hyperlink>
    </w:p>
    <w:p w:rsidRPr="009A5344" w:rsidR="00DD755B" w:rsidRDefault="00DD755B" w14:paraId="0DFB9C81" w14:textId="77777777">
      <w:pPr>
        <w:spacing w:after="0" w:line="240" w:lineRule="auto"/>
        <w:ind w:left="360" w:firstLine="0"/>
        <w:rPr>
          <w:szCs w:val="24"/>
        </w:rPr>
      </w:pPr>
    </w:p>
    <w:p w:rsidRPr="009A5344" w:rsidR="00DD755B" w:rsidP="008B2C5F" w:rsidRDefault="00383548" w14:paraId="582D5933" w14:textId="73207490">
      <w:pPr>
        <w:pStyle w:val="Heading1"/>
        <w:spacing w:line="240" w:lineRule="auto"/>
        <w:ind w:left="0" w:firstLine="0"/>
        <w:rPr>
          <w:szCs w:val="24"/>
        </w:rPr>
      </w:pPr>
      <w:r w:rsidRPr="009A5344">
        <w:rPr>
          <w:bCs/>
          <w:szCs w:val="24"/>
        </w:rPr>
        <w:t>18.</w:t>
      </w:r>
      <w:r w:rsidRPr="009A5344">
        <w:rPr>
          <w:rFonts w:eastAsia="Arial"/>
          <w:b w:val="0"/>
          <w:szCs w:val="24"/>
        </w:rPr>
        <w:t xml:space="preserve"> </w:t>
      </w:r>
      <w:r w:rsidRPr="009A5344">
        <w:rPr>
          <w:szCs w:val="24"/>
        </w:rPr>
        <w:t>EXCEPTIONS TO THE CERTIFICATION STATEMENT</w:t>
      </w:r>
      <w:r w:rsidRPr="009A5344">
        <w:rPr>
          <w:b w:val="0"/>
          <w:szCs w:val="24"/>
        </w:rPr>
        <w:t xml:space="preserve"> </w:t>
      </w:r>
    </w:p>
    <w:p w:rsidRPr="009A5344" w:rsidR="00DD755B" w:rsidRDefault="00383548" w14:paraId="5EC3D10B" w14:textId="77777777">
      <w:pPr>
        <w:spacing w:line="240" w:lineRule="auto"/>
        <w:ind w:left="0" w:firstLine="0"/>
        <w:rPr>
          <w:szCs w:val="24"/>
        </w:rPr>
      </w:pPr>
      <w:r w:rsidRPr="009A5344">
        <w:rPr>
          <w:szCs w:val="24"/>
        </w:rPr>
        <w:t xml:space="preserve">There are no exceptions. </w:t>
      </w:r>
    </w:p>
    <w:sectPr w:rsidRPr="009A5344" w:rsidR="00DD755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78"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9F4EA" w14:textId="77777777" w:rsidR="00C41333" w:rsidRDefault="00C41333">
      <w:pPr>
        <w:spacing w:after="0" w:line="240" w:lineRule="auto"/>
      </w:pPr>
      <w:r>
        <w:separator/>
      </w:r>
    </w:p>
  </w:endnote>
  <w:endnote w:type="continuationSeparator" w:id="0">
    <w:p w14:paraId="285E81B7" w14:textId="77777777" w:rsidR="00C41333" w:rsidRDefault="00C41333">
      <w:pPr>
        <w:spacing w:after="0" w:line="240" w:lineRule="auto"/>
      </w:pPr>
      <w:r>
        <w:continuationSeparator/>
      </w:r>
    </w:p>
  </w:endnote>
  <w:endnote w:type="continuationNotice" w:id="1">
    <w:p w14:paraId="274A2C96" w14:textId="77777777" w:rsidR="00C41333" w:rsidRDefault="00C413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72FAC" w14:textId="77777777" w:rsidR="00C41333" w:rsidRDefault="00C41333">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CC9906" w14:textId="77777777" w:rsidR="00C41333" w:rsidRDefault="00C41333">
    <w:pPr>
      <w:spacing w:after="0" w:line="259" w:lineRule="auto"/>
      <w:ind w:left="36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706B" w14:textId="77777777" w:rsidR="00C41333" w:rsidRDefault="00C41333">
    <w:pPr>
      <w:spacing w:after="0" w:line="259" w:lineRule="auto"/>
      <w:ind w:left="0" w:right="1" w:firstLine="0"/>
      <w:jc w:val="right"/>
    </w:pPr>
    <w:r>
      <w:rPr>
        <w:szCs w:val="24"/>
      </w:rPr>
      <w:fldChar w:fldCharType="begin"/>
    </w:r>
    <w:r>
      <w:rPr>
        <w:szCs w:val="24"/>
      </w:rPr>
      <w:instrText xml:space="preserve"> PAGE   \* MERGEFORMAT </w:instrText>
    </w:r>
    <w:r>
      <w:rPr>
        <w:szCs w:val="24"/>
      </w:rPr>
      <w:fldChar w:fldCharType="separate"/>
    </w:r>
    <w:r>
      <w:rPr>
        <w:rFonts w:eastAsia="Calibri"/>
        <w:noProof/>
        <w:szCs w:val="24"/>
      </w:rPr>
      <w:t>8</w:t>
    </w:r>
    <w:r>
      <w:rPr>
        <w:rFonts w:eastAsia="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0E15A" w14:textId="77777777" w:rsidR="00C41333" w:rsidRDefault="00C41333">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9E222D3" w14:textId="77777777" w:rsidR="00C41333" w:rsidRDefault="00C41333">
    <w:pPr>
      <w:spacing w:after="0" w:line="259" w:lineRule="auto"/>
      <w:ind w:left="36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1A7EE" w14:textId="77777777" w:rsidR="00C41333" w:rsidRDefault="00C41333">
      <w:pPr>
        <w:spacing w:after="0"/>
        <w:ind w:left="360" w:firstLine="720"/>
      </w:pPr>
      <w:r>
        <w:separator/>
      </w:r>
    </w:p>
  </w:footnote>
  <w:footnote w:type="continuationSeparator" w:id="0">
    <w:p w14:paraId="05FBDA5C" w14:textId="77777777" w:rsidR="00C41333" w:rsidRDefault="00C41333">
      <w:pPr>
        <w:spacing w:after="0"/>
        <w:ind w:left="360" w:firstLine="720"/>
      </w:pPr>
      <w:r>
        <w:continuationSeparator/>
      </w:r>
    </w:p>
  </w:footnote>
  <w:footnote w:type="continuationNotice" w:id="1">
    <w:p w14:paraId="2C9B6B92" w14:textId="77777777" w:rsidR="00C41333" w:rsidRDefault="00C41333">
      <w:pPr>
        <w:spacing w:after="0" w:line="240" w:lineRule="auto"/>
      </w:pPr>
    </w:p>
  </w:footnote>
  <w:footnote w:id="2">
    <w:p w14:paraId="65FCAFC0" w14:textId="11DD2BCC" w:rsidR="00C41333" w:rsidRDefault="00C41333" w:rsidP="007450DD">
      <w:pPr>
        <w:pStyle w:val="FootnoteText"/>
        <w:ind w:left="30"/>
      </w:pPr>
      <w:r>
        <w:rPr>
          <w:rStyle w:val="FootnoteReference"/>
        </w:rPr>
        <w:footnoteRef/>
      </w:r>
      <w:r>
        <w:t xml:space="preserve"> </w:t>
      </w:r>
      <w:r w:rsidRPr="00B7529D">
        <w:rPr>
          <w:sz w:val="24"/>
          <w:szCs w:val="24"/>
        </w:rPr>
        <w:t>Energy Policy Act of 2005, Pub. L. No. 109-58, sec. 1241, 119 Stat. 594 (2005).</w:t>
      </w:r>
    </w:p>
  </w:footnote>
  <w:footnote w:id="3">
    <w:p w14:paraId="0D566E19" w14:textId="77777777" w:rsidR="00C41333" w:rsidRPr="00073684" w:rsidRDefault="00C41333" w:rsidP="00073684">
      <w:pPr>
        <w:pStyle w:val="FootnoteText"/>
        <w:ind w:left="20"/>
        <w:rPr>
          <w:sz w:val="24"/>
          <w:szCs w:val="24"/>
          <w:lang w:val="fr-FR"/>
        </w:rPr>
      </w:pPr>
      <w:r w:rsidRPr="00073684">
        <w:rPr>
          <w:rStyle w:val="FootnoteReference"/>
          <w:sz w:val="24"/>
          <w:szCs w:val="24"/>
        </w:rPr>
        <w:footnoteRef/>
      </w:r>
      <w:r w:rsidRPr="00073684">
        <w:rPr>
          <w:sz w:val="24"/>
          <w:szCs w:val="24"/>
        </w:rPr>
        <w:t xml:space="preserve"> 16 U.S.C. 824d; </w:t>
      </w:r>
      <w:r w:rsidRPr="00073684">
        <w:rPr>
          <w:i/>
          <w:sz w:val="24"/>
          <w:szCs w:val="24"/>
        </w:rPr>
        <w:t xml:space="preserve">see also </w:t>
      </w:r>
      <w:r w:rsidRPr="00073684">
        <w:rPr>
          <w:i/>
          <w:iCs/>
          <w:sz w:val="24"/>
          <w:szCs w:val="24"/>
        </w:rPr>
        <w:t xml:space="preserve">Me. Pub. </w:t>
      </w:r>
      <w:r w:rsidRPr="00073684">
        <w:rPr>
          <w:i/>
          <w:sz w:val="24"/>
          <w:szCs w:val="24"/>
          <w:lang w:val="fr-FR"/>
        </w:rPr>
        <w:t>Utils. Comm’n v. FERC</w:t>
      </w:r>
      <w:r w:rsidRPr="00073684">
        <w:rPr>
          <w:sz w:val="24"/>
          <w:szCs w:val="24"/>
          <w:lang w:val="fr-FR"/>
        </w:rPr>
        <w:t>, 454 F.3d 278, 287 (D.C. Cir. 2006).</w:t>
      </w:r>
    </w:p>
  </w:footnote>
  <w:footnote w:id="4">
    <w:p w14:paraId="47CA6DBA" w14:textId="77777777" w:rsidR="00C41333" w:rsidRPr="00073684" w:rsidRDefault="00C41333" w:rsidP="00073684">
      <w:pPr>
        <w:pStyle w:val="FootnoteText"/>
        <w:ind w:left="20"/>
        <w:rPr>
          <w:sz w:val="24"/>
          <w:szCs w:val="24"/>
        </w:rPr>
      </w:pPr>
      <w:r w:rsidRPr="00073684">
        <w:rPr>
          <w:rStyle w:val="FootnoteReference"/>
          <w:sz w:val="24"/>
          <w:szCs w:val="24"/>
        </w:rPr>
        <w:footnoteRef/>
      </w:r>
      <w:r w:rsidRPr="00073684">
        <w:rPr>
          <w:sz w:val="24"/>
          <w:szCs w:val="24"/>
        </w:rPr>
        <w:t xml:space="preserve"> Energy Policy Act of 2005, Pub. L. No. 109-58, sec. 1241.</w:t>
      </w:r>
    </w:p>
  </w:footnote>
  <w:footnote w:id="5">
    <w:p w14:paraId="3BE05EB3" w14:textId="77777777" w:rsidR="00C41333" w:rsidRPr="00073684" w:rsidRDefault="00C41333" w:rsidP="00073684">
      <w:pPr>
        <w:pStyle w:val="FootnoteText"/>
        <w:ind w:left="20"/>
        <w:rPr>
          <w:sz w:val="24"/>
          <w:szCs w:val="24"/>
        </w:rPr>
      </w:pPr>
      <w:r w:rsidRPr="00073684">
        <w:rPr>
          <w:rStyle w:val="FootnoteReference"/>
          <w:sz w:val="24"/>
          <w:szCs w:val="24"/>
        </w:rPr>
        <w:footnoteRef/>
      </w:r>
      <w:r w:rsidRPr="00073684">
        <w:rPr>
          <w:sz w:val="24"/>
          <w:szCs w:val="24"/>
        </w:rPr>
        <w:t xml:space="preserve"> 16 U.S.C. 824s(b)(1).</w:t>
      </w:r>
    </w:p>
  </w:footnote>
  <w:footnote w:id="6">
    <w:p w14:paraId="299DC29C" w14:textId="77777777" w:rsidR="00C41333" w:rsidRPr="00073684" w:rsidRDefault="00C41333" w:rsidP="00073684">
      <w:pPr>
        <w:pStyle w:val="FootnoteText"/>
        <w:ind w:left="20"/>
        <w:rPr>
          <w:sz w:val="24"/>
          <w:szCs w:val="24"/>
        </w:rPr>
      </w:pPr>
      <w:r w:rsidRPr="00073684">
        <w:rPr>
          <w:rStyle w:val="FootnoteReference"/>
          <w:sz w:val="24"/>
          <w:szCs w:val="24"/>
        </w:rPr>
        <w:footnoteRef/>
      </w:r>
      <w:r w:rsidRPr="00073684">
        <w:rPr>
          <w:sz w:val="24"/>
          <w:szCs w:val="24"/>
        </w:rPr>
        <w:t xml:space="preserve"> </w:t>
      </w:r>
      <w:r w:rsidRPr="00073684">
        <w:rPr>
          <w:i/>
          <w:sz w:val="24"/>
          <w:szCs w:val="24"/>
        </w:rPr>
        <w:t>Id.</w:t>
      </w:r>
      <w:r w:rsidRPr="00073684">
        <w:rPr>
          <w:sz w:val="24"/>
          <w:szCs w:val="24"/>
        </w:rPr>
        <w:t xml:space="preserve"> at 824s(b)(2).</w:t>
      </w:r>
    </w:p>
  </w:footnote>
  <w:footnote w:id="7">
    <w:p w14:paraId="243F9C63" w14:textId="77777777" w:rsidR="00C41333" w:rsidRPr="00073684" w:rsidRDefault="00C41333" w:rsidP="00073684">
      <w:pPr>
        <w:pStyle w:val="FootnoteText"/>
        <w:ind w:left="20"/>
        <w:rPr>
          <w:sz w:val="24"/>
          <w:szCs w:val="24"/>
        </w:rPr>
      </w:pPr>
      <w:r w:rsidRPr="00073684">
        <w:rPr>
          <w:rStyle w:val="FootnoteReference"/>
          <w:sz w:val="24"/>
          <w:szCs w:val="24"/>
        </w:rPr>
        <w:footnoteRef/>
      </w:r>
      <w:r w:rsidRPr="00073684">
        <w:rPr>
          <w:sz w:val="24"/>
          <w:szCs w:val="24"/>
        </w:rPr>
        <w:t xml:space="preserve"> </w:t>
      </w:r>
      <w:r w:rsidRPr="00073684">
        <w:rPr>
          <w:i/>
          <w:sz w:val="24"/>
          <w:szCs w:val="24"/>
        </w:rPr>
        <w:t>Id.</w:t>
      </w:r>
      <w:r w:rsidRPr="00073684">
        <w:rPr>
          <w:sz w:val="24"/>
          <w:szCs w:val="24"/>
        </w:rPr>
        <w:t xml:space="preserve"> at 824s(b)(3).</w:t>
      </w:r>
    </w:p>
  </w:footnote>
  <w:footnote w:id="8">
    <w:p w14:paraId="375F40E8" w14:textId="77777777" w:rsidR="00C41333" w:rsidRPr="00B7529D" w:rsidRDefault="00C41333" w:rsidP="00B7529D">
      <w:pPr>
        <w:pStyle w:val="FootnoteText"/>
        <w:ind w:left="20"/>
        <w:rPr>
          <w:sz w:val="24"/>
          <w:szCs w:val="24"/>
        </w:rPr>
      </w:pPr>
      <w:r w:rsidRPr="00B7529D">
        <w:rPr>
          <w:rStyle w:val="FootnoteReference"/>
          <w:sz w:val="24"/>
          <w:szCs w:val="24"/>
        </w:rPr>
        <w:footnoteRef/>
      </w:r>
      <w:r w:rsidRPr="00B7529D">
        <w:rPr>
          <w:sz w:val="24"/>
          <w:szCs w:val="24"/>
        </w:rPr>
        <w:t xml:space="preserve"> FPA section 215 addresses the Commission’s role in ensuring electric reliability of the bulk power system.  </w:t>
      </w:r>
      <w:r w:rsidRPr="00B7529D">
        <w:rPr>
          <w:i/>
          <w:sz w:val="24"/>
          <w:szCs w:val="24"/>
        </w:rPr>
        <w:t>Id.</w:t>
      </w:r>
      <w:r w:rsidRPr="00B7529D">
        <w:rPr>
          <w:sz w:val="24"/>
          <w:szCs w:val="24"/>
        </w:rPr>
        <w:t xml:space="preserve"> at 824o.</w:t>
      </w:r>
    </w:p>
  </w:footnote>
  <w:footnote w:id="9">
    <w:p w14:paraId="5C49CDEF" w14:textId="0BB37E29" w:rsidR="00C41333" w:rsidRPr="00B7529D" w:rsidRDefault="00C41333" w:rsidP="00B7529D">
      <w:pPr>
        <w:pStyle w:val="FootnoteText"/>
        <w:ind w:left="1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 xml:space="preserve">Id. </w:t>
      </w:r>
      <w:r w:rsidRPr="00B7529D">
        <w:rPr>
          <w:sz w:val="24"/>
          <w:szCs w:val="24"/>
        </w:rPr>
        <w:t xml:space="preserve">at 824s(b)(4).  FPA section 216 addresses designation of and siting of transmission facilities within National Interest Electric Transmission Corridors.  </w:t>
      </w:r>
      <w:r w:rsidRPr="00B7529D">
        <w:rPr>
          <w:i/>
          <w:sz w:val="24"/>
          <w:szCs w:val="24"/>
        </w:rPr>
        <w:t xml:space="preserve">Id. </w:t>
      </w:r>
      <w:r w:rsidRPr="00B7529D">
        <w:rPr>
          <w:sz w:val="24"/>
          <w:szCs w:val="24"/>
        </w:rPr>
        <w:t>at</w:t>
      </w:r>
      <w:r w:rsidRPr="00B7529D">
        <w:rPr>
          <w:i/>
          <w:sz w:val="24"/>
          <w:szCs w:val="24"/>
        </w:rPr>
        <w:t xml:space="preserve"> </w:t>
      </w:r>
      <w:r w:rsidRPr="00B7529D">
        <w:rPr>
          <w:sz w:val="24"/>
          <w:szCs w:val="24"/>
        </w:rPr>
        <w:t>824p.</w:t>
      </w:r>
    </w:p>
  </w:footnote>
  <w:footnote w:id="10">
    <w:p w14:paraId="166E38DF" w14:textId="77777777" w:rsidR="00C41333" w:rsidRPr="00B7529D" w:rsidRDefault="00C41333" w:rsidP="00B7529D">
      <w:pPr>
        <w:pStyle w:val="FootnoteText"/>
        <w:ind w:left="1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Id.</w:t>
      </w:r>
      <w:r w:rsidRPr="00B7529D">
        <w:rPr>
          <w:sz w:val="24"/>
          <w:szCs w:val="24"/>
        </w:rPr>
        <w:t xml:space="preserve"> at 824s(c).</w:t>
      </w:r>
    </w:p>
  </w:footnote>
  <w:footnote w:id="11">
    <w:p w14:paraId="1D887DD5" w14:textId="77777777" w:rsidR="00C41333" w:rsidRPr="00B7529D" w:rsidRDefault="00C41333" w:rsidP="00B7529D">
      <w:pPr>
        <w:pStyle w:val="FootnoteText"/>
        <w:ind w:left="1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Id.</w:t>
      </w:r>
      <w:r w:rsidRPr="00B7529D">
        <w:rPr>
          <w:sz w:val="24"/>
          <w:szCs w:val="24"/>
        </w:rPr>
        <w:t xml:space="preserve"> at 824e.</w:t>
      </w:r>
    </w:p>
  </w:footnote>
  <w:footnote w:id="12">
    <w:p w14:paraId="46ABB724" w14:textId="002F610C" w:rsidR="00C41333" w:rsidRDefault="00C41333" w:rsidP="00B7529D">
      <w:pPr>
        <w:pStyle w:val="FootnoteText"/>
        <w:ind w:left="20"/>
      </w:pPr>
      <w:r w:rsidRPr="00B7529D">
        <w:rPr>
          <w:rStyle w:val="FootnoteReference"/>
          <w:sz w:val="24"/>
          <w:szCs w:val="24"/>
        </w:rPr>
        <w:footnoteRef/>
      </w:r>
      <w:r w:rsidRPr="00B7529D">
        <w:rPr>
          <w:sz w:val="24"/>
          <w:szCs w:val="24"/>
        </w:rPr>
        <w:t xml:space="preserve"> 18 CFR 35.35.</w:t>
      </w:r>
      <w:r w:rsidRPr="000A2AE3">
        <w:t xml:space="preserve">  </w:t>
      </w:r>
    </w:p>
  </w:footnote>
  <w:footnote w:id="13">
    <w:p w14:paraId="48F2E441" w14:textId="2BF590B2" w:rsidR="00C41333" w:rsidRPr="00B7529D" w:rsidRDefault="00C41333" w:rsidP="00B7529D">
      <w:pPr>
        <w:pStyle w:val="FootnoteText"/>
        <w:ind w:left="3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Promoting Transmission Investment through Pricing Reform</w:t>
      </w:r>
      <w:r w:rsidRPr="00B7529D">
        <w:rPr>
          <w:sz w:val="24"/>
          <w:szCs w:val="24"/>
        </w:rPr>
        <w:t xml:space="preserve">, Order No. 679, 116 FERC ¶ 61,057, </w:t>
      </w:r>
      <w:r w:rsidRPr="00B7529D">
        <w:rPr>
          <w:i/>
          <w:sz w:val="24"/>
          <w:szCs w:val="24"/>
        </w:rPr>
        <w:t>order on reh’g</w:t>
      </w:r>
      <w:r w:rsidRPr="00B7529D">
        <w:rPr>
          <w:sz w:val="24"/>
          <w:szCs w:val="24"/>
        </w:rPr>
        <w:t xml:space="preserve">, Order No. 679-A, 117 FERC ¶ 61,345 (2006), </w:t>
      </w:r>
      <w:r w:rsidRPr="00B7529D">
        <w:rPr>
          <w:i/>
          <w:sz w:val="24"/>
          <w:szCs w:val="24"/>
        </w:rPr>
        <w:t xml:space="preserve">order on reh’g </w:t>
      </w:r>
      <w:r w:rsidRPr="00B7529D">
        <w:rPr>
          <w:sz w:val="24"/>
          <w:szCs w:val="24"/>
        </w:rPr>
        <w:t>119 FERC ¶ 61,062 (2007).</w:t>
      </w:r>
    </w:p>
  </w:footnote>
  <w:footnote w:id="14">
    <w:p w14:paraId="109B7CCC" w14:textId="29C2DDF3" w:rsidR="00C41333" w:rsidRPr="00B7529D" w:rsidRDefault="00C41333" w:rsidP="00B7529D">
      <w:pPr>
        <w:pStyle w:val="FootnoteText"/>
        <w:ind w:left="0" w:firstLine="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Promoting Transmission Investment through Pricing Reform</w:t>
      </w:r>
      <w:r w:rsidRPr="00B7529D">
        <w:rPr>
          <w:color w:val="auto"/>
          <w:sz w:val="24"/>
          <w:szCs w:val="24"/>
        </w:rPr>
        <w:t>, 141 FERC ¶ 61,129 (</w:t>
      </w:r>
      <w:r w:rsidRPr="00B7529D">
        <w:rPr>
          <w:sz w:val="24"/>
          <w:szCs w:val="24"/>
        </w:rPr>
        <w:t>2012) (2012 Policy Statement).</w:t>
      </w:r>
    </w:p>
  </w:footnote>
  <w:footnote w:id="15">
    <w:p w14:paraId="53117D74" w14:textId="53FF539C" w:rsidR="00C41333" w:rsidRPr="00B7529D" w:rsidRDefault="00C41333" w:rsidP="00B7529D">
      <w:pPr>
        <w:pStyle w:val="FootnoteText"/>
        <w:ind w:left="20"/>
        <w:rPr>
          <w:sz w:val="24"/>
          <w:szCs w:val="24"/>
        </w:rPr>
      </w:pPr>
      <w:r w:rsidRPr="00B7529D">
        <w:rPr>
          <w:rStyle w:val="FootnoteReference"/>
          <w:sz w:val="24"/>
          <w:szCs w:val="24"/>
        </w:rPr>
        <w:footnoteRef/>
      </w:r>
      <w:r w:rsidRPr="00B7529D">
        <w:rPr>
          <w:sz w:val="24"/>
          <w:szCs w:val="24"/>
        </w:rPr>
        <w:t xml:space="preserve"> </w:t>
      </w:r>
      <w:r w:rsidRPr="00B7529D">
        <w:rPr>
          <w:i/>
          <w:sz w:val="24"/>
          <w:szCs w:val="24"/>
        </w:rPr>
        <w:t>Transmission Planning and Cost Allocation by Transmission Owning and Operating Public Utilities</w:t>
      </w:r>
      <w:r w:rsidRPr="00B7529D">
        <w:rPr>
          <w:sz w:val="24"/>
          <w:szCs w:val="24"/>
        </w:rPr>
        <w:t xml:space="preserve">, Order No. 1000, 136 FERC ¶ 61,051 (2011), </w:t>
      </w:r>
      <w:r w:rsidRPr="00B7529D">
        <w:rPr>
          <w:i/>
          <w:sz w:val="24"/>
          <w:szCs w:val="24"/>
        </w:rPr>
        <w:t>order on reh’g</w:t>
      </w:r>
      <w:r w:rsidRPr="00B7529D">
        <w:rPr>
          <w:sz w:val="24"/>
          <w:szCs w:val="24"/>
        </w:rPr>
        <w:t xml:space="preserve">, Order No. 1000-A, 139 FERC ¶ 61,132, </w:t>
      </w:r>
      <w:r w:rsidRPr="00B7529D">
        <w:rPr>
          <w:i/>
          <w:sz w:val="24"/>
          <w:szCs w:val="24"/>
        </w:rPr>
        <w:t>order on reh’g and clarification</w:t>
      </w:r>
      <w:r w:rsidRPr="00B7529D">
        <w:rPr>
          <w:sz w:val="24"/>
          <w:szCs w:val="24"/>
        </w:rPr>
        <w:t xml:space="preserve">, Order No. 1000-B, 141 FERC ¶ 61,044 (2012), </w:t>
      </w:r>
      <w:r w:rsidRPr="00B7529D">
        <w:rPr>
          <w:i/>
          <w:sz w:val="24"/>
          <w:szCs w:val="24"/>
        </w:rPr>
        <w:t>aff'd sub nom. S.C. Pub. Serv. Auth. v. FERC</w:t>
      </w:r>
      <w:r w:rsidRPr="00B7529D">
        <w:rPr>
          <w:sz w:val="24"/>
          <w:szCs w:val="24"/>
        </w:rPr>
        <w:t>, 762 F.3d 41 (D.C. Cir. 2014).</w:t>
      </w:r>
    </w:p>
  </w:footnote>
  <w:footnote w:id="16">
    <w:p w14:paraId="0DB1FBBF" w14:textId="2687E0A6" w:rsidR="00C41333" w:rsidRDefault="00C41333" w:rsidP="00871F95">
      <w:pPr>
        <w:pStyle w:val="FootnoteText"/>
        <w:ind w:left="30"/>
      </w:pPr>
      <w:r>
        <w:rPr>
          <w:rStyle w:val="FootnoteReference"/>
        </w:rPr>
        <w:footnoteRef/>
      </w:r>
      <w:r>
        <w:t xml:space="preserve"> </w:t>
      </w:r>
      <w:r w:rsidRPr="00073684">
        <w:rPr>
          <w:sz w:val="24"/>
          <w:szCs w:val="24"/>
        </w:rPr>
        <w:t>The Supplementary NOPR is available on FERC’s eLibrary system (</w:t>
      </w:r>
      <w:hyperlink r:id="rId1" w:history="1">
        <w:r w:rsidRPr="00073684">
          <w:rPr>
            <w:rStyle w:val="Hyperlink"/>
            <w:sz w:val="24"/>
            <w:szCs w:val="24"/>
          </w:rPr>
          <w:t>https://elibrary.ferc.gov/eLibrary/search</w:t>
        </w:r>
      </w:hyperlink>
      <w:r w:rsidRPr="00073684">
        <w:rPr>
          <w:sz w:val="24"/>
          <w:szCs w:val="24"/>
        </w:rPr>
        <w:t>) by searching Docket No. RM20-10.</w:t>
      </w:r>
    </w:p>
  </w:footnote>
  <w:footnote w:id="17">
    <w:p w14:paraId="3EDDFACD" w14:textId="5307F1A1" w:rsidR="00C41333" w:rsidRPr="00E61D4D" w:rsidRDefault="00C41333" w:rsidP="00600CA2">
      <w:pPr>
        <w:pStyle w:val="FootnoteText"/>
        <w:ind w:left="10"/>
        <w:rPr>
          <w:sz w:val="24"/>
          <w:szCs w:val="24"/>
        </w:rPr>
      </w:pPr>
      <w:r w:rsidRPr="00B7529D">
        <w:rPr>
          <w:rStyle w:val="FootnoteReference"/>
          <w:sz w:val="24"/>
          <w:szCs w:val="24"/>
        </w:rPr>
        <w:footnoteRef/>
      </w:r>
      <w:r w:rsidRPr="00B7529D">
        <w:rPr>
          <w:sz w:val="24"/>
          <w:szCs w:val="24"/>
        </w:rPr>
        <w:t xml:space="preserve"> Nine of the </w:t>
      </w:r>
      <w:r>
        <w:rPr>
          <w:sz w:val="24"/>
          <w:szCs w:val="24"/>
        </w:rPr>
        <w:t>e</w:t>
      </w:r>
      <w:r w:rsidRPr="00B7529D">
        <w:rPr>
          <w:sz w:val="24"/>
          <w:szCs w:val="24"/>
        </w:rPr>
        <w:t xml:space="preserve">leven </w:t>
      </w:r>
      <w:r>
        <w:rPr>
          <w:sz w:val="24"/>
          <w:szCs w:val="24"/>
        </w:rPr>
        <w:t>information collections</w:t>
      </w:r>
      <w:r w:rsidRPr="00B7529D">
        <w:rPr>
          <w:sz w:val="24"/>
          <w:szCs w:val="24"/>
        </w:rPr>
        <w:t xml:space="preserve"> are discussed in Question #1 in detail. The rem</w:t>
      </w:r>
      <w:r>
        <w:rPr>
          <w:sz w:val="24"/>
          <w:szCs w:val="24"/>
        </w:rPr>
        <w:t>a</w:t>
      </w:r>
      <w:r w:rsidRPr="00B7529D">
        <w:rPr>
          <w:sz w:val="24"/>
          <w:szCs w:val="24"/>
        </w:rPr>
        <w:t>ning one-time burdens that have been completed</w:t>
      </w:r>
      <w:r w:rsidRPr="00E61D4D">
        <w:rPr>
          <w:sz w:val="24"/>
          <w:szCs w:val="24"/>
        </w:rPr>
        <w:t xml:space="preserve"> are further discussed in Question #15. </w:t>
      </w:r>
    </w:p>
  </w:footnote>
  <w:footnote w:id="18">
    <w:p w14:paraId="2C901F81" w14:textId="77777777" w:rsidR="00C41333" w:rsidRPr="00A26BF8" w:rsidRDefault="00C41333" w:rsidP="00CF21FA">
      <w:pPr>
        <w:pStyle w:val="FootnoteText"/>
        <w:ind w:left="100"/>
        <w:rPr>
          <w:sz w:val="24"/>
          <w:szCs w:val="24"/>
        </w:rPr>
      </w:pPr>
      <w:r w:rsidRPr="00A26BF8">
        <w:rPr>
          <w:rStyle w:val="FootnoteReference"/>
          <w:sz w:val="24"/>
          <w:szCs w:val="24"/>
        </w:rPr>
        <w:footnoteRef/>
      </w:r>
      <w:r w:rsidRPr="00A26BF8">
        <w:rPr>
          <w:sz w:val="24"/>
          <w:szCs w:val="24"/>
          <w:vertAlign w:val="superscript"/>
        </w:rPr>
        <w:t xml:space="preserve"> </w:t>
      </w:r>
      <w:r w:rsidRPr="00A26BF8">
        <w:rPr>
          <w:sz w:val="24"/>
          <w:szCs w:val="24"/>
        </w:rPr>
        <w:t xml:space="preserve">U.S. Small Business Administration, </w:t>
      </w:r>
      <w:r w:rsidRPr="00A26BF8">
        <w:rPr>
          <w:i/>
          <w:sz w:val="24"/>
          <w:szCs w:val="24"/>
        </w:rPr>
        <w:t>A Guide for Government Agencies How to Comply with the Regulatory Flexibility Act</w:t>
      </w:r>
      <w:r w:rsidRPr="00A26BF8">
        <w:rPr>
          <w:sz w:val="24"/>
          <w:szCs w:val="24"/>
        </w:rPr>
        <w:t>, at 18 (May 2012), </w:t>
      </w:r>
      <w:hyperlink r:id="rId2" w:history="1">
        <w:r w:rsidRPr="00A26BF8">
          <w:rPr>
            <w:rStyle w:val="Hyperlink"/>
            <w:sz w:val="24"/>
            <w:szCs w:val="24"/>
          </w:rPr>
          <w:t>https://www.sba.gov/sites/default/files/advocacy/rfaguide_0512_0.pdf</w:t>
        </w:r>
      </w:hyperlink>
      <w:r w:rsidRPr="00A26BF8">
        <w:rPr>
          <w:sz w:val="24"/>
          <w:szCs w:val="24"/>
        </w:rPr>
        <w:t>.</w:t>
      </w:r>
    </w:p>
  </w:footnote>
  <w:footnote w:id="19">
    <w:p w14:paraId="39067DB7" w14:textId="3F71F599" w:rsidR="00C41333" w:rsidRPr="003C58CD" w:rsidRDefault="00C41333" w:rsidP="003C58CD">
      <w:pPr>
        <w:pStyle w:val="FootnoteText"/>
        <w:ind w:left="120"/>
        <w:rPr>
          <w:sz w:val="24"/>
          <w:szCs w:val="24"/>
        </w:rPr>
      </w:pPr>
      <w:r w:rsidRPr="003C58CD">
        <w:rPr>
          <w:rStyle w:val="FootnoteReference"/>
          <w:sz w:val="24"/>
          <w:szCs w:val="24"/>
        </w:rPr>
        <w:footnoteRef/>
      </w:r>
      <w:r w:rsidRPr="003C58CD">
        <w:rPr>
          <w:sz w:val="24"/>
          <w:szCs w:val="24"/>
        </w:rPr>
        <w:t xml:space="preserve"> The Commission staff estimates that the average respondent for this collection is similarly situated to the Commission, in terms of salary plus benefits. Based on FERC’s 2020 annual average of $172,329 (for salary plus benefits), the average hourly cost is $83/hour.</w:t>
      </w:r>
    </w:p>
  </w:footnote>
  <w:footnote w:id="20">
    <w:p w14:paraId="380B8404" w14:textId="6F3CE9A5" w:rsidR="00C41333" w:rsidRDefault="00C41333" w:rsidP="003C58CD">
      <w:pPr>
        <w:pStyle w:val="FootnoteText"/>
        <w:ind w:left="130"/>
      </w:pPr>
      <w:r w:rsidRPr="003C58CD">
        <w:rPr>
          <w:rStyle w:val="FootnoteReference"/>
          <w:sz w:val="24"/>
          <w:szCs w:val="24"/>
        </w:rPr>
        <w:footnoteRef/>
      </w:r>
      <w:r w:rsidRPr="003C58CD">
        <w:rPr>
          <w:sz w:val="24"/>
          <w:szCs w:val="24"/>
        </w:rPr>
        <w:t xml:space="preserve"> One response for one new transmission organization is being used as a placeholder (</w:t>
      </w:r>
      <w:r>
        <w:rPr>
          <w:sz w:val="24"/>
          <w:szCs w:val="24"/>
        </w:rPr>
        <w:t>described further i</w:t>
      </w:r>
      <w:r w:rsidRPr="003C58CD">
        <w:rPr>
          <w:sz w:val="24"/>
          <w:szCs w:val="24"/>
        </w:rPr>
        <w:t>n question 1</w:t>
      </w:r>
      <w:r>
        <w:rPr>
          <w:sz w:val="24"/>
          <w:szCs w:val="24"/>
        </w:rPr>
        <w:t>5</w:t>
      </w:r>
      <w:r w:rsidRPr="003C58CD">
        <w:rPr>
          <w:sz w:val="24"/>
          <w:szCs w:val="24"/>
        </w:rPr>
        <w:t>) for a possible application from such a new transmission organization with an organized electricity market.</w:t>
      </w:r>
    </w:p>
  </w:footnote>
  <w:footnote w:id="21">
    <w:p w14:paraId="5A4BB649" w14:textId="65E823FE" w:rsidR="00C41333" w:rsidRDefault="00C41333">
      <w:pPr>
        <w:ind w:left="90" w:hanging="90"/>
        <w:rPr>
          <w:szCs w:val="24"/>
        </w:rPr>
      </w:pPr>
      <w:r w:rsidRPr="00120E54">
        <w:rPr>
          <w:rStyle w:val="FootnoteReference"/>
          <w:sz w:val="24"/>
          <w:szCs w:val="24"/>
        </w:rPr>
        <w:footnoteRef/>
      </w:r>
      <w:r w:rsidRPr="00120E54">
        <w:rPr>
          <w:szCs w:val="24"/>
        </w:rPr>
        <w:t xml:space="preserve"> Based upon 2020 FERC FTE average annual salary plus benefits ($172,329/year), or $83/hour.</w:t>
      </w:r>
    </w:p>
  </w:footnote>
  <w:footnote w:id="22">
    <w:p w14:paraId="25BE907C" w14:textId="178A67F3" w:rsidR="0015414D" w:rsidRPr="003C58CD" w:rsidRDefault="0015414D" w:rsidP="003C58CD">
      <w:pPr>
        <w:pStyle w:val="FootnoteText"/>
        <w:ind w:left="10"/>
        <w:rPr>
          <w:sz w:val="24"/>
          <w:szCs w:val="24"/>
        </w:rPr>
      </w:pPr>
      <w:r w:rsidRPr="003C58CD">
        <w:rPr>
          <w:rStyle w:val="FootnoteReference"/>
          <w:sz w:val="24"/>
          <w:szCs w:val="24"/>
        </w:rPr>
        <w:footnoteRef/>
      </w:r>
      <w:r w:rsidRPr="003C58CD">
        <w:rPr>
          <w:sz w:val="24"/>
          <w:szCs w:val="24"/>
        </w:rPr>
        <w:t xml:space="preserve"> The number of FTE’s is the agency’s best estimate for all information collection activities of FERC-516.  This includes the cost of analysis and processing for all items </w:t>
      </w:r>
      <w:r w:rsidR="008F104A">
        <w:rPr>
          <w:sz w:val="24"/>
          <w:szCs w:val="24"/>
        </w:rPr>
        <w:t xml:space="preserve">listed in the burden table in question 12.  FERC will reassess the number of FTE’s at the time of the next renewal. </w:t>
      </w:r>
    </w:p>
  </w:footnote>
  <w:footnote w:id="23">
    <w:p w14:paraId="259CE66A" w14:textId="77BC183E" w:rsidR="00C41333" w:rsidRDefault="00C41333">
      <w:pPr>
        <w:pStyle w:val="FootnoteText"/>
        <w:ind w:left="90" w:hanging="90"/>
        <w:rPr>
          <w:sz w:val="26"/>
          <w:szCs w:val="26"/>
        </w:rPr>
      </w:pPr>
      <w:r>
        <w:rPr>
          <w:rStyle w:val="FootnoteReference"/>
          <w:sz w:val="24"/>
          <w:szCs w:val="24"/>
        </w:rPr>
        <w:footnoteRef/>
      </w:r>
      <w:r>
        <w:rPr>
          <w:sz w:val="24"/>
          <w:szCs w:val="24"/>
          <w:vertAlign w:val="superscript"/>
        </w:rPr>
        <w:t xml:space="preserve"> </w:t>
      </w:r>
      <w:r>
        <w:rPr>
          <w:sz w:val="24"/>
          <w:szCs w:val="24"/>
        </w:rPr>
        <w:t>Paperwork Reduction Act of 1995 (PRA).</w:t>
      </w:r>
    </w:p>
  </w:footnote>
  <w:footnote w:id="24">
    <w:p w14:paraId="6C9ACB00" w14:textId="77777777" w:rsidR="00C41333" w:rsidRPr="009F7590" w:rsidRDefault="00C41333" w:rsidP="009F7590">
      <w:pPr>
        <w:pStyle w:val="FootnoteText"/>
        <w:ind w:left="10"/>
        <w:rPr>
          <w:color w:val="auto"/>
          <w:sz w:val="24"/>
          <w:szCs w:val="24"/>
        </w:rPr>
      </w:pPr>
      <w:r>
        <w:rPr>
          <w:rStyle w:val="FootnoteReference"/>
        </w:rPr>
        <w:footnoteRef/>
      </w:r>
      <w:r>
        <w:t xml:space="preserve"> </w:t>
      </w:r>
      <w:r w:rsidRPr="009F7590">
        <w:rPr>
          <w:color w:val="auto"/>
          <w:sz w:val="24"/>
          <w:szCs w:val="24"/>
        </w:rPr>
        <w:t>The following currently approved one-time filings for FERC-516 are complete.</w:t>
      </w:r>
    </w:p>
    <w:p w14:paraId="096AA25C" w14:textId="77777777" w:rsidR="00C41333" w:rsidRPr="009F7590" w:rsidRDefault="00C41333" w:rsidP="009F7590">
      <w:pPr>
        <w:numPr>
          <w:ilvl w:val="0"/>
          <w:numId w:val="29"/>
        </w:numPr>
        <w:spacing w:after="0" w:line="240" w:lineRule="auto"/>
        <w:rPr>
          <w:color w:val="auto"/>
          <w:szCs w:val="24"/>
        </w:rPr>
      </w:pPr>
      <w:r w:rsidRPr="009F7590">
        <w:rPr>
          <w:color w:val="auto"/>
          <w:szCs w:val="24"/>
        </w:rPr>
        <w:t xml:space="preserve">The one-time total burden for Electric Rate Schedules and Tariffs in Docket No. RM17-8 was a total of 65,220 hours that was averaged over three years (65,220 ÷ 3 = 21,740 hours/year over three years). </w:t>
      </w:r>
    </w:p>
    <w:p w14:paraId="5AE35180" w14:textId="77777777" w:rsidR="00C41333" w:rsidRPr="009F7590" w:rsidRDefault="00C41333" w:rsidP="009F7590">
      <w:pPr>
        <w:numPr>
          <w:ilvl w:val="0"/>
          <w:numId w:val="29"/>
        </w:numPr>
        <w:spacing w:after="0" w:line="240" w:lineRule="auto"/>
        <w:rPr>
          <w:color w:val="auto"/>
          <w:szCs w:val="24"/>
        </w:rPr>
      </w:pPr>
      <w:r w:rsidRPr="009F7590">
        <w:rPr>
          <w:color w:val="auto"/>
          <w:szCs w:val="24"/>
        </w:rPr>
        <w:t xml:space="preserve">The one-time total burden for Electric Rate Schedules and Tariffs in Docket No. RM11-7 was a total of 5,500 hours that was averaged over three years (5,500 ÷ 3 = 1,833 hours/year over three years). </w:t>
      </w:r>
    </w:p>
    <w:p w14:paraId="189F335B" w14:textId="5DBA9089" w:rsidR="00C41333" w:rsidRDefault="00C41333" w:rsidP="009F7590">
      <w:pPr>
        <w:pStyle w:val="FootnoteText"/>
        <w:ind w:left="10"/>
      </w:pPr>
      <w:r w:rsidRPr="009F7590">
        <w:rPr>
          <w:color w:val="auto"/>
          <w:sz w:val="24"/>
          <w:szCs w:val="24"/>
        </w:rPr>
        <w:t>The one-time total burden for Electric Rate Schedules and Tariffs in Docket No. RM05-05-020 was a total of 60 hours.</w:t>
      </w:r>
    </w:p>
  </w:footnote>
  <w:footnote w:id="25">
    <w:p w14:paraId="18FB9D6B" w14:textId="71335BF4" w:rsidR="00C41333" w:rsidRPr="00863A4D" w:rsidRDefault="00C41333" w:rsidP="00863A4D">
      <w:pPr>
        <w:pStyle w:val="FootnoteText"/>
        <w:ind w:left="20"/>
        <w:rPr>
          <w:sz w:val="24"/>
          <w:szCs w:val="24"/>
        </w:rPr>
      </w:pPr>
      <w:r w:rsidRPr="00863A4D">
        <w:rPr>
          <w:rStyle w:val="FootnoteReference"/>
          <w:sz w:val="24"/>
          <w:szCs w:val="24"/>
        </w:rPr>
        <w:footnoteRef/>
      </w:r>
      <w:r w:rsidRPr="00863A4D">
        <w:rPr>
          <w:sz w:val="24"/>
          <w:szCs w:val="24"/>
        </w:rPr>
        <w:t xml:space="preserve"> If a new RTO/ISO is formed, their tariff filings would be required by Order 845 (in Docket No. RM17-8), Order 755 (in Docket No. RM11-7), and Order 676-G (in Docket No. RM05-05-020).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6DC79" w14:textId="77777777" w:rsidR="00C41333" w:rsidRDefault="00C41333">
    <w:pPr>
      <w:spacing w:after="0" w:line="259" w:lineRule="auto"/>
      <w:ind w:left="360" w:firstLine="0"/>
    </w:pPr>
    <w:r>
      <w:t xml:space="preserve">FERC-516 &amp; FERC-730 (OMB Control Nos. 1902-0096 and 1902-0239)  </w:t>
    </w:r>
  </w:p>
  <w:p w14:paraId="66150936" w14:textId="53A2574E" w:rsidR="00C41333" w:rsidRDefault="00C41333">
    <w:pPr>
      <w:spacing w:after="0" w:line="259" w:lineRule="auto"/>
      <w:ind w:left="360" w:firstLine="0"/>
    </w:pPr>
    <w:r>
      <w:t xml:space="preserve">Proposed Rule, issued </w:t>
    </w:r>
    <w:r>
      <w:rPr>
        <w:shd w:val="clear" w:color="auto" w:fill="FFFF00"/>
      </w:rPr>
      <w:t>DATE</w:t>
    </w:r>
    <w:r>
      <w:t xml:space="preserve">), Docket RM20-10-000 </w:t>
    </w:r>
  </w:p>
  <w:p w14:paraId="500F552D" w14:textId="77777777" w:rsidR="00C41333" w:rsidRDefault="00C41333">
    <w:pPr>
      <w:spacing w:after="0" w:line="259" w:lineRule="auto"/>
      <w:ind w:left="360" w:firstLine="0"/>
    </w:pPr>
    <w:r>
      <w:t>RIN: 1902-</w:t>
    </w:r>
    <w:r>
      <w:rPr>
        <w:shd w:val="clear" w:color="auto" w:fill="FFFF00"/>
      </w:rPr>
      <w:t>XXXX</w:t>
    </w:r>
    <w:r>
      <w:t xml:space="preserve"> </w:t>
    </w:r>
  </w:p>
  <w:p w14:paraId="77438326" w14:textId="77777777" w:rsidR="00C41333" w:rsidRDefault="00C41333">
    <w:pPr>
      <w:spacing w:after="0" w:line="259" w:lineRule="auto"/>
      <w:ind w:left="36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BCCC" w14:textId="7842B871" w:rsidR="00C41333" w:rsidRDefault="00C41333" w:rsidP="008F25E0">
    <w:pPr>
      <w:spacing w:after="0" w:line="259" w:lineRule="auto"/>
      <w:ind w:left="0" w:firstLine="0"/>
    </w:pPr>
    <w:r>
      <w:t xml:space="preserve">FERC-516 (OMB Control No. 1902-0096) </w:t>
    </w:r>
  </w:p>
  <w:p w14:paraId="32AAB99E" w14:textId="25803C5C" w:rsidR="00C41333" w:rsidRDefault="00C41333" w:rsidP="008F25E0">
    <w:pPr>
      <w:spacing w:after="0" w:line="259" w:lineRule="auto"/>
      <w:ind w:left="0" w:firstLine="0"/>
    </w:pPr>
    <w:r w:rsidRPr="00886F4C">
      <w:t>Docket No. IC21-</w:t>
    </w:r>
    <w:r>
      <w:t>21-000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1CFF0" w14:textId="77777777" w:rsidR="00C41333" w:rsidRDefault="00C41333">
    <w:pPr>
      <w:spacing w:after="0" w:line="259" w:lineRule="auto"/>
      <w:ind w:left="360" w:firstLine="0"/>
    </w:pPr>
    <w:r>
      <w:t xml:space="preserve">FERC-516 &amp; FERC-730 (OMB Control Nos. 1902-0096 and 1902-0239)  </w:t>
    </w:r>
  </w:p>
  <w:p w14:paraId="4CC330AF" w14:textId="06D46DE2" w:rsidR="00C41333" w:rsidRDefault="00C41333">
    <w:pPr>
      <w:spacing w:after="0" w:line="259" w:lineRule="auto"/>
      <w:ind w:left="360" w:firstLine="0"/>
    </w:pPr>
    <w:r>
      <w:t xml:space="preserve">Proposed Rule, issued </w:t>
    </w:r>
    <w:r>
      <w:rPr>
        <w:shd w:val="clear" w:color="auto" w:fill="FFFF00"/>
      </w:rPr>
      <w:t>DATE</w:t>
    </w:r>
    <w:r>
      <w:t xml:space="preserve">), Docket RM20-10-000 </w:t>
    </w:r>
  </w:p>
  <w:p w14:paraId="772F8535" w14:textId="77777777" w:rsidR="00C41333" w:rsidRDefault="00C41333">
    <w:pPr>
      <w:spacing w:after="0" w:line="259" w:lineRule="auto"/>
      <w:ind w:left="360" w:firstLine="0"/>
    </w:pPr>
    <w:r>
      <w:t>RIN: 1902-</w:t>
    </w:r>
    <w:r>
      <w:rPr>
        <w:shd w:val="clear" w:color="auto" w:fill="FFFF00"/>
      </w:rPr>
      <w:t>XXXX</w:t>
    </w:r>
    <w:r>
      <w:t xml:space="preserve"> </w:t>
    </w:r>
  </w:p>
  <w:p w14:paraId="75164813" w14:textId="77777777" w:rsidR="00C41333" w:rsidRDefault="00C41333">
    <w:pPr>
      <w:spacing w:after="0" w:line="259" w:lineRule="auto"/>
      <w:ind w:left="36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960B5"/>
    <w:multiLevelType w:val="hybridMultilevel"/>
    <w:tmpl w:val="AAA61D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26B498C"/>
    <w:multiLevelType w:val="hybridMultilevel"/>
    <w:tmpl w:val="63D2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B39CF"/>
    <w:multiLevelType w:val="hybridMultilevel"/>
    <w:tmpl w:val="15E8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F37B7"/>
    <w:multiLevelType w:val="hybridMultilevel"/>
    <w:tmpl w:val="70E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B7C92"/>
    <w:multiLevelType w:val="hybridMultilevel"/>
    <w:tmpl w:val="754A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70FF6"/>
    <w:multiLevelType w:val="hybridMultilevel"/>
    <w:tmpl w:val="F594C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07DD"/>
    <w:multiLevelType w:val="hybridMultilevel"/>
    <w:tmpl w:val="6F326084"/>
    <w:lvl w:ilvl="0" w:tplc="4766A270">
      <w:start w:val="3"/>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30117E">
      <w:start w:val="1"/>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23F6E">
      <w:start w:val="1"/>
      <w:numFmt w:val="lowerRoman"/>
      <w:lvlText w:val="%3"/>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4E5904">
      <w:start w:val="1"/>
      <w:numFmt w:val="decimal"/>
      <w:lvlText w:val="%4"/>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4F4AA">
      <w:start w:val="1"/>
      <w:numFmt w:val="lowerLetter"/>
      <w:lvlText w:val="%5"/>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80D5E">
      <w:start w:val="1"/>
      <w:numFmt w:val="lowerRoman"/>
      <w:lvlText w:val="%6"/>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0E8EAA">
      <w:start w:val="1"/>
      <w:numFmt w:val="decimal"/>
      <w:lvlText w:val="%7"/>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8E9418">
      <w:start w:val="1"/>
      <w:numFmt w:val="lowerLetter"/>
      <w:lvlText w:val="%8"/>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40A84">
      <w:start w:val="1"/>
      <w:numFmt w:val="lowerRoman"/>
      <w:lvlText w:val="%9"/>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7DB2C2A"/>
    <w:multiLevelType w:val="hybridMultilevel"/>
    <w:tmpl w:val="EE8C18AC"/>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8" w15:restartNumberingAfterBreak="0">
    <w:nsid w:val="2E007742"/>
    <w:multiLevelType w:val="hybridMultilevel"/>
    <w:tmpl w:val="CDA4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A6A08"/>
    <w:multiLevelType w:val="hybridMultilevel"/>
    <w:tmpl w:val="F4842288"/>
    <w:lvl w:ilvl="0" w:tplc="1228DC3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975499"/>
    <w:multiLevelType w:val="hybridMultilevel"/>
    <w:tmpl w:val="845890E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C2D27"/>
    <w:multiLevelType w:val="hybridMultilevel"/>
    <w:tmpl w:val="14C2B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49836C1"/>
    <w:multiLevelType w:val="hybridMultilevel"/>
    <w:tmpl w:val="7B54AC36"/>
    <w:lvl w:ilvl="0" w:tplc="04090001">
      <w:start w:val="1"/>
      <w:numFmt w:val="bullet"/>
      <w:lvlText w:val=""/>
      <w:lvlJc w:val="left"/>
      <w:pPr>
        <w:tabs>
          <w:tab w:val="num" w:pos="1440"/>
        </w:tabs>
        <w:ind w:left="720" w:firstLine="0"/>
      </w:pPr>
      <w:rPr>
        <w:rFonts w:ascii="Symbol" w:hAnsi="Symbo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45CC78B3"/>
    <w:multiLevelType w:val="hybridMultilevel"/>
    <w:tmpl w:val="98C64E7C"/>
    <w:lvl w:ilvl="0" w:tplc="04090001">
      <w:start w:val="1"/>
      <w:numFmt w:val="bullet"/>
      <w:lvlText w:val=""/>
      <w:lvlJc w:val="left"/>
      <w:pPr>
        <w:ind w:left="1076" w:hanging="360"/>
      </w:pPr>
      <w:rPr>
        <w:rFonts w:ascii="Symbol" w:hAnsi="Symbol" w:hint="default"/>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4" w15:restartNumberingAfterBreak="0">
    <w:nsid w:val="465C6DB2"/>
    <w:multiLevelType w:val="hybridMultilevel"/>
    <w:tmpl w:val="5A6682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E3710"/>
    <w:multiLevelType w:val="hybridMultilevel"/>
    <w:tmpl w:val="E1506C12"/>
    <w:lvl w:ilvl="0" w:tplc="60D43168">
      <w:start w:val="2"/>
      <w:numFmt w:val="decimal"/>
      <w:lvlText w:val="%1)"/>
      <w:lvlJc w:val="left"/>
      <w:pPr>
        <w:ind w:left="2516" w:hanging="360"/>
      </w:pPr>
      <w:rPr>
        <w:rFonts w:hint="default"/>
      </w:rPr>
    </w:lvl>
    <w:lvl w:ilvl="1" w:tplc="04090019" w:tentative="1">
      <w:start w:val="1"/>
      <w:numFmt w:val="lowerLetter"/>
      <w:lvlText w:val="%2."/>
      <w:lvlJc w:val="left"/>
      <w:pPr>
        <w:ind w:left="3236" w:hanging="360"/>
      </w:pPr>
    </w:lvl>
    <w:lvl w:ilvl="2" w:tplc="0409001B" w:tentative="1">
      <w:start w:val="1"/>
      <w:numFmt w:val="lowerRoman"/>
      <w:lvlText w:val="%3."/>
      <w:lvlJc w:val="right"/>
      <w:pPr>
        <w:ind w:left="3956" w:hanging="180"/>
      </w:pPr>
    </w:lvl>
    <w:lvl w:ilvl="3" w:tplc="0409000F" w:tentative="1">
      <w:start w:val="1"/>
      <w:numFmt w:val="decimal"/>
      <w:lvlText w:val="%4."/>
      <w:lvlJc w:val="left"/>
      <w:pPr>
        <w:ind w:left="4676" w:hanging="360"/>
      </w:pPr>
    </w:lvl>
    <w:lvl w:ilvl="4" w:tplc="04090019" w:tentative="1">
      <w:start w:val="1"/>
      <w:numFmt w:val="lowerLetter"/>
      <w:lvlText w:val="%5."/>
      <w:lvlJc w:val="left"/>
      <w:pPr>
        <w:ind w:left="5396" w:hanging="360"/>
      </w:pPr>
    </w:lvl>
    <w:lvl w:ilvl="5" w:tplc="0409001B" w:tentative="1">
      <w:start w:val="1"/>
      <w:numFmt w:val="lowerRoman"/>
      <w:lvlText w:val="%6."/>
      <w:lvlJc w:val="right"/>
      <w:pPr>
        <w:ind w:left="6116" w:hanging="180"/>
      </w:pPr>
    </w:lvl>
    <w:lvl w:ilvl="6" w:tplc="0409000F" w:tentative="1">
      <w:start w:val="1"/>
      <w:numFmt w:val="decimal"/>
      <w:lvlText w:val="%7."/>
      <w:lvlJc w:val="left"/>
      <w:pPr>
        <w:ind w:left="6836" w:hanging="360"/>
      </w:pPr>
    </w:lvl>
    <w:lvl w:ilvl="7" w:tplc="04090019" w:tentative="1">
      <w:start w:val="1"/>
      <w:numFmt w:val="lowerLetter"/>
      <w:lvlText w:val="%8."/>
      <w:lvlJc w:val="left"/>
      <w:pPr>
        <w:ind w:left="7556" w:hanging="360"/>
      </w:pPr>
    </w:lvl>
    <w:lvl w:ilvl="8" w:tplc="0409001B" w:tentative="1">
      <w:start w:val="1"/>
      <w:numFmt w:val="lowerRoman"/>
      <w:lvlText w:val="%9."/>
      <w:lvlJc w:val="right"/>
      <w:pPr>
        <w:ind w:left="8276" w:hanging="180"/>
      </w:pPr>
    </w:lvl>
  </w:abstractNum>
  <w:abstractNum w:abstractNumId="16" w15:restartNumberingAfterBreak="0">
    <w:nsid w:val="497560E7"/>
    <w:multiLevelType w:val="hybridMultilevel"/>
    <w:tmpl w:val="6D12E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DD1B71"/>
    <w:multiLevelType w:val="hybridMultilevel"/>
    <w:tmpl w:val="C4C203F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A79D9"/>
    <w:multiLevelType w:val="hybridMultilevel"/>
    <w:tmpl w:val="0B341360"/>
    <w:lvl w:ilvl="0" w:tplc="04090017">
      <w:start w:val="1"/>
      <w:numFmt w:val="low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9" w15:restartNumberingAfterBreak="0">
    <w:nsid w:val="50546A19"/>
    <w:multiLevelType w:val="hybridMultilevel"/>
    <w:tmpl w:val="02829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4270E3"/>
    <w:multiLevelType w:val="hybridMultilevel"/>
    <w:tmpl w:val="21146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346D7"/>
    <w:multiLevelType w:val="hybridMultilevel"/>
    <w:tmpl w:val="C1AC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6119"/>
    <w:multiLevelType w:val="hybridMultilevel"/>
    <w:tmpl w:val="940E59B0"/>
    <w:lvl w:ilvl="0" w:tplc="43F2F5EA">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9294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6A98C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D07A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A05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C69E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52BF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15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322D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11E11E7"/>
    <w:multiLevelType w:val="hybridMultilevel"/>
    <w:tmpl w:val="009A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EA3400"/>
    <w:multiLevelType w:val="hybridMultilevel"/>
    <w:tmpl w:val="F6FEF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361D7B"/>
    <w:multiLevelType w:val="hybridMultilevel"/>
    <w:tmpl w:val="5F9E928A"/>
    <w:lvl w:ilvl="0" w:tplc="0409000F">
      <w:start w:val="1"/>
      <w:numFmt w:val="decimal"/>
      <w:lvlText w:val="%1."/>
      <w:lvlJc w:val="left"/>
      <w:pPr>
        <w:ind w:left="1076" w:hanging="360"/>
      </w:p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6" w15:restartNumberingAfterBreak="0">
    <w:nsid w:val="6E9B7C6F"/>
    <w:multiLevelType w:val="hybridMultilevel"/>
    <w:tmpl w:val="139803CC"/>
    <w:lvl w:ilvl="0" w:tplc="F57AD20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7898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902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469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04EA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D8BA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0C43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85F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88C4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FF72274"/>
    <w:multiLevelType w:val="hybridMultilevel"/>
    <w:tmpl w:val="C9D22DB0"/>
    <w:lvl w:ilvl="0" w:tplc="4880B28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2C3A9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F4850D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8CDAC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7649E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94023E">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8E882C">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D234F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4C8502">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D85F1B"/>
    <w:multiLevelType w:val="hybridMultilevel"/>
    <w:tmpl w:val="BB66AD9A"/>
    <w:lvl w:ilvl="0" w:tplc="5CB8524A">
      <w:start w:val="1"/>
      <w:numFmt w:val="decimal"/>
      <w:lvlText w:val="(%1)"/>
      <w:lvlJc w:val="left"/>
      <w:pPr>
        <w:ind w:left="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940B3AC">
      <w:start w:val="1"/>
      <w:numFmt w:val="upperLetter"/>
      <w:lvlText w:val="(%2)"/>
      <w:lvlJc w:val="left"/>
      <w:pPr>
        <w:ind w:left="115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97A399A">
      <w:start w:val="1"/>
      <w:numFmt w:val="lowerRoman"/>
      <w:lvlText w:val="%3"/>
      <w:lvlJc w:val="left"/>
      <w:pPr>
        <w:ind w:left="24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CC467DC">
      <w:start w:val="1"/>
      <w:numFmt w:val="decimal"/>
      <w:lvlText w:val="%4"/>
      <w:lvlJc w:val="left"/>
      <w:pPr>
        <w:ind w:left="31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9A79D0">
      <w:start w:val="1"/>
      <w:numFmt w:val="lowerLetter"/>
      <w:lvlText w:val="%5"/>
      <w:lvlJc w:val="left"/>
      <w:pPr>
        <w:ind w:left="39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33459DA">
      <w:start w:val="1"/>
      <w:numFmt w:val="lowerRoman"/>
      <w:lvlText w:val="%6"/>
      <w:lvlJc w:val="left"/>
      <w:pPr>
        <w:ind w:left="46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34D44A">
      <w:start w:val="1"/>
      <w:numFmt w:val="decimal"/>
      <w:lvlText w:val="%7"/>
      <w:lvlJc w:val="left"/>
      <w:pPr>
        <w:ind w:left="53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552D88A">
      <w:start w:val="1"/>
      <w:numFmt w:val="lowerLetter"/>
      <w:lvlText w:val="%8"/>
      <w:lvlJc w:val="left"/>
      <w:pPr>
        <w:ind w:left="60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88A112">
      <w:start w:val="1"/>
      <w:numFmt w:val="lowerRoman"/>
      <w:lvlText w:val="%9"/>
      <w:lvlJc w:val="left"/>
      <w:pPr>
        <w:ind w:left="67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73C9493C"/>
    <w:multiLevelType w:val="hybridMultilevel"/>
    <w:tmpl w:val="93386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27796"/>
    <w:multiLevelType w:val="hybridMultilevel"/>
    <w:tmpl w:val="2FD21864"/>
    <w:lvl w:ilvl="0" w:tplc="21CA8692">
      <w:start w:val="4"/>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340BEC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7E0851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5043D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224C02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159E8BF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E61C53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DF68515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AA638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31" w15:restartNumberingAfterBreak="0">
    <w:nsid w:val="7AF729A4"/>
    <w:multiLevelType w:val="hybridMultilevel"/>
    <w:tmpl w:val="F3C09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B09D3"/>
    <w:multiLevelType w:val="hybridMultilevel"/>
    <w:tmpl w:val="18B42A12"/>
    <w:lvl w:ilvl="0" w:tplc="53148C98">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6"/>
  </w:num>
  <w:num w:numId="3">
    <w:abstractNumId w:val="30"/>
  </w:num>
  <w:num w:numId="4">
    <w:abstractNumId w:val="26"/>
  </w:num>
  <w:num w:numId="5">
    <w:abstractNumId w:val="22"/>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0"/>
  </w:num>
  <w:num w:numId="10">
    <w:abstractNumId w:val="4"/>
  </w:num>
  <w:num w:numId="11">
    <w:abstractNumId w:val="18"/>
  </w:num>
  <w:num w:numId="12">
    <w:abstractNumId w:val="3"/>
  </w:num>
  <w:num w:numId="13">
    <w:abstractNumId w:val="13"/>
  </w:num>
  <w:num w:numId="14">
    <w:abstractNumId w:val="9"/>
  </w:num>
  <w:num w:numId="15">
    <w:abstractNumId w:val="31"/>
  </w:num>
  <w:num w:numId="16">
    <w:abstractNumId w:val="17"/>
  </w:num>
  <w:num w:numId="17">
    <w:abstractNumId w:val="3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5"/>
  </w:num>
  <w:num w:numId="21">
    <w:abstractNumId w:val="10"/>
  </w:num>
  <w:num w:numId="22">
    <w:abstractNumId w:val="5"/>
  </w:num>
  <w:num w:numId="23">
    <w:abstractNumId w:val="23"/>
  </w:num>
  <w:num w:numId="24">
    <w:abstractNumId w:val="25"/>
  </w:num>
  <w:num w:numId="25">
    <w:abstractNumId w:val="28"/>
  </w:num>
  <w:num w:numId="26">
    <w:abstractNumId w:val="20"/>
  </w:num>
  <w:num w:numId="27">
    <w:abstractNumId w:val="21"/>
  </w:num>
  <w:num w:numId="28">
    <w:abstractNumId w:val="7"/>
  </w:num>
  <w:num w:numId="29">
    <w:abstractNumId w:val="19"/>
  </w:num>
  <w:num w:numId="30">
    <w:abstractNumId w:val="16"/>
  </w:num>
  <w:num w:numId="31">
    <w:abstractNumId w:val="2"/>
  </w:num>
  <w:num w:numId="32">
    <w:abstractNumId w:val="1"/>
  </w:num>
  <w:num w:numId="33">
    <w:abstractNumId w:val="24"/>
  </w:num>
  <w:num w:numId="34">
    <w:abstractNumId w:val="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autoHyphenation/>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B"/>
    <w:rsid w:val="000079E5"/>
    <w:rsid w:val="00012F33"/>
    <w:rsid w:val="00015B0E"/>
    <w:rsid w:val="000218C9"/>
    <w:rsid w:val="00073684"/>
    <w:rsid w:val="00082554"/>
    <w:rsid w:val="000A2AE3"/>
    <w:rsid w:val="000C1731"/>
    <w:rsid w:val="000C7809"/>
    <w:rsid w:val="000E1735"/>
    <w:rsid w:val="00113231"/>
    <w:rsid w:val="00120E54"/>
    <w:rsid w:val="00122021"/>
    <w:rsid w:val="00124E0D"/>
    <w:rsid w:val="0015414D"/>
    <w:rsid w:val="00155D7B"/>
    <w:rsid w:val="00156174"/>
    <w:rsid w:val="0017331B"/>
    <w:rsid w:val="00173A96"/>
    <w:rsid w:val="001B0967"/>
    <w:rsid w:val="001B1273"/>
    <w:rsid w:val="001C02B7"/>
    <w:rsid w:val="001E428D"/>
    <w:rsid w:val="001E596C"/>
    <w:rsid w:val="00205AF7"/>
    <w:rsid w:val="00211945"/>
    <w:rsid w:val="00224FA6"/>
    <w:rsid w:val="00241151"/>
    <w:rsid w:val="00250554"/>
    <w:rsid w:val="00252BC0"/>
    <w:rsid w:val="00262DE0"/>
    <w:rsid w:val="00267745"/>
    <w:rsid w:val="00271DBF"/>
    <w:rsid w:val="002768DF"/>
    <w:rsid w:val="002835E6"/>
    <w:rsid w:val="002861EE"/>
    <w:rsid w:val="00295724"/>
    <w:rsid w:val="002A0A18"/>
    <w:rsid w:val="002D7E48"/>
    <w:rsid w:val="002E29E9"/>
    <w:rsid w:val="002F4489"/>
    <w:rsid w:val="002F47B4"/>
    <w:rsid w:val="00343726"/>
    <w:rsid w:val="0034451E"/>
    <w:rsid w:val="00346090"/>
    <w:rsid w:val="00352972"/>
    <w:rsid w:val="00353487"/>
    <w:rsid w:val="00367002"/>
    <w:rsid w:val="00367321"/>
    <w:rsid w:val="00370127"/>
    <w:rsid w:val="00374D78"/>
    <w:rsid w:val="00377427"/>
    <w:rsid w:val="00383548"/>
    <w:rsid w:val="00383CEA"/>
    <w:rsid w:val="00384964"/>
    <w:rsid w:val="003960AC"/>
    <w:rsid w:val="003C0EC5"/>
    <w:rsid w:val="003C127E"/>
    <w:rsid w:val="003C58CD"/>
    <w:rsid w:val="003D059F"/>
    <w:rsid w:val="004112AE"/>
    <w:rsid w:val="004208B1"/>
    <w:rsid w:val="00421FD4"/>
    <w:rsid w:val="00424F21"/>
    <w:rsid w:val="00426EC5"/>
    <w:rsid w:val="00434EA7"/>
    <w:rsid w:val="00451CE7"/>
    <w:rsid w:val="004A11FD"/>
    <w:rsid w:val="004A3963"/>
    <w:rsid w:val="004C151D"/>
    <w:rsid w:val="004C1B9D"/>
    <w:rsid w:val="004C723D"/>
    <w:rsid w:val="004D45C2"/>
    <w:rsid w:val="004F45CC"/>
    <w:rsid w:val="00510AAA"/>
    <w:rsid w:val="00517198"/>
    <w:rsid w:val="00527F9E"/>
    <w:rsid w:val="00533455"/>
    <w:rsid w:val="00535DBE"/>
    <w:rsid w:val="00545EC9"/>
    <w:rsid w:val="00565165"/>
    <w:rsid w:val="00566E7E"/>
    <w:rsid w:val="00570237"/>
    <w:rsid w:val="00586E11"/>
    <w:rsid w:val="005A2F69"/>
    <w:rsid w:val="005D2932"/>
    <w:rsid w:val="005D4A6E"/>
    <w:rsid w:val="005E773B"/>
    <w:rsid w:val="005F55D3"/>
    <w:rsid w:val="005F5745"/>
    <w:rsid w:val="00600CA2"/>
    <w:rsid w:val="00612F07"/>
    <w:rsid w:val="00615396"/>
    <w:rsid w:val="00631DE8"/>
    <w:rsid w:val="00637ACE"/>
    <w:rsid w:val="00646544"/>
    <w:rsid w:val="0065136C"/>
    <w:rsid w:val="00652054"/>
    <w:rsid w:val="00661677"/>
    <w:rsid w:val="00665736"/>
    <w:rsid w:val="00670A06"/>
    <w:rsid w:val="00684D17"/>
    <w:rsid w:val="006870E5"/>
    <w:rsid w:val="006A42F8"/>
    <w:rsid w:val="006A4EC9"/>
    <w:rsid w:val="006E3E6A"/>
    <w:rsid w:val="00705A71"/>
    <w:rsid w:val="00717C56"/>
    <w:rsid w:val="007428C5"/>
    <w:rsid w:val="007450DD"/>
    <w:rsid w:val="00753CEE"/>
    <w:rsid w:val="007619EB"/>
    <w:rsid w:val="00766820"/>
    <w:rsid w:val="0077556C"/>
    <w:rsid w:val="00782178"/>
    <w:rsid w:val="007A5AF2"/>
    <w:rsid w:val="007A70FA"/>
    <w:rsid w:val="007B54E6"/>
    <w:rsid w:val="007D37AA"/>
    <w:rsid w:val="007E4792"/>
    <w:rsid w:val="007E7D67"/>
    <w:rsid w:val="00815648"/>
    <w:rsid w:val="00817ADE"/>
    <w:rsid w:val="0083015F"/>
    <w:rsid w:val="00840F63"/>
    <w:rsid w:val="00844683"/>
    <w:rsid w:val="00844F83"/>
    <w:rsid w:val="00857381"/>
    <w:rsid w:val="00863A4D"/>
    <w:rsid w:val="00871F95"/>
    <w:rsid w:val="00886F4C"/>
    <w:rsid w:val="008B2415"/>
    <w:rsid w:val="008B2C5F"/>
    <w:rsid w:val="008B6844"/>
    <w:rsid w:val="008B6C4D"/>
    <w:rsid w:val="008C222C"/>
    <w:rsid w:val="008D3DC2"/>
    <w:rsid w:val="008D7F5D"/>
    <w:rsid w:val="008E0E49"/>
    <w:rsid w:val="008F08F3"/>
    <w:rsid w:val="008F104A"/>
    <w:rsid w:val="008F25E0"/>
    <w:rsid w:val="008F340C"/>
    <w:rsid w:val="0090586F"/>
    <w:rsid w:val="009213B4"/>
    <w:rsid w:val="00921445"/>
    <w:rsid w:val="00923C78"/>
    <w:rsid w:val="009339F7"/>
    <w:rsid w:val="00944FDA"/>
    <w:rsid w:val="009459A1"/>
    <w:rsid w:val="00947831"/>
    <w:rsid w:val="00954AC8"/>
    <w:rsid w:val="0098120E"/>
    <w:rsid w:val="009A18AB"/>
    <w:rsid w:val="009A3E12"/>
    <w:rsid w:val="009A5344"/>
    <w:rsid w:val="009B03C5"/>
    <w:rsid w:val="009C2589"/>
    <w:rsid w:val="009E56EF"/>
    <w:rsid w:val="009F7590"/>
    <w:rsid w:val="00A01E93"/>
    <w:rsid w:val="00A02CC7"/>
    <w:rsid w:val="00A03274"/>
    <w:rsid w:val="00A26BF8"/>
    <w:rsid w:val="00A35603"/>
    <w:rsid w:val="00A371AF"/>
    <w:rsid w:val="00A47E38"/>
    <w:rsid w:val="00A6212B"/>
    <w:rsid w:val="00A643AD"/>
    <w:rsid w:val="00A66909"/>
    <w:rsid w:val="00A71618"/>
    <w:rsid w:val="00A776A7"/>
    <w:rsid w:val="00A90896"/>
    <w:rsid w:val="00A946E0"/>
    <w:rsid w:val="00AE6061"/>
    <w:rsid w:val="00B038F0"/>
    <w:rsid w:val="00B27BB2"/>
    <w:rsid w:val="00B347C1"/>
    <w:rsid w:val="00B46924"/>
    <w:rsid w:val="00B54246"/>
    <w:rsid w:val="00B61D64"/>
    <w:rsid w:val="00B7529D"/>
    <w:rsid w:val="00B76183"/>
    <w:rsid w:val="00B76DD7"/>
    <w:rsid w:val="00BC1211"/>
    <w:rsid w:val="00BE16FB"/>
    <w:rsid w:val="00C1679C"/>
    <w:rsid w:val="00C333CF"/>
    <w:rsid w:val="00C41333"/>
    <w:rsid w:val="00C76AE9"/>
    <w:rsid w:val="00C845A9"/>
    <w:rsid w:val="00CA31D0"/>
    <w:rsid w:val="00CB477C"/>
    <w:rsid w:val="00CC230C"/>
    <w:rsid w:val="00CD17A0"/>
    <w:rsid w:val="00CE16CE"/>
    <w:rsid w:val="00CE4F7B"/>
    <w:rsid w:val="00CE7745"/>
    <w:rsid w:val="00CF21FA"/>
    <w:rsid w:val="00D2056B"/>
    <w:rsid w:val="00D22142"/>
    <w:rsid w:val="00D27A81"/>
    <w:rsid w:val="00D41366"/>
    <w:rsid w:val="00D42228"/>
    <w:rsid w:val="00D54E1F"/>
    <w:rsid w:val="00D6366B"/>
    <w:rsid w:val="00D65884"/>
    <w:rsid w:val="00D7070A"/>
    <w:rsid w:val="00D837B8"/>
    <w:rsid w:val="00D86C9A"/>
    <w:rsid w:val="00DA2C1D"/>
    <w:rsid w:val="00DD755B"/>
    <w:rsid w:val="00DE2487"/>
    <w:rsid w:val="00DE3759"/>
    <w:rsid w:val="00DF591D"/>
    <w:rsid w:val="00DF6C2D"/>
    <w:rsid w:val="00E3112C"/>
    <w:rsid w:val="00E4341F"/>
    <w:rsid w:val="00E61D4D"/>
    <w:rsid w:val="00E66FF9"/>
    <w:rsid w:val="00E700A9"/>
    <w:rsid w:val="00E744C1"/>
    <w:rsid w:val="00E93D90"/>
    <w:rsid w:val="00EB66D0"/>
    <w:rsid w:val="00EB6EAB"/>
    <w:rsid w:val="00ED0044"/>
    <w:rsid w:val="00F22A5A"/>
    <w:rsid w:val="00F31B4C"/>
    <w:rsid w:val="00F417B0"/>
    <w:rsid w:val="00F8288A"/>
    <w:rsid w:val="00FC2A46"/>
    <w:rsid w:val="00FC519E"/>
    <w:rsid w:val="00FC5C1A"/>
    <w:rsid w:val="00FC6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D98021"/>
  <w15:docId w15:val="{E5F3C56C-4A72-47AC-8E4B-BC4422B3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366"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2115" w:hanging="10"/>
      <w:outlineLvl w:val="0"/>
    </w:pPr>
    <w:rPr>
      <w:rFonts w:ascii="Times New Roman" w:eastAsia="Times New Roman" w:hAnsi="Times New Roman" w:cs="Times New Roman"/>
      <w:b/>
      <w:color w:val="000000"/>
      <w:sz w:val="24"/>
    </w:rPr>
  </w:style>
  <w:style w:type="paragraph" w:styleId="Heading2">
    <w:name w:val="heading 2"/>
    <w:basedOn w:val="Normal"/>
    <w:next w:val="Normal"/>
    <w:link w:val="Heading2Char"/>
    <w:uiPriority w:val="9"/>
    <w:semiHidden/>
    <w:unhideWhenUsed/>
    <w:qFormat/>
    <w:rsid w:val="00B347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ind w:left="360" w:firstLine="360"/>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Pr>
      <w:rFonts w:ascii="Times New Roman" w:eastAsia="Times New Roman" w:hAnsi="Times New Roman" w:cs="Times New Roman"/>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24"/>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noteText">
    <w:name w:val="footnote text"/>
    <w:aliases w:val="Footnote Text Char1 Char,Footnote Text Char Char Char,Footnote Text Char Char,Footnote Text Char Char1,fn,Footnote Text MRP,Footnote Text Char3,Footnote Text Char2 Char,ft Char,Footnote Text Char1 Char Char Char1,ft,f,c,Footnote Text Char1"/>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1,Footnote Text Char Char1 Char,fn Char,Footnote Text MRP Char,Footnote Text Char3 Char,Footnote Text Char2 Char Char,ft Char Char,ft Char1"/>
    <w:basedOn w:val="DefaultParagraphFont"/>
    <w:link w:val="FootnoteText"/>
    <w:rPr>
      <w:rFonts w:ascii="Times New Roman" w:eastAsia="Times New Roman" w:hAnsi="Times New Roman" w:cs="Times New Roman"/>
      <w:color w:val="000000"/>
      <w:sz w:val="20"/>
      <w:szCs w:val="20"/>
    </w:rPr>
  </w:style>
  <w:style w:type="character" w:styleId="FootnoteReference">
    <w:name w:val="footnote reference"/>
    <w:aliases w:val="o,fr,Style 13,Style 12,Style 15,Style 17,Style 9,o1,fr1,o2,fr2,o3,fr3,Style 18,(NECG) Footnote Reference,Style 20,Style 7,Style 8,Style 19,Style 28,Style 11,Style 16,Styl,Footnote Reference (EIS),fnr,Footnote reference (EA),Style 30,."/>
    <w:basedOn w:val="DefaultParagraphFont"/>
    <w:semiHidden/>
    <w:unhideWhenUsed/>
    <w:qFormat/>
    <w:rPr>
      <w:rFonts w:ascii="Times New Roman" w:hAnsi="Times New Roman" w:cs="Times New Roman" w:hint="default"/>
      <w:b/>
      <w:bCs w:val="0"/>
      <w:sz w:val="26"/>
      <w:vertAlign w:val="superscript"/>
    </w:rPr>
  </w:style>
  <w:style w:type="paragraph" w:styleId="CommentText">
    <w:name w:val="annotation text"/>
    <w:basedOn w:val="Normal"/>
    <w:link w:val="CommentTextChar"/>
    <w:uiPriority w:val="99"/>
    <w:semiHidden/>
    <w:unhideWhenUsed/>
    <w:pPr>
      <w:widowControl w:val="0"/>
      <w:spacing w:after="0" w:line="240" w:lineRule="auto"/>
      <w:ind w:left="0" w:firstLine="0"/>
    </w:pPr>
    <w:rPr>
      <w:rFonts w:ascii="Arial" w:eastAsiaTheme="minorHAnsi" w:hAnsi="Arial" w:cs="Arial"/>
      <w:color w:val="auto"/>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pPr>
      <w:widowControl/>
      <w:spacing w:after="3"/>
      <w:ind w:left="366" w:hanging="10"/>
    </w:pPr>
    <w:rPr>
      <w:rFonts w:ascii="Times New Roman" w:eastAsia="Times New Roman" w:hAnsi="Times New Roman" w:cs="Times New Roman"/>
      <w:b/>
      <w:bCs/>
      <w:color w:val="00000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table" w:customStyle="1" w:styleId="TableGrid1">
    <w:name w:val="Table Grid1"/>
    <w:basedOn w:val="TableNormal"/>
    <w:next w:val="TableGrid0"/>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FERCparanumber">
    <w:name w:val="FERC paranumber"/>
    <w:basedOn w:val="Normal"/>
    <w:link w:val="FERCparanumberChar"/>
    <w:qFormat/>
    <w:pPr>
      <w:numPr>
        <w:numId w:val="17"/>
      </w:numPr>
      <w:spacing w:after="0" w:line="480" w:lineRule="auto"/>
    </w:pPr>
    <w:rPr>
      <w:rFonts w:eastAsia="Calibri"/>
      <w:color w:val="auto"/>
      <w:sz w:val="26"/>
    </w:rPr>
  </w:style>
  <w:style w:type="character" w:customStyle="1" w:styleId="FERCparanumberChar">
    <w:name w:val="FERC paranumber Char"/>
    <w:basedOn w:val="DefaultParagraphFont"/>
    <w:link w:val="FERCparanumber"/>
    <w:rPr>
      <w:rFonts w:ascii="Times New Roman" w:eastAsia="Calibri" w:hAnsi="Times New Roman" w:cs="Times New Roman"/>
      <w:sz w:val="26"/>
    </w:rPr>
  </w:style>
  <w:style w:type="character" w:styleId="FollowedHyperlink">
    <w:name w:val="FollowedHyperlink"/>
    <w:basedOn w:val="DefaultParagraphFont"/>
    <w:uiPriority w:val="99"/>
    <w:semiHidden/>
    <w:unhideWhenUsed/>
    <w:rPr>
      <w:color w:val="954F72" w:themeColor="followedHyperlink"/>
      <w:u w:val="single"/>
    </w:rPr>
  </w:style>
  <w:style w:type="paragraph" w:styleId="Revision">
    <w:name w:val="Revision"/>
    <w:hidden/>
    <w:uiPriority w:val="99"/>
    <w:semiHidden/>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semiHidden/>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Times New Roman" w:eastAsia="Times New Roman" w:hAnsi="Times New Roman" w:cs="Times New Roman"/>
      <w:color w:val="000000"/>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EndnoteText">
    <w:name w:val="endnote text"/>
    <w:basedOn w:val="Normal"/>
    <w:link w:val="EndnoteTextChar"/>
    <w:uiPriority w:val="99"/>
    <w:semiHidden/>
    <w:unhideWhenUsed/>
    <w:rsid w:val="00A946E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6E0"/>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A946E0"/>
    <w:rPr>
      <w:vertAlign w:val="superscript"/>
    </w:rPr>
  </w:style>
  <w:style w:type="character" w:styleId="UnresolvedMention">
    <w:name w:val="Unresolved Mention"/>
    <w:basedOn w:val="DefaultParagraphFont"/>
    <w:uiPriority w:val="99"/>
    <w:semiHidden/>
    <w:unhideWhenUsed/>
    <w:rsid w:val="00082554"/>
    <w:rPr>
      <w:color w:val="605E5C"/>
      <w:shd w:val="clear" w:color="auto" w:fill="E1DFDD"/>
    </w:rPr>
  </w:style>
  <w:style w:type="table" w:customStyle="1" w:styleId="TableGrid11">
    <w:name w:val="Table Grid11"/>
    <w:basedOn w:val="TableNormal"/>
    <w:next w:val="TableGrid0"/>
    <w:uiPriority w:val="39"/>
    <w:rsid w:val="00113231"/>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B347C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8281">
      <w:bodyDiv w:val="1"/>
      <w:marLeft w:val="0"/>
      <w:marRight w:val="0"/>
      <w:marTop w:val="0"/>
      <w:marBottom w:val="0"/>
      <w:divBdr>
        <w:top w:val="none" w:sz="0" w:space="0" w:color="auto"/>
        <w:left w:val="none" w:sz="0" w:space="0" w:color="auto"/>
        <w:bottom w:val="none" w:sz="0" w:space="0" w:color="auto"/>
        <w:right w:val="none" w:sz="0" w:space="0" w:color="auto"/>
      </w:divBdr>
    </w:div>
    <w:div w:id="432895272">
      <w:bodyDiv w:val="1"/>
      <w:marLeft w:val="0"/>
      <w:marRight w:val="0"/>
      <w:marTop w:val="0"/>
      <w:marBottom w:val="0"/>
      <w:divBdr>
        <w:top w:val="none" w:sz="0" w:space="0" w:color="auto"/>
        <w:left w:val="none" w:sz="0" w:space="0" w:color="auto"/>
        <w:bottom w:val="none" w:sz="0" w:space="0" w:color="auto"/>
        <w:right w:val="none" w:sz="0" w:space="0" w:color="auto"/>
      </w:divBdr>
    </w:div>
    <w:div w:id="437215237">
      <w:bodyDiv w:val="1"/>
      <w:marLeft w:val="0"/>
      <w:marRight w:val="0"/>
      <w:marTop w:val="0"/>
      <w:marBottom w:val="0"/>
      <w:divBdr>
        <w:top w:val="none" w:sz="0" w:space="0" w:color="auto"/>
        <w:left w:val="none" w:sz="0" w:space="0" w:color="auto"/>
        <w:bottom w:val="none" w:sz="0" w:space="0" w:color="auto"/>
        <w:right w:val="none" w:sz="0" w:space="0" w:color="auto"/>
      </w:divBdr>
    </w:div>
    <w:div w:id="457604609">
      <w:bodyDiv w:val="1"/>
      <w:marLeft w:val="0"/>
      <w:marRight w:val="0"/>
      <w:marTop w:val="0"/>
      <w:marBottom w:val="0"/>
      <w:divBdr>
        <w:top w:val="none" w:sz="0" w:space="0" w:color="auto"/>
        <w:left w:val="none" w:sz="0" w:space="0" w:color="auto"/>
        <w:bottom w:val="none" w:sz="0" w:space="0" w:color="auto"/>
        <w:right w:val="none" w:sz="0" w:space="0" w:color="auto"/>
      </w:divBdr>
    </w:div>
    <w:div w:id="544950127">
      <w:bodyDiv w:val="1"/>
      <w:marLeft w:val="0"/>
      <w:marRight w:val="0"/>
      <w:marTop w:val="0"/>
      <w:marBottom w:val="0"/>
      <w:divBdr>
        <w:top w:val="none" w:sz="0" w:space="0" w:color="auto"/>
        <w:left w:val="none" w:sz="0" w:space="0" w:color="auto"/>
        <w:bottom w:val="none" w:sz="0" w:space="0" w:color="auto"/>
        <w:right w:val="none" w:sz="0" w:space="0" w:color="auto"/>
      </w:divBdr>
    </w:div>
    <w:div w:id="555895949">
      <w:bodyDiv w:val="1"/>
      <w:marLeft w:val="0"/>
      <w:marRight w:val="0"/>
      <w:marTop w:val="0"/>
      <w:marBottom w:val="0"/>
      <w:divBdr>
        <w:top w:val="none" w:sz="0" w:space="0" w:color="auto"/>
        <w:left w:val="none" w:sz="0" w:space="0" w:color="auto"/>
        <w:bottom w:val="none" w:sz="0" w:space="0" w:color="auto"/>
        <w:right w:val="none" w:sz="0" w:space="0" w:color="auto"/>
      </w:divBdr>
    </w:div>
    <w:div w:id="592935342">
      <w:bodyDiv w:val="1"/>
      <w:marLeft w:val="0"/>
      <w:marRight w:val="0"/>
      <w:marTop w:val="0"/>
      <w:marBottom w:val="0"/>
      <w:divBdr>
        <w:top w:val="none" w:sz="0" w:space="0" w:color="auto"/>
        <w:left w:val="none" w:sz="0" w:space="0" w:color="auto"/>
        <w:bottom w:val="none" w:sz="0" w:space="0" w:color="auto"/>
        <w:right w:val="none" w:sz="0" w:space="0" w:color="auto"/>
      </w:divBdr>
    </w:div>
    <w:div w:id="965349577">
      <w:bodyDiv w:val="1"/>
      <w:marLeft w:val="0"/>
      <w:marRight w:val="0"/>
      <w:marTop w:val="0"/>
      <w:marBottom w:val="0"/>
      <w:divBdr>
        <w:top w:val="none" w:sz="0" w:space="0" w:color="auto"/>
        <w:left w:val="none" w:sz="0" w:space="0" w:color="auto"/>
        <w:bottom w:val="none" w:sz="0" w:space="0" w:color="auto"/>
        <w:right w:val="none" w:sz="0" w:space="0" w:color="auto"/>
      </w:divBdr>
    </w:div>
    <w:div w:id="1132751486">
      <w:bodyDiv w:val="1"/>
      <w:marLeft w:val="0"/>
      <w:marRight w:val="0"/>
      <w:marTop w:val="0"/>
      <w:marBottom w:val="0"/>
      <w:divBdr>
        <w:top w:val="none" w:sz="0" w:space="0" w:color="auto"/>
        <w:left w:val="none" w:sz="0" w:space="0" w:color="auto"/>
        <w:bottom w:val="none" w:sz="0" w:space="0" w:color="auto"/>
        <w:right w:val="none" w:sz="0" w:space="0" w:color="auto"/>
      </w:divBdr>
    </w:div>
    <w:div w:id="1156341617">
      <w:bodyDiv w:val="1"/>
      <w:marLeft w:val="0"/>
      <w:marRight w:val="0"/>
      <w:marTop w:val="0"/>
      <w:marBottom w:val="0"/>
      <w:divBdr>
        <w:top w:val="none" w:sz="0" w:space="0" w:color="auto"/>
        <w:left w:val="none" w:sz="0" w:space="0" w:color="auto"/>
        <w:bottom w:val="none" w:sz="0" w:space="0" w:color="auto"/>
        <w:right w:val="none" w:sz="0" w:space="0" w:color="auto"/>
      </w:divBdr>
    </w:div>
    <w:div w:id="1188367153">
      <w:bodyDiv w:val="1"/>
      <w:marLeft w:val="0"/>
      <w:marRight w:val="0"/>
      <w:marTop w:val="0"/>
      <w:marBottom w:val="0"/>
      <w:divBdr>
        <w:top w:val="none" w:sz="0" w:space="0" w:color="auto"/>
        <w:left w:val="none" w:sz="0" w:space="0" w:color="auto"/>
        <w:bottom w:val="none" w:sz="0" w:space="0" w:color="auto"/>
        <w:right w:val="none" w:sz="0" w:space="0" w:color="auto"/>
      </w:divBdr>
    </w:div>
    <w:div w:id="1249650945">
      <w:bodyDiv w:val="1"/>
      <w:marLeft w:val="0"/>
      <w:marRight w:val="0"/>
      <w:marTop w:val="0"/>
      <w:marBottom w:val="0"/>
      <w:divBdr>
        <w:top w:val="none" w:sz="0" w:space="0" w:color="auto"/>
        <w:left w:val="none" w:sz="0" w:space="0" w:color="auto"/>
        <w:bottom w:val="none" w:sz="0" w:space="0" w:color="auto"/>
        <w:right w:val="none" w:sz="0" w:space="0" w:color="auto"/>
      </w:divBdr>
    </w:div>
    <w:div w:id="1318680960">
      <w:bodyDiv w:val="1"/>
      <w:marLeft w:val="0"/>
      <w:marRight w:val="0"/>
      <w:marTop w:val="0"/>
      <w:marBottom w:val="0"/>
      <w:divBdr>
        <w:top w:val="none" w:sz="0" w:space="0" w:color="auto"/>
        <w:left w:val="none" w:sz="0" w:space="0" w:color="auto"/>
        <w:bottom w:val="none" w:sz="0" w:space="0" w:color="auto"/>
        <w:right w:val="none" w:sz="0" w:space="0" w:color="auto"/>
      </w:divBdr>
    </w:div>
    <w:div w:id="1359508801">
      <w:bodyDiv w:val="1"/>
      <w:marLeft w:val="0"/>
      <w:marRight w:val="0"/>
      <w:marTop w:val="0"/>
      <w:marBottom w:val="0"/>
      <w:divBdr>
        <w:top w:val="none" w:sz="0" w:space="0" w:color="auto"/>
        <w:left w:val="none" w:sz="0" w:space="0" w:color="auto"/>
        <w:bottom w:val="none" w:sz="0" w:space="0" w:color="auto"/>
        <w:right w:val="none" w:sz="0" w:space="0" w:color="auto"/>
      </w:divBdr>
    </w:div>
    <w:div w:id="1363822816">
      <w:bodyDiv w:val="1"/>
      <w:marLeft w:val="0"/>
      <w:marRight w:val="0"/>
      <w:marTop w:val="0"/>
      <w:marBottom w:val="0"/>
      <w:divBdr>
        <w:top w:val="none" w:sz="0" w:space="0" w:color="auto"/>
        <w:left w:val="none" w:sz="0" w:space="0" w:color="auto"/>
        <w:bottom w:val="none" w:sz="0" w:space="0" w:color="auto"/>
        <w:right w:val="none" w:sz="0" w:space="0" w:color="auto"/>
      </w:divBdr>
    </w:div>
    <w:div w:id="1475174057">
      <w:bodyDiv w:val="1"/>
      <w:marLeft w:val="0"/>
      <w:marRight w:val="0"/>
      <w:marTop w:val="0"/>
      <w:marBottom w:val="0"/>
      <w:divBdr>
        <w:top w:val="none" w:sz="0" w:space="0" w:color="auto"/>
        <w:left w:val="none" w:sz="0" w:space="0" w:color="auto"/>
        <w:bottom w:val="none" w:sz="0" w:space="0" w:color="auto"/>
        <w:right w:val="none" w:sz="0" w:space="0" w:color="auto"/>
      </w:divBdr>
    </w:div>
    <w:div w:id="1508518734">
      <w:bodyDiv w:val="1"/>
      <w:marLeft w:val="0"/>
      <w:marRight w:val="0"/>
      <w:marTop w:val="0"/>
      <w:marBottom w:val="0"/>
      <w:divBdr>
        <w:top w:val="none" w:sz="0" w:space="0" w:color="auto"/>
        <w:left w:val="none" w:sz="0" w:space="0" w:color="auto"/>
        <w:bottom w:val="none" w:sz="0" w:space="0" w:color="auto"/>
        <w:right w:val="none" w:sz="0" w:space="0" w:color="auto"/>
      </w:divBdr>
    </w:div>
    <w:div w:id="1553418636">
      <w:bodyDiv w:val="1"/>
      <w:marLeft w:val="0"/>
      <w:marRight w:val="0"/>
      <w:marTop w:val="0"/>
      <w:marBottom w:val="0"/>
      <w:divBdr>
        <w:top w:val="none" w:sz="0" w:space="0" w:color="auto"/>
        <w:left w:val="none" w:sz="0" w:space="0" w:color="auto"/>
        <w:bottom w:val="none" w:sz="0" w:space="0" w:color="auto"/>
        <w:right w:val="none" w:sz="0" w:space="0" w:color="auto"/>
      </w:divBdr>
    </w:div>
    <w:div w:id="1556503483">
      <w:bodyDiv w:val="1"/>
      <w:marLeft w:val="0"/>
      <w:marRight w:val="0"/>
      <w:marTop w:val="0"/>
      <w:marBottom w:val="0"/>
      <w:divBdr>
        <w:top w:val="none" w:sz="0" w:space="0" w:color="auto"/>
        <w:left w:val="none" w:sz="0" w:space="0" w:color="auto"/>
        <w:bottom w:val="none" w:sz="0" w:space="0" w:color="auto"/>
        <w:right w:val="none" w:sz="0" w:space="0" w:color="auto"/>
      </w:divBdr>
    </w:div>
    <w:div w:id="1558468613">
      <w:bodyDiv w:val="1"/>
      <w:marLeft w:val="0"/>
      <w:marRight w:val="0"/>
      <w:marTop w:val="0"/>
      <w:marBottom w:val="0"/>
      <w:divBdr>
        <w:top w:val="none" w:sz="0" w:space="0" w:color="auto"/>
        <w:left w:val="none" w:sz="0" w:space="0" w:color="auto"/>
        <w:bottom w:val="none" w:sz="0" w:space="0" w:color="auto"/>
        <w:right w:val="none" w:sz="0" w:space="0" w:color="auto"/>
      </w:divBdr>
    </w:div>
    <w:div w:id="1577664824">
      <w:bodyDiv w:val="1"/>
      <w:marLeft w:val="0"/>
      <w:marRight w:val="0"/>
      <w:marTop w:val="0"/>
      <w:marBottom w:val="0"/>
      <w:divBdr>
        <w:top w:val="none" w:sz="0" w:space="0" w:color="auto"/>
        <w:left w:val="none" w:sz="0" w:space="0" w:color="auto"/>
        <w:bottom w:val="none" w:sz="0" w:space="0" w:color="auto"/>
        <w:right w:val="none" w:sz="0" w:space="0" w:color="auto"/>
      </w:divBdr>
    </w:div>
    <w:div w:id="1616056319">
      <w:bodyDiv w:val="1"/>
      <w:marLeft w:val="0"/>
      <w:marRight w:val="0"/>
      <w:marTop w:val="0"/>
      <w:marBottom w:val="0"/>
      <w:divBdr>
        <w:top w:val="none" w:sz="0" w:space="0" w:color="auto"/>
        <w:left w:val="none" w:sz="0" w:space="0" w:color="auto"/>
        <w:bottom w:val="none" w:sz="0" w:space="0" w:color="auto"/>
        <w:right w:val="none" w:sz="0" w:space="0" w:color="auto"/>
      </w:divBdr>
    </w:div>
    <w:div w:id="1770614664">
      <w:bodyDiv w:val="1"/>
      <w:marLeft w:val="0"/>
      <w:marRight w:val="0"/>
      <w:marTop w:val="0"/>
      <w:marBottom w:val="0"/>
      <w:divBdr>
        <w:top w:val="none" w:sz="0" w:space="0" w:color="auto"/>
        <w:left w:val="none" w:sz="0" w:space="0" w:color="auto"/>
        <w:bottom w:val="none" w:sz="0" w:space="0" w:color="auto"/>
        <w:right w:val="none" w:sz="0" w:space="0" w:color="auto"/>
      </w:divBdr>
    </w:div>
    <w:div w:id="1779522282">
      <w:bodyDiv w:val="1"/>
      <w:marLeft w:val="0"/>
      <w:marRight w:val="0"/>
      <w:marTop w:val="0"/>
      <w:marBottom w:val="0"/>
      <w:divBdr>
        <w:top w:val="none" w:sz="0" w:space="0" w:color="auto"/>
        <w:left w:val="none" w:sz="0" w:space="0" w:color="auto"/>
        <w:bottom w:val="none" w:sz="0" w:space="0" w:color="auto"/>
        <w:right w:val="none" w:sz="0" w:space="0" w:color="auto"/>
      </w:divBdr>
    </w:div>
    <w:div w:id="212056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erc.gov/ferc-online/etarif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erc.gov/enforcement-legal/legal/information-collection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sba.gov/sites/default/files/advocacy/rfaguide_0512_0.pdf" TargetMode="External"/><Relationship Id="rId1" Type="http://schemas.openxmlformats.org/officeDocument/2006/relationships/hyperlink" Target="https://elibrary.ferc.gov/eLibrary/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516</_x0031__x002e__x0020_Collection_x0020_Number>
    <Date xmlns="d6eefc7d-9817-4fa6-84d5-3bc009be21b8">2021-07-08T04:00:00+00:00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IC21-21</_x0031__x002e__x0020_Docket_x0020_Number>
    <_x0033__x002e__x0020_Collection_x0020_Number xmlns="d6eefc7d-9817-4fa6-84d5-3bc009be21b8" xsi:nil="true"/>
  </documentManagement>
</p:properties>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BD5E9-6322-4225-8BCB-FF512B73556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AFFC3E17-7FCB-4C1E-80E9-B76A30CA907F}">
  <ds:schemaRefs>
    <ds:schemaRef ds:uri="http://schemas.microsoft.com/office/2006/metadata/customXsn"/>
  </ds:schemaRefs>
</ds:datastoreItem>
</file>

<file path=customXml/itemProps3.xml><?xml version="1.0" encoding="utf-8"?>
<ds:datastoreItem xmlns:ds="http://schemas.openxmlformats.org/officeDocument/2006/customXml" ds:itemID="{6C928FBD-920D-4B79-8ED8-5C018E0BF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B0E84-5482-4C1F-8E28-F375EDCF3B59}">
  <ds:schemaRefs>
    <ds:schemaRef ds:uri="http://schemas.microsoft.com/sharepoint/v3/contenttype/forms"/>
  </ds:schemaRefs>
</ds:datastoreItem>
</file>

<file path=customXml/itemProps5.xml><?xml version="1.0" encoding="utf-8"?>
<ds:datastoreItem xmlns:ds="http://schemas.openxmlformats.org/officeDocument/2006/customXml" ds:itemID="{6681FE39-37CC-4D67-A921-E8BA7C41C015}">
  <ds:schemaRefs>
    <ds:schemaRef ds:uri="Microsoft.SharePoint.Taxonomy.ContentTypeSync"/>
  </ds:schemaRefs>
</ds:datastoreItem>
</file>

<file path=customXml/itemProps6.xml><?xml version="1.0" encoding="utf-8"?>
<ds:datastoreItem xmlns:ds="http://schemas.openxmlformats.org/officeDocument/2006/customXml" ds:itemID="{C8E18BF4-456F-4DF9-9EB3-3D100E5D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FERC-516 Supporting Statement</vt:lpstr>
    </vt:vector>
  </TitlesOfParts>
  <Company>Federal Energy Regulatory Commission</Company>
  <LinksUpToDate>false</LinksUpToDate>
  <CharactersWithSpaces>28862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FERC-516 Supporting Statement</dc:title>
  <dc:subject/>
  <dc:creator>anthony.may@ferc.gov</dc:creator>
  <cp:keywords/>
  <dc:description/>
  <cp:lastModifiedBy>Lena Nour</cp:lastModifiedBy>
  <cp:revision>2</cp:revision>
  <dcterms:created xsi:type="dcterms:W3CDTF">2021-07-12T16:53:00Z</dcterms:created>
  <dcterms:modified xsi:type="dcterms:W3CDTF">2021-07-12T16:53:00Z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2020-03-18T15:57:59.1704810Z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4af7b95f-bf52-4fcc-a844-265254dc3eb6</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y fmtid="{D5CDD505-2E9C-101B-9397-08002B2CF9AE}" pid="11" name="ContentTypeId">
    <vt:lpwstr>0x0101001EA51C0686BDB848B772F285AB6866B0</vt:lpwstr>
  </property>
</Properties>
</file>