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39F14EF8" w14:textId="157B5BD0">
      <w:pPr>
        <w:jc w:val="center"/>
      </w:pPr>
      <w:r>
        <w:t>UNITED STATES OF AMERICA</w:t>
      </w:r>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4EE1887E">
      <w:pPr>
        <w:jc w:val="center"/>
      </w:pPr>
      <w:r w:rsidRPr="00AC750B">
        <w:t>[</w:t>
      </w:r>
      <w:r w:rsidR="004E4EAD">
        <w:t xml:space="preserve">Docket No. </w:t>
      </w:r>
      <w:r w:rsidR="003062C2">
        <w:t>IC21-</w:t>
      </w:r>
      <w:r w:rsidR="00C237F7">
        <w:t>33</w:t>
      </w:r>
      <w:r w:rsidR="00150F12">
        <w:t>-</w:t>
      </w:r>
      <w:r w:rsidR="004E4EAD">
        <w:t>000</w:t>
      </w:r>
      <w:r w:rsidRPr="00AC750B">
        <w:t>]</w:t>
      </w:r>
    </w:p>
    <w:p w:rsidR="00A2604E" w:rsidP="00A2604E" w:rsidRDefault="00A2604E" w14:paraId="37A99FB4" w14:textId="77777777"/>
    <w:p w:rsidRPr="00466D3F" w:rsidR="005A7903" w:rsidP="005A7903" w:rsidRDefault="005A7903" w14:paraId="465B32C7" w14:textId="4B0A645E">
      <w:pPr>
        <w:jc w:val="center"/>
      </w:pPr>
      <w:r w:rsidRPr="00466D3F">
        <w:t>COMMISSION INFORMATION COLLECTION ACTIVITIES (FERC-</w:t>
      </w:r>
      <w:r w:rsidR="00150F12">
        <w:t>566</w:t>
      </w:r>
      <w:r w:rsidRPr="00466D3F">
        <w:t>);</w:t>
      </w:r>
      <w:r>
        <w:t xml:space="preserve"> </w:t>
      </w:r>
      <w:r w:rsidRPr="00466D3F">
        <w:t>COMMENT REQUEST; EXTENSION</w:t>
      </w:r>
    </w:p>
    <w:p w:rsidR="00810D18" w:rsidP="00810D18" w:rsidRDefault="00810D18" w14:paraId="6FC67CE5" w14:textId="1157AFF8"/>
    <w:p w:rsidR="007356B8" w:rsidP="00F77D5B" w:rsidRDefault="00F77D5B" w14:paraId="1C382AA4" w14:textId="74FF92A1">
      <w:pPr>
        <w:jc w:val="center"/>
      </w:pPr>
      <w:r w:rsidRPr="00F77D5B">
        <w:t>(September 1, 2021)</w:t>
      </w:r>
    </w:p>
    <w:p w:rsidRPr="00F77D5B" w:rsidR="00F77D5B" w:rsidP="00F77D5B" w:rsidRDefault="00F77D5B" w14:paraId="0BA91DBB"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2101D528">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150F12">
        <w:t>566</w:t>
      </w:r>
      <w:r w:rsidRPr="005A7903" w:rsidR="005A7903">
        <w:t xml:space="preserve"> (</w:t>
      </w:r>
      <w:r w:rsidRPr="00732110" w:rsidR="00732110">
        <w:t>Annual Report of a Utility’s 20 Largest Purchasers</w:t>
      </w:r>
      <w:r w:rsidRPr="005A7903" w:rsidR="005A7903">
        <w:t>)</w:t>
      </w:r>
      <w:r w:rsidR="00194C4C">
        <w:t>,</w:t>
      </w:r>
      <w:r w:rsidRPr="005A7903" w:rsidR="005A7903">
        <w:t xml:space="preserve"> which will be submitted to the Office of Management and Budget (OMB) for a review of the information collection requirements.</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343A03" w:rsidP="00D50830" w:rsidRDefault="007C1916" w14:paraId="2AFF287E" w14:textId="6E51ABD9">
      <w:pPr>
        <w:spacing w:line="480" w:lineRule="auto"/>
      </w:pPr>
      <w:r w:rsidRPr="007C1916">
        <w:rPr>
          <w:b/>
        </w:rPr>
        <w:t>ADDRESSES:</w:t>
      </w:r>
      <w:r w:rsidRPr="007C1916">
        <w:t xml:space="preserve">  </w:t>
      </w:r>
      <w:r w:rsidRPr="00096CAD" w:rsidR="00343A03">
        <w:rPr>
          <w:iCs/>
          <w:szCs w:val="26"/>
        </w:rPr>
        <w:t xml:space="preserve">Send written comments on </w:t>
      </w:r>
      <w:r w:rsidR="00016EDB">
        <w:rPr>
          <w:iCs/>
          <w:szCs w:val="26"/>
        </w:rPr>
        <w:t>FERC-</w:t>
      </w:r>
      <w:r w:rsidR="000E4351">
        <w:rPr>
          <w:iCs/>
          <w:szCs w:val="26"/>
        </w:rPr>
        <w:t>566</w:t>
      </w:r>
      <w:r w:rsidRPr="00096CAD" w:rsidR="00343A03">
        <w:rPr>
          <w:iCs/>
          <w:szCs w:val="26"/>
        </w:rPr>
        <w:t xml:space="preserve"> to OMB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w:t>
      </w:r>
      <w:r w:rsidRPr="005A7903" w:rsidR="005A7903">
        <w:rPr>
          <w:iCs/>
          <w:szCs w:val="26"/>
        </w:rPr>
        <w:t>1902-</w:t>
      </w:r>
      <w:r w:rsidR="00E74266">
        <w:rPr>
          <w:iCs/>
          <w:szCs w:val="26"/>
        </w:rPr>
        <w:t>0114</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65D56" w:rsidP="00D65D56" w:rsidRDefault="00F12A43" w14:paraId="6073EEC6" w14:textId="65C85545">
      <w:pPr>
        <w:spacing w:line="480" w:lineRule="auto"/>
      </w:pPr>
      <w:r>
        <w:t xml:space="preserve">Please submit copies of your comments </w:t>
      </w:r>
      <w:r w:rsidR="00D65D56">
        <w:t xml:space="preserve">(identified by Docket No. </w:t>
      </w:r>
      <w:r w:rsidR="00BE3392">
        <w:t>IC21-</w:t>
      </w:r>
      <w:r w:rsidR="00FD4F1F">
        <w:t>33</w:t>
      </w:r>
      <w:r w:rsidR="00D65D56">
        <w:t xml:space="preserve">-000) </w:t>
      </w:r>
      <w:r>
        <w:t>to the Commission as noted below</w:t>
      </w:r>
      <w:r w:rsidR="00D65D56">
        <w:t xml:space="preserve">.  Electronic filing through </w:t>
      </w:r>
      <w:hyperlink w:history="1" r:id="rId13">
        <w:r w:rsidRPr="005728E4" w:rsidR="00D65D56">
          <w:rPr>
            <w:rStyle w:val="Hyperlink"/>
          </w:rPr>
          <w:t>http://www.ferc.gov</w:t>
        </w:r>
      </w:hyperlink>
      <w:r w:rsidR="00D65D56">
        <w:t>, is preferred.</w:t>
      </w:r>
    </w:p>
    <w:p w:rsidR="00D65D56" w:rsidP="0027045E" w:rsidRDefault="00D65D56" w14:paraId="5A9C0A3B" w14:textId="5B836784">
      <w:pPr>
        <w:pStyle w:val="ListParagraph"/>
        <w:numPr>
          <w:ilvl w:val="0"/>
          <w:numId w:val="6"/>
        </w:numPr>
        <w:spacing w:line="480" w:lineRule="auto"/>
      </w:pPr>
      <w:r>
        <w:lastRenderedPageBreak/>
        <w:t xml:space="preserve">Electronic Filing: Documents must be filed in acceptable native applications and print-to-PDF, but not in scanned or picture format. </w:t>
      </w:r>
    </w:p>
    <w:p w:rsidR="00D65D56" w:rsidP="0027045E" w:rsidRDefault="00D65D56"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rsidRDefault="00D65D56"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rsidRDefault="00D65D56"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Pr="00CB7448" w:rsidR="00310EFC" w:rsidP="007C1916" w:rsidRDefault="00A2604E" w14:paraId="1D7D8F0D" w14:textId="77777777">
      <w:pPr>
        <w:spacing w:line="480" w:lineRule="auto"/>
        <w:rPr>
          <w:i/>
          <w:szCs w:val="26"/>
        </w:rPr>
      </w:pPr>
      <w:r w:rsidRPr="00CB7448">
        <w:rPr>
          <w:i/>
          <w:szCs w:val="26"/>
        </w:rPr>
        <w:t xml:space="preserve">Instructions: </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4">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62C145F5">
      <w:pPr>
        <w:spacing w:line="480" w:lineRule="auto"/>
        <w:rPr>
          <w:sz w:val="24"/>
        </w:rPr>
      </w:pPr>
      <w:r w:rsidRPr="0027045E">
        <w:t>FERC submissions must</w:t>
      </w:r>
      <w:r>
        <w:t xml:space="preserve"> be formatted and filed in accordance with submission guidelines at: </w:t>
      </w:r>
      <w:hyperlink w:history="1" r:id="rId15">
        <w:r w:rsidRPr="00866BB4">
          <w:rPr>
            <w:rStyle w:val="Hyperlink"/>
          </w:rPr>
          <w:t>http://www.ferc.gov</w:t>
        </w:r>
      </w:hyperlink>
      <w:r>
        <w:t>.</w:t>
      </w:r>
      <w:r w:rsidR="00C44372">
        <w:t xml:space="preserve"> </w:t>
      </w:r>
      <w:r>
        <w:t>For user assistance, contact FERC Online Support by e-mail at ferconlinesupport@ferc.gov, or by phone at:  (866) 208-3676 (toll-free).</w:t>
      </w:r>
    </w:p>
    <w:p w:rsidR="00C44372" w:rsidP="00A2604E" w:rsidRDefault="00A2604E" w14:paraId="0A8B7F1C" w14:textId="77777777">
      <w:pPr>
        <w:spacing w:line="480" w:lineRule="auto"/>
      </w:pPr>
      <w:r>
        <w:rPr>
          <w:i/>
        </w:rPr>
        <w:t>Docket:</w:t>
      </w:r>
      <w:r>
        <w:t xml:space="preserve"> Users interested in receiving automatic notification of activity in this docket or in viewing/downloading comments and issuances in this docket may do so at </w:t>
      </w:r>
      <w:bookmarkEnd w:id="0"/>
      <w:r w:rsidR="00C44372">
        <w:fldChar w:fldCharType="begin"/>
      </w:r>
      <w:r w:rsidR="00C44372">
        <w:instrText xml:space="preserve"> HYPERLINK "http://www.ferc.gov/help/submission-guide.asp" </w:instrText>
      </w:r>
      <w:r w:rsidR="00C44372">
        <w:fldChar w:fldCharType="separate"/>
      </w:r>
      <w:r w:rsidRPr="00866BB4" w:rsidR="00C44372">
        <w:rPr>
          <w:rStyle w:val="Hyperlink"/>
        </w:rPr>
        <w:t>http://www.ferc.gov</w:t>
      </w:r>
      <w:r w:rsidR="00C44372">
        <w:rPr>
          <w:rStyle w:val="Hyperlink"/>
        </w:rPr>
        <w:fldChar w:fldCharType="end"/>
      </w:r>
      <w:r w:rsidR="00C44372">
        <w:t xml:space="preserve">. </w:t>
      </w:r>
    </w:p>
    <w:p w:rsidR="00A2604E" w:rsidP="00A2604E" w:rsidRDefault="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Pr="00425DA2" w:rsidR="005A7903" w:rsidP="005A7903" w:rsidRDefault="005A7903" w14:paraId="4553AE5A" w14:textId="37157A14">
      <w:pPr>
        <w:spacing w:line="480" w:lineRule="auto"/>
      </w:pPr>
      <w:r w:rsidRPr="00466D3F">
        <w:rPr>
          <w:b/>
        </w:rPr>
        <w:lastRenderedPageBreak/>
        <w:t>SUPPLEMENTARY INFORMATION:</w:t>
      </w:r>
      <w:r w:rsidRPr="00466D3F">
        <w:t xml:space="preserve">  </w:t>
      </w:r>
    </w:p>
    <w:p w:rsidRPr="00F3319C" w:rsidR="00F3319C" w:rsidP="00F3319C" w:rsidRDefault="00F3319C" w14:paraId="548FC1AF" w14:textId="77777777">
      <w:pPr>
        <w:spacing w:line="480" w:lineRule="auto"/>
        <w:rPr>
          <w:i/>
          <w:szCs w:val="26"/>
        </w:rPr>
      </w:pPr>
      <w:r w:rsidRPr="00F3319C">
        <w:rPr>
          <w:i/>
          <w:iCs/>
          <w:szCs w:val="26"/>
        </w:rPr>
        <w:t>Title</w:t>
      </w:r>
      <w:r w:rsidRPr="00F3319C">
        <w:rPr>
          <w:iCs/>
          <w:szCs w:val="26"/>
        </w:rPr>
        <w:t>: FERC-566 (Annual Report of a Utility’s 20 Largest Purchasers).</w:t>
      </w:r>
    </w:p>
    <w:p w:rsidRPr="00F3319C" w:rsidR="00F3319C" w:rsidP="00F3319C" w:rsidRDefault="00F3319C" w14:paraId="2A062BC5" w14:textId="77777777">
      <w:pPr>
        <w:spacing w:line="480" w:lineRule="auto"/>
        <w:rPr>
          <w:i/>
          <w:szCs w:val="26"/>
        </w:rPr>
      </w:pPr>
      <w:r w:rsidRPr="00F3319C">
        <w:rPr>
          <w:i/>
          <w:iCs/>
          <w:szCs w:val="26"/>
        </w:rPr>
        <w:t>OMB Control No.</w:t>
      </w:r>
      <w:r w:rsidRPr="00F3319C">
        <w:rPr>
          <w:iCs/>
          <w:szCs w:val="26"/>
        </w:rPr>
        <w:t>: 1902-0114.</w:t>
      </w:r>
    </w:p>
    <w:p w:rsidRPr="00F3319C" w:rsidR="00F3319C" w:rsidP="00F3319C" w:rsidRDefault="00F3319C" w14:paraId="49C9EC33" w14:textId="77777777">
      <w:pPr>
        <w:spacing w:line="480" w:lineRule="auto"/>
        <w:rPr>
          <w:i/>
          <w:szCs w:val="26"/>
        </w:rPr>
      </w:pPr>
      <w:r w:rsidRPr="00F3319C">
        <w:rPr>
          <w:i/>
          <w:iCs/>
          <w:szCs w:val="26"/>
        </w:rPr>
        <w:t>Type of Request</w:t>
      </w:r>
      <w:r w:rsidRPr="00F3319C">
        <w:rPr>
          <w:iCs/>
          <w:szCs w:val="26"/>
        </w:rPr>
        <w:t>: Three-year extension of the FERC-566 information collection requirements with no revisions to the current requirements.</w:t>
      </w:r>
      <w:r w:rsidRPr="00F3319C">
        <w:rPr>
          <w:i/>
          <w:szCs w:val="26"/>
        </w:rPr>
        <w:t xml:space="preserve"> </w:t>
      </w:r>
    </w:p>
    <w:p w:rsidRPr="00F3319C" w:rsidR="00F3319C" w:rsidP="00F3319C" w:rsidRDefault="00F3319C" w14:paraId="62772CE1" w14:textId="77777777">
      <w:pPr>
        <w:spacing w:line="480" w:lineRule="auto"/>
        <w:rPr>
          <w:iCs/>
          <w:szCs w:val="26"/>
        </w:rPr>
      </w:pPr>
      <w:r w:rsidRPr="00F3319C">
        <w:rPr>
          <w:i/>
          <w:iCs/>
          <w:szCs w:val="26"/>
        </w:rPr>
        <w:t>Abstract</w:t>
      </w:r>
      <w:r w:rsidRPr="00F3319C">
        <w:rPr>
          <w:i/>
          <w:szCs w:val="26"/>
        </w:rPr>
        <w:t xml:space="preserve">: </w:t>
      </w:r>
      <w:r w:rsidRPr="00F3319C">
        <w:rPr>
          <w:iCs/>
          <w:szCs w:val="26"/>
        </w:rPr>
        <w:t>Section 305(c) of the Federal Power Act (FPA),</w:t>
      </w:r>
      <w:r w:rsidRPr="00F3319C">
        <w:rPr>
          <w:bCs/>
          <w:iCs/>
          <w:szCs w:val="26"/>
          <w:vertAlign w:val="superscript"/>
        </w:rPr>
        <w:footnoteReference w:id="2"/>
      </w:r>
      <w:r w:rsidRPr="00F3319C">
        <w:rPr>
          <w:iCs/>
          <w:szCs w:val="26"/>
        </w:rPr>
        <w:t xml:space="preserve"> mandates federal oversight and approval of certain electric corporate activities to ensure that neither public nor private interests are adversely affected.  The FPA prescribes information filing requirements to achieve this goal.  These filing requirements are found at 18 CFR 131.31, and serve as the basis for FERC-566.</w:t>
      </w:r>
    </w:p>
    <w:p w:rsidR="00F3319C" w:rsidP="00F3319C" w:rsidRDefault="00F3319C" w14:paraId="1101911A" w14:textId="5E5B2297">
      <w:pPr>
        <w:spacing w:line="480" w:lineRule="auto"/>
        <w:rPr>
          <w:iCs/>
          <w:szCs w:val="26"/>
        </w:rPr>
      </w:pPr>
      <w:r w:rsidRPr="00F3319C">
        <w:rPr>
          <w:iCs/>
          <w:szCs w:val="26"/>
        </w:rPr>
        <w:t xml:space="preserve">FERC-566 implements FPA requirements that each public utility annually publishes a list of the 20 purchasers which purchased the largest annual amounts of electric energy sold by such public utility during any of the three previous calendar years.  The public disclosure of this information provides the information necessary to </w:t>
      </w:r>
      <w:r w:rsidRPr="006F1498" w:rsidR="006F1498">
        <w:rPr>
          <w:iCs/>
          <w:szCs w:val="26"/>
        </w:rPr>
        <w:t>determine whether public or private interests will be adversely affected by business relationships between public utilities and their 20 largest purchasers of electricity.</w:t>
      </w:r>
    </w:p>
    <w:p w:rsidRPr="00787461" w:rsidR="00852164" w:rsidP="00F3319C" w:rsidRDefault="00787461" w14:paraId="694AEA7F" w14:textId="0E065234">
      <w:pPr>
        <w:spacing w:line="480" w:lineRule="auto"/>
        <w:rPr>
          <w:iCs/>
          <w:szCs w:val="26"/>
        </w:rPr>
      </w:pPr>
      <w:r>
        <w:rPr>
          <w:iCs/>
          <w:szCs w:val="26"/>
        </w:rPr>
        <w:t xml:space="preserve">This information collection request includes proposed changes in </w:t>
      </w:r>
      <w:r w:rsidR="005F2C47">
        <w:rPr>
          <w:iCs/>
          <w:szCs w:val="26"/>
        </w:rPr>
        <w:t xml:space="preserve">Form 566 in accordance with the public display requirements </w:t>
      </w:r>
      <w:r w:rsidR="00160B1A">
        <w:rPr>
          <w:iCs/>
          <w:szCs w:val="26"/>
        </w:rPr>
        <w:t>at 5 CFR 1320.5(</w:t>
      </w:r>
      <w:r w:rsidR="005135EF">
        <w:rPr>
          <w:iCs/>
          <w:szCs w:val="26"/>
        </w:rPr>
        <w:t>b</w:t>
      </w:r>
      <w:r w:rsidR="00160B1A">
        <w:rPr>
          <w:iCs/>
          <w:szCs w:val="26"/>
        </w:rPr>
        <w:t>).</w:t>
      </w:r>
    </w:p>
    <w:p w:rsidRPr="00F3319C" w:rsidR="00F3319C" w:rsidP="00F3319C" w:rsidRDefault="00F3319C" w14:paraId="0428525D" w14:textId="77777777">
      <w:pPr>
        <w:spacing w:line="480" w:lineRule="auto"/>
        <w:rPr>
          <w:i/>
          <w:szCs w:val="26"/>
        </w:rPr>
      </w:pPr>
      <w:r w:rsidRPr="00F3319C">
        <w:rPr>
          <w:i/>
          <w:iCs/>
          <w:szCs w:val="26"/>
        </w:rPr>
        <w:t>Type of Respondents</w:t>
      </w:r>
      <w:r w:rsidRPr="00F3319C">
        <w:rPr>
          <w:iCs/>
          <w:szCs w:val="26"/>
        </w:rPr>
        <w:t>: Public utilities.</w:t>
      </w:r>
    </w:p>
    <w:p w:rsidRPr="00F3319C" w:rsidR="00F3319C" w:rsidP="00F3319C" w:rsidRDefault="00F3319C" w14:paraId="19EC6AF1" w14:textId="77777777">
      <w:pPr>
        <w:spacing w:line="480" w:lineRule="auto"/>
        <w:rPr>
          <w:i/>
          <w:szCs w:val="26"/>
        </w:rPr>
      </w:pPr>
      <w:r w:rsidRPr="00F3319C">
        <w:rPr>
          <w:i/>
          <w:iCs/>
          <w:szCs w:val="26"/>
        </w:rPr>
        <w:lastRenderedPageBreak/>
        <w:t>Estimate of Annual Burden</w:t>
      </w:r>
      <w:r w:rsidRPr="00F3319C">
        <w:rPr>
          <w:iCs/>
          <w:szCs w:val="26"/>
        </w:rPr>
        <w:t>:  The Commission estimates 321 responses annually, and 4 hours and $332 per response.  The total estimated burdens per year are 1,284 hours and $106,572.  These burdens are itemized in the following table:</w:t>
      </w:r>
    </w:p>
    <w:tbl>
      <w:tblPr>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5"/>
        <w:gridCol w:w="1688"/>
        <w:gridCol w:w="1553"/>
        <w:gridCol w:w="1519"/>
        <w:gridCol w:w="1388"/>
        <w:gridCol w:w="1589"/>
      </w:tblGrid>
      <w:tr w:rsidRPr="00F3319C" w:rsidR="00F3319C" w:rsidTr="00364234" w14:paraId="3B03BE97" w14:textId="77777777">
        <w:trPr>
          <w:cantSplit/>
        </w:trPr>
        <w:tc>
          <w:tcPr>
            <w:tcW w:w="0" w:type="auto"/>
            <w:shd w:val="clear" w:color="auto" w:fill="D9D9D9"/>
            <w:vAlign w:val="bottom"/>
          </w:tcPr>
          <w:p w:rsidRPr="00F3319C" w:rsidR="00F3319C" w:rsidP="00364234" w:rsidRDefault="00F3319C" w14:paraId="1DCF5906" w14:textId="77777777">
            <w:pPr>
              <w:jc w:val="center"/>
              <w:rPr>
                <w:b/>
                <w:szCs w:val="26"/>
              </w:rPr>
            </w:pPr>
            <w:r w:rsidRPr="00F3319C">
              <w:rPr>
                <w:b/>
                <w:szCs w:val="26"/>
              </w:rPr>
              <w:t>A.</w:t>
            </w:r>
          </w:p>
          <w:p w:rsidRPr="00F3319C" w:rsidR="00F3319C" w:rsidP="00364234" w:rsidRDefault="00F3319C" w14:paraId="3696FADF" w14:textId="77777777">
            <w:pPr>
              <w:jc w:val="center"/>
              <w:rPr>
                <w:b/>
                <w:szCs w:val="26"/>
              </w:rPr>
            </w:pPr>
            <w:r w:rsidRPr="00F3319C">
              <w:rPr>
                <w:b/>
                <w:szCs w:val="26"/>
              </w:rPr>
              <w:t>Number of Respondents</w:t>
            </w:r>
            <w:r w:rsidRPr="00F3319C">
              <w:rPr>
                <w:b/>
                <w:szCs w:val="26"/>
              </w:rPr>
              <w:br/>
            </w:r>
          </w:p>
        </w:tc>
        <w:tc>
          <w:tcPr>
            <w:tcW w:w="0" w:type="auto"/>
            <w:shd w:val="clear" w:color="auto" w:fill="D9D9D9"/>
            <w:vAlign w:val="bottom"/>
          </w:tcPr>
          <w:p w:rsidRPr="00F3319C" w:rsidR="00F3319C" w:rsidP="00364234" w:rsidRDefault="00F3319C" w14:paraId="5922FF9F" w14:textId="77777777">
            <w:pPr>
              <w:jc w:val="center"/>
              <w:rPr>
                <w:b/>
                <w:szCs w:val="26"/>
              </w:rPr>
            </w:pPr>
            <w:r w:rsidRPr="00F3319C">
              <w:rPr>
                <w:b/>
                <w:szCs w:val="26"/>
              </w:rPr>
              <w:t>B.</w:t>
            </w:r>
          </w:p>
          <w:p w:rsidRPr="00F3319C" w:rsidR="00F3319C" w:rsidP="00364234" w:rsidRDefault="00F3319C" w14:paraId="2EB562F6" w14:textId="77777777">
            <w:pPr>
              <w:jc w:val="center"/>
              <w:rPr>
                <w:b/>
                <w:szCs w:val="26"/>
              </w:rPr>
            </w:pPr>
            <w:r w:rsidRPr="00F3319C">
              <w:rPr>
                <w:b/>
                <w:szCs w:val="26"/>
              </w:rPr>
              <w:t>Annual Number of Responses per Respondent</w:t>
            </w:r>
          </w:p>
          <w:p w:rsidRPr="00F3319C" w:rsidR="00F3319C" w:rsidP="00364234" w:rsidRDefault="00F3319C" w14:paraId="7FA235EE" w14:textId="77777777">
            <w:pPr>
              <w:jc w:val="center"/>
              <w:rPr>
                <w:b/>
                <w:szCs w:val="26"/>
              </w:rPr>
            </w:pPr>
          </w:p>
        </w:tc>
        <w:tc>
          <w:tcPr>
            <w:tcW w:w="0" w:type="auto"/>
            <w:shd w:val="clear" w:color="auto" w:fill="D9D9D9"/>
            <w:vAlign w:val="bottom"/>
          </w:tcPr>
          <w:p w:rsidRPr="00F3319C" w:rsidR="00F3319C" w:rsidP="00364234" w:rsidRDefault="00F3319C" w14:paraId="0CFBDF01" w14:textId="77777777">
            <w:pPr>
              <w:jc w:val="center"/>
              <w:rPr>
                <w:b/>
                <w:szCs w:val="26"/>
              </w:rPr>
            </w:pPr>
            <w:r w:rsidRPr="00F3319C">
              <w:rPr>
                <w:b/>
                <w:szCs w:val="26"/>
              </w:rPr>
              <w:t>C.</w:t>
            </w:r>
          </w:p>
          <w:p w:rsidRPr="00F3319C" w:rsidR="00F3319C" w:rsidP="00364234" w:rsidRDefault="00F3319C" w14:paraId="35A6E070" w14:textId="77777777">
            <w:pPr>
              <w:jc w:val="center"/>
              <w:rPr>
                <w:b/>
                <w:szCs w:val="26"/>
              </w:rPr>
            </w:pPr>
            <w:r w:rsidRPr="00F3319C">
              <w:rPr>
                <w:b/>
                <w:szCs w:val="26"/>
              </w:rPr>
              <w:t>Total Number of Responses (Column A x Column B)</w:t>
            </w:r>
          </w:p>
        </w:tc>
        <w:tc>
          <w:tcPr>
            <w:tcW w:w="0" w:type="auto"/>
            <w:shd w:val="clear" w:color="auto" w:fill="D9D9D9"/>
            <w:vAlign w:val="bottom"/>
          </w:tcPr>
          <w:p w:rsidRPr="00F3319C" w:rsidR="00F3319C" w:rsidP="00364234" w:rsidRDefault="00F3319C" w14:paraId="5DFCEF91" w14:textId="77777777">
            <w:pPr>
              <w:jc w:val="center"/>
              <w:rPr>
                <w:b/>
                <w:szCs w:val="26"/>
              </w:rPr>
            </w:pPr>
            <w:r w:rsidRPr="00F3319C">
              <w:rPr>
                <w:b/>
                <w:szCs w:val="26"/>
              </w:rPr>
              <w:t>D.</w:t>
            </w:r>
          </w:p>
          <w:p w:rsidRPr="00F3319C" w:rsidR="00F3319C" w:rsidP="00364234" w:rsidRDefault="00F3319C" w14:paraId="4B7F876F" w14:textId="77777777">
            <w:pPr>
              <w:jc w:val="center"/>
              <w:rPr>
                <w:b/>
                <w:szCs w:val="26"/>
              </w:rPr>
            </w:pPr>
            <w:r w:rsidRPr="00F3319C">
              <w:rPr>
                <w:b/>
                <w:szCs w:val="26"/>
              </w:rPr>
              <w:t>Average Burden &amp; Cost Per Response</w:t>
            </w:r>
            <w:r w:rsidRPr="00F3319C">
              <w:rPr>
                <w:b/>
                <w:szCs w:val="26"/>
              </w:rPr>
              <w:footnoteReference w:id="3"/>
            </w:r>
          </w:p>
        </w:tc>
        <w:tc>
          <w:tcPr>
            <w:tcW w:w="0" w:type="auto"/>
            <w:shd w:val="clear" w:color="auto" w:fill="D9D9D9"/>
            <w:vAlign w:val="bottom"/>
          </w:tcPr>
          <w:p w:rsidRPr="00F3319C" w:rsidR="00F3319C" w:rsidP="00364234" w:rsidRDefault="00F3319C" w14:paraId="767B8D87" w14:textId="77777777">
            <w:pPr>
              <w:jc w:val="center"/>
              <w:rPr>
                <w:b/>
                <w:szCs w:val="26"/>
              </w:rPr>
            </w:pPr>
            <w:r w:rsidRPr="00F3319C">
              <w:rPr>
                <w:b/>
                <w:szCs w:val="26"/>
              </w:rPr>
              <w:t>E.</w:t>
            </w:r>
          </w:p>
          <w:p w:rsidRPr="00F3319C" w:rsidR="00F3319C" w:rsidP="00364234" w:rsidRDefault="00F3319C" w14:paraId="7CF17CEF" w14:textId="77777777">
            <w:pPr>
              <w:jc w:val="center"/>
              <w:rPr>
                <w:b/>
                <w:szCs w:val="26"/>
              </w:rPr>
            </w:pPr>
            <w:r w:rsidRPr="00F3319C">
              <w:rPr>
                <w:b/>
                <w:szCs w:val="26"/>
              </w:rPr>
              <w:t>Total Annual Burden Hours &amp; Total Annual Cost</w:t>
            </w:r>
          </w:p>
          <w:p w:rsidRPr="00F3319C" w:rsidR="00F3319C" w:rsidP="00364234" w:rsidRDefault="00F3319C" w14:paraId="5752D7A1" w14:textId="77777777">
            <w:pPr>
              <w:jc w:val="center"/>
              <w:rPr>
                <w:b/>
                <w:szCs w:val="26"/>
              </w:rPr>
            </w:pPr>
            <w:r w:rsidRPr="00F3319C">
              <w:rPr>
                <w:b/>
                <w:szCs w:val="26"/>
              </w:rPr>
              <w:t>(Column C x Column D)</w:t>
            </w:r>
          </w:p>
        </w:tc>
        <w:tc>
          <w:tcPr>
            <w:tcW w:w="0" w:type="auto"/>
            <w:shd w:val="clear" w:color="auto" w:fill="D9D9D9"/>
            <w:vAlign w:val="bottom"/>
          </w:tcPr>
          <w:p w:rsidRPr="00F3319C" w:rsidR="00F3319C" w:rsidP="00364234" w:rsidRDefault="00F3319C" w14:paraId="2027309A" w14:textId="77777777">
            <w:pPr>
              <w:jc w:val="center"/>
              <w:rPr>
                <w:b/>
                <w:szCs w:val="26"/>
              </w:rPr>
            </w:pPr>
            <w:r w:rsidRPr="00F3319C">
              <w:rPr>
                <w:b/>
                <w:szCs w:val="26"/>
              </w:rPr>
              <w:t>F.</w:t>
            </w:r>
          </w:p>
          <w:p w:rsidRPr="00F3319C" w:rsidR="00F3319C" w:rsidP="00364234" w:rsidRDefault="00F3319C" w14:paraId="1A805A1E" w14:textId="77777777">
            <w:pPr>
              <w:jc w:val="center"/>
              <w:rPr>
                <w:b/>
                <w:szCs w:val="26"/>
              </w:rPr>
            </w:pPr>
            <w:r w:rsidRPr="00F3319C">
              <w:rPr>
                <w:b/>
                <w:szCs w:val="26"/>
              </w:rPr>
              <w:t>Cost per Respondent</w:t>
            </w:r>
          </w:p>
          <w:p w:rsidRPr="00F3319C" w:rsidR="00F3319C" w:rsidP="00364234" w:rsidRDefault="00F3319C" w14:paraId="490DE007" w14:textId="77777777">
            <w:pPr>
              <w:jc w:val="center"/>
              <w:rPr>
                <w:b/>
                <w:szCs w:val="26"/>
              </w:rPr>
            </w:pPr>
            <w:r w:rsidRPr="00F3319C">
              <w:rPr>
                <w:b/>
                <w:szCs w:val="26"/>
              </w:rPr>
              <w:t>($)</w:t>
            </w:r>
          </w:p>
          <w:p w:rsidRPr="00F3319C" w:rsidR="00F3319C" w:rsidP="00364234" w:rsidRDefault="00F3319C" w14:paraId="3458500C" w14:textId="77777777">
            <w:pPr>
              <w:jc w:val="center"/>
              <w:rPr>
                <w:b/>
                <w:szCs w:val="26"/>
              </w:rPr>
            </w:pPr>
            <w:r w:rsidRPr="00F3319C">
              <w:rPr>
                <w:b/>
                <w:szCs w:val="26"/>
              </w:rPr>
              <w:t>(Column E ÷ Column A)</w:t>
            </w:r>
          </w:p>
        </w:tc>
      </w:tr>
      <w:tr w:rsidRPr="00F3319C" w:rsidR="00F3319C" w:rsidTr="00F30C2D" w14:paraId="60DD3F50" w14:textId="77777777">
        <w:trPr>
          <w:cantSplit/>
        </w:trPr>
        <w:tc>
          <w:tcPr>
            <w:tcW w:w="0" w:type="auto"/>
            <w:vAlign w:val="bottom"/>
          </w:tcPr>
          <w:p w:rsidRPr="00F3319C" w:rsidR="00F3319C" w:rsidP="00F30C2D" w:rsidRDefault="00F3319C" w14:paraId="19B385B8" w14:textId="77777777">
            <w:pPr>
              <w:jc w:val="right"/>
              <w:rPr>
                <w:bCs/>
                <w:szCs w:val="26"/>
              </w:rPr>
            </w:pPr>
            <w:r w:rsidRPr="00F3319C">
              <w:rPr>
                <w:bCs/>
                <w:szCs w:val="26"/>
              </w:rPr>
              <w:t>321</w:t>
            </w:r>
          </w:p>
        </w:tc>
        <w:tc>
          <w:tcPr>
            <w:tcW w:w="0" w:type="auto"/>
            <w:vAlign w:val="bottom"/>
          </w:tcPr>
          <w:p w:rsidRPr="00F3319C" w:rsidR="00F3319C" w:rsidP="00F30C2D" w:rsidRDefault="00F3319C" w14:paraId="171D95AD" w14:textId="77777777">
            <w:pPr>
              <w:jc w:val="right"/>
              <w:rPr>
                <w:bCs/>
                <w:szCs w:val="26"/>
              </w:rPr>
            </w:pPr>
            <w:r w:rsidRPr="00F3319C">
              <w:rPr>
                <w:bCs/>
                <w:szCs w:val="26"/>
              </w:rPr>
              <w:t>1</w:t>
            </w:r>
          </w:p>
        </w:tc>
        <w:tc>
          <w:tcPr>
            <w:tcW w:w="0" w:type="auto"/>
            <w:vAlign w:val="bottom"/>
          </w:tcPr>
          <w:p w:rsidRPr="00F3319C" w:rsidR="00F3319C" w:rsidP="00F30C2D" w:rsidRDefault="00F3319C" w14:paraId="6503B94E" w14:textId="77777777">
            <w:pPr>
              <w:jc w:val="right"/>
              <w:rPr>
                <w:bCs/>
                <w:szCs w:val="26"/>
              </w:rPr>
            </w:pPr>
            <w:r w:rsidRPr="00F3319C">
              <w:rPr>
                <w:bCs/>
                <w:szCs w:val="26"/>
              </w:rPr>
              <w:t>321</w:t>
            </w:r>
          </w:p>
        </w:tc>
        <w:tc>
          <w:tcPr>
            <w:tcW w:w="0" w:type="auto"/>
            <w:vAlign w:val="bottom"/>
          </w:tcPr>
          <w:p w:rsidRPr="00F3319C" w:rsidR="00F3319C" w:rsidP="00F30C2D" w:rsidRDefault="00F3319C" w14:paraId="5AE8CCA9" w14:textId="77777777">
            <w:pPr>
              <w:jc w:val="right"/>
              <w:rPr>
                <w:bCs/>
                <w:szCs w:val="26"/>
              </w:rPr>
            </w:pPr>
            <w:r w:rsidRPr="00F3319C">
              <w:rPr>
                <w:bCs/>
                <w:szCs w:val="26"/>
              </w:rPr>
              <w:t>4 hrs.;</w:t>
            </w:r>
          </w:p>
          <w:p w:rsidRPr="00F3319C" w:rsidR="00F3319C" w:rsidP="00F30C2D" w:rsidRDefault="00F3319C" w14:paraId="30005BBE" w14:textId="77777777">
            <w:pPr>
              <w:jc w:val="right"/>
              <w:rPr>
                <w:bCs/>
                <w:szCs w:val="26"/>
              </w:rPr>
            </w:pPr>
            <w:r w:rsidRPr="00F3319C">
              <w:rPr>
                <w:bCs/>
                <w:szCs w:val="26"/>
              </w:rPr>
              <w:t>$348</w:t>
            </w:r>
          </w:p>
        </w:tc>
        <w:tc>
          <w:tcPr>
            <w:tcW w:w="0" w:type="auto"/>
            <w:vAlign w:val="bottom"/>
          </w:tcPr>
          <w:p w:rsidRPr="00F3319C" w:rsidR="00F3319C" w:rsidP="00F30C2D" w:rsidRDefault="00F3319C" w14:paraId="18CC5487" w14:textId="77777777">
            <w:pPr>
              <w:jc w:val="right"/>
              <w:rPr>
                <w:bCs/>
                <w:szCs w:val="26"/>
              </w:rPr>
            </w:pPr>
            <w:r w:rsidRPr="00F3319C">
              <w:rPr>
                <w:bCs/>
                <w:szCs w:val="26"/>
              </w:rPr>
              <w:t xml:space="preserve"> 1,284 hrs.;</w:t>
            </w:r>
          </w:p>
          <w:p w:rsidRPr="00F3319C" w:rsidR="00F3319C" w:rsidP="00F30C2D" w:rsidRDefault="00F3319C" w14:paraId="71D383F9" w14:textId="77777777">
            <w:pPr>
              <w:jc w:val="right"/>
              <w:rPr>
                <w:bCs/>
                <w:szCs w:val="26"/>
              </w:rPr>
            </w:pPr>
            <w:r w:rsidRPr="00F3319C">
              <w:rPr>
                <w:bCs/>
                <w:szCs w:val="26"/>
              </w:rPr>
              <w:t>$111,708</w:t>
            </w:r>
          </w:p>
        </w:tc>
        <w:tc>
          <w:tcPr>
            <w:tcW w:w="0" w:type="auto"/>
            <w:vAlign w:val="bottom"/>
          </w:tcPr>
          <w:p w:rsidRPr="00F3319C" w:rsidR="00F3319C" w:rsidP="00F30C2D" w:rsidRDefault="00F3319C" w14:paraId="5A7AEBDB" w14:textId="77777777">
            <w:pPr>
              <w:jc w:val="right"/>
              <w:rPr>
                <w:bCs/>
                <w:szCs w:val="26"/>
              </w:rPr>
            </w:pPr>
            <w:r w:rsidRPr="00F3319C">
              <w:rPr>
                <w:bCs/>
                <w:szCs w:val="26"/>
              </w:rPr>
              <w:t>$348</w:t>
            </w:r>
          </w:p>
          <w:p w:rsidRPr="00F3319C" w:rsidR="00F3319C" w:rsidP="00F30C2D" w:rsidRDefault="00F3319C" w14:paraId="38B708E6" w14:textId="77777777">
            <w:pPr>
              <w:jc w:val="right"/>
              <w:rPr>
                <w:bCs/>
                <w:szCs w:val="26"/>
              </w:rPr>
            </w:pPr>
          </w:p>
        </w:tc>
      </w:tr>
    </w:tbl>
    <w:p w:rsidRPr="00F3319C" w:rsidR="00F3319C" w:rsidP="00126669" w:rsidRDefault="00F3319C" w14:paraId="22D2BF26" w14:textId="77777777">
      <w:pPr>
        <w:rPr>
          <w:iCs/>
          <w:szCs w:val="26"/>
        </w:rPr>
      </w:pPr>
    </w:p>
    <w:p w:rsidR="00F77D5B" w:rsidP="00F3319C" w:rsidRDefault="00F3319C" w14:paraId="40F080F6" w14:textId="77777777">
      <w:pPr>
        <w:spacing w:line="480" w:lineRule="auto"/>
        <w:rPr>
          <w:iCs/>
          <w:szCs w:val="26"/>
        </w:rPr>
      </w:pPr>
      <w:r w:rsidRPr="00F3319C">
        <w:rPr>
          <w:iCs/>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w:t>
      </w:r>
    </w:p>
    <w:p w:rsidR="00F77D5B" w:rsidP="00F3319C" w:rsidRDefault="00F77D5B" w14:paraId="204D42EB" w14:textId="77777777">
      <w:pPr>
        <w:spacing w:line="480" w:lineRule="auto"/>
        <w:rPr>
          <w:iCs/>
          <w:szCs w:val="26"/>
        </w:rPr>
      </w:pPr>
    </w:p>
    <w:p w:rsidR="00F77D5B" w:rsidP="00F3319C" w:rsidRDefault="00F77D5B" w14:paraId="3F940966" w14:textId="77777777">
      <w:pPr>
        <w:spacing w:line="480" w:lineRule="auto"/>
        <w:rPr>
          <w:iCs/>
          <w:szCs w:val="26"/>
        </w:rPr>
      </w:pPr>
    </w:p>
    <w:p w:rsidRPr="00F3319C" w:rsidR="00F3319C" w:rsidP="00F3319C" w:rsidRDefault="00F3319C" w14:paraId="09FBDB8A" w14:textId="4F0CF807">
      <w:pPr>
        <w:spacing w:line="480" w:lineRule="auto"/>
        <w:rPr>
          <w:iCs/>
          <w:szCs w:val="26"/>
        </w:rPr>
      </w:pPr>
      <w:r w:rsidRPr="00F3319C">
        <w:rPr>
          <w:iCs/>
          <w:szCs w:val="26"/>
        </w:rPr>
        <w:lastRenderedPageBreak/>
        <w:t>information on those who are to respond, including the use of automated collection techniques or other forms of information technology.</w:t>
      </w:r>
    </w:p>
    <w:p w:rsidR="00F3319C" w:rsidP="00F77D5B" w:rsidRDefault="00F3319C" w14:paraId="28EFFF50" w14:textId="77F2A9A3">
      <w:pPr>
        <w:rPr>
          <w:iCs/>
          <w:szCs w:val="26"/>
        </w:rPr>
      </w:pPr>
    </w:p>
    <w:p w:rsidR="00F77D5B" w:rsidP="00F77D5B" w:rsidRDefault="00F77D5B" w14:paraId="3362BFC3" w14:textId="75B80A64">
      <w:pPr>
        <w:rPr>
          <w:i/>
          <w:szCs w:val="26"/>
        </w:rPr>
      </w:pPr>
    </w:p>
    <w:p w:rsidR="00F77D5B" w:rsidP="00F77D5B" w:rsidRDefault="00F77D5B" w14:paraId="3073A4C0" w14:textId="6FADD8C0">
      <w:pPr>
        <w:rPr>
          <w:i/>
          <w:szCs w:val="26"/>
        </w:rPr>
      </w:pPr>
    </w:p>
    <w:p w:rsidR="00F77D5B" w:rsidP="00F77D5B" w:rsidRDefault="00F77D5B" w14:paraId="7B61400C" w14:textId="04D5F8DB">
      <w:pPr>
        <w:rPr>
          <w:i/>
          <w:szCs w:val="26"/>
        </w:rPr>
      </w:pPr>
    </w:p>
    <w:p w:rsidRPr="00F77D5B" w:rsidR="00F77D5B" w:rsidP="00F77D5B" w:rsidRDefault="00F77D5B" w14:paraId="1FB88AAE" w14:textId="40DBBAFF">
      <w:pPr>
        <w:ind w:firstLine="2174"/>
        <w:jc w:val="center"/>
      </w:pPr>
      <w:r w:rsidRPr="00F77D5B">
        <w:t>Kimberly D. Bose,</w:t>
      </w:r>
    </w:p>
    <w:p w:rsidRPr="00F77D5B" w:rsidR="00F77D5B" w:rsidP="00F77D5B" w:rsidRDefault="00F77D5B" w14:paraId="3B42C85C" w14:textId="48A1A0E7">
      <w:pPr>
        <w:ind w:firstLine="2174"/>
        <w:jc w:val="center"/>
      </w:pPr>
      <w:r w:rsidRPr="00F77D5B">
        <w:t>Secretary.</w:t>
      </w:r>
    </w:p>
    <w:p w:rsidRPr="00F3319C" w:rsidR="00F77D5B" w:rsidP="00F77D5B" w:rsidRDefault="00F77D5B" w14:paraId="10910483" w14:textId="77777777">
      <w:pPr>
        <w:rPr>
          <w:i/>
          <w:szCs w:val="26"/>
        </w:rPr>
      </w:pPr>
    </w:p>
    <w:sectPr w:rsidRPr="00F3319C" w:rsidR="00F77D5B" w:rsidSect="00BF2D7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AC2225" w14:textId="77777777" w:rsidR="002C654F" w:rsidRDefault="002C654F" w:rsidP="00B01B16">
      <w:r>
        <w:separator/>
      </w:r>
    </w:p>
  </w:endnote>
  <w:endnote w:type="continuationSeparator" w:id="0">
    <w:p w14:paraId="69D72C68" w14:textId="77777777" w:rsidR="002C654F" w:rsidRDefault="002C654F" w:rsidP="00B01B16">
      <w:r>
        <w:continuationSeparator/>
      </w:r>
    </w:p>
  </w:endnote>
  <w:endnote w:type="continuationNotice" w:id="1">
    <w:p w14:paraId="77ED3295" w14:textId="77777777" w:rsidR="002C654F" w:rsidRDefault="002C6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C15F4" w14:textId="77777777" w:rsidR="00F77D5B" w:rsidRDefault="00F77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AD686" w14:textId="77777777" w:rsidR="00F77D5B" w:rsidRDefault="00F77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9C2F0" w14:textId="77777777" w:rsidR="00F77D5B" w:rsidRDefault="00F77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CEB86" w14:textId="77777777" w:rsidR="002C654F" w:rsidRDefault="002C654F" w:rsidP="00B01B16">
      <w:r>
        <w:separator/>
      </w:r>
    </w:p>
  </w:footnote>
  <w:footnote w:type="continuationSeparator" w:id="0">
    <w:p w14:paraId="2058CDBD" w14:textId="77777777" w:rsidR="002C654F" w:rsidRDefault="002C654F" w:rsidP="00B01B16">
      <w:r>
        <w:continuationSeparator/>
      </w:r>
    </w:p>
  </w:footnote>
  <w:footnote w:type="continuationNotice" w:id="1">
    <w:p w14:paraId="7BA0E8D6" w14:textId="77777777" w:rsidR="002C654F" w:rsidRDefault="002C654F"/>
  </w:footnote>
  <w:footnote w:id="2">
    <w:p w14:paraId="65226C8C" w14:textId="77777777" w:rsidR="00F3319C" w:rsidRPr="007A6880" w:rsidRDefault="00F3319C" w:rsidP="002F3841">
      <w:pPr>
        <w:pStyle w:val="FootnoteText"/>
        <w:rPr>
          <w:sz w:val="26"/>
        </w:rPr>
      </w:pPr>
      <w:r w:rsidRPr="007A6880">
        <w:rPr>
          <w:rStyle w:val="FootnoteReference"/>
        </w:rPr>
        <w:footnoteRef/>
      </w:r>
      <w:r w:rsidRPr="007A6880">
        <w:rPr>
          <w:sz w:val="26"/>
        </w:rPr>
        <w:t xml:space="preserve"> 16 U.S.C 825d.</w:t>
      </w:r>
    </w:p>
  </w:footnote>
  <w:footnote w:id="3">
    <w:p w14:paraId="74AB2BBF" w14:textId="77777777" w:rsidR="00F3319C" w:rsidRPr="007A6880" w:rsidRDefault="00F3319C" w:rsidP="00275320">
      <w:pPr>
        <w:pStyle w:val="FootnoteText"/>
        <w:rPr>
          <w:sz w:val="26"/>
          <w:szCs w:val="26"/>
        </w:rPr>
      </w:pPr>
      <w:r w:rsidRPr="007A6880">
        <w:rPr>
          <w:rStyle w:val="FootnoteReference"/>
        </w:rPr>
        <w:footnoteRef/>
      </w:r>
      <w:r w:rsidRPr="007A6880">
        <w:rPr>
          <w:sz w:val="26"/>
          <w:szCs w:val="26"/>
        </w:rPr>
        <w:t xml:space="preserve"> Commission staff estimates that the average industry hourly cost for this information collection is approximated by the current FERC 2021 average hourly costs for wages and benefits, i.e., $87.00/hour.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26FC0" w14:textId="77777777" w:rsidR="00F77D5B" w:rsidRDefault="00F77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597F" w14:textId="3C7441AA" w:rsidR="00D43B63" w:rsidRDefault="00D43B63" w:rsidP="00810D18">
    <w:pPr>
      <w:pStyle w:val="Header"/>
    </w:pPr>
    <w:r>
      <w:t xml:space="preserve">Docket No. </w:t>
    </w:r>
    <w:r w:rsidR="00A8344E">
      <w:t>IC2</w:t>
    </w:r>
    <w:r>
      <w:t>1-</w:t>
    </w:r>
    <w:r w:rsidR="0014317D">
      <w:t>33</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14:paraId="10170C13" w14:textId="76D2DB34" w:rsidR="00D43B63" w:rsidRDefault="00D43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6457" w14:textId="77777777" w:rsidR="00F77D5B" w:rsidRDefault="00F77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revisionView w:inkAnnotation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16EDB"/>
    <w:rsid w:val="00023EA9"/>
    <w:rsid w:val="000241AE"/>
    <w:rsid w:val="0003365C"/>
    <w:rsid w:val="00034C49"/>
    <w:rsid w:val="000459B6"/>
    <w:rsid w:val="00056C5D"/>
    <w:rsid w:val="00062427"/>
    <w:rsid w:val="00080D67"/>
    <w:rsid w:val="000836F0"/>
    <w:rsid w:val="000861D3"/>
    <w:rsid w:val="00096CAD"/>
    <w:rsid w:val="000A0250"/>
    <w:rsid w:val="000A7E68"/>
    <w:rsid w:val="000E2568"/>
    <w:rsid w:val="000E4351"/>
    <w:rsid w:val="000F0B0E"/>
    <w:rsid w:val="0010087B"/>
    <w:rsid w:val="00112C9F"/>
    <w:rsid w:val="001240C7"/>
    <w:rsid w:val="00126669"/>
    <w:rsid w:val="00126F34"/>
    <w:rsid w:val="0014317D"/>
    <w:rsid w:val="001479DF"/>
    <w:rsid w:val="00150F12"/>
    <w:rsid w:val="0015578A"/>
    <w:rsid w:val="00155DE9"/>
    <w:rsid w:val="00156BBB"/>
    <w:rsid w:val="001600DF"/>
    <w:rsid w:val="00160B1A"/>
    <w:rsid w:val="00164968"/>
    <w:rsid w:val="00171725"/>
    <w:rsid w:val="00181BF7"/>
    <w:rsid w:val="00191376"/>
    <w:rsid w:val="00194C4C"/>
    <w:rsid w:val="001A6AD6"/>
    <w:rsid w:val="001B5451"/>
    <w:rsid w:val="001B78B8"/>
    <w:rsid w:val="001E6510"/>
    <w:rsid w:val="00200437"/>
    <w:rsid w:val="002023A4"/>
    <w:rsid w:val="00224BF2"/>
    <w:rsid w:val="0022783C"/>
    <w:rsid w:val="00254C99"/>
    <w:rsid w:val="0027045E"/>
    <w:rsid w:val="0027452E"/>
    <w:rsid w:val="00275320"/>
    <w:rsid w:val="00282E2B"/>
    <w:rsid w:val="00293D56"/>
    <w:rsid w:val="002B531B"/>
    <w:rsid w:val="002B7AA8"/>
    <w:rsid w:val="002C654F"/>
    <w:rsid w:val="002D5237"/>
    <w:rsid w:val="002E0351"/>
    <w:rsid w:val="002F24E8"/>
    <w:rsid w:val="002F3841"/>
    <w:rsid w:val="002F3E94"/>
    <w:rsid w:val="002F697A"/>
    <w:rsid w:val="00302F75"/>
    <w:rsid w:val="00303717"/>
    <w:rsid w:val="003060F0"/>
    <w:rsid w:val="003062C2"/>
    <w:rsid w:val="00310EFC"/>
    <w:rsid w:val="00311D90"/>
    <w:rsid w:val="003149BC"/>
    <w:rsid w:val="003321DB"/>
    <w:rsid w:val="00334F14"/>
    <w:rsid w:val="00337BA7"/>
    <w:rsid w:val="0034195C"/>
    <w:rsid w:val="0034367E"/>
    <w:rsid w:val="00343A03"/>
    <w:rsid w:val="00347056"/>
    <w:rsid w:val="00361371"/>
    <w:rsid w:val="00363638"/>
    <w:rsid w:val="00363F79"/>
    <w:rsid w:val="00364234"/>
    <w:rsid w:val="003673EC"/>
    <w:rsid w:val="00376525"/>
    <w:rsid w:val="0038431F"/>
    <w:rsid w:val="003960E0"/>
    <w:rsid w:val="003A1A72"/>
    <w:rsid w:val="003A3189"/>
    <w:rsid w:val="003C3E7A"/>
    <w:rsid w:val="003C5CBE"/>
    <w:rsid w:val="003C7BC3"/>
    <w:rsid w:val="003E44AD"/>
    <w:rsid w:val="003F5968"/>
    <w:rsid w:val="00406999"/>
    <w:rsid w:val="0040718A"/>
    <w:rsid w:val="00425DA2"/>
    <w:rsid w:val="00426898"/>
    <w:rsid w:val="00443282"/>
    <w:rsid w:val="0044338D"/>
    <w:rsid w:val="0045734B"/>
    <w:rsid w:val="004609EE"/>
    <w:rsid w:val="004759C4"/>
    <w:rsid w:val="00485A51"/>
    <w:rsid w:val="004879AA"/>
    <w:rsid w:val="0049480F"/>
    <w:rsid w:val="004B7B57"/>
    <w:rsid w:val="004C70C8"/>
    <w:rsid w:val="004C77EF"/>
    <w:rsid w:val="004D27A2"/>
    <w:rsid w:val="004E4EAD"/>
    <w:rsid w:val="004F26DA"/>
    <w:rsid w:val="005135EF"/>
    <w:rsid w:val="00513DA8"/>
    <w:rsid w:val="00514B50"/>
    <w:rsid w:val="00516493"/>
    <w:rsid w:val="0054073B"/>
    <w:rsid w:val="0054746C"/>
    <w:rsid w:val="005550C5"/>
    <w:rsid w:val="005648E2"/>
    <w:rsid w:val="00566C57"/>
    <w:rsid w:val="0058081B"/>
    <w:rsid w:val="00585F73"/>
    <w:rsid w:val="005A0148"/>
    <w:rsid w:val="005A2F24"/>
    <w:rsid w:val="005A3F56"/>
    <w:rsid w:val="005A7903"/>
    <w:rsid w:val="005A7C58"/>
    <w:rsid w:val="005B4DA4"/>
    <w:rsid w:val="005C6D4E"/>
    <w:rsid w:val="005D16A1"/>
    <w:rsid w:val="005E6D8A"/>
    <w:rsid w:val="005F2C47"/>
    <w:rsid w:val="005F3DAA"/>
    <w:rsid w:val="005F726F"/>
    <w:rsid w:val="005F729D"/>
    <w:rsid w:val="006128A5"/>
    <w:rsid w:val="006144F3"/>
    <w:rsid w:val="0062085E"/>
    <w:rsid w:val="00634374"/>
    <w:rsid w:val="0063716C"/>
    <w:rsid w:val="006374BA"/>
    <w:rsid w:val="00637F43"/>
    <w:rsid w:val="00642602"/>
    <w:rsid w:val="00644A1B"/>
    <w:rsid w:val="00650FA1"/>
    <w:rsid w:val="006536D8"/>
    <w:rsid w:val="00654BA4"/>
    <w:rsid w:val="0066188C"/>
    <w:rsid w:val="00666A01"/>
    <w:rsid w:val="00680D78"/>
    <w:rsid w:val="00692352"/>
    <w:rsid w:val="00695E65"/>
    <w:rsid w:val="006963BC"/>
    <w:rsid w:val="006A34AE"/>
    <w:rsid w:val="006A423E"/>
    <w:rsid w:val="006C6B0C"/>
    <w:rsid w:val="006D552E"/>
    <w:rsid w:val="006E10F4"/>
    <w:rsid w:val="006E75AA"/>
    <w:rsid w:val="006E7CBB"/>
    <w:rsid w:val="006F1498"/>
    <w:rsid w:val="006F3647"/>
    <w:rsid w:val="00710170"/>
    <w:rsid w:val="00714F57"/>
    <w:rsid w:val="00727594"/>
    <w:rsid w:val="00727C5E"/>
    <w:rsid w:val="00732110"/>
    <w:rsid w:val="007349A2"/>
    <w:rsid w:val="007356B8"/>
    <w:rsid w:val="00741C80"/>
    <w:rsid w:val="0074219E"/>
    <w:rsid w:val="0075009F"/>
    <w:rsid w:val="00754526"/>
    <w:rsid w:val="00777183"/>
    <w:rsid w:val="00782ACA"/>
    <w:rsid w:val="00787461"/>
    <w:rsid w:val="007B588C"/>
    <w:rsid w:val="007C1916"/>
    <w:rsid w:val="007C6AC2"/>
    <w:rsid w:val="007C729C"/>
    <w:rsid w:val="007D3493"/>
    <w:rsid w:val="007E2F40"/>
    <w:rsid w:val="007F64F2"/>
    <w:rsid w:val="00803CA2"/>
    <w:rsid w:val="00807CAC"/>
    <w:rsid w:val="00810D18"/>
    <w:rsid w:val="008115BF"/>
    <w:rsid w:val="00812B30"/>
    <w:rsid w:val="00821DAB"/>
    <w:rsid w:val="00824D81"/>
    <w:rsid w:val="00836DF9"/>
    <w:rsid w:val="00837AAB"/>
    <w:rsid w:val="0084158A"/>
    <w:rsid w:val="00847229"/>
    <w:rsid w:val="00852164"/>
    <w:rsid w:val="00853ABC"/>
    <w:rsid w:val="0085755E"/>
    <w:rsid w:val="00872AB9"/>
    <w:rsid w:val="00881405"/>
    <w:rsid w:val="0089069F"/>
    <w:rsid w:val="00895DA2"/>
    <w:rsid w:val="00897359"/>
    <w:rsid w:val="008A020E"/>
    <w:rsid w:val="008B6E06"/>
    <w:rsid w:val="008C572B"/>
    <w:rsid w:val="008D25B7"/>
    <w:rsid w:val="008D300A"/>
    <w:rsid w:val="008D5479"/>
    <w:rsid w:val="008D5932"/>
    <w:rsid w:val="008E0B8C"/>
    <w:rsid w:val="008E0DF5"/>
    <w:rsid w:val="008E3273"/>
    <w:rsid w:val="008E5123"/>
    <w:rsid w:val="008E7400"/>
    <w:rsid w:val="00901C05"/>
    <w:rsid w:val="009179E9"/>
    <w:rsid w:val="00937284"/>
    <w:rsid w:val="00940C0F"/>
    <w:rsid w:val="0095311D"/>
    <w:rsid w:val="00954CCB"/>
    <w:rsid w:val="009744C8"/>
    <w:rsid w:val="00981886"/>
    <w:rsid w:val="00990FEC"/>
    <w:rsid w:val="009A1B08"/>
    <w:rsid w:val="009A6E91"/>
    <w:rsid w:val="009B4450"/>
    <w:rsid w:val="009B747B"/>
    <w:rsid w:val="009C25C4"/>
    <w:rsid w:val="009C4A13"/>
    <w:rsid w:val="009E0F58"/>
    <w:rsid w:val="009E5557"/>
    <w:rsid w:val="009E66F8"/>
    <w:rsid w:val="009F7DE3"/>
    <w:rsid w:val="00A038F9"/>
    <w:rsid w:val="00A1585A"/>
    <w:rsid w:val="00A2534D"/>
    <w:rsid w:val="00A2604E"/>
    <w:rsid w:val="00A43A4A"/>
    <w:rsid w:val="00A507F0"/>
    <w:rsid w:val="00A664DF"/>
    <w:rsid w:val="00A713D0"/>
    <w:rsid w:val="00A72814"/>
    <w:rsid w:val="00A759B3"/>
    <w:rsid w:val="00A82A29"/>
    <w:rsid w:val="00A8344E"/>
    <w:rsid w:val="00A8690F"/>
    <w:rsid w:val="00A86D9E"/>
    <w:rsid w:val="00AA4050"/>
    <w:rsid w:val="00AA516A"/>
    <w:rsid w:val="00AA5B0E"/>
    <w:rsid w:val="00AC750B"/>
    <w:rsid w:val="00AC77B8"/>
    <w:rsid w:val="00AD4128"/>
    <w:rsid w:val="00AE1F12"/>
    <w:rsid w:val="00AE3A78"/>
    <w:rsid w:val="00AE4155"/>
    <w:rsid w:val="00AE4B7C"/>
    <w:rsid w:val="00AF349B"/>
    <w:rsid w:val="00B01B16"/>
    <w:rsid w:val="00B13EE3"/>
    <w:rsid w:val="00B22DCB"/>
    <w:rsid w:val="00B2382E"/>
    <w:rsid w:val="00B34A0B"/>
    <w:rsid w:val="00B4161E"/>
    <w:rsid w:val="00B447D7"/>
    <w:rsid w:val="00B46E93"/>
    <w:rsid w:val="00B46F03"/>
    <w:rsid w:val="00B5066A"/>
    <w:rsid w:val="00B55B8C"/>
    <w:rsid w:val="00B56882"/>
    <w:rsid w:val="00B65A09"/>
    <w:rsid w:val="00B76A1F"/>
    <w:rsid w:val="00B82F8C"/>
    <w:rsid w:val="00B961C3"/>
    <w:rsid w:val="00BA0FBC"/>
    <w:rsid w:val="00BA218C"/>
    <w:rsid w:val="00BA5479"/>
    <w:rsid w:val="00BB179A"/>
    <w:rsid w:val="00BB207A"/>
    <w:rsid w:val="00BB7D82"/>
    <w:rsid w:val="00BC200B"/>
    <w:rsid w:val="00BD74AE"/>
    <w:rsid w:val="00BE3392"/>
    <w:rsid w:val="00BE3FE7"/>
    <w:rsid w:val="00BF29D8"/>
    <w:rsid w:val="00BF2D74"/>
    <w:rsid w:val="00BF38BC"/>
    <w:rsid w:val="00BF4CC8"/>
    <w:rsid w:val="00BF7AC7"/>
    <w:rsid w:val="00C1124F"/>
    <w:rsid w:val="00C237F7"/>
    <w:rsid w:val="00C37BFF"/>
    <w:rsid w:val="00C44372"/>
    <w:rsid w:val="00C51458"/>
    <w:rsid w:val="00C53580"/>
    <w:rsid w:val="00C55838"/>
    <w:rsid w:val="00C55F30"/>
    <w:rsid w:val="00C728C5"/>
    <w:rsid w:val="00C77EF7"/>
    <w:rsid w:val="00C80A6C"/>
    <w:rsid w:val="00C81A97"/>
    <w:rsid w:val="00C820F1"/>
    <w:rsid w:val="00C91512"/>
    <w:rsid w:val="00CA6636"/>
    <w:rsid w:val="00CA6D76"/>
    <w:rsid w:val="00CB7448"/>
    <w:rsid w:val="00CB769C"/>
    <w:rsid w:val="00CC431F"/>
    <w:rsid w:val="00CD37C7"/>
    <w:rsid w:val="00CD57EB"/>
    <w:rsid w:val="00CD5C97"/>
    <w:rsid w:val="00CD786C"/>
    <w:rsid w:val="00CE3598"/>
    <w:rsid w:val="00CF4753"/>
    <w:rsid w:val="00CF71E0"/>
    <w:rsid w:val="00D0083B"/>
    <w:rsid w:val="00D42209"/>
    <w:rsid w:val="00D43B63"/>
    <w:rsid w:val="00D44183"/>
    <w:rsid w:val="00D50830"/>
    <w:rsid w:val="00D65D56"/>
    <w:rsid w:val="00D9761F"/>
    <w:rsid w:val="00DA529F"/>
    <w:rsid w:val="00DC5017"/>
    <w:rsid w:val="00DD18FF"/>
    <w:rsid w:val="00DD2ED3"/>
    <w:rsid w:val="00DD7F1B"/>
    <w:rsid w:val="00DE09FF"/>
    <w:rsid w:val="00E024B6"/>
    <w:rsid w:val="00E13A02"/>
    <w:rsid w:val="00E31680"/>
    <w:rsid w:val="00E34382"/>
    <w:rsid w:val="00E3662E"/>
    <w:rsid w:val="00E41DB9"/>
    <w:rsid w:val="00E655BE"/>
    <w:rsid w:val="00E74266"/>
    <w:rsid w:val="00E75CE9"/>
    <w:rsid w:val="00E762BB"/>
    <w:rsid w:val="00E77B33"/>
    <w:rsid w:val="00E808B6"/>
    <w:rsid w:val="00E8661B"/>
    <w:rsid w:val="00E91FD5"/>
    <w:rsid w:val="00E92E09"/>
    <w:rsid w:val="00EA6337"/>
    <w:rsid w:val="00EA689F"/>
    <w:rsid w:val="00EB119D"/>
    <w:rsid w:val="00EB749E"/>
    <w:rsid w:val="00EF1D00"/>
    <w:rsid w:val="00EF2866"/>
    <w:rsid w:val="00EF33BE"/>
    <w:rsid w:val="00F0383C"/>
    <w:rsid w:val="00F0669A"/>
    <w:rsid w:val="00F11631"/>
    <w:rsid w:val="00F12A43"/>
    <w:rsid w:val="00F24AB0"/>
    <w:rsid w:val="00F309CB"/>
    <w:rsid w:val="00F30C2D"/>
    <w:rsid w:val="00F3319C"/>
    <w:rsid w:val="00F33E2E"/>
    <w:rsid w:val="00F44A0E"/>
    <w:rsid w:val="00F60C79"/>
    <w:rsid w:val="00F62A51"/>
    <w:rsid w:val="00F77D5B"/>
    <w:rsid w:val="00F8646E"/>
    <w:rsid w:val="00F9675E"/>
    <w:rsid w:val="00FC3F00"/>
    <w:rsid w:val="00FD4F1F"/>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uiPriority w:val="99"/>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966F4D67-331A-42EA-8C0B-97B97406AD33}">
  <ds:schemaRefs>
    <ds:schemaRef ds:uri="Microsoft.SharePoint.Taxonomy.ContentTypeSync"/>
  </ds:schemaRefs>
</ds:datastoreItem>
</file>

<file path=customXml/itemProps4.xml><?xml version="1.0" encoding="utf-8"?>
<ds:datastoreItem xmlns:ds="http://schemas.openxmlformats.org/officeDocument/2006/customXml" ds:itemID="{9E56C1EF-A685-475E-BE6F-0EFC41A6B334}">
  <ds:schemaRefs>
    <ds:schemaRef ds:uri="http://schemas.openxmlformats.org/officeDocument/2006/bibliography"/>
  </ds:schemaRefs>
</ds:datastoreItem>
</file>

<file path=customXml/itemProps5.xml><?xml version="1.0" encoding="utf-8"?>
<ds:datastoreItem xmlns:ds="http://schemas.openxmlformats.org/officeDocument/2006/customXml" ds:itemID="{559178D6-DBB8-42CB-86CF-F716548C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849</Words>
  <Characters>4845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2021-09-01T19:13:00Z</dcterms:created>
  <dcterms:modified xsi:type="dcterms:W3CDTF">2021-09-01T19:13:00Z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2021-09-01T19:12:07.1268934Z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e62c99bd-410e-4d6c-9eef-20e5bc31f4d5</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