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1A87" w:rsidR="00D12679" w:rsidP="00D12679" w:rsidRDefault="00D12679" w14:paraId="08FE4645" w14:textId="2CA8B33B">
      <w:pPr>
        <w:spacing w:after="0"/>
        <w:jc w:val="center"/>
        <w:rPr>
          <w:rFonts w:ascii="Times New Roman" w:hAnsi="Times New Roman" w:cs="Times New Roman"/>
          <w:b/>
          <w:i/>
          <w:sz w:val="26"/>
          <w:szCs w:val="26"/>
        </w:rPr>
      </w:pPr>
      <w:r w:rsidRPr="003C1A87">
        <w:rPr>
          <w:rFonts w:ascii="Times New Roman" w:hAnsi="Times New Roman" w:cs="Times New Roman"/>
          <w:sz w:val="26"/>
          <w:szCs w:val="26"/>
        </w:rPr>
        <w:t>Supporting Statement for</w:t>
      </w:r>
    </w:p>
    <w:p w:rsidRPr="003C1A87" w:rsidR="00D12679" w:rsidP="00D12679" w:rsidRDefault="00D12679" w14:paraId="1DDA70C1" w14:textId="6F284693">
      <w:pPr>
        <w:spacing w:after="0"/>
        <w:jc w:val="center"/>
        <w:rPr>
          <w:rFonts w:ascii="Times New Roman" w:hAnsi="Times New Roman" w:cs="Times New Roman"/>
          <w:b/>
          <w:sz w:val="26"/>
          <w:szCs w:val="26"/>
        </w:rPr>
      </w:pPr>
      <w:r w:rsidRPr="003C1A87">
        <w:rPr>
          <w:rFonts w:ascii="Times New Roman" w:hAnsi="Times New Roman" w:cs="Times New Roman"/>
          <w:b/>
          <w:sz w:val="26"/>
          <w:szCs w:val="26"/>
        </w:rPr>
        <w:t xml:space="preserve">FERC-566 (Annual Report of </w:t>
      </w:r>
      <w:r w:rsidRPr="003C1A87" w:rsidR="00C064B4">
        <w:rPr>
          <w:rFonts w:ascii="Times New Roman" w:hAnsi="Times New Roman" w:cs="Times New Roman"/>
          <w:b/>
          <w:sz w:val="26"/>
          <w:szCs w:val="26"/>
        </w:rPr>
        <w:t xml:space="preserve">a Utility’s </w:t>
      </w:r>
      <w:r w:rsidRPr="003C1A87">
        <w:rPr>
          <w:rFonts w:ascii="Times New Roman" w:hAnsi="Times New Roman" w:cs="Times New Roman"/>
          <w:b/>
          <w:sz w:val="26"/>
          <w:szCs w:val="26"/>
        </w:rPr>
        <w:t>Twenty Largest Purchasers)</w:t>
      </w:r>
    </w:p>
    <w:p w:rsidRPr="003C1A87" w:rsidR="001C6B69" w:rsidP="003022EB" w:rsidRDefault="00FF6461" w14:paraId="1D5B49B5" w14:textId="72BA1D6C">
      <w:pPr>
        <w:jc w:val="center"/>
        <w:rPr>
          <w:rFonts w:ascii="Times New Roman" w:hAnsi="Times New Roman" w:cs="Times New Roman"/>
          <w:sz w:val="26"/>
          <w:szCs w:val="26"/>
        </w:rPr>
      </w:pPr>
      <w:r w:rsidRPr="003C1A87">
        <w:rPr>
          <w:rFonts w:ascii="Times New Roman" w:hAnsi="Times New Roman" w:cs="Times New Roman"/>
          <w:sz w:val="26"/>
          <w:szCs w:val="26"/>
        </w:rPr>
        <w:t>(Three-year extension requested)</w:t>
      </w:r>
    </w:p>
    <w:p w:rsidRPr="003C1A87" w:rsidR="00D12679" w:rsidRDefault="00D12679" w14:paraId="212E993B" w14:textId="729EE969">
      <w:pPr>
        <w:rPr>
          <w:rFonts w:ascii="Times New Roman" w:hAnsi="Times New Roman" w:cs="Times New Roman"/>
          <w:sz w:val="26"/>
          <w:szCs w:val="26"/>
        </w:rPr>
      </w:pPr>
      <w:r w:rsidRPr="003C1A87">
        <w:rPr>
          <w:rFonts w:ascii="Times New Roman" w:hAnsi="Times New Roman" w:cs="Times New Roman"/>
          <w:sz w:val="26"/>
          <w:szCs w:val="26"/>
        </w:rPr>
        <w:t xml:space="preserve">The Federal Energy Regulatory Commission (FERC or Commission) requests </w:t>
      </w:r>
      <w:r w:rsidRPr="003C1A87" w:rsidR="003C0559">
        <w:rPr>
          <w:rFonts w:ascii="Times New Roman" w:hAnsi="Times New Roman" w:cs="Times New Roman"/>
          <w:sz w:val="26"/>
          <w:szCs w:val="26"/>
        </w:rPr>
        <w:t xml:space="preserve">that </w:t>
      </w:r>
      <w:r w:rsidRPr="003C1A87">
        <w:rPr>
          <w:rFonts w:ascii="Times New Roman" w:hAnsi="Times New Roman" w:cs="Times New Roman"/>
          <w:sz w:val="26"/>
          <w:szCs w:val="26"/>
        </w:rPr>
        <w:t xml:space="preserve">the Office of Management and Budget (OMB) </w:t>
      </w:r>
      <w:r w:rsidRPr="003C1A87" w:rsidR="001C6B69">
        <w:rPr>
          <w:rFonts w:ascii="Times New Roman" w:hAnsi="Times New Roman" w:cs="Times New Roman"/>
          <w:sz w:val="26"/>
          <w:szCs w:val="26"/>
        </w:rPr>
        <w:t xml:space="preserve">extend its approval of </w:t>
      </w:r>
      <w:r w:rsidRPr="003C1A87">
        <w:rPr>
          <w:rFonts w:ascii="Times New Roman" w:hAnsi="Times New Roman" w:cs="Times New Roman"/>
          <w:sz w:val="26"/>
          <w:szCs w:val="26"/>
        </w:rPr>
        <w:t>the information collection requirements in FERC-566 (OMB Control No. 1902-0114) for</w:t>
      </w:r>
      <w:r w:rsidRPr="003C1A87" w:rsidR="000779A1">
        <w:rPr>
          <w:rFonts w:ascii="Times New Roman" w:hAnsi="Times New Roman" w:cs="Times New Roman"/>
          <w:sz w:val="26"/>
          <w:szCs w:val="26"/>
        </w:rPr>
        <w:t xml:space="preserve"> an additional </w:t>
      </w:r>
      <w:r w:rsidRPr="003C1A87">
        <w:rPr>
          <w:rFonts w:ascii="Times New Roman" w:hAnsi="Times New Roman" w:cs="Times New Roman"/>
          <w:sz w:val="26"/>
          <w:szCs w:val="26"/>
        </w:rPr>
        <w:t xml:space="preserve">three years.  </w:t>
      </w:r>
      <w:r w:rsidRPr="003C1A87" w:rsidR="007858C0">
        <w:rPr>
          <w:rFonts w:ascii="Times New Roman" w:hAnsi="Times New Roman" w:cs="Times New Roman"/>
          <w:sz w:val="26"/>
          <w:szCs w:val="26"/>
        </w:rPr>
        <w:t xml:space="preserve">The requirements for FERC-566 are </w:t>
      </w:r>
      <w:r w:rsidRPr="003C1A87" w:rsidR="006408EC">
        <w:rPr>
          <w:rFonts w:ascii="Times New Roman" w:hAnsi="Times New Roman" w:cs="Times New Roman"/>
          <w:sz w:val="26"/>
          <w:szCs w:val="26"/>
        </w:rPr>
        <w:t>listed at</w:t>
      </w:r>
      <w:r w:rsidRPr="003C1A87" w:rsidR="007858C0">
        <w:rPr>
          <w:rFonts w:ascii="Times New Roman" w:hAnsi="Times New Roman" w:cs="Times New Roman"/>
          <w:sz w:val="26"/>
          <w:szCs w:val="26"/>
        </w:rPr>
        <w:t xml:space="preserve"> 18 CFR 46.3.</w:t>
      </w:r>
    </w:p>
    <w:p w:rsidRPr="003C1A87" w:rsidR="00D12679" w:rsidP="00D12679" w:rsidRDefault="00D12679" w14:paraId="4112736B" w14:textId="719B29E3">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CIRCUMSTANCES THAT MAKE THE COLLECTION OF INFORMATION NECESSARY</w:t>
      </w:r>
    </w:p>
    <w:p w:rsidRPr="003C1A87" w:rsidR="00D12679" w:rsidP="00D12679" w:rsidRDefault="00D12679" w14:paraId="7BE2ADC1" w14:textId="77777777">
      <w:pPr>
        <w:spacing w:after="0" w:line="240" w:lineRule="auto"/>
        <w:rPr>
          <w:rFonts w:ascii="Times New Roman" w:hAnsi="Times New Roman" w:cs="Times New Roman"/>
          <w:sz w:val="26"/>
          <w:szCs w:val="26"/>
        </w:rPr>
      </w:pPr>
    </w:p>
    <w:p w:rsidRPr="003C1A87" w:rsidR="00702BEE" w:rsidP="00702BEE" w:rsidRDefault="00E51CF6" w14:paraId="7DD25483" w14:textId="44C7401E">
      <w:pPr>
        <w:pStyle w:val="FERCparanumber"/>
        <w:numPr>
          <w:ilvl w:val="0"/>
          <w:numId w:val="0"/>
        </w:numPr>
        <w:spacing w:line="240" w:lineRule="auto"/>
        <w:rPr>
          <w:rStyle w:val="FootnoteTextChar"/>
          <w:sz w:val="26"/>
          <w:szCs w:val="26"/>
        </w:rPr>
      </w:pPr>
      <w:r w:rsidRPr="003C1A87">
        <w:rPr>
          <w:szCs w:val="26"/>
        </w:rPr>
        <w:t>Section 305</w:t>
      </w:r>
      <w:r w:rsidRPr="003C1A87" w:rsidR="00327082">
        <w:rPr>
          <w:szCs w:val="26"/>
        </w:rPr>
        <w:t>(c)(2)</w:t>
      </w:r>
      <w:r w:rsidRPr="003C1A87" w:rsidR="00340E0A">
        <w:rPr>
          <w:szCs w:val="26"/>
        </w:rPr>
        <w:t xml:space="preserve"> </w:t>
      </w:r>
      <w:r w:rsidRPr="003C1A87">
        <w:rPr>
          <w:szCs w:val="26"/>
        </w:rPr>
        <w:t>of t</w:t>
      </w:r>
      <w:r w:rsidRPr="003C1A87" w:rsidR="00FF6461">
        <w:rPr>
          <w:szCs w:val="26"/>
        </w:rPr>
        <w:t xml:space="preserve">he </w:t>
      </w:r>
      <w:r w:rsidRPr="003C1A87" w:rsidR="00F24FF5">
        <w:rPr>
          <w:szCs w:val="26"/>
        </w:rPr>
        <w:t>Federal Power Act (</w:t>
      </w:r>
      <w:r w:rsidRPr="003C1A87" w:rsidR="00FF6461">
        <w:rPr>
          <w:szCs w:val="26"/>
        </w:rPr>
        <w:t>FPA</w:t>
      </w:r>
      <w:r w:rsidRPr="003C1A87" w:rsidR="00F24FF5">
        <w:rPr>
          <w:szCs w:val="26"/>
        </w:rPr>
        <w:t>)</w:t>
      </w:r>
      <w:r w:rsidRPr="003C1A87">
        <w:rPr>
          <w:rStyle w:val="FootnoteReference"/>
          <w:szCs w:val="26"/>
          <w:vertAlign w:val="superscript"/>
        </w:rPr>
        <w:footnoteReference w:id="1"/>
      </w:r>
      <w:r w:rsidRPr="003C1A87" w:rsidR="00FF6461">
        <w:rPr>
          <w:szCs w:val="26"/>
        </w:rPr>
        <w:t xml:space="preserve"> </w:t>
      </w:r>
      <w:r w:rsidRPr="003C1A87" w:rsidR="00D63517">
        <w:rPr>
          <w:szCs w:val="26"/>
        </w:rPr>
        <w:t xml:space="preserve">and 18 CFR </w:t>
      </w:r>
      <w:r w:rsidRPr="003C1A87" w:rsidR="003E29F8">
        <w:rPr>
          <w:szCs w:val="26"/>
        </w:rPr>
        <w:t xml:space="preserve">46.3 </w:t>
      </w:r>
      <w:r w:rsidRPr="003C1A87" w:rsidR="00FF6461">
        <w:rPr>
          <w:szCs w:val="26"/>
        </w:rPr>
        <w:t>require public utilities to publish and file</w:t>
      </w:r>
      <w:r w:rsidRPr="003C1A87" w:rsidR="00B41320">
        <w:rPr>
          <w:szCs w:val="26"/>
        </w:rPr>
        <w:t xml:space="preserve"> a list of their 20 largest purchasers of electric energy</w:t>
      </w:r>
      <w:r w:rsidRPr="003C1A87" w:rsidR="004B22D9">
        <w:rPr>
          <w:szCs w:val="26"/>
        </w:rPr>
        <w:t xml:space="preserve"> on or before January </w:t>
      </w:r>
      <w:r w:rsidRPr="003C1A87" w:rsidR="00CB171E">
        <w:rPr>
          <w:szCs w:val="26"/>
        </w:rPr>
        <w:t>31 of each calendar year</w:t>
      </w:r>
      <w:r w:rsidRPr="003C1A87" w:rsidR="006547E8">
        <w:rPr>
          <w:szCs w:val="26"/>
        </w:rPr>
        <w:t>.</w:t>
      </w:r>
      <w:r w:rsidRPr="003C1A87" w:rsidR="00911E42">
        <w:rPr>
          <w:szCs w:val="26"/>
        </w:rPr>
        <w:t xml:space="preserve">  </w:t>
      </w:r>
      <w:r w:rsidRPr="003C1A87" w:rsidR="0066330E">
        <w:rPr>
          <w:szCs w:val="26"/>
        </w:rPr>
        <w:t xml:space="preserve">The list must include </w:t>
      </w:r>
      <w:r w:rsidRPr="003C1A87" w:rsidR="007A527D">
        <w:rPr>
          <w:szCs w:val="26"/>
        </w:rPr>
        <w:t xml:space="preserve">each </w:t>
      </w:r>
      <w:r w:rsidRPr="003C1A87" w:rsidR="00510C43">
        <w:rPr>
          <w:szCs w:val="26"/>
        </w:rPr>
        <w:t xml:space="preserve">entity that </w:t>
      </w:r>
      <w:r w:rsidRPr="003C1A87" w:rsidR="00D12679">
        <w:rPr>
          <w:szCs w:val="26"/>
        </w:rPr>
        <w:t>purchased (for purposes other than resale) one of the 20 largest annual amounts of electric energy sold by such public utility (or by any public utility which is part of the same holding company system) during any one of the three calendar years immediately preceding the filing date</w:t>
      </w:r>
      <w:r w:rsidRPr="003C1A87" w:rsidR="00D12679">
        <w:rPr>
          <w:rStyle w:val="FootnoteTextChar"/>
          <w:sz w:val="26"/>
          <w:szCs w:val="26"/>
        </w:rPr>
        <w:t>.</w:t>
      </w:r>
      <w:r w:rsidRPr="003C1A87" w:rsidR="00366620">
        <w:rPr>
          <w:rStyle w:val="FootnoteTextChar"/>
          <w:sz w:val="26"/>
          <w:szCs w:val="26"/>
        </w:rPr>
        <w:t xml:space="preserve">  The preferred format </w:t>
      </w:r>
      <w:r w:rsidR="001557EA">
        <w:rPr>
          <w:rStyle w:val="FootnoteTextChar"/>
          <w:sz w:val="26"/>
          <w:szCs w:val="26"/>
        </w:rPr>
        <w:t xml:space="preserve">(i.e., Form </w:t>
      </w:r>
      <w:r w:rsidR="009603BA">
        <w:rPr>
          <w:rStyle w:val="FootnoteTextChar"/>
          <w:sz w:val="26"/>
          <w:szCs w:val="26"/>
        </w:rPr>
        <w:t xml:space="preserve">No. </w:t>
      </w:r>
      <w:r w:rsidR="001557EA">
        <w:rPr>
          <w:rStyle w:val="FootnoteTextChar"/>
          <w:sz w:val="26"/>
          <w:szCs w:val="26"/>
        </w:rPr>
        <w:t xml:space="preserve">566) </w:t>
      </w:r>
      <w:r w:rsidRPr="003C1A87" w:rsidR="00366620">
        <w:rPr>
          <w:rStyle w:val="FootnoteTextChar"/>
          <w:sz w:val="26"/>
          <w:szCs w:val="26"/>
        </w:rPr>
        <w:t xml:space="preserve">for submitting this information is at </w:t>
      </w:r>
      <w:hyperlink w:history="1" r:id="rId11">
        <w:r w:rsidRPr="002307F3" w:rsidR="00F338B3">
          <w:rPr>
            <w:rStyle w:val="Hyperlink"/>
            <w:szCs w:val="26"/>
          </w:rPr>
          <w:t>https://www.ferc.gov/electric/general-information/electric-industry-forms</w:t>
        </w:r>
      </w:hyperlink>
      <w:r w:rsidR="00F338B3">
        <w:rPr>
          <w:rStyle w:val="FootnoteTextChar"/>
          <w:sz w:val="26"/>
          <w:szCs w:val="26"/>
        </w:rPr>
        <w:t>.</w:t>
      </w:r>
      <w:r w:rsidR="00BA605A">
        <w:rPr>
          <w:rStyle w:val="FootnoteTextChar"/>
          <w:sz w:val="26"/>
          <w:szCs w:val="26"/>
        </w:rPr>
        <w:t xml:space="preserve">  We are </w:t>
      </w:r>
      <w:r w:rsidR="001B75B6">
        <w:rPr>
          <w:rStyle w:val="FootnoteTextChar"/>
          <w:sz w:val="26"/>
          <w:szCs w:val="26"/>
        </w:rPr>
        <w:t>submitting, and requesting OMB approval for,</w:t>
      </w:r>
      <w:r w:rsidR="00BA605A">
        <w:rPr>
          <w:rStyle w:val="FootnoteTextChar"/>
          <w:sz w:val="26"/>
          <w:szCs w:val="26"/>
        </w:rPr>
        <w:t xml:space="preserve"> revised and updated </w:t>
      </w:r>
      <w:r w:rsidR="00BB4EBB">
        <w:rPr>
          <w:rStyle w:val="FootnoteTextChar"/>
          <w:sz w:val="26"/>
          <w:szCs w:val="26"/>
        </w:rPr>
        <w:t xml:space="preserve">instructions for the preferred format in </w:t>
      </w:r>
      <w:r w:rsidR="00643CBB">
        <w:rPr>
          <w:rStyle w:val="FootnoteTextChar"/>
          <w:sz w:val="26"/>
          <w:szCs w:val="26"/>
        </w:rPr>
        <w:t>accordance with</w:t>
      </w:r>
      <w:r w:rsidR="00D60BCF">
        <w:rPr>
          <w:rStyle w:val="FootnoteTextChar"/>
          <w:sz w:val="26"/>
          <w:szCs w:val="26"/>
        </w:rPr>
        <w:t xml:space="preserve"> </w:t>
      </w:r>
      <w:r w:rsidR="00F2322E">
        <w:rPr>
          <w:rStyle w:val="FootnoteTextChar"/>
          <w:sz w:val="26"/>
          <w:szCs w:val="26"/>
        </w:rPr>
        <w:t xml:space="preserve">the display requirements </w:t>
      </w:r>
      <w:r w:rsidR="00E538BB">
        <w:rPr>
          <w:rStyle w:val="FootnoteTextChar"/>
          <w:sz w:val="26"/>
          <w:szCs w:val="26"/>
        </w:rPr>
        <w:t xml:space="preserve">at 5 CFR </w:t>
      </w:r>
      <w:r w:rsidR="0004783D">
        <w:rPr>
          <w:rStyle w:val="FootnoteTextChar"/>
          <w:sz w:val="26"/>
          <w:szCs w:val="26"/>
        </w:rPr>
        <w:t>1320.5(b)</w:t>
      </w:r>
      <w:r w:rsidR="00D60BCF">
        <w:rPr>
          <w:rStyle w:val="FootnoteTextChar"/>
          <w:sz w:val="26"/>
          <w:szCs w:val="26"/>
        </w:rPr>
        <w:t>.</w:t>
      </w:r>
    </w:p>
    <w:p w:rsidRPr="003C1A87" w:rsidR="00702BEE" w:rsidP="00702BEE" w:rsidRDefault="00702BEE" w14:paraId="0DE28524" w14:textId="77777777">
      <w:pPr>
        <w:pStyle w:val="FERCparanumber"/>
        <w:numPr>
          <w:ilvl w:val="0"/>
          <w:numId w:val="0"/>
        </w:numPr>
        <w:spacing w:line="240" w:lineRule="auto"/>
        <w:rPr>
          <w:rStyle w:val="FootnoteTextChar"/>
          <w:sz w:val="26"/>
          <w:szCs w:val="26"/>
        </w:rPr>
      </w:pPr>
    </w:p>
    <w:p w:rsidRPr="003C1A87" w:rsidR="00D12679" w:rsidP="00702BEE" w:rsidRDefault="007C20C7" w14:paraId="581AD785" w14:textId="64009507">
      <w:pPr>
        <w:pStyle w:val="FERCparanumber"/>
        <w:numPr>
          <w:ilvl w:val="0"/>
          <w:numId w:val="0"/>
        </w:numPr>
        <w:spacing w:line="240" w:lineRule="auto"/>
        <w:rPr>
          <w:szCs w:val="26"/>
        </w:rPr>
      </w:pPr>
      <w:r w:rsidRPr="003C1A87">
        <w:rPr>
          <w:szCs w:val="26"/>
        </w:rPr>
        <w:t xml:space="preserve">The information collected under FERC-566 </w:t>
      </w:r>
      <w:r w:rsidRPr="003C1A87" w:rsidR="00C35796">
        <w:rPr>
          <w:szCs w:val="26"/>
        </w:rPr>
        <w:t>a</w:t>
      </w:r>
      <w:r w:rsidRPr="003C1A87">
        <w:rPr>
          <w:szCs w:val="26"/>
        </w:rPr>
        <w:t xml:space="preserve">llows the Commission to determine whether public or private interests will be adversely affected </w:t>
      </w:r>
      <w:r w:rsidRPr="003C1A87" w:rsidR="00372392">
        <w:rPr>
          <w:szCs w:val="26"/>
        </w:rPr>
        <w:t xml:space="preserve">by business relationships between public utilities and their </w:t>
      </w:r>
      <w:r w:rsidRPr="003C1A87" w:rsidR="00D3441B">
        <w:rPr>
          <w:szCs w:val="26"/>
        </w:rPr>
        <w:t>20 largest purchasers of electricity</w:t>
      </w:r>
      <w:r w:rsidRPr="003C1A87" w:rsidR="0059662F">
        <w:rPr>
          <w:szCs w:val="26"/>
        </w:rPr>
        <w:t>.</w:t>
      </w:r>
    </w:p>
    <w:p w:rsidRPr="003C1A87" w:rsidR="00D12679" w:rsidP="00D12679" w:rsidRDefault="00D12679" w14:paraId="18CAE34F" w14:textId="77777777">
      <w:pPr>
        <w:spacing w:after="0" w:line="240" w:lineRule="auto"/>
        <w:rPr>
          <w:rFonts w:ascii="Times New Roman" w:hAnsi="Times New Roman" w:cs="Times New Roman"/>
          <w:sz w:val="26"/>
          <w:szCs w:val="26"/>
        </w:rPr>
      </w:pPr>
    </w:p>
    <w:p w:rsidRPr="003C1A87" w:rsidR="00D12679" w:rsidP="00D12679" w:rsidRDefault="00D12679" w14:paraId="3A7F06F2"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HOW, BY WHOM, AND FOR WHAT PURPOSE THE INFORMATION IS TO BE USED AND THE CONSEQUENCES OF NOT COLLECTING THE INFORMATION</w:t>
      </w:r>
    </w:p>
    <w:p w:rsidRPr="003C1A87" w:rsidR="00D12679" w:rsidP="00D12679" w:rsidRDefault="00D12679" w14:paraId="363A4310" w14:textId="77777777">
      <w:pPr>
        <w:spacing w:after="0" w:line="240" w:lineRule="auto"/>
        <w:rPr>
          <w:rFonts w:ascii="Times New Roman" w:hAnsi="Times New Roman" w:cs="Times New Roman"/>
          <w:sz w:val="26"/>
          <w:szCs w:val="26"/>
        </w:rPr>
      </w:pPr>
    </w:p>
    <w:p w:rsidRPr="003C1A87" w:rsidR="00D90717" w:rsidP="00D12679" w:rsidRDefault="00D90717" w14:paraId="5813A62F" w14:textId="066568D6">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This information collection provides insight into complex electric corporate activities and interactions.  It serves to safeguard public and private interests, as the FPA requires, by disclosing to both the public and to the Commission business relationships between utilities and their customers which are subject to interlocking officer and director reporting requirements.</w:t>
      </w:r>
    </w:p>
    <w:p w:rsidRPr="003C1A87" w:rsidR="00D90717" w:rsidP="00D12679" w:rsidRDefault="00D90717" w14:paraId="1BD99A5B" w14:textId="77777777">
      <w:pPr>
        <w:spacing w:after="0" w:line="240" w:lineRule="auto"/>
        <w:rPr>
          <w:rFonts w:ascii="Times New Roman" w:hAnsi="Times New Roman" w:cs="Times New Roman"/>
          <w:sz w:val="26"/>
          <w:szCs w:val="26"/>
        </w:rPr>
      </w:pPr>
    </w:p>
    <w:p w:rsidRPr="003C1A87" w:rsidR="00D12679" w:rsidP="00D12679" w:rsidRDefault="00D12679" w14:paraId="6DFE26EC" w14:textId="42D61EF3">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statutory requirements of the FPA identify who must file </w:t>
      </w:r>
      <w:r w:rsidRPr="003C1A87" w:rsidR="0059662F">
        <w:rPr>
          <w:rFonts w:ascii="Times New Roman" w:hAnsi="Times New Roman" w:cs="Times New Roman"/>
          <w:sz w:val="26"/>
          <w:szCs w:val="26"/>
        </w:rPr>
        <w:t xml:space="preserve">in accordance with </w:t>
      </w:r>
      <w:r w:rsidRPr="003C1A87">
        <w:rPr>
          <w:rFonts w:ascii="Times New Roman" w:hAnsi="Times New Roman" w:cs="Times New Roman"/>
          <w:sz w:val="26"/>
          <w:szCs w:val="26"/>
        </w:rPr>
        <w:t>FERC</w:t>
      </w:r>
      <w:r w:rsidRPr="003C1A87" w:rsidR="00B22DFC">
        <w:rPr>
          <w:rFonts w:ascii="Times New Roman" w:hAnsi="Times New Roman" w:cs="Times New Roman"/>
          <w:sz w:val="26"/>
          <w:szCs w:val="26"/>
        </w:rPr>
        <w:t>-</w:t>
      </w:r>
      <w:r w:rsidRPr="003C1A87" w:rsidR="003A73CF">
        <w:rPr>
          <w:rFonts w:ascii="Times New Roman" w:hAnsi="Times New Roman" w:cs="Times New Roman"/>
          <w:sz w:val="26"/>
          <w:szCs w:val="26"/>
        </w:rPr>
        <w:t>566 and</w:t>
      </w:r>
      <w:r w:rsidRPr="003C1A87">
        <w:rPr>
          <w:rFonts w:ascii="Times New Roman" w:hAnsi="Times New Roman" w:cs="Times New Roman"/>
          <w:sz w:val="26"/>
          <w:szCs w:val="26"/>
        </w:rPr>
        <w:t xml:space="preserve"> establishes </w:t>
      </w:r>
      <w:r w:rsidRPr="003C1A87" w:rsidR="00C7119A">
        <w:rPr>
          <w:rFonts w:ascii="Times New Roman" w:hAnsi="Times New Roman" w:cs="Times New Roman"/>
          <w:sz w:val="26"/>
          <w:szCs w:val="26"/>
        </w:rPr>
        <w:t xml:space="preserve">the </w:t>
      </w:r>
      <w:r w:rsidRPr="003C1A87">
        <w:rPr>
          <w:rFonts w:ascii="Times New Roman" w:hAnsi="Times New Roman" w:cs="Times New Roman"/>
          <w:sz w:val="26"/>
          <w:szCs w:val="26"/>
        </w:rPr>
        <w:t>filing deadline</w:t>
      </w:r>
      <w:r w:rsidRPr="003C1A87" w:rsidR="00C7119A">
        <w:rPr>
          <w:rFonts w:ascii="Times New Roman" w:hAnsi="Times New Roman" w:cs="Times New Roman"/>
          <w:sz w:val="26"/>
          <w:szCs w:val="26"/>
        </w:rPr>
        <w:t xml:space="preserve"> of January 31 of each year</w:t>
      </w:r>
      <w:r w:rsidRPr="003C1A87">
        <w:rPr>
          <w:rFonts w:ascii="Times New Roman" w:hAnsi="Times New Roman" w:cs="Times New Roman"/>
          <w:sz w:val="26"/>
          <w:szCs w:val="26"/>
        </w:rPr>
        <w:t xml:space="preserve">.  </w:t>
      </w:r>
      <w:r w:rsidRPr="003C1A87" w:rsidR="00F75E0D">
        <w:rPr>
          <w:rFonts w:ascii="Times New Roman" w:hAnsi="Times New Roman" w:cs="Times New Roman"/>
          <w:sz w:val="26"/>
          <w:szCs w:val="26"/>
        </w:rPr>
        <w:t>The</w:t>
      </w:r>
      <w:r w:rsidRPr="003C1A87" w:rsidR="001C157C">
        <w:rPr>
          <w:rFonts w:ascii="Times New Roman" w:hAnsi="Times New Roman" w:cs="Times New Roman"/>
          <w:sz w:val="26"/>
          <w:szCs w:val="26"/>
        </w:rPr>
        <w:t xml:space="preserve"> regulation</w:t>
      </w:r>
      <w:r w:rsidRPr="003C1A87" w:rsidR="00060BE2">
        <w:rPr>
          <w:rFonts w:ascii="Times New Roman" w:hAnsi="Times New Roman" w:cs="Times New Roman"/>
          <w:sz w:val="26"/>
          <w:szCs w:val="26"/>
        </w:rPr>
        <w:t>s</w:t>
      </w:r>
      <w:r w:rsidRPr="003C1A87" w:rsidR="001C157C">
        <w:rPr>
          <w:rFonts w:ascii="Times New Roman" w:hAnsi="Times New Roman" w:cs="Times New Roman"/>
          <w:sz w:val="26"/>
          <w:szCs w:val="26"/>
        </w:rPr>
        <w:t xml:space="preserve"> at 18 CFR 46.3 </w:t>
      </w:r>
      <w:r w:rsidRPr="003C1A87" w:rsidR="00542FEC">
        <w:rPr>
          <w:rFonts w:ascii="Times New Roman" w:hAnsi="Times New Roman" w:cs="Times New Roman"/>
          <w:sz w:val="26"/>
          <w:szCs w:val="26"/>
        </w:rPr>
        <w:t xml:space="preserve">provide the following </w:t>
      </w:r>
      <w:r w:rsidRPr="003C1A87" w:rsidR="004F1EAC">
        <w:rPr>
          <w:rFonts w:ascii="Times New Roman" w:hAnsi="Times New Roman" w:cs="Times New Roman"/>
          <w:sz w:val="26"/>
          <w:szCs w:val="26"/>
        </w:rPr>
        <w:t xml:space="preserve">additional </w:t>
      </w:r>
      <w:r w:rsidRPr="003C1A87" w:rsidR="00542FEC">
        <w:rPr>
          <w:rFonts w:ascii="Times New Roman" w:hAnsi="Times New Roman" w:cs="Times New Roman"/>
          <w:sz w:val="26"/>
          <w:szCs w:val="26"/>
        </w:rPr>
        <w:t>details:</w:t>
      </w:r>
    </w:p>
    <w:p w:rsidRPr="003C1A87" w:rsidR="00542FEC" w:rsidP="00D12679" w:rsidRDefault="00542FEC" w14:paraId="1C54F875" w14:textId="1185679D">
      <w:pPr>
        <w:spacing w:after="0" w:line="240" w:lineRule="auto"/>
        <w:rPr>
          <w:rFonts w:ascii="Times New Roman" w:hAnsi="Times New Roman" w:cs="Times New Roman"/>
          <w:sz w:val="26"/>
          <w:szCs w:val="26"/>
        </w:rPr>
      </w:pPr>
    </w:p>
    <w:p w:rsidRPr="003C1A87" w:rsidR="00E91D3B" w:rsidP="00BF3BB4" w:rsidRDefault="00AE40C7" w14:paraId="2CCC0D45" w14:textId="5B4EF7CF">
      <w:pPr>
        <w:pStyle w:val="ListParagraph"/>
        <w:numPr>
          <w:ilvl w:val="0"/>
          <w:numId w:val="5"/>
        </w:numPr>
        <w:spacing w:after="0" w:line="240" w:lineRule="auto"/>
        <w:rPr>
          <w:rFonts w:ascii="Times New Roman" w:hAnsi="Times New Roman" w:cs="Times New Roman"/>
          <w:sz w:val="26"/>
          <w:szCs w:val="26"/>
        </w:rPr>
      </w:pPr>
      <w:r w:rsidRPr="003C1A87">
        <w:rPr>
          <w:rFonts w:ascii="Times New Roman" w:hAnsi="Times New Roman" w:cs="Times New Roman"/>
          <w:sz w:val="26"/>
          <w:szCs w:val="26"/>
        </w:rPr>
        <w:lastRenderedPageBreak/>
        <w:t>In general, e</w:t>
      </w:r>
      <w:r w:rsidRPr="003C1A87" w:rsidR="00BF3BB4">
        <w:rPr>
          <w:rFonts w:ascii="Times New Roman" w:hAnsi="Times New Roman" w:cs="Times New Roman"/>
          <w:sz w:val="26"/>
          <w:szCs w:val="26"/>
        </w:rPr>
        <w:t xml:space="preserve">ach purchaser must be identified </w:t>
      </w:r>
      <w:r w:rsidRPr="003C1A87" w:rsidR="00542FEC">
        <w:rPr>
          <w:rFonts w:ascii="Times New Roman" w:hAnsi="Times New Roman" w:cs="Times New Roman"/>
          <w:sz w:val="26"/>
          <w:szCs w:val="26"/>
        </w:rPr>
        <w:t>by name and principal business address</w:t>
      </w:r>
      <w:r w:rsidRPr="003C1A87" w:rsidR="001D6498">
        <w:rPr>
          <w:rFonts w:ascii="Times New Roman" w:hAnsi="Times New Roman" w:cs="Times New Roman"/>
          <w:sz w:val="26"/>
          <w:szCs w:val="26"/>
        </w:rPr>
        <w:t xml:space="preserve">, but </w:t>
      </w:r>
      <w:r w:rsidRPr="003C1A87" w:rsidR="00E530BE">
        <w:rPr>
          <w:rFonts w:ascii="Times New Roman" w:hAnsi="Times New Roman" w:cs="Times New Roman"/>
          <w:sz w:val="26"/>
          <w:szCs w:val="26"/>
        </w:rPr>
        <w:t>any i</w:t>
      </w:r>
      <w:r w:rsidRPr="003C1A87" w:rsidR="003206A1">
        <w:rPr>
          <w:rFonts w:ascii="Times New Roman" w:hAnsi="Times New Roman" w:cs="Times New Roman"/>
          <w:sz w:val="26"/>
          <w:szCs w:val="26"/>
        </w:rPr>
        <w:t>ndividual residential customers on the list should be identified as “Residential Customer,” and with a zip code in lieu of an address</w:t>
      </w:r>
      <w:r w:rsidR="00CF298A">
        <w:rPr>
          <w:rFonts w:ascii="Times New Roman" w:hAnsi="Times New Roman" w:cs="Times New Roman"/>
          <w:sz w:val="26"/>
          <w:szCs w:val="26"/>
        </w:rPr>
        <w:t>.</w:t>
      </w:r>
    </w:p>
    <w:p w:rsidRPr="003C1A87" w:rsidR="00E91D3B" w:rsidP="00BF3BB4" w:rsidRDefault="00E91D3B" w14:paraId="6C185B84" w14:textId="2EB5B922">
      <w:pPr>
        <w:pStyle w:val="ListParagraph"/>
        <w:numPr>
          <w:ilvl w:val="0"/>
          <w:numId w:val="5"/>
        </w:num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list must be submitted </w:t>
      </w:r>
      <w:r w:rsidRPr="003C1A87" w:rsidR="00542FEC">
        <w:rPr>
          <w:rFonts w:ascii="Times New Roman" w:hAnsi="Times New Roman" w:cs="Times New Roman"/>
          <w:sz w:val="26"/>
          <w:szCs w:val="26"/>
        </w:rPr>
        <w:t xml:space="preserve">to the Secretary of the Commission in accordance with filing procedures posted on the Commission's Web site at </w:t>
      </w:r>
      <w:hyperlink w:history="1" r:id="rId12">
        <w:r w:rsidRPr="003C1A87" w:rsidR="00C47B91">
          <w:rPr>
            <w:rStyle w:val="Hyperlink"/>
            <w:rFonts w:ascii="Times New Roman" w:hAnsi="Times New Roman" w:cs="Times New Roman"/>
            <w:sz w:val="26"/>
            <w:szCs w:val="26"/>
          </w:rPr>
          <w:t>http://www.ferc.gov</w:t>
        </w:r>
      </w:hyperlink>
      <w:r w:rsidR="00165A5A">
        <w:rPr>
          <w:rFonts w:ascii="Times New Roman" w:hAnsi="Times New Roman" w:cs="Times New Roman"/>
          <w:sz w:val="26"/>
          <w:szCs w:val="26"/>
        </w:rPr>
        <w:t>.</w:t>
      </w:r>
    </w:p>
    <w:p w:rsidRPr="003C1A87" w:rsidR="00542FEC" w:rsidP="00BF3BB4" w:rsidRDefault="00E91D3B" w14:paraId="45E4B95E" w14:textId="74E49BDC">
      <w:pPr>
        <w:pStyle w:val="ListParagraph"/>
        <w:numPr>
          <w:ilvl w:val="0"/>
          <w:numId w:val="5"/>
        </w:num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list must </w:t>
      </w:r>
      <w:r w:rsidRPr="003C1A87" w:rsidR="00554193">
        <w:rPr>
          <w:rFonts w:ascii="Times New Roman" w:hAnsi="Times New Roman" w:cs="Times New Roman"/>
          <w:sz w:val="26"/>
          <w:szCs w:val="26"/>
        </w:rPr>
        <w:t xml:space="preserve">be made </w:t>
      </w:r>
      <w:r w:rsidRPr="003C1A87" w:rsidR="00542FEC">
        <w:rPr>
          <w:rFonts w:ascii="Times New Roman" w:hAnsi="Times New Roman" w:cs="Times New Roman"/>
          <w:sz w:val="26"/>
          <w:szCs w:val="26"/>
        </w:rPr>
        <w:t xml:space="preserve">publicly available through </w:t>
      </w:r>
      <w:r w:rsidRPr="003C1A87" w:rsidR="00554193">
        <w:rPr>
          <w:rFonts w:ascii="Times New Roman" w:hAnsi="Times New Roman" w:cs="Times New Roman"/>
          <w:sz w:val="26"/>
          <w:szCs w:val="26"/>
        </w:rPr>
        <w:t>the public utility’s</w:t>
      </w:r>
      <w:r w:rsidRPr="003C1A87" w:rsidR="00542FEC">
        <w:rPr>
          <w:rFonts w:ascii="Times New Roman" w:hAnsi="Times New Roman" w:cs="Times New Roman"/>
          <w:sz w:val="26"/>
          <w:szCs w:val="26"/>
        </w:rPr>
        <w:t xml:space="preserve"> principal business office.</w:t>
      </w:r>
    </w:p>
    <w:p w:rsidRPr="003C1A87" w:rsidR="00554193" w:rsidP="00554193" w:rsidRDefault="00554193" w14:paraId="013C2F27" w14:textId="18011F3C">
      <w:pPr>
        <w:spacing w:after="0" w:line="240" w:lineRule="auto"/>
        <w:rPr>
          <w:rFonts w:ascii="Times New Roman" w:hAnsi="Times New Roman" w:cs="Times New Roman"/>
          <w:sz w:val="26"/>
          <w:szCs w:val="26"/>
        </w:rPr>
      </w:pPr>
    </w:p>
    <w:p w:rsidRPr="003C1A87" w:rsidR="00294536" w:rsidP="00EC0739" w:rsidRDefault="00AC193D" w14:paraId="16C03FBC" w14:textId="00B7689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w:t>
      </w:r>
      <w:r w:rsidRPr="003C1A87" w:rsidR="00060BE2">
        <w:rPr>
          <w:rFonts w:ascii="Times New Roman" w:hAnsi="Times New Roman" w:cs="Times New Roman"/>
          <w:sz w:val="26"/>
          <w:szCs w:val="26"/>
        </w:rPr>
        <w:t>he regulation</w:t>
      </w:r>
      <w:r w:rsidRPr="003C1A87">
        <w:rPr>
          <w:rFonts w:ascii="Times New Roman" w:hAnsi="Times New Roman" w:cs="Times New Roman"/>
          <w:sz w:val="26"/>
          <w:szCs w:val="26"/>
        </w:rPr>
        <w:t>s</w:t>
      </w:r>
      <w:r w:rsidRPr="003C1A87" w:rsidR="00060BE2">
        <w:rPr>
          <w:rFonts w:ascii="Times New Roman" w:hAnsi="Times New Roman" w:cs="Times New Roman"/>
          <w:sz w:val="26"/>
          <w:szCs w:val="26"/>
        </w:rPr>
        <w:t xml:space="preserve"> at 18 CFR 46.3 exempt </w:t>
      </w:r>
      <w:r w:rsidRPr="003C1A87" w:rsidR="004F1EAC">
        <w:rPr>
          <w:rFonts w:ascii="Times New Roman" w:hAnsi="Times New Roman" w:cs="Times New Roman"/>
          <w:sz w:val="26"/>
          <w:szCs w:val="26"/>
        </w:rPr>
        <w:t xml:space="preserve">the following </w:t>
      </w:r>
      <w:r w:rsidRPr="003C1A87" w:rsidR="00294536">
        <w:rPr>
          <w:rFonts w:ascii="Times New Roman" w:hAnsi="Times New Roman" w:cs="Times New Roman"/>
          <w:sz w:val="26"/>
          <w:szCs w:val="26"/>
        </w:rPr>
        <w:t>types of public utilities</w:t>
      </w:r>
      <w:r w:rsidRPr="003C1A87" w:rsidR="00243159">
        <w:rPr>
          <w:rFonts w:ascii="Times New Roman" w:hAnsi="Times New Roman" w:cs="Times New Roman"/>
          <w:sz w:val="26"/>
          <w:szCs w:val="26"/>
        </w:rPr>
        <w:t xml:space="preserve"> from the requirements of FERC-566:  (1) </w:t>
      </w:r>
      <w:r w:rsidRPr="003C1A87" w:rsidR="00E13FCF">
        <w:rPr>
          <w:rFonts w:ascii="Times New Roman" w:hAnsi="Times New Roman" w:cs="Times New Roman"/>
          <w:sz w:val="26"/>
          <w:szCs w:val="26"/>
        </w:rPr>
        <w:t xml:space="preserve">Regional Transmission Organizations, as defined in </w:t>
      </w:r>
      <w:r w:rsidRPr="003C1A87" w:rsidR="007808D7">
        <w:rPr>
          <w:rFonts w:ascii="Times New Roman" w:hAnsi="Times New Roman" w:cs="Times New Roman"/>
          <w:sz w:val="26"/>
          <w:szCs w:val="26"/>
        </w:rPr>
        <w:t xml:space="preserve">18 CFR </w:t>
      </w:r>
      <w:r w:rsidRPr="003C1A87" w:rsidR="00E13FCF">
        <w:rPr>
          <w:rFonts w:ascii="Times New Roman" w:hAnsi="Times New Roman" w:cs="Times New Roman"/>
          <w:sz w:val="26"/>
          <w:szCs w:val="26"/>
        </w:rPr>
        <w:t>35.34(b)(1)</w:t>
      </w:r>
      <w:r w:rsidRPr="003C1A87" w:rsidR="007808D7">
        <w:rPr>
          <w:rFonts w:ascii="Times New Roman" w:hAnsi="Times New Roman" w:cs="Times New Roman"/>
          <w:sz w:val="26"/>
          <w:szCs w:val="26"/>
        </w:rPr>
        <w:t xml:space="preserve">, and </w:t>
      </w:r>
      <w:r w:rsidRPr="003C1A87" w:rsidR="00E13FCF">
        <w:rPr>
          <w:rFonts w:ascii="Times New Roman" w:hAnsi="Times New Roman" w:cs="Times New Roman"/>
          <w:sz w:val="26"/>
          <w:szCs w:val="26"/>
        </w:rPr>
        <w:t xml:space="preserve">Independent System Operators, as defined in </w:t>
      </w:r>
      <w:r w:rsidRPr="003C1A87" w:rsidR="007808D7">
        <w:rPr>
          <w:rFonts w:ascii="Times New Roman" w:hAnsi="Times New Roman" w:cs="Times New Roman"/>
          <w:sz w:val="26"/>
          <w:szCs w:val="26"/>
        </w:rPr>
        <w:t xml:space="preserve">18 CFR </w:t>
      </w:r>
      <w:r w:rsidRPr="003C1A87" w:rsidR="00E13FCF">
        <w:rPr>
          <w:rFonts w:ascii="Times New Roman" w:hAnsi="Times New Roman" w:cs="Times New Roman"/>
          <w:sz w:val="26"/>
          <w:szCs w:val="26"/>
        </w:rPr>
        <w:t>35.46(d)</w:t>
      </w:r>
      <w:r w:rsidRPr="003C1A87" w:rsidR="007808D7">
        <w:rPr>
          <w:rFonts w:ascii="Times New Roman" w:hAnsi="Times New Roman" w:cs="Times New Roman"/>
          <w:sz w:val="26"/>
          <w:szCs w:val="26"/>
        </w:rPr>
        <w:t xml:space="preserve">; (2) </w:t>
      </w:r>
      <w:r w:rsidRPr="003C1A87" w:rsidR="00C74AEB">
        <w:rPr>
          <w:rFonts w:ascii="Times New Roman" w:hAnsi="Times New Roman" w:cs="Times New Roman"/>
          <w:sz w:val="26"/>
          <w:szCs w:val="26"/>
        </w:rPr>
        <w:t xml:space="preserve">exempt wholesale generators, as defined in </w:t>
      </w:r>
      <w:r w:rsidRPr="003C1A87" w:rsidR="00034D42">
        <w:rPr>
          <w:rFonts w:ascii="Times New Roman" w:hAnsi="Times New Roman" w:cs="Times New Roman"/>
          <w:sz w:val="26"/>
          <w:szCs w:val="26"/>
        </w:rPr>
        <w:t xml:space="preserve">18 CFR </w:t>
      </w:r>
      <w:r w:rsidRPr="003C1A87" w:rsidR="00C74AEB">
        <w:rPr>
          <w:rFonts w:ascii="Times New Roman" w:hAnsi="Times New Roman" w:cs="Times New Roman"/>
          <w:sz w:val="26"/>
          <w:szCs w:val="26"/>
        </w:rPr>
        <w:t xml:space="preserve">366.1, </w:t>
      </w:r>
      <w:r w:rsidRPr="003C1A87" w:rsidR="00332DE5">
        <w:rPr>
          <w:rFonts w:ascii="Times New Roman" w:hAnsi="Times New Roman" w:cs="Times New Roman"/>
          <w:sz w:val="26"/>
          <w:szCs w:val="26"/>
        </w:rPr>
        <w:t xml:space="preserve">that </w:t>
      </w:r>
      <w:r w:rsidRPr="003C1A87" w:rsidR="00C74AEB">
        <w:rPr>
          <w:rFonts w:ascii="Times New Roman" w:hAnsi="Times New Roman" w:cs="Times New Roman"/>
          <w:sz w:val="26"/>
          <w:szCs w:val="26"/>
        </w:rPr>
        <w:t xml:space="preserve">are certified as such pursuant to </w:t>
      </w:r>
      <w:r w:rsidRPr="003C1A87" w:rsidR="00034D42">
        <w:rPr>
          <w:rFonts w:ascii="Times New Roman" w:hAnsi="Times New Roman" w:cs="Times New Roman"/>
          <w:sz w:val="26"/>
          <w:szCs w:val="26"/>
        </w:rPr>
        <w:t xml:space="preserve">18 CFR </w:t>
      </w:r>
      <w:r w:rsidRPr="003C1A87" w:rsidR="00C74AEB">
        <w:rPr>
          <w:rFonts w:ascii="Times New Roman" w:hAnsi="Times New Roman" w:cs="Times New Roman"/>
          <w:sz w:val="26"/>
          <w:szCs w:val="26"/>
        </w:rPr>
        <w:t>366.7</w:t>
      </w:r>
      <w:r w:rsidRPr="003C1A87" w:rsidR="00034D42">
        <w:rPr>
          <w:rFonts w:ascii="Times New Roman" w:hAnsi="Times New Roman" w:cs="Times New Roman"/>
          <w:sz w:val="26"/>
          <w:szCs w:val="26"/>
        </w:rPr>
        <w:t xml:space="preserve">; </w:t>
      </w:r>
      <w:r w:rsidRPr="003C1A87" w:rsidR="004F0DD2">
        <w:rPr>
          <w:rFonts w:ascii="Times New Roman" w:hAnsi="Times New Roman" w:cs="Times New Roman"/>
          <w:sz w:val="26"/>
          <w:szCs w:val="26"/>
        </w:rPr>
        <w:t xml:space="preserve">and </w:t>
      </w:r>
      <w:r w:rsidRPr="003C1A87" w:rsidR="00294536">
        <w:rPr>
          <w:rFonts w:ascii="Times New Roman" w:hAnsi="Times New Roman" w:cs="Times New Roman"/>
          <w:sz w:val="26"/>
          <w:szCs w:val="26"/>
        </w:rPr>
        <w:t>(3) public utilities that have either no reportable sales or only sales for resale in any of the three preceding years</w:t>
      </w:r>
      <w:r w:rsidRPr="003C1A87" w:rsidR="007C1858">
        <w:rPr>
          <w:rFonts w:ascii="Times New Roman" w:hAnsi="Times New Roman" w:cs="Times New Roman"/>
          <w:sz w:val="26"/>
          <w:szCs w:val="26"/>
        </w:rPr>
        <w:t>.</w:t>
      </w:r>
    </w:p>
    <w:p w:rsidRPr="003C1A87" w:rsidR="00554193" w:rsidP="00EC0739" w:rsidRDefault="00554193" w14:paraId="7E180607" w14:textId="41466B3E">
      <w:pPr>
        <w:spacing w:after="0" w:line="240" w:lineRule="auto"/>
        <w:rPr>
          <w:rFonts w:ascii="Times New Roman" w:hAnsi="Times New Roman" w:cs="Times New Roman"/>
          <w:sz w:val="26"/>
          <w:szCs w:val="26"/>
        </w:rPr>
      </w:pPr>
    </w:p>
    <w:p w:rsidRPr="003C1A87" w:rsidR="00ED4308" w:rsidP="00EC0739" w:rsidRDefault="00ED4308" w14:paraId="09B1B32C" w14:textId="16375FB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If data for actual annual sales (for purposes other than resale) are not available in the records of the public utility, the utility may use estimates based on actual data available to it. If one purchaser maintains several billing accounts with the public utility, the kilowatt hours purchased in each account of that purchaser shall be aggregated to arrive at the total for that purchaser.</w:t>
      </w:r>
    </w:p>
    <w:p w:rsidRPr="003C1A87" w:rsidR="00CE4413" w:rsidP="00EC0739" w:rsidRDefault="00CE4413" w14:paraId="6560B8A3" w14:textId="2386B938">
      <w:pPr>
        <w:spacing w:after="0" w:line="240" w:lineRule="auto"/>
        <w:rPr>
          <w:rFonts w:ascii="Times New Roman" w:hAnsi="Times New Roman" w:cs="Times New Roman"/>
          <w:sz w:val="26"/>
          <w:szCs w:val="26"/>
        </w:rPr>
      </w:pPr>
    </w:p>
    <w:p w:rsidRPr="003C1A87" w:rsidR="00A22370" w:rsidP="00EC0739" w:rsidRDefault="00BF3161" w14:paraId="458D1233" w14:textId="2C557CBA">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If a </w:t>
      </w:r>
      <w:r w:rsidRPr="003C1A87" w:rsidR="00ED4308">
        <w:rPr>
          <w:rFonts w:ascii="Times New Roman" w:hAnsi="Times New Roman" w:cs="Times New Roman"/>
          <w:sz w:val="26"/>
          <w:szCs w:val="26"/>
        </w:rPr>
        <w:t>public utility rel</w:t>
      </w:r>
      <w:r w:rsidRPr="003C1A87">
        <w:rPr>
          <w:rFonts w:ascii="Times New Roman" w:hAnsi="Times New Roman" w:cs="Times New Roman"/>
          <w:sz w:val="26"/>
          <w:szCs w:val="26"/>
        </w:rPr>
        <w:t>ies</w:t>
      </w:r>
      <w:r w:rsidRPr="003C1A87" w:rsidR="00ED4308">
        <w:rPr>
          <w:rFonts w:ascii="Times New Roman" w:hAnsi="Times New Roman" w:cs="Times New Roman"/>
          <w:sz w:val="26"/>
          <w:szCs w:val="26"/>
        </w:rPr>
        <w:t xml:space="preserve"> upon any estimates for its January 31st filing, the list </w:t>
      </w:r>
      <w:r w:rsidRPr="003C1A87" w:rsidR="0075647D">
        <w:rPr>
          <w:rFonts w:ascii="Times New Roman" w:hAnsi="Times New Roman" w:cs="Times New Roman"/>
          <w:sz w:val="26"/>
          <w:szCs w:val="26"/>
        </w:rPr>
        <w:t xml:space="preserve">must be revised </w:t>
      </w:r>
      <w:r w:rsidRPr="003C1A87" w:rsidR="00ED4308">
        <w:rPr>
          <w:rFonts w:ascii="Times New Roman" w:hAnsi="Times New Roman" w:cs="Times New Roman"/>
          <w:sz w:val="26"/>
          <w:szCs w:val="26"/>
        </w:rPr>
        <w:t xml:space="preserve">no later than March 1 of the year in which the list was originally filed to reflect actual data not available to the utility prior to that time. Any revised list </w:t>
      </w:r>
      <w:r w:rsidRPr="003C1A87" w:rsidR="004035B3">
        <w:rPr>
          <w:rFonts w:ascii="Times New Roman" w:hAnsi="Times New Roman" w:cs="Times New Roman"/>
          <w:sz w:val="26"/>
          <w:szCs w:val="26"/>
        </w:rPr>
        <w:t>must</w:t>
      </w:r>
      <w:r w:rsidRPr="003C1A87" w:rsidR="00ED4308">
        <w:rPr>
          <w:rFonts w:ascii="Times New Roman" w:hAnsi="Times New Roman" w:cs="Times New Roman"/>
          <w:sz w:val="26"/>
          <w:szCs w:val="26"/>
        </w:rPr>
        <w:t xml:space="preserve"> be filed with the Commission and made publicly available through the utility's principal business office no later than March 1. A utility filing a revised list shall indicate thereon the changes made to the list previously filed</w:t>
      </w:r>
      <w:r w:rsidRPr="003C1A87" w:rsidR="0054354C">
        <w:rPr>
          <w:rFonts w:ascii="Times New Roman" w:hAnsi="Times New Roman" w:cs="Times New Roman"/>
          <w:sz w:val="26"/>
          <w:szCs w:val="26"/>
        </w:rPr>
        <w:t xml:space="preserve">.  </w:t>
      </w:r>
      <w:r w:rsidRPr="003C1A87" w:rsidR="00ED4308">
        <w:rPr>
          <w:rFonts w:ascii="Times New Roman" w:hAnsi="Times New Roman" w:cs="Times New Roman"/>
          <w:sz w:val="26"/>
          <w:szCs w:val="26"/>
        </w:rPr>
        <w:t xml:space="preserve">On or before the filing and publication of the revised list, the public utility </w:t>
      </w:r>
      <w:r w:rsidRPr="003C1A87" w:rsidR="00425F55">
        <w:rPr>
          <w:rFonts w:ascii="Times New Roman" w:hAnsi="Times New Roman" w:cs="Times New Roman"/>
          <w:sz w:val="26"/>
          <w:szCs w:val="26"/>
        </w:rPr>
        <w:t>must</w:t>
      </w:r>
      <w:r w:rsidRPr="003C1A87" w:rsidR="00ED4308">
        <w:rPr>
          <w:rFonts w:ascii="Times New Roman" w:hAnsi="Times New Roman" w:cs="Times New Roman"/>
          <w:sz w:val="26"/>
          <w:szCs w:val="26"/>
        </w:rPr>
        <w:t xml:space="preserve"> notify </w:t>
      </w:r>
      <w:r w:rsidRPr="003C1A87" w:rsidR="00790534">
        <w:rPr>
          <w:rFonts w:ascii="Times New Roman" w:hAnsi="Times New Roman" w:cs="Times New Roman"/>
          <w:sz w:val="26"/>
          <w:szCs w:val="26"/>
        </w:rPr>
        <w:t>any</w:t>
      </w:r>
      <w:r w:rsidRPr="003C1A87" w:rsidR="00ED4308">
        <w:rPr>
          <w:rFonts w:ascii="Times New Roman" w:hAnsi="Times New Roman" w:cs="Times New Roman"/>
          <w:sz w:val="26"/>
          <w:szCs w:val="26"/>
        </w:rPr>
        <w:t xml:space="preserve"> newly-listed purchasers and any purchasers whose names were removed from the list.</w:t>
      </w:r>
    </w:p>
    <w:p w:rsidRPr="003C1A87" w:rsidR="00D12679" w:rsidP="00D12679" w:rsidRDefault="00D12679" w14:paraId="3A3B7C61" w14:textId="3E4EFE89">
      <w:pPr>
        <w:spacing w:after="0" w:line="240" w:lineRule="auto"/>
        <w:rPr>
          <w:rFonts w:ascii="Times New Roman" w:hAnsi="Times New Roman" w:cs="Times New Roman"/>
          <w:sz w:val="26"/>
          <w:szCs w:val="26"/>
        </w:rPr>
      </w:pPr>
    </w:p>
    <w:p w:rsidRPr="003C1A87" w:rsidR="00D12679" w:rsidP="00D12679" w:rsidRDefault="00D12679" w14:paraId="171F6FAE"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ANY CONSIDERATION OF THE USE OF IMPROVED INFORMATION TECHNOLOGY TO REDUCE THE BURDEN AND TECHNICAL OR LEGAL OBSTACLES TO REDUCING BURDEN</w:t>
      </w:r>
    </w:p>
    <w:p w:rsidRPr="003C1A87" w:rsidR="00D12679" w:rsidP="00D12679" w:rsidRDefault="00D12679" w14:paraId="2C0C22E8" w14:textId="77777777">
      <w:pPr>
        <w:spacing w:after="0" w:line="240" w:lineRule="auto"/>
        <w:rPr>
          <w:rFonts w:ascii="Times New Roman" w:hAnsi="Times New Roman" w:cs="Times New Roman"/>
          <w:sz w:val="26"/>
          <w:szCs w:val="26"/>
        </w:rPr>
      </w:pPr>
    </w:p>
    <w:p w:rsidR="005014CD" w:rsidP="00D12679" w:rsidRDefault="005014CD" w14:paraId="063452F0" w14:textId="511B9D6C">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5014CD">
        <w:rPr>
          <w:rFonts w:ascii="Times New Roman" w:hAnsi="Times New Roman" w:cs="Times New Roman"/>
          <w:sz w:val="26"/>
          <w:szCs w:val="26"/>
        </w:rPr>
        <w:t xml:space="preserve">he Commission allows the option of filing </w:t>
      </w:r>
      <w:r>
        <w:rPr>
          <w:rFonts w:ascii="Times New Roman" w:hAnsi="Times New Roman" w:cs="Times New Roman"/>
          <w:sz w:val="26"/>
          <w:szCs w:val="26"/>
        </w:rPr>
        <w:t xml:space="preserve">FERC Form 566 </w:t>
      </w:r>
      <w:r w:rsidRPr="005014CD">
        <w:rPr>
          <w:rFonts w:ascii="Times New Roman" w:hAnsi="Times New Roman" w:cs="Times New Roman"/>
          <w:sz w:val="26"/>
          <w:szCs w:val="26"/>
        </w:rPr>
        <w:t>through the eFiling interface</w:t>
      </w:r>
      <w:r>
        <w:rPr>
          <w:rFonts w:ascii="Times New Roman" w:hAnsi="Times New Roman" w:cs="Times New Roman"/>
          <w:sz w:val="26"/>
          <w:szCs w:val="26"/>
        </w:rPr>
        <w:t>.</w:t>
      </w:r>
      <w:r w:rsidR="00110738">
        <w:rPr>
          <w:rFonts w:ascii="Times New Roman" w:hAnsi="Times New Roman" w:cs="Times New Roman"/>
          <w:sz w:val="26"/>
          <w:szCs w:val="26"/>
        </w:rPr>
        <w:t xml:space="preserve">  </w:t>
      </w:r>
      <w:r w:rsidR="008742C8">
        <w:rPr>
          <w:rFonts w:ascii="Times New Roman" w:hAnsi="Times New Roman" w:cs="Times New Roman"/>
          <w:sz w:val="26"/>
          <w:szCs w:val="26"/>
        </w:rPr>
        <w:t>Tips f</w:t>
      </w:r>
      <w:r w:rsidR="00110738">
        <w:rPr>
          <w:rFonts w:ascii="Times New Roman" w:hAnsi="Times New Roman" w:cs="Times New Roman"/>
          <w:sz w:val="26"/>
          <w:szCs w:val="26"/>
        </w:rPr>
        <w:t>or</w:t>
      </w:r>
      <w:r>
        <w:rPr>
          <w:rFonts w:ascii="Times New Roman" w:hAnsi="Times New Roman" w:cs="Times New Roman"/>
          <w:sz w:val="26"/>
          <w:szCs w:val="26"/>
        </w:rPr>
        <w:t xml:space="preserve"> eFiling are at:  </w:t>
      </w:r>
      <w:hyperlink w:history="1" r:id="rId13">
        <w:r w:rsidRPr="004656C0" w:rsidR="008742C8">
          <w:rPr>
            <w:rStyle w:val="Hyperlink"/>
            <w:rFonts w:ascii="Times New Roman" w:hAnsi="Times New Roman" w:cs="Times New Roman"/>
            <w:sz w:val="26"/>
            <w:szCs w:val="26"/>
          </w:rPr>
          <w:t>https://www.ferc.gov/ferc-online/overview</w:t>
        </w:r>
      </w:hyperlink>
      <w:r>
        <w:rPr>
          <w:rFonts w:ascii="Times New Roman" w:hAnsi="Times New Roman" w:cs="Times New Roman"/>
          <w:sz w:val="26"/>
          <w:szCs w:val="26"/>
        </w:rPr>
        <w:t>.</w:t>
      </w:r>
    </w:p>
    <w:p w:rsidR="00B80570" w:rsidP="00D12679" w:rsidRDefault="00B80570" w14:paraId="2B731FA3" w14:textId="77777777">
      <w:pPr>
        <w:spacing w:after="0" w:line="240" w:lineRule="auto"/>
        <w:rPr>
          <w:rFonts w:ascii="Times New Roman" w:hAnsi="Times New Roman" w:cs="Times New Roman"/>
          <w:sz w:val="26"/>
          <w:szCs w:val="26"/>
        </w:rPr>
      </w:pPr>
    </w:p>
    <w:p w:rsidRPr="003C1A87" w:rsidR="00D12679" w:rsidP="00D12679" w:rsidRDefault="00D12679" w14:paraId="2835C4FB" w14:textId="561E0825">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3C1A87" w:rsidR="00D12679" w:rsidP="00D12679" w:rsidRDefault="00D12679" w14:paraId="31D291D9" w14:textId="77777777">
      <w:pPr>
        <w:spacing w:after="0" w:line="240" w:lineRule="auto"/>
        <w:rPr>
          <w:rFonts w:ascii="Times New Roman" w:hAnsi="Times New Roman" w:cs="Times New Roman"/>
          <w:sz w:val="26"/>
          <w:szCs w:val="26"/>
        </w:rPr>
      </w:pPr>
    </w:p>
    <w:p w:rsidRPr="003C1A87" w:rsidR="00DA6817" w:rsidP="004750DA" w:rsidRDefault="00FF6461" w14:paraId="7DE2581B" w14:textId="0DB2A470">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w:t>
      </w:r>
      <w:r w:rsidRPr="003C1A87" w:rsidR="00E877DC">
        <w:rPr>
          <w:rFonts w:ascii="Times New Roman" w:hAnsi="Times New Roman" w:cs="Times New Roman"/>
          <w:sz w:val="26"/>
          <w:szCs w:val="26"/>
        </w:rPr>
        <w:t xml:space="preserve">  </w:t>
      </w:r>
      <w:r w:rsidRPr="003C1A87" w:rsidR="00082E58">
        <w:rPr>
          <w:rFonts w:ascii="Times New Roman" w:hAnsi="Times New Roman" w:cs="Times New Roman"/>
          <w:sz w:val="26"/>
          <w:szCs w:val="26"/>
        </w:rPr>
        <w:t>T</w:t>
      </w:r>
      <w:r w:rsidRPr="003C1A87" w:rsidR="00FB0A69">
        <w:rPr>
          <w:rFonts w:ascii="Times New Roman" w:hAnsi="Times New Roman" w:cs="Times New Roman"/>
          <w:sz w:val="26"/>
          <w:szCs w:val="26"/>
        </w:rPr>
        <w:t>hree</w:t>
      </w:r>
      <w:r w:rsidRPr="003C1A87" w:rsidR="00593A93">
        <w:rPr>
          <w:rFonts w:ascii="Times New Roman" w:hAnsi="Times New Roman" w:cs="Times New Roman"/>
          <w:sz w:val="26"/>
          <w:szCs w:val="26"/>
        </w:rPr>
        <w:t xml:space="preserve"> FERC information collections</w:t>
      </w:r>
      <w:r w:rsidRPr="003C1A87" w:rsidR="00DA6817">
        <w:rPr>
          <w:rFonts w:ascii="Times New Roman" w:hAnsi="Times New Roman" w:cs="Times New Roman"/>
          <w:sz w:val="26"/>
          <w:szCs w:val="26"/>
        </w:rPr>
        <w:t xml:space="preserve"> (</w:t>
      </w:r>
      <w:r w:rsidRPr="003C1A87" w:rsidR="00BC0E64">
        <w:rPr>
          <w:rFonts w:ascii="Times New Roman" w:hAnsi="Times New Roman" w:cs="Times New Roman"/>
          <w:sz w:val="26"/>
          <w:szCs w:val="26"/>
        </w:rPr>
        <w:t>FERC-520.</w:t>
      </w:r>
      <w:r w:rsidRPr="003C1A87" w:rsidR="00DA6817">
        <w:rPr>
          <w:rFonts w:ascii="Times New Roman" w:hAnsi="Times New Roman" w:cs="Times New Roman"/>
          <w:sz w:val="26"/>
          <w:szCs w:val="26"/>
        </w:rPr>
        <w:t xml:space="preserve"> and FER</w:t>
      </w:r>
      <w:r w:rsidRPr="003C1A87" w:rsidR="00240687">
        <w:rPr>
          <w:rFonts w:ascii="Times New Roman" w:hAnsi="Times New Roman" w:cs="Times New Roman"/>
          <w:sz w:val="26"/>
          <w:szCs w:val="26"/>
        </w:rPr>
        <w:t>C</w:t>
      </w:r>
      <w:r w:rsidRPr="003C1A87" w:rsidR="00DA6817">
        <w:rPr>
          <w:rFonts w:ascii="Times New Roman" w:hAnsi="Times New Roman" w:cs="Times New Roman"/>
          <w:sz w:val="26"/>
          <w:szCs w:val="26"/>
        </w:rPr>
        <w:t>-561</w:t>
      </w:r>
      <w:r w:rsidRPr="003C1A87" w:rsidR="008A628E">
        <w:rPr>
          <w:rFonts w:ascii="Times New Roman" w:hAnsi="Times New Roman" w:cs="Times New Roman"/>
          <w:sz w:val="26"/>
          <w:szCs w:val="26"/>
        </w:rPr>
        <w:t>, and FERC-566</w:t>
      </w:r>
      <w:r w:rsidRPr="003C1A87" w:rsidR="00DA6817">
        <w:rPr>
          <w:rFonts w:ascii="Times New Roman" w:hAnsi="Times New Roman" w:cs="Times New Roman"/>
          <w:sz w:val="26"/>
          <w:szCs w:val="26"/>
        </w:rPr>
        <w:t>)</w:t>
      </w:r>
      <w:r w:rsidRPr="003C1A87" w:rsidR="00593A93">
        <w:rPr>
          <w:rFonts w:ascii="Times New Roman" w:hAnsi="Times New Roman" w:cs="Times New Roman"/>
          <w:sz w:val="26"/>
          <w:szCs w:val="26"/>
        </w:rPr>
        <w:t xml:space="preserve"> that pertain to </w:t>
      </w:r>
      <w:r w:rsidRPr="003C1A87" w:rsidR="004455A3">
        <w:rPr>
          <w:rFonts w:ascii="Times New Roman" w:hAnsi="Times New Roman" w:cs="Times New Roman"/>
          <w:sz w:val="26"/>
          <w:szCs w:val="26"/>
        </w:rPr>
        <w:t>interlock</w:t>
      </w:r>
      <w:r w:rsidRPr="003C1A87" w:rsidR="0091232A">
        <w:rPr>
          <w:rFonts w:ascii="Times New Roman" w:hAnsi="Times New Roman" w:cs="Times New Roman"/>
          <w:sz w:val="26"/>
          <w:szCs w:val="26"/>
        </w:rPr>
        <w:t>ing di</w:t>
      </w:r>
      <w:r w:rsidRPr="003C1A87" w:rsidR="00BC0E64">
        <w:rPr>
          <w:rFonts w:ascii="Times New Roman" w:hAnsi="Times New Roman" w:cs="Times New Roman"/>
          <w:sz w:val="26"/>
          <w:szCs w:val="26"/>
        </w:rPr>
        <w:t>r</w:t>
      </w:r>
      <w:r w:rsidRPr="003C1A87" w:rsidR="0091232A">
        <w:rPr>
          <w:rFonts w:ascii="Times New Roman" w:hAnsi="Times New Roman" w:cs="Times New Roman"/>
          <w:sz w:val="26"/>
          <w:szCs w:val="26"/>
        </w:rPr>
        <w:t>ectorates</w:t>
      </w:r>
      <w:r w:rsidRPr="003C1A87" w:rsidR="00697F27">
        <w:rPr>
          <w:rFonts w:ascii="Times New Roman" w:hAnsi="Times New Roman" w:cs="Times New Roman"/>
          <w:sz w:val="26"/>
          <w:szCs w:val="26"/>
        </w:rPr>
        <w:t xml:space="preserve">, </w:t>
      </w:r>
      <w:r w:rsidRPr="003C1A87" w:rsidR="00082E58">
        <w:rPr>
          <w:rFonts w:ascii="Times New Roman" w:hAnsi="Times New Roman" w:cs="Times New Roman"/>
          <w:sz w:val="26"/>
          <w:szCs w:val="26"/>
        </w:rPr>
        <w:t xml:space="preserve">but </w:t>
      </w:r>
      <w:r w:rsidRPr="003C1A87" w:rsidR="005345CB">
        <w:rPr>
          <w:rFonts w:ascii="Times New Roman" w:hAnsi="Times New Roman" w:cs="Times New Roman"/>
          <w:sz w:val="26"/>
          <w:szCs w:val="26"/>
        </w:rPr>
        <w:t xml:space="preserve">each </w:t>
      </w:r>
      <w:r w:rsidRPr="003C1A87" w:rsidR="00F174FD">
        <w:rPr>
          <w:rFonts w:ascii="Times New Roman" w:hAnsi="Times New Roman" w:cs="Times New Roman"/>
          <w:sz w:val="26"/>
          <w:szCs w:val="26"/>
        </w:rPr>
        <w:t>collection is distinct substantively and procedurally.</w:t>
      </w:r>
    </w:p>
    <w:p w:rsidRPr="003C1A87" w:rsidR="0086626E" w:rsidP="004750DA" w:rsidRDefault="0086626E" w14:paraId="4DB673FE" w14:textId="3E41C0E8">
      <w:pPr>
        <w:spacing w:after="0" w:line="240" w:lineRule="auto"/>
        <w:rPr>
          <w:rFonts w:ascii="Times New Roman" w:hAnsi="Times New Roman" w:cs="Times New Roman"/>
          <w:sz w:val="26"/>
          <w:szCs w:val="26"/>
        </w:rPr>
      </w:pPr>
    </w:p>
    <w:p w:rsidRPr="003C1A87" w:rsidR="0086626E" w:rsidP="0086626E" w:rsidRDefault="0086626E" w14:paraId="7B926A1B" w14:textId="7EBB229F">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 respondents for FERC-520 (Application for Authority to Hold Interlocking Directorate Positions</w:t>
      </w:r>
      <w:r w:rsidRPr="003C1A87" w:rsidR="00153F51">
        <w:rPr>
          <w:rFonts w:ascii="Times New Roman" w:hAnsi="Times New Roman" w:cs="Times New Roman"/>
          <w:sz w:val="26"/>
          <w:szCs w:val="26"/>
        </w:rPr>
        <w:t xml:space="preserve">, OMB Control Number </w:t>
      </w:r>
      <w:r w:rsidRPr="003C1A87" w:rsidR="006E703B">
        <w:rPr>
          <w:rFonts w:ascii="Times New Roman" w:hAnsi="Times New Roman" w:cs="Times New Roman"/>
          <w:sz w:val="26"/>
          <w:szCs w:val="26"/>
        </w:rPr>
        <w:t>1</w:t>
      </w:r>
      <w:r w:rsidRPr="003C1A87">
        <w:rPr>
          <w:rFonts w:ascii="Times New Roman" w:hAnsi="Times New Roman" w:cs="Times New Roman"/>
          <w:sz w:val="26"/>
          <w:szCs w:val="26"/>
        </w:rPr>
        <w:t>902-0083</w:t>
      </w:r>
      <w:r w:rsidRPr="003C1A87" w:rsidR="006E703B">
        <w:rPr>
          <w:rFonts w:ascii="Times New Roman" w:hAnsi="Times New Roman" w:cs="Times New Roman"/>
          <w:sz w:val="26"/>
          <w:szCs w:val="26"/>
        </w:rPr>
        <w:t xml:space="preserve">) are </w:t>
      </w:r>
      <w:r w:rsidRPr="003C1A87" w:rsidR="00EA5367">
        <w:rPr>
          <w:rFonts w:ascii="Times New Roman" w:hAnsi="Times New Roman" w:cs="Times New Roman"/>
          <w:sz w:val="26"/>
          <w:szCs w:val="26"/>
        </w:rPr>
        <w:t>o</w:t>
      </w:r>
      <w:r w:rsidRPr="003C1A87" w:rsidR="0084586F">
        <w:rPr>
          <w:rFonts w:ascii="Times New Roman" w:hAnsi="Times New Roman" w:cs="Times New Roman"/>
          <w:sz w:val="26"/>
          <w:szCs w:val="26"/>
        </w:rPr>
        <w:t xml:space="preserve">fficers and directors of regulated public utilities </w:t>
      </w:r>
      <w:r w:rsidRPr="003C1A87" w:rsidR="00EA5367">
        <w:rPr>
          <w:rFonts w:ascii="Times New Roman" w:hAnsi="Times New Roman" w:cs="Times New Roman"/>
          <w:sz w:val="26"/>
          <w:szCs w:val="26"/>
        </w:rPr>
        <w:t>seeking authorization</w:t>
      </w:r>
      <w:r w:rsidRPr="003C1A87" w:rsidR="004A12D7">
        <w:rPr>
          <w:rFonts w:ascii="Times New Roman" w:hAnsi="Times New Roman" w:cs="Times New Roman"/>
          <w:sz w:val="26"/>
          <w:szCs w:val="26"/>
        </w:rPr>
        <w:t>,</w:t>
      </w:r>
      <w:r w:rsidRPr="003C1A87" w:rsidR="00EA5367">
        <w:rPr>
          <w:rFonts w:ascii="Times New Roman" w:hAnsi="Times New Roman" w:cs="Times New Roman"/>
          <w:sz w:val="26"/>
          <w:szCs w:val="26"/>
        </w:rPr>
        <w:t xml:space="preserve"> </w:t>
      </w:r>
      <w:r w:rsidRPr="003C1A87" w:rsidR="005F39C5">
        <w:rPr>
          <w:rFonts w:ascii="Times New Roman" w:hAnsi="Times New Roman" w:cs="Times New Roman"/>
          <w:sz w:val="26"/>
          <w:szCs w:val="26"/>
        </w:rPr>
        <w:t xml:space="preserve">in accordance with section 305(b)(1) of the </w:t>
      </w:r>
      <w:r w:rsidRPr="003C1A87" w:rsidR="004A12D7">
        <w:rPr>
          <w:rFonts w:ascii="Times New Roman" w:hAnsi="Times New Roman" w:cs="Times New Roman"/>
          <w:sz w:val="26"/>
          <w:szCs w:val="26"/>
        </w:rPr>
        <w:t>FPA,</w:t>
      </w:r>
      <w:r w:rsidRPr="003C1A87" w:rsidR="004A12D7">
        <w:rPr>
          <w:rStyle w:val="FootnoteReference"/>
          <w:rFonts w:ascii="Times New Roman" w:hAnsi="Times New Roman" w:cs="Times New Roman"/>
          <w:sz w:val="26"/>
          <w:szCs w:val="26"/>
          <w:vertAlign w:val="superscript"/>
        </w:rPr>
        <w:footnoteReference w:id="2"/>
      </w:r>
      <w:r w:rsidRPr="003C1A87" w:rsidR="004A12D7">
        <w:rPr>
          <w:rFonts w:ascii="Times New Roman" w:hAnsi="Times New Roman" w:cs="Times New Roman"/>
          <w:sz w:val="26"/>
          <w:szCs w:val="26"/>
        </w:rPr>
        <w:t xml:space="preserve"> </w:t>
      </w:r>
      <w:r w:rsidRPr="003C1A87" w:rsidR="0084586F">
        <w:rPr>
          <w:rFonts w:ascii="Times New Roman" w:hAnsi="Times New Roman" w:cs="Times New Roman"/>
          <w:sz w:val="26"/>
          <w:szCs w:val="26"/>
        </w:rPr>
        <w:t xml:space="preserve">to hold </w:t>
      </w:r>
      <w:r w:rsidRPr="003C1A87" w:rsidR="008109D4">
        <w:rPr>
          <w:rFonts w:ascii="Times New Roman" w:hAnsi="Times New Roman" w:cs="Times New Roman"/>
          <w:sz w:val="26"/>
          <w:szCs w:val="26"/>
        </w:rPr>
        <w:t>simultaneous p</w:t>
      </w:r>
      <w:r w:rsidRPr="003C1A87" w:rsidR="0084586F">
        <w:rPr>
          <w:rFonts w:ascii="Times New Roman" w:hAnsi="Times New Roman" w:cs="Times New Roman"/>
          <w:sz w:val="26"/>
          <w:szCs w:val="26"/>
        </w:rPr>
        <w:t xml:space="preserve">ositions </w:t>
      </w:r>
      <w:r w:rsidRPr="003C1A87" w:rsidR="00395B23">
        <w:rPr>
          <w:rFonts w:ascii="Times New Roman" w:hAnsi="Times New Roman" w:cs="Times New Roman"/>
          <w:sz w:val="26"/>
          <w:szCs w:val="26"/>
        </w:rPr>
        <w:t>as</w:t>
      </w:r>
      <w:r w:rsidRPr="003C1A87" w:rsidR="0084586F">
        <w:rPr>
          <w:rFonts w:ascii="Times New Roman" w:hAnsi="Times New Roman" w:cs="Times New Roman"/>
          <w:sz w:val="26"/>
          <w:szCs w:val="26"/>
        </w:rPr>
        <w:t xml:space="preserve"> officers and directors of certain </w:t>
      </w:r>
      <w:r w:rsidRPr="003C1A87" w:rsidR="00AE2820">
        <w:rPr>
          <w:rFonts w:ascii="Times New Roman" w:hAnsi="Times New Roman" w:cs="Times New Roman"/>
          <w:sz w:val="26"/>
          <w:szCs w:val="26"/>
        </w:rPr>
        <w:t>other</w:t>
      </w:r>
      <w:r w:rsidRPr="003C1A87" w:rsidR="00AC6851">
        <w:rPr>
          <w:rFonts w:ascii="Times New Roman" w:hAnsi="Times New Roman" w:cs="Times New Roman"/>
          <w:sz w:val="26"/>
          <w:szCs w:val="26"/>
        </w:rPr>
        <w:t xml:space="preserve"> </w:t>
      </w:r>
      <w:r w:rsidRPr="003C1A87" w:rsidR="00E90BE4">
        <w:rPr>
          <w:rFonts w:ascii="Times New Roman" w:hAnsi="Times New Roman" w:cs="Times New Roman"/>
          <w:sz w:val="26"/>
          <w:szCs w:val="26"/>
        </w:rPr>
        <w:t xml:space="preserve">types of </w:t>
      </w:r>
      <w:r w:rsidRPr="003C1A87" w:rsidR="00AC6851">
        <w:rPr>
          <w:rFonts w:ascii="Times New Roman" w:hAnsi="Times New Roman" w:cs="Times New Roman"/>
          <w:sz w:val="26"/>
          <w:szCs w:val="26"/>
        </w:rPr>
        <w:t>e</w:t>
      </w:r>
      <w:r w:rsidRPr="003C1A87" w:rsidR="0084586F">
        <w:rPr>
          <w:rFonts w:ascii="Times New Roman" w:hAnsi="Times New Roman" w:cs="Times New Roman"/>
          <w:sz w:val="26"/>
          <w:szCs w:val="26"/>
        </w:rPr>
        <w:t>ntities.</w:t>
      </w:r>
      <w:r w:rsidRPr="003C1A87" w:rsidR="00A72E58">
        <w:rPr>
          <w:rStyle w:val="FootnoteReference"/>
          <w:rFonts w:ascii="Times New Roman" w:hAnsi="Times New Roman" w:cs="Times New Roman"/>
          <w:sz w:val="26"/>
          <w:szCs w:val="26"/>
          <w:vertAlign w:val="superscript"/>
        </w:rPr>
        <w:footnoteReference w:id="3"/>
      </w:r>
      <w:r w:rsidRPr="003C1A87" w:rsidR="00EA5367">
        <w:rPr>
          <w:rFonts w:ascii="Times New Roman" w:hAnsi="Times New Roman" w:cs="Times New Roman"/>
          <w:sz w:val="26"/>
          <w:szCs w:val="26"/>
        </w:rPr>
        <w:t xml:space="preserve">  </w:t>
      </w:r>
      <w:r w:rsidRPr="003C1A87" w:rsidR="006C43AE">
        <w:rPr>
          <w:rFonts w:ascii="Times New Roman" w:hAnsi="Times New Roman" w:cs="Times New Roman"/>
          <w:sz w:val="26"/>
          <w:szCs w:val="26"/>
        </w:rPr>
        <w:t>I</w:t>
      </w:r>
      <w:r w:rsidRPr="003C1A87" w:rsidR="00D9508A">
        <w:rPr>
          <w:rFonts w:ascii="Times New Roman" w:hAnsi="Times New Roman" w:cs="Times New Roman"/>
          <w:sz w:val="26"/>
          <w:szCs w:val="26"/>
        </w:rPr>
        <w:t xml:space="preserve">ndividuals </w:t>
      </w:r>
      <w:r w:rsidRPr="003C1A87" w:rsidR="002C0819">
        <w:rPr>
          <w:rFonts w:ascii="Times New Roman" w:hAnsi="Times New Roman" w:cs="Times New Roman"/>
          <w:sz w:val="26"/>
          <w:szCs w:val="26"/>
        </w:rPr>
        <w:t>who seek such au</w:t>
      </w:r>
      <w:r w:rsidRPr="003C1A87" w:rsidR="00D423C3">
        <w:rPr>
          <w:rFonts w:ascii="Times New Roman" w:hAnsi="Times New Roman" w:cs="Times New Roman"/>
          <w:sz w:val="26"/>
          <w:szCs w:val="26"/>
        </w:rPr>
        <w:t xml:space="preserve">thorization must obtain a determination from the Commission that </w:t>
      </w:r>
      <w:r w:rsidRPr="003C1A87" w:rsidR="005243B5">
        <w:rPr>
          <w:rFonts w:ascii="Times New Roman" w:hAnsi="Times New Roman" w:cs="Times New Roman"/>
          <w:sz w:val="26"/>
          <w:szCs w:val="26"/>
        </w:rPr>
        <w:t>th</w:t>
      </w:r>
      <w:r w:rsidRPr="003C1A87" w:rsidR="00F41CF8">
        <w:rPr>
          <w:rFonts w:ascii="Times New Roman" w:hAnsi="Times New Roman" w:cs="Times New Roman"/>
          <w:sz w:val="26"/>
          <w:szCs w:val="26"/>
        </w:rPr>
        <w:t xml:space="preserve">eir </w:t>
      </w:r>
      <w:r w:rsidRPr="003C1A87" w:rsidR="00BA2634">
        <w:rPr>
          <w:rFonts w:ascii="Times New Roman" w:hAnsi="Times New Roman" w:cs="Times New Roman"/>
          <w:sz w:val="26"/>
          <w:szCs w:val="26"/>
        </w:rPr>
        <w:t xml:space="preserve">employment </w:t>
      </w:r>
      <w:r w:rsidRPr="003C1A87" w:rsidR="00E335B5">
        <w:rPr>
          <w:rFonts w:ascii="Times New Roman" w:hAnsi="Times New Roman" w:cs="Times New Roman"/>
          <w:sz w:val="26"/>
          <w:szCs w:val="26"/>
        </w:rPr>
        <w:t xml:space="preserve">outside the public utility </w:t>
      </w:r>
      <w:r w:rsidRPr="003C1A87" w:rsidR="00BA2634">
        <w:rPr>
          <w:rFonts w:ascii="Times New Roman" w:hAnsi="Times New Roman" w:cs="Times New Roman"/>
          <w:sz w:val="26"/>
          <w:szCs w:val="26"/>
        </w:rPr>
        <w:t>does not adversely affect e</w:t>
      </w:r>
      <w:r w:rsidRPr="003C1A87" w:rsidR="00EB3627">
        <w:rPr>
          <w:rFonts w:ascii="Times New Roman" w:hAnsi="Times New Roman" w:cs="Times New Roman"/>
          <w:sz w:val="26"/>
          <w:szCs w:val="26"/>
        </w:rPr>
        <w:t>ither public nor private interests</w:t>
      </w:r>
      <w:r w:rsidRPr="003C1A87" w:rsidR="00BA2634">
        <w:rPr>
          <w:rFonts w:ascii="Times New Roman" w:hAnsi="Times New Roman" w:cs="Times New Roman"/>
          <w:sz w:val="26"/>
          <w:szCs w:val="26"/>
        </w:rPr>
        <w:t>.</w:t>
      </w:r>
      <w:r w:rsidRPr="003C1A87" w:rsidR="00D00F5C">
        <w:rPr>
          <w:rFonts w:ascii="Times New Roman" w:hAnsi="Times New Roman" w:cs="Times New Roman"/>
          <w:sz w:val="26"/>
          <w:szCs w:val="26"/>
        </w:rPr>
        <w:t xml:space="preserve">  </w:t>
      </w:r>
      <w:r w:rsidRPr="003C1A87" w:rsidR="00E01457">
        <w:rPr>
          <w:rFonts w:ascii="Times New Roman" w:hAnsi="Times New Roman" w:cs="Times New Roman"/>
          <w:sz w:val="26"/>
          <w:szCs w:val="26"/>
        </w:rPr>
        <w:t>Respondents submit the required information “on occasion.”</w:t>
      </w:r>
    </w:p>
    <w:p w:rsidRPr="003C1A87" w:rsidR="00240687" w:rsidP="004750DA" w:rsidRDefault="00240687" w14:paraId="5ECF35A1" w14:textId="50438203">
      <w:pPr>
        <w:spacing w:after="0" w:line="240" w:lineRule="auto"/>
        <w:rPr>
          <w:rFonts w:ascii="Times New Roman" w:hAnsi="Times New Roman" w:cs="Times New Roman"/>
          <w:sz w:val="26"/>
          <w:szCs w:val="26"/>
        </w:rPr>
      </w:pPr>
    </w:p>
    <w:p w:rsidRPr="003C1A87" w:rsidR="00270DB2" w:rsidP="009344DC" w:rsidRDefault="00240687" w14:paraId="1668446E" w14:textId="4636D2C5">
      <w:pPr>
        <w:spacing w:after="0" w:line="240" w:lineRule="auto"/>
        <w:rPr>
          <w:rFonts w:ascii="Times New Roman" w:hAnsi="Times New Roman"/>
          <w:sz w:val="26"/>
          <w:szCs w:val="26"/>
        </w:rPr>
      </w:pPr>
      <w:r w:rsidRPr="003C1A87">
        <w:rPr>
          <w:rFonts w:ascii="Times New Roman" w:hAnsi="Times New Roman" w:cs="Times New Roman"/>
          <w:sz w:val="26"/>
          <w:szCs w:val="26"/>
        </w:rPr>
        <w:t>The respondents for FERC-561 (</w:t>
      </w:r>
      <w:r w:rsidRPr="003C1A87" w:rsidR="00617830">
        <w:rPr>
          <w:rFonts w:ascii="Times New Roman" w:hAnsi="Times New Roman" w:cs="Times New Roman"/>
          <w:sz w:val="26"/>
          <w:szCs w:val="26"/>
        </w:rPr>
        <w:t>Annual Report of Interlocking Directorates, OMB Control Number 1902-</w:t>
      </w:r>
      <w:r w:rsidRPr="003C1A87" w:rsidR="00340FE0">
        <w:rPr>
          <w:rFonts w:ascii="Times New Roman" w:hAnsi="Times New Roman" w:cs="Times New Roman"/>
          <w:sz w:val="26"/>
          <w:szCs w:val="26"/>
        </w:rPr>
        <w:t xml:space="preserve">0099) are </w:t>
      </w:r>
      <w:r w:rsidRPr="003C1A87" w:rsidR="00340FE0">
        <w:rPr>
          <w:rFonts w:ascii="Times New Roman" w:hAnsi="Times New Roman"/>
          <w:sz w:val="26"/>
          <w:szCs w:val="26"/>
        </w:rPr>
        <w:t xml:space="preserve">individuals who </w:t>
      </w:r>
      <w:r w:rsidRPr="003C1A87" w:rsidR="00270DB2">
        <w:rPr>
          <w:rFonts w:ascii="Times New Roman" w:hAnsi="Times New Roman"/>
          <w:sz w:val="26"/>
          <w:szCs w:val="26"/>
        </w:rPr>
        <w:t xml:space="preserve">must </w:t>
      </w:r>
      <w:r w:rsidRPr="003C1A87" w:rsidR="00340FE0">
        <w:rPr>
          <w:rFonts w:ascii="Times New Roman" w:hAnsi="Times New Roman"/>
          <w:sz w:val="26"/>
          <w:szCs w:val="26"/>
        </w:rPr>
        <w:t xml:space="preserve">report their interlocking positions between public utilities and </w:t>
      </w:r>
      <w:r w:rsidRPr="003C1A87" w:rsidR="001740C7">
        <w:rPr>
          <w:rFonts w:ascii="Times New Roman" w:hAnsi="Times New Roman"/>
          <w:sz w:val="26"/>
          <w:szCs w:val="26"/>
        </w:rPr>
        <w:t xml:space="preserve">several types </w:t>
      </w:r>
      <w:r w:rsidRPr="003C1A87" w:rsidR="00340FE0">
        <w:rPr>
          <w:rFonts w:ascii="Times New Roman" w:hAnsi="Times New Roman"/>
          <w:sz w:val="26"/>
          <w:szCs w:val="26"/>
        </w:rPr>
        <w:t>of entities</w:t>
      </w:r>
      <w:r w:rsidRPr="003C1A87" w:rsidR="00870370">
        <w:rPr>
          <w:rFonts w:ascii="Times New Roman" w:hAnsi="Times New Roman"/>
          <w:sz w:val="26"/>
          <w:szCs w:val="26"/>
        </w:rPr>
        <w:t xml:space="preserve"> </w:t>
      </w:r>
      <w:r w:rsidRPr="003C1A87" w:rsidR="00CA6DC3">
        <w:rPr>
          <w:rFonts w:ascii="Times New Roman" w:hAnsi="Times New Roman"/>
          <w:sz w:val="26"/>
          <w:szCs w:val="26"/>
        </w:rPr>
        <w:t>(including</w:t>
      </w:r>
      <w:r w:rsidRPr="003C1A87" w:rsidR="0045111B">
        <w:rPr>
          <w:rFonts w:ascii="Times New Roman" w:hAnsi="Times New Roman"/>
          <w:sz w:val="26"/>
          <w:szCs w:val="26"/>
        </w:rPr>
        <w:t>, but not limited to, purchasers</w:t>
      </w:r>
      <w:r w:rsidRPr="003C1A87" w:rsidR="00BF1D57">
        <w:rPr>
          <w:rFonts w:ascii="Times New Roman" w:hAnsi="Times New Roman"/>
          <w:sz w:val="26"/>
          <w:szCs w:val="26"/>
        </w:rPr>
        <w:t xml:space="preserve">) </w:t>
      </w:r>
      <w:r w:rsidRPr="003C1A87" w:rsidR="00870370">
        <w:rPr>
          <w:rFonts w:ascii="Times New Roman" w:hAnsi="Times New Roman"/>
          <w:sz w:val="26"/>
          <w:szCs w:val="26"/>
        </w:rPr>
        <w:t>on or before</w:t>
      </w:r>
      <w:r w:rsidRPr="003C1A87" w:rsidR="000B560F">
        <w:rPr>
          <w:rFonts w:ascii="Times New Roman" w:hAnsi="Times New Roman"/>
          <w:sz w:val="26"/>
          <w:szCs w:val="26"/>
        </w:rPr>
        <w:t xml:space="preserve"> April 30 of </w:t>
      </w:r>
      <w:r w:rsidRPr="003C1A87" w:rsidR="00561AFD">
        <w:rPr>
          <w:rFonts w:ascii="Times New Roman" w:hAnsi="Times New Roman"/>
          <w:sz w:val="26"/>
          <w:szCs w:val="26"/>
        </w:rPr>
        <w:t>each calendar year</w:t>
      </w:r>
      <w:r w:rsidRPr="003C1A87" w:rsidR="00340FE0">
        <w:rPr>
          <w:rFonts w:ascii="Times New Roman" w:hAnsi="Times New Roman"/>
          <w:sz w:val="26"/>
          <w:szCs w:val="26"/>
        </w:rPr>
        <w:t>.</w:t>
      </w:r>
      <w:r w:rsidRPr="003C1A87" w:rsidR="00270DB2">
        <w:rPr>
          <w:rFonts w:ascii="Times New Roman" w:hAnsi="Times New Roman"/>
          <w:sz w:val="26"/>
          <w:szCs w:val="26"/>
        </w:rPr>
        <w:t xml:space="preserve">  This requirement is </w:t>
      </w:r>
      <w:r w:rsidRPr="003C1A87" w:rsidR="003135FA">
        <w:rPr>
          <w:rFonts w:ascii="Times New Roman" w:hAnsi="Times New Roman"/>
          <w:sz w:val="26"/>
          <w:szCs w:val="26"/>
        </w:rPr>
        <w:t>at section 30</w:t>
      </w:r>
      <w:r w:rsidRPr="003C1A87" w:rsidR="00351C62">
        <w:rPr>
          <w:rFonts w:ascii="Times New Roman" w:hAnsi="Times New Roman"/>
          <w:sz w:val="26"/>
          <w:szCs w:val="26"/>
        </w:rPr>
        <w:t>5</w:t>
      </w:r>
      <w:r w:rsidRPr="003C1A87" w:rsidR="003135FA">
        <w:rPr>
          <w:rFonts w:ascii="Times New Roman" w:hAnsi="Times New Roman"/>
          <w:sz w:val="26"/>
          <w:szCs w:val="26"/>
        </w:rPr>
        <w:t>(c)(1) of the FPA.</w:t>
      </w:r>
      <w:r w:rsidRPr="003C1A87" w:rsidR="00784169">
        <w:rPr>
          <w:rStyle w:val="FootnoteReference"/>
          <w:rFonts w:ascii="Times New Roman" w:hAnsi="Times New Roman"/>
          <w:sz w:val="26"/>
          <w:szCs w:val="26"/>
          <w:vertAlign w:val="superscript"/>
        </w:rPr>
        <w:footnoteReference w:id="4"/>
      </w:r>
      <w:r w:rsidRPr="003C1A87" w:rsidR="00E01457">
        <w:rPr>
          <w:rFonts w:ascii="Times New Roman" w:hAnsi="Times New Roman"/>
          <w:sz w:val="26"/>
          <w:szCs w:val="26"/>
        </w:rPr>
        <w:t xml:space="preserve">  Respondents submit the required </w:t>
      </w:r>
      <w:r w:rsidRPr="003C1A87" w:rsidR="00373A5D">
        <w:rPr>
          <w:rFonts w:ascii="Times New Roman" w:hAnsi="Times New Roman"/>
          <w:sz w:val="26"/>
          <w:szCs w:val="26"/>
        </w:rPr>
        <w:t>information annually.</w:t>
      </w:r>
    </w:p>
    <w:p w:rsidRPr="003C1A87" w:rsidR="00270DB2" w:rsidP="009344DC" w:rsidRDefault="00270DB2" w14:paraId="1AB9EF38" w14:textId="77777777">
      <w:pPr>
        <w:spacing w:after="0" w:line="240" w:lineRule="auto"/>
        <w:rPr>
          <w:rFonts w:ascii="Times New Roman" w:hAnsi="Times New Roman"/>
          <w:sz w:val="26"/>
          <w:szCs w:val="26"/>
        </w:rPr>
      </w:pPr>
    </w:p>
    <w:p w:rsidRPr="003C1A87" w:rsidR="009D3EAE" w:rsidP="009D3EAE" w:rsidRDefault="001A2193" w14:paraId="6A1665EF" w14:textId="4E2F0056">
      <w:pPr>
        <w:spacing w:after="0" w:line="240" w:lineRule="auto"/>
        <w:rPr>
          <w:rFonts w:ascii="Times New Roman" w:hAnsi="Times New Roman"/>
          <w:sz w:val="26"/>
          <w:szCs w:val="26"/>
        </w:rPr>
      </w:pPr>
      <w:r w:rsidRPr="003C1A87">
        <w:rPr>
          <w:rFonts w:ascii="Times New Roman" w:hAnsi="Times New Roman"/>
          <w:sz w:val="26"/>
          <w:szCs w:val="26"/>
        </w:rPr>
        <w:t xml:space="preserve">The respondents for </w:t>
      </w:r>
      <w:r w:rsidRPr="003C1A87" w:rsidR="004E20D0">
        <w:rPr>
          <w:rFonts w:ascii="Times New Roman" w:hAnsi="Times New Roman"/>
          <w:sz w:val="26"/>
          <w:szCs w:val="26"/>
        </w:rPr>
        <w:t xml:space="preserve">FERC-566 </w:t>
      </w:r>
      <w:r w:rsidRPr="003C1A87" w:rsidR="00A6767F">
        <w:rPr>
          <w:rFonts w:ascii="Times New Roman" w:hAnsi="Times New Roman"/>
          <w:sz w:val="26"/>
          <w:szCs w:val="26"/>
        </w:rPr>
        <w:t xml:space="preserve">(i.e., this information collection) </w:t>
      </w:r>
      <w:r w:rsidRPr="003C1A87">
        <w:rPr>
          <w:rFonts w:ascii="Times New Roman" w:hAnsi="Times New Roman"/>
          <w:sz w:val="26"/>
          <w:szCs w:val="26"/>
        </w:rPr>
        <w:t>are public utilities</w:t>
      </w:r>
      <w:r w:rsidRPr="003C1A87" w:rsidR="00B82B02">
        <w:rPr>
          <w:rFonts w:ascii="Times New Roman" w:hAnsi="Times New Roman"/>
          <w:sz w:val="26"/>
          <w:szCs w:val="26"/>
        </w:rPr>
        <w:t xml:space="preserve"> that </w:t>
      </w:r>
      <w:r w:rsidRPr="003C1A87" w:rsidR="00403F05">
        <w:rPr>
          <w:rFonts w:ascii="Times New Roman" w:hAnsi="Times New Roman"/>
          <w:sz w:val="26"/>
          <w:szCs w:val="26"/>
        </w:rPr>
        <w:t xml:space="preserve">must </w:t>
      </w:r>
      <w:r w:rsidRPr="003C1A87" w:rsidR="0098492F">
        <w:rPr>
          <w:rFonts w:ascii="Times New Roman" w:hAnsi="Times New Roman"/>
          <w:sz w:val="26"/>
          <w:szCs w:val="26"/>
        </w:rPr>
        <w:t xml:space="preserve">report </w:t>
      </w:r>
      <w:r w:rsidRPr="003C1A87" w:rsidR="0071765C">
        <w:rPr>
          <w:rFonts w:ascii="Times New Roman" w:hAnsi="Times New Roman"/>
          <w:sz w:val="26"/>
          <w:szCs w:val="26"/>
        </w:rPr>
        <w:t xml:space="preserve">their </w:t>
      </w:r>
      <w:r w:rsidRPr="003C1A87" w:rsidR="009B4DFB">
        <w:rPr>
          <w:rFonts w:ascii="Times New Roman" w:hAnsi="Times New Roman"/>
          <w:sz w:val="26"/>
          <w:szCs w:val="26"/>
        </w:rPr>
        <w:t>20 largest purchasers</w:t>
      </w:r>
      <w:r w:rsidRPr="003C1A87" w:rsidR="00870370">
        <w:rPr>
          <w:rFonts w:ascii="Times New Roman" w:hAnsi="Times New Roman"/>
          <w:sz w:val="26"/>
          <w:szCs w:val="26"/>
        </w:rPr>
        <w:t xml:space="preserve"> on or before January 31 of each calendar year.</w:t>
      </w:r>
      <w:r w:rsidRPr="003C1A87" w:rsidR="00A653DF">
        <w:rPr>
          <w:rFonts w:ascii="Times New Roman" w:hAnsi="Times New Roman"/>
          <w:sz w:val="26"/>
          <w:szCs w:val="26"/>
        </w:rPr>
        <w:t xml:space="preserve">  </w:t>
      </w:r>
      <w:r w:rsidRPr="003C1A87" w:rsidR="00403F05">
        <w:rPr>
          <w:rFonts w:ascii="Times New Roman" w:hAnsi="Times New Roman"/>
          <w:sz w:val="26"/>
          <w:szCs w:val="26"/>
        </w:rPr>
        <w:t>This requirement is at section 30</w:t>
      </w:r>
      <w:r w:rsidRPr="003C1A87" w:rsidR="00351C62">
        <w:rPr>
          <w:rFonts w:ascii="Times New Roman" w:hAnsi="Times New Roman"/>
          <w:sz w:val="26"/>
          <w:szCs w:val="26"/>
        </w:rPr>
        <w:t>5</w:t>
      </w:r>
      <w:r w:rsidRPr="003C1A87" w:rsidR="00AD7DE4">
        <w:rPr>
          <w:rFonts w:ascii="Times New Roman" w:hAnsi="Times New Roman"/>
          <w:sz w:val="26"/>
          <w:szCs w:val="26"/>
        </w:rPr>
        <w:t>(c)(2) of the FPA.</w:t>
      </w:r>
      <w:r w:rsidRPr="003C1A87" w:rsidR="001D054F">
        <w:rPr>
          <w:rStyle w:val="FootnoteReference"/>
          <w:rFonts w:ascii="Times New Roman" w:hAnsi="Times New Roman"/>
          <w:sz w:val="26"/>
          <w:szCs w:val="26"/>
        </w:rPr>
        <w:footnoteReference w:id="5"/>
      </w:r>
      <w:r w:rsidRPr="003C1A87" w:rsidR="00E41C73">
        <w:rPr>
          <w:rFonts w:ascii="Times New Roman" w:hAnsi="Times New Roman"/>
          <w:sz w:val="26"/>
          <w:szCs w:val="26"/>
        </w:rPr>
        <w:t xml:space="preserve">  </w:t>
      </w:r>
      <w:r w:rsidRPr="003C1A87" w:rsidR="00373A5D">
        <w:rPr>
          <w:rFonts w:ascii="Times New Roman" w:hAnsi="Times New Roman"/>
          <w:sz w:val="26"/>
          <w:szCs w:val="26"/>
        </w:rPr>
        <w:t>Respondents submit the required information annually.</w:t>
      </w:r>
    </w:p>
    <w:p w:rsidRPr="003C1A87" w:rsidR="004A1E64" w:rsidP="00FC7E64" w:rsidRDefault="004A1E64" w14:paraId="778F4752" w14:textId="77777777">
      <w:pPr>
        <w:spacing w:after="0" w:line="240" w:lineRule="auto"/>
        <w:rPr>
          <w:rFonts w:ascii="Times New Roman" w:hAnsi="Times New Roman" w:cs="Times New Roman"/>
          <w:sz w:val="26"/>
          <w:szCs w:val="26"/>
        </w:rPr>
      </w:pPr>
    </w:p>
    <w:p w:rsidRPr="003C1A87" w:rsidR="00D12679" w:rsidP="00FC7E64" w:rsidRDefault="00D12679" w14:paraId="4EAFFEAA"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METHODS USED TO MINIMIZE THE BURDEN IN COLLECTION OF INFORMATION INVOLVING SMALL ENTITIES</w:t>
      </w:r>
    </w:p>
    <w:p w:rsidRPr="003C1A87" w:rsidR="00D12679" w:rsidP="00FC7E64" w:rsidRDefault="00D12679" w14:paraId="50C98C8F" w14:textId="77777777">
      <w:pPr>
        <w:spacing w:after="0" w:line="240" w:lineRule="auto"/>
        <w:rPr>
          <w:rFonts w:ascii="Times New Roman" w:hAnsi="Times New Roman" w:cs="Times New Roman"/>
          <w:sz w:val="26"/>
          <w:szCs w:val="26"/>
        </w:rPr>
      </w:pPr>
    </w:p>
    <w:p w:rsidR="00792E1F" w:rsidP="00D12679" w:rsidRDefault="00676EC3" w14:paraId="3CCF2207" w14:textId="7D9652BD">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This information collection imposes the least possible burden on small entities while collecting the information necessary for the Commission to carry out its responsibilities under </w:t>
      </w:r>
      <w:r w:rsidRPr="003C1A87" w:rsidR="005A5A7E">
        <w:rPr>
          <w:rFonts w:ascii="Times New Roman" w:hAnsi="Times New Roman" w:cs="Times New Roman"/>
          <w:sz w:val="26"/>
          <w:szCs w:val="26"/>
        </w:rPr>
        <w:t xml:space="preserve">section 305 of the FPA and </w:t>
      </w:r>
      <w:r w:rsidRPr="003C1A87">
        <w:rPr>
          <w:rFonts w:ascii="Times New Roman" w:hAnsi="Times New Roman" w:cs="Times New Roman"/>
          <w:sz w:val="26"/>
          <w:szCs w:val="26"/>
        </w:rPr>
        <w:t xml:space="preserve">18 CFR </w:t>
      </w:r>
      <w:r w:rsidR="0020263B">
        <w:rPr>
          <w:rFonts w:ascii="Times New Roman" w:hAnsi="Times New Roman" w:cs="Times New Roman"/>
          <w:sz w:val="26"/>
          <w:szCs w:val="26"/>
        </w:rPr>
        <w:t>46.3.</w:t>
      </w:r>
    </w:p>
    <w:p w:rsidR="00792E1F" w:rsidRDefault="00792E1F" w14:paraId="1904C14C" w14:textId="77777777">
      <w:pPr>
        <w:rPr>
          <w:rFonts w:ascii="Times New Roman" w:hAnsi="Times New Roman" w:cs="Times New Roman"/>
          <w:sz w:val="26"/>
          <w:szCs w:val="26"/>
        </w:rPr>
      </w:pPr>
      <w:r>
        <w:rPr>
          <w:rFonts w:ascii="Times New Roman" w:hAnsi="Times New Roman" w:cs="Times New Roman"/>
          <w:sz w:val="26"/>
          <w:szCs w:val="26"/>
        </w:rPr>
        <w:br w:type="page"/>
      </w:r>
    </w:p>
    <w:p w:rsidRPr="003C1A87" w:rsidR="00D12679" w:rsidP="00D12679" w:rsidRDefault="00D12679" w14:paraId="0804E168"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CONSEQUENCE TO FEDERAL PROGRAM IF COLLECTION WERE CONDUCTED LESS FREQUENTLY</w:t>
      </w:r>
    </w:p>
    <w:p w:rsidRPr="003C1A87" w:rsidR="00D12679" w:rsidP="00D12679" w:rsidRDefault="00D12679" w14:paraId="3E480A01" w14:textId="77777777">
      <w:pPr>
        <w:spacing w:after="0" w:line="240" w:lineRule="auto"/>
        <w:rPr>
          <w:rFonts w:ascii="Times New Roman" w:hAnsi="Times New Roman" w:cs="Times New Roman"/>
          <w:sz w:val="26"/>
          <w:szCs w:val="26"/>
        </w:rPr>
      </w:pPr>
    </w:p>
    <w:p w:rsidRPr="003C1A87" w:rsidR="00BF20A3" w:rsidP="00D12679" w:rsidRDefault="00676EC3" w14:paraId="6CB49D2E"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If the collection of information were conducted less frequently, the Commission would be unable to perform its mandated oversight and review responsibilities with respect to interlocking directorates.</w:t>
      </w:r>
    </w:p>
    <w:p w:rsidRPr="003C1A87" w:rsidR="00676EC3" w:rsidP="00D12679" w:rsidRDefault="00676EC3" w14:paraId="67FEDF3A" w14:textId="77777777">
      <w:pPr>
        <w:spacing w:after="0" w:line="240" w:lineRule="auto"/>
        <w:rPr>
          <w:rFonts w:ascii="Times New Roman" w:hAnsi="Times New Roman" w:cs="Times New Roman"/>
          <w:sz w:val="26"/>
          <w:szCs w:val="26"/>
        </w:rPr>
      </w:pPr>
    </w:p>
    <w:p w:rsidRPr="003C1A87" w:rsidR="00676EC3" w:rsidP="00D12679" w:rsidRDefault="00F60414" w14:paraId="37C6951A" w14:textId="2B869BF8">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frequency and substance of this information collection </w:t>
      </w:r>
      <w:r w:rsidRPr="003C1A87" w:rsidR="00E577B3">
        <w:rPr>
          <w:rFonts w:ascii="Times New Roman" w:hAnsi="Times New Roman" w:cs="Times New Roman"/>
          <w:sz w:val="26"/>
          <w:szCs w:val="26"/>
        </w:rPr>
        <w:t>is directly mandated by s</w:t>
      </w:r>
      <w:r w:rsidRPr="003C1A87" w:rsidR="00D12679">
        <w:rPr>
          <w:rFonts w:ascii="Times New Roman" w:hAnsi="Times New Roman" w:cs="Times New Roman"/>
          <w:sz w:val="26"/>
          <w:szCs w:val="26"/>
        </w:rPr>
        <w:t>ection 305(c)</w:t>
      </w:r>
      <w:r w:rsidRPr="003C1A87" w:rsidR="00DE6A26">
        <w:rPr>
          <w:rFonts w:ascii="Times New Roman" w:hAnsi="Times New Roman" w:cs="Times New Roman"/>
          <w:sz w:val="26"/>
          <w:szCs w:val="26"/>
        </w:rPr>
        <w:t xml:space="preserve">(2) </w:t>
      </w:r>
      <w:r w:rsidRPr="003C1A87" w:rsidR="00D12679">
        <w:rPr>
          <w:rFonts w:ascii="Times New Roman" w:hAnsi="Times New Roman" w:cs="Times New Roman"/>
          <w:sz w:val="26"/>
          <w:szCs w:val="26"/>
        </w:rPr>
        <w:t>of the FPA</w:t>
      </w:r>
      <w:r w:rsidRPr="003C1A87" w:rsidR="005437F1">
        <w:rPr>
          <w:rFonts w:ascii="Times New Roman" w:hAnsi="Times New Roman" w:cs="Times New Roman"/>
          <w:sz w:val="26"/>
          <w:szCs w:val="26"/>
        </w:rPr>
        <w:t>.  It would literally</w:t>
      </w:r>
      <w:r w:rsidRPr="003C1A87" w:rsidR="00D00C61">
        <w:rPr>
          <w:rFonts w:ascii="Times New Roman" w:hAnsi="Times New Roman" w:cs="Times New Roman"/>
          <w:sz w:val="26"/>
          <w:szCs w:val="26"/>
        </w:rPr>
        <w:t xml:space="preserve"> take an Act of Congress to </w:t>
      </w:r>
      <w:r w:rsidRPr="003C1A87" w:rsidR="00BE76E9">
        <w:rPr>
          <w:rFonts w:ascii="Times New Roman" w:hAnsi="Times New Roman" w:cs="Times New Roman"/>
          <w:sz w:val="26"/>
          <w:szCs w:val="26"/>
        </w:rPr>
        <w:t xml:space="preserve">change the frequency </w:t>
      </w:r>
      <w:r w:rsidRPr="003C1A87" w:rsidR="00C7735A">
        <w:rPr>
          <w:rFonts w:ascii="Times New Roman" w:hAnsi="Times New Roman" w:cs="Times New Roman"/>
          <w:sz w:val="26"/>
          <w:szCs w:val="26"/>
        </w:rPr>
        <w:t>of this information collection.</w:t>
      </w:r>
      <w:r w:rsidRPr="003C1A87" w:rsidR="00D12679">
        <w:rPr>
          <w:rFonts w:ascii="Times New Roman" w:hAnsi="Times New Roman" w:cs="Times New Roman"/>
          <w:sz w:val="26"/>
          <w:szCs w:val="26"/>
        </w:rPr>
        <w:t xml:space="preserve"> </w:t>
      </w:r>
    </w:p>
    <w:p w:rsidRPr="003C1A87" w:rsidR="00D12679" w:rsidP="00D12679" w:rsidRDefault="00D12679" w14:paraId="5852E8E6"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 </w:t>
      </w:r>
    </w:p>
    <w:p w:rsidRPr="003C1A87" w:rsidR="00D12679" w:rsidP="00D12679" w:rsidRDefault="00D12679" w14:paraId="7FBDB351"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EXPLAIN ANY SPECIAL CIRCUMSTANCES RELATING TO THE INFORMATION COLLECTION</w:t>
      </w:r>
    </w:p>
    <w:p w:rsidRPr="003C1A87" w:rsidR="00D12679" w:rsidP="00D12679" w:rsidRDefault="00D12679" w14:paraId="2B951C9E" w14:textId="77777777">
      <w:pPr>
        <w:spacing w:after="0" w:line="240" w:lineRule="auto"/>
        <w:rPr>
          <w:rFonts w:ascii="Times New Roman" w:hAnsi="Times New Roman" w:cs="Times New Roman"/>
          <w:sz w:val="26"/>
          <w:szCs w:val="26"/>
        </w:rPr>
      </w:pPr>
    </w:p>
    <w:p w:rsidRPr="003C1A87" w:rsidR="00D12679" w:rsidP="00D12679" w:rsidRDefault="00D12679" w14:paraId="1277AC59"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There are no special circumstances related to the </w:t>
      </w:r>
      <w:r w:rsidRPr="003C1A87" w:rsidR="00BF20A3">
        <w:rPr>
          <w:rFonts w:ascii="Times New Roman" w:hAnsi="Times New Roman" w:cs="Times New Roman"/>
          <w:sz w:val="26"/>
          <w:szCs w:val="26"/>
        </w:rPr>
        <w:t xml:space="preserve">FERC-566 </w:t>
      </w:r>
      <w:r w:rsidRPr="003C1A87">
        <w:rPr>
          <w:rFonts w:ascii="Times New Roman" w:hAnsi="Times New Roman" w:cs="Times New Roman"/>
          <w:sz w:val="26"/>
          <w:szCs w:val="26"/>
        </w:rPr>
        <w:t>information collection.</w:t>
      </w:r>
    </w:p>
    <w:p w:rsidRPr="003C1A87" w:rsidR="00D12679" w:rsidP="00D12679" w:rsidRDefault="00D12679" w14:paraId="141B88BC" w14:textId="77777777">
      <w:pPr>
        <w:spacing w:after="0" w:line="240" w:lineRule="auto"/>
        <w:rPr>
          <w:rFonts w:ascii="Times New Roman" w:hAnsi="Times New Roman" w:cs="Times New Roman"/>
          <w:sz w:val="26"/>
          <w:szCs w:val="26"/>
        </w:rPr>
      </w:pPr>
    </w:p>
    <w:p w:rsidRPr="003C1A87" w:rsidR="00D12679" w:rsidP="00D12679" w:rsidRDefault="00D12679" w14:paraId="7F5942D3"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EFFORTS TO CONSULT OUTSIDE THE AGENCY: SUMMARIZE PUBLIC COMMENTS AND THE AGENCY’S RESPONSE</w:t>
      </w:r>
    </w:p>
    <w:p w:rsidRPr="003C1A87" w:rsidR="00D12679" w:rsidP="00D12679" w:rsidRDefault="00D12679" w14:paraId="1E659124" w14:textId="77777777">
      <w:pPr>
        <w:spacing w:after="0" w:line="240" w:lineRule="auto"/>
        <w:rPr>
          <w:rFonts w:ascii="Times New Roman" w:hAnsi="Times New Roman" w:cs="Times New Roman"/>
          <w:i/>
          <w:sz w:val="26"/>
          <w:szCs w:val="26"/>
        </w:rPr>
      </w:pPr>
    </w:p>
    <w:p w:rsidRPr="003C1A87" w:rsidR="00BC2277" w:rsidP="00D12679" w:rsidRDefault="00BF20A3" w14:paraId="2D681E8F"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In accordance with OMB requirements,</w:t>
      </w:r>
      <w:r w:rsidRPr="003C1A87" w:rsidR="00127E0D">
        <w:rPr>
          <w:rFonts w:ascii="Times New Roman" w:hAnsi="Times New Roman" w:eastAsia="Times New Roman" w:cs="Times New Roman"/>
          <w:sz w:val="26"/>
          <w:szCs w:val="26"/>
        </w:rPr>
        <w:t xml:space="preserve"> e</w:t>
      </w:r>
      <w:r w:rsidRPr="003C1A87" w:rsidR="00127E0D">
        <w:rPr>
          <w:rFonts w:ascii="Times New Roman" w:hAnsi="Times New Roman" w:cs="Times New Roman"/>
          <w:sz w:val="26"/>
          <w:szCs w:val="26"/>
        </w:rPr>
        <w:t>ach FERC activity that results in the revision of an information collection is published in the Federal Register thereby providing public utilities and licensees, state commissions, Federal agencies, and other interested parties an opportunity to submit data, views, comments</w:t>
      </w:r>
      <w:r w:rsidRPr="003C1A87" w:rsidR="00622D1C">
        <w:rPr>
          <w:rFonts w:ascii="Times New Roman" w:hAnsi="Times New Roman" w:cs="Times New Roman"/>
          <w:sz w:val="26"/>
          <w:szCs w:val="26"/>
        </w:rPr>
        <w:t>, and/</w:t>
      </w:r>
      <w:r w:rsidRPr="003C1A87" w:rsidR="00127E0D">
        <w:rPr>
          <w:rFonts w:ascii="Times New Roman" w:hAnsi="Times New Roman" w:cs="Times New Roman"/>
          <w:sz w:val="26"/>
          <w:szCs w:val="26"/>
        </w:rPr>
        <w:t>or suggestions concerning the approved collections of data.</w:t>
      </w:r>
    </w:p>
    <w:p w:rsidRPr="003C1A87" w:rsidR="00BC2277" w:rsidP="00D12679" w:rsidRDefault="00BC2277" w14:paraId="728781A4" w14:textId="77777777">
      <w:pPr>
        <w:spacing w:after="0" w:line="240" w:lineRule="auto"/>
        <w:rPr>
          <w:rFonts w:ascii="Times New Roman" w:hAnsi="Times New Roman" w:cs="Times New Roman"/>
          <w:sz w:val="26"/>
          <w:szCs w:val="26"/>
        </w:rPr>
      </w:pPr>
    </w:p>
    <w:p w:rsidRPr="003C1A87" w:rsidR="00D12679" w:rsidP="00D12679" w:rsidRDefault="00BC2277" w14:paraId="397DC88D" w14:textId="7B40BAF2">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On </w:t>
      </w:r>
      <w:r w:rsidRPr="003C1A87" w:rsidR="00FF6E0B">
        <w:rPr>
          <w:rFonts w:ascii="Times New Roman" w:hAnsi="Times New Roman" w:cs="Times New Roman"/>
          <w:sz w:val="26"/>
          <w:szCs w:val="26"/>
        </w:rPr>
        <w:t xml:space="preserve">June </w:t>
      </w:r>
      <w:r w:rsidRPr="003C1A87" w:rsidR="004B635A">
        <w:rPr>
          <w:rFonts w:ascii="Times New Roman" w:hAnsi="Times New Roman" w:cs="Times New Roman"/>
          <w:sz w:val="26"/>
          <w:szCs w:val="26"/>
        </w:rPr>
        <w:t xml:space="preserve">23, 2021, </w:t>
      </w:r>
      <w:r w:rsidRPr="003C1A87">
        <w:rPr>
          <w:rFonts w:ascii="Times New Roman" w:hAnsi="Times New Roman" w:cs="Times New Roman"/>
          <w:sz w:val="26"/>
          <w:szCs w:val="26"/>
        </w:rPr>
        <w:t>t</w:t>
      </w:r>
      <w:r w:rsidRPr="003C1A87" w:rsidR="00BF20A3">
        <w:rPr>
          <w:rFonts w:ascii="Times New Roman" w:hAnsi="Times New Roman" w:cs="Times New Roman"/>
          <w:sz w:val="26"/>
          <w:szCs w:val="26"/>
        </w:rPr>
        <w:t xml:space="preserve">he Commission </w:t>
      </w:r>
      <w:r w:rsidRPr="003C1A87" w:rsidR="00121056">
        <w:rPr>
          <w:rFonts w:ascii="Times New Roman" w:hAnsi="Times New Roman" w:cs="Times New Roman"/>
          <w:sz w:val="26"/>
          <w:szCs w:val="26"/>
        </w:rPr>
        <w:t xml:space="preserve">issued </w:t>
      </w:r>
      <w:r w:rsidRPr="003C1A87" w:rsidR="00BF20A3">
        <w:rPr>
          <w:rFonts w:ascii="Times New Roman" w:hAnsi="Times New Roman" w:cs="Times New Roman"/>
          <w:sz w:val="26"/>
          <w:szCs w:val="26"/>
        </w:rPr>
        <w:t>a 60-day notice</w:t>
      </w:r>
      <w:r w:rsidRPr="003C1A87" w:rsidR="004B635A">
        <w:rPr>
          <w:rFonts w:ascii="Times New Roman" w:hAnsi="Times New Roman" w:cs="Times New Roman"/>
          <w:sz w:val="26"/>
          <w:szCs w:val="26"/>
        </w:rPr>
        <w:t>, which was published</w:t>
      </w:r>
      <w:r w:rsidRPr="003C1A87" w:rsidR="008262B8">
        <w:rPr>
          <w:rFonts w:ascii="Times New Roman" w:hAnsi="Times New Roman" w:cs="Times New Roman"/>
          <w:sz w:val="26"/>
          <w:szCs w:val="26"/>
        </w:rPr>
        <w:t xml:space="preserve"> </w:t>
      </w:r>
      <w:r w:rsidRPr="003C1A87" w:rsidR="004B635A">
        <w:rPr>
          <w:rFonts w:ascii="Times New Roman" w:hAnsi="Times New Roman" w:cs="Times New Roman"/>
          <w:sz w:val="26"/>
          <w:szCs w:val="26"/>
        </w:rPr>
        <w:t>in the Federal Register on June 29, 2021.</w:t>
      </w:r>
      <w:r w:rsidRPr="003C1A87" w:rsidR="00BF20A3">
        <w:rPr>
          <w:rFonts w:ascii="Times New Roman" w:hAnsi="Times New Roman" w:cs="Times New Roman"/>
          <w:sz w:val="26"/>
          <w:szCs w:val="26"/>
          <w:vertAlign w:val="superscript"/>
        </w:rPr>
        <w:footnoteReference w:id="6"/>
      </w:r>
      <w:r w:rsidRPr="003C1A87" w:rsidR="00BF20A3">
        <w:rPr>
          <w:rFonts w:ascii="Times New Roman" w:hAnsi="Times New Roman" w:cs="Times New Roman"/>
          <w:sz w:val="26"/>
          <w:szCs w:val="26"/>
        </w:rPr>
        <w:t xml:space="preserve"> </w:t>
      </w:r>
      <w:r w:rsidRPr="003C1A87" w:rsidR="008939A1">
        <w:rPr>
          <w:rFonts w:ascii="Times New Roman" w:hAnsi="Times New Roman" w:cs="Times New Roman"/>
          <w:sz w:val="26"/>
          <w:szCs w:val="26"/>
        </w:rPr>
        <w:t xml:space="preserve"> </w:t>
      </w:r>
      <w:r w:rsidRPr="00F1168C" w:rsidR="008939A1">
        <w:rPr>
          <w:rFonts w:ascii="Times New Roman" w:hAnsi="Times New Roman" w:cs="Times New Roman"/>
          <w:sz w:val="26"/>
          <w:szCs w:val="26"/>
        </w:rPr>
        <w:t xml:space="preserve">On </w:t>
      </w:r>
      <w:r w:rsidRPr="00F1168C" w:rsidR="00524E39">
        <w:rPr>
          <w:rFonts w:ascii="Times New Roman" w:hAnsi="Times New Roman" w:cs="Times New Roman"/>
          <w:sz w:val="26"/>
          <w:szCs w:val="26"/>
        </w:rPr>
        <w:t>September 1, 2021</w:t>
      </w:r>
      <w:r w:rsidRPr="00F1168C" w:rsidR="008939A1">
        <w:rPr>
          <w:rFonts w:ascii="Times New Roman" w:hAnsi="Times New Roman" w:cs="Times New Roman"/>
          <w:sz w:val="26"/>
          <w:szCs w:val="26"/>
        </w:rPr>
        <w:t xml:space="preserve">, the Commission issued </w:t>
      </w:r>
      <w:r w:rsidRPr="00F1168C" w:rsidR="00BF20A3">
        <w:rPr>
          <w:rFonts w:ascii="Times New Roman" w:hAnsi="Times New Roman" w:cs="Times New Roman"/>
          <w:sz w:val="26"/>
          <w:szCs w:val="26"/>
        </w:rPr>
        <w:t>a 30-day notice</w:t>
      </w:r>
      <w:r w:rsidRPr="00F1168C" w:rsidR="008939A1">
        <w:rPr>
          <w:rFonts w:ascii="Times New Roman" w:hAnsi="Times New Roman" w:cs="Times New Roman"/>
          <w:sz w:val="26"/>
          <w:szCs w:val="26"/>
        </w:rPr>
        <w:t xml:space="preserve">, which was published in the Federal Register on </w:t>
      </w:r>
      <w:r w:rsidRPr="00F1168C" w:rsidR="003967EB">
        <w:rPr>
          <w:rFonts w:ascii="Times New Roman" w:hAnsi="Times New Roman" w:cs="Times New Roman"/>
          <w:sz w:val="26"/>
          <w:szCs w:val="26"/>
        </w:rPr>
        <w:t>September 7, 2021</w:t>
      </w:r>
      <w:r w:rsidRPr="00F1168C" w:rsidR="00B33475">
        <w:rPr>
          <w:rFonts w:ascii="Times New Roman" w:hAnsi="Times New Roman" w:cs="Times New Roman"/>
          <w:sz w:val="26"/>
          <w:szCs w:val="26"/>
        </w:rPr>
        <w:t>.</w:t>
      </w:r>
      <w:r w:rsidRPr="00F1168C" w:rsidR="00BF20A3">
        <w:rPr>
          <w:rFonts w:ascii="Times New Roman" w:hAnsi="Times New Roman" w:cs="Times New Roman"/>
          <w:sz w:val="26"/>
          <w:szCs w:val="26"/>
          <w:vertAlign w:val="superscript"/>
        </w:rPr>
        <w:footnoteReference w:id="7"/>
      </w:r>
      <w:r w:rsidRPr="003C1A87" w:rsidR="00BF20A3">
        <w:rPr>
          <w:rFonts w:ascii="Times New Roman" w:hAnsi="Times New Roman" w:cs="Times New Roman"/>
          <w:sz w:val="26"/>
          <w:szCs w:val="26"/>
        </w:rPr>
        <w:t xml:space="preserve"> </w:t>
      </w:r>
      <w:r w:rsidRPr="003C1A87" w:rsidR="009805B4">
        <w:rPr>
          <w:rFonts w:ascii="Times New Roman" w:hAnsi="Times New Roman" w:cs="Times New Roman"/>
          <w:sz w:val="26"/>
          <w:szCs w:val="26"/>
        </w:rPr>
        <w:t xml:space="preserve">  </w:t>
      </w:r>
      <w:r w:rsidRPr="003C1A87" w:rsidR="00BF20A3">
        <w:rPr>
          <w:rFonts w:ascii="Times New Roman" w:hAnsi="Times New Roman" w:cs="Times New Roman"/>
          <w:sz w:val="26"/>
          <w:szCs w:val="26"/>
        </w:rPr>
        <w:t>Within the public notices, the Commission noted that it would be requesting a three-year extension of the public reporting burden. The Commission received no comments from the public in response to the 60-day notice</w:t>
      </w:r>
      <w:r w:rsidRPr="003C1A87" w:rsidR="008B2E6B">
        <w:rPr>
          <w:rFonts w:ascii="Times New Roman" w:hAnsi="Times New Roman" w:cs="Times New Roman"/>
          <w:sz w:val="26"/>
          <w:szCs w:val="26"/>
        </w:rPr>
        <w:t>.</w:t>
      </w:r>
    </w:p>
    <w:p w:rsidRPr="003C1A87" w:rsidR="00BF20A3" w:rsidP="00D12679" w:rsidRDefault="00BF20A3" w14:paraId="2983A516" w14:textId="77777777">
      <w:pPr>
        <w:spacing w:after="0" w:line="240" w:lineRule="auto"/>
        <w:rPr>
          <w:rFonts w:ascii="Times New Roman" w:hAnsi="Times New Roman" w:cs="Times New Roman"/>
          <w:sz w:val="26"/>
          <w:szCs w:val="26"/>
        </w:rPr>
      </w:pPr>
    </w:p>
    <w:p w:rsidRPr="003C1A87" w:rsidR="00D12679" w:rsidP="00D12679" w:rsidRDefault="00D12679" w14:paraId="3A610AFE"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EXPLAIN ANY PAYMENT OR GIFTS TO RESPONDENTS</w:t>
      </w:r>
    </w:p>
    <w:p w:rsidRPr="003C1A87" w:rsidR="00D12679" w:rsidP="00D12679" w:rsidRDefault="00D12679" w14:paraId="37EF8F7C" w14:textId="77777777">
      <w:pPr>
        <w:spacing w:after="0" w:line="240" w:lineRule="auto"/>
        <w:rPr>
          <w:rFonts w:ascii="Times New Roman" w:hAnsi="Times New Roman" w:cs="Times New Roman"/>
          <w:sz w:val="26"/>
          <w:szCs w:val="26"/>
        </w:rPr>
      </w:pPr>
    </w:p>
    <w:p w:rsidRPr="003C1A87" w:rsidR="00D12679" w:rsidP="00D12679" w:rsidRDefault="00D12679" w14:paraId="7C606062"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There are no gifts or payments given to the respondents</w:t>
      </w:r>
      <w:r w:rsidRPr="003C1A87" w:rsidR="00BF20A3">
        <w:rPr>
          <w:rFonts w:ascii="Times New Roman" w:hAnsi="Times New Roman" w:cs="Times New Roman"/>
          <w:sz w:val="26"/>
          <w:szCs w:val="26"/>
        </w:rPr>
        <w:t xml:space="preserve"> associated with this collection</w:t>
      </w:r>
      <w:r w:rsidRPr="003C1A87">
        <w:rPr>
          <w:rFonts w:ascii="Times New Roman" w:hAnsi="Times New Roman" w:cs="Times New Roman"/>
          <w:sz w:val="26"/>
          <w:szCs w:val="26"/>
        </w:rPr>
        <w:t>.</w:t>
      </w:r>
    </w:p>
    <w:p w:rsidRPr="003C1A87" w:rsidR="00D12679" w:rsidP="00D12679" w:rsidRDefault="00D12679" w14:paraId="185E95BA" w14:textId="77777777">
      <w:pPr>
        <w:spacing w:after="0" w:line="240" w:lineRule="auto"/>
        <w:rPr>
          <w:rFonts w:ascii="Times New Roman" w:hAnsi="Times New Roman" w:cs="Times New Roman"/>
          <w:sz w:val="26"/>
          <w:szCs w:val="26"/>
        </w:rPr>
      </w:pPr>
    </w:p>
    <w:p w:rsidRPr="003C1A87" w:rsidR="00D12679" w:rsidP="00D12679" w:rsidRDefault="00D12679" w14:paraId="7FA2B970"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DESCRIBE ANY ASSURANCE OF CONFIDENTIALITY PROVIDED TO RESPONDENTS</w:t>
      </w:r>
    </w:p>
    <w:p w:rsidRPr="003C1A87" w:rsidR="00D12679" w:rsidP="00D12679" w:rsidRDefault="00D12679" w14:paraId="20B0F8B9" w14:textId="77777777">
      <w:pPr>
        <w:spacing w:after="0" w:line="240" w:lineRule="auto"/>
        <w:rPr>
          <w:rFonts w:ascii="Times New Roman" w:hAnsi="Times New Roman" w:cs="Times New Roman"/>
          <w:sz w:val="26"/>
          <w:szCs w:val="26"/>
        </w:rPr>
      </w:pPr>
    </w:p>
    <w:p w:rsidRPr="003C1A87" w:rsidR="00BF20A3" w:rsidP="00D12679" w:rsidRDefault="00D12679" w14:paraId="40428E93" w14:textId="44E32DF8">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w:t>
      </w:r>
      <w:r w:rsidRPr="003C1A87" w:rsidR="0079273B">
        <w:rPr>
          <w:rFonts w:ascii="Times New Roman" w:hAnsi="Times New Roman" w:cs="Times New Roman"/>
          <w:sz w:val="26"/>
          <w:szCs w:val="26"/>
        </w:rPr>
        <w:t xml:space="preserve">Commission does not consider the information collected in </w:t>
      </w:r>
      <w:r w:rsidRPr="003C1A87">
        <w:rPr>
          <w:rFonts w:ascii="Times New Roman" w:hAnsi="Times New Roman" w:cs="Times New Roman"/>
          <w:sz w:val="26"/>
          <w:szCs w:val="26"/>
        </w:rPr>
        <w:t xml:space="preserve">FERC-566 </w:t>
      </w:r>
      <w:r w:rsidRPr="003C1A87" w:rsidR="00BF20A3">
        <w:rPr>
          <w:rFonts w:ascii="Times New Roman" w:hAnsi="Times New Roman" w:cs="Times New Roman"/>
          <w:sz w:val="26"/>
          <w:szCs w:val="26"/>
        </w:rPr>
        <w:t>filings to be confidential.  However, the Commission will consider specific requests for confidential treatment to the extent permitted by law</w:t>
      </w:r>
      <w:r w:rsidRPr="003C1A87" w:rsidR="000D2824">
        <w:rPr>
          <w:rFonts w:ascii="Times New Roman" w:hAnsi="Times New Roman" w:cs="Times New Roman"/>
          <w:sz w:val="26"/>
          <w:szCs w:val="26"/>
        </w:rPr>
        <w:t>.</w:t>
      </w:r>
      <w:r w:rsidRPr="003C1A87" w:rsidR="00BF20A3">
        <w:rPr>
          <w:rStyle w:val="FootnoteReference"/>
          <w:rFonts w:ascii="Times New Roman" w:hAnsi="Times New Roman" w:cs="Times New Roman"/>
          <w:sz w:val="26"/>
          <w:szCs w:val="26"/>
          <w:vertAlign w:val="superscript"/>
        </w:rPr>
        <w:footnoteReference w:id="8"/>
      </w:r>
      <w:r w:rsidRPr="003C1A87" w:rsidR="00BF20A3">
        <w:rPr>
          <w:rFonts w:ascii="Times New Roman" w:hAnsi="Times New Roman" w:cs="Times New Roman"/>
          <w:sz w:val="26"/>
          <w:szCs w:val="26"/>
        </w:rPr>
        <w:t xml:space="preserve">  The Commission will review each request for confidential treatment on a case-by-case-basis. </w:t>
      </w:r>
    </w:p>
    <w:p w:rsidRPr="003C1A87" w:rsidR="00D12679" w:rsidP="00D12679" w:rsidRDefault="00D12679" w14:paraId="54646E2D" w14:textId="77777777">
      <w:pPr>
        <w:spacing w:after="0" w:line="240" w:lineRule="auto"/>
        <w:rPr>
          <w:rFonts w:ascii="Times New Roman" w:hAnsi="Times New Roman" w:cs="Times New Roman"/>
          <w:sz w:val="26"/>
          <w:szCs w:val="26"/>
        </w:rPr>
      </w:pPr>
    </w:p>
    <w:p w:rsidRPr="003C1A87" w:rsidR="00D12679" w:rsidP="00D12679" w:rsidRDefault="00D12679" w14:paraId="2BE386D8"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3C1A87" w:rsidR="00D12679" w:rsidP="00D12679" w:rsidRDefault="00D12679" w14:paraId="52B8E5C8" w14:textId="77777777">
      <w:pPr>
        <w:spacing w:after="0" w:line="240" w:lineRule="auto"/>
        <w:rPr>
          <w:rFonts w:ascii="Times New Roman" w:hAnsi="Times New Roman" w:cs="Times New Roman"/>
          <w:sz w:val="26"/>
          <w:szCs w:val="26"/>
        </w:rPr>
      </w:pPr>
    </w:p>
    <w:p w:rsidRPr="003C1A87" w:rsidR="00D12679" w:rsidP="00D12679" w:rsidRDefault="0079273B" w14:paraId="1A541747"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There are no questions of a sensitive nature in the reporting requirements.</w:t>
      </w:r>
    </w:p>
    <w:p w:rsidRPr="003C1A87" w:rsidR="0079273B" w:rsidP="00D12679" w:rsidRDefault="0079273B" w14:paraId="270DCEAB" w14:textId="77777777">
      <w:pPr>
        <w:spacing w:after="0" w:line="240" w:lineRule="auto"/>
        <w:rPr>
          <w:rFonts w:ascii="Times New Roman" w:hAnsi="Times New Roman" w:cs="Times New Roman"/>
          <w:sz w:val="26"/>
          <w:szCs w:val="26"/>
        </w:rPr>
      </w:pPr>
    </w:p>
    <w:p w:rsidRPr="003C1A87" w:rsidR="00D12679" w:rsidP="00D12679" w:rsidRDefault="00D12679" w14:paraId="57BE41B9"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ESTIMATED BURDEN OF COLLECTION OF INFORMATION</w:t>
      </w:r>
    </w:p>
    <w:p w:rsidRPr="003C1A87" w:rsidR="00127E0D" w:rsidP="00D12679" w:rsidRDefault="00127E0D" w14:paraId="32650F87" w14:textId="77777777">
      <w:pPr>
        <w:spacing w:after="0" w:line="240" w:lineRule="auto"/>
        <w:rPr>
          <w:rFonts w:ascii="Times New Roman" w:hAnsi="Times New Roman" w:cs="Times New Roman"/>
          <w:sz w:val="26"/>
          <w:szCs w:val="26"/>
        </w:rPr>
      </w:pPr>
    </w:p>
    <w:p w:rsidR="004059E5" w:rsidP="00A51E7D" w:rsidRDefault="00302125" w14:paraId="54495C91" w14:textId="145962C2">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Based on the Commission’s recent information with the burden of FERC-566, the estimated burden and cost is:</w:t>
      </w:r>
    </w:p>
    <w:p w:rsidRPr="003C1A87" w:rsidR="00A51E7D" w:rsidP="00A51E7D" w:rsidRDefault="00A51E7D" w14:paraId="442E718F" w14:textId="77777777">
      <w:pPr>
        <w:spacing w:after="0" w:line="240" w:lineRule="auto"/>
        <w:rPr>
          <w:rFonts w:ascii="Times New Roman" w:hAnsi="Times New Roman" w:cs="Times New Roman"/>
          <w:sz w:val="26"/>
          <w:szCs w:val="26"/>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6"/>
        <w:gridCol w:w="1662"/>
        <w:gridCol w:w="1512"/>
        <w:gridCol w:w="1452"/>
        <w:gridCol w:w="1554"/>
        <w:gridCol w:w="1566"/>
      </w:tblGrid>
      <w:tr w:rsidRPr="003C1A87" w:rsidR="008742C8" w:rsidTr="008742C8" w14:paraId="3A9B8BF2" w14:textId="77777777">
        <w:trPr>
          <w:cantSplit/>
        </w:trPr>
        <w:tc>
          <w:tcPr>
            <w:tcW w:w="0" w:type="auto"/>
            <w:shd w:val="clear" w:color="auto" w:fill="D9D9D9"/>
            <w:vAlign w:val="bottom"/>
          </w:tcPr>
          <w:p w:rsidRPr="003C1A87" w:rsidR="008742C8" w:rsidP="00302125" w:rsidRDefault="008742C8" w14:paraId="17C819ED"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Number of Respondents</w:t>
            </w:r>
            <w:r w:rsidRPr="003C1A87">
              <w:rPr>
                <w:rFonts w:ascii="Times New Roman" w:hAnsi="Times New Roman" w:cs="Times New Roman"/>
                <w:b/>
                <w:sz w:val="26"/>
                <w:szCs w:val="26"/>
              </w:rPr>
              <w:br/>
              <w:t>(1)</w:t>
            </w:r>
          </w:p>
        </w:tc>
        <w:tc>
          <w:tcPr>
            <w:tcW w:w="0" w:type="auto"/>
            <w:shd w:val="clear" w:color="auto" w:fill="D9D9D9"/>
            <w:vAlign w:val="bottom"/>
          </w:tcPr>
          <w:p w:rsidRPr="003C1A87" w:rsidR="008742C8" w:rsidP="00302125" w:rsidRDefault="008742C8" w14:paraId="72974F45"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Annual Number of Responses per Respondent</w:t>
            </w:r>
          </w:p>
          <w:p w:rsidRPr="003C1A87" w:rsidR="008742C8" w:rsidP="00302125" w:rsidRDefault="008742C8" w14:paraId="31C8F06B"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(2)</w:t>
            </w:r>
          </w:p>
        </w:tc>
        <w:tc>
          <w:tcPr>
            <w:tcW w:w="0" w:type="auto"/>
            <w:shd w:val="clear" w:color="auto" w:fill="D9D9D9"/>
            <w:vAlign w:val="bottom"/>
          </w:tcPr>
          <w:p w:rsidRPr="003C1A87" w:rsidR="008742C8" w:rsidP="00302125" w:rsidRDefault="008742C8" w14:paraId="04BC1782"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Total Number of Responses (1)*(2)=(3)</w:t>
            </w:r>
          </w:p>
        </w:tc>
        <w:tc>
          <w:tcPr>
            <w:tcW w:w="0" w:type="auto"/>
            <w:shd w:val="clear" w:color="auto" w:fill="D9D9D9"/>
            <w:vAlign w:val="bottom"/>
          </w:tcPr>
          <w:p w:rsidRPr="003C1A87" w:rsidR="008742C8" w:rsidP="00302125" w:rsidRDefault="008742C8" w14:paraId="3EDE9983"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Average Burden &amp; Cost Per Response</w:t>
            </w:r>
            <w:r w:rsidRPr="003C1A87">
              <w:rPr>
                <w:rFonts w:ascii="Times New Roman" w:hAnsi="Times New Roman" w:cs="Times New Roman"/>
                <w:b/>
                <w:sz w:val="26"/>
                <w:szCs w:val="26"/>
                <w:vertAlign w:val="superscript"/>
              </w:rPr>
              <w:footnoteReference w:id="9"/>
            </w:r>
          </w:p>
          <w:p w:rsidRPr="003C1A87" w:rsidR="008742C8" w:rsidP="00302125" w:rsidRDefault="008742C8" w14:paraId="7CB414C5"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(4)</w:t>
            </w:r>
          </w:p>
        </w:tc>
        <w:tc>
          <w:tcPr>
            <w:tcW w:w="0" w:type="auto"/>
            <w:shd w:val="clear" w:color="auto" w:fill="D9D9D9"/>
            <w:vAlign w:val="bottom"/>
          </w:tcPr>
          <w:p w:rsidRPr="003C1A87" w:rsidR="008742C8" w:rsidP="00302125" w:rsidRDefault="008742C8" w14:paraId="238DD622"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Total Annual Burden Hours &amp; Total Annual Cost</w:t>
            </w:r>
          </w:p>
          <w:p w:rsidRPr="003C1A87" w:rsidR="008742C8" w:rsidP="00302125" w:rsidRDefault="008742C8" w14:paraId="135CA6E7"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(3)*(4)=(5)</w:t>
            </w:r>
          </w:p>
        </w:tc>
        <w:tc>
          <w:tcPr>
            <w:tcW w:w="0" w:type="auto"/>
            <w:shd w:val="clear" w:color="auto" w:fill="D9D9D9"/>
            <w:vAlign w:val="bottom"/>
          </w:tcPr>
          <w:p w:rsidRPr="003C1A87" w:rsidR="008742C8" w:rsidP="00302125" w:rsidRDefault="008742C8" w14:paraId="647BA982"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Cost per Respondent</w:t>
            </w:r>
          </w:p>
          <w:p w:rsidRPr="003C1A87" w:rsidR="008742C8" w:rsidP="00302125" w:rsidRDefault="008742C8" w14:paraId="7722C5E7"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 xml:space="preserve"> ($)</w:t>
            </w:r>
          </w:p>
          <w:p w:rsidRPr="003C1A87" w:rsidR="008742C8" w:rsidP="00302125" w:rsidRDefault="008742C8" w14:paraId="0C0F1B6B"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(5)÷(1)</w:t>
            </w:r>
          </w:p>
        </w:tc>
      </w:tr>
      <w:tr w:rsidRPr="003C1A87" w:rsidR="008742C8" w:rsidTr="008742C8" w14:paraId="15562CA5" w14:textId="77777777">
        <w:trPr>
          <w:cantSplit/>
        </w:trPr>
        <w:tc>
          <w:tcPr>
            <w:tcW w:w="0" w:type="auto"/>
          </w:tcPr>
          <w:p w:rsidRPr="003C1A87" w:rsidR="008742C8" w:rsidP="00676EC3" w:rsidRDefault="008742C8" w14:paraId="566FF9E1" w14:textId="68352834">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321</w:t>
            </w:r>
          </w:p>
        </w:tc>
        <w:tc>
          <w:tcPr>
            <w:tcW w:w="0" w:type="auto"/>
          </w:tcPr>
          <w:p w:rsidRPr="003C1A87" w:rsidR="008742C8" w:rsidP="00676EC3" w:rsidRDefault="008742C8" w14:paraId="20D1FE0A" w14:textId="77777777">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1</w:t>
            </w:r>
          </w:p>
        </w:tc>
        <w:tc>
          <w:tcPr>
            <w:tcW w:w="0" w:type="auto"/>
          </w:tcPr>
          <w:p w:rsidRPr="003C1A87" w:rsidR="008742C8" w:rsidP="00676EC3" w:rsidRDefault="008742C8" w14:paraId="330B7C2F" w14:textId="6C6CFC8B">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321</w:t>
            </w:r>
          </w:p>
        </w:tc>
        <w:tc>
          <w:tcPr>
            <w:tcW w:w="0" w:type="auto"/>
          </w:tcPr>
          <w:p w:rsidRPr="003C1A87" w:rsidR="008742C8" w:rsidP="00676EC3" w:rsidRDefault="008742C8" w14:paraId="5AA7D38A" w14:textId="77777777">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4 hrs.;</w:t>
            </w:r>
          </w:p>
          <w:p w:rsidRPr="003C1A87" w:rsidR="008742C8" w:rsidP="00676EC3" w:rsidRDefault="008742C8" w14:paraId="736B455F" w14:textId="56A781CE">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$348</w:t>
            </w:r>
          </w:p>
        </w:tc>
        <w:tc>
          <w:tcPr>
            <w:tcW w:w="0" w:type="auto"/>
          </w:tcPr>
          <w:p w:rsidRPr="003C1A87" w:rsidR="008742C8" w:rsidP="00676EC3" w:rsidRDefault="008742C8" w14:paraId="75515175" w14:textId="7EB125F5">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 xml:space="preserve"> 1,284 hrs.;</w:t>
            </w:r>
          </w:p>
          <w:p w:rsidRPr="003C1A87" w:rsidR="008742C8" w:rsidP="002E437B" w:rsidRDefault="008742C8" w14:paraId="4BAEF0C3" w14:textId="7D06864F">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 xml:space="preserve">$111,708 </w:t>
            </w:r>
          </w:p>
        </w:tc>
        <w:tc>
          <w:tcPr>
            <w:tcW w:w="0" w:type="auto"/>
          </w:tcPr>
          <w:p w:rsidRPr="003C1A87" w:rsidR="008742C8" w:rsidP="00676EC3" w:rsidRDefault="008742C8" w14:paraId="11573B0A" w14:textId="6BD33EB3">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 xml:space="preserve">$348 </w:t>
            </w:r>
          </w:p>
          <w:p w:rsidRPr="003C1A87" w:rsidR="008742C8" w:rsidP="00676EC3" w:rsidRDefault="008742C8" w14:paraId="5A80AC13" w14:textId="77777777">
            <w:pPr>
              <w:spacing w:after="0" w:line="240" w:lineRule="auto"/>
              <w:jc w:val="right"/>
              <w:rPr>
                <w:rFonts w:ascii="Times New Roman" w:hAnsi="Times New Roman" w:cs="Times New Roman"/>
                <w:sz w:val="26"/>
                <w:szCs w:val="26"/>
              </w:rPr>
            </w:pPr>
          </w:p>
        </w:tc>
      </w:tr>
    </w:tbl>
    <w:p w:rsidRPr="003C1A87" w:rsidR="00302125" w:rsidP="00D12679" w:rsidRDefault="00302125" w14:paraId="25FB8451" w14:textId="77777777">
      <w:pPr>
        <w:spacing w:after="0" w:line="240" w:lineRule="auto"/>
        <w:rPr>
          <w:rFonts w:ascii="Times New Roman" w:hAnsi="Times New Roman" w:cs="Times New Roman"/>
          <w:sz w:val="26"/>
          <w:szCs w:val="26"/>
        </w:rPr>
      </w:pPr>
    </w:p>
    <w:p w:rsidRPr="003C1A87" w:rsidR="00D12679" w:rsidP="00D12679" w:rsidRDefault="00D12679" w14:paraId="3D0FF11E" w14:textId="1FA8A7EF">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ESTIMATE OF THE TOTAL ANNUAL COST BURDEN TO RESPONDENTS</w:t>
      </w:r>
    </w:p>
    <w:p w:rsidRPr="003C1A87" w:rsidR="00D12679" w:rsidP="00D12679" w:rsidRDefault="00D12679" w14:paraId="27A1CFA3" w14:textId="77777777">
      <w:pPr>
        <w:spacing w:after="0" w:line="240" w:lineRule="auto"/>
        <w:rPr>
          <w:rFonts w:ascii="Times New Roman" w:hAnsi="Times New Roman" w:cs="Times New Roman"/>
          <w:sz w:val="26"/>
          <w:szCs w:val="26"/>
        </w:rPr>
      </w:pPr>
    </w:p>
    <w:p w:rsidRPr="003C1A87" w:rsidR="00D12679" w:rsidP="00302125" w:rsidRDefault="00D12679" w14:paraId="05A75B7D" w14:textId="22AD58D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There are no </w:t>
      </w:r>
      <w:r w:rsidRPr="003C1A87" w:rsidR="00302125">
        <w:rPr>
          <w:rFonts w:ascii="Times New Roman" w:hAnsi="Times New Roman" w:cs="Times New Roman"/>
          <w:sz w:val="26"/>
          <w:szCs w:val="26"/>
        </w:rPr>
        <w:t xml:space="preserve">non-labor </w:t>
      </w:r>
      <w:r w:rsidRPr="003C1A87" w:rsidR="00C50C78">
        <w:rPr>
          <w:rFonts w:ascii="Times New Roman" w:hAnsi="Times New Roman" w:cs="Times New Roman"/>
          <w:sz w:val="26"/>
          <w:szCs w:val="26"/>
        </w:rPr>
        <w:t>Paperwork Reduction Act (</w:t>
      </w:r>
      <w:r w:rsidRPr="003C1A87" w:rsidR="00302125">
        <w:rPr>
          <w:rFonts w:ascii="Times New Roman" w:hAnsi="Times New Roman" w:cs="Times New Roman"/>
          <w:sz w:val="26"/>
          <w:szCs w:val="26"/>
        </w:rPr>
        <w:t>PRA</w:t>
      </w:r>
      <w:r w:rsidRPr="003C1A87" w:rsidR="00C50C78">
        <w:rPr>
          <w:rFonts w:ascii="Times New Roman" w:hAnsi="Times New Roman" w:cs="Times New Roman"/>
          <w:sz w:val="26"/>
          <w:szCs w:val="26"/>
        </w:rPr>
        <w:t>)</w:t>
      </w:r>
      <w:r w:rsidRPr="003C1A87" w:rsidR="00302125">
        <w:rPr>
          <w:rFonts w:ascii="Times New Roman" w:hAnsi="Times New Roman" w:cs="Times New Roman"/>
          <w:sz w:val="26"/>
          <w:szCs w:val="26"/>
        </w:rPr>
        <w:t xml:space="preserve"> related costs.  All of the costs in the information collection are associated with burden hours and addressed in Questions 12 and 15.</w:t>
      </w:r>
    </w:p>
    <w:p w:rsidRPr="003C1A87" w:rsidR="00D12679" w:rsidP="00D12679" w:rsidRDefault="00D12679" w14:paraId="006D7187" w14:textId="43E04BA2">
      <w:pPr>
        <w:spacing w:after="0" w:line="240" w:lineRule="auto"/>
        <w:rPr>
          <w:rFonts w:ascii="Times New Roman" w:hAnsi="Times New Roman" w:cs="Times New Roman"/>
          <w:sz w:val="26"/>
          <w:szCs w:val="26"/>
        </w:rPr>
      </w:pPr>
    </w:p>
    <w:p w:rsidRPr="003C1A87" w:rsidR="00D12679" w:rsidP="00D12679" w:rsidRDefault="00D12679" w14:paraId="01A8F47B"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ESTIMATED ANNUALIZED COST TO FEDERAL GOVERNMENT</w:t>
      </w:r>
    </w:p>
    <w:p w:rsidRPr="003C1A87" w:rsidR="0079273B" w:rsidP="00D12679" w:rsidRDefault="0079273B" w14:paraId="49B7BB25" w14:textId="77777777">
      <w:pPr>
        <w:spacing w:after="0" w:line="240" w:lineRule="auto"/>
        <w:rPr>
          <w:rFonts w:ascii="Times New Roman" w:hAnsi="Times New Roman" w:cs="Times New Roman"/>
          <w:sz w:val="26"/>
          <w:szCs w:val="26"/>
        </w:rPr>
      </w:pPr>
    </w:p>
    <w:p w:rsidRPr="003C1A87" w:rsidR="005365F7" w:rsidP="00B55DDB" w:rsidRDefault="00D12679" w14:paraId="5B881041" w14:textId="6C57B2E0">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following table contains the annualized effort and cost </w:t>
      </w:r>
      <w:r w:rsidRPr="003C1A87" w:rsidR="0079273B">
        <w:rPr>
          <w:rFonts w:ascii="Times New Roman" w:hAnsi="Times New Roman" w:cs="Times New Roman"/>
          <w:sz w:val="26"/>
          <w:szCs w:val="26"/>
        </w:rPr>
        <w:t xml:space="preserve">to the Federal Government </w:t>
      </w:r>
      <w:r w:rsidRPr="003C1A87">
        <w:rPr>
          <w:rFonts w:ascii="Times New Roman" w:hAnsi="Times New Roman" w:cs="Times New Roman"/>
          <w:sz w:val="26"/>
          <w:szCs w:val="26"/>
        </w:rPr>
        <w:t>for FERC-566.</w:t>
      </w:r>
    </w:p>
    <w:p w:rsidRPr="003C1A87" w:rsidR="00B55DDB" w:rsidP="00B55DDB" w:rsidRDefault="00B55DDB" w14:paraId="7B7625EB" w14:textId="77777777">
      <w:pPr>
        <w:spacing w:after="0" w:line="240"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3C1A87" w:rsidR="00D12679" w:rsidTr="00A300E1" w14:paraId="1BE89F17" w14:textId="77777777">
        <w:tc>
          <w:tcPr>
            <w:tcW w:w="3182" w:type="dxa"/>
            <w:shd w:val="clear" w:color="auto" w:fill="CCCCCC"/>
          </w:tcPr>
          <w:p w:rsidRPr="003C1A87" w:rsidR="00D12679" w:rsidP="00A300E1" w:rsidRDefault="00D12679" w14:paraId="50548A73"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FERC-566</w:t>
            </w:r>
          </w:p>
        </w:tc>
        <w:tc>
          <w:tcPr>
            <w:tcW w:w="3201" w:type="dxa"/>
            <w:shd w:val="clear" w:color="auto" w:fill="CCCCCC"/>
          </w:tcPr>
          <w:p w:rsidRPr="003C1A87" w:rsidR="00D12679" w:rsidP="00A300E1" w:rsidRDefault="00D12679" w14:paraId="56503990"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Number of Employees (FTEs)</w:t>
            </w:r>
          </w:p>
        </w:tc>
        <w:tc>
          <w:tcPr>
            <w:tcW w:w="2995" w:type="dxa"/>
            <w:shd w:val="clear" w:color="auto" w:fill="CCCCCC"/>
          </w:tcPr>
          <w:p w:rsidRPr="003C1A87" w:rsidR="00D12679" w:rsidP="00A300E1" w:rsidRDefault="00D12679" w14:paraId="5EBD36B5"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Estimated Annual Federal Cost</w:t>
            </w:r>
          </w:p>
        </w:tc>
      </w:tr>
      <w:tr w:rsidRPr="003C1A87" w:rsidR="00D12679" w:rsidTr="00A300E1" w14:paraId="140A5AB2" w14:textId="77777777">
        <w:tc>
          <w:tcPr>
            <w:tcW w:w="3182" w:type="dxa"/>
            <w:shd w:val="clear" w:color="auto" w:fill="auto"/>
          </w:tcPr>
          <w:p w:rsidRPr="003C1A87" w:rsidR="00D12679" w:rsidP="00A300E1" w:rsidRDefault="00D12679" w14:paraId="462BE6F5"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Analysis and Processing of filings</w:t>
            </w:r>
            <w:r w:rsidRPr="003C1A87">
              <w:rPr>
                <w:rStyle w:val="FootnoteReference"/>
                <w:rFonts w:ascii="Times New Roman" w:hAnsi="Times New Roman" w:cs="Times New Roman"/>
                <w:sz w:val="26"/>
                <w:szCs w:val="26"/>
                <w:vertAlign w:val="superscript"/>
              </w:rPr>
              <w:footnoteReference w:id="10"/>
            </w:r>
          </w:p>
        </w:tc>
        <w:tc>
          <w:tcPr>
            <w:tcW w:w="3201" w:type="dxa"/>
            <w:tcBorders>
              <w:bottom w:val="single" w:color="auto" w:sz="4" w:space="0"/>
            </w:tcBorders>
            <w:shd w:val="clear" w:color="auto" w:fill="auto"/>
            <w:vAlign w:val="center"/>
          </w:tcPr>
          <w:p w:rsidRPr="003C1A87" w:rsidR="00D12679" w:rsidP="00A300E1" w:rsidRDefault="0079273B" w14:paraId="1D482849" w14:textId="77777777">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0.5</w:t>
            </w:r>
            <w:r w:rsidRPr="003C1A87" w:rsidR="00C50C78">
              <w:rPr>
                <w:rFonts w:ascii="Times New Roman" w:hAnsi="Times New Roman" w:cs="Times New Roman"/>
                <w:sz w:val="26"/>
                <w:szCs w:val="26"/>
              </w:rPr>
              <w:t>0</w:t>
            </w:r>
          </w:p>
        </w:tc>
        <w:tc>
          <w:tcPr>
            <w:tcW w:w="2995" w:type="dxa"/>
            <w:shd w:val="clear" w:color="auto" w:fill="auto"/>
            <w:vAlign w:val="center"/>
          </w:tcPr>
          <w:p w:rsidRPr="003C1A87" w:rsidR="00D12679" w:rsidP="00B36900" w:rsidRDefault="00D12679" w14:paraId="743E45D8" w14:textId="4F22FEE1">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Pr="003C1A87" w:rsidR="006E0D23">
              <w:rPr>
                <w:rFonts w:ascii="Times New Roman" w:hAnsi="Times New Roman" w:cs="Times New Roman"/>
                <w:sz w:val="26"/>
                <w:szCs w:val="26"/>
              </w:rPr>
              <w:t>90,351.50</w:t>
            </w:r>
          </w:p>
        </w:tc>
      </w:tr>
      <w:tr w:rsidRPr="003C1A87" w:rsidR="00D12679" w:rsidTr="00A300E1" w14:paraId="5EAE2EBE" w14:textId="77777777">
        <w:tc>
          <w:tcPr>
            <w:tcW w:w="3182" w:type="dxa"/>
            <w:shd w:val="clear" w:color="auto" w:fill="auto"/>
          </w:tcPr>
          <w:p w:rsidRPr="003C1A87" w:rsidR="00D12679" w:rsidP="00A300E1" w:rsidRDefault="00D12679" w14:paraId="6C460F71" w14:textId="2BFBE86F">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Paperwork Reduction Act Administrative Cost</w:t>
            </w:r>
          </w:p>
        </w:tc>
        <w:tc>
          <w:tcPr>
            <w:tcW w:w="3201" w:type="dxa"/>
            <w:shd w:val="clear" w:color="auto" w:fill="D9D9D9" w:themeFill="background1" w:themeFillShade="D9"/>
            <w:vAlign w:val="center"/>
          </w:tcPr>
          <w:p w:rsidRPr="003C1A87" w:rsidR="00D12679" w:rsidP="00A300E1" w:rsidRDefault="00D12679" w14:paraId="56CB4568"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Pr="003C1A87" w:rsidR="00D12679" w:rsidP="00B36900" w:rsidRDefault="00D12679" w14:paraId="4F327B3A" w14:textId="702E459B">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Pr="003C1A87" w:rsidR="006E0D23">
              <w:rPr>
                <w:rFonts w:ascii="Times New Roman" w:hAnsi="Times New Roman" w:cs="Times New Roman"/>
                <w:sz w:val="26"/>
                <w:szCs w:val="26"/>
              </w:rPr>
              <w:t>8,279.00</w:t>
            </w:r>
          </w:p>
        </w:tc>
      </w:tr>
      <w:tr w:rsidRPr="003C1A87" w:rsidR="00D12679" w:rsidTr="00A300E1" w14:paraId="33E0FAF1" w14:textId="77777777">
        <w:tc>
          <w:tcPr>
            <w:tcW w:w="3182" w:type="dxa"/>
            <w:shd w:val="clear" w:color="auto" w:fill="auto"/>
          </w:tcPr>
          <w:p w:rsidRPr="003C1A87" w:rsidR="00D12679" w:rsidP="00A300E1" w:rsidRDefault="00D12679" w14:paraId="5B442496" w14:textId="77777777">
            <w:pPr>
              <w:spacing w:after="0" w:line="240" w:lineRule="auto"/>
              <w:rPr>
                <w:rFonts w:ascii="Times New Roman" w:hAnsi="Times New Roman" w:cs="Times New Roman"/>
                <w:b/>
                <w:sz w:val="26"/>
                <w:szCs w:val="26"/>
              </w:rPr>
            </w:pPr>
            <w:r w:rsidRPr="003C1A87">
              <w:rPr>
                <w:rFonts w:ascii="Times New Roman" w:hAnsi="Times New Roman" w:cs="Times New Roman"/>
                <w:b/>
                <w:sz w:val="26"/>
                <w:szCs w:val="26"/>
              </w:rPr>
              <w:t>TOTAL</w:t>
            </w:r>
          </w:p>
        </w:tc>
        <w:tc>
          <w:tcPr>
            <w:tcW w:w="3201" w:type="dxa"/>
            <w:shd w:val="clear" w:color="auto" w:fill="D9D9D9" w:themeFill="background1" w:themeFillShade="D9"/>
            <w:vAlign w:val="center"/>
          </w:tcPr>
          <w:p w:rsidRPr="003C1A87" w:rsidR="00D12679" w:rsidP="00A300E1" w:rsidRDefault="00D12679" w14:paraId="603C681B" w14:textId="77777777">
            <w:pPr>
              <w:spacing w:after="0" w:line="240" w:lineRule="auto"/>
              <w:jc w:val="right"/>
              <w:rPr>
                <w:rFonts w:ascii="Times New Roman" w:hAnsi="Times New Roman" w:cs="Times New Roman"/>
                <w:b/>
                <w:sz w:val="26"/>
                <w:szCs w:val="26"/>
              </w:rPr>
            </w:pPr>
          </w:p>
        </w:tc>
        <w:tc>
          <w:tcPr>
            <w:tcW w:w="2995" w:type="dxa"/>
            <w:shd w:val="clear" w:color="auto" w:fill="auto"/>
            <w:vAlign w:val="center"/>
          </w:tcPr>
          <w:p w:rsidRPr="003C1A87" w:rsidR="00D12679" w:rsidP="00B36900" w:rsidRDefault="0079273B" w14:paraId="0872B6F1" w14:textId="57CE7042">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Pr="003C1A87" w:rsidR="002A12EE">
              <w:rPr>
                <w:rFonts w:ascii="Times New Roman" w:hAnsi="Times New Roman" w:cs="Times New Roman"/>
                <w:sz w:val="26"/>
                <w:szCs w:val="26"/>
              </w:rPr>
              <w:t>98</w:t>
            </w:r>
            <w:r w:rsidRPr="003C1A87" w:rsidR="00CF1330">
              <w:rPr>
                <w:rFonts w:ascii="Times New Roman" w:hAnsi="Times New Roman" w:cs="Times New Roman"/>
                <w:sz w:val="26"/>
                <w:szCs w:val="26"/>
              </w:rPr>
              <w:t>,630.50</w:t>
            </w:r>
          </w:p>
        </w:tc>
      </w:tr>
    </w:tbl>
    <w:p w:rsidRPr="003C1A87" w:rsidR="00D12679" w:rsidP="00D12679" w:rsidRDefault="00D12679" w14:paraId="5907BCA7" w14:textId="77777777">
      <w:pPr>
        <w:spacing w:after="0" w:line="240" w:lineRule="auto"/>
        <w:rPr>
          <w:rFonts w:ascii="Times New Roman" w:hAnsi="Times New Roman" w:cs="Times New Roman"/>
          <w:sz w:val="26"/>
          <w:szCs w:val="26"/>
        </w:rPr>
      </w:pPr>
    </w:p>
    <w:p w:rsidRPr="003C1A87" w:rsidR="0079273B" w:rsidP="0079273B" w:rsidRDefault="0079273B" w14:paraId="18DD28FD" w14:textId="2C19711B">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 Commission bases its estimate of the </w:t>
      </w:r>
      <w:r w:rsidRPr="003C1A87" w:rsidR="00F24FF5">
        <w:rPr>
          <w:rFonts w:ascii="Times New Roman" w:hAnsi="Times New Roman" w:cs="Times New Roman"/>
          <w:sz w:val="26"/>
          <w:szCs w:val="26"/>
        </w:rPr>
        <w:t>“</w:t>
      </w:r>
      <w:r w:rsidRPr="003C1A87">
        <w:rPr>
          <w:rFonts w:ascii="Times New Roman" w:hAnsi="Times New Roman" w:cs="Times New Roman"/>
          <w:sz w:val="26"/>
          <w:szCs w:val="26"/>
        </w:rPr>
        <w:t>Analysis and Processing of filings</w:t>
      </w:r>
      <w:r w:rsidRPr="003C1A87" w:rsidR="00F24FF5">
        <w:rPr>
          <w:rFonts w:ascii="Times New Roman" w:hAnsi="Times New Roman" w:cs="Times New Roman"/>
          <w:sz w:val="26"/>
          <w:szCs w:val="26"/>
        </w:rPr>
        <w:t>”</w:t>
      </w:r>
      <w:r w:rsidRPr="003C1A87">
        <w:rPr>
          <w:rFonts w:ascii="Times New Roman" w:hAnsi="Times New Roman" w:cs="Times New Roman"/>
          <w:sz w:val="26"/>
          <w:szCs w:val="26"/>
        </w:rPr>
        <w:t xml:space="preserve"> cost to the Federal Government on salaries and benefits for professional and clerical support.  This estimated cost represents staff analysis, decision making, and review of any actual filings made in response to the information collection.  </w:t>
      </w:r>
    </w:p>
    <w:p w:rsidRPr="003C1A87" w:rsidR="0079273B" w:rsidP="0079273B" w:rsidRDefault="0079273B" w14:paraId="777A2EF9" w14:textId="77777777">
      <w:pPr>
        <w:spacing w:after="0" w:line="240" w:lineRule="auto"/>
        <w:rPr>
          <w:rFonts w:ascii="Times New Roman" w:hAnsi="Times New Roman" w:cs="Times New Roman"/>
          <w:sz w:val="26"/>
          <w:szCs w:val="26"/>
        </w:rPr>
      </w:pPr>
    </w:p>
    <w:p w:rsidRPr="003C1A87" w:rsidR="0079273B" w:rsidP="0079273B" w:rsidRDefault="0079273B" w14:paraId="25690816" w14:textId="2735386E">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as well as related publications in the Federal Register.</w:t>
      </w:r>
    </w:p>
    <w:p w:rsidRPr="003C1A87" w:rsidR="0079273B" w:rsidP="00D12679" w:rsidRDefault="0079273B" w14:paraId="4967F0C2" w14:textId="77777777">
      <w:pPr>
        <w:spacing w:after="0" w:line="240" w:lineRule="auto"/>
        <w:rPr>
          <w:rFonts w:ascii="Times New Roman" w:hAnsi="Times New Roman" w:cs="Times New Roman"/>
          <w:sz w:val="26"/>
          <w:szCs w:val="26"/>
        </w:rPr>
      </w:pPr>
    </w:p>
    <w:p w:rsidRPr="003C1A87" w:rsidR="00D12679" w:rsidP="00D12679" w:rsidRDefault="00D12679" w14:paraId="338C283B"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REASONS FOR CHANGES IN BURDEN INCLUDING THE NEED FOR ANY INCREASE</w:t>
      </w:r>
    </w:p>
    <w:p w:rsidRPr="003C1A87" w:rsidR="00A3720B" w:rsidP="00D12679" w:rsidRDefault="00A3720B" w14:paraId="7F78D7A4" w14:textId="77777777">
      <w:pPr>
        <w:pStyle w:val="FERCparanumber"/>
        <w:numPr>
          <w:ilvl w:val="0"/>
          <w:numId w:val="0"/>
        </w:numPr>
        <w:spacing w:line="240" w:lineRule="auto"/>
        <w:rPr>
          <w:szCs w:val="26"/>
        </w:rPr>
      </w:pPr>
    </w:p>
    <w:p w:rsidRPr="003C1A87" w:rsidR="0079273B" w:rsidP="00D12679" w:rsidRDefault="00973CA1" w14:paraId="72E95A16" w14:textId="64CE66D5">
      <w:pPr>
        <w:pStyle w:val="FERCparanumber"/>
        <w:numPr>
          <w:ilvl w:val="0"/>
          <w:numId w:val="0"/>
        </w:numPr>
        <w:spacing w:line="240" w:lineRule="auto"/>
        <w:rPr>
          <w:szCs w:val="26"/>
        </w:rPr>
      </w:pPr>
      <w:r>
        <w:rPr>
          <w:szCs w:val="26"/>
        </w:rPr>
        <w:t xml:space="preserve">There are no program changes.  </w:t>
      </w:r>
      <w:r w:rsidRPr="003C1A87" w:rsidR="00AC71AE">
        <w:rPr>
          <w:szCs w:val="26"/>
        </w:rPr>
        <w:t>The estimated number of annual responses has been adjusted from 300 to 321</w:t>
      </w:r>
      <w:r w:rsidRPr="003C1A87" w:rsidR="00533793">
        <w:rPr>
          <w:szCs w:val="26"/>
        </w:rPr>
        <w:t xml:space="preserve"> to account for changes in the number of public utilities</w:t>
      </w:r>
      <w:r w:rsidRPr="003C1A87" w:rsidR="004311AD">
        <w:rPr>
          <w:szCs w:val="26"/>
        </w:rPr>
        <w:t xml:space="preserve"> that are subject to the requirements of this information collection.</w:t>
      </w:r>
      <w:r w:rsidRPr="003C1A87" w:rsidR="00144FAE">
        <w:rPr>
          <w:szCs w:val="26"/>
        </w:rPr>
        <w:t xml:space="preserve">  </w:t>
      </w:r>
      <w:r w:rsidRPr="003C1A87" w:rsidR="00B46067">
        <w:rPr>
          <w:szCs w:val="26"/>
        </w:rPr>
        <w:t xml:space="preserve">The </w:t>
      </w:r>
      <w:r w:rsidR="00C974FD">
        <w:rPr>
          <w:szCs w:val="26"/>
        </w:rPr>
        <w:t xml:space="preserve">estimated number of </w:t>
      </w:r>
      <w:r w:rsidR="00DD559A">
        <w:rPr>
          <w:szCs w:val="26"/>
        </w:rPr>
        <w:t xml:space="preserve">annual </w:t>
      </w:r>
      <w:r w:rsidR="00C974FD">
        <w:rPr>
          <w:szCs w:val="26"/>
        </w:rPr>
        <w:t xml:space="preserve">burden hours has been adjusted </w:t>
      </w:r>
      <w:r w:rsidR="00C32243">
        <w:rPr>
          <w:szCs w:val="26"/>
        </w:rPr>
        <w:t>from 1,200 to 1,2</w:t>
      </w:r>
      <w:r w:rsidR="004F49A9">
        <w:rPr>
          <w:szCs w:val="26"/>
        </w:rPr>
        <w:t>84 because of the increase</w:t>
      </w:r>
      <w:r w:rsidR="00601B1A">
        <w:rPr>
          <w:szCs w:val="26"/>
        </w:rPr>
        <w:t>d</w:t>
      </w:r>
      <w:r w:rsidR="004F49A9">
        <w:rPr>
          <w:szCs w:val="26"/>
        </w:rPr>
        <w:t xml:space="preserve"> number of respondents.</w:t>
      </w:r>
      <w:r w:rsidR="004A6FAF">
        <w:rPr>
          <w:szCs w:val="26"/>
        </w:rPr>
        <w:t xml:space="preserve">  These changes are itemized in the following table:</w:t>
      </w:r>
    </w:p>
    <w:p w:rsidRPr="003C1A87" w:rsidR="00D12679" w:rsidP="00D12679" w:rsidRDefault="00D12679" w14:paraId="7D31E16B" w14:textId="77777777">
      <w:pPr>
        <w:pStyle w:val="FERCparanumber"/>
        <w:numPr>
          <w:ilvl w:val="0"/>
          <w:numId w:val="0"/>
        </w:numPr>
        <w:spacing w:line="240" w:lineRule="auto"/>
        <w:rPr>
          <w:szCs w:val="26"/>
          <w:u w:val="single"/>
        </w:rPr>
      </w:pPr>
    </w:p>
    <w:tbl>
      <w:tblPr>
        <w:tblW w:w="996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2227"/>
        <w:gridCol w:w="1980"/>
      </w:tblGrid>
      <w:tr w:rsidRPr="003C1A87" w:rsidR="00D12679" w:rsidTr="00E762F1" w14:paraId="1F6AAA4D" w14:textId="77777777">
        <w:trPr>
          <w:trHeight w:val="870"/>
        </w:trPr>
        <w:tc>
          <w:tcPr>
            <w:tcW w:w="2679" w:type="dxa"/>
            <w:shd w:val="clear" w:color="auto" w:fill="D9D9D9"/>
            <w:vAlign w:val="bottom"/>
          </w:tcPr>
          <w:p w:rsidRPr="003C1A87" w:rsidR="00D12679" w:rsidP="00A300E1" w:rsidRDefault="00D12679" w14:paraId="7DA1C792"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FERC-566</w:t>
            </w:r>
          </w:p>
        </w:tc>
        <w:tc>
          <w:tcPr>
            <w:tcW w:w="1461" w:type="dxa"/>
            <w:shd w:val="clear" w:color="auto" w:fill="D9D9D9"/>
            <w:vAlign w:val="bottom"/>
          </w:tcPr>
          <w:p w:rsidRPr="003C1A87" w:rsidR="00D12679" w:rsidP="00A300E1" w:rsidRDefault="00D12679" w14:paraId="42721610"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Total Request</w:t>
            </w:r>
          </w:p>
        </w:tc>
        <w:tc>
          <w:tcPr>
            <w:tcW w:w="1620" w:type="dxa"/>
            <w:shd w:val="clear" w:color="auto" w:fill="D9D9D9"/>
            <w:vAlign w:val="bottom"/>
          </w:tcPr>
          <w:p w:rsidRPr="003C1A87" w:rsidR="00D12679" w:rsidP="00A300E1" w:rsidRDefault="00D12679" w14:paraId="2DC53E8D"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Previously Approved</w:t>
            </w:r>
          </w:p>
        </w:tc>
        <w:tc>
          <w:tcPr>
            <w:tcW w:w="2227" w:type="dxa"/>
            <w:shd w:val="clear" w:color="auto" w:fill="D9D9D9"/>
            <w:vAlign w:val="bottom"/>
          </w:tcPr>
          <w:p w:rsidRPr="003C1A87" w:rsidR="00D12679" w:rsidP="00A300E1" w:rsidRDefault="00D12679" w14:paraId="02FD7FCB"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Change due to Adjustment in Estimate</w:t>
            </w:r>
          </w:p>
        </w:tc>
        <w:tc>
          <w:tcPr>
            <w:tcW w:w="1980" w:type="dxa"/>
            <w:shd w:val="clear" w:color="auto" w:fill="D9D9D9"/>
            <w:vAlign w:val="bottom"/>
          </w:tcPr>
          <w:p w:rsidRPr="003C1A87" w:rsidR="00D12679" w:rsidP="00A300E1" w:rsidRDefault="00D12679" w14:paraId="521C36AF" w14:textId="77777777">
            <w:pPr>
              <w:spacing w:after="0" w:line="240" w:lineRule="auto"/>
              <w:jc w:val="center"/>
              <w:rPr>
                <w:rFonts w:ascii="Times New Roman" w:hAnsi="Times New Roman" w:cs="Times New Roman"/>
                <w:b/>
                <w:sz w:val="26"/>
                <w:szCs w:val="26"/>
              </w:rPr>
            </w:pPr>
            <w:r w:rsidRPr="003C1A87">
              <w:rPr>
                <w:rFonts w:ascii="Times New Roman" w:hAnsi="Times New Roman" w:cs="Times New Roman"/>
                <w:b/>
                <w:sz w:val="26"/>
                <w:szCs w:val="26"/>
              </w:rPr>
              <w:t>Change Due to Agency Discretion</w:t>
            </w:r>
          </w:p>
        </w:tc>
      </w:tr>
      <w:tr w:rsidRPr="003C1A87" w:rsidR="00D12679" w:rsidTr="00E762F1" w14:paraId="37656934" w14:textId="77777777">
        <w:trPr>
          <w:trHeight w:val="591"/>
        </w:trPr>
        <w:tc>
          <w:tcPr>
            <w:tcW w:w="2679" w:type="dxa"/>
            <w:shd w:val="clear" w:color="auto" w:fill="auto"/>
          </w:tcPr>
          <w:p w:rsidRPr="003C1A87" w:rsidR="00D12679" w:rsidP="00A300E1" w:rsidRDefault="00D12679" w14:paraId="5A140478" w14:textId="77777777">
            <w:pPr>
              <w:spacing w:after="0" w:line="240" w:lineRule="auto"/>
              <w:jc w:val="center"/>
              <w:rPr>
                <w:rFonts w:ascii="Times New Roman" w:hAnsi="Times New Roman" w:cs="Times New Roman"/>
                <w:sz w:val="26"/>
                <w:szCs w:val="26"/>
              </w:rPr>
            </w:pPr>
            <w:r w:rsidRPr="003C1A87">
              <w:rPr>
                <w:rFonts w:ascii="Times New Roman" w:hAnsi="Times New Roman" w:cs="Times New Roman"/>
                <w:sz w:val="26"/>
                <w:szCs w:val="26"/>
              </w:rPr>
              <w:t>Annual Number of Responses</w:t>
            </w:r>
          </w:p>
        </w:tc>
        <w:tc>
          <w:tcPr>
            <w:tcW w:w="1461" w:type="dxa"/>
            <w:shd w:val="clear" w:color="auto" w:fill="auto"/>
            <w:vAlign w:val="center"/>
          </w:tcPr>
          <w:p w:rsidRPr="003C1A87" w:rsidR="00D12679" w:rsidP="000428FA" w:rsidRDefault="00144FAE" w14:paraId="4CFC47C9" w14:textId="0747F166">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321</w:t>
            </w:r>
          </w:p>
        </w:tc>
        <w:tc>
          <w:tcPr>
            <w:tcW w:w="1620" w:type="dxa"/>
            <w:shd w:val="clear" w:color="auto" w:fill="auto"/>
            <w:vAlign w:val="center"/>
          </w:tcPr>
          <w:p w:rsidRPr="003C1A87" w:rsidR="00D12679" w:rsidP="00273FDA" w:rsidRDefault="00144FAE" w14:paraId="055ABBD8" w14:textId="22F45776">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300</w:t>
            </w:r>
          </w:p>
        </w:tc>
        <w:tc>
          <w:tcPr>
            <w:tcW w:w="2227" w:type="dxa"/>
            <w:shd w:val="clear" w:color="auto" w:fill="auto"/>
            <w:vAlign w:val="center"/>
          </w:tcPr>
          <w:p w:rsidRPr="003C1A87" w:rsidR="00D12679" w:rsidP="00A300E1" w:rsidRDefault="0086406E" w14:paraId="04E50E6F" w14:textId="761BC01C">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Pr="003C1A87" w:rsidR="00E00547">
              <w:rPr>
                <w:rFonts w:ascii="Times New Roman" w:hAnsi="Times New Roman" w:cs="Times New Roman"/>
                <w:sz w:val="26"/>
                <w:szCs w:val="26"/>
              </w:rPr>
              <w:t>21</w:t>
            </w:r>
          </w:p>
        </w:tc>
        <w:tc>
          <w:tcPr>
            <w:tcW w:w="1980" w:type="dxa"/>
            <w:shd w:val="clear" w:color="auto" w:fill="auto"/>
            <w:vAlign w:val="center"/>
          </w:tcPr>
          <w:p w:rsidRPr="003C1A87" w:rsidR="00D12679" w:rsidP="00022F6F" w:rsidRDefault="0097484B" w14:paraId="62677E4E" w14:textId="2B299BD1">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0</w:t>
            </w:r>
          </w:p>
        </w:tc>
      </w:tr>
      <w:tr w:rsidRPr="003C1A87" w:rsidR="00D12679" w:rsidTr="00E762F1" w14:paraId="7E50203A" w14:textId="77777777">
        <w:trPr>
          <w:trHeight w:val="575"/>
        </w:trPr>
        <w:tc>
          <w:tcPr>
            <w:tcW w:w="2679" w:type="dxa"/>
            <w:shd w:val="clear" w:color="auto" w:fill="auto"/>
          </w:tcPr>
          <w:p w:rsidRPr="003C1A87" w:rsidR="00D12679" w:rsidP="00A300E1" w:rsidRDefault="00D12679" w14:paraId="4881B4D3" w14:textId="513E6376">
            <w:pPr>
              <w:spacing w:after="0" w:line="240" w:lineRule="auto"/>
              <w:jc w:val="center"/>
              <w:rPr>
                <w:rFonts w:ascii="Times New Roman" w:hAnsi="Times New Roman" w:cs="Times New Roman"/>
                <w:sz w:val="26"/>
                <w:szCs w:val="26"/>
              </w:rPr>
            </w:pPr>
            <w:r w:rsidRPr="003C1A87">
              <w:rPr>
                <w:rFonts w:ascii="Times New Roman" w:hAnsi="Times New Roman" w:cs="Times New Roman"/>
                <w:sz w:val="26"/>
                <w:szCs w:val="26"/>
              </w:rPr>
              <w:t>Annual Time Burden (Hr</w:t>
            </w:r>
            <w:r w:rsidRPr="003C1A87" w:rsidR="00862F6F">
              <w:rPr>
                <w:rFonts w:ascii="Times New Roman" w:hAnsi="Times New Roman" w:cs="Times New Roman"/>
                <w:sz w:val="26"/>
                <w:szCs w:val="26"/>
              </w:rPr>
              <w:t>.</w:t>
            </w:r>
            <w:r w:rsidRPr="003C1A87">
              <w:rPr>
                <w:rFonts w:ascii="Times New Roman" w:hAnsi="Times New Roman" w:cs="Times New Roman"/>
                <w:sz w:val="26"/>
                <w:szCs w:val="26"/>
              </w:rPr>
              <w:t>)</w:t>
            </w:r>
          </w:p>
        </w:tc>
        <w:tc>
          <w:tcPr>
            <w:tcW w:w="1461" w:type="dxa"/>
            <w:shd w:val="clear" w:color="auto" w:fill="auto"/>
            <w:vAlign w:val="center"/>
          </w:tcPr>
          <w:p w:rsidRPr="003C1A87" w:rsidR="00D12679" w:rsidP="000428FA" w:rsidRDefault="000428FA" w14:paraId="3302E0B0" w14:textId="205DB0A8">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1,2</w:t>
            </w:r>
            <w:r w:rsidR="004F49A9">
              <w:rPr>
                <w:rFonts w:ascii="Times New Roman" w:hAnsi="Times New Roman" w:cs="Times New Roman"/>
                <w:sz w:val="26"/>
                <w:szCs w:val="26"/>
              </w:rPr>
              <w:t>84</w:t>
            </w:r>
          </w:p>
        </w:tc>
        <w:tc>
          <w:tcPr>
            <w:tcW w:w="1620" w:type="dxa"/>
            <w:shd w:val="clear" w:color="auto" w:fill="auto"/>
            <w:vAlign w:val="center"/>
          </w:tcPr>
          <w:p w:rsidRPr="003C1A87" w:rsidR="00D12679" w:rsidP="00A300E1" w:rsidRDefault="00E00547" w14:paraId="10729835" w14:textId="2D4C5312">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1,200</w:t>
            </w:r>
          </w:p>
        </w:tc>
        <w:tc>
          <w:tcPr>
            <w:tcW w:w="2227" w:type="dxa"/>
            <w:shd w:val="clear" w:color="auto" w:fill="auto"/>
            <w:vAlign w:val="center"/>
          </w:tcPr>
          <w:p w:rsidRPr="003C1A87" w:rsidR="00D12679" w:rsidP="00A300E1" w:rsidRDefault="0086406E" w14:paraId="1745DBAF" w14:textId="12A7CB9C">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w:t>
            </w:r>
            <w:r w:rsidR="004A6FAF">
              <w:rPr>
                <w:rFonts w:ascii="Times New Roman" w:hAnsi="Times New Roman" w:cs="Times New Roman"/>
                <w:sz w:val="26"/>
                <w:szCs w:val="26"/>
              </w:rPr>
              <w:t>84</w:t>
            </w:r>
          </w:p>
        </w:tc>
        <w:tc>
          <w:tcPr>
            <w:tcW w:w="1980" w:type="dxa"/>
            <w:shd w:val="clear" w:color="auto" w:fill="auto"/>
            <w:vAlign w:val="center"/>
          </w:tcPr>
          <w:p w:rsidRPr="003C1A87" w:rsidR="00D12679" w:rsidP="00A300E1" w:rsidRDefault="0097484B" w14:paraId="6E09856A" w14:textId="48E260AD">
            <w:pPr>
              <w:spacing w:after="0" w:line="240" w:lineRule="auto"/>
              <w:jc w:val="right"/>
              <w:rPr>
                <w:rFonts w:ascii="Times New Roman" w:hAnsi="Times New Roman" w:cs="Times New Roman"/>
                <w:sz w:val="26"/>
                <w:szCs w:val="26"/>
              </w:rPr>
            </w:pPr>
            <w:r w:rsidRPr="003C1A87">
              <w:rPr>
                <w:rFonts w:ascii="Times New Roman" w:hAnsi="Times New Roman" w:cs="Times New Roman"/>
                <w:sz w:val="26"/>
                <w:szCs w:val="26"/>
              </w:rPr>
              <w:t>0</w:t>
            </w:r>
          </w:p>
        </w:tc>
      </w:tr>
    </w:tbl>
    <w:p w:rsidRPr="003C1A87" w:rsidR="00D12679" w:rsidP="00D12679" w:rsidRDefault="00D12679" w14:paraId="7F08F863" w14:textId="77777777">
      <w:pPr>
        <w:spacing w:after="0" w:line="240" w:lineRule="auto"/>
        <w:rPr>
          <w:rFonts w:ascii="Times New Roman" w:hAnsi="Times New Roman" w:cs="Times New Roman"/>
          <w:sz w:val="26"/>
          <w:szCs w:val="26"/>
        </w:rPr>
      </w:pPr>
    </w:p>
    <w:p w:rsidRPr="003C1A87" w:rsidR="00D12679" w:rsidP="00D12679" w:rsidRDefault="00D12679" w14:paraId="162DE388"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TIME SCHEDULE FOR PUBLICATION OF DATA</w:t>
      </w:r>
    </w:p>
    <w:p w:rsidRPr="003C1A87" w:rsidR="00D12679" w:rsidP="00D12679" w:rsidRDefault="00D12679" w14:paraId="797E8BBB" w14:textId="77777777">
      <w:pPr>
        <w:spacing w:after="0" w:line="240" w:lineRule="auto"/>
        <w:rPr>
          <w:rFonts w:ascii="Times New Roman" w:hAnsi="Times New Roman" w:cs="Times New Roman"/>
          <w:sz w:val="26"/>
          <w:szCs w:val="26"/>
        </w:rPr>
      </w:pPr>
    </w:p>
    <w:p w:rsidRPr="003C1A87" w:rsidR="008574D8" w:rsidP="008574D8" w:rsidRDefault="008574D8" w14:paraId="06C36F09"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 xml:space="preserve">There is no publication of data associated with FERC-566 collection of information. </w:t>
      </w:r>
    </w:p>
    <w:p w:rsidRPr="003C1A87" w:rsidR="00D12679" w:rsidP="00D12679" w:rsidRDefault="00D12679" w14:paraId="1287678A" w14:textId="77777777">
      <w:pPr>
        <w:spacing w:after="0" w:line="240" w:lineRule="auto"/>
        <w:rPr>
          <w:rFonts w:ascii="Times New Roman" w:hAnsi="Times New Roman" w:cs="Times New Roman"/>
          <w:sz w:val="26"/>
          <w:szCs w:val="26"/>
        </w:rPr>
      </w:pPr>
    </w:p>
    <w:p w:rsidRPr="003C1A87" w:rsidR="00D12679" w:rsidP="00D12679" w:rsidRDefault="00D12679" w14:paraId="6F9BE69B"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DISPLAY OF EXPIRATION DATE</w:t>
      </w:r>
    </w:p>
    <w:p w:rsidRPr="003C1A87" w:rsidR="008574D8" w:rsidP="008574D8" w:rsidRDefault="008574D8" w14:paraId="4AEAC178" w14:textId="77777777">
      <w:pPr>
        <w:spacing w:after="0" w:line="240" w:lineRule="auto"/>
        <w:rPr>
          <w:rFonts w:ascii="Times New Roman" w:hAnsi="Times New Roman" w:cs="Times New Roman"/>
          <w:sz w:val="26"/>
          <w:szCs w:val="26"/>
        </w:rPr>
      </w:pPr>
    </w:p>
    <w:p w:rsidR="00811984" w:rsidP="008574D8" w:rsidRDefault="00811984" w14:paraId="70F0134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 is shown at:  </w:t>
      </w:r>
      <w:hyperlink w:history="1" r:id="rId14">
        <w:r w:rsidRPr="00811984">
          <w:rPr>
            <w:rStyle w:val="Hyperlink"/>
            <w:rFonts w:ascii="Times New Roman" w:hAnsi="Times New Roman" w:cs="Times New Roman"/>
            <w:sz w:val="26"/>
            <w:szCs w:val="26"/>
          </w:rPr>
          <w:t>https://www.ferc.gov/enforcement-legal/legal/information-collections</w:t>
        </w:r>
      </w:hyperlink>
      <w:r w:rsidRPr="00811984">
        <w:rPr>
          <w:rFonts w:ascii="Times New Roman" w:hAnsi="Times New Roman" w:cs="Times New Roman"/>
          <w:sz w:val="26"/>
          <w:szCs w:val="26"/>
        </w:rPr>
        <w:t>.</w:t>
      </w:r>
    </w:p>
    <w:p w:rsidR="00811984" w:rsidP="008574D8" w:rsidRDefault="00811984" w14:paraId="1C72F2BE" w14:textId="77777777">
      <w:pPr>
        <w:spacing w:after="0" w:line="240" w:lineRule="auto"/>
        <w:rPr>
          <w:rFonts w:ascii="Times New Roman" w:hAnsi="Times New Roman" w:cs="Times New Roman"/>
          <w:sz w:val="26"/>
          <w:szCs w:val="26"/>
        </w:rPr>
      </w:pPr>
    </w:p>
    <w:p w:rsidR="00D12679" w:rsidP="008574D8" w:rsidRDefault="00811984" w14:paraId="2B0CE77F" w14:textId="33379853">
      <w:pPr>
        <w:spacing w:after="0" w:line="240" w:lineRule="auto"/>
        <w:rPr>
          <w:rFonts w:ascii="Times New Roman" w:hAnsi="Times New Roman" w:cs="Times New Roman"/>
          <w:sz w:val="26"/>
          <w:szCs w:val="26"/>
        </w:rPr>
      </w:pPr>
      <w:r>
        <w:rPr>
          <w:rFonts w:ascii="Times New Roman" w:hAnsi="Times New Roman" w:cs="Times New Roman"/>
          <w:sz w:val="26"/>
          <w:szCs w:val="26"/>
        </w:rPr>
        <w:t>In addition, t</w:t>
      </w:r>
      <w:r w:rsidRPr="003C1A87" w:rsidR="008574D8">
        <w:rPr>
          <w:rFonts w:ascii="Times New Roman" w:hAnsi="Times New Roman" w:cs="Times New Roman"/>
          <w:sz w:val="26"/>
          <w:szCs w:val="26"/>
        </w:rPr>
        <w:t>he expiration date</w:t>
      </w:r>
      <w:r w:rsidR="0047770B">
        <w:rPr>
          <w:rFonts w:ascii="Times New Roman" w:hAnsi="Times New Roman" w:cs="Times New Roman"/>
          <w:sz w:val="26"/>
          <w:szCs w:val="26"/>
        </w:rPr>
        <w:t xml:space="preserve"> will be </w:t>
      </w:r>
      <w:r w:rsidR="005374CF">
        <w:rPr>
          <w:rFonts w:ascii="Times New Roman" w:hAnsi="Times New Roman" w:cs="Times New Roman"/>
          <w:sz w:val="26"/>
          <w:szCs w:val="26"/>
        </w:rPr>
        <w:t xml:space="preserve">shown on the </w:t>
      </w:r>
      <w:r w:rsidR="00BE43AA">
        <w:rPr>
          <w:rFonts w:ascii="Times New Roman" w:hAnsi="Times New Roman" w:cs="Times New Roman"/>
          <w:sz w:val="26"/>
          <w:szCs w:val="26"/>
        </w:rPr>
        <w:t xml:space="preserve">updated and </w:t>
      </w:r>
      <w:r>
        <w:rPr>
          <w:rFonts w:ascii="Times New Roman" w:hAnsi="Times New Roman" w:cs="Times New Roman"/>
          <w:sz w:val="26"/>
          <w:szCs w:val="26"/>
        </w:rPr>
        <w:t xml:space="preserve">revised </w:t>
      </w:r>
      <w:r w:rsidR="005374CF">
        <w:rPr>
          <w:rFonts w:ascii="Times New Roman" w:hAnsi="Times New Roman" w:cs="Times New Roman"/>
          <w:sz w:val="26"/>
          <w:szCs w:val="26"/>
        </w:rPr>
        <w:t xml:space="preserve">instructions for </w:t>
      </w:r>
      <w:r w:rsidR="008447B1">
        <w:rPr>
          <w:rFonts w:ascii="Times New Roman" w:hAnsi="Times New Roman" w:cs="Times New Roman"/>
          <w:sz w:val="26"/>
          <w:szCs w:val="26"/>
        </w:rPr>
        <w:t xml:space="preserve">the preferred format </w:t>
      </w:r>
      <w:r w:rsidR="001B1D58">
        <w:rPr>
          <w:rFonts w:ascii="Times New Roman" w:hAnsi="Times New Roman" w:cs="Times New Roman"/>
          <w:sz w:val="26"/>
          <w:szCs w:val="26"/>
        </w:rPr>
        <w:t xml:space="preserve">(i.e., Form No. 566) </w:t>
      </w:r>
      <w:r w:rsidR="005374CF">
        <w:rPr>
          <w:rFonts w:ascii="Times New Roman" w:hAnsi="Times New Roman" w:cs="Times New Roman"/>
          <w:sz w:val="26"/>
          <w:szCs w:val="26"/>
        </w:rPr>
        <w:t xml:space="preserve">after OMB approves </w:t>
      </w:r>
      <w:r w:rsidR="00BE43AA">
        <w:rPr>
          <w:rFonts w:ascii="Times New Roman" w:hAnsi="Times New Roman" w:cs="Times New Roman"/>
          <w:sz w:val="26"/>
          <w:szCs w:val="26"/>
        </w:rPr>
        <w:t>those instructions.</w:t>
      </w:r>
    </w:p>
    <w:p w:rsidRPr="003C1A87" w:rsidR="00AF646F" w:rsidP="008574D8" w:rsidRDefault="00AF646F" w14:paraId="5A62B427" w14:textId="35DC3DF4">
      <w:pPr>
        <w:spacing w:after="0" w:line="240" w:lineRule="auto"/>
        <w:rPr>
          <w:rFonts w:ascii="Times New Roman" w:hAnsi="Times New Roman" w:cs="Times New Roman"/>
          <w:sz w:val="26"/>
          <w:szCs w:val="26"/>
        </w:rPr>
      </w:pPr>
    </w:p>
    <w:p w:rsidRPr="003C1A87" w:rsidR="00D12679" w:rsidP="00D12679" w:rsidRDefault="00D12679" w14:paraId="2919B0E1" w14:textId="77777777">
      <w:pPr>
        <w:pStyle w:val="ListParagraph"/>
        <w:numPr>
          <w:ilvl w:val="0"/>
          <w:numId w:val="1"/>
        </w:numPr>
        <w:spacing w:after="0" w:line="240" w:lineRule="auto"/>
        <w:ind w:left="360"/>
        <w:rPr>
          <w:rFonts w:ascii="Times New Roman" w:hAnsi="Times New Roman" w:cs="Times New Roman"/>
          <w:b/>
          <w:sz w:val="26"/>
          <w:szCs w:val="26"/>
        </w:rPr>
      </w:pPr>
      <w:r w:rsidRPr="003C1A87">
        <w:rPr>
          <w:rFonts w:ascii="Times New Roman" w:hAnsi="Times New Roman" w:cs="Times New Roman"/>
          <w:b/>
          <w:sz w:val="26"/>
          <w:szCs w:val="26"/>
        </w:rPr>
        <w:t>EXCEPTIONS TO THE CERTIFICATION STATEMENT</w:t>
      </w:r>
    </w:p>
    <w:p w:rsidRPr="003C1A87" w:rsidR="00D12679" w:rsidP="00D12679" w:rsidRDefault="00D12679" w14:paraId="59A374FD" w14:textId="77777777">
      <w:pPr>
        <w:spacing w:after="0" w:line="240" w:lineRule="auto"/>
        <w:rPr>
          <w:rFonts w:ascii="Times New Roman" w:hAnsi="Times New Roman" w:cs="Times New Roman"/>
          <w:b/>
          <w:sz w:val="26"/>
          <w:szCs w:val="26"/>
        </w:rPr>
      </w:pPr>
    </w:p>
    <w:p w:rsidRPr="003C1A87" w:rsidR="00D12679" w:rsidP="00D12679" w:rsidRDefault="00D12679" w14:paraId="6ECBF229" w14:textId="77777777">
      <w:pPr>
        <w:spacing w:after="0" w:line="240" w:lineRule="auto"/>
        <w:rPr>
          <w:rFonts w:ascii="Times New Roman" w:hAnsi="Times New Roman" w:cs="Times New Roman"/>
          <w:sz w:val="26"/>
          <w:szCs w:val="26"/>
        </w:rPr>
      </w:pPr>
      <w:r w:rsidRPr="003C1A87">
        <w:rPr>
          <w:rFonts w:ascii="Times New Roman" w:hAnsi="Times New Roman" w:cs="Times New Roman"/>
          <w:sz w:val="26"/>
          <w:szCs w:val="26"/>
        </w:rPr>
        <w:t>There are no exceptions to this collection.</w:t>
      </w:r>
    </w:p>
    <w:p w:rsidRPr="003C1A87" w:rsidR="00D12679" w:rsidRDefault="00D12679" w14:paraId="21161073" w14:textId="77777777">
      <w:pPr>
        <w:rPr>
          <w:rFonts w:ascii="Times New Roman" w:hAnsi="Times New Roman" w:cs="Times New Roman"/>
          <w:sz w:val="26"/>
          <w:szCs w:val="26"/>
        </w:rPr>
      </w:pPr>
    </w:p>
    <w:sectPr w:rsidRPr="003C1A87" w:rsidR="00D1267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8448E" w14:textId="77777777" w:rsidR="00117CF8" w:rsidRDefault="00117CF8" w:rsidP="00D12679">
      <w:pPr>
        <w:spacing w:after="0" w:line="240" w:lineRule="auto"/>
      </w:pPr>
      <w:r>
        <w:separator/>
      </w:r>
    </w:p>
  </w:endnote>
  <w:endnote w:type="continuationSeparator" w:id="0">
    <w:p w14:paraId="0A3923B1" w14:textId="77777777" w:rsidR="00117CF8" w:rsidRDefault="00117CF8" w:rsidP="00D1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FAD24" w14:textId="77777777" w:rsidR="00117CF8" w:rsidRDefault="00117CF8" w:rsidP="00D12679">
      <w:pPr>
        <w:spacing w:after="0" w:line="240" w:lineRule="auto"/>
      </w:pPr>
      <w:r>
        <w:separator/>
      </w:r>
    </w:p>
  </w:footnote>
  <w:footnote w:type="continuationSeparator" w:id="0">
    <w:p w14:paraId="5BC7B9EA" w14:textId="77777777" w:rsidR="00117CF8" w:rsidRDefault="00117CF8" w:rsidP="00D12679">
      <w:pPr>
        <w:spacing w:after="0" w:line="240" w:lineRule="auto"/>
      </w:pPr>
      <w:r>
        <w:continuationSeparator/>
      </w:r>
    </w:p>
  </w:footnote>
  <w:footnote w:id="1">
    <w:p w14:paraId="13FF3BF3" w14:textId="250E8EF5" w:rsidR="00E51CF6" w:rsidRPr="00CA5916" w:rsidRDefault="00E51CF6">
      <w:pPr>
        <w:pStyle w:val="FootnoteText"/>
        <w:rPr>
          <w:sz w:val="26"/>
        </w:rPr>
      </w:pPr>
      <w:r w:rsidRPr="00CA5916">
        <w:rPr>
          <w:rStyle w:val="FootnoteReference"/>
          <w:sz w:val="26"/>
          <w:vertAlign w:val="superscript"/>
        </w:rPr>
        <w:footnoteRef/>
      </w:r>
      <w:r w:rsidRPr="00CA5916">
        <w:rPr>
          <w:sz w:val="26"/>
        </w:rPr>
        <w:t xml:space="preserve"> 16 U.S</w:t>
      </w:r>
      <w:r w:rsidR="008E292E">
        <w:rPr>
          <w:sz w:val="26"/>
        </w:rPr>
        <w:t>.</w:t>
      </w:r>
      <w:r w:rsidRPr="00CA5916">
        <w:rPr>
          <w:sz w:val="26"/>
        </w:rPr>
        <w:t>C. 825d</w:t>
      </w:r>
      <w:r w:rsidR="007C68E7" w:rsidRPr="00CA5916">
        <w:rPr>
          <w:sz w:val="26"/>
        </w:rPr>
        <w:t>(c)(2).</w:t>
      </w:r>
    </w:p>
  </w:footnote>
  <w:footnote w:id="2">
    <w:p w14:paraId="422A6401" w14:textId="77777777" w:rsidR="004A12D7" w:rsidRPr="00147EEF" w:rsidRDefault="004A12D7" w:rsidP="004A12D7">
      <w:pPr>
        <w:pStyle w:val="FootnoteText"/>
        <w:rPr>
          <w:sz w:val="26"/>
        </w:rPr>
      </w:pPr>
      <w:r w:rsidRPr="00147EEF">
        <w:rPr>
          <w:rStyle w:val="FootnoteReference"/>
          <w:sz w:val="26"/>
          <w:vertAlign w:val="superscript"/>
        </w:rPr>
        <w:footnoteRef/>
      </w:r>
      <w:r w:rsidRPr="00147EEF">
        <w:rPr>
          <w:sz w:val="26"/>
        </w:rPr>
        <w:t xml:space="preserve"> 16 U.S.C. 825d(b)(1).</w:t>
      </w:r>
    </w:p>
  </w:footnote>
  <w:footnote w:id="3">
    <w:p w14:paraId="79D69DA2" w14:textId="36496B0E" w:rsidR="00A72E58" w:rsidRPr="004709AA" w:rsidRDefault="00A72E58">
      <w:pPr>
        <w:pStyle w:val="FootnoteText"/>
        <w:rPr>
          <w:sz w:val="26"/>
        </w:rPr>
      </w:pPr>
      <w:r w:rsidRPr="00690046">
        <w:rPr>
          <w:rStyle w:val="FootnoteReference"/>
          <w:sz w:val="26"/>
          <w:vertAlign w:val="superscript"/>
        </w:rPr>
        <w:footnoteRef/>
      </w:r>
      <w:r w:rsidRPr="004709AA">
        <w:rPr>
          <w:sz w:val="26"/>
        </w:rPr>
        <w:t xml:space="preserve"> The </w:t>
      </w:r>
      <w:r w:rsidR="005F39C5" w:rsidRPr="004709AA">
        <w:rPr>
          <w:sz w:val="26"/>
        </w:rPr>
        <w:t xml:space="preserve">entities listed in </w:t>
      </w:r>
      <w:r w:rsidR="00026EAD" w:rsidRPr="004709AA">
        <w:rPr>
          <w:sz w:val="26"/>
        </w:rPr>
        <w:t>section 305(b)(1) are</w:t>
      </w:r>
      <w:r w:rsidR="00625E99" w:rsidRPr="004709AA">
        <w:rPr>
          <w:sz w:val="26"/>
        </w:rPr>
        <w:t xml:space="preserve"> </w:t>
      </w:r>
      <w:r w:rsidR="00AC6851" w:rsidRPr="004709AA">
        <w:rPr>
          <w:sz w:val="26"/>
        </w:rPr>
        <w:t xml:space="preserve">banks, trust </w:t>
      </w:r>
      <w:r w:rsidR="00140D6D" w:rsidRPr="004709AA">
        <w:rPr>
          <w:sz w:val="26"/>
        </w:rPr>
        <w:t xml:space="preserve">companies, </w:t>
      </w:r>
      <w:r w:rsidR="00AC6851" w:rsidRPr="004709AA">
        <w:rPr>
          <w:sz w:val="26"/>
        </w:rPr>
        <w:t>banking associations</w:t>
      </w:r>
      <w:r w:rsidR="00D747C0" w:rsidRPr="004709AA">
        <w:rPr>
          <w:sz w:val="26"/>
        </w:rPr>
        <w:t xml:space="preserve">, </w:t>
      </w:r>
      <w:r w:rsidR="004709AA" w:rsidRPr="004709AA">
        <w:rPr>
          <w:sz w:val="26"/>
        </w:rPr>
        <w:t>firms</w:t>
      </w:r>
      <w:r w:rsidR="00D747C0" w:rsidRPr="004709AA">
        <w:rPr>
          <w:sz w:val="26"/>
        </w:rPr>
        <w:t xml:space="preserve"> that are authorized by law to underwrite or participate in the marketing of securities of the public </w:t>
      </w:r>
      <w:r w:rsidR="00140D6D" w:rsidRPr="004709AA">
        <w:rPr>
          <w:sz w:val="26"/>
        </w:rPr>
        <w:t>utility, and companies supplying electrical equipment to the public utility.</w:t>
      </w:r>
    </w:p>
  </w:footnote>
  <w:footnote w:id="4">
    <w:p w14:paraId="40409DCB" w14:textId="0868AA77" w:rsidR="00784169" w:rsidRPr="005704B6" w:rsidRDefault="00784169">
      <w:pPr>
        <w:pStyle w:val="FootnoteText"/>
        <w:rPr>
          <w:sz w:val="26"/>
        </w:rPr>
      </w:pPr>
      <w:r w:rsidRPr="005704B6">
        <w:rPr>
          <w:rStyle w:val="FootnoteReference"/>
          <w:sz w:val="26"/>
          <w:vertAlign w:val="superscript"/>
        </w:rPr>
        <w:footnoteRef/>
      </w:r>
      <w:r w:rsidRPr="005704B6">
        <w:rPr>
          <w:sz w:val="26"/>
        </w:rPr>
        <w:t xml:space="preserve"> </w:t>
      </w:r>
      <w:r w:rsidR="00DE265E" w:rsidRPr="005704B6">
        <w:rPr>
          <w:sz w:val="26"/>
        </w:rPr>
        <w:t>16 U.S.C</w:t>
      </w:r>
      <w:r w:rsidR="00551D4C">
        <w:rPr>
          <w:sz w:val="26"/>
        </w:rPr>
        <w:t>.</w:t>
      </w:r>
      <w:r w:rsidR="00DE265E" w:rsidRPr="005704B6">
        <w:rPr>
          <w:sz w:val="26"/>
        </w:rPr>
        <w:t xml:space="preserve"> 825d(c)(1).</w:t>
      </w:r>
    </w:p>
  </w:footnote>
  <w:footnote w:id="5">
    <w:p w14:paraId="7C2CBF53" w14:textId="58C7E9FE" w:rsidR="001D054F" w:rsidRPr="005437EE" w:rsidRDefault="001D054F">
      <w:pPr>
        <w:pStyle w:val="FootnoteText"/>
        <w:rPr>
          <w:sz w:val="26"/>
        </w:rPr>
      </w:pPr>
      <w:r w:rsidRPr="005437EE">
        <w:rPr>
          <w:rStyle w:val="FootnoteReference"/>
          <w:sz w:val="26"/>
          <w:vertAlign w:val="superscript"/>
        </w:rPr>
        <w:footnoteRef/>
      </w:r>
      <w:r w:rsidR="005437EE">
        <w:rPr>
          <w:sz w:val="26"/>
        </w:rPr>
        <w:t xml:space="preserve"> </w:t>
      </w:r>
      <w:r w:rsidR="005437EE" w:rsidRPr="005437EE">
        <w:rPr>
          <w:sz w:val="26"/>
        </w:rPr>
        <w:t>16 U.S.C.</w:t>
      </w:r>
      <w:r w:rsidR="00551D4C">
        <w:rPr>
          <w:sz w:val="26"/>
        </w:rPr>
        <w:t xml:space="preserve"> </w:t>
      </w:r>
      <w:r w:rsidR="005437EE" w:rsidRPr="005437EE">
        <w:rPr>
          <w:sz w:val="26"/>
        </w:rPr>
        <w:t>825d(c)(2).</w:t>
      </w:r>
    </w:p>
  </w:footnote>
  <w:footnote w:id="6">
    <w:p w14:paraId="37BEE6F3" w14:textId="54292BDE" w:rsidR="00BF20A3" w:rsidRPr="00DF52DC" w:rsidRDefault="00BF20A3" w:rsidP="00BF20A3">
      <w:pPr>
        <w:pStyle w:val="FootnoteText"/>
        <w:rPr>
          <w:sz w:val="26"/>
          <w:szCs w:val="26"/>
        </w:rPr>
      </w:pPr>
      <w:r w:rsidRPr="00F445F7">
        <w:rPr>
          <w:rStyle w:val="FootnoteReference"/>
          <w:sz w:val="26"/>
          <w:szCs w:val="26"/>
          <w:vertAlign w:val="superscript"/>
        </w:rPr>
        <w:footnoteRef/>
      </w:r>
      <w:r w:rsidRPr="00785475">
        <w:t xml:space="preserve"> </w:t>
      </w:r>
      <w:r w:rsidR="00CC7A16">
        <w:rPr>
          <w:sz w:val="26"/>
          <w:szCs w:val="26"/>
        </w:rPr>
        <w:t xml:space="preserve">86 FR </w:t>
      </w:r>
      <w:r w:rsidR="0086598B">
        <w:rPr>
          <w:sz w:val="26"/>
          <w:szCs w:val="26"/>
        </w:rPr>
        <w:t>342</w:t>
      </w:r>
      <w:r w:rsidR="002C66FC">
        <w:rPr>
          <w:sz w:val="26"/>
          <w:szCs w:val="26"/>
        </w:rPr>
        <w:t>37.</w:t>
      </w:r>
    </w:p>
  </w:footnote>
  <w:footnote w:id="7">
    <w:p w14:paraId="31AED56A" w14:textId="3B844D26" w:rsidR="00BF20A3" w:rsidRPr="00DF52DC" w:rsidRDefault="00BF20A3" w:rsidP="00BF20A3">
      <w:pPr>
        <w:pStyle w:val="FootnoteText"/>
        <w:rPr>
          <w:sz w:val="26"/>
          <w:szCs w:val="26"/>
        </w:rPr>
      </w:pPr>
      <w:r w:rsidRPr="00F445F7">
        <w:rPr>
          <w:rStyle w:val="FootnoteReference"/>
          <w:sz w:val="26"/>
          <w:szCs w:val="26"/>
          <w:vertAlign w:val="superscript"/>
        </w:rPr>
        <w:footnoteRef/>
      </w:r>
      <w:r w:rsidRPr="00F445F7">
        <w:rPr>
          <w:sz w:val="26"/>
          <w:szCs w:val="26"/>
          <w:vertAlign w:val="superscript"/>
        </w:rPr>
        <w:t xml:space="preserve"> </w:t>
      </w:r>
      <w:r w:rsidR="003967EB">
        <w:rPr>
          <w:sz w:val="26"/>
          <w:szCs w:val="26"/>
        </w:rPr>
        <w:t xml:space="preserve">86 FR </w:t>
      </w:r>
      <w:r w:rsidR="00F1168C">
        <w:rPr>
          <w:sz w:val="26"/>
          <w:szCs w:val="26"/>
        </w:rPr>
        <w:t>50096.</w:t>
      </w:r>
    </w:p>
  </w:footnote>
  <w:footnote w:id="8">
    <w:p w14:paraId="1B3E14E2" w14:textId="3B9FC281" w:rsidR="00BF20A3" w:rsidRPr="00DF52DC" w:rsidRDefault="00BF20A3">
      <w:pPr>
        <w:pStyle w:val="FootnoteText"/>
        <w:rPr>
          <w:sz w:val="26"/>
          <w:szCs w:val="26"/>
        </w:rPr>
      </w:pPr>
      <w:r w:rsidRPr="002F3E0D">
        <w:rPr>
          <w:rStyle w:val="FootnoteReference"/>
          <w:sz w:val="26"/>
          <w:szCs w:val="26"/>
          <w:vertAlign w:val="superscript"/>
        </w:rPr>
        <w:footnoteRef/>
      </w:r>
      <w:r w:rsidRPr="00DF52DC">
        <w:rPr>
          <w:sz w:val="26"/>
          <w:szCs w:val="26"/>
        </w:rPr>
        <w:t xml:space="preserve"> 18 CFR 388.112(a)(1)</w:t>
      </w:r>
      <w:r w:rsidR="00C062EE">
        <w:rPr>
          <w:sz w:val="26"/>
          <w:szCs w:val="26"/>
        </w:rPr>
        <w:t>.</w:t>
      </w:r>
    </w:p>
  </w:footnote>
  <w:footnote w:id="9">
    <w:p w14:paraId="0A968F1D" w14:textId="4140FFB2" w:rsidR="008742C8" w:rsidRPr="009C29F3" w:rsidRDefault="008742C8" w:rsidP="00302125">
      <w:pPr>
        <w:pStyle w:val="FootnoteText"/>
        <w:rPr>
          <w:sz w:val="26"/>
          <w:szCs w:val="26"/>
        </w:rPr>
      </w:pPr>
      <w:r w:rsidRPr="00022F6F">
        <w:rPr>
          <w:sz w:val="26"/>
          <w:szCs w:val="26"/>
          <w:vertAlign w:val="superscript"/>
        </w:rPr>
        <w:t>6</w:t>
      </w:r>
      <w:r>
        <w:rPr>
          <w:sz w:val="26"/>
          <w:szCs w:val="26"/>
        </w:rPr>
        <w:t xml:space="preserve"> </w:t>
      </w:r>
      <w:r w:rsidRPr="00212EF5">
        <w:rPr>
          <w:sz w:val="26"/>
          <w:szCs w:val="26"/>
        </w:rPr>
        <w:t>Commission staff estimates that the average industry hourly cost for this information collection is approximated by the current FERC 2021 average hourly costs for wages and benefits, i.e., $87.00/hour.</w:t>
      </w:r>
    </w:p>
  </w:footnote>
  <w:footnote w:id="10">
    <w:p w14:paraId="4CFCEF6D" w14:textId="7E22A640" w:rsidR="00D12679" w:rsidRPr="00DF52DC" w:rsidRDefault="00D12679" w:rsidP="00D12679">
      <w:pPr>
        <w:pStyle w:val="FootnoteText"/>
        <w:rPr>
          <w:sz w:val="26"/>
          <w:szCs w:val="26"/>
        </w:rPr>
      </w:pPr>
      <w:r w:rsidRPr="00DF52DC">
        <w:rPr>
          <w:rStyle w:val="FootnoteReference"/>
          <w:sz w:val="26"/>
          <w:szCs w:val="26"/>
          <w:vertAlign w:val="superscript"/>
        </w:rPr>
        <w:footnoteRef/>
      </w:r>
      <w:r w:rsidRPr="00DF52DC">
        <w:rPr>
          <w:sz w:val="26"/>
          <w:szCs w:val="26"/>
          <w:vertAlign w:val="superscript"/>
        </w:rPr>
        <w:t xml:space="preserve"> </w:t>
      </w:r>
      <w:r w:rsidR="00B36900" w:rsidRPr="00B36900">
        <w:rPr>
          <w:sz w:val="26"/>
          <w:szCs w:val="26"/>
        </w:rPr>
        <w:t>This is based upon FERC’s 20</w:t>
      </w:r>
      <w:r w:rsidR="0091217C">
        <w:rPr>
          <w:sz w:val="26"/>
          <w:szCs w:val="26"/>
        </w:rPr>
        <w:t xml:space="preserve">21 </w:t>
      </w:r>
      <w:r w:rsidR="00B36900" w:rsidRPr="00B36900">
        <w:rPr>
          <w:sz w:val="26"/>
          <w:szCs w:val="26"/>
        </w:rPr>
        <w:t>average annual salary plus benefits of $</w:t>
      </w:r>
      <w:r w:rsidR="00464247">
        <w:rPr>
          <w:sz w:val="26"/>
          <w:szCs w:val="26"/>
        </w:rPr>
        <w:t>180,703</w:t>
      </w:r>
      <w:r w:rsidR="00B36900" w:rsidRPr="00B36900">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304F" w14:textId="21D35384" w:rsidR="00D12679" w:rsidRPr="00D12679" w:rsidRDefault="00B17462" w:rsidP="00D12679">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241DFC81" wp14:editId="56116577">
              <wp:simplePos x="0" y="0"/>
              <wp:positionH relativeFrom="page">
                <wp:posOffset>0</wp:posOffset>
              </wp:positionH>
              <wp:positionV relativeFrom="page">
                <wp:posOffset>190500</wp:posOffset>
              </wp:positionV>
              <wp:extent cx="7772400" cy="266700"/>
              <wp:effectExtent l="0" t="0" r="0" b="0"/>
              <wp:wrapNone/>
              <wp:docPr id="1" name="MSIPCM36b1417091ef49dd4d6a88a7"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C78049" w14:textId="7E18FA17" w:rsidR="00B17462" w:rsidRPr="00B17462" w:rsidRDefault="00B17462" w:rsidP="00B17462">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1DFC81" id="_x0000_t202" coordsize="21600,21600" o:spt="202" path="m,l,21600r21600,l21600,xe">
              <v:stroke joinstyle="miter"/>
              <v:path gradientshapeok="t" o:connecttype="rect"/>
            </v:shapetype>
            <v:shape id="MSIPCM36b1417091ef49dd4d6a88a7" o:spid="_x0000_s1026" type="#_x0000_t202" alt="{&quot;HashCode&quot;:1795946508,&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A0OZfVrAIAAEYFAAAOAAAAAAAAAAAA&#10;AAAAAC4CAABkcnMvZTJvRG9jLnhtbFBLAQItABQABgAIAAAAIQBoO5V22wAAAAcBAAAPAAAAAAAA&#10;AAAAAAAAAAYFAABkcnMvZG93bnJldi54bWxQSwUGAAAAAAQABADzAAAADgYAAAAA&#10;" o:allowincell="f" filled="f" stroked="f" strokeweight=".5pt">
              <v:textbox inset=",0,,0">
                <w:txbxContent>
                  <w:p w14:paraId="6BC78049" w14:textId="7E18FA17" w:rsidR="00B17462" w:rsidRPr="00B17462" w:rsidRDefault="00B17462" w:rsidP="00B17462">
                    <w:pPr>
                      <w:spacing w:after="0"/>
                      <w:jc w:val="center"/>
                      <w:rPr>
                        <w:rFonts w:ascii="Times New Roman" w:hAnsi="Times New Roman" w:cs="Times New Roman"/>
                        <w:color w:val="FF0000"/>
                        <w:sz w:val="26"/>
                      </w:rPr>
                    </w:pPr>
                  </w:p>
                </w:txbxContent>
              </v:textbox>
              <w10:wrap anchorx="page" anchory="page"/>
            </v:shape>
          </w:pict>
        </mc:Fallback>
      </mc:AlternateContent>
    </w:r>
    <w:r w:rsidR="00D12679" w:rsidRPr="00D12679">
      <w:rPr>
        <w:rFonts w:ascii="Times New Roman" w:hAnsi="Times New Roman" w:cs="Times New Roman"/>
        <w:sz w:val="26"/>
        <w:szCs w:val="26"/>
      </w:rPr>
      <w:t>FERC-566 (OMB Control No.</w:t>
    </w:r>
    <w:r w:rsidR="003E05F0">
      <w:rPr>
        <w:rFonts w:ascii="Times New Roman" w:hAnsi="Times New Roman" w:cs="Times New Roman"/>
        <w:sz w:val="26"/>
        <w:szCs w:val="26"/>
      </w:rPr>
      <w:t xml:space="preserve"> </w:t>
    </w:r>
    <w:r w:rsidR="00D12679" w:rsidRPr="00D12679">
      <w:rPr>
        <w:rFonts w:ascii="Times New Roman" w:hAnsi="Times New Roman" w:cs="Times New Roman"/>
        <w:sz w:val="26"/>
        <w:szCs w:val="26"/>
      </w:rPr>
      <w:t>1902-0114)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B32E3"/>
    <w:multiLevelType w:val="hybridMultilevel"/>
    <w:tmpl w:val="BA8A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96253"/>
    <w:multiLevelType w:val="hybridMultilevel"/>
    <w:tmpl w:val="9972160C"/>
    <w:lvl w:ilvl="0" w:tplc="317CAA90">
      <w:start w:val="2"/>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DE3E2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904BA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B4A97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2A1D4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7EF04E">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D2E37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70CC7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62BFD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FCC1895"/>
    <w:multiLevelType w:val="hybridMultilevel"/>
    <w:tmpl w:val="782C8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15CC3"/>
    <w:multiLevelType w:val="hybridMultilevel"/>
    <w:tmpl w:val="C3BED484"/>
    <w:lvl w:ilvl="0" w:tplc="7848C3B2">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4A4CF4">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F4969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40526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22A9B6">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4A565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28F5C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0839B2">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508BEA">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B9F50CB"/>
    <w:multiLevelType w:val="hybridMultilevel"/>
    <w:tmpl w:val="90AED6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7F"/>
    <w:rsid w:val="00022F6F"/>
    <w:rsid w:val="00026EAD"/>
    <w:rsid w:val="00034D42"/>
    <w:rsid w:val="00035962"/>
    <w:rsid w:val="0004064C"/>
    <w:rsid w:val="000428FA"/>
    <w:rsid w:val="0004783D"/>
    <w:rsid w:val="00054980"/>
    <w:rsid w:val="00060BE2"/>
    <w:rsid w:val="000679CD"/>
    <w:rsid w:val="000763FC"/>
    <w:rsid w:val="000779A1"/>
    <w:rsid w:val="00082E58"/>
    <w:rsid w:val="000A4CE5"/>
    <w:rsid w:val="000B4E19"/>
    <w:rsid w:val="000B560F"/>
    <w:rsid w:val="000C007E"/>
    <w:rsid w:val="000C6489"/>
    <w:rsid w:val="000D2824"/>
    <w:rsid w:val="000E222A"/>
    <w:rsid w:val="000E263B"/>
    <w:rsid w:val="000F18B5"/>
    <w:rsid w:val="000F1E4B"/>
    <w:rsid w:val="000F262D"/>
    <w:rsid w:val="000F62E2"/>
    <w:rsid w:val="001031D3"/>
    <w:rsid w:val="00107EDE"/>
    <w:rsid w:val="00110738"/>
    <w:rsid w:val="00117CF8"/>
    <w:rsid w:val="00121056"/>
    <w:rsid w:val="001249FE"/>
    <w:rsid w:val="00127E0D"/>
    <w:rsid w:val="00140D6D"/>
    <w:rsid w:val="00144FAE"/>
    <w:rsid w:val="00147EEF"/>
    <w:rsid w:val="00153F51"/>
    <w:rsid w:val="001557EA"/>
    <w:rsid w:val="00156BD4"/>
    <w:rsid w:val="00165A5A"/>
    <w:rsid w:val="001729A7"/>
    <w:rsid w:val="001740C7"/>
    <w:rsid w:val="0017524C"/>
    <w:rsid w:val="00181FBE"/>
    <w:rsid w:val="001831E9"/>
    <w:rsid w:val="001835D2"/>
    <w:rsid w:val="00183BA8"/>
    <w:rsid w:val="00191033"/>
    <w:rsid w:val="001A2193"/>
    <w:rsid w:val="001B1619"/>
    <w:rsid w:val="001B1D58"/>
    <w:rsid w:val="001B75B6"/>
    <w:rsid w:val="001C157C"/>
    <w:rsid w:val="001C67F3"/>
    <w:rsid w:val="001C6B69"/>
    <w:rsid w:val="001D054F"/>
    <w:rsid w:val="001D6498"/>
    <w:rsid w:val="001E7433"/>
    <w:rsid w:val="0020263B"/>
    <w:rsid w:val="00203B19"/>
    <w:rsid w:val="00212EF5"/>
    <w:rsid w:val="0021616D"/>
    <w:rsid w:val="00240687"/>
    <w:rsid w:val="00243159"/>
    <w:rsid w:val="00265998"/>
    <w:rsid w:val="00270DB2"/>
    <w:rsid w:val="00273FDA"/>
    <w:rsid w:val="00285A46"/>
    <w:rsid w:val="00294536"/>
    <w:rsid w:val="00294AD6"/>
    <w:rsid w:val="002A12EE"/>
    <w:rsid w:val="002B47CF"/>
    <w:rsid w:val="002C0819"/>
    <w:rsid w:val="002C2377"/>
    <w:rsid w:val="002C66FC"/>
    <w:rsid w:val="002D07F6"/>
    <w:rsid w:val="002D40F1"/>
    <w:rsid w:val="002E0C82"/>
    <w:rsid w:val="002E437B"/>
    <w:rsid w:val="002E5EEA"/>
    <w:rsid w:val="002F0498"/>
    <w:rsid w:val="002F3E0D"/>
    <w:rsid w:val="00302125"/>
    <w:rsid w:val="003022EB"/>
    <w:rsid w:val="003135FA"/>
    <w:rsid w:val="0031618A"/>
    <w:rsid w:val="003206A1"/>
    <w:rsid w:val="003220D4"/>
    <w:rsid w:val="00327082"/>
    <w:rsid w:val="00332DE5"/>
    <w:rsid w:val="00340E0A"/>
    <w:rsid w:val="00340FE0"/>
    <w:rsid w:val="00351C62"/>
    <w:rsid w:val="00352DA1"/>
    <w:rsid w:val="003545FC"/>
    <w:rsid w:val="00366620"/>
    <w:rsid w:val="00372392"/>
    <w:rsid w:val="00372CFC"/>
    <w:rsid w:val="00373A5D"/>
    <w:rsid w:val="00394115"/>
    <w:rsid w:val="00394C98"/>
    <w:rsid w:val="00395B23"/>
    <w:rsid w:val="003967EB"/>
    <w:rsid w:val="003A3BA4"/>
    <w:rsid w:val="003A73CF"/>
    <w:rsid w:val="003B46D5"/>
    <w:rsid w:val="003B4DA7"/>
    <w:rsid w:val="003C0559"/>
    <w:rsid w:val="003C1A87"/>
    <w:rsid w:val="003E05F0"/>
    <w:rsid w:val="003E29F8"/>
    <w:rsid w:val="003E7F85"/>
    <w:rsid w:val="00400D58"/>
    <w:rsid w:val="004035B3"/>
    <w:rsid w:val="00403F05"/>
    <w:rsid w:val="004059E5"/>
    <w:rsid w:val="00422E23"/>
    <w:rsid w:val="00425F55"/>
    <w:rsid w:val="00427E66"/>
    <w:rsid w:val="004311AD"/>
    <w:rsid w:val="00440135"/>
    <w:rsid w:val="004455A3"/>
    <w:rsid w:val="0045111B"/>
    <w:rsid w:val="00464247"/>
    <w:rsid w:val="004709AA"/>
    <w:rsid w:val="004728C5"/>
    <w:rsid w:val="004750DA"/>
    <w:rsid w:val="0047770B"/>
    <w:rsid w:val="00490803"/>
    <w:rsid w:val="00492878"/>
    <w:rsid w:val="00497B93"/>
    <w:rsid w:val="004A12D7"/>
    <w:rsid w:val="004A1E64"/>
    <w:rsid w:val="004A2FD0"/>
    <w:rsid w:val="004A6FAF"/>
    <w:rsid w:val="004B22D9"/>
    <w:rsid w:val="004B635A"/>
    <w:rsid w:val="004C581F"/>
    <w:rsid w:val="004D22D3"/>
    <w:rsid w:val="004E0689"/>
    <w:rsid w:val="004E20D0"/>
    <w:rsid w:val="004E36D2"/>
    <w:rsid w:val="004F0616"/>
    <w:rsid w:val="004F0DD2"/>
    <w:rsid w:val="004F1EAC"/>
    <w:rsid w:val="004F409B"/>
    <w:rsid w:val="004F49A9"/>
    <w:rsid w:val="004F5770"/>
    <w:rsid w:val="005014CD"/>
    <w:rsid w:val="00510C43"/>
    <w:rsid w:val="005243B5"/>
    <w:rsid w:val="00524E39"/>
    <w:rsid w:val="00533793"/>
    <w:rsid w:val="005345CB"/>
    <w:rsid w:val="005365F7"/>
    <w:rsid w:val="005374CF"/>
    <w:rsid w:val="00540684"/>
    <w:rsid w:val="00540ACF"/>
    <w:rsid w:val="0054289D"/>
    <w:rsid w:val="00542FEC"/>
    <w:rsid w:val="0054354C"/>
    <w:rsid w:val="005437EE"/>
    <w:rsid w:val="005437F1"/>
    <w:rsid w:val="00551D4C"/>
    <w:rsid w:val="00554193"/>
    <w:rsid w:val="00561AFD"/>
    <w:rsid w:val="00561FE7"/>
    <w:rsid w:val="005704B6"/>
    <w:rsid w:val="0057708F"/>
    <w:rsid w:val="00593A93"/>
    <w:rsid w:val="00593C5B"/>
    <w:rsid w:val="0059662F"/>
    <w:rsid w:val="005A5A7E"/>
    <w:rsid w:val="005B0BE7"/>
    <w:rsid w:val="005B4758"/>
    <w:rsid w:val="005F39C5"/>
    <w:rsid w:val="00601B1A"/>
    <w:rsid w:val="00604888"/>
    <w:rsid w:val="00604EE0"/>
    <w:rsid w:val="00605B8B"/>
    <w:rsid w:val="00613D7F"/>
    <w:rsid w:val="00617830"/>
    <w:rsid w:val="00622D1C"/>
    <w:rsid w:val="00625E99"/>
    <w:rsid w:val="00627B1C"/>
    <w:rsid w:val="006408EC"/>
    <w:rsid w:val="006434BD"/>
    <w:rsid w:val="00643CBB"/>
    <w:rsid w:val="00646DD5"/>
    <w:rsid w:val="00653042"/>
    <w:rsid w:val="006547E8"/>
    <w:rsid w:val="0066330E"/>
    <w:rsid w:val="00676EC3"/>
    <w:rsid w:val="00690046"/>
    <w:rsid w:val="00694343"/>
    <w:rsid w:val="00697F27"/>
    <w:rsid w:val="006A3896"/>
    <w:rsid w:val="006A44CC"/>
    <w:rsid w:val="006C43AE"/>
    <w:rsid w:val="006E0D23"/>
    <w:rsid w:val="006E703B"/>
    <w:rsid w:val="00701F8B"/>
    <w:rsid w:val="00702BEE"/>
    <w:rsid w:val="00706D7B"/>
    <w:rsid w:val="007109B0"/>
    <w:rsid w:val="00716745"/>
    <w:rsid w:val="00716857"/>
    <w:rsid w:val="0071765C"/>
    <w:rsid w:val="007176E0"/>
    <w:rsid w:val="0072144C"/>
    <w:rsid w:val="0075647D"/>
    <w:rsid w:val="007761BA"/>
    <w:rsid w:val="007768F9"/>
    <w:rsid w:val="007808D7"/>
    <w:rsid w:val="00784169"/>
    <w:rsid w:val="007858C0"/>
    <w:rsid w:val="00790534"/>
    <w:rsid w:val="0079273B"/>
    <w:rsid w:val="00792E1F"/>
    <w:rsid w:val="007A18D5"/>
    <w:rsid w:val="007A527D"/>
    <w:rsid w:val="007A541F"/>
    <w:rsid w:val="007A7947"/>
    <w:rsid w:val="007C1858"/>
    <w:rsid w:val="007C20C7"/>
    <w:rsid w:val="007C68E7"/>
    <w:rsid w:val="007E5E98"/>
    <w:rsid w:val="007F0ED1"/>
    <w:rsid w:val="007F2329"/>
    <w:rsid w:val="007F5664"/>
    <w:rsid w:val="008109D4"/>
    <w:rsid w:val="00811984"/>
    <w:rsid w:val="008262B8"/>
    <w:rsid w:val="0083622A"/>
    <w:rsid w:val="00842848"/>
    <w:rsid w:val="008447B1"/>
    <w:rsid w:val="0084586F"/>
    <w:rsid w:val="0085087F"/>
    <w:rsid w:val="00856075"/>
    <w:rsid w:val="008574D8"/>
    <w:rsid w:val="00862F6F"/>
    <w:rsid w:val="0086406E"/>
    <w:rsid w:val="0086598B"/>
    <w:rsid w:val="0086626E"/>
    <w:rsid w:val="00870370"/>
    <w:rsid w:val="008742C8"/>
    <w:rsid w:val="008850EF"/>
    <w:rsid w:val="008939A1"/>
    <w:rsid w:val="008956F4"/>
    <w:rsid w:val="008A5133"/>
    <w:rsid w:val="008A628E"/>
    <w:rsid w:val="008B2E6B"/>
    <w:rsid w:val="008D14ED"/>
    <w:rsid w:val="008E292E"/>
    <w:rsid w:val="008F5412"/>
    <w:rsid w:val="00902ABA"/>
    <w:rsid w:val="00906ED0"/>
    <w:rsid w:val="00911B64"/>
    <w:rsid w:val="00911E42"/>
    <w:rsid w:val="0091217C"/>
    <w:rsid w:val="0091232A"/>
    <w:rsid w:val="009344DC"/>
    <w:rsid w:val="0095203F"/>
    <w:rsid w:val="009603BA"/>
    <w:rsid w:val="00962116"/>
    <w:rsid w:val="009673EC"/>
    <w:rsid w:val="00973CA1"/>
    <w:rsid w:val="0097484B"/>
    <w:rsid w:val="009760E5"/>
    <w:rsid w:val="009805B4"/>
    <w:rsid w:val="0098492F"/>
    <w:rsid w:val="00994271"/>
    <w:rsid w:val="00994841"/>
    <w:rsid w:val="009A1013"/>
    <w:rsid w:val="009A209C"/>
    <w:rsid w:val="009A534E"/>
    <w:rsid w:val="009B4DFB"/>
    <w:rsid w:val="009B7AF5"/>
    <w:rsid w:val="009C1ADD"/>
    <w:rsid w:val="009D3EAE"/>
    <w:rsid w:val="009F10A0"/>
    <w:rsid w:val="009F425A"/>
    <w:rsid w:val="009F4AC7"/>
    <w:rsid w:val="00A20A9D"/>
    <w:rsid w:val="00A22370"/>
    <w:rsid w:val="00A26209"/>
    <w:rsid w:val="00A330D3"/>
    <w:rsid w:val="00A3720B"/>
    <w:rsid w:val="00A46B8D"/>
    <w:rsid w:val="00A51E7D"/>
    <w:rsid w:val="00A653DF"/>
    <w:rsid w:val="00A6767F"/>
    <w:rsid w:val="00A72E58"/>
    <w:rsid w:val="00A77161"/>
    <w:rsid w:val="00A9080D"/>
    <w:rsid w:val="00A96467"/>
    <w:rsid w:val="00AC193D"/>
    <w:rsid w:val="00AC5C6F"/>
    <w:rsid w:val="00AC6851"/>
    <w:rsid w:val="00AC71AE"/>
    <w:rsid w:val="00AD7DE4"/>
    <w:rsid w:val="00AE2820"/>
    <w:rsid w:val="00AE40C7"/>
    <w:rsid w:val="00AF646F"/>
    <w:rsid w:val="00B01007"/>
    <w:rsid w:val="00B17462"/>
    <w:rsid w:val="00B22DFC"/>
    <w:rsid w:val="00B26E5F"/>
    <w:rsid w:val="00B33475"/>
    <w:rsid w:val="00B36900"/>
    <w:rsid w:val="00B41320"/>
    <w:rsid w:val="00B46067"/>
    <w:rsid w:val="00B55DDB"/>
    <w:rsid w:val="00B723FA"/>
    <w:rsid w:val="00B76AAA"/>
    <w:rsid w:val="00B80570"/>
    <w:rsid w:val="00B82B02"/>
    <w:rsid w:val="00B847FF"/>
    <w:rsid w:val="00B90E24"/>
    <w:rsid w:val="00BA2634"/>
    <w:rsid w:val="00BA3360"/>
    <w:rsid w:val="00BA605A"/>
    <w:rsid w:val="00BB4EBB"/>
    <w:rsid w:val="00BB50E8"/>
    <w:rsid w:val="00BB5A4A"/>
    <w:rsid w:val="00BC0E64"/>
    <w:rsid w:val="00BC2277"/>
    <w:rsid w:val="00BD0050"/>
    <w:rsid w:val="00BE29ED"/>
    <w:rsid w:val="00BE43AA"/>
    <w:rsid w:val="00BE4E3B"/>
    <w:rsid w:val="00BE76E9"/>
    <w:rsid w:val="00BF0AAB"/>
    <w:rsid w:val="00BF196C"/>
    <w:rsid w:val="00BF1D57"/>
    <w:rsid w:val="00BF20A3"/>
    <w:rsid w:val="00BF3161"/>
    <w:rsid w:val="00BF3BB4"/>
    <w:rsid w:val="00BF70DE"/>
    <w:rsid w:val="00C03C8B"/>
    <w:rsid w:val="00C062EE"/>
    <w:rsid w:val="00C064B4"/>
    <w:rsid w:val="00C32243"/>
    <w:rsid w:val="00C33B9C"/>
    <w:rsid w:val="00C35796"/>
    <w:rsid w:val="00C3769C"/>
    <w:rsid w:val="00C41212"/>
    <w:rsid w:val="00C47B91"/>
    <w:rsid w:val="00C50C78"/>
    <w:rsid w:val="00C554BC"/>
    <w:rsid w:val="00C633CC"/>
    <w:rsid w:val="00C65E5B"/>
    <w:rsid w:val="00C701D5"/>
    <w:rsid w:val="00C708EA"/>
    <w:rsid w:val="00C7119A"/>
    <w:rsid w:val="00C74AEB"/>
    <w:rsid w:val="00C7735A"/>
    <w:rsid w:val="00C83356"/>
    <w:rsid w:val="00C974FD"/>
    <w:rsid w:val="00CA5916"/>
    <w:rsid w:val="00CA6DC3"/>
    <w:rsid w:val="00CB171E"/>
    <w:rsid w:val="00CB1C4B"/>
    <w:rsid w:val="00CC063B"/>
    <w:rsid w:val="00CC7A16"/>
    <w:rsid w:val="00CE213E"/>
    <w:rsid w:val="00CE4413"/>
    <w:rsid w:val="00CE7102"/>
    <w:rsid w:val="00CF1330"/>
    <w:rsid w:val="00CF298A"/>
    <w:rsid w:val="00D00C61"/>
    <w:rsid w:val="00D00F5C"/>
    <w:rsid w:val="00D12679"/>
    <w:rsid w:val="00D3441B"/>
    <w:rsid w:val="00D423C3"/>
    <w:rsid w:val="00D60BCF"/>
    <w:rsid w:val="00D60C97"/>
    <w:rsid w:val="00D63517"/>
    <w:rsid w:val="00D747C0"/>
    <w:rsid w:val="00D7485B"/>
    <w:rsid w:val="00D755E6"/>
    <w:rsid w:val="00D85E33"/>
    <w:rsid w:val="00D90717"/>
    <w:rsid w:val="00D935FF"/>
    <w:rsid w:val="00D9508A"/>
    <w:rsid w:val="00DA0A20"/>
    <w:rsid w:val="00DA2BAD"/>
    <w:rsid w:val="00DA5BFC"/>
    <w:rsid w:val="00DA6817"/>
    <w:rsid w:val="00DB354A"/>
    <w:rsid w:val="00DD559A"/>
    <w:rsid w:val="00DD56A6"/>
    <w:rsid w:val="00DE265E"/>
    <w:rsid w:val="00DE6A26"/>
    <w:rsid w:val="00DF52DC"/>
    <w:rsid w:val="00E00547"/>
    <w:rsid w:val="00E006B0"/>
    <w:rsid w:val="00E01457"/>
    <w:rsid w:val="00E02DF2"/>
    <w:rsid w:val="00E110C5"/>
    <w:rsid w:val="00E13FCF"/>
    <w:rsid w:val="00E2048A"/>
    <w:rsid w:val="00E25FA5"/>
    <w:rsid w:val="00E335B5"/>
    <w:rsid w:val="00E41C73"/>
    <w:rsid w:val="00E51CF6"/>
    <w:rsid w:val="00E530BE"/>
    <w:rsid w:val="00E538BB"/>
    <w:rsid w:val="00E577B3"/>
    <w:rsid w:val="00E614FA"/>
    <w:rsid w:val="00E762F1"/>
    <w:rsid w:val="00E8274D"/>
    <w:rsid w:val="00E84F7F"/>
    <w:rsid w:val="00E8637E"/>
    <w:rsid w:val="00E877DC"/>
    <w:rsid w:val="00E90BE4"/>
    <w:rsid w:val="00E91D3B"/>
    <w:rsid w:val="00E95808"/>
    <w:rsid w:val="00EA5367"/>
    <w:rsid w:val="00EB330F"/>
    <w:rsid w:val="00EB3627"/>
    <w:rsid w:val="00EB6F49"/>
    <w:rsid w:val="00EC0739"/>
    <w:rsid w:val="00EC0DA8"/>
    <w:rsid w:val="00ED19CB"/>
    <w:rsid w:val="00ED4308"/>
    <w:rsid w:val="00F1168C"/>
    <w:rsid w:val="00F17473"/>
    <w:rsid w:val="00F174FD"/>
    <w:rsid w:val="00F2322E"/>
    <w:rsid w:val="00F24E52"/>
    <w:rsid w:val="00F24FF5"/>
    <w:rsid w:val="00F338B3"/>
    <w:rsid w:val="00F41CF8"/>
    <w:rsid w:val="00F445F7"/>
    <w:rsid w:val="00F5522F"/>
    <w:rsid w:val="00F60414"/>
    <w:rsid w:val="00F67886"/>
    <w:rsid w:val="00F74711"/>
    <w:rsid w:val="00F75E0D"/>
    <w:rsid w:val="00FA0A4B"/>
    <w:rsid w:val="00FB0A69"/>
    <w:rsid w:val="00FB1BCF"/>
    <w:rsid w:val="00FC228F"/>
    <w:rsid w:val="00FC7E64"/>
    <w:rsid w:val="00FD3E6D"/>
    <w:rsid w:val="00FD4B3F"/>
    <w:rsid w:val="00FD5B90"/>
    <w:rsid w:val="00FD5E2C"/>
    <w:rsid w:val="00FD6BB6"/>
    <w:rsid w:val="00FE79D4"/>
    <w:rsid w:val="00FF4EC1"/>
    <w:rsid w:val="00FF6461"/>
    <w:rsid w:val="00FF69B4"/>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12EBF"/>
  <w15:docId w15:val="{14D23CBD-1E20-4D36-BE68-1C50FFF6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679"/>
    <w:pPr>
      <w:spacing w:after="200" w:line="276" w:lineRule="auto"/>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D1267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D1267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D12679"/>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D12679"/>
    <w:rPr>
      <w:rFonts w:ascii="Times New Roman" w:eastAsia="Times New Roman" w:hAnsi="Times New Roman" w:cs="Times New Roman"/>
      <w:sz w:val="20"/>
      <w:szCs w:val="20"/>
    </w:rPr>
  </w:style>
  <w:style w:type="character" w:styleId="Hyperlink">
    <w:name w:val="Hyperlink"/>
    <w:uiPriority w:val="99"/>
    <w:rsid w:val="00D12679"/>
    <w:rPr>
      <w:color w:val="0000FF"/>
      <w:u w:val="single"/>
    </w:rPr>
  </w:style>
  <w:style w:type="paragraph" w:customStyle="1" w:styleId="FERCparanumber">
    <w:name w:val="FERC paranumber"/>
    <w:basedOn w:val="Normal"/>
    <w:link w:val="FERCparanumberChar"/>
    <w:qFormat/>
    <w:rsid w:val="00D12679"/>
    <w:pPr>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12679"/>
    <w:rPr>
      <w:rFonts w:ascii="Times New Roman" w:eastAsia="Times New Roman" w:hAnsi="Times New Roman" w:cs="Times New Roman"/>
      <w:sz w:val="26"/>
      <w:szCs w:val="24"/>
    </w:rPr>
  </w:style>
  <w:style w:type="paragraph" w:customStyle="1" w:styleId="Default">
    <w:name w:val="Default"/>
    <w:rsid w:val="00D126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12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79"/>
  </w:style>
  <w:style w:type="paragraph" w:styleId="Footer">
    <w:name w:val="footer"/>
    <w:basedOn w:val="Normal"/>
    <w:link w:val="FooterChar"/>
    <w:uiPriority w:val="99"/>
    <w:unhideWhenUsed/>
    <w:rsid w:val="00D12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79"/>
  </w:style>
  <w:style w:type="paragraph" w:styleId="BalloonText">
    <w:name w:val="Balloon Text"/>
    <w:basedOn w:val="Normal"/>
    <w:link w:val="BalloonTextChar"/>
    <w:uiPriority w:val="99"/>
    <w:semiHidden/>
    <w:unhideWhenUsed/>
    <w:rsid w:val="008B2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6B"/>
    <w:rPr>
      <w:rFonts w:ascii="Segoe UI" w:hAnsi="Segoe UI" w:cs="Segoe UI"/>
      <w:sz w:val="18"/>
      <w:szCs w:val="18"/>
    </w:rPr>
  </w:style>
  <w:style w:type="character" w:styleId="CommentReference">
    <w:name w:val="annotation reference"/>
    <w:basedOn w:val="DefaultParagraphFont"/>
    <w:uiPriority w:val="99"/>
    <w:semiHidden/>
    <w:unhideWhenUsed/>
    <w:rsid w:val="00C50C78"/>
    <w:rPr>
      <w:sz w:val="16"/>
      <w:szCs w:val="16"/>
    </w:rPr>
  </w:style>
  <w:style w:type="paragraph" w:styleId="CommentText">
    <w:name w:val="annotation text"/>
    <w:basedOn w:val="Normal"/>
    <w:link w:val="CommentTextChar"/>
    <w:uiPriority w:val="99"/>
    <w:semiHidden/>
    <w:unhideWhenUsed/>
    <w:rsid w:val="00C50C78"/>
    <w:pPr>
      <w:spacing w:line="240" w:lineRule="auto"/>
    </w:pPr>
    <w:rPr>
      <w:sz w:val="20"/>
      <w:szCs w:val="20"/>
    </w:rPr>
  </w:style>
  <w:style w:type="character" w:customStyle="1" w:styleId="CommentTextChar">
    <w:name w:val="Comment Text Char"/>
    <w:basedOn w:val="DefaultParagraphFont"/>
    <w:link w:val="CommentText"/>
    <w:uiPriority w:val="99"/>
    <w:semiHidden/>
    <w:rsid w:val="00C50C78"/>
    <w:rPr>
      <w:sz w:val="20"/>
      <w:szCs w:val="20"/>
    </w:rPr>
  </w:style>
  <w:style w:type="paragraph" w:styleId="CommentSubject">
    <w:name w:val="annotation subject"/>
    <w:basedOn w:val="CommentText"/>
    <w:next w:val="CommentText"/>
    <w:link w:val="CommentSubjectChar"/>
    <w:uiPriority w:val="99"/>
    <w:semiHidden/>
    <w:unhideWhenUsed/>
    <w:rsid w:val="00C50C78"/>
    <w:rPr>
      <w:b/>
      <w:bCs/>
    </w:rPr>
  </w:style>
  <w:style w:type="character" w:customStyle="1" w:styleId="CommentSubjectChar">
    <w:name w:val="Comment Subject Char"/>
    <w:basedOn w:val="CommentTextChar"/>
    <w:link w:val="CommentSubject"/>
    <w:uiPriority w:val="99"/>
    <w:semiHidden/>
    <w:rsid w:val="00C50C78"/>
    <w:rPr>
      <w:b/>
      <w:bCs/>
      <w:sz w:val="20"/>
      <w:szCs w:val="20"/>
    </w:rPr>
  </w:style>
  <w:style w:type="character" w:styleId="UnresolvedMention">
    <w:name w:val="Unresolved Mention"/>
    <w:basedOn w:val="DefaultParagraphFont"/>
    <w:uiPriority w:val="99"/>
    <w:semiHidden/>
    <w:unhideWhenUsed/>
    <w:rsid w:val="00C47B91"/>
    <w:rPr>
      <w:color w:val="605E5C"/>
      <w:shd w:val="clear" w:color="auto" w:fill="E1DFDD"/>
    </w:rPr>
  </w:style>
  <w:style w:type="character" w:styleId="FollowedHyperlink">
    <w:name w:val="FollowedHyperlink"/>
    <w:basedOn w:val="DefaultParagraphFont"/>
    <w:uiPriority w:val="99"/>
    <w:semiHidden/>
    <w:unhideWhenUsed/>
    <w:rsid w:val="000406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rc.gov/ferc-online/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electric/general-information/electric-industry-for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rc.gov/enforcement-legal/legal/information-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DB629-8805-4958-B665-FAE583B09DDA}">
  <ds:schemaRefs>
    <ds:schemaRef ds:uri="http://schemas.microsoft.com/sharepoint/v3/contenttype/forms"/>
  </ds:schemaRefs>
</ds:datastoreItem>
</file>

<file path=customXml/itemProps2.xml><?xml version="1.0" encoding="utf-8"?>
<ds:datastoreItem xmlns:ds="http://schemas.openxmlformats.org/officeDocument/2006/customXml" ds:itemID="{258699C1-F5BC-49EC-B45D-E5418195B0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E7EC6-CAAE-4CDF-85C2-ADF75A5F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EF70B-32C6-4F99-8C0F-87C71A45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Annual Report of Twenty Largest Purchasers</vt:lpstr>
    </vt:vector>
  </TitlesOfParts>
  <Company>FERC</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Twenty Largest Purchasers</dc:title>
  <dc:subject/>
  <dc:creator>Michele Chambers</dc:creator>
  <cp:keywords/>
  <dc:description/>
  <cp:lastModifiedBy>Jean</cp:lastModifiedBy>
  <cp:revision>40</cp:revision>
  <dcterms:created xsi:type="dcterms:W3CDTF">2021-08-04T14:33:00Z</dcterms:created>
  <dcterms:modified xsi:type="dcterms:W3CDTF">2021-09-07T12:58:00Z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e120c11f-7d21-4fdf-9d04-b34a9c1c3979_Enabled">
    <vt:lpwstr>True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Jean.Sonneman@ferc.gov</vt:lpwstr>
  </property>
  <property fmtid="{D5CDD505-2E9C-101B-9397-08002B2CF9AE}" pid="6" name="MSIP_Label_e120c11f-7d21-4fdf-9d04-b34a9c1c3979_SetDate">
    <vt:lpwstr>2021-06-28T17:37:45.2783889Z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ActionId">
    <vt:lpwstr>49cdfb39-7e81-4205-8e6f-666e8e4bcc84</vt:lpwstr>
  </property>
  <property fmtid="{D5CDD505-2E9C-101B-9397-08002B2CF9AE}" pid="10" name="MSIP_Label_e120c11f-7d21-4fdf-9d04-b34a9c1c3979_Extended_MSFT_Method">
    <vt:lpwstr>Manual</vt:lpwstr>
  </property>
  <property fmtid="{D5CDD505-2E9C-101B-9397-08002B2CF9AE}" pid="11" name="Sensitivity">
    <vt:lpwstr>CUI</vt:lpwstr>
  </property>
</Properties>
</file>