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37F4" w:rsidR="003237F4" w:rsidP="003237F4" w:rsidRDefault="003237F4" w14:paraId="7D31F97F" w14:textId="77777777">
      <w:pPr>
        <w:spacing w:after="0" w:line="240" w:lineRule="auto"/>
        <w:jc w:val="center"/>
        <w:rPr>
          <w:rFonts w:ascii="Times New Roman" w:hAnsi="Times New Roman" w:cs="Times New Roman"/>
          <w:sz w:val="26"/>
          <w:szCs w:val="26"/>
        </w:rPr>
      </w:pPr>
      <w:r w:rsidRPr="003237F4">
        <w:rPr>
          <w:rFonts w:ascii="Times New Roman" w:hAnsi="Times New Roman" w:cs="Times New Roman"/>
          <w:sz w:val="26"/>
          <w:szCs w:val="26"/>
        </w:rPr>
        <w:t>Supporting Statement for</w:t>
      </w:r>
    </w:p>
    <w:p w:rsidR="003237F4" w:rsidP="003237F4" w:rsidRDefault="003237F4" w14:paraId="013D89B5" w14:textId="0D6A883C">
      <w:pPr>
        <w:spacing w:after="0" w:line="240" w:lineRule="auto"/>
        <w:jc w:val="center"/>
        <w:rPr>
          <w:rFonts w:ascii="Times New Roman" w:hAnsi="Times New Roman" w:cs="Times New Roman"/>
          <w:b/>
          <w:bCs/>
          <w:sz w:val="26"/>
          <w:szCs w:val="26"/>
        </w:rPr>
      </w:pPr>
      <w:r w:rsidRPr="003237F4">
        <w:rPr>
          <w:rFonts w:ascii="Times New Roman" w:hAnsi="Times New Roman" w:cs="Times New Roman"/>
          <w:b/>
          <w:bCs/>
          <w:sz w:val="26"/>
          <w:szCs w:val="26"/>
        </w:rPr>
        <w:t>FERC-585, Reporting of Electric Shortages and Contingency Plans Under PURPA</w:t>
      </w:r>
      <w:r w:rsidRPr="00704F75" w:rsidR="00890DBF">
        <w:rPr>
          <w:rStyle w:val="FootnoteReference"/>
          <w:rFonts w:ascii="Times New Roman" w:hAnsi="Times New Roman" w:cs="Times New Roman"/>
          <w:b/>
          <w:bCs/>
          <w:sz w:val="26"/>
          <w:szCs w:val="26"/>
          <w:vertAlign w:val="superscript"/>
        </w:rPr>
        <w:footnoteReference w:id="1"/>
      </w:r>
      <w:r w:rsidRPr="003237F4">
        <w:rPr>
          <w:rFonts w:ascii="Times New Roman" w:hAnsi="Times New Roman" w:cs="Times New Roman"/>
          <w:b/>
          <w:bCs/>
          <w:sz w:val="26"/>
          <w:szCs w:val="26"/>
        </w:rPr>
        <w:t xml:space="preserve"> </w:t>
      </w:r>
      <w:r w:rsidR="003B1AD2">
        <w:rPr>
          <w:rFonts w:ascii="Times New Roman" w:hAnsi="Times New Roman" w:cs="Times New Roman"/>
          <w:b/>
          <w:bCs/>
          <w:sz w:val="26"/>
          <w:szCs w:val="26"/>
        </w:rPr>
        <w:t xml:space="preserve">Section </w:t>
      </w:r>
      <w:r w:rsidRPr="003237F4">
        <w:rPr>
          <w:rFonts w:ascii="Times New Roman" w:hAnsi="Times New Roman" w:cs="Times New Roman"/>
          <w:b/>
          <w:bCs/>
          <w:sz w:val="26"/>
          <w:szCs w:val="26"/>
        </w:rPr>
        <w:t>206</w:t>
      </w:r>
    </w:p>
    <w:p w:rsidRPr="002B76B0" w:rsidR="002B76B0" w:rsidP="003237F4" w:rsidRDefault="002B76B0" w14:paraId="30D88EF1" w14:textId="77777777">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(Three-year extension requested)</w:t>
      </w:r>
    </w:p>
    <w:p w:rsidRPr="003237F4" w:rsidR="003237F4" w:rsidP="003237F4" w:rsidRDefault="003237F4" w14:paraId="7EF07124" w14:textId="77777777">
      <w:pPr>
        <w:spacing w:after="0" w:line="240" w:lineRule="auto"/>
        <w:rPr>
          <w:rFonts w:ascii="Times New Roman" w:hAnsi="Times New Roman" w:cs="Times New Roman"/>
          <w:b/>
          <w:bCs/>
          <w:sz w:val="26"/>
          <w:szCs w:val="26"/>
        </w:rPr>
      </w:pPr>
    </w:p>
    <w:p w:rsidRPr="003237F4" w:rsidR="002B76B0" w:rsidP="003237F4" w:rsidRDefault="003237F4" w14:paraId="69316341" w14:textId="4AF9123B">
      <w:pPr>
        <w:spacing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Federal Energy Regulatory Commission (Commission or FERC) requests that the Office of Management and Budget (OMB) review and </w:t>
      </w:r>
      <w:r w:rsidR="002B76B0">
        <w:rPr>
          <w:rFonts w:ascii="Times New Roman" w:hAnsi="Times New Roman" w:cs="Times New Roman"/>
          <w:sz w:val="26"/>
          <w:szCs w:val="26"/>
        </w:rPr>
        <w:t>renew</w:t>
      </w:r>
      <w:r w:rsidRPr="003237F4">
        <w:rPr>
          <w:rFonts w:ascii="Times New Roman" w:hAnsi="Times New Roman" w:cs="Times New Roman"/>
          <w:sz w:val="26"/>
          <w:szCs w:val="26"/>
        </w:rPr>
        <w:t xml:space="preserve"> </w:t>
      </w:r>
      <w:r w:rsidR="008302B8">
        <w:rPr>
          <w:rFonts w:ascii="Times New Roman" w:hAnsi="Times New Roman" w:cs="Times New Roman"/>
          <w:sz w:val="26"/>
          <w:szCs w:val="26"/>
        </w:rPr>
        <w:t xml:space="preserve">the information collection requirements in </w:t>
      </w:r>
      <w:r w:rsidRPr="002B76B0">
        <w:rPr>
          <w:rFonts w:ascii="Times New Roman" w:hAnsi="Times New Roman" w:cs="Times New Roman"/>
          <w:bCs/>
          <w:sz w:val="26"/>
          <w:szCs w:val="26"/>
        </w:rPr>
        <w:t>FERC-585</w:t>
      </w:r>
      <w:r w:rsidR="002B76B0">
        <w:rPr>
          <w:rFonts w:ascii="Times New Roman" w:hAnsi="Times New Roman" w:cs="Times New Roman"/>
          <w:bCs/>
          <w:sz w:val="26"/>
          <w:szCs w:val="26"/>
        </w:rPr>
        <w:t xml:space="preserve">, </w:t>
      </w:r>
      <w:r w:rsidRPr="002B76B0">
        <w:rPr>
          <w:rFonts w:ascii="Times New Roman" w:hAnsi="Times New Roman" w:cs="Times New Roman"/>
          <w:bCs/>
          <w:sz w:val="26"/>
          <w:szCs w:val="26"/>
        </w:rPr>
        <w:t>Reporting of Electric Shortages and Contingency Plans Under PURPA 206</w:t>
      </w:r>
      <w:r w:rsidR="002B76B0">
        <w:rPr>
          <w:rFonts w:ascii="Times New Roman" w:hAnsi="Times New Roman" w:cs="Times New Roman"/>
          <w:bCs/>
          <w:sz w:val="26"/>
          <w:szCs w:val="26"/>
        </w:rPr>
        <w:t>,</w:t>
      </w:r>
      <w:r w:rsidR="00E7380E">
        <w:rPr>
          <w:rFonts w:ascii="Times New Roman" w:hAnsi="Times New Roman" w:cs="Times New Roman"/>
          <w:bCs/>
          <w:sz w:val="26"/>
          <w:szCs w:val="26"/>
        </w:rPr>
        <w:t xml:space="preserve"> under</w:t>
      </w:r>
      <w:r w:rsidR="002B76B0">
        <w:rPr>
          <w:rFonts w:ascii="Times New Roman" w:hAnsi="Times New Roman" w:cs="Times New Roman"/>
          <w:bCs/>
          <w:sz w:val="26"/>
          <w:szCs w:val="26"/>
        </w:rPr>
        <w:t xml:space="preserve"> OMB Control No. 1902-0138,</w:t>
      </w:r>
      <w:r w:rsidRPr="003237F4">
        <w:rPr>
          <w:rFonts w:ascii="Times New Roman" w:hAnsi="Times New Roman" w:cs="Times New Roman"/>
          <w:b/>
          <w:bCs/>
          <w:sz w:val="26"/>
          <w:szCs w:val="26"/>
        </w:rPr>
        <w:t xml:space="preserve"> </w:t>
      </w:r>
      <w:r w:rsidRPr="003237F4">
        <w:rPr>
          <w:rFonts w:ascii="Times New Roman" w:hAnsi="Times New Roman" w:cs="Times New Roman"/>
          <w:sz w:val="26"/>
          <w:szCs w:val="26"/>
        </w:rPr>
        <w:t xml:space="preserve">for a three year period. </w:t>
      </w:r>
      <w:r w:rsidR="008302B8">
        <w:rPr>
          <w:rFonts w:ascii="Times New Roman" w:hAnsi="Times New Roman" w:cs="Times New Roman"/>
          <w:sz w:val="26"/>
          <w:szCs w:val="26"/>
        </w:rPr>
        <w:t xml:space="preserve">The reporting requirements </w:t>
      </w:r>
      <w:r w:rsidR="00890DBF">
        <w:rPr>
          <w:rFonts w:ascii="Times New Roman" w:hAnsi="Times New Roman" w:cs="Times New Roman"/>
          <w:sz w:val="26"/>
          <w:szCs w:val="26"/>
        </w:rPr>
        <w:t>for the</w:t>
      </w:r>
      <w:r w:rsidR="008302B8">
        <w:rPr>
          <w:rFonts w:ascii="Times New Roman" w:hAnsi="Times New Roman" w:cs="Times New Roman"/>
          <w:sz w:val="26"/>
          <w:szCs w:val="26"/>
        </w:rPr>
        <w:t xml:space="preserve"> FERC-585</w:t>
      </w:r>
      <w:r w:rsidR="00890DBF">
        <w:rPr>
          <w:rFonts w:ascii="Times New Roman" w:hAnsi="Times New Roman" w:cs="Times New Roman"/>
          <w:sz w:val="26"/>
          <w:szCs w:val="26"/>
        </w:rPr>
        <w:t xml:space="preserve"> information collection are contained in Commission’s regulations at 18 CFR 294.101</w:t>
      </w:r>
      <w:r w:rsidR="008302B8">
        <w:rPr>
          <w:rFonts w:ascii="Times New Roman" w:hAnsi="Times New Roman" w:cs="Times New Roman"/>
          <w:sz w:val="26"/>
          <w:szCs w:val="26"/>
        </w:rPr>
        <w:t xml:space="preserve"> </w:t>
      </w:r>
      <w:r w:rsidR="00890DBF">
        <w:rPr>
          <w:rFonts w:ascii="Times New Roman" w:hAnsi="Times New Roman" w:cs="Times New Roman"/>
          <w:sz w:val="26"/>
          <w:szCs w:val="26"/>
        </w:rPr>
        <w:t>and remain un</w:t>
      </w:r>
      <w:r w:rsidR="008302B8">
        <w:rPr>
          <w:rFonts w:ascii="Times New Roman" w:hAnsi="Times New Roman" w:cs="Times New Roman"/>
          <w:sz w:val="26"/>
          <w:szCs w:val="26"/>
        </w:rPr>
        <w:t>changed.</w:t>
      </w:r>
      <w:r w:rsidRPr="003237F4">
        <w:rPr>
          <w:rFonts w:ascii="Times New Roman" w:hAnsi="Times New Roman" w:cs="Times New Roman"/>
          <w:sz w:val="26"/>
          <w:szCs w:val="26"/>
        </w:rPr>
        <w:t xml:space="preserve"> </w:t>
      </w:r>
    </w:p>
    <w:p w:rsidRPr="003237F4" w:rsidR="003237F4" w:rsidP="003237F4" w:rsidRDefault="003237F4" w14:paraId="26B9AFDF"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CIRCUMSTANCES THAT MAKE THE COLLECTION OF INFORMATION NECESSARY</w:t>
      </w:r>
    </w:p>
    <w:p w:rsidRPr="003237F4" w:rsidR="003237F4" w:rsidP="003237F4" w:rsidRDefault="003237F4" w14:paraId="3C9CD022" w14:textId="77777777">
      <w:pPr>
        <w:spacing w:after="0" w:line="240" w:lineRule="auto"/>
        <w:rPr>
          <w:rFonts w:ascii="Times New Roman" w:hAnsi="Times New Roman" w:cs="Times New Roman"/>
          <w:b/>
          <w:bCs/>
          <w:sz w:val="26"/>
          <w:szCs w:val="26"/>
        </w:rPr>
      </w:pPr>
    </w:p>
    <w:p w:rsidR="00890DBF" w:rsidP="003237F4" w:rsidRDefault="003237F4" w14:paraId="4549186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uses the data within the FERC-585 information collection to implement the statutory provisions of Section 206 of the Public Utility Regulatory Policies Act of 1979 (PURPA)</w:t>
      </w:r>
      <w:r w:rsidRPr="003237F4">
        <w:rPr>
          <w:rFonts w:ascii="Times New Roman" w:hAnsi="Times New Roman" w:cs="Times New Roman"/>
          <w:sz w:val="26"/>
          <w:szCs w:val="26"/>
          <w:vertAlign w:val="superscript"/>
        </w:rPr>
        <w:footnoteReference w:id="2"/>
      </w:r>
      <w:r w:rsidRPr="003237F4">
        <w:rPr>
          <w:rFonts w:ascii="Times New Roman" w:hAnsi="Times New Roman" w:cs="Times New Roman"/>
          <w:sz w:val="26"/>
          <w:szCs w:val="26"/>
        </w:rPr>
        <w:t>.  Section 206 of PURPA amended the Federal Power Act (FPA) by adding a subsection to Section 202 under which the Commission (by rule) requires each public utility to</w:t>
      </w:r>
      <w:r w:rsidR="00890DBF">
        <w:rPr>
          <w:rFonts w:ascii="Times New Roman" w:hAnsi="Times New Roman" w:cs="Times New Roman"/>
          <w:sz w:val="26"/>
          <w:szCs w:val="26"/>
        </w:rPr>
        <w:t>:</w:t>
      </w:r>
    </w:p>
    <w:p w:rsidR="00890DBF" w:rsidP="00704F75" w:rsidRDefault="003237F4" w14:paraId="4770A29F" w14:textId="503D3042">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sz w:val="26"/>
          <w:szCs w:val="26"/>
        </w:rPr>
        <w:t xml:space="preserve">report </w:t>
      </w:r>
      <w:r w:rsidRPr="00704F75">
        <w:rPr>
          <w:rFonts w:ascii="Times New Roman" w:hAnsi="Times New Roman" w:cs="Times New Roman"/>
          <w:bCs/>
          <w:sz w:val="26"/>
          <w:szCs w:val="26"/>
        </w:rPr>
        <w:t>to the Commission and appropriate state regulatory authorities of any anticipated shortages of electric energy or capacity which would affect the utility’s capability to serve its wholesale customers;</w:t>
      </w:r>
      <w:r w:rsidR="00890DBF">
        <w:rPr>
          <w:rFonts w:ascii="Times New Roman" w:hAnsi="Times New Roman" w:cs="Times New Roman"/>
          <w:bCs/>
          <w:sz w:val="26"/>
          <w:szCs w:val="26"/>
        </w:rPr>
        <w:t xml:space="preserve"> and</w:t>
      </w:r>
    </w:p>
    <w:p w:rsidRPr="00704F75" w:rsidR="003237F4" w:rsidP="00704F75" w:rsidRDefault="003237F4" w14:paraId="66E98530" w14:textId="7B8E0628">
      <w:pPr>
        <w:pStyle w:val="ListParagraph"/>
        <w:numPr>
          <w:ilvl w:val="0"/>
          <w:numId w:val="3"/>
        </w:numPr>
        <w:spacing w:after="0" w:line="240" w:lineRule="auto"/>
        <w:rPr>
          <w:rFonts w:ascii="Times New Roman" w:hAnsi="Times New Roman" w:cs="Times New Roman"/>
          <w:bCs/>
          <w:sz w:val="26"/>
          <w:szCs w:val="26"/>
        </w:rPr>
      </w:pPr>
      <w:r w:rsidRPr="00704F75">
        <w:rPr>
          <w:rFonts w:ascii="Times New Roman" w:hAnsi="Times New Roman" w:cs="Times New Roman"/>
          <w:bCs/>
          <w:sz w:val="26"/>
          <w:szCs w:val="26"/>
        </w:rPr>
        <w:t>report to the Commission and any appropriate state regulatory authority with contingency plan that would outline what circumstances might give rise to such occurrences.</w:t>
      </w:r>
    </w:p>
    <w:p w:rsidRPr="003237F4" w:rsidR="002B76B0" w:rsidP="003237F4" w:rsidRDefault="002B76B0" w14:paraId="27A75E4D" w14:textId="77777777">
      <w:pPr>
        <w:spacing w:after="0" w:line="240" w:lineRule="auto"/>
        <w:rPr>
          <w:rFonts w:ascii="Times New Roman" w:hAnsi="Times New Roman" w:cs="Times New Roman"/>
          <w:sz w:val="26"/>
          <w:szCs w:val="26"/>
        </w:rPr>
      </w:pPr>
    </w:p>
    <w:p w:rsidRPr="003237F4" w:rsidR="003237F4" w:rsidP="003237F4" w:rsidRDefault="003237F4" w14:paraId="5AD97DF9"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t>HOW, BY WHOM, AND FOR WHAT PURPOSE THE INFORMATION IS TO BE USED AND THE CONSEQUENCES OF NOT COLLECTING THE INFORMATION</w:t>
      </w:r>
    </w:p>
    <w:p w:rsidRPr="003237F4" w:rsidR="003237F4" w:rsidP="003237F4" w:rsidRDefault="003237F4" w14:paraId="64C296AA" w14:textId="77777777">
      <w:pPr>
        <w:spacing w:after="0" w:line="240" w:lineRule="auto"/>
        <w:rPr>
          <w:rFonts w:ascii="Times New Roman" w:hAnsi="Times New Roman" w:cs="Times New Roman"/>
          <w:b/>
          <w:bCs/>
          <w:sz w:val="26"/>
          <w:szCs w:val="26"/>
        </w:rPr>
      </w:pPr>
    </w:p>
    <w:p w:rsidR="00890DBF" w:rsidP="003237F4" w:rsidRDefault="008302B8" w14:paraId="61DA7B4C" w14:textId="128F319B">
      <w:pPr>
        <w:spacing w:after="0" w:line="240" w:lineRule="auto"/>
        <w:rPr>
          <w:rFonts w:ascii="Times New Roman" w:hAnsi="Times New Roman" w:cs="Times New Roman"/>
          <w:bCs/>
          <w:sz w:val="26"/>
          <w:szCs w:val="26"/>
        </w:rPr>
      </w:pPr>
      <w:r>
        <w:rPr>
          <w:rFonts w:ascii="Times New Roman" w:hAnsi="Times New Roman" w:cs="Times New Roman"/>
          <w:sz w:val="26"/>
          <w:szCs w:val="26"/>
        </w:rPr>
        <w:t xml:space="preserve">The information </w:t>
      </w:r>
      <w:r w:rsidRPr="003237F4" w:rsidR="003237F4">
        <w:rPr>
          <w:rFonts w:ascii="Times New Roman" w:hAnsi="Times New Roman" w:cs="Times New Roman"/>
          <w:sz w:val="26"/>
          <w:szCs w:val="26"/>
        </w:rPr>
        <w:t xml:space="preserve">collected by </w:t>
      </w:r>
      <w:r w:rsidR="005B5AD2">
        <w:rPr>
          <w:rFonts w:ascii="Times New Roman" w:hAnsi="Times New Roman" w:cs="Times New Roman"/>
          <w:sz w:val="26"/>
          <w:szCs w:val="26"/>
        </w:rPr>
        <w:t xml:space="preserve">the Commission on </w:t>
      </w:r>
      <w:r w:rsidRPr="003237F4" w:rsidR="003237F4">
        <w:rPr>
          <w:rFonts w:ascii="Times New Roman" w:hAnsi="Times New Roman" w:cs="Times New Roman"/>
          <w:sz w:val="26"/>
          <w:szCs w:val="26"/>
        </w:rPr>
        <w:t xml:space="preserve">FERC-585 </w:t>
      </w:r>
      <w:r>
        <w:rPr>
          <w:rFonts w:ascii="Times New Roman" w:hAnsi="Times New Roman" w:cs="Times New Roman"/>
          <w:sz w:val="26"/>
          <w:szCs w:val="26"/>
        </w:rPr>
        <w:t xml:space="preserve">is used </w:t>
      </w:r>
      <w:r w:rsidRPr="003237F4" w:rsidR="003237F4">
        <w:rPr>
          <w:rFonts w:ascii="Times New Roman" w:hAnsi="Times New Roman" w:cs="Times New Roman"/>
          <w:sz w:val="26"/>
          <w:szCs w:val="26"/>
        </w:rPr>
        <w:t xml:space="preserve">to </w:t>
      </w:r>
      <w:r w:rsidRPr="003237F4" w:rsidR="003237F4">
        <w:rPr>
          <w:rFonts w:ascii="Times New Roman" w:hAnsi="Times New Roman" w:cs="Times New Roman"/>
          <w:bCs/>
          <w:sz w:val="26"/>
          <w:szCs w:val="26"/>
        </w:rPr>
        <w:t>evaluate and formulate an appropriate option for action in the event of an unanticipated electrical shortage.  Without this information, the Commission and state agencies would be unable to:</w:t>
      </w:r>
    </w:p>
    <w:p w:rsidRPr="00890DBF" w:rsidR="00890DBF" w:rsidP="00704F75" w:rsidRDefault="003237F4" w14:paraId="494870B5" w14:textId="77777777">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examine and approve or modify utility actions</w:t>
      </w:r>
      <w:r w:rsidR="00890DBF">
        <w:rPr>
          <w:rFonts w:ascii="Times New Roman" w:hAnsi="Times New Roman" w:cs="Times New Roman"/>
          <w:bCs/>
          <w:sz w:val="26"/>
          <w:szCs w:val="26"/>
        </w:rPr>
        <w:t>;</w:t>
      </w:r>
    </w:p>
    <w:p w:rsidRPr="00890DBF" w:rsidR="00890DBF" w:rsidP="00704F75" w:rsidRDefault="003237F4" w14:paraId="7DB30C6E" w14:textId="286A5B61">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prepare a response to anticipated shortages in electric energy</w:t>
      </w:r>
      <w:r w:rsidR="00890DBF">
        <w:rPr>
          <w:rFonts w:ascii="Times New Roman" w:hAnsi="Times New Roman" w:cs="Times New Roman"/>
          <w:bCs/>
          <w:sz w:val="26"/>
          <w:szCs w:val="26"/>
        </w:rPr>
        <w:t>;</w:t>
      </w:r>
      <w:r w:rsidRPr="00704F75">
        <w:rPr>
          <w:rFonts w:ascii="Times New Roman" w:hAnsi="Times New Roman" w:cs="Times New Roman"/>
          <w:bCs/>
          <w:sz w:val="26"/>
          <w:szCs w:val="26"/>
        </w:rPr>
        <w:t xml:space="preserve"> and</w:t>
      </w:r>
    </w:p>
    <w:p w:rsidRPr="00704F75" w:rsidR="003237F4" w:rsidP="00704F75" w:rsidRDefault="003237F4" w14:paraId="181AF677" w14:textId="13405874">
      <w:pPr>
        <w:pStyle w:val="ListParagraph"/>
        <w:numPr>
          <w:ilvl w:val="0"/>
          <w:numId w:val="4"/>
        </w:numPr>
        <w:spacing w:after="0" w:line="240" w:lineRule="auto"/>
        <w:rPr>
          <w:rFonts w:ascii="Times New Roman" w:hAnsi="Times New Roman" w:cs="Times New Roman"/>
          <w:sz w:val="26"/>
          <w:szCs w:val="26"/>
        </w:rPr>
      </w:pPr>
      <w:r w:rsidRPr="00704F75">
        <w:rPr>
          <w:rFonts w:ascii="Times New Roman" w:hAnsi="Times New Roman" w:cs="Times New Roman"/>
          <w:bCs/>
          <w:sz w:val="26"/>
          <w:szCs w:val="26"/>
        </w:rPr>
        <w:t>ensure equitable treatment of all public utility customers under the shortage situations.</w:t>
      </w:r>
    </w:p>
    <w:p w:rsidRPr="003237F4" w:rsidR="003237F4" w:rsidP="003237F4" w:rsidRDefault="003237F4" w14:paraId="5D6DECA0" w14:textId="77777777">
      <w:pPr>
        <w:spacing w:after="0" w:line="240" w:lineRule="auto"/>
        <w:rPr>
          <w:rFonts w:ascii="Times New Roman" w:hAnsi="Times New Roman" w:cs="Times New Roman"/>
          <w:sz w:val="26"/>
          <w:szCs w:val="26"/>
        </w:rPr>
      </w:pPr>
    </w:p>
    <w:p w:rsidRPr="003237F4" w:rsidR="003237F4" w:rsidP="003237F4" w:rsidRDefault="003237F4" w14:paraId="5D1B9535" w14:textId="77777777">
      <w:pPr>
        <w:numPr>
          <w:ilvl w:val="0"/>
          <w:numId w:val="1"/>
        </w:numPr>
        <w:tabs>
          <w:tab w:val="num" w:pos="1080"/>
        </w:tabs>
        <w:spacing w:after="0" w:line="240" w:lineRule="auto"/>
        <w:rPr>
          <w:rFonts w:ascii="Times New Roman" w:hAnsi="Times New Roman" w:cs="Times New Roman"/>
          <w:b/>
          <w:bCs/>
          <w:sz w:val="26"/>
          <w:szCs w:val="26"/>
        </w:rPr>
      </w:pPr>
      <w:r w:rsidRPr="003237F4">
        <w:rPr>
          <w:rFonts w:ascii="Times New Roman" w:hAnsi="Times New Roman" w:cs="Times New Roman"/>
          <w:b/>
          <w:bCs/>
          <w:sz w:val="26"/>
          <w:szCs w:val="26"/>
        </w:rPr>
        <w:lastRenderedPageBreak/>
        <w:t>DESCRIBE ANY CONSIDERATION OF THE USE OF IMPROVED TECHNOLOGY TO REDUCE BURDEN AND TECHNICAL OR LEGAL OBSTACLES TO REDUCING BURDEN.</w:t>
      </w:r>
    </w:p>
    <w:p w:rsidRPr="003237F4" w:rsidR="003237F4" w:rsidP="003237F4" w:rsidRDefault="003237F4" w14:paraId="0637FF5A" w14:textId="77777777">
      <w:pPr>
        <w:spacing w:after="0" w:line="240" w:lineRule="auto"/>
        <w:rPr>
          <w:rFonts w:ascii="Times New Roman" w:hAnsi="Times New Roman" w:cs="Times New Roman"/>
          <w:b/>
          <w:bCs/>
          <w:sz w:val="26"/>
          <w:szCs w:val="26"/>
        </w:rPr>
      </w:pPr>
    </w:p>
    <w:p w:rsidRPr="003B1AD2" w:rsidR="003237F4" w:rsidP="003237F4" w:rsidRDefault="003237F4" w14:paraId="2D4BE528" w14:textId="77777777">
      <w:pPr>
        <w:spacing w:after="0" w:line="240" w:lineRule="auto"/>
        <w:rPr>
          <w:rFonts w:ascii="Times New Roman" w:hAnsi="Times New Roman" w:cs="Times New Roman"/>
          <w:b/>
          <w:bCs/>
          <w:sz w:val="26"/>
          <w:szCs w:val="26"/>
        </w:rPr>
      </w:pPr>
      <w:r w:rsidRPr="003B1AD2">
        <w:rPr>
          <w:rFonts w:ascii="Times New Roman" w:hAnsi="Times New Roman" w:cs="Times New Roman"/>
          <w:sz w:val="26"/>
          <w:szCs w:val="26"/>
        </w:rPr>
        <w:t xml:space="preserve">The Commission allows the option of filing all documents in proceedings through the eFiling interface </w:t>
      </w:r>
    </w:p>
    <w:p w:rsidRPr="003B1AD2" w:rsidR="003237F4" w:rsidP="003237F4" w:rsidRDefault="003237F4" w14:paraId="53A2F19E" w14:textId="77777777">
      <w:pPr>
        <w:spacing w:after="0" w:line="240" w:lineRule="auto"/>
        <w:rPr>
          <w:rFonts w:ascii="Times New Roman" w:hAnsi="Times New Roman" w:cs="Times New Roman"/>
          <w:sz w:val="26"/>
          <w:szCs w:val="26"/>
        </w:rPr>
      </w:pPr>
    </w:p>
    <w:p w:rsidR="003237F4" w:rsidP="003237F4" w:rsidRDefault="003237F4" w14:paraId="2D1C1C2E" w14:textId="77777777">
      <w:pPr>
        <w:spacing w:after="0" w:line="240" w:lineRule="auto"/>
        <w:rPr>
          <w:rFonts w:ascii="Times New Roman" w:hAnsi="Times New Roman" w:cs="Times New Roman"/>
          <w:sz w:val="26"/>
          <w:szCs w:val="26"/>
        </w:rPr>
      </w:pPr>
      <w:r w:rsidRPr="003B1AD2">
        <w:rPr>
          <w:rFonts w:ascii="Times New Roman" w:hAnsi="Times New Roman" w:cs="Times New Roman"/>
          <w:sz w:val="26"/>
          <w:szCs w:val="26"/>
        </w:rPr>
        <w:t xml:space="preserve">With eFiling, the Commission has expanded its ability to receive electronic filings through its eFiling and eLibrary systems and now includes these self-certification filings.  Submission guidelines can be found here: </w:t>
      </w:r>
      <w:hyperlink w:history="1" r:id="rId13">
        <w:r w:rsidRPr="003B1AD2">
          <w:rPr>
            <w:rStyle w:val="Hyperlink"/>
            <w:rFonts w:ascii="Times New Roman" w:hAnsi="Times New Roman" w:cs="Times New Roman"/>
            <w:sz w:val="26"/>
            <w:szCs w:val="26"/>
          </w:rPr>
          <w:t>http://www.ferc.gov/docs-filing/efiling/filing.pdf</w:t>
        </w:r>
      </w:hyperlink>
      <w:r w:rsidRPr="003B1AD2">
        <w:rPr>
          <w:rFonts w:ascii="Times New Roman" w:hAnsi="Times New Roman" w:cs="Times New Roman"/>
          <w:sz w:val="26"/>
          <w:szCs w:val="26"/>
        </w:rPr>
        <w:t>.</w:t>
      </w:r>
    </w:p>
    <w:p w:rsidRPr="003237F4" w:rsidR="002B76B0" w:rsidP="003237F4" w:rsidRDefault="002B76B0" w14:paraId="2A71EC20" w14:textId="77777777">
      <w:pPr>
        <w:spacing w:after="0" w:line="240" w:lineRule="auto"/>
        <w:rPr>
          <w:rFonts w:ascii="Times New Roman" w:hAnsi="Times New Roman" w:cs="Times New Roman"/>
          <w:sz w:val="26"/>
          <w:szCs w:val="26"/>
        </w:rPr>
      </w:pPr>
    </w:p>
    <w:p w:rsidRPr="003237F4" w:rsidR="003237F4" w:rsidP="003237F4" w:rsidRDefault="003237F4" w14:paraId="6F7C522D"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Pr="003237F4" w:rsidR="003237F4" w:rsidP="003237F4" w:rsidRDefault="003237F4" w14:paraId="0F697E4A" w14:textId="77777777">
      <w:pPr>
        <w:spacing w:after="0" w:line="240" w:lineRule="auto"/>
        <w:rPr>
          <w:rFonts w:ascii="Times New Roman" w:hAnsi="Times New Roman" w:cs="Times New Roman"/>
          <w:sz w:val="26"/>
          <w:szCs w:val="26"/>
        </w:rPr>
      </w:pPr>
    </w:p>
    <w:p w:rsidR="008302B8" w:rsidP="008302B8" w:rsidRDefault="008302B8" w14:paraId="5D1E8CC3" w14:textId="77777777">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w:t>
      </w:r>
    </w:p>
    <w:p w:rsidRPr="008302B8" w:rsidR="008302B8" w:rsidP="008302B8" w:rsidRDefault="008302B8" w14:paraId="780AF14C" w14:textId="77777777">
      <w:pPr>
        <w:spacing w:after="0" w:line="240" w:lineRule="auto"/>
        <w:rPr>
          <w:rFonts w:ascii="Times New Roman" w:hAnsi="Times New Roman" w:cs="Times New Roman"/>
          <w:sz w:val="26"/>
          <w:szCs w:val="26"/>
        </w:rPr>
      </w:pPr>
    </w:p>
    <w:p w:rsidRPr="008302B8" w:rsidR="008302B8" w:rsidP="008302B8" w:rsidRDefault="008302B8" w14:paraId="56D7F65B" w14:textId="77777777">
      <w:pPr>
        <w:spacing w:after="0" w:line="240" w:lineRule="auto"/>
        <w:rPr>
          <w:rFonts w:ascii="Times New Roman" w:hAnsi="Times New Roman" w:cs="Times New Roman"/>
          <w:sz w:val="26"/>
          <w:szCs w:val="26"/>
        </w:rPr>
      </w:pPr>
      <w:r w:rsidRPr="008302B8">
        <w:rPr>
          <w:rFonts w:ascii="Times New Roman" w:hAnsi="Times New Roman" w:cs="Times New Roman"/>
          <w:sz w:val="26"/>
          <w:szCs w:val="26"/>
        </w:rPr>
        <w:t>The Commission is unaware of any other source of information similar to the additional requirements.</w:t>
      </w:r>
    </w:p>
    <w:p w:rsidRPr="003237F4" w:rsidR="003237F4" w:rsidP="003237F4" w:rsidRDefault="003237F4" w14:paraId="3612E3BD" w14:textId="77777777">
      <w:pPr>
        <w:spacing w:after="0" w:line="240" w:lineRule="auto"/>
        <w:rPr>
          <w:rFonts w:ascii="Times New Roman" w:hAnsi="Times New Roman" w:cs="Times New Roman"/>
          <w:sz w:val="26"/>
          <w:szCs w:val="26"/>
        </w:rPr>
      </w:pPr>
    </w:p>
    <w:p w:rsidRPr="003237F4" w:rsidR="003237F4" w:rsidP="003237F4" w:rsidRDefault="003237F4" w14:paraId="0DB7ABF8"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METHODS USED TO MINIMIZE BURDEN IN COLLECTION OF INFORMATION INVOLVING SMALL ENTITIES</w:t>
      </w:r>
    </w:p>
    <w:p w:rsidRPr="003237F4" w:rsidR="003237F4" w:rsidP="003237F4" w:rsidRDefault="003237F4" w14:paraId="5A4D088F" w14:textId="77777777">
      <w:pPr>
        <w:spacing w:after="0" w:line="240" w:lineRule="auto"/>
        <w:rPr>
          <w:rFonts w:ascii="Times New Roman" w:hAnsi="Times New Roman" w:cs="Times New Roman"/>
          <w:sz w:val="26"/>
          <w:szCs w:val="26"/>
        </w:rPr>
      </w:pPr>
    </w:p>
    <w:p w:rsidR="003237F4" w:rsidP="003237F4" w:rsidRDefault="003237F4" w14:paraId="584E2A05" w14:textId="77777777">
      <w:pPr>
        <w:spacing w:after="0" w:line="240" w:lineRule="auto"/>
        <w:rPr>
          <w:rFonts w:ascii="Times New Roman" w:hAnsi="Times New Roman" w:cs="Times New Roman"/>
          <w:bCs/>
          <w:sz w:val="26"/>
          <w:szCs w:val="26"/>
        </w:rPr>
      </w:pPr>
      <w:r w:rsidRPr="003237F4">
        <w:rPr>
          <w:rFonts w:ascii="Times New Roman" w:hAnsi="Times New Roman" w:cs="Times New Roman"/>
          <w:sz w:val="26"/>
          <w:szCs w:val="26"/>
        </w:rPr>
        <w:t xml:space="preserve">The Commission permits the option of filing all documents in proceedings through the eFiling interface as a means of reducing burden for respondents including small entities.  </w:t>
      </w:r>
      <w:r w:rsidRPr="003237F4">
        <w:rPr>
          <w:rFonts w:ascii="Times New Roman" w:hAnsi="Times New Roman" w:cs="Times New Roman"/>
          <w:bCs/>
          <w:sz w:val="26"/>
          <w:szCs w:val="26"/>
        </w:rPr>
        <w:t>The burden will vary among applicants, since the information should be specific for each applicant and site.</w:t>
      </w:r>
    </w:p>
    <w:p w:rsidRPr="003237F4" w:rsidR="003237F4" w:rsidP="003237F4" w:rsidRDefault="003237F4" w14:paraId="49AED403" w14:textId="77777777">
      <w:pPr>
        <w:spacing w:after="0" w:line="240" w:lineRule="auto"/>
        <w:rPr>
          <w:rFonts w:ascii="Times New Roman" w:hAnsi="Times New Roman" w:cs="Times New Roman"/>
          <w:sz w:val="26"/>
          <w:szCs w:val="26"/>
        </w:rPr>
      </w:pPr>
    </w:p>
    <w:p w:rsidRPr="003237F4" w:rsidR="003237F4" w:rsidP="003237F4" w:rsidRDefault="003237F4" w14:paraId="53085AE5"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sz w:val="26"/>
          <w:szCs w:val="26"/>
        </w:rPr>
        <w:t>CONSEQUENCE TO FEDERAL PROGRAM IF COLLECTION WERE CONDUCTED LESS FREQUENTLY</w:t>
      </w:r>
    </w:p>
    <w:p w:rsidRPr="003237F4" w:rsidR="003237F4" w:rsidP="003237F4" w:rsidRDefault="003237F4" w14:paraId="0293DAF0" w14:textId="77777777">
      <w:pPr>
        <w:spacing w:after="0" w:line="240" w:lineRule="auto"/>
        <w:rPr>
          <w:rFonts w:ascii="Times New Roman" w:hAnsi="Times New Roman" w:cs="Times New Roman"/>
          <w:sz w:val="26"/>
          <w:szCs w:val="26"/>
        </w:rPr>
      </w:pPr>
    </w:p>
    <w:p w:rsidR="003237F4" w:rsidP="003237F4" w:rsidRDefault="00A6048E" w14:paraId="7D42D132" w14:textId="266A7C0C">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 xml:space="preserve">It is not possible to collect this data less frequently.  If the collection were conducted less frequently, the Commission would be unable to perform its mandated oversight and review responsibilities </w:t>
      </w:r>
      <w:r w:rsidRPr="003237F4" w:rsidR="003237F4">
        <w:rPr>
          <w:rFonts w:ascii="Times New Roman" w:hAnsi="Times New Roman" w:cs="Times New Roman"/>
          <w:sz w:val="26"/>
          <w:szCs w:val="26"/>
        </w:rPr>
        <w:t>specified within the statutory provisions of</w:t>
      </w:r>
      <w:r w:rsidR="003F6FB2">
        <w:rPr>
          <w:rFonts w:ascii="Times New Roman" w:hAnsi="Times New Roman" w:cs="Times New Roman"/>
          <w:sz w:val="26"/>
          <w:szCs w:val="26"/>
        </w:rPr>
        <w:t xml:space="preserve"> </w:t>
      </w:r>
      <w:r w:rsidRPr="003F6FB2" w:rsidR="003F6FB2">
        <w:rPr>
          <w:rFonts w:ascii="Times New Roman" w:hAnsi="Times New Roman" w:cs="Times New Roman"/>
          <w:sz w:val="26"/>
          <w:szCs w:val="26"/>
          <w:lang w:val="en"/>
        </w:rPr>
        <w:t xml:space="preserve">16 U.S. Code Chapter 12 </w:t>
      </w:r>
      <w:r w:rsidR="00704F75">
        <w:rPr>
          <w:rFonts w:ascii="Times New Roman" w:hAnsi="Times New Roman" w:cs="Times New Roman"/>
          <w:sz w:val="26"/>
          <w:szCs w:val="26"/>
          <w:lang w:val="en"/>
        </w:rPr>
        <w:t>–</w:t>
      </w:r>
      <w:r w:rsidRPr="003F6FB2" w:rsidR="003F6FB2">
        <w:rPr>
          <w:rFonts w:ascii="Times New Roman" w:hAnsi="Times New Roman" w:cs="Times New Roman"/>
          <w:sz w:val="26"/>
          <w:szCs w:val="26"/>
          <w:lang w:val="en"/>
        </w:rPr>
        <w:t xml:space="preserve"> F</w:t>
      </w:r>
      <w:r w:rsidR="00704F75">
        <w:rPr>
          <w:rFonts w:ascii="Times New Roman" w:hAnsi="Times New Roman" w:cs="Times New Roman"/>
          <w:sz w:val="26"/>
          <w:szCs w:val="26"/>
          <w:lang w:val="en"/>
        </w:rPr>
        <w:t>ederal Regulation and Development of Power.</w:t>
      </w:r>
    </w:p>
    <w:p w:rsidRPr="003237F4" w:rsidR="003237F4" w:rsidP="003237F4" w:rsidRDefault="003237F4" w14:paraId="07606B39" w14:textId="77777777">
      <w:pPr>
        <w:spacing w:after="0" w:line="240" w:lineRule="auto"/>
        <w:rPr>
          <w:rFonts w:ascii="Times New Roman" w:hAnsi="Times New Roman" w:cs="Times New Roman"/>
          <w:sz w:val="26"/>
          <w:szCs w:val="26"/>
        </w:rPr>
      </w:pPr>
    </w:p>
    <w:p w:rsidRPr="003237F4" w:rsidR="003237F4" w:rsidP="003237F4" w:rsidRDefault="003237F4" w14:paraId="18FE1E16"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SPECIAL CIRCUMSTANCES RELATING TO THE INFORMATION COLLECTION</w:t>
      </w:r>
    </w:p>
    <w:p w:rsidRPr="003237F4" w:rsidR="003237F4" w:rsidP="003237F4" w:rsidRDefault="003237F4" w14:paraId="67D4E431" w14:textId="77777777">
      <w:pPr>
        <w:spacing w:after="0" w:line="240" w:lineRule="auto"/>
        <w:rPr>
          <w:rFonts w:ascii="Times New Roman" w:hAnsi="Times New Roman" w:cs="Times New Roman"/>
          <w:sz w:val="26"/>
          <w:szCs w:val="26"/>
        </w:rPr>
      </w:pPr>
    </w:p>
    <w:p w:rsidR="003237F4" w:rsidP="003237F4" w:rsidRDefault="00A6048E" w14:paraId="6D432076" w14:textId="77777777">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lastRenderedPageBreak/>
        <w:t xml:space="preserve">There are no special circumstances related to </w:t>
      </w:r>
      <w:r>
        <w:rPr>
          <w:rFonts w:ascii="Times New Roman" w:hAnsi="Times New Roman" w:cs="Times New Roman"/>
          <w:sz w:val="26"/>
          <w:szCs w:val="26"/>
        </w:rPr>
        <w:t>this collection.</w:t>
      </w:r>
      <w:r w:rsidRPr="003237F4" w:rsidR="003237F4">
        <w:rPr>
          <w:rFonts w:ascii="Times New Roman" w:hAnsi="Times New Roman" w:cs="Times New Roman"/>
          <w:sz w:val="26"/>
          <w:szCs w:val="26"/>
        </w:rPr>
        <w:t xml:space="preserve">  </w:t>
      </w:r>
    </w:p>
    <w:p w:rsidRPr="003237F4" w:rsidR="003237F4" w:rsidP="003237F4" w:rsidRDefault="003237F4" w14:paraId="434147F4" w14:textId="77777777">
      <w:pPr>
        <w:spacing w:after="0" w:line="240" w:lineRule="auto"/>
        <w:rPr>
          <w:rFonts w:ascii="Times New Roman" w:hAnsi="Times New Roman" w:cs="Times New Roman"/>
          <w:b/>
          <w:bCs/>
          <w:sz w:val="26"/>
          <w:szCs w:val="26"/>
        </w:rPr>
      </w:pPr>
    </w:p>
    <w:p w:rsidRPr="003237F4" w:rsidR="003237F4" w:rsidP="003237F4" w:rsidRDefault="003237F4" w14:paraId="3A72237F"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EFFORTS TO CONSULT OUTSIDE THE AGENCY: SUMMARIZE PUBLIC COMMENTS AND THE AGENCY'S RESPONSE TO THESE COMMENTS</w:t>
      </w:r>
    </w:p>
    <w:p w:rsidRPr="003237F4" w:rsidR="003237F4" w:rsidP="003237F4" w:rsidRDefault="003237F4" w14:paraId="47C8A065" w14:textId="77777777">
      <w:pPr>
        <w:spacing w:after="0" w:line="240" w:lineRule="auto"/>
        <w:rPr>
          <w:rFonts w:ascii="Times New Roman" w:hAnsi="Times New Roman" w:cs="Times New Roman"/>
          <w:sz w:val="26"/>
          <w:szCs w:val="26"/>
        </w:rPr>
      </w:pPr>
    </w:p>
    <w:p w:rsidRPr="003237F4" w:rsidR="003237F4" w:rsidP="003237F4" w:rsidRDefault="003237F4" w14:paraId="76BE13B0" w14:textId="08B03788">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In accordance with OMB requirements, the Commission published a 60-day notice</w:t>
      </w:r>
      <w:r w:rsidRPr="003237F4">
        <w:rPr>
          <w:rFonts w:ascii="Times New Roman" w:hAnsi="Times New Roman" w:cs="Times New Roman"/>
          <w:sz w:val="26"/>
          <w:szCs w:val="26"/>
          <w:vertAlign w:val="superscript"/>
        </w:rPr>
        <w:footnoteReference w:id="3"/>
      </w:r>
      <w:r w:rsidRPr="003237F4">
        <w:rPr>
          <w:rFonts w:ascii="Times New Roman" w:hAnsi="Times New Roman" w:cs="Times New Roman"/>
          <w:sz w:val="26"/>
          <w:szCs w:val="26"/>
        </w:rPr>
        <w:t xml:space="preserve"> and a 30-day notice</w:t>
      </w:r>
      <w:r w:rsidR="00C41638">
        <w:rPr>
          <w:rStyle w:val="FootnoteReference"/>
          <w:rFonts w:ascii="Times New Roman" w:hAnsi="Times New Roman" w:cs="Times New Roman"/>
          <w:sz w:val="26"/>
          <w:szCs w:val="26"/>
        </w:rPr>
        <w:footnoteReference w:id="4"/>
      </w:r>
      <w:r w:rsidR="00195B63">
        <w:rPr>
          <w:rFonts w:ascii="Times New Roman" w:hAnsi="Times New Roman" w:cs="Times New Roman"/>
          <w:sz w:val="26"/>
          <w:szCs w:val="26"/>
        </w:rPr>
        <w:t xml:space="preserve"> </w:t>
      </w:r>
      <w:r w:rsidRPr="003237F4">
        <w:rPr>
          <w:rFonts w:ascii="Times New Roman" w:hAnsi="Times New Roman" w:cs="Times New Roman"/>
          <w:sz w:val="26"/>
          <w:szCs w:val="26"/>
        </w:rPr>
        <w:t>to the public regarding this information collection</w:t>
      </w:r>
      <w:r w:rsidR="00704F75">
        <w:rPr>
          <w:rFonts w:ascii="Times New Roman" w:hAnsi="Times New Roman" w:cs="Times New Roman"/>
          <w:sz w:val="26"/>
          <w:szCs w:val="26"/>
        </w:rPr>
        <w:t>.</w:t>
      </w:r>
      <w:r w:rsidRPr="003237F4">
        <w:rPr>
          <w:rFonts w:ascii="Times New Roman" w:hAnsi="Times New Roman" w:cs="Times New Roman"/>
          <w:sz w:val="26"/>
          <w:szCs w:val="26"/>
        </w:rPr>
        <w:t xml:space="preserve">  Within the public notices, the Commission noted that it would be requesting a three-year extension of the public reporting burden with no change to the existing requirements concerning the collection of data.  No comments were received</w:t>
      </w:r>
      <w:r w:rsidR="002B76B0">
        <w:rPr>
          <w:rFonts w:ascii="Times New Roman" w:hAnsi="Times New Roman" w:cs="Times New Roman"/>
          <w:sz w:val="26"/>
          <w:szCs w:val="26"/>
        </w:rPr>
        <w:t xml:space="preserve"> in the 60-day notice. </w:t>
      </w:r>
    </w:p>
    <w:p w:rsidRPr="003237F4" w:rsidR="003237F4" w:rsidP="003237F4" w:rsidRDefault="003237F4" w14:paraId="75062E56" w14:textId="77777777">
      <w:pPr>
        <w:spacing w:after="0" w:line="240" w:lineRule="auto"/>
        <w:rPr>
          <w:rFonts w:ascii="Times New Roman" w:hAnsi="Times New Roman" w:cs="Times New Roman"/>
          <w:b/>
          <w:bCs/>
          <w:sz w:val="26"/>
          <w:szCs w:val="26"/>
        </w:rPr>
      </w:pPr>
    </w:p>
    <w:p w:rsidRPr="003237F4" w:rsidR="003237F4" w:rsidP="003237F4" w:rsidRDefault="003237F4" w14:paraId="092C8C8F"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EXPLAIN ANY PAYMENT OR GIFTS TO RESPONDENTS</w:t>
      </w:r>
    </w:p>
    <w:p w:rsidR="00A6048E" w:rsidP="003237F4" w:rsidRDefault="00A6048E" w14:paraId="0D191269" w14:textId="77777777">
      <w:pPr>
        <w:spacing w:after="0" w:line="240" w:lineRule="auto"/>
        <w:rPr>
          <w:rFonts w:ascii="Times New Roman" w:hAnsi="Times New Roman" w:cs="Times New Roman"/>
          <w:sz w:val="26"/>
          <w:szCs w:val="26"/>
        </w:rPr>
      </w:pPr>
    </w:p>
    <w:p w:rsidR="003237F4" w:rsidP="003237F4" w:rsidRDefault="00A6048E" w14:paraId="15E3EC10" w14:textId="77777777">
      <w:pPr>
        <w:spacing w:after="0" w:line="240" w:lineRule="auto"/>
        <w:rPr>
          <w:rFonts w:ascii="Times New Roman" w:hAnsi="Times New Roman" w:cs="Times New Roman"/>
          <w:sz w:val="26"/>
          <w:szCs w:val="26"/>
        </w:rPr>
      </w:pPr>
      <w:r w:rsidRPr="00A6048E">
        <w:rPr>
          <w:rFonts w:ascii="Times New Roman" w:hAnsi="Times New Roman" w:cs="Times New Roman"/>
          <w:sz w:val="26"/>
          <w:szCs w:val="26"/>
        </w:rPr>
        <w:t>There are no payments or gifts to respondents</w:t>
      </w:r>
      <w:r w:rsidRPr="00A6048E">
        <w:rPr>
          <w:rFonts w:ascii="Times New Roman" w:hAnsi="Times New Roman" w:cs="Times New Roman"/>
          <w:b/>
          <w:sz w:val="26"/>
          <w:szCs w:val="26"/>
        </w:rPr>
        <w:t xml:space="preserve"> </w:t>
      </w:r>
      <w:r w:rsidRPr="00A6048E">
        <w:rPr>
          <w:rFonts w:ascii="Times New Roman" w:hAnsi="Times New Roman" w:cs="Times New Roman"/>
          <w:sz w:val="26"/>
          <w:szCs w:val="26"/>
        </w:rPr>
        <w:t>associated with FERC</w:t>
      </w:r>
      <w:r w:rsidRPr="003237F4" w:rsidR="003237F4">
        <w:rPr>
          <w:rFonts w:ascii="Times New Roman" w:hAnsi="Times New Roman" w:cs="Times New Roman"/>
          <w:sz w:val="26"/>
          <w:szCs w:val="26"/>
        </w:rPr>
        <w:t>-585.</w:t>
      </w:r>
    </w:p>
    <w:p w:rsidRPr="003237F4" w:rsidR="003237F4" w:rsidP="003237F4" w:rsidRDefault="003237F4" w14:paraId="63E3D1D7" w14:textId="77777777">
      <w:pPr>
        <w:spacing w:after="0" w:line="240" w:lineRule="auto"/>
        <w:rPr>
          <w:rFonts w:ascii="Times New Roman" w:hAnsi="Times New Roman" w:cs="Times New Roman"/>
          <w:sz w:val="26"/>
          <w:szCs w:val="26"/>
        </w:rPr>
      </w:pPr>
    </w:p>
    <w:p w:rsidRPr="003237F4" w:rsidR="003237F4" w:rsidP="003237F4" w:rsidRDefault="003237F4" w14:paraId="35F60F81"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DESCRIBE ANY ASSURANCE OF CONFIDENTIALITY PROVIDED TO RESPONDENTS</w:t>
      </w:r>
    </w:p>
    <w:p w:rsidRPr="003237F4" w:rsidR="003237F4" w:rsidP="003237F4" w:rsidRDefault="003237F4" w14:paraId="3BBD9F01" w14:textId="77777777">
      <w:pPr>
        <w:spacing w:after="0" w:line="240" w:lineRule="auto"/>
        <w:rPr>
          <w:rFonts w:ascii="Times New Roman" w:hAnsi="Times New Roman" w:cs="Times New Roman"/>
          <w:sz w:val="26"/>
          <w:szCs w:val="26"/>
        </w:rPr>
      </w:pPr>
    </w:p>
    <w:p w:rsidR="00A6048E" w:rsidP="003237F4" w:rsidRDefault="003237F4" w14:paraId="7489CCB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 Commission does not consider the information collected in FERC-585 filings to be confidential.</w:t>
      </w:r>
    </w:p>
    <w:p w:rsidR="00A6048E" w:rsidP="003237F4" w:rsidRDefault="00A6048E" w14:paraId="657F8323" w14:textId="77777777">
      <w:pPr>
        <w:spacing w:after="0" w:line="240" w:lineRule="auto"/>
        <w:rPr>
          <w:rFonts w:ascii="Times New Roman" w:hAnsi="Times New Roman" w:cs="Times New Roman"/>
          <w:sz w:val="26"/>
          <w:szCs w:val="26"/>
        </w:rPr>
      </w:pPr>
    </w:p>
    <w:p w:rsidR="003237F4" w:rsidP="003237F4" w:rsidRDefault="003237F4" w14:paraId="67D6BCE4"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However, the Commission will consider specific requests for confidential treatment to the extent permitted by law and pursuant to FER’s regulations</w:t>
      </w:r>
      <w:r w:rsidRPr="003237F4">
        <w:rPr>
          <w:rFonts w:ascii="Times New Roman" w:hAnsi="Times New Roman" w:cs="Times New Roman"/>
          <w:sz w:val="26"/>
          <w:szCs w:val="26"/>
          <w:vertAlign w:val="superscript"/>
        </w:rPr>
        <w:footnoteReference w:id="5"/>
      </w:r>
      <w:r w:rsidRPr="003237F4">
        <w:rPr>
          <w:rFonts w:ascii="Times New Roman" w:hAnsi="Times New Roman" w:cs="Times New Roman"/>
          <w:sz w:val="26"/>
          <w:szCs w:val="26"/>
        </w:rPr>
        <w:t xml:space="preserve">.  The Commission will review each request for confidential treatment on a case-by-case basis. </w:t>
      </w:r>
    </w:p>
    <w:p w:rsidRPr="003237F4" w:rsidR="008302B8" w:rsidP="003237F4" w:rsidRDefault="008302B8" w14:paraId="3419553D" w14:textId="77777777">
      <w:pPr>
        <w:spacing w:after="0" w:line="240" w:lineRule="auto"/>
        <w:rPr>
          <w:rFonts w:ascii="Times New Roman" w:hAnsi="Times New Roman" w:cs="Times New Roman"/>
          <w:sz w:val="26"/>
          <w:szCs w:val="26"/>
        </w:rPr>
      </w:pPr>
    </w:p>
    <w:p w:rsidRPr="003237F4" w:rsidR="003237F4" w:rsidP="003237F4" w:rsidRDefault="003237F4" w14:paraId="4AE7D9E7"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3237F4" w:rsidR="003237F4" w:rsidP="003237F4" w:rsidRDefault="003237F4" w14:paraId="3B9F5D77" w14:textId="77777777">
      <w:pPr>
        <w:spacing w:after="0" w:line="240" w:lineRule="auto"/>
        <w:rPr>
          <w:rFonts w:ascii="Times New Roman" w:hAnsi="Times New Roman" w:cs="Times New Roman"/>
          <w:sz w:val="26"/>
          <w:szCs w:val="26"/>
        </w:rPr>
      </w:pPr>
    </w:p>
    <w:p w:rsidR="00A6048E" w:rsidP="003237F4" w:rsidRDefault="003237F4" w14:paraId="6BD1834E"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questions of s sensitive nature that are considered private in the FERC-585 information collection.</w:t>
      </w:r>
    </w:p>
    <w:p w:rsidRPr="003237F4" w:rsidR="003237F4" w:rsidP="003237F4" w:rsidRDefault="003237F4" w14:paraId="5FA748CF" w14:textId="77777777">
      <w:pPr>
        <w:spacing w:after="0" w:line="240" w:lineRule="auto"/>
        <w:rPr>
          <w:rFonts w:ascii="Times New Roman" w:hAnsi="Times New Roman" w:cs="Times New Roman"/>
          <w:sz w:val="26"/>
          <w:szCs w:val="26"/>
        </w:rPr>
      </w:pPr>
    </w:p>
    <w:p w:rsidRPr="003237F4" w:rsidR="003237F4" w:rsidP="003237F4" w:rsidRDefault="003237F4" w14:paraId="2FA1289C"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ESTIMATED BURDEN OF COLLECTION OF INFORMATION</w:t>
      </w:r>
    </w:p>
    <w:p w:rsidRPr="003237F4" w:rsidR="003237F4" w:rsidP="003237F4" w:rsidRDefault="003237F4" w14:paraId="549FA25E" w14:textId="77777777">
      <w:pPr>
        <w:spacing w:after="0" w:line="240" w:lineRule="auto"/>
        <w:rPr>
          <w:rFonts w:ascii="Times New Roman" w:hAnsi="Times New Roman" w:cs="Times New Roman"/>
          <w:sz w:val="26"/>
          <w:szCs w:val="26"/>
        </w:rPr>
      </w:pPr>
    </w:p>
    <w:p w:rsidR="003237F4" w:rsidP="003237F4" w:rsidRDefault="002037D2" w14:paraId="0B24C4BF" w14:textId="3C784978">
      <w:pPr>
        <w:spacing w:line="240" w:lineRule="auto"/>
        <w:rPr>
          <w:rFonts w:ascii="Times New Roman" w:hAnsi="Times New Roman" w:cs="Times New Roman"/>
          <w:sz w:val="26"/>
          <w:szCs w:val="26"/>
        </w:rPr>
      </w:pPr>
      <w:r>
        <w:rPr>
          <w:rFonts w:ascii="Times New Roman" w:hAnsi="Times New Roman" w:cs="Times New Roman"/>
          <w:sz w:val="26"/>
          <w:szCs w:val="26"/>
        </w:rPr>
        <w:t xml:space="preserve">The estimated annual public reporting burden for FERC-585 has not changed from the </w:t>
      </w:r>
      <w:r w:rsidR="001E7FCB">
        <w:rPr>
          <w:rFonts w:ascii="Times New Roman" w:hAnsi="Times New Roman" w:cs="Times New Roman"/>
          <w:sz w:val="26"/>
          <w:szCs w:val="26"/>
        </w:rPr>
        <w:t xml:space="preserve">last </w:t>
      </w:r>
      <w:r>
        <w:rPr>
          <w:rFonts w:ascii="Times New Roman" w:hAnsi="Times New Roman" w:cs="Times New Roman"/>
          <w:sz w:val="26"/>
          <w:szCs w:val="26"/>
        </w:rPr>
        <w:t xml:space="preserve">estimate reported.  </w:t>
      </w:r>
    </w:p>
    <w:p w:rsidR="00D94B0C" w:rsidP="003237F4" w:rsidRDefault="00D94B0C" w14:paraId="1C9C89A3" w14:textId="77777777">
      <w:pPr>
        <w:spacing w:line="240" w:lineRule="auto"/>
        <w:rPr>
          <w:rFonts w:ascii="Times New Roman" w:hAnsi="Times New Roman" w:cs="Times New Roman"/>
          <w:sz w:val="26"/>
          <w:szCs w:val="26"/>
        </w:rPr>
      </w:pP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1"/>
        <w:gridCol w:w="1532"/>
        <w:gridCol w:w="1532"/>
        <w:gridCol w:w="1442"/>
        <w:gridCol w:w="1343"/>
        <w:gridCol w:w="1347"/>
        <w:gridCol w:w="1395"/>
      </w:tblGrid>
      <w:tr w:rsidRPr="00D547E2" w:rsidR="00D547E2" w:rsidTr="006B005F" w14:paraId="49E31458" w14:textId="77777777">
        <w:trPr>
          <w:cantSplit/>
        </w:trPr>
        <w:tc>
          <w:tcPr>
            <w:tcW w:w="5000" w:type="pct"/>
            <w:gridSpan w:val="7"/>
            <w:tcBorders>
              <w:bottom w:val="single" w:color="auto" w:sz="4" w:space="0"/>
            </w:tcBorders>
            <w:shd w:val="clear" w:color="auto" w:fill="D9D9D9"/>
          </w:tcPr>
          <w:p w:rsidRPr="00D547E2" w:rsidR="00D547E2" w:rsidP="00D547E2" w:rsidRDefault="00D547E2" w14:paraId="4B20F1A5"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FERC-585 (Reporting of Electric Shortages and Contingency Plans Under PURPA Section 206)</w:t>
            </w:r>
          </w:p>
        </w:tc>
      </w:tr>
      <w:tr w:rsidRPr="00D547E2" w:rsidR="00D547E2" w:rsidTr="006B005F" w14:paraId="2541C215" w14:textId="77777777">
        <w:trPr>
          <w:cantSplit/>
        </w:trPr>
        <w:tc>
          <w:tcPr>
            <w:tcW w:w="867" w:type="pct"/>
            <w:shd w:val="clear" w:color="auto" w:fill="D9D9D9"/>
          </w:tcPr>
          <w:p w:rsidRPr="00D547E2" w:rsidR="00D547E2" w:rsidP="00D547E2" w:rsidRDefault="00D547E2" w14:paraId="27903FCC" w14:textId="77777777">
            <w:pPr>
              <w:spacing w:line="240" w:lineRule="auto"/>
              <w:rPr>
                <w:rFonts w:ascii="Times New Roman" w:hAnsi="Times New Roman" w:cs="Times New Roman"/>
                <w:b/>
                <w:sz w:val="26"/>
                <w:szCs w:val="26"/>
              </w:rPr>
            </w:pPr>
          </w:p>
        </w:tc>
        <w:tc>
          <w:tcPr>
            <w:tcW w:w="737" w:type="pct"/>
            <w:shd w:val="clear" w:color="auto" w:fill="D9D9D9"/>
            <w:vAlign w:val="bottom"/>
          </w:tcPr>
          <w:p w:rsidRPr="00D547E2" w:rsidR="00D547E2" w:rsidP="00D547E2" w:rsidRDefault="00D547E2" w14:paraId="63EC480E"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Number of Respondents</w:t>
            </w:r>
            <w:r w:rsidRPr="00D547E2">
              <w:rPr>
                <w:rFonts w:ascii="Times New Roman" w:hAnsi="Times New Roman" w:cs="Times New Roman"/>
                <w:b/>
                <w:sz w:val="26"/>
                <w:szCs w:val="26"/>
              </w:rPr>
              <w:br/>
              <w:t>(1)</w:t>
            </w:r>
          </w:p>
        </w:tc>
        <w:tc>
          <w:tcPr>
            <w:tcW w:w="737" w:type="pct"/>
            <w:shd w:val="clear" w:color="auto" w:fill="D9D9D9"/>
            <w:vAlign w:val="bottom"/>
          </w:tcPr>
          <w:p w:rsidRPr="00D547E2" w:rsidR="00D547E2" w:rsidP="00D547E2" w:rsidRDefault="00D547E2" w14:paraId="7A951DD8"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Annual Number of Responses per Respondent</w:t>
            </w:r>
          </w:p>
          <w:p w:rsidRPr="00D547E2" w:rsidR="00D547E2" w:rsidP="00D547E2" w:rsidRDefault="00D547E2" w14:paraId="45A6E2BA"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(2)</w:t>
            </w:r>
          </w:p>
        </w:tc>
        <w:tc>
          <w:tcPr>
            <w:tcW w:w="694" w:type="pct"/>
            <w:shd w:val="clear" w:color="auto" w:fill="D9D9D9"/>
            <w:vAlign w:val="bottom"/>
          </w:tcPr>
          <w:p w:rsidRPr="00D547E2" w:rsidR="00D547E2" w:rsidP="00D547E2" w:rsidRDefault="00D547E2" w14:paraId="2E54CBC5"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Total Number of Responses (1)*(2)=(3)</w:t>
            </w:r>
          </w:p>
        </w:tc>
        <w:tc>
          <w:tcPr>
            <w:tcW w:w="646" w:type="pct"/>
            <w:shd w:val="clear" w:color="auto" w:fill="D9D9D9"/>
            <w:vAlign w:val="bottom"/>
          </w:tcPr>
          <w:p w:rsidRPr="00D547E2" w:rsidR="00D547E2" w:rsidP="00D547E2" w:rsidRDefault="00D547E2" w14:paraId="061A0203"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Average Burden &amp; Cost Per Response</w:t>
            </w:r>
            <w:bookmarkStart w:name="_Ref408578354" w:id="0"/>
            <w:r w:rsidRPr="00D547E2">
              <w:rPr>
                <w:rFonts w:ascii="Times New Roman" w:hAnsi="Times New Roman" w:cs="Times New Roman"/>
                <w:b/>
                <w:sz w:val="26"/>
                <w:szCs w:val="26"/>
                <w:vertAlign w:val="superscript"/>
              </w:rPr>
              <w:footnoteReference w:id="6"/>
            </w:r>
            <w:bookmarkEnd w:id="0"/>
          </w:p>
          <w:p w:rsidRPr="00D547E2" w:rsidR="00D547E2" w:rsidP="00D547E2" w:rsidRDefault="00D547E2" w14:paraId="2ECBDE78"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(4)</w:t>
            </w:r>
          </w:p>
        </w:tc>
        <w:tc>
          <w:tcPr>
            <w:tcW w:w="648" w:type="pct"/>
            <w:shd w:val="clear" w:color="auto" w:fill="D9D9D9"/>
            <w:vAlign w:val="bottom"/>
          </w:tcPr>
          <w:p w:rsidRPr="00D547E2" w:rsidR="00D547E2" w:rsidP="00D547E2" w:rsidRDefault="00D547E2" w14:paraId="5E226FF8"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Total Annual Burden Hours &amp; Total Annual Cost</w:t>
            </w:r>
          </w:p>
          <w:p w:rsidRPr="00D547E2" w:rsidR="00D547E2" w:rsidP="00D547E2" w:rsidRDefault="00D547E2" w14:paraId="6A2E56C8"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(3)*(4)=(5)</w:t>
            </w:r>
          </w:p>
        </w:tc>
        <w:tc>
          <w:tcPr>
            <w:tcW w:w="671" w:type="pct"/>
            <w:shd w:val="clear" w:color="auto" w:fill="D9D9D9"/>
            <w:vAlign w:val="bottom"/>
          </w:tcPr>
          <w:p w:rsidRPr="00D547E2" w:rsidR="00D547E2" w:rsidP="00D547E2" w:rsidRDefault="00D547E2" w14:paraId="0EC420C2"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Cost per Respondent</w:t>
            </w:r>
          </w:p>
          <w:p w:rsidRPr="00D547E2" w:rsidR="00D547E2" w:rsidP="00D547E2" w:rsidRDefault="00D547E2" w14:paraId="15296DBF"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 xml:space="preserve"> ($)</w:t>
            </w:r>
          </w:p>
          <w:p w:rsidRPr="00D547E2" w:rsidR="00D547E2" w:rsidP="00D547E2" w:rsidRDefault="00D547E2" w14:paraId="716405DC"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(5)÷(1)</w:t>
            </w:r>
          </w:p>
        </w:tc>
      </w:tr>
      <w:tr w:rsidRPr="00D547E2" w:rsidR="00D547E2" w:rsidTr="006B005F" w14:paraId="0D92C909" w14:textId="77777777">
        <w:trPr>
          <w:cantSplit/>
        </w:trPr>
        <w:tc>
          <w:tcPr>
            <w:tcW w:w="867" w:type="pct"/>
          </w:tcPr>
          <w:p w:rsidRPr="00D547E2" w:rsidR="00D547E2" w:rsidP="00D547E2" w:rsidRDefault="00D547E2" w14:paraId="66BF6E87"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Contingency Plan</w:t>
            </w:r>
          </w:p>
        </w:tc>
        <w:tc>
          <w:tcPr>
            <w:tcW w:w="737" w:type="pct"/>
          </w:tcPr>
          <w:p w:rsidRPr="00D547E2" w:rsidR="00D547E2" w:rsidP="00D547E2" w:rsidRDefault="00D547E2" w14:paraId="59001525"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p w:rsidRPr="00D547E2" w:rsidR="00D547E2" w:rsidP="00D547E2" w:rsidRDefault="00D547E2" w14:paraId="7338200E" w14:textId="77777777">
            <w:pPr>
              <w:spacing w:line="240" w:lineRule="auto"/>
              <w:rPr>
                <w:rFonts w:ascii="Times New Roman" w:hAnsi="Times New Roman" w:cs="Times New Roman"/>
                <w:sz w:val="26"/>
                <w:szCs w:val="26"/>
              </w:rPr>
            </w:pPr>
          </w:p>
        </w:tc>
        <w:tc>
          <w:tcPr>
            <w:tcW w:w="737" w:type="pct"/>
          </w:tcPr>
          <w:p w:rsidRPr="00D547E2" w:rsidR="00D547E2" w:rsidP="00D547E2" w:rsidRDefault="00D547E2" w14:paraId="4B329D57"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tc>
        <w:tc>
          <w:tcPr>
            <w:tcW w:w="694" w:type="pct"/>
          </w:tcPr>
          <w:p w:rsidRPr="00D547E2" w:rsidR="00D547E2" w:rsidP="00D547E2" w:rsidRDefault="00D547E2" w14:paraId="6FCAEDF1"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tc>
        <w:tc>
          <w:tcPr>
            <w:tcW w:w="646" w:type="pct"/>
          </w:tcPr>
          <w:p w:rsidRPr="00D547E2" w:rsidR="00D547E2" w:rsidP="00D547E2" w:rsidRDefault="00D547E2" w14:paraId="57172080"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 xml:space="preserve">1 hrs.; </w:t>
            </w:r>
          </w:p>
          <w:p w:rsidRPr="00D547E2" w:rsidR="00D547E2" w:rsidP="00D547E2" w:rsidRDefault="00D547E2" w14:paraId="2D46A259"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$83.00</w:t>
            </w:r>
          </w:p>
        </w:tc>
        <w:tc>
          <w:tcPr>
            <w:tcW w:w="648" w:type="pct"/>
          </w:tcPr>
          <w:p w:rsidRPr="00D547E2" w:rsidR="00D547E2" w:rsidP="00D547E2" w:rsidRDefault="00D547E2" w14:paraId="09CEEDA1"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 xml:space="preserve"> 1 hrs.; </w:t>
            </w:r>
          </w:p>
          <w:p w:rsidRPr="00D547E2" w:rsidR="00D547E2" w:rsidP="00D547E2" w:rsidRDefault="00D547E2" w14:paraId="627EDCED"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 xml:space="preserve">$83.00 </w:t>
            </w:r>
          </w:p>
        </w:tc>
        <w:tc>
          <w:tcPr>
            <w:tcW w:w="671" w:type="pct"/>
          </w:tcPr>
          <w:p w:rsidRPr="00D547E2" w:rsidR="00D547E2" w:rsidP="00D547E2" w:rsidRDefault="00D547E2" w14:paraId="37EE6D14"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 xml:space="preserve">$83.00 </w:t>
            </w:r>
          </w:p>
          <w:p w:rsidRPr="00D547E2" w:rsidR="00D547E2" w:rsidP="00D547E2" w:rsidRDefault="00D547E2" w14:paraId="50DB7134" w14:textId="77777777">
            <w:pPr>
              <w:spacing w:line="240" w:lineRule="auto"/>
              <w:rPr>
                <w:rFonts w:ascii="Times New Roman" w:hAnsi="Times New Roman" w:cs="Times New Roman"/>
                <w:sz w:val="26"/>
                <w:szCs w:val="26"/>
              </w:rPr>
            </w:pPr>
          </w:p>
        </w:tc>
      </w:tr>
      <w:tr w:rsidRPr="00D547E2" w:rsidR="00D547E2" w:rsidTr="006B005F" w14:paraId="10B85843" w14:textId="77777777">
        <w:trPr>
          <w:cantSplit/>
        </w:trPr>
        <w:tc>
          <w:tcPr>
            <w:tcW w:w="867" w:type="pct"/>
          </w:tcPr>
          <w:p w:rsidRPr="00D547E2" w:rsidR="00D547E2" w:rsidP="00D547E2" w:rsidRDefault="00D547E2" w14:paraId="53371C62"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Capacity Shortage</w:t>
            </w:r>
          </w:p>
        </w:tc>
        <w:tc>
          <w:tcPr>
            <w:tcW w:w="737" w:type="pct"/>
          </w:tcPr>
          <w:p w:rsidRPr="00D547E2" w:rsidR="00D547E2" w:rsidP="00D547E2" w:rsidRDefault="00D547E2" w14:paraId="0448CBB3"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tc>
        <w:tc>
          <w:tcPr>
            <w:tcW w:w="737" w:type="pct"/>
          </w:tcPr>
          <w:p w:rsidRPr="00D547E2" w:rsidR="00D547E2" w:rsidP="00D547E2" w:rsidRDefault="00D547E2" w14:paraId="77BB3B4F"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tc>
        <w:tc>
          <w:tcPr>
            <w:tcW w:w="694" w:type="pct"/>
          </w:tcPr>
          <w:p w:rsidRPr="00D547E2" w:rsidR="00D547E2" w:rsidP="00D547E2" w:rsidRDefault="00D547E2" w14:paraId="64DF491F"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w:t>
            </w:r>
          </w:p>
        </w:tc>
        <w:tc>
          <w:tcPr>
            <w:tcW w:w="646" w:type="pct"/>
          </w:tcPr>
          <w:p w:rsidRPr="00D547E2" w:rsidR="00D547E2" w:rsidP="00D547E2" w:rsidRDefault="00D547E2" w14:paraId="65051B2D"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 hrs.;</w:t>
            </w:r>
          </w:p>
          <w:p w:rsidRPr="00D547E2" w:rsidR="00D547E2" w:rsidP="00D547E2" w:rsidRDefault="00D547E2" w14:paraId="0FF0834A"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$83.00</w:t>
            </w:r>
          </w:p>
        </w:tc>
        <w:tc>
          <w:tcPr>
            <w:tcW w:w="648" w:type="pct"/>
          </w:tcPr>
          <w:p w:rsidRPr="00D547E2" w:rsidR="00D547E2" w:rsidP="00D547E2" w:rsidRDefault="00D547E2" w14:paraId="18E95D9D"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1 hrs.;</w:t>
            </w:r>
          </w:p>
          <w:p w:rsidRPr="00D547E2" w:rsidR="00D547E2" w:rsidP="00D547E2" w:rsidRDefault="00D547E2" w14:paraId="4BB91E8F"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$83.00</w:t>
            </w:r>
          </w:p>
        </w:tc>
        <w:tc>
          <w:tcPr>
            <w:tcW w:w="671" w:type="pct"/>
          </w:tcPr>
          <w:p w:rsidRPr="00D547E2" w:rsidR="00D547E2" w:rsidP="00D547E2" w:rsidRDefault="00D547E2" w14:paraId="17D63B94" w14:textId="77777777">
            <w:pPr>
              <w:spacing w:line="240" w:lineRule="auto"/>
              <w:rPr>
                <w:rFonts w:ascii="Times New Roman" w:hAnsi="Times New Roman" w:cs="Times New Roman"/>
                <w:sz w:val="26"/>
                <w:szCs w:val="26"/>
              </w:rPr>
            </w:pPr>
            <w:r w:rsidRPr="00D547E2">
              <w:rPr>
                <w:rFonts w:ascii="Times New Roman" w:hAnsi="Times New Roman" w:cs="Times New Roman"/>
                <w:sz w:val="26"/>
                <w:szCs w:val="26"/>
              </w:rPr>
              <w:t>$83.00</w:t>
            </w:r>
          </w:p>
        </w:tc>
      </w:tr>
      <w:tr w:rsidRPr="00D547E2" w:rsidR="00D547E2" w:rsidTr="006B005F" w14:paraId="18E78ED4" w14:textId="77777777">
        <w:trPr>
          <w:cantSplit/>
          <w:trHeight w:val="485"/>
        </w:trPr>
        <w:tc>
          <w:tcPr>
            <w:tcW w:w="867" w:type="pct"/>
            <w:tcBorders>
              <w:bottom w:val="single" w:color="auto" w:sz="4" w:space="0"/>
            </w:tcBorders>
          </w:tcPr>
          <w:p w:rsidRPr="00D547E2" w:rsidR="00D547E2" w:rsidP="00D547E2" w:rsidRDefault="00D547E2" w14:paraId="0B1EBE5C"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TOTAL</w:t>
            </w:r>
          </w:p>
        </w:tc>
        <w:tc>
          <w:tcPr>
            <w:tcW w:w="2813" w:type="pct"/>
            <w:gridSpan w:val="4"/>
            <w:tcBorders>
              <w:bottom w:val="single" w:color="auto" w:sz="4" w:space="0"/>
            </w:tcBorders>
            <w:shd w:val="clear" w:color="auto" w:fill="D9D9D9"/>
          </w:tcPr>
          <w:p w:rsidRPr="00D547E2" w:rsidR="00D547E2" w:rsidP="00D547E2" w:rsidRDefault="00D547E2" w14:paraId="357995DB" w14:textId="77777777">
            <w:pPr>
              <w:spacing w:line="240" w:lineRule="auto"/>
              <w:rPr>
                <w:rFonts w:ascii="Times New Roman" w:hAnsi="Times New Roman" w:cs="Times New Roman"/>
                <w:sz w:val="26"/>
                <w:szCs w:val="26"/>
              </w:rPr>
            </w:pPr>
          </w:p>
        </w:tc>
        <w:tc>
          <w:tcPr>
            <w:tcW w:w="648" w:type="pct"/>
            <w:tcBorders>
              <w:bottom w:val="single" w:color="auto" w:sz="4" w:space="0"/>
            </w:tcBorders>
          </w:tcPr>
          <w:p w:rsidRPr="00D547E2" w:rsidR="00D547E2" w:rsidP="00D547E2" w:rsidRDefault="00D547E2" w14:paraId="1476C283"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2 hrs.;</w:t>
            </w:r>
          </w:p>
          <w:p w:rsidRPr="00D547E2" w:rsidR="00D547E2" w:rsidP="00D547E2" w:rsidRDefault="00D547E2" w14:paraId="2B10C7CD" w14:textId="77777777">
            <w:pPr>
              <w:spacing w:line="240" w:lineRule="auto"/>
              <w:rPr>
                <w:rFonts w:ascii="Times New Roman" w:hAnsi="Times New Roman" w:cs="Times New Roman"/>
                <w:b/>
                <w:sz w:val="26"/>
                <w:szCs w:val="26"/>
              </w:rPr>
            </w:pPr>
            <w:r w:rsidRPr="00D547E2">
              <w:rPr>
                <w:rFonts w:ascii="Times New Roman" w:hAnsi="Times New Roman" w:cs="Times New Roman"/>
                <w:b/>
                <w:sz w:val="26"/>
                <w:szCs w:val="26"/>
              </w:rPr>
              <w:t>$166.00</w:t>
            </w:r>
          </w:p>
        </w:tc>
        <w:tc>
          <w:tcPr>
            <w:tcW w:w="671" w:type="pct"/>
            <w:tcBorders>
              <w:bottom w:val="single" w:color="auto" w:sz="4" w:space="0"/>
            </w:tcBorders>
          </w:tcPr>
          <w:p w:rsidRPr="00D547E2" w:rsidR="00D547E2" w:rsidP="00D547E2" w:rsidRDefault="00D547E2" w14:paraId="3DCDBD65" w14:textId="77777777">
            <w:pPr>
              <w:spacing w:line="240" w:lineRule="auto"/>
              <w:rPr>
                <w:rFonts w:ascii="Times New Roman" w:hAnsi="Times New Roman" w:cs="Times New Roman"/>
                <w:b/>
                <w:sz w:val="26"/>
                <w:szCs w:val="26"/>
              </w:rPr>
            </w:pPr>
          </w:p>
        </w:tc>
      </w:tr>
    </w:tbl>
    <w:p w:rsidR="00D94B0C" w:rsidP="003237F4" w:rsidRDefault="00D94B0C" w14:paraId="5F3FC9FC" w14:textId="77777777">
      <w:pPr>
        <w:spacing w:line="240" w:lineRule="auto"/>
        <w:rPr>
          <w:rFonts w:ascii="Times New Roman" w:hAnsi="Times New Roman" w:cs="Times New Roman"/>
          <w:sz w:val="26"/>
          <w:szCs w:val="26"/>
        </w:rPr>
      </w:pPr>
    </w:p>
    <w:p w:rsidRPr="003237F4" w:rsidR="003237F4" w:rsidP="003237F4" w:rsidRDefault="003237F4" w14:paraId="2D34ACA7"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 xml:space="preserve">The burden amounts presented </w:t>
      </w:r>
      <w:r w:rsidR="00D94B0C">
        <w:rPr>
          <w:rFonts w:ascii="Times New Roman" w:hAnsi="Times New Roman" w:cs="Times New Roman"/>
          <w:sz w:val="26"/>
          <w:szCs w:val="26"/>
        </w:rPr>
        <w:t>are</w:t>
      </w:r>
      <w:r w:rsidRPr="003237F4">
        <w:rPr>
          <w:rFonts w:ascii="Times New Roman" w:hAnsi="Times New Roman" w:cs="Times New Roman"/>
          <w:sz w:val="26"/>
          <w:szCs w:val="26"/>
        </w:rPr>
        <w:t xml:space="preserve"> for the FERC-585 renewal are detailed in the response to Question #15 below.</w:t>
      </w:r>
    </w:p>
    <w:p w:rsidRPr="003237F4" w:rsidR="003237F4" w:rsidP="003237F4" w:rsidRDefault="003237F4" w14:paraId="58D04FEB" w14:textId="77777777">
      <w:pPr>
        <w:spacing w:after="0" w:line="240" w:lineRule="auto"/>
        <w:rPr>
          <w:rFonts w:ascii="Times New Roman" w:hAnsi="Times New Roman" w:cs="Times New Roman"/>
          <w:sz w:val="26"/>
          <w:szCs w:val="26"/>
        </w:rPr>
      </w:pPr>
    </w:p>
    <w:p w:rsidRPr="003237F4" w:rsidR="003237F4" w:rsidP="003237F4" w:rsidRDefault="003237F4" w14:paraId="4A96CEA0" w14:textId="77777777">
      <w:pPr>
        <w:numPr>
          <w:ilvl w:val="0"/>
          <w:numId w:val="1"/>
        </w:numPr>
        <w:tabs>
          <w:tab w:val="num" w:pos="1080"/>
        </w:tabs>
        <w:spacing w:after="0" w:line="240" w:lineRule="auto"/>
        <w:rPr>
          <w:rFonts w:ascii="Times New Roman" w:hAnsi="Times New Roman" w:cs="Times New Roman"/>
          <w:b/>
          <w:sz w:val="26"/>
          <w:szCs w:val="26"/>
        </w:rPr>
      </w:pPr>
      <w:r w:rsidRPr="003237F4">
        <w:rPr>
          <w:rFonts w:ascii="Times New Roman" w:hAnsi="Times New Roman" w:cs="Times New Roman"/>
          <w:b/>
          <w:sz w:val="26"/>
          <w:szCs w:val="26"/>
        </w:rPr>
        <w:t>ESTIMATE OF THE TOTAL ANNUAL COST BURDEN TO RESPONDENTS</w:t>
      </w:r>
    </w:p>
    <w:p w:rsidRPr="003237F4" w:rsidR="003237F4" w:rsidP="003237F4" w:rsidRDefault="003237F4" w14:paraId="1681AB51" w14:textId="77777777">
      <w:pPr>
        <w:spacing w:after="0" w:line="240" w:lineRule="auto"/>
        <w:rPr>
          <w:rFonts w:ascii="Times New Roman" w:hAnsi="Times New Roman" w:cs="Times New Roman"/>
          <w:sz w:val="26"/>
          <w:szCs w:val="26"/>
        </w:rPr>
      </w:pPr>
    </w:p>
    <w:p w:rsidRPr="003237F4" w:rsidR="003237F4" w:rsidP="003237F4" w:rsidRDefault="003237F4" w14:paraId="0795F814"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There are no non-labor costs currently associated with the FERC-585 information collection.</w:t>
      </w:r>
    </w:p>
    <w:p w:rsidRPr="003237F4" w:rsidR="003237F4" w:rsidP="003237F4" w:rsidRDefault="003237F4" w14:paraId="1F5ACCD7" w14:textId="77777777">
      <w:pPr>
        <w:spacing w:after="0" w:line="240" w:lineRule="auto"/>
        <w:rPr>
          <w:rFonts w:ascii="Times New Roman" w:hAnsi="Times New Roman" w:cs="Times New Roman"/>
          <w:sz w:val="26"/>
          <w:szCs w:val="26"/>
        </w:rPr>
      </w:pPr>
    </w:p>
    <w:p w:rsidRPr="003237F4" w:rsidR="003237F4" w:rsidP="003237F4" w:rsidRDefault="003237F4" w14:paraId="79712912" w14:textId="77777777">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t>All of the costs in this collection are associated with burden hours (labor) and described in either Question #12 or Question #15.</w:t>
      </w:r>
    </w:p>
    <w:p w:rsidRPr="003237F4" w:rsidR="003237F4" w:rsidP="003237F4" w:rsidRDefault="003237F4" w14:paraId="054196FF" w14:textId="77777777">
      <w:pPr>
        <w:spacing w:after="0" w:line="240" w:lineRule="auto"/>
        <w:rPr>
          <w:rFonts w:ascii="Times New Roman" w:hAnsi="Times New Roman" w:cs="Times New Roman"/>
          <w:sz w:val="26"/>
          <w:szCs w:val="26"/>
        </w:rPr>
      </w:pPr>
    </w:p>
    <w:p w:rsidRPr="003237F4" w:rsidR="003237F4" w:rsidP="003237F4" w:rsidRDefault="003237F4" w14:paraId="404A6710"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lastRenderedPageBreak/>
        <w:t>ESTIMATED ANNUALIZED COST TO FEDERAL GOVERNMENT</w:t>
      </w:r>
    </w:p>
    <w:p w:rsidRPr="003237F4" w:rsidR="003237F4" w:rsidP="003237F4" w:rsidRDefault="003237F4" w14:paraId="0160B406" w14:textId="77777777">
      <w:pPr>
        <w:spacing w:after="0" w:line="240" w:lineRule="auto"/>
        <w:rPr>
          <w:rFonts w:ascii="Times New Roman" w:hAnsi="Times New Roman" w:cs="Times New Roman"/>
          <w:b/>
          <w:bCs/>
          <w:sz w:val="26"/>
          <w:szCs w:val="26"/>
        </w:rPr>
      </w:pPr>
    </w:p>
    <w:p w:rsidRPr="003237F4" w:rsidR="003237F4" w:rsidP="003237F4" w:rsidRDefault="003237F4" w14:paraId="75E6EA2C"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The estimated annualized cost to the Federal Government for FERC-585 as related to information collection requirements follows:</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3237F4" w:rsidR="003237F4" w:rsidTr="00C94393" w14:paraId="35F8F43A"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3237F4" w:rsidR="003237F4" w:rsidP="003237F4" w:rsidRDefault="003237F4" w14:paraId="36B28954" w14:textId="77777777">
            <w:pPr>
              <w:spacing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3237F4" w:rsidR="003237F4" w:rsidP="003237F4" w:rsidRDefault="003237F4" w14:paraId="7A4B3DBE"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3237F4" w:rsidR="003237F4" w:rsidP="003237F4" w:rsidRDefault="003237F4" w14:paraId="338CA73F"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Estimated Annual Federal Cost</w:t>
            </w:r>
          </w:p>
        </w:tc>
      </w:tr>
      <w:tr w:rsidRPr="003237F4" w:rsidR="003237F4" w:rsidTr="00C94393" w14:paraId="5B21EE2B" w14:textId="77777777">
        <w:tc>
          <w:tcPr>
            <w:tcW w:w="3182" w:type="dxa"/>
            <w:tcBorders>
              <w:top w:val="single" w:color="auto" w:sz="4" w:space="0"/>
              <w:left w:val="single" w:color="auto" w:sz="4" w:space="0"/>
              <w:bottom w:val="single" w:color="auto" w:sz="4" w:space="0"/>
              <w:right w:val="single" w:color="auto" w:sz="4" w:space="0"/>
            </w:tcBorders>
            <w:hideMark/>
          </w:tcPr>
          <w:p w:rsidRPr="003237F4" w:rsidR="003237F4" w:rsidP="003237F4" w:rsidRDefault="003237F4" w14:paraId="2ABE34D5"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FERC-585 Analysis and Processing of filings</w:t>
            </w:r>
            <w:r w:rsidRPr="003237F4">
              <w:rPr>
                <w:rFonts w:ascii="Times New Roman" w:hAnsi="Times New Roman" w:cs="Times New Roman"/>
                <w:sz w:val="26"/>
                <w:szCs w:val="26"/>
                <w:vertAlign w:val="superscript"/>
              </w:rPr>
              <w:footnoteReference w:id="7"/>
            </w:r>
          </w:p>
        </w:tc>
        <w:tc>
          <w:tcPr>
            <w:tcW w:w="3201" w:type="dxa"/>
            <w:tcBorders>
              <w:top w:val="single" w:color="auto" w:sz="4" w:space="0"/>
              <w:left w:val="single" w:color="auto" w:sz="4" w:space="0"/>
              <w:bottom w:val="single" w:color="auto" w:sz="4" w:space="0"/>
              <w:right w:val="single" w:color="auto" w:sz="4" w:space="0"/>
            </w:tcBorders>
            <w:vAlign w:val="bottom"/>
            <w:hideMark/>
          </w:tcPr>
          <w:p w:rsidRPr="003237F4" w:rsidR="003237F4" w:rsidP="00C52F98" w:rsidRDefault="003237F4" w14:paraId="5DFD8819" w14:textId="77777777">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0.5</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3237F4" w:rsidR="003237F4" w:rsidP="00C52F98" w:rsidRDefault="003237F4" w14:paraId="625B142D" w14:textId="681562EC">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C52F98">
              <w:rPr>
                <w:rFonts w:ascii="Times New Roman" w:hAnsi="Times New Roman" w:cs="Times New Roman"/>
                <w:sz w:val="26"/>
                <w:szCs w:val="26"/>
              </w:rPr>
              <w:t>8</w:t>
            </w:r>
            <w:r w:rsidR="00D547E2">
              <w:rPr>
                <w:rFonts w:ascii="Times New Roman" w:hAnsi="Times New Roman" w:cs="Times New Roman"/>
                <w:sz w:val="26"/>
                <w:szCs w:val="26"/>
              </w:rPr>
              <w:t>6,164.50</w:t>
            </w:r>
          </w:p>
        </w:tc>
      </w:tr>
      <w:tr w:rsidRPr="003237F4" w:rsidR="003237F4" w:rsidTr="00704F75" w14:paraId="7B5A4A71" w14:textId="77777777">
        <w:tc>
          <w:tcPr>
            <w:tcW w:w="3182" w:type="dxa"/>
            <w:tcBorders>
              <w:top w:val="single" w:color="auto" w:sz="4" w:space="0"/>
              <w:left w:val="single" w:color="auto" w:sz="4" w:space="0"/>
              <w:bottom w:val="single" w:color="auto" w:sz="4" w:space="0"/>
              <w:right w:val="single" w:color="auto" w:sz="4" w:space="0"/>
            </w:tcBorders>
          </w:tcPr>
          <w:p w:rsidRPr="003237F4" w:rsidR="003237F4" w:rsidP="003237F4" w:rsidRDefault="003237F4" w14:paraId="3FBAD012"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PRA</w:t>
            </w:r>
            <w:r w:rsidRPr="003237F4">
              <w:rPr>
                <w:rFonts w:ascii="Times New Roman" w:hAnsi="Times New Roman" w:cs="Times New Roman"/>
                <w:sz w:val="26"/>
                <w:szCs w:val="26"/>
                <w:vertAlign w:val="superscript"/>
              </w:rPr>
              <w:footnoteReference w:id="8"/>
            </w:r>
            <w:r w:rsidRPr="003237F4">
              <w:rPr>
                <w:rFonts w:ascii="Times New Roman" w:hAnsi="Times New Roman" w:cs="Times New Roman"/>
                <w:sz w:val="26"/>
                <w:szCs w:val="26"/>
              </w:rPr>
              <w:t xml:space="preserve"> Administrative Cost</w:t>
            </w:r>
            <w:r w:rsidRPr="003237F4">
              <w:rPr>
                <w:rFonts w:ascii="Times New Roman" w:hAnsi="Times New Roman" w:cs="Times New Roman"/>
                <w:sz w:val="26"/>
                <w:szCs w:val="26"/>
                <w:vertAlign w:val="superscript"/>
              </w:rPr>
              <w:footnoteReference w:id="9"/>
            </w:r>
          </w:p>
        </w:tc>
        <w:tc>
          <w:tcPr>
            <w:tcW w:w="320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3237F4" w:rsidR="003237F4" w:rsidP="00C52F98" w:rsidRDefault="003237F4" w14:paraId="7CCD2451" w14:textId="77777777">
            <w:pPr>
              <w:spacing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3237F4" w:rsidR="003237F4" w:rsidP="00C52F98" w:rsidRDefault="003237F4" w14:paraId="64F73933" w14:textId="7677E293">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D547E2">
              <w:rPr>
                <w:rFonts w:ascii="Times New Roman" w:hAnsi="Times New Roman" w:cs="Times New Roman"/>
                <w:sz w:val="26"/>
                <w:szCs w:val="26"/>
              </w:rPr>
              <w:t>6,475</w:t>
            </w:r>
          </w:p>
        </w:tc>
      </w:tr>
      <w:tr w:rsidRPr="003237F4" w:rsidR="003237F4" w:rsidTr="00704F75" w14:paraId="607301DF" w14:textId="77777777">
        <w:tc>
          <w:tcPr>
            <w:tcW w:w="3182" w:type="dxa"/>
            <w:tcBorders>
              <w:top w:val="single" w:color="auto" w:sz="4" w:space="0"/>
              <w:left w:val="single" w:color="auto" w:sz="4" w:space="0"/>
              <w:bottom w:val="single" w:color="auto" w:sz="4" w:space="0"/>
              <w:right w:val="single" w:color="auto" w:sz="4" w:space="0"/>
            </w:tcBorders>
            <w:hideMark/>
          </w:tcPr>
          <w:p w:rsidRPr="003237F4" w:rsidR="003237F4" w:rsidP="003237F4" w:rsidRDefault="003237F4" w14:paraId="51E6C6FD" w14:textId="77777777">
            <w:pPr>
              <w:spacing w:line="240" w:lineRule="auto"/>
              <w:rPr>
                <w:rFonts w:ascii="Times New Roman" w:hAnsi="Times New Roman" w:cs="Times New Roman"/>
                <w:sz w:val="26"/>
                <w:szCs w:val="26"/>
              </w:rPr>
            </w:pPr>
            <w:r w:rsidRPr="003237F4">
              <w:rPr>
                <w:rFonts w:ascii="Times New Roman" w:hAnsi="Times New Roman" w:cs="Times New Roman"/>
                <w:b/>
                <w:sz w:val="26"/>
                <w:szCs w:val="26"/>
              </w:rPr>
              <w:t>FERC Total</w:t>
            </w:r>
          </w:p>
        </w:tc>
        <w:tc>
          <w:tcPr>
            <w:tcW w:w="3201"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3237F4" w:rsidR="003237F4" w:rsidP="00C52F98" w:rsidRDefault="003237F4" w14:paraId="1D6CAE28" w14:textId="77777777">
            <w:pPr>
              <w:spacing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3237F4" w:rsidR="003237F4" w:rsidP="00C52F98" w:rsidRDefault="003237F4" w14:paraId="6D61EAA1" w14:textId="57A9F9BD">
            <w:pPr>
              <w:spacing w:line="240" w:lineRule="auto"/>
              <w:jc w:val="right"/>
              <w:rPr>
                <w:rFonts w:ascii="Times New Roman" w:hAnsi="Times New Roman" w:cs="Times New Roman"/>
                <w:sz w:val="26"/>
                <w:szCs w:val="26"/>
              </w:rPr>
            </w:pPr>
            <w:r w:rsidRPr="003237F4">
              <w:rPr>
                <w:rFonts w:ascii="Times New Roman" w:hAnsi="Times New Roman" w:cs="Times New Roman"/>
                <w:sz w:val="26"/>
                <w:szCs w:val="26"/>
              </w:rPr>
              <w:t>$</w:t>
            </w:r>
            <w:r w:rsidR="00D547E2">
              <w:rPr>
                <w:rFonts w:ascii="Times New Roman" w:hAnsi="Times New Roman" w:cs="Times New Roman"/>
                <w:sz w:val="26"/>
                <w:szCs w:val="26"/>
              </w:rPr>
              <w:t>92,639.50</w:t>
            </w:r>
          </w:p>
        </w:tc>
      </w:tr>
    </w:tbl>
    <w:p w:rsidR="003237F4" w:rsidP="003237F4" w:rsidRDefault="003237F4" w14:paraId="62656D37" w14:textId="77777777">
      <w:pPr>
        <w:spacing w:after="0" w:line="240" w:lineRule="auto"/>
        <w:rPr>
          <w:rFonts w:ascii="Times New Roman" w:hAnsi="Times New Roman" w:cs="Times New Roman"/>
          <w:sz w:val="26"/>
          <w:szCs w:val="26"/>
        </w:rPr>
      </w:pPr>
    </w:p>
    <w:p w:rsidRPr="00AE7217" w:rsidR="00AE7217" w:rsidP="00AE7217" w:rsidRDefault="00AE7217" w14:paraId="681BBAC8" w14:textId="7777777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Pr="00AE7217" w:rsidR="00AE7217" w:rsidP="00AE7217" w:rsidRDefault="00AE7217" w14:paraId="0AD988C4" w14:textId="77777777">
      <w:pPr>
        <w:spacing w:after="0" w:line="240" w:lineRule="auto"/>
        <w:rPr>
          <w:rFonts w:ascii="Times New Roman" w:hAnsi="Times New Roman" w:cs="Times New Roman"/>
          <w:sz w:val="26"/>
          <w:szCs w:val="26"/>
        </w:rPr>
      </w:pPr>
    </w:p>
    <w:p w:rsidR="00AE7217" w:rsidP="00AE7217" w:rsidRDefault="00AE7217" w14:paraId="56606F37" w14:textId="77777777">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The PRA Administrative Cost is a Federal Cost associated with preparing, issuing, and submitting materials necessary to comply with the Paperwork Reduction Act (PRA) for</w:t>
      </w:r>
      <w:r w:rsidRPr="00AE7217">
        <w:rPr>
          <w:rFonts w:ascii="Times New Roman" w:hAnsi="Times New Roman" w:cs="Times New Roman"/>
          <w:sz w:val="24"/>
          <w:szCs w:val="24"/>
        </w:rPr>
        <w:t xml:space="preserve"> </w:t>
      </w:r>
      <w:r w:rsidRPr="00AE7217">
        <w:rPr>
          <w:rFonts w:ascii="Times New Roman" w:hAnsi="Times New Roman" w:cs="Times New Roman"/>
          <w:sz w:val="26"/>
          <w:szCs w:val="26"/>
        </w:rPr>
        <w:t>rulemakings, orders, or any other vehicle used to create, modify, extend, or discontinue an information collection.  This average annual cost includes requests for extensions, all associated rulemakings, and other changes to the collection.</w:t>
      </w:r>
      <w:r>
        <w:rPr>
          <w:rFonts w:ascii="Times New Roman" w:hAnsi="Times New Roman" w:cs="Times New Roman"/>
          <w:sz w:val="26"/>
          <w:szCs w:val="26"/>
        </w:rPr>
        <w:t xml:space="preserve"> </w:t>
      </w:r>
    </w:p>
    <w:p w:rsidRPr="003237F4" w:rsidR="00AE7217" w:rsidP="003237F4" w:rsidRDefault="00AE7217" w14:paraId="4C976AAB" w14:textId="77777777">
      <w:pPr>
        <w:spacing w:after="0" w:line="240" w:lineRule="auto"/>
        <w:rPr>
          <w:rFonts w:ascii="Times New Roman" w:hAnsi="Times New Roman" w:cs="Times New Roman"/>
          <w:sz w:val="26"/>
          <w:szCs w:val="26"/>
        </w:rPr>
      </w:pPr>
    </w:p>
    <w:p w:rsidRPr="003237F4" w:rsidR="003237F4" w:rsidP="003237F4" w:rsidRDefault="003237F4" w14:paraId="67E40C38"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REASONS FOR CHANGES IN BURDEN INCLUDING THE NEED FOR ANY INCREASE</w:t>
      </w:r>
    </w:p>
    <w:p w:rsidRPr="003237F4" w:rsidR="003237F4" w:rsidP="003237F4" w:rsidRDefault="003237F4" w14:paraId="32B5A1FA" w14:textId="77777777">
      <w:pPr>
        <w:spacing w:after="0" w:line="240" w:lineRule="auto"/>
        <w:rPr>
          <w:rFonts w:ascii="Times New Roman" w:hAnsi="Times New Roman" w:cs="Times New Roman"/>
          <w:sz w:val="26"/>
          <w:szCs w:val="26"/>
        </w:rPr>
      </w:pPr>
    </w:p>
    <w:p w:rsidR="00AE7217" w:rsidP="003237F4" w:rsidRDefault="00AE7217" w14:paraId="79EB5367" w14:textId="07A8077D">
      <w:pPr>
        <w:spacing w:after="0" w:line="240" w:lineRule="auto"/>
        <w:rPr>
          <w:rFonts w:ascii="Times New Roman" w:hAnsi="Times New Roman" w:cs="Times New Roman"/>
          <w:sz w:val="26"/>
          <w:szCs w:val="26"/>
        </w:rPr>
      </w:pPr>
      <w:r w:rsidRPr="00AE7217">
        <w:rPr>
          <w:rFonts w:ascii="Times New Roman" w:hAnsi="Times New Roman" w:cs="Times New Roman"/>
          <w:sz w:val="26"/>
          <w:szCs w:val="26"/>
        </w:rPr>
        <w:t>There are no program changes or changes to reporting requirements for the FERC-</w:t>
      </w:r>
      <w:r>
        <w:rPr>
          <w:rFonts w:ascii="Times New Roman" w:hAnsi="Times New Roman" w:cs="Times New Roman"/>
          <w:sz w:val="26"/>
          <w:szCs w:val="26"/>
        </w:rPr>
        <w:t>585</w:t>
      </w:r>
      <w:r w:rsidRPr="00AE7217">
        <w:rPr>
          <w:rFonts w:ascii="Times New Roman" w:hAnsi="Times New Roman" w:cs="Times New Roman"/>
          <w:sz w:val="26"/>
          <w:szCs w:val="26"/>
        </w:rPr>
        <w:t xml:space="preserve"> information collection.</w:t>
      </w:r>
      <w:r w:rsidR="0033346B">
        <w:rPr>
          <w:rFonts w:ascii="Times New Roman" w:hAnsi="Times New Roman" w:cs="Times New Roman"/>
          <w:sz w:val="26"/>
          <w:szCs w:val="26"/>
        </w:rPr>
        <w:t xml:space="preserve"> The program has decided to reduce the amount of annual burden hours due to not receiving the form The program is currently not planning to discontinue this collection at this time.</w:t>
      </w:r>
    </w:p>
    <w:p w:rsidR="000A42A7" w:rsidP="003237F4" w:rsidRDefault="000A42A7" w14:paraId="5433F7C9" w14:textId="68B5CEC1">
      <w:pPr>
        <w:spacing w:after="0" w:line="240" w:lineRule="auto"/>
        <w:rPr>
          <w:rFonts w:ascii="Times New Roman" w:hAnsi="Times New Roman" w:cs="Times New Roman"/>
          <w:sz w:val="26"/>
          <w:szCs w:val="26"/>
        </w:rPr>
      </w:pPr>
    </w:p>
    <w:p w:rsidR="000A42A7" w:rsidP="003237F4" w:rsidRDefault="000A42A7" w14:paraId="21C9C22B" w14:textId="77777777">
      <w:pPr>
        <w:spacing w:after="0" w:line="240" w:lineRule="auto"/>
        <w:rPr>
          <w:rFonts w:ascii="Times New Roman" w:hAnsi="Times New Roman" w:cs="Times New Roman"/>
          <w:sz w:val="26"/>
          <w:szCs w:val="26"/>
        </w:rPr>
      </w:pPr>
    </w:p>
    <w:p w:rsidRPr="003237F4" w:rsidR="003237F4" w:rsidP="003237F4" w:rsidRDefault="003237F4" w14:paraId="2D4110FE" w14:textId="542AAF5B">
      <w:pPr>
        <w:spacing w:after="0" w:line="240" w:lineRule="auto"/>
        <w:rPr>
          <w:rFonts w:ascii="Times New Roman" w:hAnsi="Times New Roman" w:cs="Times New Roman"/>
          <w:sz w:val="26"/>
          <w:szCs w:val="26"/>
        </w:rPr>
      </w:pPr>
      <w:r w:rsidRPr="003237F4">
        <w:rPr>
          <w:rFonts w:ascii="Times New Roman" w:hAnsi="Times New Roman" w:cs="Times New Roman"/>
          <w:sz w:val="26"/>
          <w:szCs w:val="26"/>
        </w:rPr>
        <w:lastRenderedPageBreak/>
        <w:t>The Commission currently estimates the annual public reporting burden for the information collection as:</w:t>
      </w:r>
      <w:bookmarkStart w:name="_GoBack" w:id="1"/>
      <w:bookmarkEnd w:id="1"/>
    </w:p>
    <w:p w:rsidRPr="003237F4" w:rsidR="003237F4" w:rsidP="003237F4" w:rsidRDefault="003237F4" w14:paraId="3435BBD6" w14:textId="77777777">
      <w:pPr>
        <w:spacing w:after="0" w:line="240" w:lineRule="auto"/>
        <w:rPr>
          <w:rFonts w:ascii="Times New Roman" w:hAnsi="Times New Roman" w:cs="Times New Roman"/>
          <w:sz w:val="26"/>
          <w:szCs w:val="26"/>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69"/>
        <w:gridCol w:w="1779"/>
        <w:gridCol w:w="1959"/>
        <w:gridCol w:w="1958"/>
        <w:gridCol w:w="1795"/>
      </w:tblGrid>
      <w:tr w:rsidRPr="003237F4" w:rsidR="003237F4" w:rsidTr="00C94393" w14:paraId="483808A2" w14:textId="77777777">
        <w:trPr>
          <w:trHeight w:val="870"/>
        </w:trPr>
        <w:tc>
          <w:tcPr>
            <w:tcW w:w="276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237F4" w:rsidR="003237F4" w:rsidP="003237F4" w:rsidRDefault="003237F4" w14:paraId="0C73D93C"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FERC-585</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237F4" w:rsidR="003237F4" w:rsidP="003237F4" w:rsidRDefault="003237F4" w14:paraId="53619A21"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237F4" w:rsidR="003237F4" w:rsidP="003237F4" w:rsidRDefault="003237F4" w14:paraId="6262BAD4"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Previously Approved</w:t>
            </w:r>
          </w:p>
        </w:tc>
        <w:tc>
          <w:tcPr>
            <w:tcW w:w="1958"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237F4" w:rsidR="003237F4" w:rsidP="003237F4" w:rsidRDefault="003237F4" w14:paraId="00A644DD"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Adjustment in Estimate</w:t>
            </w:r>
          </w:p>
        </w:tc>
        <w:tc>
          <w:tcPr>
            <w:tcW w:w="1795"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3237F4" w:rsidR="003237F4" w:rsidP="003237F4" w:rsidRDefault="003237F4" w14:paraId="05AC90B4" w14:textId="77777777">
            <w:pPr>
              <w:spacing w:line="240" w:lineRule="auto"/>
              <w:rPr>
                <w:rFonts w:ascii="Times New Roman" w:hAnsi="Times New Roman" w:cs="Times New Roman"/>
                <w:b/>
                <w:sz w:val="26"/>
                <w:szCs w:val="26"/>
              </w:rPr>
            </w:pPr>
            <w:r w:rsidRPr="003237F4">
              <w:rPr>
                <w:rFonts w:ascii="Times New Roman" w:hAnsi="Times New Roman" w:cs="Times New Roman"/>
                <w:b/>
                <w:sz w:val="26"/>
                <w:szCs w:val="26"/>
              </w:rPr>
              <w:t>Change Due to Agency Discretion</w:t>
            </w:r>
          </w:p>
        </w:tc>
      </w:tr>
      <w:tr w:rsidRPr="003237F4" w:rsidR="003237F4" w:rsidTr="00C94393" w14:paraId="042147AE" w14:textId="77777777">
        <w:trPr>
          <w:trHeight w:val="591"/>
        </w:trPr>
        <w:tc>
          <w:tcPr>
            <w:tcW w:w="2769" w:type="dxa"/>
            <w:tcBorders>
              <w:top w:val="single" w:color="auto" w:sz="4" w:space="0"/>
              <w:left w:val="single" w:color="auto" w:sz="4" w:space="0"/>
              <w:bottom w:val="single" w:color="auto" w:sz="4" w:space="0"/>
              <w:right w:val="single" w:color="auto" w:sz="4" w:space="0"/>
            </w:tcBorders>
            <w:hideMark/>
          </w:tcPr>
          <w:p w:rsidRPr="003237F4" w:rsidR="003237F4" w:rsidP="003237F4" w:rsidRDefault="003237F4" w14:paraId="28AFF984"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D547E2" w14:paraId="0203FC32" w14:textId="5DA30F36">
            <w:pPr>
              <w:spacing w:line="240" w:lineRule="auto"/>
              <w:rPr>
                <w:rFonts w:ascii="Times New Roman" w:hAnsi="Times New Roman" w:cs="Times New Roman"/>
                <w:sz w:val="26"/>
                <w:szCs w:val="26"/>
              </w:rPr>
            </w:pPr>
            <w:r>
              <w:rPr>
                <w:rFonts w:ascii="Times New Roman" w:hAnsi="Times New Roman" w:cs="Times New Roman"/>
                <w:sz w:val="26"/>
                <w:szCs w:val="26"/>
              </w:rPr>
              <w:t>1</w:t>
            </w:r>
          </w:p>
        </w:tc>
        <w:tc>
          <w:tcPr>
            <w:tcW w:w="195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6DEEC95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1</w:t>
            </w:r>
          </w:p>
        </w:tc>
        <w:tc>
          <w:tcPr>
            <w:tcW w:w="1958"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7CAE7A1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4C8E24A9"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rsidRPr="003237F4" w:rsidR="003237F4" w:rsidTr="00C94393" w14:paraId="2537B464" w14:textId="77777777">
        <w:trPr>
          <w:trHeight w:val="575"/>
        </w:trPr>
        <w:tc>
          <w:tcPr>
            <w:tcW w:w="2769" w:type="dxa"/>
            <w:tcBorders>
              <w:top w:val="single" w:color="auto" w:sz="4" w:space="0"/>
              <w:left w:val="single" w:color="auto" w:sz="4" w:space="0"/>
              <w:bottom w:val="single" w:color="auto" w:sz="4" w:space="0"/>
              <w:right w:val="single" w:color="auto" w:sz="4" w:space="0"/>
            </w:tcBorders>
            <w:hideMark/>
          </w:tcPr>
          <w:p w:rsidRPr="003237F4" w:rsidR="003237F4" w:rsidP="003237F4" w:rsidRDefault="003237F4" w14:paraId="0BC7A15A"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D547E2" w14:paraId="0485A396" w14:textId="7BB5B983">
            <w:pPr>
              <w:spacing w:line="240" w:lineRule="auto"/>
              <w:rPr>
                <w:rFonts w:ascii="Times New Roman" w:hAnsi="Times New Roman" w:cs="Times New Roman"/>
                <w:sz w:val="26"/>
                <w:szCs w:val="26"/>
              </w:rPr>
            </w:pPr>
            <w:r>
              <w:rPr>
                <w:rFonts w:ascii="Times New Roman" w:hAnsi="Times New Roman" w:cs="Times New Roman"/>
                <w:sz w:val="26"/>
                <w:szCs w:val="26"/>
              </w:rPr>
              <w:t>2</w:t>
            </w:r>
          </w:p>
        </w:tc>
        <w:tc>
          <w:tcPr>
            <w:tcW w:w="195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15E15336"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73</w:t>
            </w:r>
          </w:p>
        </w:tc>
        <w:tc>
          <w:tcPr>
            <w:tcW w:w="1958"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3346B" w14:paraId="00420E6C" w14:textId="72BE2425">
            <w:pPr>
              <w:spacing w:line="240" w:lineRule="auto"/>
              <w:rPr>
                <w:rFonts w:ascii="Times New Roman" w:hAnsi="Times New Roman" w:cs="Times New Roman"/>
                <w:sz w:val="26"/>
                <w:szCs w:val="26"/>
              </w:rPr>
            </w:pPr>
            <w:r>
              <w:rPr>
                <w:rFonts w:ascii="Times New Roman" w:hAnsi="Times New Roman" w:cs="Times New Roman"/>
                <w:sz w:val="26"/>
                <w:szCs w:val="26"/>
              </w:rPr>
              <w:t>-</w:t>
            </w:r>
            <w:r w:rsidR="00D547E2">
              <w:rPr>
                <w:rFonts w:ascii="Times New Roman" w:hAnsi="Times New Roman" w:cs="Times New Roman"/>
                <w:sz w:val="26"/>
                <w:szCs w:val="26"/>
              </w:rPr>
              <w:t>71</w:t>
            </w:r>
          </w:p>
        </w:tc>
        <w:tc>
          <w:tcPr>
            <w:tcW w:w="1795"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012FE382"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r w:rsidRPr="003237F4" w:rsidR="003237F4" w:rsidTr="00C94393" w14:paraId="5F71AC45" w14:textId="77777777">
        <w:trPr>
          <w:trHeight w:val="295"/>
        </w:trPr>
        <w:tc>
          <w:tcPr>
            <w:tcW w:w="2769" w:type="dxa"/>
            <w:tcBorders>
              <w:top w:val="single" w:color="auto" w:sz="4" w:space="0"/>
              <w:left w:val="single" w:color="auto" w:sz="4" w:space="0"/>
              <w:bottom w:val="single" w:color="auto" w:sz="4" w:space="0"/>
              <w:right w:val="single" w:color="auto" w:sz="4" w:space="0"/>
            </w:tcBorders>
            <w:hideMark/>
          </w:tcPr>
          <w:p w:rsidRPr="003237F4" w:rsidR="003237F4" w:rsidP="003237F4" w:rsidRDefault="003237F4" w14:paraId="65103116"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39380677"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355CC52B"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958"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4304D677"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c>
          <w:tcPr>
            <w:tcW w:w="1795" w:type="dxa"/>
            <w:tcBorders>
              <w:top w:val="single" w:color="auto" w:sz="4" w:space="0"/>
              <w:left w:val="single" w:color="auto" w:sz="4" w:space="0"/>
              <w:bottom w:val="single" w:color="auto" w:sz="4" w:space="0"/>
              <w:right w:val="single" w:color="auto" w:sz="4" w:space="0"/>
            </w:tcBorders>
            <w:vAlign w:val="center"/>
          </w:tcPr>
          <w:p w:rsidRPr="003237F4" w:rsidR="003237F4" w:rsidP="003237F4" w:rsidRDefault="003237F4" w14:paraId="2BA476E3" w14:textId="77777777">
            <w:pPr>
              <w:spacing w:line="240" w:lineRule="auto"/>
              <w:rPr>
                <w:rFonts w:ascii="Times New Roman" w:hAnsi="Times New Roman" w:cs="Times New Roman"/>
                <w:sz w:val="26"/>
                <w:szCs w:val="26"/>
              </w:rPr>
            </w:pPr>
            <w:r w:rsidRPr="003237F4">
              <w:rPr>
                <w:rFonts w:ascii="Times New Roman" w:hAnsi="Times New Roman" w:cs="Times New Roman"/>
                <w:sz w:val="26"/>
                <w:szCs w:val="26"/>
              </w:rPr>
              <w:t>0</w:t>
            </w:r>
          </w:p>
        </w:tc>
      </w:tr>
    </w:tbl>
    <w:p w:rsidRPr="003237F4" w:rsidR="004063C5" w:rsidP="003237F4" w:rsidRDefault="004063C5" w14:paraId="26EAA9AF" w14:textId="77777777">
      <w:pPr>
        <w:spacing w:after="0" w:line="240" w:lineRule="auto"/>
        <w:rPr>
          <w:rFonts w:ascii="Times New Roman" w:hAnsi="Times New Roman" w:cs="Times New Roman"/>
          <w:sz w:val="26"/>
          <w:szCs w:val="26"/>
        </w:rPr>
      </w:pPr>
    </w:p>
    <w:p w:rsidRPr="003237F4" w:rsidR="003237F4" w:rsidP="003237F4" w:rsidRDefault="003237F4" w14:paraId="137C7784"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TIME SCHEDULE FOR THE PUBLICATION OF DATA</w:t>
      </w:r>
    </w:p>
    <w:p w:rsidRPr="003237F4" w:rsidR="003237F4" w:rsidP="003237F4" w:rsidRDefault="003237F4" w14:paraId="2901CDBC" w14:textId="77777777">
      <w:pPr>
        <w:spacing w:after="0" w:line="240" w:lineRule="auto"/>
        <w:rPr>
          <w:rFonts w:ascii="Times New Roman" w:hAnsi="Times New Roman" w:cs="Times New Roman"/>
          <w:sz w:val="26"/>
          <w:szCs w:val="26"/>
        </w:rPr>
      </w:pPr>
    </w:p>
    <w:p w:rsidR="003237F4" w:rsidP="003237F4" w:rsidRDefault="003237F4" w14:paraId="453E636A" w14:textId="77777777">
      <w:pPr>
        <w:spacing w:after="0" w:line="240" w:lineRule="auto"/>
        <w:rPr>
          <w:rFonts w:ascii="Times New Roman" w:hAnsi="Times New Roman" w:cs="Times New Roman"/>
          <w:bCs/>
          <w:sz w:val="26"/>
          <w:szCs w:val="26"/>
        </w:rPr>
      </w:pPr>
      <w:r w:rsidRPr="003237F4">
        <w:rPr>
          <w:rFonts w:ascii="Times New Roman" w:hAnsi="Times New Roman" w:cs="Times New Roman"/>
          <w:bCs/>
          <w:sz w:val="26"/>
          <w:szCs w:val="26"/>
        </w:rPr>
        <w:t>There is no publi</w:t>
      </w:r>
      <w:r w:rsidR="004063C5">
        <w:rPr>
          <w:rFonts w:ascii="Times New Roman" w:hAnsi="Times New Roman" w:cs="Times New Roman"/>
          <w:bCs/>
          <w:sz w:val="26"/>
          <w:szCs w:val="26"/>
        </w:rPr>
        <w:t>cation of data associated with FERC-585.</w:t>
      </w:r>
    </w:p>
    <w:p w:rsidRPr="003237F4" w:rsidR="004063C5" w:rsidP="003237F4" w:rsidRDefault="004063C5" w14:paraId="0578A33E" w14:textId="77777777">
      <w:pPr>
        <w:spacing w:after="0" w:line="240" w:lineRule="auto"/>
        <w:rPr>
          <w:rFonts w:ascii="Times New Roman" w:hAnsi="Times New Roman" w:cs="Times New Roman"/>
          <w:bCs/>
          <w:sz w:val="26"/>
          <w:szCs w:val="26"/>
        </w:rPr>
      </w:pPr>
    </w:p>
    <w:p w:rsidRPr="003237F4" w:rsidR="003237F4" w:rsidP="003237F4" w:rsidRDefault="003237F4" w14:paraId="001B2AD0" w14:textId="77777777">
      <w:pPr>
        <w:numPr>
          <w:ilvl w:val="0"/>
          <w:numId w:val="1"/>
        </w:numPr>
        <w:tabs>
          <w:tab w:val="num" w:pos="1080"/>
        </w:tabs>
        <w:spacing w:after="0" w:line="240" w:lineRule="auto"/>
        <w:rPr>
          <w:rFonts w:ascii="Times New Roman" w:hAnsi="Times New Roman" w:cs="Times New Roman"/>
          <w:sz w:val="26"/>
          <w:szCs w:val="26"/>
        </w:rPr>
      </w:pPr>
      <w:r w:rsidRPr="003237F4">
        <w:rPr>
          <w:rFonts w:ascii="Times New Roman" w:hAnsi="Times New Roman" w:cs="Times New Roman"/>
          <w:b/>
          <w:bCs/>
          <w:sz w:val="26"/>
          <w:szCs w:val="26"/>
        </w:rPr>
        <w:t>DISPLAY OF THE EXPIRATION DATE</w:t>
      </w:r>
    </w:p>
    <w:p w:rsidRPr="003237F4" w:rsidR="003237F4" w:rsidP="003237F4" w:rsidRDefault="003237F4" w14:paraId="2D462443" w14:textId="77777777">
      <w:pPr>
        <w:spacing w:after="0" w:line="240" w:lineRule="auto"/>
        <w:rPr>
          <w:rFonts w:ascii="Times New Roman" w:hAnsi="Times New Roman" w:cs="Times New Roman"/>
          <w:sz w:val="26"/>
          <w:szCs w:val="26"/>
        </w:rPr>
      </w:pPr>
    </w:p>
    <w:p w:rsidR="009C1EA1" w:rsidP="009C1EA1" w:rsidRDefault="009C1EA1" w14:paraId="3DA5448E" w14:textId="77777777">
      <w:pPr>
        <w:spacing w:after="0"/>
        <w:rPr>
          <w:rFonts w:ascii="Times New Roman" w:hAnsi="Times New Roman" w:cs="Times New Roman"/>
          <w:sz w:val="24"/>
          <w:szCs w:val="24"/>
        </w:rPr>
      </w:pPr>
      <w:r w:rsidRPr="004E3D3A">
        <w:rPr>
          <w:rFonts w:ascii="Times New Roman" w:hAnsi="Times New Roman" w:cs="Times New Roman"/>
          <w:sz w:val="24"/>
          <w:szCs w:val="24"/>
        </w:rPr>
        <w:t xml:space="preserve">The expiration date is displayed at </w:t>
      </w:r>
      <w:hyperlink w:history="1" r:id="rId14">
        <w:r w:rsidRPr="004E3D3A">
          <w:rPr>
            <w:rStyle w:val="Hyperlink"/>
            <w:rFonts w:ascii="Times New Roman" w:hAnsi="Times New Roman" w:cs="Times New Roman"/>
            <w:sz w:val="24"/>
            <w:szCs w:val="24"/>
          </w:rPr>
          <w:t>https://www.ferc.gov/enforcement-legal/legal/information-collections</w:t>
        </w:r>
      </w:hyperlink>
      <w:r>
        <w:rPr>
          <w:rFonts w:ascii="Times New Roman" w:hAnsi="Times New Roman" w:cs="Times New Roman"/>
          <w:sz w:val="24"/>
          <w:szCs w:val="24"/>
        </w:rPr>
        <w:t>.</w:t>
      </w:r>
    </w:p>
    <w:p w:rsidR="009C1EA1" w:rsidP="009C1EA1" w:rsidRDefault="009C1EA1" w14:paraId="0843CB50" w14:textId="77777777">
      <w:pPr>
        <w:spacing w:after="0"/>
        <w:rPr>
          <w:rFonts w:ascii="Times New Roman" w:hAnsi="Times New Roman" w:cs="Times New Roman"/>
          <w:sz w:val="24"/>
          <w:szCs w:val="24"/>
        </w:rPr>
      </w:pPr>
      <w:r w:rsidRPr="00F50384">
        <w:rPr>
          <w:rFonts w:ascii="Times New Roman" w:hAnsi="Times New Roman" w:cs="Times New Roman"/>
          <w:sz w:val="24"/>
          <w:szCs w:val="24"/>
        </w:rPr>
        <w:t xml:space="preserve"> </w:t>
      </w:r>
    </w:p>
    <w:p w:rsidRPr="004063C5" w:rsidR="003237F4" w:rsidP="003237F4" w:rsidRDefault="003237F4" w14:paraId="0692B76A" w14:textId="77777777">
      <w:pPr>
        <w:numPr>
          <w:ilvl w:val="0"/>
          <w:numId w:val="1"/>
        </w:numPr>
        <w:tabs>
          <w:tab w:val="num" w:pos="1080"/>
        </w:tabs>
        <w:spacing w:line="240" w:lineRule="auto"/>
        <w:rPr>
          <w:rFonts w:ascii="Times New Roman" w:hAnsi="Times New Roman" w:cs="Times New Roman"/>
          <w:sz w:val="26"/>
          <w:szCs w:val="26"/>
        </w:rPr>
      </w:pPr>
      <w:r w:rsidRPr="003237F4">
        <w:rPr>
          <w:rFonts w:ascii="Times New Roman" w:hAnsi="Times New Roman" w:cs="Times New Roman"/>
          <w:b/>
          <w:bCs/>
          <w:sz w:val="26"/>
          <w:szCs w:val="26"/>
        </w:rPr>
        <w:t>EXCEPTIONS TO THE CERTIFICATION STATEMENT</w:t>
      </w:r>
    </w:p>
    <w:p w:rsidRPr="004063C5" w:rsidR="004063C5" w:rsidP="004063C5" w:rsidRDefault="004063C5" w14:paraId="459310AF" w14:textId="77777777">
      <w:pPr>
        <w:spacing w:line="240" w:lineRule="auto"/>
        <w:rPr>
          <w:rFonts w:ascii="Times New Roman" w:hAnsi="Times New Roman" w:cs="Times New Roman"/>
          <w:sz w:val="26"/>
          <w:szCs w:val="26"/>
        </w:rPr>
      </w:pPr>
      <w:r>
        <w:rPr>
          <w:rFonts w:ascii="Times New Roman" w:hAnsi="Times New Roman" w:cs="Times New Roman"/>
          <w:bCs/>
          <w:sz w:val="26"/>
          <w:szCs w:val="26"/>
        </w:rPr>
        <w:t>There are no exceptions for FERC-585.</w:t>
      </w:r>
    </w:p>
    <w:sectPr w:rsidRPr="004063C5" w:rsidR="004063C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7122D" w14:textId="77777777" w:rsidR="00A32843" w:rsidRDefault="00A32843" w:rsidP="003237F4">
      <w:pPr>
        <w:spacing w:after="0" w:line="240" w:lineRule="auto"/>
      </w:pPr>
      <w:r>
        <w:separator/>
      </w:r>
    </w:p>
  </w:endnote>
  <w:endnote w:type="continuationSeparator" w:id="0">
    <w:p w14:paraId="41F06861" w14:textId="77777777" w:rsidR="00A32843" w:rsidRDefault="00A32843" w:rsidP="003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5703D" w14:textId="77777777" w:rsidR="00A32843" w:rsidRDefault="00A32843" w:rsidP="003237F4">
      <w:pPr>
        <w:spacing w:after="0" w:line="240" w:lineRule="auto"/>
      </w:pPr>
      <w:r>
        <w:separator/>
      </w:r>
    </w:p>
  </w:footnote>
  <w:footnote w:type="continuationSeparator" w:id="0">
    <w:p w14:paraId="50057BB7" w14:textId="77777777" w:rsidR="00A32843" w:rsidRDefault="00A32843" w:rsidP="003237F4">
      <w:pPr>
        <w:spacing w:after="0" w:line="240" w:lineRule="auto"/>
      </w:pPr>
      <w:r>
        <w:continuationSeparator/>
      </w:r>
    </w:p>
  </w:footnote>
  <w:footnote w:id="1">
    <w:p w14:paraId="25C7B8F6" w14:textId="19712D32" w:rsidR="00890DBF" w:rsidRDefault="00890DBF">
      <w:pPr>
        <w:pStyle w:val="FootnoteText"/>
      </w:pPr>
      <w:r w:rsidRPr="00704F75">
        <w:rPr>
          <w:rStyle w:val="FootnoteReference"/>
          <w:rFonts w:ascii="Times New Roman" w:hAnsi="Times New Roman" w:cs="Times New Roman"/>
          <w:sz w:val="24"/>
          <w:szCs w:val="24"/>
        </w:rPr>
        <w:footnoteRef/>
      </w:r>
      <w:r>
        <w:t xml:space="preserve"> </w:t>
      </w:r>
      <w:r w:rsidRPr="003237F4">
        <w:rPr>
          <w:rFonts w:ascii="Times New Roman" w:hAnsi="Times New Roman" w:cs="Times New Roman"/>
          <w:sz w:val="26"/>
          <w:szCs w:val="26"/>
        </w:rPr>
        <w:t>Public Utility Regulatory Policies Act of 1979</w:t>
      </w:r>
    </w:p>
  </w:footnote>
  <w:footnote w:id="2">
    <w:p w14:paraId="54A9850A" w14:textId="77777777" w:rsidR="003237F4" w:rsidRPr="002B76B0" w:rsidRDefault="003237F4" w:rsidP="003237F4">
      <w:pPr>
        <w:pStyle w:val="FootnoteText"/>
        <w:rPr>
          <w:rFonts w:ascii="Times New Roman" w:hAnsi="Times New Roman" w:cs="Times New Roman"/>
          <w:sz w:val="26"/>
          <w:szCs w:val="26"/>
        </w:rPr>
      </w:pPr>
      <w:r w:rsidRPr="002B76B0">
        <w:rPr>
          <w:rStyle w:val="FootnoteReference"/>
          <w:rFonts w:ascii="Times New Roman" w:hAnsi="Times New Roman" w:cs="Times New Roman"/>
          <w:sz w:val="26"/>
          <w:szCs w:val="26"/>
        </w:rPr>
        <w:footnoteRef/>
      </w:r>
      <w:r w:rsidRPr="002B76B0">
        <w:rPr>
          <w:rFonts w:ascii="Times New Roman" w:hAnsi="Times New Roman" w:cs="Times New Roman"/>
          <w:sz w:val="26"/>
          <w:szCs w:val="26"/>
        </w:rPr>
        <w:t xml:space="preserve"> </w:t>
      </w:r>
      <w:r w:rsidRPr="002B76B0">
        <w:rPr>
          <w:rFonts w:ascii="Times New Roman" w:hAnsi="Times New Roman" w:cs="Times New Roman"/>
          <w:bCs/>
          <w:sz w:val="26"/>
          <w:szCs w:val="26"/>
        </w:rPr>
        <w:t>Pub. L. 95-617, 92 Stat. 3117</w:t>
      </w:r>
    </w:p>
  </w:footnote>
  <w:footnote w:id="3">
    <w:p w14:paraId="0661AA1A" w14:textId="169EA712" w:rsidR="003237F4" w:rsidRPr="002B76B0" w:rsidRDefault="003237F4" w:rsidP="003237F4">
      <w:pPr>
        <w:pStyle w:val="FootnoteText"/>
        <w:rPr>
          <w:rFonts w:ascii="Times New Roman" w:hAnsi="Times New Roman" w:cs="Times New Roman"/>
          <w:sz w:val="26"/>
          <w:szCs w:val="26"/>
        </w:rPr>
      </w:pPr>
      <w:r w:rsidRPr="002B76B0">
        <w:rPr>
          <w:rStyle w:val="FootnoteReference"/>
          <w:rFonts w:ascii="Times New Roman" w:hAnsi="Times New Roman" w:cs="Times New Roman"/>
          <w:sz w:val="26"/>
          <w:szCs w:val="26"/>
          <w:vertAlign w:val="superscript"/>
        </w:rPr>
        <w:footnoteRef/>
      </w:r>
      <w:r w:rsidRPr="002B76B0">
        <w:rPr>
          <w:rFonts w:ascii="Times New Roman" w:hAnsi="Times New Roman" w:cs="Times New Roman"/>
          <w:sz w:val="26"/>
          <w:szCs w:val="26"/>
        </w:rPr>
        <w:t xml:space="preserve"> </w:t>
      </w:r>
      <w:r w:rsidR="001E7FCB">
        <w:rPr>
          <w:rFonts w:ascii="Times New Roman" w:hAnsi="Times New Roman" w:cs="Times New Roman"/>
          <w:sz w:val="26"/>
          <w:szCs w:val="26"/>
        </w:rPr>
        <w:t>86 FR 24395</w:t>
      </w:r>
      <w:r w:rsidR="00704F75">
        <w:rPr>
          <w:rFonts w:ascii="Times New Roman" w:hAnsi="Times New Roman" w:cs="Times New Roman"/>
          <w:sz w:val="26"/>
          <w:szCs w:val="26"/>
        </w:rPr>
        <w:t xml:space="preserve">, </w:t>
      </w:r>
      <w:r w:rsidR="001E7FCB">
        <w:rPr>
          <w:rFonts w:ascii="Times New Roman" w:hAnsi="Times New Roman" w:cs="Times New Roman"/>
          <w:sz w:val="26"/>
          <w:szCs w:val="26"/>
        </w:rPr>
        <w:t>5/06/2021</w:t>
      </w:r>
    </w:p>
  </w:footnote>
  <w:footnote w:id="4">
    <w:p w14:paraId="6B4F22D6" w14:textId="1D12F986" w:rsidR="00C41638" w:rsidRDefault="00C41638">
      <w:pPr>
        <w:pStyle w:val="FootnoteText"/>
      </w:pPr>
      <w:r>
        <w:rPr>
          <w:rStyle w:val="FootnoteReference"/>
        </w:rPr>
        <w:footnoteRef/>
      </w:r>
      <w:r>
        <w:t xml:space="preserve"> </w:t>
      </w:r>
      <w:r w:rsidRPr="00C41638">
        <w:rPr>
          <w:rFonts w:ascii="Times New Roman" w:hAnsi="Times New Roman" w:cs="Times New Roman"/>
          <w:sz w:val="26"/>
          <w:szCs w:val="26"/>
        </w:rPr>
        <w:t>86 FR</w:t>
      </w:r>
      <w:r w:rsidRPr="00C41638">
        <w:rPr>
          <w:rFonts w:ascii="Times New Roman" w:hAnsi="Times New Roman" w:cs="Times New Roman"/>
        </w:rPr>
        <w:t xml:space="preserve"> </w:t>
      </w:r>
      <w:r w:rsidR="00145177">
        <w:rPr>
          <w:rFonts w:ascii="Times New Roman" w:hAnsi="Times New Roman" w:cs="Times New Roman"/>
          <w:sz w:val="26"/>
          <w:szCs w:val="26"/>
        </w:rPr>
        <w:t>38704, 7/22/2021</w:t>
      </w:r>
    </w:p>
  </w:footnote>
  <w:footnote w:id="5">
    <w:p w14:paraId="5945A96C" w14:textId="77777777" w:rsidR="003237F4" w:rsidRDefault="003237F4" w:rsidP="003237F4">
      <w:pPr>
        <w:pStyle w:val="FootnoteText"/>
      </w:pPr>
      <w:r>
        <w:rPr>
          <w:rStyle w:val="FootnoteReference"/>
        </w:rPr>
        <w:footnoteRef/>
      </w:r>
      <w:r>
        <w:t xml:space="preserve"> </w:t>
      </w:r>
      <w:r w:rsidRPr="00D94B0C">
        <w:rPr>
          <w:rFonts w:ascii="Times New Roman" w:hAnsi="Times New Roman" w:cs="Times New Roman"/>
          <w:sz w:val="26"/>
          <w:szCs w:val="26"/>
        </w:rPr>
        <w:t>18 CFR 388.112(a)(1)</w:t>
      </w:r>
    </w:p>
  </w:footnote>
  <w:footnote w:id="6">
    <w:p w14:paraId="065F2B45" w14:textId="77777777" w:rsidR="00D547E2" w:rsidRPr="001E7FCB" w:rsidRDefault="00D547E2" w:rsidP="00D547E2">
      <w:pPr>
        <w:pStyle w:val="FootnoteText"/>
        <w:rPr>
          <w:rFonts w:ascii="Times New Roman" w:hAnsi="Times New Roman" w:cs="Times New Roman"/>
          <w:sz w:val="26"/>
          <w:szCs w:val="26"/>
        </w:rPr>
      </w:pPr>
      <w:r w:rsidRPr="001E7FCB">
        <w:rPr>
          <w:rStyle w:val="FootnoteReference"/>
          <w:rFonts w:ascii="Times New Roman" w:hAnsi="Times New Roman" w:cs="Times New Roman"/>
        </w:rPr>
        <w:footnoteRef/>
      </w:r>
      <w:r w:rsidRPr="001E7FCB">
        <w:rPr>
          <w:rFonts w:ascii="Times New Roman" w:hAnsi="Times New Roman" w:cs="Times New Roman"/>
          <w:sz w:val="26"/>
          <w:szCs w:val="26"/>
        </w:rPr>
        <w:t xml:space="preserve"> The estimates for cost per response are derived using the following formula: Average Burden Hours per Response * 83.00 per Hour = Average Cost per Response.  This is Based upon FERC’s 2020 FTE average salary plus benefits.  Commission staff believes that any industry effort applied to FERC-585 would be compensated similarly to FERC’s average salary.</w:t>
      </w:r>
    </w:p>
    <w:p w14:paraId="0C0B97CA" w14:textId="77777777" w:rsidR="00D547E2" w:rsidRPr="007033E5" w:rsidRDefault="00D547E2" w:rsidP="00D547E2">
      <w:pPr>
        <w:pStyle w:val="FootnoteText"/>
        <w:rPr>
          <w:sz w:val="26"/>
          <w:szCs w:val="26"/>
        </w:rPr>
      </w:pPr>
      <w:r w:rsidRPr="007033E5">
        <w:rPr>
          <w:sz w:val="26"/>
          <w:szCs w:val="26"/>
        </w:rPr>
        <w:t>.</w:t>
      </w:r>
    </w:p>
  </w:footnote>
  <w:footnote w:id="7">
    <w:p w14:paraId="6422F5A3" w14:textId="01F5DE68" w:rsidR="003237F4" w:rsidRPr="00D17012" w:rsidRDefault="003237F4" w:rsidP="003237F4">
      <w:pPr>
        <w:pStyle w:val="FootnoteText"/>
        <w:rPr>
          <w:rFonts w:ascii="Times New Roman" w:hAnsi="Times New Roman" w:cs="Times New Roman"/>
          <w:sz w:val="26"/>
          <w:szCs w:val="26"/>
        </w:rPr>
      </w:pPr>
      <w:r w:rsidRPr="00D17012">
        <w:rPr>
          <w:rStyle w:val="FootnoteReference"/>
          <w:rFonts w:ascii="Times New Roman" w:hAnsi="Times New Roman" w:cs="Times New Roman"/>
          <w:sz w:val="26"/>
          <w:szCs w:val="26"/>
        </w:rPr>
        <w:footnoteRef/>
      </w:r>
      <w:r w:rsidRPr="00D17012">
        <w:rPr>
          <w:rFonts w:ascii="Times New Roman" w:hAnsi="Times New Roman" w:cs="Times New Roman"/>
          <w:sz w:val="26"/>
          <w:szCs w:val="26"/>
        </w:rPr>
        <w:t xml:space="preserve"> Based upon FERC’s 20</w:t>
      </w:r>
      <w:r w:rsidR="00D547E2">
        <w:rPr>
          <w:rFonts w:ascii="Times New Roman" w:hAnsi="Times New Roman" w:cs="Times New Roman"/>
          <w:sz w:val="26"/>
          <w:szCs w:val="26"/>
        </w:rPr>
        <w:t>20</w:t>
      </w:r>
      <w:r w:rsidRPr="00D17012">
        <w:rPr>
          <w:rFonts w:ascii="Times New Roman" w:hAnsi="Times New Roman" w:cs="Times New Roman"/>
          <w:sz w:val="26"/>
          <w:szCs w:val="26"/>
        </w:rPr>
        <w:t xml:space="preserve"> FTE average salary plus benefits ($1</w:t>
      </w:r>
      <w:r w:rsidR="00D547E2">
        <w:rPr>
          <w:rFonts w:ascii="Times New Roman" w:hAnsi="Times New Roman" w:cs="Times New Roman"/>
          <w:sz w:val="26"/>
          <w:szCs w:val="26"/>
        </w:rPr>
        <w:t>72,329</w:t>
      </w:r>
      <w:r w:rsidRPr="00D17012">
        <w:rPr>
          <w:rFonts w:ascii="Times New Roman" w:hAnsi="Times New Roman" w:cs="Times New Roman"/>
          <w:sz w:val="26"/>
          <w:szCs w:val="26"/>
        </w:rPr>
        <w:t>)</w:t>
      </w:r>
    </w:p>
  </w:footnote>
  <w:footnote w:id="8">
    <w:p w14:paraId="2C36547E" w14:textId="77777777" w:rsidR="003237F4" w:rsidRPr="00C52F98" w:rsidRDefault="003237F4" w:rsidP="003237F4">
      <w:pPr>
        <w:pStyle w:val="FootnoteText"/>
        <w:rPr>
          <w:rFonts w:ascii="Times New Roman" w:hAnsi="Times New Roman" w:cs="Times New Roman"/>
          <w:sz w:val="26"/>
          <w:szCs w:val="26"/>
        </w:rPr>
      </w:pPr>
      <w:r w:rsidRPr="00704F75">
        <w:rPr>
          <w:rStyle w:val="FootnoteReference"/>
          <w:rFonts w:ascii="Times New Roman" w:hAnsi="Times New Roman" w:cs="Times New Roman"/>
          <w:sz w:val="24"/>
          <w:szCs w:val="24"/>
        </w:rPr>
        <w:footnoteRef/>
      </w:r>
      <w:r w:rsidRPr="00704F75">
        <w:rPr>
          <w:rFonts w:ascii="Times New Roman" w:hAnsi="Times New Roman" w:cs="Times New Roman"/>
          <w:sz w:val="24"/>
          <w:szCs w:val="24"/>
        </w:rPr>
        <w:t xml:space="preserve"> </w:t>
      </w:r>
      <w:r w:rsidRPr="00C52F98">
        <w:rPr>
          <w:rFonts w:ascii="Times New Roman" w:hAnsi="Times New Roman" w:cs="Times New Roman"/>
          <w:sz w:val="26"/>
          <w:szCs w:val="26"/>
        </w:rPr>
        <w:t>Paperwork Reduction Act of 1995 (PRA)</w:t>
      </w:r>
    </w:p>
  </w:footnote>
  <w:footnote w:id="9">
    <w:p w14:paraId="3B543D4A" w14:textId="77777777" w:rsidR="003237F4" w:rsidRPr="00C52F98" w:rsidRDefault="003237F4" w:rsidP="003237F4">
      <w:pPr>
        <w:pStyle w:val="FootnoteText"/>
        <w:rPr>
          <w:rFonts w:ascii="Times New Roman" w:hAnsi="Times New Roman" w:cs="Times New Roman"/>
          <w:sz w:val="26"/>
          <w:szCs w:val="26"/>
        </w:rPr>
      </w:pPr>
      <w:r w:rsidRPr="00C52F98">
        <w:rPr>
          <w:rStyle w:val="FootnoteReference"/>
          <w:rFonts w:ascii="Times New Roman" w:hAnsi="Times New Roman" w:cs="Times New Roman"/>
          <w:sz w:val="26"/>
          <w:szCs w:val="26"/>
        </w:rPr>
        <w:footnoteRef/>
      </w:r>
      <w:r w:rsidRPr="00C52F98">
        <w:rPr>
          <w:rFonts w:ascii="Times New Roman" w:hAnsi="Times New Roman" w:cs="Times New Roman"/>
          <w:sz w:val="26"/>
          <w:szCs w:val="26"/>
        </w:rPr>
        <w:t xml:space="preserve"> 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1087" w14:textId="77777777" w:rsidR="00F16E73" w:rsidRPr="00F16E73" w:rsidRDefault="009309CA">
    <w:pPr>
      <w:pStyle w:val="Header"/>
      <w:rPr>
        <w:rFonts w:ascii="Times New Roman" w:hAnsi="Times New Roman" w:cs="Times New Roman"/>
        <w:sz w:val="26"/>
        <w:szCs w:val="26"/>
      </w:rPr>
    </w:pPr>
    <w:r>
      <w:rPr>
        <w:rFonts w:ascii="Times New Roman" w:hAnsi="Times New Roman" w:cs="Times New Roman"/>
        <w:sz w:val="26"/>
        <w:szCs w:val="26"/>
      </w:rPr>
      <w:t>FERC-585</w:t>
    </w:r>
    <w:r w:rsidR="003237F4">
      <w:rPr>
        <w:rFonts w:ascii="Times New Roman" w:hAnsi="Times New Roman" w:cs="Times New Roman"/>
        <w:sz w:val="26"/>
        <w:szCs w:val="26"/>
      </w:rPr>
      <w:t xml:space="preserve"> </w:t>
    </w:r>
    <w:r w:rsidR="00E7380E">
      <w:rPr>
        <w:rFonts w:ascii="Times New Roman" w:hAnsi="Times New Roman" w:cs="Times New Roman"/>
        <w:sz w:val="26"/>
        <w:szCs w:val="26"/>
      </w:rPr>
      <w:t>(</w:t>
    </w:r>
    <w:r>
      <w:rPr>
        <w:rFonts w:ascii="Times New Roman" w:hAnsi="Times New Roman" w:cs="Times New Roman"/>
        <w:sz w:val="26"/>
        <w:szCs w:val="26"/>
      </w:rPr>
      <w:t>OMB Control No. 1902-0138</w:t>
    </w:r>
    <w:r w:rsidR="00E7380E">
      <w:rPr>
        <w:rFonts w:ascii="Times New Roman" w:hAnsi="Times New Roman" w:cs="Times New Roman"/>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1F65"/>
    <w:multiLevelType w:val="hybridMultilevel"/>
    <w:tmpl w:val="A52636F0"/>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080"/>
        </w:tabs>
        <w:ind w:left="1080" w:hanging="360"/>
      </w:pPr>
      <w:rPr>
        <w:rFonts w:ascii="Symbol" w:hAnsi="Symbol" w:hint="default"/>
        <w:b w:val="0"/>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6C037F1B"/>
    <w:multiLevelType w:val="hybridMultilevel"/>
    <w:tmpl w:val="F8081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3D15DF8"/>
    <w:multiLevelType w:val="hybridMultilevel"/>
    <w:tmpl w:val="71E2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7F4"/>
    <w:rsid w:val="000A42A7"/>
    <w:rsid w:val="000B0EB7"/>
    <w:rsid w:val="00124C97"/>
    <w:rsid w:val="00145177"/>
    <w:rsid w:val="00195B63"/>
    <w:rsid w:val="001E7FCB"/>
    <w:rsid w:val="002037D2"/>
    <w:rsid w:val="002B76B0"/>
    <w:rsid w:val="003237F4"/>
    <w:rsid w:val="0033346B"/>
    <w:rsid w:val="003B1AD2"/>
    <w:rsid w:val="003F6FB2"/>
    <w:rsid w:val="004063C5"/>
    <w:rsid w:val="00453A74"/>
    <w:rsid w:val="005748EA"/>
    <w:rsid w:val="005B5AD2"/>
    <w:rsid w:val="00704F75"/>
    <w:rsid w:val="008073E2"/>
    <w:rsid w:val="008302B8"/>
    <w:rsid w:val="00890DBF"/>
    <w:rsid w:val="00924A69"/>
    <w:rsid w:val="009309CA"/>
    <w:rsid w:val="009C1EA1"/>
    <w:rsid w:val="00A32843"/>
    <w:rsid w:val="00A6048E"/>
    <w:rsid w:val="00AC65F3"/>
    <w:rsid w:val="00AE7217"/>
    <w:rsid w:val="00C41638"/>
    <w:rsid w:val="00C52F98"/>
    <w:rsid w:val="00D17012"/>
    <w:rsid w:val="00D31CA5"/>
    <w:rsid w:val="00D547E2"/>
    <w:rsid w:val="00D94B0C"/>
    <w:rsid w:val="00E7380E"/>
    <w:rsid w:val="00EF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B62"/>
  <w15:docId w15:val="{05F2891A-5F0C-44BF-ACF2-58E38663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37F4"/>
    <w:rPr>
      <w:sz w:val="20"/>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3237F4"/>
  </w:style>
  <w:style w:type="character" w:styleId="Hyperlink">
    <w:name w:val="Hyperlink"/>
    <w:basedOn w:val="DefaultParagraphFont"/>
    <w:unhideWhenUsed/>
    <w:rsid w:val="003237F4"/>
    <w:rPr>
      <w:color w:val="0000FF"/>
      <w:u w:val="single"/>
    </w:rPr>
  </w:style>
  <w:style w:type="paragraph" w:styleId="Header">
    <w:name w:val="header"/>
    <w:basedOn w:val="Normal"/>
    <w:link w:val="HeaderChar"/>
    <w:uiPriority w:val="99"/>
    <w:unhideWhenUsed/>
    <w:rsid w:val="0032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F4"/>
  </w:style>
  <w:style w:type="paragraph" w:styleId="Footer">
    <w:name w:val="footer"/>
    <w:basedOn w:val="Normal"/>
    <w:link w:val="FooterChar"/>
    <w:uiPriority w:val="99"/>
    <w:unhideWhenUsed/>
    <w:rsid w:val="0032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7F4"/>
  </w:style>
  <w:style w:type="paragraph" w:styleId="ListParagraph">
    <w:name w:val="List Paragraph"/>
    <w:basedOn w:val="Normal"/>
    <w:uiPriority w:val="34"/>
    <w:qFormat/>
    <w:rsid w:val="003237F4"/>
    <w:pPr>
      <w:ind w:left="720"/>
      <w:contextualSpacing/>
    </w:pPr>
  </w:style>
  <w:style w:type="character" w:styleId="FollowedHyperlink">
    <w:name w:val="FollowedHyperlink"/>
    <w:basedOn w:val="DefaultParagraphFont"/>
    <w:uiPriority w:val="99"/>
    <w:semiHidden/>
    <w:unhideWhenUsed/>
    <w:rsid w:val="002B76B0"/>
    <w:rPr>
      <w:color w:val="954F72" w:themeColor="followedHyperlink"/>
      <w:u w:val="single"/>
    </w:rPr>
  </w:style>
  <w:style w:type="character" w:styleId="CommentReference">
    <w:name w:val="annotation reference"/>
    <w:basedOn w:val="DefaultParagraphFont"/>
    <w:uiPriority w:val="99"/>
    <w:semiHidden/>
    <w:unhideWhenUsed/>
    <w:rsid w:val="002B76B0"/>
    <w:rPr>
      <w:sz w:val="16"/>
      <w:szCs w:val="16"/>
    </w:rPr>
  </w:style>
  <w:style w:type="paragraph" w:styleId="CommentText">
    <w:name w:val="annotation text"/>
    <w:basedOn w:val="Normal"/>
    <w:link w:val="CommentTextChar"/>
    <w:uiPriority w:val="99"/>
    <w:semiHidden/>
    <w:unhideWhenUsed/>
    <w:rsid w:val="002B76B0"/>
    <w:pPr>
      <w:spacing w:line="240" w:lineRule="auto"/>
    </w:pPr>
    <w:rPr>
      <w:sz w:val="20"/>
      <w:szCs w:val="20"/>
    </w:rPr>
  </w:style>
  <w:style w:type="character" w:customStyle="1" w:styleId="CommentTextChar">
    <w:name w:val="Comment Text Char"/>
    <w:basedOn w:val="DefaultParagraphFont"/>
    <w:link w:val="CommentText"/>
    <w:uiPriority w:val="99"/>
    <w:semiHidden/>
    <w:rsid w:val="002B76B0"/>
    <w:rPr>
      <w:sz w:val="20"/>
      <w:szCs w:val="20"/>
    </w:rPr>
  </w:style>
  <w:style w:type="paragraph" w:styleId="CommentSubject">
    <w:name w:val="annotation subject"/>
    <w:basedOn w:val="CommentText"/>
    <w:next w:val="CommentText"/>
    <w:link w:val="CommentSubjectChar"/>
    <w:uiPriority w:val="99"/>
    <w:semiHidden/>
    <w:unhideWhenUsed/>
    <w:rsid w:val="002B76B0"/>
    <w:rPr>
      <w:b/>
      <w:bCs/>
    </w:rPr>
  </w:style>
  <w:style w:type="character" w:customStyle="1" w:styleId="CommentSubjectChar">
    <w:name w:val="Comment Subject Char"/>
    <w:basedOn w:val="CommentTextChar"/>
    <w:link w:val="CommentSubject"/>
    <w:uiPriority w:val="99"/>
    <w:semiHidden/>
    <w:rsid w:val="002B76B0"/>
    <w:rPr>
      <w:b/>
      <w:bCs/>
      <w:sz w:val="20"/>
      <w:szCs w:val="20"/>
    </w:rPr>
  </w:style>
  <w:style w:type="paragraph" w:styleId="BalloonText">
    <w:name w:val="Balloon Text"/>
    <w:basedOn w:val="Normal"/>
    <w:link w:val="BalloonTextChar"/>
    <w:uiPriority w:val="99"/>
    <w:semiHidden/>
    <w:unhideWhenUsed/>
    <w:rsid w:val="002B76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6B0"/>
    <w:rPr>
      <w:rFonts w:ascii="Segoe UI" w:hAnsi="Segoe UI" w:cs="Segoe UI"/>
      <w:sz w:val="18"/>
      <w:szCs w:val="18"/>
    </w:rPr>
  </w:style>
  <w:style w:type="character" w:styleId="UnresolvedMention">
    <w:name w:val="Unresolved Mention"/>
    <w:basedOn w:val="DefaultParagraphFont"/>
    <w:uiPriority w:val="99"/>
    <w:semiHidden/>
    <w:unhideWhenUsed/>
    <w:rsid w:val="00333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2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filing.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enforcement-legal/legal/information-coll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585</_x0031__x002e__x0020_Collection_x0020_Number>
    <Date xmlns="d6eefc7d-9817-4fa6-84d5-3bc009be21b8">2018-07-20T00:00:00-04:00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IC18-11</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8485B-EEC1-452F-9133-90A4D996E946}">
  <ds:schemaRefs>
    <ds:schemaRef ds:uri="http://schemas.microsoft.com/sharepoint/v3/contenttype/forms"/>
  </ds:schemaRefs>
</ds:datastoreItem>
</file>

<file path=customXml/itemProps2.xml><?xml version="1.0" encoding="utf-8"?>
<ds:datastoreItem xmlns:ds="http://schemas.openxmlformats.org/officeDocument/2006/customXml" ds:itemID="{B091AE64-8442-4548-BEE8-E87D844448B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6eefc7d-9817-4fa6-84d5-3bc009be21b8"/>
    <ds:schemaRef ds:uri="http://www.w3.org/XML/1998/namespace"/>
  </ds:schemaRefs>
</ds:datastoreItem>
</file>

<file path=customXml/itemProps3.xml><?xml version="1.0" encoding="utf-8"?>
<ds:datastoreItem xmlns:ds="http://schemas.openxmlformats.org/officeDocument/2006/customXml" ds:itemID="{EBF429BB-CB05-413B-BF0B-901EE0E06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AC322-43CF-4D72-AA55-B70F94AAC92D}">
  <ds:schemaRefs>
    <ds:schemaRef ds:uri="http://schemas.microsoft.com/office/2006/metadata/customXsn"/>
  </ds:schemaRefs>
</ds:datastoreItem>
</file>

<file path=customXml/itemProps5.xml><?xml version="1.0" encoding="utf-8"?>
<ds:datastoreItem xmlns:ds="http://schemas.openxmlformats.org/officeDocument/2006/customXml" ds:itemID="{929550F9-F049-4F81-9055-B143EF11D061}">
  <ds:schemaRefs>
    <ds:schemaRef ds:uri="Microsoft.SharePoint.Taxonomy.ContentTypeSync"/>
  </ds:schemaRefs>
</ds:datastoreItem>
</file>

<file path=customXml/itemProps6.xml><?xml version="1.0" encoding="utf-8"?>
<ds:datastoreItem xmlns:ds="http://schemas.openxmlformats.org/officeDocument/2006/customXml" ds:itemID="{06BAEB14-C650-40A0-8211-AF3CA6FC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FERC-585 supporting statement</vt:lpstr>
    </vt:vector>
  </TitlesOfParts>
  <Company>FERC</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FERC-585 supporting statement</dc:title>
  <dc:subject/>
  <dc:creator>Michele Chambers</dc:creator>
  <cp:keywords/>
  <dc:description/>
  <cp:lastModifiedBy>Kayla Williams</cp:lastModifiedBy>
  <cp:revision>11</cp:revision>
  <dcterms:created xsi:type="dcterms:W3CDTF">2018-07-20T17:29:00Z</dcterms:created>
  <dcterms:modified xsi:type="dcterms:W3CDTF">2021-07-22T19:21:00Z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