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6E46" w:rsidR="00A2604E" w:rsidP="00A2604E" w:rsidRDefault="00A2604E" w14:paraId="1502CB1A" w14:textId="77777777">
      <w:pPr>
        <w:jc w:val="center"/>
        <w:rPr>
          <w:szCs w:val="26"/>
        </w:rPr>
      </w:pPr>
      <w:r w:rsidRPr="00CB6E46">
        <w:rPr>
          <w:szCs w:val="26"/>
        </w:rPr>
        <w:t>UNITED STATES OF AMERICA</w:t>
      </w:r>
    </w:p>
    <w:p w:rsidRPr="00CB6E46" w:rsidR="00A2604E" w:rsidP="00A2604E" w:rsidRDefault="00A2604E" w14:paraId="273661E3" w14:textId="77777777">
      <w:pPr>
        <w:jc w:val="center"/>
        <w:rPr>
          <w:szCs w:val="26"/>
        </w:rPr>
      </w:pPr>
      <w:r w:rsidRPr="00CB6E46">
        <w:rPr>
          <w:szCs w:val="26"/>
        </w:rPr>
        <w:t>FEDERAL ENERGY REGULATORY COMMISSION</w:t>
      </w:r>
    </w:p>
    <w:p w:rsidRPr="00CB6E46" w:rsidR="00A2604E" w:rsidP="00A2604E" w:rsidRDefault="00A2604E" w14:paraId="6C561934" w14:textId="77777777">
      <w:pPr>
        <w:rPr>
          <w:szCs w:val="26"/>
        </w:rPr>
      </w:pPr>
    </w:p>
    <w:p w:rsidRPr="00CB6E46" w:rsidR="00A2604E" w:rsidP="00A2604E" w:rsidRDefault="00A2604E" w14:paraId="3E11D4A1" w14:textId="10D8BDFD">
      <w:pPr>
        <w:jc w:val="center"/>
        <w:rPr>
          <w:szCs w:val="26"/>
        </w:rPr>
      </w:pPr>
      <w:r w:rsidRPr="00CB6E46">
        <w:rPr>
          <w:szCs w:val="26"/>
        </w:rPr>
        <w:t xml:space="preserve">[Docket No. </w:t>
      </w:r>
      <w:r w:rsidRPr="00CB6E46" w:rsidR="00613169">
        <w:rPr>
          <w:szCs w:val="26"/>
        </w:rPr>
        <w:t>IC</w:t>
      </w:r>
      <w:r w:rsidRPr="00CB6E46" w:rsidR="00FB078F">
        <w:rPr>
          <w:szCs w:val="26"/>
        </w:rPr>
        <w:t>21</w:t>
      </w:r>
      <w:r w:rsidRPr="00CB6E46" w:rsidR="00613169">
        <w:rPr>
          <w:szCs w:val="26"/>
        </w:rPr>
        <w:t>-</w:t>
      </w:r>
      <w:r w:rsidRPr="00CB6E46" w:rsidR="001074F9">
        <w:rPr>
          <w:szCs w:val="26"/>
        </w:rPr>
        <w:t>30</w:t>
      </w:r>
      <w:r w:rsidRPr="00CB6E46" w:rsidR="00613169">
        <w:rPr>
          <w:szCs w:val="26"/>
        </w:rPr>
        <w:t>-000</w:t>
      </w:r>
      <w:r w:rsidRPr="00CB6E46" w:rsidR="00FF2ACA">
        <w:rPr>
          <w:szCs w:val="26"/>
        </w:rPr>
        <w:t>, RD-20-4-000</w:t>
      </w:r>
      <w:r w:rsidRPr="00CB6E46">
        <w:rPr>
          <w:szCs w:val="26"/>
        </w:rPr>
        <w:t>]</w:t>
      </w:r>
    </w:p>
    <w:p w:rsidRPr="00CB6E46" w:rsidR="00A2604E" w:rsidP="00A2604E" w:rsidRDefault="00A2604E" w14:paraId="4D16FE54" w14:textId="77777777">
      <w:pPr>
        <w:rPr>
          <w:szCs w:val="26"/>
        </w:rPr>
      </w:pPr>
    </w:p>
    <w:p w:rsidRPr="00CB6E46" w:rsidR="00A2604E" w:rsidP="00A2604E" w:rsidRDefault="00A2604E" w14:paraId="0627AE31" w14:textId="0272953B">
      <w:pPr>
        <w:jc w:val="center"/>
        <w:rPr>
          <w:szCs w:val="26"/>
        </w:rPr>
      </w:pPr>
      <w:r w:rsidRPr="00CB6E46">
        <w:rPr>
          <w:szCs w:val="26"/>
        </w:rPr>
        <w:t>COMMISSION INFORMATION COLLECTION ACTIVITIES (FERC-</w:t>
      </w:r>
      <w:r w:rsidRPr="00CB6E46" w:rsidR="00491543">
        <w:rPr>
          <w:szCs w:val="26"/>
        </w:rPr>
        <w:t>725</w:t>
      </w:r>
      <w:r w:rsidRPr="00CB6E46" w:rsidR="004041BA">
        <w:rPr>
          <w:szCs w:val="26"/>
        </w:rPr>
        <w:t>G</w:t>
      </w:r>
      <w:r w:rsidRPr="00CB6E46">
        <w:rPr>
          <w:szCs w:val="26"/>
        </w:rPr>
        <w:t>);</w:t>
      </w:r>
    </w:p>
    <w:p w:rsidRPr="00CB6E46" w:rsidR="00A2604E" w:rsidP="00A2604E" w:rsidRDefault="00A2604E" w14:paraId="3B5240D4" w14:textId="77777777">
      <w:pPr>
        <w:jc w:val="center"/>
        <w:rPr>
          <w:szCs w:val="26"/>
        </w:rPr>
      </w:pPr>
      <w:r w:rsidRPr="00CB6E46">
        <w:rPr>
          <w:szCs w:val="26"/>
        </w:rPr>
        <w:t>COMMENT REQUEST; EXTENSION</w:t>
      </w:r>
    </w:p>
    <w:p w:rsidRPr="00CB6E46" w:rsidR="00881405" w:rsidP="00A2604E" w:rsidRDefault="00881405" w14:paraId="5D8DD33D" w14:textId="77777777">
      <w:pPr>
        <w:jc w:val="center"/>
        <w:rPr>
          <w:szCs w:val="26"/>
        </w:rPr>
      </w:pPr>
    </w:p>
    <w:p w:rsidRPr="00CB6E46" w:rsidR="00CD56E5" w:rsidP="00CB6E46" w:rsidRDefault="00CB6E46" w14:paraId="692D2676" w14:textId="370DCBD9">
      <w:pPr>
        <w:jc w:val="center"/>
        <w:rPr>
          <w:szCs w:val="26"/>
        </w:rPr>
      </w:pPr>
      <w:r w:rsidRPr="00CB6E46">
        <w:rPr>
          <w:szCs w:val="26"/>
        </w:rPr>
        <w:t>(May 26, 2021)</w:t>
      </w:r>
    </w:p>
    <w:p w:rsidRPr="00CB6E46" w:rsidR="00CB6E46" w:rsidP="00CB6E46" w:rsidRDefault="00CB6E46" w14:paraId="2752083E" w14:textId="77777777">
      <w:pPr>
        <w:rPr>
          <w:szCs w:val="26"/>
        </w:rPr>
      </w:pPr>
    </w:p>
    <w:p w:rsidRPr="00CB6E46" w:rsidR="00A2604E" w:rsidP="00A2604E" w:rsidRDefault="00A2604E" w14:paraId="735A1E72" w14:textId="77777777">
      <w:pPr>
        <w:rPr>
          <w:szCs w:val="26"/>
        </w:rPr>
      </w:pPr>
      <w:r w:rsidRPr="00CB6E46">
        <w:rPr>
          <w:b/>
          <w:szCs w:val="26"/>
        </w:rPr>
        <w:t>AGENCY:</w:t>
      </w:r>
      <w:r w:rsidRPr="00CB6E46">
        <w:rPr>
          <w:szCs w:val="26"/>
        </w:rPr>
        <w:t xml:space="preserve">  Federal Energy Regulatory Commission.</w:t>
      </w:r>
    </w:p>
    <w:p w:rsidRPr="00CB6E46" w:rsidR="00A2604E" w:rsidP="00A2604E" w:rsidRDefault="00A2604E" w14:paraId="634EF64B" w14:textId="77777777">
      <w:pPr>
        <w:rPr>
          <w:szCs w:val="26"/>
        </w:rPr>
      </w:pPr>
    </w:p>
    <w:p w:rsidRPr="00CB6E46" w:rsidR="00A2604E" w:rsidP="00A2604E" w:rsidRDefault="00A2604E" w14:paraId="674B9740" w14:textId="77777777">
      <w:pPr>
        <w:spacing w:line="480" w:lineRule="auto"/>
        <w:rPr>
          <w:szCs w:val="26"/>
        </w:rPr>
      </w:pPr>
      <w:r w:rsidRPr="00CB6E46">
        <w:rPr>
          <w:b/>
          <w:szCs w:val="26"/>
        </w:rPr>
        <w:t>ACTION:</w:t>
      </w:r>
      <w:r w:rsidRPr="00CB6E46">
        <w:rPr>
          <w:szCs w:val="26"/>
        </w:rPr>
        <w:t xml:space="preserve">  </w:t>
      </w:r>
      <w:bookmarkStart w:name="_Hlk68091542" w:id="0"/>
      <w:r w:rsidRPr="00CB6E46">
        <w:rPr>
          <w:szCs w:val="26"/>
        </w:rPr>
        <w:t xml:space="preserve">Notice of information collection </w:t>
      </w:r>
      <w:bookmarkEnd w:id="0"/>
      <w:r w:rsidRPr="00CB6E46">
        <w:rPr>
          <w:szCs w:val="26"/>
        </w:rPr>
        <w:t>and request for comments.</w:t>
      </w:r>
    </w:p>
    <w:p w:rsidRPr="00CB6E46" w:rsidR="00A2604E" w:rsidP="00A2604E" w:rsidRDefault="00A2604E" w14:paraId="59F663B1" w14:textId="7C4BAEDA">
      <w:pPr>
        <w:spacing w:line="480" w:lineRule="auto"/>
        <w:rPr>
          <w:szCs w:val="26"/>
        </w:rPr>
      </w:pPr>
      <w:r w:rsidRPr="00CB6E46">
        <w:rPr>
          <w:b/>
          <w:szCs w:val="26"/>
        </w:rPr>
        <w:t>SUMMARY:</w:t>
      </w:r>
      <w:r w:rsidRPr="00CB6E46">
        <w:rPr>
          <w:szCs w:val="26"/>
        </w:rPr>
        <w:t xml:space="preserve">  In compliance with the requirements of the Paperwork Reduction Act of 1995, 44 USC 3506(c)(2)(A), the Federal Energy Regulatory Commission (Commission or FERC) is soliciting public comment on the currently approved information collection, </w:t>
      </w:r>
      <w:r w:rsidRPr="00CB6E46" w:rsidR="00CC5692">
        <w:rPr>
          <w:szCs w:val="26"/>
        </w:rPr>
        <w:t>FERC 725</w:t>
      </w:r>
      <w:r w:rsidRPr="00CB6E46" w:rsidR="001074F9">
        <w:rPr>
          <w:szCs w:val="26"/>
        </w:rPr>
        <w:t>G</w:t>
      </w:r>
      <w:r w:rsidRPr="00CB6E46" w:rsidR="00CC5692">
        <w:rPr>
          <w:szCs w:val="26"/>
        </w:rPr>
        <w:t xml:space="preserve"> (</w:t>
      </w:r>
      <w:r w:rsidRPr="00CB6E46" w:rsidR="000A4103">
        <w:rPr>
          <w:color w:val="000000"/>
          <w:szCs w:val="26"/>
        </w:rPr>
        <w:t>Mandatory Reliability Standards for the Bulk-Power System: PRC Reliability Standards.</w:t>
      </w:r>
      <w:r w:rsidRPr="00CB6E46" w:rsidR="00CC5692">
        <w:rPr>
          <w:szCs w:val="26"/>
        </w:rPr>
        <w:t>).</w:t>
      </w:r>
    </w:p>
    <w:p w:rsidRPr="00CB6E46" w:rsidR="00A2604E" w:rsidP="00A2604E" w:rsidRDefault="00A2604E" w14:paraId="5C5B574A" w14:textId="342101DE">
      <w:pPr>
        <w:spacing w:line="480" w:lineRule="auto"/>
        <w:rPr>
          <w:szCs w:val="26"/>
        </w:rPr>
      </w:pPr>
      <w:r w:rsidRPr="00CB6E46">
        <w:rPr>
          <w:b/>
          <w:szCs w:val="26"/>
        </w:rPr>
        <w:t>DATES:</w:t>
      </w:r>
      <w:r w:rsidRPr="00CB6E46">
        <w:rPr>
          <w:szCs w:val="26"/>
        </w:rPr>
        <w:t xml:space="preserve">  Comments on the collection of information are due [</w:t>
      </w:r>
      <w:r w:rsidRPr="00CB6E46" w:rsidR="00CD56E5">
        <w:rPr>
          <w:b/>
          <w:szCs w:val="26"/>
        </w:rPr>
        <w:t>INSERT DATE</w:t>
      </w:r>
      <w:r w:rsidRPr="00CB6E46">
        <w:rPr>
          <w:b/>
          <w:szCs w:val="26"/>
        </w:rPr>
        <w:t xml:space="preserve"> 60 days after </w:t>
      </w:r>
      <w:r w:rsidRPr="00CB6E46" w:rsidR="00CA6D76">
        <w:rPr>
          <w:b/>
          <w:szCs w:val="26"/>
        </w:rPr>
        <w:t xml:space="preserve">date of </w:t>
      </w:r>
      <w:r w:rsidRPr="00CB6E46">
        <w:rPr>
          <w:b/>
          <w:szCs w:val="26"/>
        </w:rPr>
        <w:t>publication in the Federal Register</w:t>
      </w:r>
      <w:r w:rsidRPr="00CB6E46">
        <w:rPr>
          <w:szCs w:val="26"/>
        </w:rPr>
        <w:t xml:space="preserve">]. </w:t>
      </w:r>
    </w:p>
    <w:p w:rsidRPr="00CB6E46" w:rsidR="0042765E" w:rsidP="0042765E" w:rsidRDefault="00A2604E" w14:paraId="571559FA" w14:textId="794A8F6E">
      <w:pPr>
        <w:spacing w:line="480" w:lineRule="auto"/>
        <w:rPr>
          <w:szCs w:val="26"/>
        </w:rPr>
      </w:pPr>
      <w:r w:rsidRPr="00CB6E46">
        <w:rPr>
          <w:b/>
          <w:szCs w:val="26"/>
        </w:rPr>
        <w:t>ADDRESSES:</w:t>
      </w:r>
      <w:r w:rsidRPr="00CB6E46">
        <w:rPr>
          <w:szCs w:val="26"/>
        </w:rPr>
        <w:t xml:space="preserve">  </w:t>
      </w:r>
      <w:bookmarkStart w:name="OLE_LINK1" w:id="1"/>
      <w:r w:rsidRPr="00CB6E46" w:rsidR="0042765E">
        <w:rPr>
          <w:szCs w:val="26"/>
        </w:rPr>
        <w:t>You may submit copies of your comments (identified by Docket No. IC21-</w:t>
      </w:r>
      <w:r w:rsidRPr="00CB6E46" w:rsidR="004041BA">
        <w:rPr>
          <w:szCs w:val="26"/>
        </w:rPr>
        <w:t>30</w:t>
      </w:r>
      <w:r w:rsidRPr="00CB6E46" w:rsidR="0042765E">
        <w:rPr>
          <w:szCs w:val="26"/>
        </w:rPr>
        <w:t>-000) by one of the following methods:</w:t>
      </w:r>
    </w:p>
    <w:p w:rsidRPr="00CB6E46" w:rsidR="0042765E" w:rsidP="0042765E" w:rsidRDefault="0042765E" w14:paraId="6929A881" w14:textId="77777777">
      <w:pPr>
        <w:spacing w:line="480" w:lineRule="auto"/>
        <w:rPr>
          <w:szCs w:val="26"/>
        </w:rPr>
      </w:pPr>
      <w:r w:rsidRPr="00CB6E46">
        <w:rPr>
          <w:szCs w:val="26"/>
        </w:rPr>
        <w:t xml:space="preserve">Electronic filing through </w:t>
      </w:r>
      <w:hyperlink w:history="1" r:id="rId12">
        <w:r w:rsidRPr="00CB6E46">
          <w:rPr>
            <w:rStyle w:val="Hyperlink"/>
            <w:szCs w:val="26"/>
          </w:rPr>
          <w:t>http://www.ferc.gov</w:t>
        </w:r>
      </w:hyperlink>
      <w:r w:rsidRPr="00CB6E46">
        <w:rPr>
          <w:szCs w:val="26"/>
        </w:rPr>
        <w:t>, is preferred.</w:t>
      </w:r>
    </w:p>
    <w:p w:rsidRPr="00CB6E46" w:rsidR="0042765E" w:rsidP="0042765E" w:rsidRDefault="0042765E" w14:paraId="7E325126" w14:textId="77777777">
      <w:pPr>
        <w:numPr>
          <w:ilvl w:val="0"/>
          <w:numId w:val="6"/>
        </w:numPr>
        <w:spacing w:line="480" w:lineRule="auto"/>
        <w:rPr>
          <w:szCs w:val="26"/>
        </w:rPr>
      </w:pPr>
      <w:r w:rsidRPr="00CB6E46">
        <w:rPr>
          <w:szCs w:val="26"/>
        </w:rPr>
        <w:t xml:space="preserve">Electronic Filing: Documents must be filed in acceptable native applications and print-to-PDF, but not in scanned or picture format. </w:t>
      </w:r>
    </w:p>
    <w:p w:rsidRPr="00CB6E46" w:rsidR="0042765E" w:rsidP="0042765E" w:rsidRDefault="0042765E" w14:paraId="6B601B68" w14:textId="55BB788B">
      <w:pPr>
        <w:numPr>
          <w:ilvl w:val="0"/>
          <w:numId w:val="6"/>
        </w:numPr>
        <w:spacing w:line="480" w:lineRule="auto"/>
        <w:rPr>
          <w:szCs w:val="26"/>
        </w:rPr>
      </w:pPr>
      <w:r w:rsidRPr="00CB6E46">
        <w:rPr>
          <w:szCs w:val="26"/>
        </w:rPr>
        <w:t>For those unable to file electronically, comments may be filed by USPS mail or by hand (including courier) delivery</w:t>
      </w:r>
      <w:r w:rsidRPr="00CB6E46" w:rsidR="00F82EE1">
        <w:rPr>
          <w:szCs w:val="26"/>
        </w:rPr>
        <w:t>:</w:t>
      </w:r>
    </w:p>
    <w:p w:rsidRPr="00CB6E46" w:rsidR="0042765E" w:rsidP="00197435" w:rsidRDefault="0042765E" w14:paraId="610867AE" w14:textId="77777777">
      <w:pPr>
        <w:numPr>
          <w:ilvl w:val="1"/>
          <w:numId w:val="6"/>
        </w:numPr>
        <w:spacing w:line="480" w:lineRule="auto"/>
        <w:rPr>
          <w:szCs w:val="26"/>
        </w:rPr>
      </w:pPr>
      <w:r w:rsidRPr="00CB6E46">
        <w:rPr>
          <w:szCs w:val="26"/>
        </w:rPr>
        <w:lastRenderedPageBreak/>
        <w:t>Mail via U.S. Postal Service Only: Addressed to: Federal Energy Regulatory Commission, Secretary of the Commission, 888 First Street, N.E., Washington, DC 20426.</w:t>
      </w:r>
    </w:p>
    <w:p w:rsidRPr="00CB6E46" w:rsidR="0042765E" w:rsidP="00197435" w:rsidRDefault="0042765E" w14:paraId="1A7E64A4" w14:textId="2C0CED65">
      <w:pPr>
        <w:pStyle w:val="ListParagraph"/>
        <w:numPr>
          <w:ilvl w:val="1"/>
          <w:numId w:val="6"/>
        </w:numPr>
        <w:spacing w:line="480" w:lineRule="auto"/>
        <w:rPr>
          <w:szCs w:val="26"/>
        </w:rPr>
      </w:pPr>
      <w:r w:rsidRPr="00CB6E46">
        <w:rPr>
          <w:szCs w:val="26"/>
        </w:rPr>
        <w:t>Hand (including courier) delivery: Deliver to: Federal Energy Regulatory Commission, 12225 Wilkins Avenue, Rockville, MD 20852.</w:t>
      </w:r>
    </w:p>
    <w:p w:rsidRPr="00CB6E46" w:rsidR="00FB078F" w:rsidP="0042765E" w:rsidRDefault="00FB078F" w14:paraId="1FF43EEC" w14:textId="7DE7A6AA">
      <w:pPr>
        <w:spacing w:line="480" w:lineRule="auto"/>
        <w:rPr>
          <w:szCs w:val="26"/>
        </w:rPr>
      </w:pPr>
      <w:r w:rsidRPr="00CB6E46">
        <w:rPr>
          <w:i/>
          <w:szCs w:val="26"/>
        </w:rPr>
        <w:t xml:space="preserve">Instructions: </w:t>
      </w:r>
      <w:r w:rsidRPr="00CB6E46">
        <w:rPr>
          <w:szCs w:val="26"/>
        </w:rPr>
        <w:t xml:space="preserve">All submissions must be formatted and filed in accordance with submission guidelines at:   </w:t>
      </w:r>
      <w:hyperlink w:history="1" r:id="rId13">
        <w:r w:rsidRPr="00CB6E46">
          <w:rPr>
            <w:rStyle w:val="Hyperlink"/>
            <w:szCs w:val="26"/>
          </w:rPr>
          <w:t>http://www.ferc.gov</w:t>
        </w:r>
      </w:hyperlink>
      <w:r w:rsidRPr="00CB6E46">
        <w:rPr>
          <w:szCs w:val="26"/>
        </w:rPr>
        <w:t>.  For user assistance, contact FERC Online Support by e-mail at ferconlinesupport@ferc.gov, or by phone at (866) 208-3676 (toll-free).</w:t>
      </w:r>
    </w:p>
    <w:p w:rsidRPr="00CB6E46" w:rsidR="00FB078F" w:rsidP="00FB078F" w:rsidRDefault="00FB078F" w14:paraId="781EB4A7" w14:textId="77777777">
      <w:pPr>
        <w:spacing w:line="480" w:lineRule="auto"/>
        <w:rPr>
          <w:szCs w:val="26"/>
        </w:rPr>
      </w:pPr>
      <w:r w:rsidRPr="00CB6E46">
        <w:rPr>
          <w:i/>
          <w:szCs w:val="26"/>
        </w:rPr>
        <w:t>Docket:</w:t>
      </w:r>
      <w:r w:rsidRPr="00CB6E46">
        <w:rPr>
          <w:szCs w:val="26"/>
        </w:rPr>
        <w:t xml:space="preserve"> Users interested in receiving automatic notification of activity in this docket or in viewing/downloading comments and issuances in this docket may do so at </w:t>
      </w:r>
      <w:hyperlink w:history="1" r:id="rId14">
        <w:r w:rsidRPr="00CB6E46">
          <w:rPr>
            <w:rStyle w:val="Hyperlink"/>
            <w:szCs w:val="26"/>
          </w:rPr>
          <w:t>http://www.ferc.gov</w:t>
        </w:r>
      </w:hyperlink>
      <w:r w:rsidRPr="00CB6E46">
        <w:rPr>
          <w:szCs w:val="26"/>
        </w:rPr>
        <w:t xml:space="preserve">. </w:t>
      </w:r>
    </w:p>
    <w:bookmarkEnd w:id="1"/>
    <w:p w:rsidRPr="00CB6E46" w:rsidR="00FB078F" w:rsidP="00FB078F" w:rsidRDefault="00FB078F" w14:paraId="4D057177" w14:textId="77777777">
      <w:pPr>
        <w:spacing w:line="480" w:lineRule="auto"/>
        <w:rPr>
          <w:szCs w:val="26"/>
        </w:rPr>
      </w:pPr>
      <w:r w:rsidRPr="00CB6E46">
        <w:rPr>
          <w:b/>
          <w:szCs w:val="26"/>
        </w:rPr>
        <w:t>FOR FURTHER INFORMATION:</w:t>
      </w:r>
      <w:r w:rsidRPr="00CB6E46">
        <w:rPr>
          <w:szCs w:val="26"/>
        </w:rPr>
        <w:t xml:space="preserve">  Ellen Brown may be reached by e-mail at </w:t>
      </w:r>
      <w:hyperlink w:history="1" r:id="rId15">
        <w:r w:rsidRPr="00CB6E46">
          <w:rPr>
            <w:rStyle w:val="Hyperlink"/>
            <w:szCs w:val="26"/>
          </w:rPr>
          <w:t>DataClearance@FERC.gov</w:t>
        </w:r>
      </w:hyperlink>
      <w:r w:rsidRPr="00CB6E46">
        <w:rPr>
          <w:szCs w:val="26"/>
        </w:rPr>
        <w:t>, telephone at (202) 502-8663.</w:t>
      </w:r>
    </w:p>
    <w:p w:rsidRPr="00CB6E46" w:rsidR="00E0325B" w:rsidP="00E0325B" w:rsidRDefault="00E0325B" w14:paraId="62A91B33" w14:textId="77777777">
      <w:pPr>
        <w:tabs>
          <w:tab w:val="left" w:pos="7880"/>
        </w:tabs>
        <w:spacing w:line="480" w:lineRule="auto"/>
        <w:rPr>
          <w:szCs w:val="26"/>
        </w:rPr>
      </w:pPr>
      <w:r w:rsidRPr="00CB6E46">
        <w:rPr>
          <w:b/>
          <w:szCs w:val="26"/>
        </w:rPr>
        <w:t>SUPPLEMENTARY INFORMATION:</w:t>
      </w:r>
      <w:r w:rsidRPr="00CB6E46">
        <w:rPr>
          <w:szCs w:val="26"/>
        </w:rPr>
        <w:t xml:space="preserve">  </w:t>
      </w:r>
    </w:p>
    <w:p w:rsidRPr="00CB6E46" w:rsidR="00E0325B" w:rsidP="00E0325B" w:rsidRDefault="00E0325B" w14:paraId="0C855C95" w14:textId="034B9F51">
      <w:pPr>
        <w:spacing w:line="480" w:lineRule="auto"/>
        <w:rPr>
          <w:i/>
          <w:szCs w:val="26"/>
        </w:rPr>
      </w:pPr>
      <w:r w:rsidRPr="00CB6E46">
        <w:rPr>
          <w:i/>
          <w:szCs w:val="26"/>
        </w:rPr>
        <w:t xml:space="preserve">Title:  </w:t>
      </w:r>
      <w:r w:rsidRPr="00CB6E46">
        <w:rPr>
          <w:szCs w:val="26"/>
        </w:rPr>
        <w:t xml:space="preserve">FERC-725G (Mandatory Reliability Standards for the Bulk-Power System:  </w:t>
      </w:r>
      <w:r w:rsidRPr="00CB6E46">
        <w:rPr>
          <w:bCs/>
          <w:szCs w:val="26"/>
        </w:rPr>
        <w:t xml:space="preserve">Regional Reliability Standard </w:t>
      </w:r>
      <w:r w:rsidRPr="00CB6E46" w:rsidR="000A4103">
        <w:rPr>
          <w:bCs/>
          <w:szCs w:val="26"/>
        </w:rPr>
        <w:t xml:space="preserve">PRC standards: </w:t>
      </w:r>
      <w:r w:rsidRPr="00CB6E46" w:rsidR="00CA4C16">
        <w:rPr>
          <w:bCs/>
          <w:szCs w:val="26"/>
        </w:rPr>
        <w:t>PRC-006-5</w:t>
      </w:r>
      <w:r w:rsidRPr="00CB6E46" w:rsidR="00620D6B">
        <w:rPr>
          <w:bCs/>
          <w:szCs w:val="26"/>
        </w:rPr>
        <w:t xml:space="preserve"> Automatic Underfrequency Load-Shedding (UFLS)</w:t>
      </w:r>
      <w:r w:rsidRPr="00CB6E46" w:rsidR="00CA4C16">
        <w:rPr>
          <w:bCs/>
          <w:szCs w:val="26"/>
        </w:rPr>
        <w:t xml:space="preserve">, PRC-002-2, PRC-012-2, PRC-019-2, </w:t>
      </w:r>
      <w:r w:rsidRPr="00CB6E46" w:rsidR="00E16B7C">
        <w:rPr>
          <w:bCs/>
          <w:szCs w:val="26"/>
        </w:rPr>
        <w:t xml:space="preserve">PRC-023-4, </w:t>
      </w:r>
      <w:r w:rsidRPr="00CB6E46" w:rsidR="00CA4C16">
        <w:rPr>
          <w:bCs/>
          <w:szCs w:val="26"/>
        </w:rPr>
        <w:t xml:space="preserve">PRC-024-1, PRC-025-2, PRC-026-1, </w:t>
      </w:r>
      <w:r w:rsidRPr="00CB6E46" w:rsidR="001B153A">
        <w:rPr>
          <w:bCs/>
          <w:szCs w:val="26"/>
        </w:rPr>
        <w:t xml:space="preserve">and </w:t>
      </w:r>
      <w:r w:rsidRPr="00CB6E46" w:rsidR="00CA4C16">
        <w:rPr>
          <w:bCs/>
          <w:szCs w:val="26"/>
        </w:rPr>
        <w:t>PRC-027-1</w:t>
      </w:r>
      <w:r w:rsidRPr="00CB6E46">
        <w:rPr>
          <w:szCs w:val="26"/>
        </w:rPr>
        <w:t>.</w:t>
      </w:r>
    </w:p>
    <w:p w:rsidRPr="00CB6E46" w:rsidR="00E0325B" w:rsidP="00E0325B" w:rsidRDefault="00E0325B" w14:paraId="733D6690" w14:textId="77777777">
      <w:pPr>
        <w:spacing w:line="480" w:lineRule="auto"/>
        <w:rPr>
          <w:szCs w:val="26"/>
        </w:rPr>
      </w:pPr>
      <w:r w:rsidRPr="00CB6E46">
        <w:rPr>
          <w:i/>
          <w:szCs w:val="26"/>
        </w:rPr>
        <w:t>OMB Control No.:</w:t>
      </w:r>
      <w:r w:rsidRPr="00CB6E46">
        <w:rPr>
          <w:szCs w:val="26"/>
        </w:rPr>
        <w:t xml:space="preserve"> 1902-0252</w:t>
      </w:r>
    </w:p>
    <w:p w:rsidRPr="00CB6E46" w:rsidR="00E0325B" w:rsidP="00E0325B" w:rsidRDefault="00E0325B" w14:paraId="1594A97C" w14:textId="4D2010DF">
      <w:pPr>
        <w:spacing w:line="480" w:lineRule="auto"/>
        <w:rPr>
          <w:rFonts w:eastAsia="Calibri"/>
          <w:szCs w:val="26"/>
        </w:rPr>
      </w:pPr>
      <w:r w:rsidRPr="00CB6E46">
        <w:rPr>
          <w:rFonts w:eastAsia="Calibri"/>
          <w:i/>
          <w:szCs w:val="26"/>
        </w:rPr>
        <w:t>Type of Request:</w:t>
      </w:r>
      <w:r w:rsidRPr="00CB6E46">
        <w:rPr>
          <w:rFonts w:eastAsia="Calibri"/>
          <w:szCs w:val="26"/>
        </w:rPr>
        <w:t xml:space="preserve"> Revisions </w:t>
      </w:r>
      <w:r w:rsidRPr="00CB6E46" w:rsidR="00620D6B">
        <w:rPr>
          <w:rFonts w:eastAsia="Calibri"/>
          <w:szCs w:val="26"/>
        </w:rPr>
        <w:t xml:space="preserve">and extension </w:t>
      </w:r>
      <w:r w:rsidRPr="00CB6E46">
        <w:rPr>
          <w:rFonts w:eastAsia="Calibri"/>
          <w:szCs w:val="26"/>
        </w:rPr>
        <w:t>to the information collection, as discussed in Docket No. RD20-</w:t>
      </w:r>
      <w:r w:rsidRPr="00CB6E46" w:rsidR="00620D6B">
        <w:rPr>
          <w:rFonts w:eastAsia="Calibri"/>
          <w:szCs w:val="26"/>
        </w:rPr>
        <w:t>4</w:t>
      </w:r>
      <w:r w:rsidRPr="00CB6E46">
        <w:rPr>
          <w:rFonts w:eastAsia="Calibri"/>
          <w:szCs w:val="26"/>
        </w:rPr>
        <w:t>-000.</w:t>
      </w:r>
    </w:p>
    <w:p w:rsidRPr="00CB6E46" w:rsidR="00E0325B" w:rsidP="00E0325B" w:rsidRDefault="00E0325B" w14:paraId="67941258" w14:textId="4BC27C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CB6E46">
        <w:rPr>
          <w:rFonts w:eastAsia="Calibri"/>
          <w:i/>
          <w:szCs w:val="26"/>
        </w:rPr>
        <w:lastRenderedPageBreak/>
        <w:t>Abstract:</w:t>
      </w:r>
      <w:r w:rsidRPr="00CB6E46">
        <w:rPr>
          <w:rFonts w:eastAsia="Calibri"/>
          <w:color w:val="000000"/>
          <w:szCs w:val="26"/>
        </w:rPr>
        <w:t xml:space="preserve">  </w:t>
      </w:r>
      <w:r w:rsidRPr="00CB6E46">
        <w:rPr>
          <w:szCs w:val="26"/>
        </w:rPr>
        <w:t>On August 8, 2005, Congress enacted into law the Electricity Modernization Act of 2005, which is Title XII, Subtitle A, of the Energy Policy Act of 2005 (EPAct 2005).</w:t>
      </w:r>
      <w:r w:rsidRPr="00CB6E46">
        <w:rPr>
          <w:b/>
          <w:szCs w:val="26"/>
          <w:vertAlign w:val="superscript"/>
        </w:rPr>
        <w:footnoteReference w:id="2"/>
      </w:r>
      <w:r w:rsidRPr="00CB6E46">
        <w:rPr>
          <w:szCs w:val="26"/>
        </w:rPr>
        <w:t xml:space="preserve">  EPAct 2005 added a new section 215 to the FPA, which required a Commission-certified Electric Reliability Organization (ERO) to develop mandatory and enforceable Reliability Standards,</w:t>
      </w:r>
      <w:r w:rsidRPr="00797119">
        <w:rPr>
          <w:sz w:val="24"/>
        </w:rPr>
        <w:t xml:space="preserve"> </w:t>
      </w:r>
      <w:r w:rsidRPr="00CB6E46">
        <w:rPr>
          <w:szCs w:val="26"/>
        </w:rPr>
        <w:t>which are subject to Commission review and approval.  Once approved, the Reliability Standards may be enforced by the ERO subject to Commission oversight, or the Commission can independently enforce Reliability Standards.</w:t>
      </w:r>
      <w:r w:rsidRPr="00CB6E46">
        <w:rPr>
          <w:b/>
          <w:szCs w:val="26"/>
          <w:vertAlign w:val="superscript"/>
        </w:rPr>
        <w:footnoteReference w:id="3"/>
      </w:r>
    </w:p>
    <w:p w:rsidRPr="00CB6E46" w:rsidR="00C3082F" w:rsidP="00C3082F" w:rsidRDefault="00E0325B" w14:paraId="0C2CE178" w14:textId="10CC85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B6E46">
        <w:rPr>
          <w:szCs w:val="26"/>
        </w:rPr>
        <w:tab/>
      </w:r>
      <w:r w:rsidRPr="00CB6E46" w:rsidR="00C3082F">
        <w:rPr>
          <w:szCs w:val="26"/>
        </w:rPr>
        <w:t>The information collected by the FERC-725G is required to implement the statutory provisions of section 215 of the Federal Power Act (FPA).</w:t>
      </w:r>
      <w:r w:rsidRPr="00CB6E46" w:rsidR="00C3082F">
        <w:rPr>
          <w:szCs w:val="26"/>
          <w:vertAlign w:val="superscript"/>
        </w:rPr>
        <w:t>[</w:t>
      </w:r>
      <w:hyperlink w:history="1" w:anchor="footnote-2-p52442" r:id="rId16">
        <w:r w:rsidRPr="00CB6E46" w:rsidR="00C3082F">
          <w:rPr>
            <w:rStyle w:val="Hyperlink"/>
            <w:szCs w:val="26"/>
            <w:vertAlign w:val="superscript"/>
          </w:rPr>
          <w:t>2</w:t>
        </w:r>
      </w:hyperlink>
      <w:r w:rsidRPr="00CB6E46" w:rsidR="00C3082F">
        <w:rPr>
          <w:szCs w:val="26"/>
          <w:vertAlign w:val="superscript"/>
        </w:rPr>
        <w:t xml:space="preserve">] </w:t>
      </w:r>
      <w:r w:rsidRPr="00CB6E46" w:rsidR="00C3082F">
        <w:rPr>
          <w:szCs w:val="26"/>
        </w:rPr>
        <w:t>Section 215 of the FPA buttresses the Commission's efforts to strengthen the reliability of the interstate bulk power grid.</w:t>
      </w:r>
    </w:p>
    <w:p w:rsidRPr="00CB6E46" w:rsidR="00ED40DB" w:rsidP="00ED40DB" w:rsidRDefault="00C3082F" w14:paraId="6F33B3EF" w14:textId="40B0A5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B6E46">
        <w:rPr>
          <w:szCs w:val="26"/>
        </w:rPr>
        <w:t>The FERC-725G information collection currently contains the reporting and recordkeeping requirements for the following Reliability Standards:</w:t>
      </w:r>
      <w:r w:rsidRPr="00CB6E46" w:rsidR="0047649D">
        <w:rPr>
          <w:szCs w:val="26"/>
        </w:rPr>
        <w:t xml:space="preserve">  </w:t>
      </w:r>
      <w:r w:rsidRPr="00CB6E46" w:rsidR="00ED40DB">
        <w:rPr>
          <w:bCs/>
          <w:szCs w:val="26"/>
        </w:rPr>
        <w:t xml:space="preserve">PRC-002-2, PRC-006-5, PRC-012-2, PRC-019-2, </w:t>
      </w:r>
      <w:r w:rsidRPr="00CB6E46" w:rsidR="0086775D">
        <w:rPr>
          <w:bCs/>
          <w:szCs w:val="26"/>
        </w:rPr>
        <w:t xml:space="preserve">PRC-023-4, </w:t>
      </w:r>
      <w:r w:rsidRPr="00CB6E46" w:rsidR="00ED40DB">
        <w:rPr>
          <w:bCs/>
          <w:szCs w:val="26"/>
        </w:rPr>
        <w:t>PRC-024-1, PRC-025-2, PRC-026-1, and PRC-027-1</w:t>
      </w:r>
      <w:r w:rsidRPr="00CB6E46" w:rsidR="00ED40DB">
        <w:rPr>
          <w:szCs w:val="26"/>
        </w:rPr>
        <w:t>.</w:t>
      </w:r>
    </w:p>
    <w:p w:rsidRPr="00CB6E46" w:rsidR="00ED40DB" w:rsidP="00423702" w:rsidRDefault="00ED40DB" w14:paraId="1EE1D928" w14:textId="79D7EF22">
      <w:pPr>
        <w:pStyle w:val="ListParagraph"/>
        <w:numPr>
          <w:ilvl w:val="0"/>
          <w:numId w:val="8"/>
        </w:numPr>
        <w:spacing w:after="160" w:line="259" w:lineRule="auto"/>
        <w:rPr>
          <w:b/>
          <w:szCs w:val="26"/>
          <w:u w:val="single"/>
        </w:rPr>
      </w:pPr>
      <w:r w:rsidRPr="00CB6E46">
        <w:rPr>
          <w:b/>
          <w:szCs w:val="26"/>
          <w:u w:val="single"/>
        </w:rPr>
        <w:t>PRC-002-2</w:t>
      </w:r>
      <w:r w:rsidRPr="00CB6E46" w:rsidR="008E56FA">
        <w:rPr>
          <w:b/>
          <w:szCs w:val="26"/>
          <w:u w:val="single"/>
        </w:rPr>
        <w:t xml:space="preserve"> Disturbance Monitoring and Reporting Requirements</w:t>
      </w:r>
    </w:p>
    <w:p w:rsidRPr="00CB6E46" w:rsidR="00423702" w:rsidP="00423702" w:rsidRDefault="00423702" w14:paraId="041FDB20" w14:textId="77777777">
      <w:pPr>
        <w:pStyle w:val="ListParagraph"/>
        <w:spacing w:after="160" w:line="259" w:lineRule="auto"/>
        <w:rPr>
          <w:bCs/>
          <w:szCs w:val="26"/>
        </w:rPr>
      </w:pPr>
    </w:p>
    <w:p w:rsidRPr="00CB6E46" w:rsidR="00423702" w:rsidP="00423702" w:rsidRDefault="002D40AA" w14:paraId="3073678F" w14:textId="3B842C15">
      <w:pPr>
        <w:pStyle w:val="ListParagraph"/>
        <w:spacing w:after="160" w:line="259" w:lineRule="auto"/>
        <w:rPr>
          <w:bCs/>
          <w:szCs w:val="26"/>
        </w:rPr>
      </w:pPr>
      <w:r w:rsidRPr="00CB6E46">
        <w:rPr>
          <w:bCs/>
          <w:szCs w:val="26"/>
        </w:rPr>
        <w:t>The p</w:t>
      </w:r>
      <w:r w:rsidRPr="00CB6E46" w:rsidR="00ED40DB">
        <w:rPr>
          <w:bCs/>
          <w:szCs w:val="26"/>
        </w:rPr>
        <w:t>urpose is to have adequate data available to facilitate analysis of Bulk Electric System (BES) Disturb</w:t>
      </w:r>
      <w:r w:rsidRPr="00CB6E46">
        <w:rPr>
          <w:bCs/>
          <w:szCs w:val="26"/>
        </w:rPr>
        <w:t>.</w:t>
      </w:r>
      <w:r w:rsidRPr="00CB6E46" w:rsidR="00ED40DB">
        <w:rPr>
          <w:bCs/>
          <w:szCs w:val="26"/>
        </w:rPr>
        <w:t xml:space="preserve"> </w:t>
      </w:r>
    </w:p>
    <w:p w:rsidRPr="00CB6E46" w:rsidR="00423702" w:rsidP="00423702" w:rsidRDefault="00423702" w14:paraId="589BFFD0" w14:textId="77777777">
      <w:pPr>
        <w:pStyle w:val="ListParagraph"/>
        <w:spacing w:after="160" w:line="259" w:lineRule="auto"/>
        <w:rPr>
          <w:bCs/>
          <w:szCs w:val="26"/>
        </w:rPr>
      </w:pPr>
    </w:p>
    <w:p w:rsidRPr="00CB6E46" w:rsidR="00ED40DB" w:rsidP="00423702" w:rsidRDefault="00ED40DB" w14:paraId="44B13846" w14:textId="55261152">
      <w:pPr>
        <w:pStyle w:val="ListParagraph"/>
        <w:numPr>
          <w:ilvl w:val="0"/>
          <w:numId w:val="8"/>
        </w:numPr>
        <w:spacing w:after="160" w:line="259" w:lineRule="auto"/>
        <w:rPr>
          <w:b/>
          <w:bCs/>
          <w:szCs w:val="26"/>
          <w:u w:val="single"/>
        </w:rPr>
      </w:pPr>
      <w:r w:rsidRPr="00CB6E46">
        <w:rPr>
          <w:b/>
          <w:szCs w:val="26"/>
          <w:u w:val="single"/>
        </w:rPr>
        <w:t>PRC-006-5</w:t>
      </w:r>
      <w:r w:rsidRPr="00CB6E46" w:rsidR="008E56FA">
        <w:rPr>
          <w:rFonts w:eastAsiaTheme="minorHAnsi"/>
          <w:bCs/>
          <w:szCs w:val="26"/>
          <w:u w:val="single"/>
        </w:rPr>
        <w:t xml:space="preserve"> </w:t>
      </w:r>
      <w:r w:rsidRPr="00CB6E46" w:rsidR="008E56FA">
        <w:rPr>
          <w:b/>
          <w:bCs/>
          <w:szCs w:val="26"/>
          <w:u w:val="single"/>
        </w:rPr>
        <w:t>Automatic Underfrequency Load Shedding</w:t>
      </w:r>
    </w:p>
    <w:p w:rsidRPr="00CB6E46" w:rsidR="00ED40DB" w:rsidP="00423702" w:rsidRDefault="00ED40DB" w14:paraId="5DC89F02" w14:textId="73B1B4C3">
      <w:pPr>
        <w:pStyle w:val="ListParagraph"/>
        <w:spacing w:after="160" w:line="259" w:lineRule="auto"/>
        <w:rPr>
          <w:bCs/>
          <w:szCs w:val="26"/>
        </w:rPr>
      </w:pPr>
      <w:r w:rsidRPr="00CB6E46">
        <w:rPr>
          <w:bCs/>
          <w:szCs w:val="26"/>
        </w:rPr>
        <w:lastRenderedPageBreak/>
        <w:t xml:space="preserve">To establish design and documentation requirements for automatic </w:t>
      </w:r>
      <w:r w:rsidRPr="00CB6E46" w:rsidR="002D40AA">
        <w:rPr>
          <w:bCs/>
          <w:szCs w:val="26"/>
        </w:rPr>
        <w:t>U</w:t>
      </w:r>
      <w:r w:rsidRPr="00CB6E46">
        <w:rPr>
          <w:bCs/>
          <w:szCs w:val="26"/>
        </w:rPr>
        <w:t xml:space="preserve">nderfrequency </w:t>
      </w:r>
      <w:r w:rsidRPr="00CB6E46" w:rsidR="002D40AA">
        <w:rPr>
          <w:bCs/>
          <w:szCs w:val="26"/>
        </w:rPr>
        <w:t>L</w:t>
      </w:r>
      <w:r w:rsidRPr="00CB6E46">
        <w:rPr>
          <w:bCs/>
          <w:szCs w:val="26"/>
        </w:rPr>
        <w:t xml:space="preserve">oad </w:t>
      </w:r>
      <w:r w:rsidRPr="00CB6E46" w:rsidR="002D40AA">
        <w:rPr>
          <w:bCs/>
          <w:szCs w:val="26"/>
        </w:rPr>
        <w:t>S</w:t>
      </w:r>
      <w:r w:rsidRPr="00CB6E46">
        <w:rPr>
          <w:bCs/>
          <w:szCs w:val="26"/>
        </w:rPr>
        <w:t>hedding (UFLS) programs to arrest declining frequency, assist recovery of frequency following underfrequency events and provide last resort system preservation measures.</w:t>
      </w:r>
    </w:p>
    <w:p w:rsidRPr="00CB6E46" w:rsidR="00423702" w:rsidP="00423702" w:rsidRDefault="00423702" w14:paraId="037093C1" w14:textId="77777777">
      <w:pPr>
        <w:pStyle w:val="ListParagraph"/>
        <w:spacing w:after="160" w:line="259" w:lineRule="auto"/>
        <w:rPr>
          <w:bCs/>
          <w:szCs w:val="26"/>
        </w:rPr>
      </w:pPr>
    </w:p>
    <w:p w:rsidRPr="00CB6E46" w:rsidR="00ED40DB" w:rsidP="00423702" w:rsidRDefault="00ED40DB" w14:paraId="5A3593F2" w14:textId="7AFA0609">
      <w:pPr>
        <w:pStyle w:val="ListParagraph"/>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iCs/>
          <w:szCs w:val="26"/>
          <w:u w:val="single"/>
        </w:rPr>
      </w:pPr>
      <w:r w:rsidRPr="00CB6E46">
        <w:rPr>
          <w:b/>
          <w:iCs/>
          <w:szCs w:val="26"/>
          <w:u w:val="single"/>
        </w:rPr>
        <w:t>PRC-012-2</w:t>
      </w:r>
      <w:r w:rsidRPr="00CB6E46" w:rsidR="008E56FA">
        <w:rPr>
          <w:b/>
          <w:iCs/>
          <w:szCs w:val="26"/>
          <w:u w:val="single"/>
        </w:rPr>
        <w:t xml:space="preserve"> Remedial Action Schemes</w:t>
      </w:r>
    </w:p>
    <w:p w:rsidRPr="00CB6E46" w:rsidR="005F6BAF" w:rsidP="00423702" w:rsidRDefault="00ED40DB" w14:paraId="7C8E4523" w14:textId="423E63D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CB6E46">
        <w:rPr>
          <w:iCs/>
          <w:szCs w:val="26"/>
        </w:rPr>
        <w:t>To ensure that Remedial Action Schemes (RAS) do not introduce unintentional or unacceptable reliability risks to the Bulk Electric System (BES).</w:t>
      </w:r>
    </w:p>
    <w:p w:rsidRPr="00CB6E46" w:rsidR="008E56FA" w:rsidP="00ED40DB" w:rsidRDefault="008E56FA" w14:paraId="19BB01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Pr="00CB6E46" w:rsidR="00ED40DB" w:rsidP="00423702" w:rsidRDefault="00ED40DB" w14:paraId="03DDFFD8" w14:textId="72164063">
      <w:pPr>
        <w:pStyle w:val="ListParagraph"/>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6"/>
          <w:u w:val="single"/>
        </w:rPr>
      </w:pPr>
      <w:r w:rsidRPr="00CB6E46">
        <w:rPr>
          <w:b/>
          <w:iCs/>
          <w:szCs w:val="26"/>
          <w:u w:val="single"/>
        </w:rPr>
        <w:t>PRC-019-2</w:t>
      </w:r>
      <w:r w:rsidRPr="00CB6E46" w:rsidR="008E56FA">
        <w:rPr>
          <w:rFonts w:eastAsiaTheme="minorHAnsi"/>
          <w:b/>
          <w:szCs w:val="26"/>
          <w:u w:val="single"/>
        </w:rPr>
        <w:t xml:space="preserve"> </w:t>
      </w:r>
      <w:r w:rsidRPr="00CB6E46" w:rsidR="008E56FA">
        <w:rPr>
          <w:b/>
          <w:iCs/>
          <w:szCs w:val="26"/>
          <w:u w:val="single"/>
        </w:rPr>
        <w:t>Coordination of Generating Unit or Plant Capabilities, Voltage Regulating Controls, and Protection</w:t>
      </w:r>
    </w:p>
    <w:p w:rsidRPr="00CB6E46" w:rsidR="00ED40DB" w:rsidP="00ED40DB" w:rsidRDefault="00ED40DB" w14:paraId="012ACC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6"/>
          <w:u w:val="single"/>
        </w:rPr>
      </w:pPr>
    </w:p>
    <w:p w:rsidRPr="00CB6E46" w:rsidR="00ED40DB" w:rsidP="00423702" w:rsidRDefault="002D40AA" w14:paraId="76ACBA56" w14:textId="5DB8730B">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CB6E46">
        <w:rPr>
          <w:iCs/>
          <w:szCs w:val="26"/>
        </w:rPr>
        <w:t>The p</w:t>
      </w:r>
      <w:r w:rsidRPr="00CB6E46" w:rsidR="00ED40DB">
        <w:rPr>
          <w:iCs/>
          <w:szCs w:val="26"/>
        </w:rPr>
        <w:t>urpose is to verify coordination of generating unit Facility or synchronous condenser voltage regulating controls, limit functions, equipment capabilities and Protection System settings.</w:t>
      </w:r>
    </w:p>
    <w:p w:rsidRPr="00CB6E46" w:rsidR="00ED40DB" w:rsidP="00ED40DB" w:rsidRDefault="00ED40DB" w14:paraId="12223ECA" w14:textId="038AA6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Pr="00CB6E46" w:rsidR="00D9662E" w:rsidP="00423702" w:rsidRDefault="00C95933" w14:paraId="0A7E3194" w14:textId="0ED4DE21">
      <w:pPr>
        <w:pStyle w:val="ListParagraph"/>
        <w:numPr>
          <w:ilvl w:val="0"/>
          <w:numId w:val="8"/>
        </w:numPr>
        <w:spacing w:after="160" w:line="259" w:lineRule="auto"/>
        <w:rPr>
          <w:b/>
          <w:szCs w:val="26"/>
          <w:u w:val="single"/>
        </w:rPr>
      </w:pPr>
      <w:bookmarkStart w:name="_Hlk72854876" w:id="2"/>
      <w:r w:rsidRPr="00CB6E46">
        <w:rPr>
          <w:b/>
          <w:szCs w:val="26"/>
          <w:u w:val="single"/>
        </w:rPr>
        <w:t xml:space="preserve">PRC-023-4 </w:t>
      </w:r>
      <w:bookmarkEnd w:id="2"/>
      <w:r w:rsidRPr="00CB6E46">
        <w:rPr>
          <w:b/>
          <w:szCs w:val="26"/>
          <w:u w:val="single"/>
        </w:rPr>
        <w:t>Transmission Relay Load-ability</w:t>
      </w:r>
      <w:r w:rsidRPr="00CB6E46" w:rsidR="00D9662E">
        <w:rPr>
          <w:bCs/>
          <w:szCs w:val="26"/>
        </w:rPr>
        <w:t xml:space="preserve"> </w:t>
      </w:r>
    </w:p>
    <w:p w:rsidRPr="00CB6E46" w:rsidR="00F56336" w:rsidP="00F56336" w:rsidRDefault="00F56336" w14:paraId="175A53A2" w14:textId="77777777">
      <w:pPr>
        <w:pStyle w:val="ListParagraph"/>
        <w:spacing w:after="160" w:line="259" w:lineRule="auto"/>
        <w:rPr>
          <w:b/>
          <w:szCs w:val="26"/>
          <w:u w:val="single"/>
        </w:rPr>
      </w:pPr>
    </w:p>
    <w:p w:rsidRPr="00CB6E46" w:rsidR="00D9662E" w:rsidP="00423702" w:rsidRDefault="00D9662E" w14:paraId="2640B5F6" w14:textId="6EFB93D7">
      <w:pPr>
        <w:pStyle w:val="ListParagraph"/>
        <w:spacing w:after="160" w:line="259" w:lineRule="auto"/>
        <w:rPr>
          <w:bCs/>
          <w:szCs w:val="26"/>
        </w:rPr>
      </w:pPr>
      <w:r w:rsidRPr="00CB6E46">
        <w:rPr>
          <w:bCs/>
          <w:szCs w:val="26"/>
        </w:rPr>
        <w:t xml:space="preserve">Protective relay settings shall not limit transmission load-ability; not interfere with system operators’ ability to take remedial action to protect system reliability and; be set to reliably detect all fault conditions and protect the electrical network from these faults. </w:t>
      </w:r>
    </w:p>
    <w:p w:rsidRPr="00CB6E46" w:rsidR="00423702" w:rsidP="00423702" w:rsidRDefault="00423702" w14:paraId="4463A36E" w14:textId="77777777">
      <w:pPr>
        <w:pStyle w:val="ListParagraph"/>
        <w:spacing w:after="160" w:line="259" w:lineRule="auto"/>
        <w:rPr>
          <w:bCs/>
          <w:szCs w:val="26"/>
        </w:rPr>
      </w:pPr>
    </w:p>
    <w:p w:rsidRPr="00CB6E46" w:rsidR="00423702" w:rsidP="00423702" w:rsidRDefault="005F6BAF" w14:paraId="254D8EF1" w14:textId="5CB8F635">
      <w:pPr>
        <w:pStyle w:val="ListParagraph"/>
        <w:numPr>
          <w:ilvl w:val="0"/>
          <w:numId w:val="8"/>
        </w:numPr>
        <w:spacing w:after="160" w:line="259" w:lineRule="auto"/>
        <w:rPr>
          <w:b/>
          <w:szCs w:val="26"/>
          <w:u w:val="single"/>
        </w:rPr>
      </w:pPr>
      <w:r w:rsidRPr="00CB6E46">
        <w:rPr>
          <w:b/>
          <w:szCs w:val="26"/>
          <w:u w:val="single"/>
        </w:rPr>
        <w:t>PRC-024-1</w:t>
      </w:r>
      <w:r w:rsidRPr="00CB6E46" w:rsidR="008E56FA">
        <w:rPr>
          <w:rFonts w:eastAsiaTheme="minorHAnsi"/>
          <w:b/>
          <w:szCs w:val="26"/>
          <w:u w:val="single"/>
        </w:rPr>
        <w:t xml:space="preserve"> </w:t>
      </w:r>
      <w:r w:rsidRPr="00CB6E46" w:rsidR="008E56FA">
        <w:rPr>
          <w:b/>
          <w:szCs w:val="26"/>
          <w:u w:val="single"/>
        </w:rPr>
        <w:t>Generator Frequency and Voltage Protective Relay Settings</w:t>
      </w:r>
    </w:p>
    <w:p w:rsidRPr="00CB6E46" w:rsidR="00423702" w:rsidP="00423702" w:rsidRDefault="00423702" w14:paraId="3ECA390E" w14:textId="77777777">
      <w:pPr>
        <w:pStyle w:val="ListParagraph"/>
        <w:spacing w:after="160" w:line="259" w:lineRule="auto"/>
        <w:rPr>
          <w:b/>
          <w:szCs w:val="26"/>
          <w:u w:val="single"/>
        </w:rPr>
      </w:pPr>
    </w:p>
    <w:p w:rsidRPr="00CB6E46" w:rsidR="005F6BAF" w:rsidP="00423702" w:rsidRDefault="002D40AA" w14:paraId="23AD6853" w14:textId="3D818469">
      <w:pPr>
        <w:pStyle w:val="ListParagraph"/>
        <w:spacing w:after="160" w:line="259" w:lineRule="auto"/>
        <w:rPr>
          <w:bCs/>
          <w:szCs w:val="26"/>
        </w:rPr>
      </w:pPr>
      <w:r w:rsidRPr="00CB6E46">
        <w:rPr>
          <w:bCs/>
          <w:szCs w:val="26"/>
        </w:rPr>
        <w:t>The p</w:t>
      </w:r>
      <w:r w:rsidRPr="00CB6E46" w:rsidR="005F6BAF">
        <w:rPr>
          <w:bCs/>
          <w:szCs w:val="26"/>
        </w:rPr>
        <w:t>urpose is to ensure Generator Owners set their generator protective relays such that generating units remain connected during defined frequency and voltage excursions.</w:t>
      </w:r>
    </w:p>
    <w:p w:rsidRPr="00CB6E46" w:rsidR="00423702" w:rsidP="00423702" w:rsidRDefault="00423702" w14:paraId="2CC174A1" w14:textId="77777777">
      <w:pPr>
        <w:pStyle w:val="ListParagraph"/>
        <w:spacing w:after="160" w:line="259" w:lineRule="auto"/>
        <w:rPr>
          <w:bCs/>
          <w:szCs w:val="26"/>
        </w:rPr>
      </w:pPr>
    </w:p>
    <w:p w:rsidRPr="00CB6E46" w:rsidR="005F6BAF" w:rsidP="00423702" w:rsidRDefault="005F6BAF" w14:paraId="22185CF2" w14:textId="7D5886C1">
      <w:pPr>
        <w:pStyle w:val="ListParagraph"/>
        <w:numPr>
          <w:ilvl w:val="0"/>
          <w:numId w:val="8"/>
        </w:numPr>
        <w:spacing w:after="160" w:line="259" w:lineRule="auto"/>
        <w:rPr>
          <w:b/>
          <w:szCs w:val="26"/>
          <w:u w:val="single"/>
        </w:rPr>
      </w:pPr>
      <w:r w:rsidRPr="00CB6E46">
        <w:rPr>
          <w:b/>
          <w:szCs w:val="26"/>
          <w:u w:val="single"/>
        </w:rPr>
        <w:t>PRC-025-2</w:t>
      </w:r>
      <w:r w:rsidRPr="00CB6E46" w:rsidR="008E56FA">
        <w:rPr>
          <w:rFonts w:eastAsiaTheme="minorHAnsi"/>
          <w:b/>
          <w:szCs w:val="26"/>
          <w:u w:val="single"/>
        </w:rPr>
        <w:t xml:space="preserve"> </w:t>
      </w:r>
      <w:r w:rsidRPr="00CB6E46" w:rsidR="008E56FA">
        <w:rPr>
          <w:b/>
          <w:szCs w:val="26"/>
          <w:u w:val="single"/>
        </w:rPr>
        <w:t>Generator Relay Load-ability</w:t>
      </w:r>
      <w:r w:rsidRPr="00CB6E46">
        <w:rPr>
          <w:b/>
          <w:szCs w:val="26"/>
          <w:u w:val="single"/>
        </w:rPr>
        <w:t xml:space="preserve"> </w:t>
      </w:r>
    </w:p>
    <w:p w:rsidRPr="00CB6E46" w:rsidR="00782A49" w:rsidP="00782A49" w:rsidRDefault="00782A49" w14:paraId="4836881C" w14:textId="77777777">
      <w:pPr>
        <w:pStyle w:val="ListParagraph"/>
        <w:spacing w:after="160" w:line="259" w:lineRule="auto"/>
        <w:rPr>
          <w:b/>
          <w:szCs w:val="26"/>
          <w:u w:val="single"/>
        </w:rPr>
      </w:pPr>
    </w:p>
    <w:p w:rsidRPr="00CB6E46" w:rsidR="005F6BAF" w:rsidP="00423702" w:rsidRDefault="002D40AA" w14:paraId="1BB285B6" w14:textId="14A41F14">
      <w:pPr>
        <w:pStyle w:val="ListParagraph"/>
        <w:spacing w:after="160" w:line="259" w:lineRule="auto"/>
        <w:rPr>
          <w:b/>
          <w:szCs w:val="26"/>
          <w:u w:val="single"/>
        </w:rPr>
      </w:pPr>
      <w:r w:rsidRPr="00CB6E46">
        <w:rPr>
          <w:szCs w:val="26"/>
        </w:rPr>
        <w:t>The p</w:t>
      </w:r>
      <w:r w:rsidRPr="00CB6E46" w:rsidR="005F6BAF">
        <w:rPr>
          <w:szCs w:val="26"/>
        </w:rPr>
        <w:t>urpose is to set load-responsive protective relays associated with generation Facilities at a level to prevent unnecessary tripping of generators during a system disturbance for conditions that do not pose a risk of damage to the associated equipment.</w:t>
      </w:r>
      <w:r w:rsidRPr="00CB6E46" w:rsidR="005F6BAF">
        <w:rPr>
          <w:b/>
          <w:szCs w:val="26"/>
          <w:u w:val="single"/>
        </w:rPr>
        <w:t xml:space="preserve"> </w:t>
      </w:r>
    </w:p>
    <w:p w:rsidRPr="00CB6E46" w:rsidR="00423702" w:rsidP="00423702" w:rsidRDefault="00423702" w14:paraId="77490CE4" w14:textId="77777777">
      <w:pPr>
        <w:pStyle w:val="ListParagraph"/>
        <w:spacing w:after="160" w:line="259" w:lineRule="auto"/>
        <w:rPr>
          <w:b/>
          <w:szCs w:val="26"/>
          <w:u w:val="single"/>
        </w:rPr>
      </w:pPr>
    </w:p>
    <w:p w:rsidRPr="00CB6E46" w:rsidR="005F6BAF" w:rsidP="00423702" w:rsidRDefault="005F6BAF" w14:paraId="4042C96C" w14:textId="68C59F82">
      <w:pPr>
        <w:pStyle w:val="ListParagraph"/>
        <w:numPr>
          <w:ilvl w:val="0"/>
          <w:numId w:val="8"/>
        </w:numPr>
        <w:spacing w:after="160" w:line="259" w:lineRule="auto"/>
        <w:rPr>
          <w:b/>
          <w:szCs w:val="26"/>
          <w:u w:val="single"/>
        </w:rPr>
      </w:pPr>
      <w:r w:rsidRPr="00CB6E46">
        <w:rPr>
          <w:b/>
          <w:szCs w:val="26"/>
          <w:u w:val="single"/>
        </w:rPr>
        <w:t>PRC-026-1</w:t>
      </w:r>
      <w:r w:rsidRPr="00CB6E46" w:rsidR="008E56FA">
        <w:rPr>
          <w:rFonts w:eastAsiaTheme="minorHAnsi"/>
          <w:b/>
          <w:szCs w:val="26"/>
          <w:u w:val="single"/>
        </w:rPr>
        <w:t xml:space="preserve"> </w:t>
      </w:r>
      <w:r w:rsidRPr="00CB6E46" w:rsidR="008E56FA">
        <w:rPr>
          <w:b/>
          <w:szCs w:val="26"/>
          <w:u w:val="single"/>
        </w:rPr>
        <w:t>Relay Performance During Stable Power Swings</w:t>
      </w:r>
    </w:p>
    <w:p w:rsidRPr="00CB6E46" w:rsidR="001F4CF7" w:rsidP="001F4CF7" w:rsidRDefault="001F4CF7" w14:paraId="00852508" w14:textId="77777777">
      <w:pPr>
        <w:pStyle w:val="ListParagraph"/>
        <w:spacing w:after="160" w:line="259" w:lineRule="auto"/>
        <w:rPr>
          <w:b/>
          <w:szCs w:val="26"/>
          <w:u w:val="single"/>
        </w:rPr>
      </w:pPr>
    </w:p>
    <w:p w:rsidRPr="00CB6E46" w:rsidR="008E56FA" w:rsidP="00423702" w:rsidRDefault="002D40AA" w14:paraId="02863E5D" w14:textId="488083BC">
      <w:pPr>
        <w:pStyle w:val="ListParagraph"/>
        <w:spacing w:after="160" w:line="259" w:lineRule="auto"/>
        <w:rPr>
          <w:szCs w:val="26"/>
        </w:rPr>
      </w:pPr>
      <w:r w:rsidRPr="00CB6E46">
        <w:rPr>
          <w:szCs w:val="26"/>
        </w:rPr>
        <w:lastRenderedPageBreak/>
        <w:t>The p</w:t>
      </w:r>
      <w:r w:rsidRPr="00CB6E46" w:rsidR="005F6BAF">
        <w:rPr>
          <w:szCs w:val="26"/>
        </w:rPr>
        <w:t>urpose is to ensure that load-responsive protective relays are expected to not trip in response to stable power swings during non-Fault conditions.</w:t>
      </w:r>
    </w:p>
    <w:p w:rsidRPr="00CB6E46" w:rsidR="00423702" w:rsidP="00423702" w:rsidRDefault="00423702" w14:paraId="054A9559" w14:textId="77777777">
      <w:pPr>
        <w:pStyle w:val="ListParagraph"/>
        <w:spacing w:after="160" w:line="259" w:lineRule="auto"/>
        <w:rPr>
          <w:szCs w:val="26"/>
        </w:rPr>
      </w:pPr>
    </w:p>
    <w:p w:rsidRPr="00CB6E46" w:rsidR="005B4216" w:rsidP="00423702" w:rsidRDefault="005B4216" w14:paraId="2D8A02C9" w14:textId="77777777">
      <w:pPr>
        <w:pStyle w:val="ListParagraph"/>
        <w:numPr>
          <w:ilvl w:val="0"/>
          <w:numId w:val="8"/>
        </w:numPr>
        <w:spacing w:after="160" w:line="259" w:lineRule="auto"/>
        <w:rPr>
          <w:rFonts w:eastAsia="Calibri"/>
          <w:b/>
          <w:color w:val="000000"/>
          <w:szCs w:val="26"/>
          <w:u w:val="single"/>
        </w:rPr>
      </w:pPr>
      <w:r w:rsidRPr="00CB6E46">
        <w:rPr>
          <w:rFonts w:eastAsia="Calibri"/>
          <w:b/>
          <w:color w:val="000000"/>
          <w:szCs w:val="26"/>
          <w:u w:val="single"/>
        </w:rPr>
        <w:t>PRC-027-1 Coordination of Protection Systems for Performance During Faults</w:t>
      </w:r>
    </w:p>
    <w:p w:rsidRPr="00CB6E46" w:rsidR="002838B6" w:rsidP="00423702" w:rsidRDefault="002D40AA" w14:paraId="07A058B3" w14:textId="77777777">
      <w:pPr>
        <w:pStyle w:val="ListParagraph"/>
        <w:spacing w:after="160" w:line="259" w:lineRule="auto"/>
        <w:rPr>
          <w:rFonts w:eastAsia="Calibri"/>
          <w:bCs/>
          <w:color w:val="000000"/>
          <w:szCs w:val="26"/>
        </w:rPr>
      </w:pPr>
      <w:r w:rsidRPr="00CB6E46">
        <w:rPr>
          <w:rFonts w:eastAsia="Calibri"/>
          <w:color w:val="000000"/>
          <w:szCs w:val="26"/>
        </w:rPr>
        <w:t>The p</w:t>
      </w:r>
      <w:r w:rsidRPr="00CB6E46" w:rsidR="005B4216">
        <w:rPr>
          <w:rFonts w:eastAsia="Calibri"/>
          <w:color w:val="000000"/>
          <w:szCs w:val="26"/>
        </w:rPr>
        <w:t>urpose is to</w:t>
      </w:r>
      <w:r w:rsidRPr="00CB6E46" w:rsidR="005B4216">
        <w:rPr>
          <w:rFonts w:eastAsia="Calibri"/>
          <w:bCs/>
          <w:color w:val="000000"/>
          <w:szCs w:val="26"/>
        </w:rPr>
        <w:t xml:space="preserve"> maintain the coordination of Protection Systems installed to detect and isolate Faults on Bulk Electric System (BES) Elements, such that those Protection Systems operate in the intended sequence during Faults.</w:t>
      </w:r>
    </w:p>
    <w:p w:rsidRPr="00CB6E46" w:rsidR="00E0325B" w:rsidP="00423702" w:rsidRDefault="00E0325B" w14:paraId="49A01FCE" w14:textId="12079E8D">
      <w:pPr>
        <w:pStyle w:val="ListParagraph"/>
        <w:spacing w:after="160" w:line="259" w:lineRule="auto"/>
        <w:rPr>
          <w:rFonts w:eastAsia="Calibri"/>
          <w:color w:val="000000"/>
          <w:szCs w:val="26"/>
        </w:rPr>
      </w:pPr>
      <w:r w:rsidRPr="00CB6E46">
        <w:rPr>
          <w:rFonts w:eastAsia="Calibri"/>
          <w:color w:val="000000"/>
          <w:szCs w:val="26"/>
        </w:rPr>
        <w:tab/>
      </w:r>
    </w:p>
    <w:p w:rsidRPr="00CB6E46" w:rsidR="00713774" w:rsidP="00713774" w:rsidRDefault="00713774" w14:paraId="10E6AEA7" w14:textId="34BEC800">
      <w:pPr>
        <w:spacing w:after="160" w:line="259" w:lineRule="auto"/>
        <w:rPr>
          <w:rFonts w:eastAsia="Calibri"/>
          <w:bCs/>
          <w:color w:val="000000"/>
          <w:szCs w:val="26"/>
        </w:rPr>
      </w:pPr>
      <w:r w:rsidRPr="00CB6E46">
        <w:rPr>
          <w:rFonts w:eastAsia="Calibri"/>
          <w:bCs/>
          <w:color w:val="000000"/>
          <w:szCs w:val="26"/>
        </w:rPr>
        <w:t>Each of these Reliability Standards have three components that impose burden upon affected industry:</w:t>
      </w:r>
    </w:p>
    <w:p w:rsidRPr="00CB6E46" w:rsidR="00713774" w:rsidP="00713774" w:rsidRDefault="00713774" w14:paraId="7CC701E6" w14:textId="77777777">
      <w:pPr>
        <w:spacing w:after="160" w:line="259" w:lineRule="auto"/>
        <w:rPr>
          <w:rFonts w:eastAsia="Calibri"/>
          <w:bCs/>
          <w:color w:val="000000"/>
          <w:szCs w:val="26"/>
        </w:rPr>
      </w:pPr>
      <w:r w:rsidRPr="00CB6E46">
        <w:rPr>
          <w:rFonts w:eastAsia="Calibri"/>
          <w:bCs/>
          <w:color w:val="000000"/>
          <w:szCs w:val="26"/>
        </w:rPr>
        <w:t>• Requirements (</w:t>
      </w:r>
      <w:r w:rsidRPr="00CB6E46">
        <w:rPr>
          <w:rFonts w:eastAsia="Calibri"/>
          <w:bCs/>
          <w:i/>
          <w:iCs/>
          <w:color w:val="000000"/>
          <w:szCs w:val="26"/>
        </w:rPr>
        <w:t xml:space="preserve">e.g., </w:t>
      </w:r>
      <w:r w:rsidRPr="00CB6E46">
        <w:rPr>
          <w:rFonts w:eastAsia="Calibri"/>
          <w:bCs/>
          <w:color w:val="000000"/>
          <w:szCs w:val="26"/>
        </w:rPr>
        <w:t>denoted in each</w:t>
      </w:r>
    </w:p>
    <w:p w:rsidRPr="00CB6E46" w:rsidR="00713774" w:rsidP="00713774" w:rsidRDefault="00713774" w14:paraId="79A0CE76" w14:textId="77777777">
      <w:pPr>
        <w:spacing w:after="160" w:line="259" w:lineRule="auto"/>
        <w:rPr>
          <w:rFonts w:eastAsia="Calibri"/>
          <w:bCs/>
          <w:color w:val="000000"/>
          <w:szCs w:val="26"/>
        </w:rPr>
      </w:pPr>
      <w:r w:rsidRPr="00CB6E46">
        <w:rPr>
          <w:rFonts w:eastAsia="Calibri"/>
          <w:bCs/>
          <w:color w:val="000000"/>
          <w:szCs w:val="26"/>
        </w:rPr>
        <w:t>Reliability Standard as R1, R2. . .)</w:t>
      </w:r>
    </w:p>
    <w:p w:rsidRPr="00CB6E46" w:rsidR="00713774" w:rsidP="00713774" w:rsidRDefault="00713774" w14:paraId="291D7317" w14:textId="77777777">
      <w:pPr>
        <w:spacing w:after="160" w:line="259" w:lineRule="auto"/>
        <w:rPr>
          <w:rFonts w:eastAsia="Calibri"/>
          <w:bCs/>
          <w:color w:val="000000"/>
          <w:szCs w:val="26"/>
        </w:rPr>
      </w:pPr>
      <w:r w:rsidRPr="00CB6E46">
        <w:rPr>
          <w:rFonts w:eastAsia="Calibri"/>
          <w:bCs/>
          <w:color w:val="000000"/>
          <w:szCs w:val="26"/>
        </w:rPr>
        <w:t>• Measures (</w:t>
      </w:r>
      <w:r w:rsidRPr="00CB6E46">
        <w:rPr>
          <w:rFonts w:eastAsia="Calibri"/>
          <w:bCs/>
          <w:i/>
          <w:iCs/>
          <w:color w:val="000000"/>
          <w:szCs w:val="26"/>
        </w:rPr>
        <w:t xml:space="preserve">e.g., </w:t>
      </w:r>
      <w:r w:rsidRPr="00CB6E46">
        <w:rPr>
          <w:rFonts w:eastAsia="Calibri"/>
          <w:bCs/>
          <w:color w:val="000000"/>
          <w:szCs w:val="26"/>
        </w:rPr>
        <w:t>denoted in each</w:t>
      </w:r>
    </w:p>
    <w:p w:rsidRPr="00CB6E46" w:rsidR="00713774" w:rsidP="00713774" w:rsidRDefault="00713774" w14:paraId="69D4F452" w14:textId="77777777">
      <w:pPr>
        <w:spacing w:after="160" w:line="259" w:lineRule="auto"/>
        <w:rPr>
          <w:rFonts w:eastAsia="Calibri"/>
          <w:bCs/>
          <w:color w:val="000000"/>
          <w:szCs w:val="26"/>
        </w:rPr>
      </w:pPr>
      <w:r w:rsidRPr="00CB6E46">
        <w:rPr>
          <w:rFonts w:eastAsia="Calibri"/>
          <w:bCs/>
          <w:color w:val="000000"/>
          <w:szCs w:val="26"/>
        </w:rPr>
        <w:t>Reliability Standard as M1, M2. . .)</w:t>
      </w:r>
    </w:p>
    <w:p w:rsidRPr="00CB6E46" w:rsidR="00713774" w:rsidP="00713774" w:rsidRDefault="00713774" w14:paraId="29ADEC1F" w14:textId="77777777">
      <w:pPr>
        <w:spacing w:after="160" w:line="259" w:lineRule="auto"/>
        <w:rPr>
          <w:rFonts w:eastAsia="Calibri"/>
          <w:bCs/>
          <w:color w:val="000000"/>
          <w:szCs w:val="26"/>
        </w:rPr>
      </w:pPr>
      <w:r w:rsidRPr="00CB6E46">
        <w:rPr>
          <w:rFonts w:eastAsia="Calibri"/>
          <w:bCs/>
          <w:color w:val="000000"/>
          <w:szCs w:val="26"/>
        </w:rPr>
        <w:t>• Evidence Retention</w:t>
      </w:r>
    </w:p>
    <w:p w:rsidRPr="00CB6E46" w:rsidR="00713774" w:rsidP="00713774" w:rsidRDefault="00713774" w14:paraId="495A45CA" w14:textId="57954E45">
      <w:pPr>
        <w:spacing w:after="160" w:line="259" w:lineRule="auto"/>
        <w:rPr>
          <w:rFonts w:eastAsia="Calibri"/>
          <w:bCs/>
          <w:color w:val="000000"/>
          <w:szCs w:val="26"/>
        </w:rPr>
      </w:pPr>
      <w:r w:rsidRPr="00CB6E46">
        <w:rPr>
          <w:rFonts w:eastAsia="Calibri"/>
          <w:bCs/>
          <w:color w:val="000000"/>
          <w:szCs w:val="26"/>
        </w:rPr>
        <w:t>These three components can be reviewed for the Reliability Standards in NERC petitions in FERC’s eLibrary system (</w:t>
      </w:r>
      <w:r w:rsidRPr="00CB6E46">
        <w:rPr>
          <w:rFonts w:eastAsia="Calibri"/>
          <w:bCs/>
          <w:i/>
          <w:iCs/>
          <w:color w:val="000000"/>
          <w:szCs w:val="26"/>
        </w:rPr>
        <w:t>http://www.ferc.gov/docs-filing/elibrary.asp</w:t>
      </w:r>
      <w:r w:rsidRPr="00CB6E46">
        <w:rPr>
          <w:rFonts w:eastAsia="Calibri"/>
          <w:bCs/>
          <w:color w:val="000000"/>
          <w:szCs w:val="26"/>
        </w:rPr>
        <w:t>) or on NERC’s own website (</w:t>
      </w:r>
      <w:r w:rsidRPr="00CB6E46">
        <w:rPr>
          <w:rFonts w:eastAsia="Calibri"/>
          <w:bCs/>
          <w:i/>
          <w:iCs/>
          <w:color w:val="000000"/>
          <w:szCs w:val="26"/>
        </w:rPr>
        <w:t>www.nerc.com</w:t>
      </w:r>
      <w:r w:rsidRPr="00CB6E46">
        <w:rPr>
          <w:rFonts w:eastAsia="Calibri"/>
          <w:bCs/>
          <w:color w:val="000000"/>
          <w:szCs w:val="26"/>
        </w:rPr>
        <w:t>).</w:t>
      </w:r>
    </w:p>
    <w:p w:rsidRPr="00CB6E46" w:rsidR="00E0325B" w:rsidP="00E0325B" w:rsidRDefault="00E0325B" w14:paraId="1EF0F1F0" w14:textId="525F4A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szCs w:val="26"/>
        </w:rPr>
      </w:pPr>
      <w:r w:rsidRPr="00CB6E46">
        <w:rPr>
          <w:rFonts w:eastAsia="Calibri"/>
          <w:i/>
          <w:szCs w:val="26"/>
        </w:rPr>
        <w:t xml:space="preserve">Type of Respondents: </w:t>
      </w:r>
      <w:r w:rsidRPr="00CB6E46">
        <w:rPr>
          <w:rFonts w:eastAsia="Calibri"/>
          <w:szCs w:val="26"/>
        </w:rPr>
        <w:t xml:space="preserve">Generator </w:t>
      </w:r>
      <w:r w:rsidRPr="00CB6E46">
        <w:rPr>
          <w:szCs w:val="26"/>
        </w:rPr>
        <w:t xml:space="preserve">owners, </w:t>
      </w:r>
      <w:r w:rsidRPr="00CB6E46" w:rsidR="00787C4A">
        <w:rPr>
          <w:szCs w:val="26"/>
        </w:rPr>
        <w:t>P</w:t>
      </w:r>
      <w:r w:rsidRPr="00CB6E46">
        <w:rPr>
          <w:szCs w:val="26"/>
        </w:rPr>
        <w:t xml:space="preserve">lanning coordinators, </w:t>
      </w:r>
      <w:r w:rsidRPr="00CB6E46" w:rsidR="00787C4A">
        <w:rPr>
          <w:szCs w:val="26"/>
        </w:rPr>
        <w:t>D</w:t>
      </w:r>
      <w:r w:rsidRPr="00CB6E46">
        <w:rPr>
          <w:szCs w:val="26"/>
        </w:rPr>
        <w:t xml:space="preserve">istribution providers, </w:t>
      </w:r>
      <w:r w:rsidRPr="00CB6E46" w:rsidR="003C74FD">
        <w:rPr>
          <w:bCs/>
          <w:szCs w:val="26"/>
        </w:rPr>
        <w:t xml:space="preserve">UFLS -only Distribution Providers, </w:t>
      </w:r>
      <w:r w:rsidRPr="00CB6E46">
        <w:rPr>
          <w:szCs w:val="26"/>
        </w:rPr>
        <w:t>and transmission owners in the Northeast Power Coordinating Council (NPCC) Region.</w:t>
      </w:r>
    </w:p>
    <w:p w:rsidRPr="00CB6E46" w:rsidR="00E0325B" w:rsidP="00E0325B" w:rsidRDefault="00E0325B" w14:paraId="322A1AEC" w14:textId="0342E3DD">
      <w:pPr>
        <w:autoSpaceDE w:val="0"/>
        <w:autoSpaceDN w:val="0"/>
        <w:adjustRightInd w:val="0"/>
        <w:spacing w:line="480" w:lineRule="auto"/>
        <w:rPr>
          <w:szCs w:val="26"/>
        </w:rPr>
      </w:pPr>
      <w:r w:rsidRPr="00CB6E46">
        <w:rPr>
          <w:i/>
          <w:szCs w:val="26"/>
        </w:rPr>
        <w:t>Estimate of Annual Burden:</w:t>
      </w:r>
      <w:r w:rsidRPr="00CB6E46">
        <w:rPr>
          <w:b/>
          <w:i/>
          <w:szCs w:val="26"/>
          <w:vertAlign w:val="superscript"/>
        </w:rPr>
        <w:footnoteReference w:id="4"/>
      </w:r>
      <w:r w:rsidRPr="00CB6E46">
        <w:rPr>
          <w:i/>
          <w:szCs w:val="26"/>
        </w:rPr>
        <w:t xml:space="preserve"> </w:t>
      </w:r>
      <w:r w:rsidRPr="00CB6E46">
        <w:rPr>
          <w:szCs w:val="26"/>
        </w:rPr>
        <w:t xml:space="preserve">Our estimates are based on the NERC Compliance Registry Summary of Entities as of </w:t>
      </w:r>
      <w:r w:rsidRPr="00CB6E46" w:rsidR="00541FE0">
        <w:rPr>
          <w:szCs w:val="26"/>
        </w:rPr>
        <w:t>February 5, 2021</w:t>
      </w:r>
      <w:r w:rsidRPr="00CB6E46">
        <w:rPr>
          <w:szCs w:val="26"/>
        </w:rPr>
        <w:t xml:space="preserve">.  According to the NERC compliance registry, and Functions as of, which indicates there are registered as GO, PC, DP and TO </w:t>
      </w:r>
      <w:r w:rsidRPr="00CB6E46">
        <w:rPr>
          <w:szCs w:val="26"/>
        </w:rPr>
        <w:lastRenderedPageBreak/>
        <w:t xml:space="preserve">entities.  The individual burden estimates are based on the time needed to gather data, run studies, and analyze study results to design or update the underfrequency load shedding programs.  Additionally, documentation and the review of underfrequency load shedding </w:t>
      </w:r>
      <w:r w:rsidRPr="00CB6E46" w:rsidR="002D40AA">
        <w:rPr>
          <w:szCs w:val="26"/>
        </w:rPr>
        <w:t xml:space="preserve">(UFLS) </w:t>
      </w:r>
      <w:r w:rsidRPr="00CB6E46">
        <w:rPr>
          <w:szCs w:val="26"/>
        </w:rPr>
        <w:t xml:space="preserve">program results by supervisors and management is included in the administrative estimations.  These are consistent with estimates for similar tasks in other Commission approved standards.  </w:t>
      </w:r>
    </w:p>
    <w:p w:rsidRPr="00CB6E46" w:rsidR="00DD0014" w:rsidP="00DD0014" w:rsidRDefault="00DD0014" w14:paraId="64F4A87B" w14:textId="03EEE04F">
      <w:pPr>
        <w:spacing w:line="480" w:lineRule="auto"/>
        <w:rPr>
          <w:szCs w:val="26"/>
        </w:rPr>
      </w:pPr>
      <w:r w:rsidRPr="00CB6E46">
        <w:rPr>
          <w:b/>
          <w:bCs/>
          <w:szCs w:val="26"/>
          <w:u w:val="single"/>
        </w:rPr>
        <w:t>RD20-4</w:t>
      </w:r>
      <w:r w:rsidRPr="00CB6E46" w:rsidR="008E778B">
        <w:rPr>
          <w:b/>
          <w:bCs/>
          <w:szCs w:val="26"/>
          <w:u w:val="single"/>
        </w:rPr>
        <w:t xml:space="preserve"> (PRC-006-4)</w:t>
      </w:r>
      <w:r w:rsidRPr="00CB6E46">
        <w:rPr>
          <w:szCs w:val="26"/>
        </w:rPr>
        <w:t>:</w:t>
      </w:r>
    </w:p>
    <w:p w:rsidRPr="00CB6E46" w:rsidR="00DD0014" w:rsidP="004B2F7A" w:rsidRDefault="00DD0014" w14:paraId="18F066A1" w14:textId="66A041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B6E46">
        <w:rPr>
          <w:szCs w:val="26"/>
        </w:rPr>
        <w:t>The revisions in the proposed Reliability Standards will align these standards with the previously</w:t>
      </w:r>
      <w:r w:rsidRPr="00CB6E46" w:rsidR="002D40AA">
        <w:rPr>
          <w:szCs w:val="26"/>
        </w:rPr>
        <w:t xml:space="preserve"> </w:t>
      </w:r>
      <w:r w:rsidRPr="00CB6E46">
        <w:rPr>
          <w:szCs w:val="26"/>
        </w:rPr>
        <w:t>approved changes to the NERC registration criteria</w:t>
      </w:r>
      <w:r w:rsidRPr="00CB6E46">
        <w:rPr>
          <w:b/>
          <w:szCs w:val="26"/>
          <w:vertAlign w:val="superscript"/>
        </w:rPr>
        <w:footnoteReference w:id="5"/>
      </w:r>
      <w:r w:rsidRPr="00CB6E46">
        <w:rPr>
          <w:szCs w:val="26"/>
        </w:rPr>
        <w:t xml:space="preserve"> by removing reference to entities</w:t>
      </w:r>
      <w:r w:rsidRPr="00CB6E46">
        <w:rPr>
          <w:b/>
          <w:szCs w:val="26"/>
          <w:vertAlign w:val="superscript"/>
        </w:rPr>
        <w:footnoteReference w:id="6"/>
      </w:r>
      <w:r w:rsidRPr="00CB6E46">
        <w:rPr>
          <w:szCs w:val="26"/>
        </w:rPr>
        <w:t xml:space="preserve"> that are no longer registered with NERC.  In proposed Reliability Standard PRC-006-4, NERC adds the UFLS-only Distribution Provider as an applicable entity.  In two instances, NERC has proposed changes that will promote consistent use of the term Planning Coordinator across the Reliability Standards.</w:t>
      </w:r>
      <w:r w:rsidRPr="00CB6E46">
        <w:rPr>
          <w:b/>
          <w:szCs w:val="26"/>
          <w:vertAlign w:val="superscript"/>
        </w:rPr>
        <w:footnoteReference w:id="7"/>
      </w:r>
    </w:p>
    <w:p w:rsidRPr="00CB6E46" w:rsidR="00DD0014" w:rsidP="00DD0014" w:rsidRDefault="00DD0014" w14:paraId="599DF0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Pr="00CB6E46" w:rsidR="00DD0014" w:rsidP="00DD0014" w:rsidRDefault="00DD0014" w14:paraId="1B14B9D5" w14:textId="0A42B3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CB6E46">
        <w:rPr>
          <w:szCs w:val="26"/>
        </w:rPr>
        <w:t>The Commission’s request to OMB will reflect the following:</w:t>
      </w:r>
    </w:p>
    <w:p w:rsidRPr="00CB6E46" w:rsidR="00DD0014" w:rsidP="00DD0014" w:rsidRDefault="00DD0014" w14:paraId="0529EA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Pr="00CB6E46" w:rsidR="004B2F7A" w:rsidP="004B2F7A" w:rsidRDefault="00DD0014" w14:paraId="20D5D6E6" w14:textId="2CF9B9E7">
      <w:pPr>
        <w:numPr>
          <w:ilvl w:val="0"/>
          <w:numId w:val="7"/>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contextualSpacing/>
        <w:rPr>
          <w:szCs w:val="26"/>
        </w:rPr>
      </w:pPr>
      <w:r w:rsidRPr="00CB6E46">
        <w:rPr>
          <w:szCs w:val="26"/>
        </w:rPr>
        <w:t xml:space="preserve">Addition </w:t>
      </w:r>
      <w:r w:rsidRPr="00CB6E46" w:rsidR="002D40AA">
        <w:rPr>
          <w:szCs w:val="26"/>
        </w:rPr>
        <w:t xml:space="preserve">to </w:t>
      </w:r>
      <w:r w:rsidRPr="00CB6E46">
        <w:rPr>
          <w:szCs w:val="26"/>
        </w:rPr>
        <w:t xml:space="preserve">the burden associated with UFLS-only distribution providers to proposed </w:t>
      </w:r>
      <w:r w:rsidRPr="00CB6E46" w:rsidR="008E778B">
        <w:rPr>
          <w:szCs w:val="26"/>
        </w:rPr>
        <w:t xml:space="preserve">(in RD-20-4) </w:t>
      </w:r>
      <w:r w:rsidRPr="00CB6E46">
        <w:rPr>
          <w:szCs w:val="26"/>
        </w:rPr>
        <w:t>Reliability Standard PRC-006-</w:t>
      </w:r>
      <w:r w:rsidRPr="00CB6E46" w:rsidR="00332873">
        <w:rPr>
          <w:szCs w:val="26"/>
        </w:rPr>
        <w:t>4</w:t>
      </w:r>
      <w:r w:rsidRPr="00CB6E46">
        <w:rPr>
          <w:szCs w:val="26"/>
        </w:rPr>
        <w:t>.</w:t>
      </w:r>
      <w:r w:rsidRPr="00CB6E46">
        <w:rPr>
          <w:b/>
          <w:szCs w:val="26"/>
          <w:vertAlign w:val="superscript"/>
        </w:rPr>
        <w:footnoteReference w:id="8"/>
      </w:r>
      <w:r w:rsidRPr="00CB6E46">
        <w:rPr>
          <w:szCs w:val="26"/>
        </w:rPr>
        <w:t xml:space="preserve"> The petition states that the currently effective standard is applicable to planning coordinators, “UFLS entities” (which may include transmission owners and distribution </w:t>
      </w:r>
      <w:r w:rsidRPr="00CB6E46">
        <w:rPr>
          <w:szCs w:val="26"/>
        </w:rPr>
        <w:lastRenderedPageBreak/>
        <w:t>providers that own, operate, or control UFLS equipment), and transmission owners that own certain elements. In proposed Reliability Standard PRC-006-</w:t>
      </w:r>
      <w:r w:rsidRPr="00CB6E46" w:rsidR="00332873">
        <w:rPr>
          <w:szCs w:val="26"/>
        </w:rPr>
        <w:t>4</w:t>
      </w:r>
      <w:r w:rsidRPr="00CB6E46">
        <w:rPr>
          <w:szCs w:val="26"/>
        </w:rPr>
        <w:t>, NERC proposes to add the UFLS-only distribution provider as an applicable UFLS entity.</w:t>
      </w:r>
      <w:r w:rsidRPr="00CB6E46">
        <w:rPr>
          <w:b/>
          <w:szCs w:val="26"/>
          <w:vertAlign w:val="superscript"/>
        </w:rPr>
        <w:footnoteReference w:id="9"/>
      </w:r>
    </w:p>
    <w:p w:rsidRPr="00CB6E46" w:rsidR="00DD0014" w:rsidP="004B2F7A" w:rsidRDefault="008E778B" w14:paraId="1DE40276" w14:textId="1ED85219">
      <w:pPr>
        <w:numPr>
          <w:ilvl w:val="0"/>
          <w:numId w:val="7"/>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contextualSpacing/>
        <w:rPr>
          <w:szCs w:val="26"/>
        </w:rPr>
      </w:pPr>
      <w:r w:rsidRPr="00CB6E46">
        <w:rPr>
          <w:szCs w:val="26"/>
        </w:rPr>
        <w:t xml:space="preserve">Current, </w:t>
      </w:r>
      <w:r w:rsidRPr="00CB6E46" w:rsidR="00DD0014">
        <w:rPr>
          <w:szCs w:val="26"/>
        </w:rPr>
        <w:t>Reliability Standard PRC-006-</w:t>
      </w:r>
      <w:r w:rsidRPr="00CB6E46">
        <w:rPr>
          <w:szCs w:val="26"/>
        </w:rPr>
        <w:t>5</w:t>
      </w:r>
      <w:r w:rsidRPr="00CB6E46">
        <w:rPr>
          <w:rStyle w:val="FootnoteReference"/>
        </w:rPr>
        <w:footnoteReference w:id="10"/>
      </w:r>
      <w:r w:rsidRPr="00CB6E46">
        <w:rPr>
          <w:szCs w:val="26"/>
        </w:rPr>
        <w:t xml:space="preserve"> (formerly PRC-006-</w:t>
      </w:r>
      <w:r w:rsidRPr="00CB6E46" w:rsidR="005404C9">
        <w:rPr>
          <w:szCs w:val="26"/>
        </w:rPr>
        <w:t>3</w:t>
      </w:r>
      <w:r w:rsidRPr="00CB6E46">
        <w:rPr>
          <w:szCs w:val="26"/>
        </w:rPr>
        <w:t>)</w:t>
      </w:r>
      <w:r w:rsidRPr="00CB6E46" w:rsidR="00DD0014">
        <w:rPr>
          <w:szCs w:val="26"/>
        </w:rPr>
        <w:t xml:space="preserve"> (Automatic Underfrequency Load Shedding)</w:t>
      </w:r>
    </w:p>
    <w:p w:rsidRPr="00CB6E46" w:rsidR="00DD0014" w:rsidP="004D3E45" w:rsidRDefault="004D3E45" w14:paraId="4F3F32E5" w14:textId="067850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szCs w:val="26"/>
        </w:rPr>
      </w:pPr>
      <w:r w:rsidRPr="00CB6E46">
        <w:rPr>
          <w:szCs w:val="26"/>
        </w:rPr>
        <w:t>Commission estimates the annual burden and cost for the information collection as follows:</w:t>
      </w:r>
    </w:p>
    <w:p w:rsidRPr="00797119" w:rsidR="004D3E45" w:rsidP="00DD0014" w:rsidRDefault="004D3E45" w14:paraId="1DD85E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ind w:left="1440"/>
        <w:contextualSpacing/>
        <w:rPr>
          <w:sz w:val="24"/>
        </w:rPr>
      </w:pPr>
    </w:p>
    <w:tbl>
      <w:tblPr>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86"/>
        <w:gridCol w:w="1370"/>
        <w:gridCol w:w="1261"/>
        <w:gridCol w:w="1261"/>
        <w:gridCol w:w="1351"/>
        <w:gridCol w:w="2161"/>
      </w:tblGrid>
      <w:tr w:rsidRPr="00797119" w:rsidR="00DD0014" w:rsidTr="004C59FC" w14:paraId="2CC1470F" w14:textId="77777777">
        <w:trPr>
          <w:cantSplit/>
          <w:trHeight w:val="299"/>
          <w:jc w:val="center"/>
        </w:trPr>
        <w:tc>
          <w:tcPr>
            <w:tcW w:w="9090" w:type="dxa"/>
            <w:gridSpan w:val="6"/>
            <w:shd w:val="pct10" w:color="auto" w:fill="auto"/>
            <w:vAlign w:val="bottom"/>
          </w:tcPr>
          <w:p w:rsidRPr="00797119" w:rsidR="00DD0014" w:rsidP="0036481E" w:rsidRDefault="00DD0014" w14:paraId="469066B7" w14:textId="66D50FC4">
            <w:pPr>
              <w:jc w:val="center"/>
              <w:rPr>
                <w:rFonts w:eastAsia="Calibri"/>
                <w:sz w:val="24"/>
              </w:rPr>
            </w:pPr>
            <w:r w:rsidRPr="00797119">
              <w:rPr>
                <w:rFonts w:eastAsia="Calibri"/>
                <w:b/>
                <w:bCs/>
                <w:iCs/>
                <w:sz w:val="24"/>
              </w:rPr>
              <w:t xml:space="preserve">RD20-4 Net </w:t>
            </w:r>
            <w:r w:rsidR="009644D3">
              <w:rPr>
                <w:rFonts w:eastAsia="Calibri"/>
                <w:b/>
                <w:bCs/>
                <w:iCs/>
                <w:sz w:val="24"/>
              </w:rPr>
              <w:t>Changes</w:t>
            </w:r>
            <w:r w:rsidRPr="00797119">
              <w:rPr>
                <w:rFonts w:eastAsia="Calibri"/>
                <w:b/>
                <w:bCs/>
                <w:iCs/>
                <w:sz w:val="24"/>
              </w:rPr>
              <w:t xml:space="preserve"> for FERC-725G, OMB Control No. 1902-0252</w:t>
            </w:r>
          </w:p>
        </w:tc>
      </w:tr>
      <w:tr w:rsidRPr="00797119" w:rsidR="002D40AA" w:rsidTr="00217C1E" w14:paraId="1FADF126" w14:textId="4A34DE08">
        <w:trPr>
          <w:cantSplit/>
          <w:trHeight w:val="299"/>
          <w:jc w:val="center"/>
        </w:trPr>
        <w:tc>
          <w:tcPr>
            <w:tcW w:w="1686" w:type="dxa"/>
            <w:vAlign w:val="bottom"/>
          </w:tcPr>
          <w:p w:rsidRPr="00797119" w:rsidR="002D40AA" w:rsidP="00217C1E" w:rsidRDefault="002D40AA" w14:paraId="5B9F1045" w14:textId="77777777">
            <w:pPr>
              <w:jc w:val="right"/>
              <w:rPr>
                <w:b/>
                <w:sz w:val="24"/>
              </w:rPr>
            </w:pPr>
          </w:p>
          <w:p w:rsidRPr="004C59FC" w:rsidR="002D40AA" w:rsidP="00E16B7C" w:rsidRDefault="002D40AA" w14:paraId="795F149B" w14:textId="66D0721B">
            <w:pPr>
              <w:jc w:val="right"/>
              <w:rPr>
                <w:rFonts w:eastAsia="Calibri"/>
                <w:b/>
                <w:sz w:val="24"/>
              </w:rPr>
            </w:pPr>
            <w:r w:rsidRPr="004C59FC">
              <w:rPr>
                <w:rFonts w:eastAsia="Calibri"/>
                <w:b/>
                <w:sz w:val="24"/>
              </w:rPr>
              <w:t>PRC Regional Reliability Standards</w:t>
            </w:r>
          </w:p>
        </w:tc>
        <w:tc>
          <w:tcPr>
            <w:tcW w:w="1370" w:type="dxa"/>
            <w:shd w:val="clear" w:color="auto" w:fill="auto"/>
            <w:vAlign w:val="bottom"/>
          </w:tcPr>
          <w:p w:rsidRPr="00797119" w:rsidR="002D40AA" w:rsidP="002D40AA" w:rsidRDefault="002D40AA" w14:paraId="4FA67D50" w14:textId="2EDDC5BA">
            <w:pPr>
              <w:jc w:val="right"/>
              <w:rPr>
                <w:rFonts w:eastAsia="Calibri"/>
                <w:sz w:val="24"/>
              </w:rPr>
            </w:pPr>
            <w:r w:rsidRPr="00797119">
              <w:rPr>
                <w:rFonts w:eastAsia="Calibri"/>
                <w:b/>
                <w:sz w:val="24"/>
              </w:rPr>
              <w:t>Average Annual Number</w:t>
            </w:r>
            <w:r w:rsidRPr="00797119">
              <w:rPr>
                <w:sz w:val="24"/>
                <w:vertAlign w:val="superscript"/>
              </w:rPr>
              <w:t>1</w:t>
            </w:r>
            <w:r w:rsidRPr="00797119">
              <w:rPr>
                <w:rFonts w:eastAsia="Calibri"/>
                <w:b/>
                <w:sz w:val="24"/>
              </w:rPr>
              <w:t xml:space="preserve"> of Respondents</w:t>
            </w:r>
            <w:r w:rsidRPr="00797119">
              <w:rPr>
                <w:rFonts w:eastAsia="Calibri"/>
                <w:b/>
                <w:sz w:val="24"/>
              </w:rPr>
              <w:br/>
            </w:r>
            <w:r w:rsidRPr="004C59FC">
              <w:rPr>
                <w:rFonts w:eastAsia="Calibri"/>
                <w:b/>
                <w:bCs/>
                <w:sz w:val="24"/>
              </w:rPr>
              <w:t>(1)</w:t>
            </w:r>
          </w:p>
        </w:tc>
        <w:tc>
          <w:tcPr>
            <w:tcW w:w="1261" w:type="dxa"/>
            <w:shd w:val="clear" w:color="auto" w:fill="auto"/>
            <w:vAlign w:val="bottom"/>
          </w:tcPr>
          <w:p w:rsidRPr="00797119" w:rsidR="002D40AA" w:rsidP="004C59FC" w:rsidRDefault="002D40AA" w14:paraId="4771113E" w14:textId="77777777">
            <w:pPr>
              <w:jc w:val="right"/>
              <w:rPr>
                <w:rFonts w:eastAsia="Calibri"/>
                <w:b/>
                <w:sz w:val="24"/>
              </w:rPr>
            </w:pPr>
            <w:r w:rsidRPr="00797119">
              <w:rPr>
                <w:rFonts w:eastAsia="Calibri"/>
                <w:b/>
                <w:sz w:val="24"/>
              </w:rPr>
              <w:t>Average Annual Number of Responses per Respondent</w:t>
            </w:r>
          </w:p>
          <w:p w:rsidRPr="00797119" w:rsidR="002D40AA" w:rsidP="002D40AA" w:rsidRDefault="002D40AA" w14:paraId="41223B68" w14:textId="035D9037">
            <w:pPr>
              <w:jc w:val="right"/>
              <w:rPr>
                <w:rFonts w:eastAsia="Calibri"/>
                <w:sz w:val="24"/>
              </w:rPr>
            </w:pPr>
            <w:r w:rsidRPr="00797119">
              <w:rPr>
                <w:rFonts w:eastAsia="Calibri"/>
                <w:b/>
                <w:sz w:val="24"/>
              </w:rPr>
              <w:t>(2)</w:t>
            </w:r>
          </w:p>
        </w:tc>
        <w:tc>
          <w:tcPr>
            <w:tcW w:w="1261" w:type="dxa"/>
            <w:shd w:val="clear" w:color="auto" w:fill="auto"/>
            <w:vAlign w:val="bottom"/>
          </w:tcPr>
          <w:p w:rsidRPr="00797119" w:rsidR="002D40AA" w:rsidP="002D40AA" w:rsidRDefault="002D40AA" w14:paraId="594DDA59" w14:textId="3A483361">
            <w:pPr>
              <w:jc w:val="right"/>
              <w:rPr>
                <w:rFonts w:eastAsia="Calibri"/>
                <w:sz w:val="24"/>
              </w:rPr>
            </w:pPr>
            <w:r w:rsidRPr="00797119">
              <w:rPr>
                <w:rFonts w:eastAsia="Calibri"/>
                <w:b/>
                <w:sz w:val="24"/>
              </w:rPr>
              <w:t>Average Annual Total Number of Responses (1)*(2)=(3</w:t>
            </w:r>
            <w:r>
              <w:rPr>
                <w:rFonts w:eastAsia="Calibri"/>
                <w:b/>
                <w:sz w:val="24"/>
              </w:rPr>
              <w:t>)</w:t>
            </w:r>
          </w:p>
        </w:tc>
        <w:tc>
          <w:tcPr>
            <w:tcW w:w="1351" w:type="dxa"/>
            <w:shd w:val="clear" w:color="auto" w:fill="auto"/>
            <w:vAlign w:val="bottom"/>
          </w:tcPr>
          <w:p w:rsidRPr="00797119" w:rsidR="002D40AA" w:rsidP="004C59FC" w:rsidRDefault="002D40AA" w14:paraId="2299E0D6" w14:textId="43335875">
            <w:pPr>
              <w:jc w:val="right"/>
              <w:rPr>
                <w:rFonts w:eastAsia="Calibri"/>
                <w:b/>
                <w:sz w:val="24"/>
              </w:rPr>
            </w:pPr>
            <w:r w:rsidRPr="00797119">
              <w:rPr>
                <w:rFonts w:eastAsia="Calibri"/>
                <w:b/>
                <w:sz w:val="24"/>
              </w:rPr>
              <w:t>Average Burden Hrs. Per Response</w:t>
            </w:r>
          </w:p>
          <w:p w:rsidRPr="00797119" w:rsidR="002D40AA" w:rsidP="002D40AA" w:rsidRDefault="002D40AA" w14:paraId="1ABE72CF" w14:textId="08E4E544">
            <w:pPr>
              <w:jc w:val="right"/>
              <w:rPr>
                <w:rFonts w:eastAsia="Calibri"/>
                <w:sz w:val="24"/>
              </w:rPr>
            </w:pPr>
            <w:r w:rsidRPr="00797119">
              <w:rPr>
                <w:rFonts w:eastAsia="Calibri"/>
                <w:b/>
                <w:sz w:val="24"/>
              </w:rPr>
              <w:t>(4)</w:t>
            </w:r>
          </w:p>
        </w:tc>
        <w:tc>
          <w:tcPr>
            <w:tcW w:w="2161" w:type="dxa"/>
            <w:shd w:val="clear" w:color="auto" w:fill="auto"/>
            <w:vAlign w:val="bottom"/>
          </w:tcPr>
          <w:p w:rsidRPr="00797119" w:rsidR="002D40AA" w:rsidP="002D40AA" w:rsidRDefault="002D40AA" w14:paraId="174726F3" w14:textId="2A396C14">
            <w:pPr>
              <w:jc w:val="right"/>
              <w:rPr>
                <w:rFonts w:eastAsia="Calibri"/>
                <w:sz w:val="24"/>
              </w:rPr>
            </w:pPr>
            <w:r w:rsidRPr="00797119">
              <w:rPr>
                <w:rFonts w:eastAsia="Calibri"/>
                <w:b/>
                <w:sz w:val="24"/>
              </w:rPr>
              <w:t xml:space="preserve">Total Annual Burden Hours </w:t>
            </w:r>
          </w:p>
        </w:tc>
      </w:tr>
      <w:tr w:rsidRPr="002D5670" w:rsidR="004C59FC" w:rsidTr="004C59FC" w14:paraId="4BAF8E26" w14:textId="77777777">
        <w:trPr>
          <w:cantSplit/>
          <w:trHeight w:val="299"/>
          <w:jc w:val="center"/>
        </w:trPr>
        <w:tc>
          <w:tcPr>
            <w:tcW w:w="1686" w:type="dxa"/>
            <w:vAlign w:val="bottom"/>
          </w:tcPr>
          <w:p w:rsidRPr="002D5670" w:rsidR="004C59FC" w:rsidP="007C7DEB" w:rsidRDefault="004C59FC" w14:paraId="2A4ECD03" w14:textId="77777777">
            <w:pPr>
              <w:rPr>
                <w:rFonts w:eastAsia="Calibri"/>
                <w:bCs/>
              </w:rPr>
            </w:pPr>
            <w:r w:rsidRPr="002D5670">
              <w:rPr>
                <w:rFonts w:eastAsia="Calibri"/>
                <w:bCs/>
              </w:rPr>
              <w:t>PRC-006-4 (Automatic Underfrequency Load Shedding)</w:t>
            </w:r>
          </w:p>
          <w:p w:rsidRPr="002D5670" w:rsidR="004C59FC" w:rsidP="007C7DEB" w:rsidRDefault="004C59FC" w14:paraId="2C1BAF74" w14:textId="77777777">
            <w:pPr>
              <w:rPr>
                <w:rFonts w:eastAsia="Calibri"/>
                <w:bCs/>
              </w:rPr>
            </w:pPr>
            <w:r w:rsidRPr="002D5670">
              <w:rPr>
                <w:rFonts w:eastAsia="Calibri"/>
                <w:bCs/>
              </w:rPr>
              <w:t>Reporting Requirement—program decrease</w:t>
            </w:r>
            <w:r w:rsidRPr="002D5670">
              <w:rPr>
                <w:rFonts w:eastAsia="Calibri"/>
                <w:b/>
                <w:bCs/>
                <w:szCs w:val="26"/>
                <w:vertAlign w:val="superscript"/>
              </w:rPr>
              <w:footnoteReference w:id="11"/>
            </w:r>
          </w:p>
        </w:tc>
        <w:tc>
          <w:tcPr>
            <w:tcW w:w="1370" w:type="dxa"/>
            <w:shd w:val="clear" w:color="auto" w:fill="auto"/>
            <w:vAlign w:val="bottom"/>
          </w:tcPr>
          <w:p w:rsidRPr="002D5670" w:rsidR="004C59FC" w:rsidP="007C7DEB" w:rsidRDefault="004C59FC" w14:paraId="3D26B3EE" w14:textId="77777777">
            <w:pPr>
              <w:jc w:val="right"/>
              <w:rPr>
                <w:rFonts w:eastAsia="Calibri"/>
              </w:rPr>
            </w:pPr>
            <w:r w:rsidRPr="002D5670">
              <w:rPr>
                <w:rFonts w:eastAsia="Calibri"/>
              </w:rPr>
              <w:t>-80 (TO &amp; DP)</w:t>
            </w:r>
          </w:p>
        </w:tc>
        <w:tc>
          <w:tcPr>
            <w:tcW w:w="1261" w:type="dxa"/>
            <w:shd w:val="clear" w:color="auto" w:fill="auto"/>
            <w:vAlign w:val="bottom"/>
          </w:tcPr>
          <w:p w:rsidRPr="002D5670" w:rsidR="004C59FC" w:rsidP="007C7DEB" w:rsidRDefault="004C59FC" w14:paraId="10D1938C" w14:textId="77777777">
            <w:pPr>
              <w:jc w:val="right"/>
              <w:rPr>
                <w:rFonts w:eastAsia="Calibri"/>
              </w:rPr>
            </w:pPr>
            <w:r w:rsidRPr="002D5670">
              <w:rPr>
                <w:rFonts w:eastAsia="Calibri"/>
              </w:rPr>
              <w:t>1</w:t>
            </w:r>
          </w:p>
        </w:tc>
        <w:tc>
          <w:tcPr>
            <w:tcW w:w="1261" w:type="dxa"/>
            <w:shd w:val="clear" w:color="auto" w:fill="auto"/>
            <w:vAlign w:val="bottom"/>
          </w:tcPr>
          <w:p w:rsidRPr="002D5670" w:rsidR="004C59FC" w:rsidP="007C7DEB" w:rsidRDefault="004C59FC" w14:paraId="53160C6B" w14:textId="77777777">
            <w:pPr>
              <w:jc w:val="right"/>
              <w:rPr>
                <w:rFonts w:eastAsia="Calibri"/>
              </w:rPr>
            </w:pPr>
            <w:r w:rsidRPr="002D5670">
              <w:rPr>
                <w:rFonts w:eastAsia="Calibri"/>
              </w:rPr>
              <w:t>-80</w:t>
            </w:r>
          </w:p>
        </w:tc>
        <w:tc>
          <w:tcPr>
            <w:tcW w:w="1351" w:type="dxa"/>
            <w:shd w:val="clear" w:color="auto" w:fill="auto"/>
            <w:vAlign w:val="bottom"/>
          </w:tcPr>
          <w:p w:rsidRPr="002D5670" w:rsidR="004C59FC" w:rsidP="007C7DEB" w:rsidRDefault="004C59FC" w14:paraId="0FE7454F" w14:textId="77777777">
            <w:pPr>
              <w:jc w:val="right"/>
              <w:rPr>
                <w:rFonts w:eastAsia="Calibri"/>
              </w:rPr>
            </w:pPr>
            <w:r w:rsidRPr="002D5670">
              <w:rPr>
                <w:rFonts w:eastAsia="Calibri"/>
              </w:rPr>
              <w:t>47 hrs.</w:t>
            </w:r>
          </w:p>
        </w:tc>
        <w:tc>
          <w:tcPr>
            <w:tcW w:w="2161" w:type="dxa"/>
            <w:shd w:val="clear" w:color="auto" w:fill="auto"/>
            <w:vAlign w:val="bottom"/>
          </w:tcPr>
          <w:p w:rsidRPr="002D5670" w:rsidR="004C59FC" w:rsidP="007C7DEB" w:rsidRDefault="004C59FC" w14:paraId="365A9269" w14:textId="77777777">
            <w:pPr>
              <w:jc w:val="right"/>
              <w:rPr>
                <w:rFonts w:eastAsia="Calibri"/>
              </w:rPr>
            </w:pPr>
            <w:r w:rsidRPr="002D5670">
              <w:rPr>
                <w:rFonts w:eastAsia="Calibri"/>
              </w:rPr>
              <w:t>-3,760 hrs.;</w:t>
            </w:r>
          </w:p>
        </w:tc>
      </w:tr>
      <w:tr w:rsidRPr="002D5670" w:rsidR="004C59FC" w:rsidTr="004C59FC" w14:paraId="32B95E07" w14:textId="77777777">
        <w:trPr>
          <w:cantSplit/>
          <w:trHeight w:val="299"/>
          <w:jc w:val="center"/>
        </w:trPr>
        <w:tc>
          <w:tcPr>
            <w:tcW w:w="1686" w:type="dxa"/>
            <w:vAlign w:val="bottom"/>
          </w:tcPr>
          <w:p w:rsidRPr="002D5670" w:rsidR="004C59FC" w:rsidP="007C7DEB" w:rsidRDefault="004C59FC" w14:paraId="28ED3700" w14:textId="77777777">
            <w:pPr>
              <w:rPr>
                <w:rFonts w:eastAsia="Calibri"/>
                <w:bCs/>
              </w:rPr>
            </w:pPr>
            <w:r w:rsidRPr="002D5670">
              <w:rPr>
                <w:rFonts w:eastAsia="Calibri"/>
                <w:bCs/>
              </w:rPr>
              <w:lastRenderedPageBreak/>
              <w:t>PRC-006-4 (Automatic Underfrequency Load Shedding)</w:t>
            </w:r>
          </w:p>
          <w:p w:rsidRPr="002D5670" w:rsidR="004C59FC" w:rsidP="007C7DEB" w:rsidRDefault="004C59FC" w14:paraId="2F63C3C2" w14:textId="2329D7D8">
            <w:pPr>
              <w:rPr>
                <w:rFonts w:eastAsia="Calibri"/>
                <w:bCs/>
              </w:rPr>
            </w:pPr>
            <w:r w:rsidRPr="002D5670">
              <w:rPr>
                <w:rFonts w:eastAsia="Calibri"/>
                <w:bCs/>
              </w:rPr>
              <w:t xml:space="preserve">Evidence Retention—program decrease </w:t>
            </w:r>
            <w:r w:rsidR="006A7BFE">
              <w:rPr>
                <w:rFonts w:eastAsia="Calibri"/>
                <w:b/>
                <w:bCs/>
                <w:szCs w:val="26"/>
                <w:vertAlign w:val="superscript"/>
              </w:rPr>
              <w:t>14</w:t>
            </w:r>
          </w:p>
        </w:tc>
        <w:tc>
          <w:tcPr>
            <w:tcW w:w="1370" w:type="dxa"/>
            <w:shd w:val="clear" w:color="auto" w:fill="auto"/>
            <w:vAlign w:val="bottom"/>
          </w:tcPr>
          <w:p w:rsidRPr="002D5670" w:rsidR="004C59FC" w:rsidP="007C7DEB" w:rsidRDefault="004C59FC" w14:paraId="2159AB44" w14:textId="77777777">
            <w:pPr>
              <w:jc w:val="right"/>
              <w:rPr>
                <w:rFonts w:eastAsia="Calibri"/>
              </w:rPr>
            </w:pPr>
            <w:r w:rsidRPr="002D5670">
              <w:rPr>
                <w:rFonts w:eastAsia="Calibri"/>
              </w:rPr>
              <w:t>-80 (TO &amp; DP)</w:t>
            </w:r>
          </w:p>
        </w:tc>
        <w:tc>
          <w:tcPr>
            <w:tcW w:w="1261" w:type="dxa"/>
            <w:shd w:val="clear" w:color="auto" w:fill="auto"/>
            <w:vAlign w:val="bottom"/>
          </w:tcPr>
          <w:p w:rsidRPr="002D5670" w:rsidR="004C59FC" w:rsidP="007C7DEB" w:rsidRDefault="004C59FC" w14:paraId="080C159D" w14:textId="77777777">
            <w:pPr>
              <w:jc w:val="right"/>
              <w:rPr>
                <w:rFonts w:eastAsia="Calibri"/>
              </w:rPr>
            </w:pPr>
            <w:r w:rsidRPr="002D5670">
              <w:rPr>
                <w:rFonts w:eastAsia="Calibri"/>
              </w:rPr>
              <w:t>1</w:t>
            </w:r>
          </w:p>
        </w:tc>
        <w:tc>
          <w:tcPr>
            <w:tcW w:w="1261" w:type="dxa"/>
            <w:shd w:val="clear" w:color="auto" w:fill="auto"/>
            <w:vAlign w:val="bottom"/>
          </w:tcPr>
          <w:p w:rsidRPr="002D5670" w:rsidR="004C59FC" w:rsidP="007C7DEB" w:rsidRDefault="004C59FC" w14:paraId="52A5ED91" w14:textId="77777777">
            <w:pPr>
              <w:jc w:val="right"/>
              <w:rPr>
                <w:rFonts w:eastAsia="Calibri"/>
              </w:rPr>
            </w:pPr>
            <w:r w:rsidRPr="002D5670">
              <w:rPr>
                <w:rFonts w:eastAsia="Calibri"/>
              </w:rPr>
              <w:t>-80</w:t>
            </w:r>
          </w:p>
        </w:tc>
        <w:tc>
          <w:tcPr>
            <w:tcW w:w="1351" w:type="dxa"/>
            <w:shd w:val="clear" w:color="auto" w:fill="auto"/>
            <w:vAlign w:val="bottom"/>
          </w:tcPr>
          <w:p w:rsidRPr="002D5670" w:rsidR="004C59FC" w:rsidP="007C7DEB" w:rsidRDefault="004C59FC" w14:paraId="4297C318" w14:textId="77777777">
            <w:pPr>
              <w:jc w:val="right"/>
              <w:rPr>
                <w:rFonts w:eastAsia="Calibri"/>
              </w:rPr>
            </w:pPr>
            <w:r w:rsidRPr="002D5670">
              <w:rPr>
                <w:rFonts w:eastAsia="Calibri"/>
              </w:rPr>
              <w:t>5 hrs.</w:t>
            </w:r>
          </w:p>
        </w:tc>
        <w:tc>
          <w:tcPr>
            <w:tcW w:w="2161" w:type="dxa"/>
            <w:shd w:val="clear" w:color="auto" w:fill="auto"/>
            <w:vAlign w:val="bottom"/>
          </w:tcPr>
          <w:p w:rsidRPr="002D5670" w:rsidR="004C59FC" w:rsidP="007C7DEB" w:rsidRDefault="004C59FC" w14:paraId="53244D61" w14:textId="77777777">
            <w:pPr>
              <w:jc w:val="right"/>
              <w:rPr>
                <w:rFonts w:eastAsia="Calibri"/>
              </w:rPr>
            </w:pPr>
            <w:r w:rsidRPr="002D5670">
              <w:rPr>
                <w:rFonts w:eastAsia="Calibri"/>
              </w:rPr>
              <w:t>-400 hrs.</w:t>
            </w:r>
          </w:p>
        </w:tc>
      </w:tr>
      <w:tr w:rsidRPr="002D5670" w:rsidR="004C59FC" w:rsidTr="004C59FC" w14:paraId="0BC16433" w14:textId="77777777">
        <w:trPr>
          <w:cantSplit/>
          <w:trHeight w:val="299"/>
          <w:jc w:val="center"/>
        </w:trPr>
        <w:tc>
          <w:tcPr>
            <w:tcW w:w="1686" w:type="dxa"/>
            <w:vAlign w:val="bottom"/>
          </w:tcPr>
          <w:p w:rsidRPr="002D5670" w:rsidR="004C59FC" w:rsidP="007C7DEB" w:rsidRDefault="004C59FC" w14:paraId="0C58F994" w14:textId="77777777">
            <w:pPr>
              <w:rPr>
                <w:rFonts w:eastAsia="Calibri"/>
                <w:bCs/>
              </w:rPr>
            </w:pPr>
            <w:r w:rsidRPr="002D5670">
              <w:rPr>
                <w:rFonts w:eastAsia="Calibri"/>
                <w:bCs/>
              </w:rPr>
              <w:t>PRC-006-4 (Automatic Underfrequency Load Shedding)</w:t>
            </w:r>
          </w:p>
          <w:p w:rsidRPr="002D5670" w:rsidR="004C59FC" w:rsidP="007C7DEB" w:rsidRDefault="004C59FC" w14:paraId="4C6B5DBC" w14:textId="77777777">
            <w:pPr>
              <w:rPr>
                <w:rFonts w:eastAsia="Calibri"/>
                <w:bCs/>
              </w:rPr>
            </w:pPr>
            <w:r w:rsidRPr="002D5670">
              <w:rPr>
                <w:rFonts w:eastAsia="Calibri"/>
                <w:bCs/>
              </w:rPr>
              <w:t>R1-R7, R11-R15</w:t>
            </w:r>
          </w:p>
          <w:p w:rsidRPr="002D5670" w:rsidR="004C59FC" w:rsidP="007C7DEB" w:rsidRDefault="004C59FC" w14:paraId="4DF7CD43" w14:textId="77777777">
            <w:pPr>
              <w:rPr>
                <w:rFonts w:eastAsia="Calibri"/>
                <w:bCs/>
              </w:rPr>
            </w:pPr>
            <w:r w:rsidRPr="002D5670">
              <w:rPr>
                <w:rFonts w:eastAsia="Calibri"/>
                <w:bCs/>
              </w:rPr>
              <w:t>Reporting Requirement—program increase &amp; clarification</w:t>
            </w:r>
            <w:r w:rsidRPr="002D5670">
              <w:rPr>
                <w:rFonts w:eastAsia="Calibri"/>
                <w:b/>
                <w:bCs/>
                <w:szCs w:val="26"/>
                <w:vertAlign w:val="superscript"/>
              </w:rPr>
              <w:footnoteReference w:id="12"/>
            </w:r>
          </w:p>
        </w:tc>
        <w:tc>
          <w:tcPr>
            <w:tcW w:w="1370" w:type="dxa"/>
            <w:shd w:val="clear" w:color="auto" w:fill="auto"/>
            <w:vAlign w:val="bottom"/>
          </w:tcPr>
          <w:p w:rsidRPr="002D5670" w:rsidR="004C59FC" w:rsidP="007C7DEB" w:rsidRDefault="004C59FC" w14:paraId="368A669F" w14:textId="77777777">
            <w:pPr>
              <w:jc w:val="right"/>
              <w:rPr>
                <w:rFonts w:eastAsia="Calibri"/>
              </w:rPr>
            </w:pPr>
            <w:r w:rsidRPr="002D5670">
              <w:rPr>
                <w:rFonts w:eastAsia="Calibri"/>
              </w:rPr>
              <w:t>64 (PC)</w:t>
            </w:r>
          </w:p>
        </w:tc>
        <w:tc>
          <w:tcPr>
            <w:tcW w:w="1261" w:type="dxa"/>
            <w:shd w:val="clear" w:color="auto" w:fill="auto"/>
            <w:vAlign w:val="bottom"/>
          </w:tcPr>
          <w:p w:rsidRPr="002D5670" w:rsidR="004C59FC" w:rsidP="007C7DEB" w:rsidRDefault="004C59FC" w14:paraId="768FAF16" w14:textId="77777777">
            <w:pPr>
              <w:jc w:val="right"/>
              <w:rPr>
                <w:rFonts w:eastAsia="Calibri"/>
              </w:rPr>
            </w:pPr>
            <w:r w:rsidRPr="002D5670">
              <w:rPr>
                <w:rFonts w:eastAsia="Calibri"/>
              </w:rPr>
              <w:t>1</w:t>
            </w:r>
          </w:p>
        </w:tc>
        <w:tc>
          <w:tcPr>
            <w:tcW w:w="1261" w:type="dxa"/>
            <w:shd w:val="clear" w:color="auto" w:fill="auto"/>
            <w:vAlign w:val="bottom"/>
          </w:tcPr>
          <w:p w:rsidRPr="002D5670" w:rsidR="004C59FC" w:rsidP="007C7DEB" w:rsidRDefault="004C59FC" w14:paraId="013CCA38" w14:textId="77777777">
            <w:pPr>
              <w:jc w:val="right"/>
              <w:rPr>
                <w:rFonts w:eastAsia="Calibri"/>
              </w:rPr>
            </w:pPr>
            <w:r w:rsidRPr="002D5670">
              <w:rPr>
                <w:rFonts w:eastAsia="Calibri"/>
              </w:rPr>
              <w:t>64</w:t>
            </w:r>
          </w:p>
        </w:tc>
        <w:tc>
          <w:tcPr>
            <w:tcW w:w="1351" w:type="dxa"/>
            <w:shd w:val="clear" w:color="auto" w:fill="auto"/>
            <w:vAlign w:val="bottom"/>
          </w:tcPr>
          <w:p w:rsidRPr="002D5670" w:rsidR="004C59FC" w:rsidP="007C7DEB" w:rsidRDefault="004C59FC" w14:paraId="14267720" w14:textId="77777777">
            <w:pPr>
              <w:jc w:val="right"/>
              <w:rPr>
                <w:rFonts w:eastAsia="Calibri"/>
              </w:rPr>
            </w:pPr>
            <w:r w:rsidRPr="002D5670">
              <w:rPr>
                <w:rFonts w:eastAsia="Calibri"/>
              </w:rPr>
              <w:t>47 hrs.;</w:t>
            </w:r>
          </w:p>
        </w:tc>
        <w:tc>
          <w:tcPr>
            <w:tcW w:w="2161" w:type="dxa"/>
            <w:shd w:val="clear" w:color="auto" w:fill="auto"/>
            <w:vAlign w:val="bottom"/>
          </w:tcPr>
          <w:p w:rsidRPr="002D5670" w:rsidR="004C59FC" w:rsidP="007C7DEB" w:rsidRDefault="004C59FC" w14:paraId="22B4C39F" w14:textId="77777777">
            <w:pPr>
              <w:jc w:val="right"/>
              <w:rPr>
                <w:rFonts w:eastAsia="Calibri"/>
              </w:rPr>
            </w:pPr>
            <w:r w:rsidRPr="002D5670">
              <w:rPr>
                <w:rFonts w:eastAsia="Calibri"/>
              </w:rPr>
              <w:t>3,008 hrs.;</w:t>
            </w:r>
          </w:p>
        </w:tc>
      </w:tr>
      <w:tr w:rsidRPr="002D5670" w:rsidR="004C59FC" w:rsidTr="004C59FC" w14:paraId="778FD34E" w14:textId="77777777">
        <w:trPr>
          <w:cantSplit/>
          <w:trHeight w:val="299"/>
          <w:jc w:val="center"/>
        </w:trPr>
        <w:tc>
          <w:tcPr>
            <w:tcW w:w="1686" w:type="dxa"/>
            <w:vAlign w:val="bottom"/>
          </w:tcPr>
          <w:p w:rsidRPr="002D5670" w:rsidR="004C59FC" w:rsidP="007C7DEB" w:rsidRDefault="004C59FC" w14:paraId="152DA18E" w14:textId="77777777">
            <w:pPr>
              <w:rPr>
                <w:rFonts w:eastAsia="Calibri"/>
                <w:bCs/>
              </w:rPr>
            </w:pPr>
            <w:r w:rsidRPr="002D5670">
              <w:rPr>
                <w:rFonts w:eastAsia="Calibri"/>
                <w:bCs/>
              </w:rPr>
              <w:lastRenderedPageBreak/>
              <w:t>PRC-006-4 (Automatic Underfrequency Load Shedding)</w:t>
            </w:r>
          </w:p>
          <w:p w:rsidRPr="002D5670" w:rsidR="004C59FC" w:rsidP="007C7DEB" w:rsidRDefault="004C59FC" w14:paraId="129B7614" w14:textId="77777777">
            <w:pPr>
              <w:rPr>
                <w:rFonts w:eastAsia="Calibri"/>
                <w:bCs/>
              </w:rPr>
            </w:pPr>
            <w:r w:rsidRPr="002D5670">
              <w:rPr>
                <w:rFonts w:eastAsia="Calibri"/>
                <w:bCs/>
              </w:rPr>
              <w:t>R1-R7, R11-R15</w:t>
            </w:r>
          </w:p>
          <w:p w:rsidRPr="002D5670" w:rsidR="004C59FC" w:rsidP="007C7DEB" w:rsidRDefault="004C59FC" w14:paraId="710DA2E9" w14:textId="1C8EEA27">
            <w:pPr>
              <w:rPr>
                <w:rFonts w:eastAsia="Calibri"/>
                <w:bCs/>
              </w:rPr>
            </w:pPr>
            <w:r w:rsidRPr="002D5670">
              <w:rPr>
                <w:rFonts w:eastAsia="Calibri"/>
                <w:bCs/>
              </w:rPr>
              <w:t>Evidence Retention-program increase &amp; clarification</w:t>
            </w:r>
            <w:r w:rsidR="006A7BFE">
              <w:rPr>
                <w:rFonts w:eastAsia="Calibri"/>
                <w:bCs/>
                <w:vertAlign w:val="superscript"/>
              </w:rPr>
              <w:t>14</w:t>
            </w:r>
          </w:p>
        </w:tc>
        <w:tc>
          <w:tcPr>
            <w:tcW w:w="1370" w:type="dxa"/>
            <w:shd w:val="clear" w:color="auto" w:fill="auto"/>
            <w:vAlign w:val="bottom"/>
          </w:tcPr>
          <w:p w:rsidRPr="002D5670" w:rsidR="004C59FC" w:rsidP="007C7DEB" w:rsidRDefault="004C59FC" w14:paraId="332FAB56" w14:textId="77777777">
            <w:pPr>
              <w:jc w:val="right"/>
              <w:rPr>
                <w:rFonts w:eastAsia="Calibri"/>
              </w:rPr>
            </w:pPr>
            <w:r w:rsidRPr="002D5670">
              <w:rPr>
                <w:rFonts w:eastAsia="Calibri"/>
              </w:rPr>
              <w:t>64 (PC)</w:t>
            </w:r>
          </w:p>
        </w:tc>
        <w:tc>
          <w:tcPr>
            <w:tcW w:w="1261" w:type="dxa"/>
            <w:shd w:val="clear" w:color="auto" w:fill="auto"/>
            <w:vAlign w:val="bottom"/>
          </w:tcPr>
          <w:p w:rsidRPr="002D5670" w:rsidR="004C59FC" w:rsidP="007C7DEB" w:rsidRDefault="004C59FC" w14:paraId="46CCC6A7" w14:textId="77777777">
            <w:pPr>
              <w:jc w:val="right"/>
              <w:rPr>
                <w:rFonts w:eastAsia="Calibri"/>
              </w:rPr>
            </w:pPr>
            <w:r w:rsidRPr="002D5670">
              <w:rPr>
                <w:rFonts w:eastAsia="Calibri"/>
              </w:rPr>
              <w:t>1</w:t>
            </w:r>
          </w:p>
        </w:tc>
        <w:tc>
          <w:tcPr>
            <w:tcW w:w="1261" w:type="dxa"/>
            <w:shd w:val="clear" w:color="auto" w:fill="auto"/>
            <w:vAlign w:val="bottom"/>
          </w:tcPr>
          <w:p w:rsidRPr="002D5670" w:rsidR="004C59FC" w:rsidP="007C7DEB" w:rsidRDefault="004C59FC" w14:paraId="38EDC84A" w14:textId="77777777">
            <w:pPr>
              <w:jc w:val="right"/>
              <w:rPr>
                <w:rFonts w:eastAsia="Calibri"/>
              </w:rPr>
            </w:pPr>
            <w:r w:rsidRPr="002D5670">
              <w:rPr>
                <w:rFonts w:eastAsia="Calibri"/>
              </w:rPr>
              <w:t>64</w:t>
            </w:r>
          </w:p>
        </w:tc>
        <w:tc>
          <w:tcPr>
            <w:tcW w:w="1351" w:type="dxa"/>
            <w:shd w:val="clear" w:color="auto" w:fill="auto"/>
            <w:vAlign w:val="bottom"/>
          </w:tcPr>
          <w:p w:rsidRPr="002D5670" w:rsidR="004C59FC" w:rsidP="007C7DEB" w:rsidRDefault="004C59FC" w14:paraId="15298DA3" w14:textId="77777777">
            <w:pPr>
              <w:jc w:val="right"/>
              <w:rPr>
                <w:rFonts w:eastAsia="Calibri"/>
              </w:rPr>
            </w:pPr>
            <w:r w:rsidRPr="002D5670">
              <w:rPr>
                <w:rFonts w:eastAsia="Calibri"/>
              </w:rPr>
              <w:t>5 hrs.</w:t>
            </w:r>
          </w:p>
        </w:tc>
        <w:tc>
          <w:tcPr>
            <w:tcW w:w="2161" w:type="dxa"/>
            <w:shd w:val="clear" w:color="auto" w:fill="auto"/>
            <w:vAlign w:val="bottom"/>
          </w:tcPr>
          <w:p w:rsidRPr="002D5670" w:rsidR="004C59FC" w:rsidP="007C7DEB" w:rsidRDefault="004C59FC" w14:paraId="762B5604" w14:textId="77777777">
            <w:pPr>
              <w:jc w:val="right"/>
              <w:rPr>
                <w:rFonts w:eastAsia="Calibri"/>
              </w:rPr>
            </w:pPr>
            <w:r w:rsidRPr="002D5670">
              <w:rPr>
                <w:rFonts w:eastAsia="Calibri"/>
              </w:rPr>
              <w:t xml:space="preserve">320 hrs. </w:t>
            </w:r>
          </w:p>
        </w:tc>
      </w:tr>
      <w:tr w:rsidRPr="002D5670" w:rsidR="004C59FC" w:rsidTr="004C59FC" w14:paraId="253EA0DB" w14:textId="77777777">
        <w:trPr>
          <w:cantSplit/>
          <w:trHeight w:val="299"/>
          <w:jc w:val="center"/>
        </w:trPr>
        <w:tc>
          <w:tcPr>
            <w:tcW w:w="1686" w:type="dxa"/>
            <w:vAlign w:val="bottom"/>
          </w:tcPr>
          <w:p w:rsidRPr="002D5670" w:rsidR="004C59FC" w:rsidP="007C7DEB" w:rsidRDefault="004C59FC" w14:paraId="63AA6147" w14:textId="77777777">
            <w:pPr>
              <w:rPr>
                <w:rFonts w:eastAsia="Calibri"/>
                <w:bCs/>
              </w:rPr>
            </w:pPr>
            <w:r w:rsidRPr="002D5670">
              <w:rPr>
                <w:rFonts w:eastAsia="Calibri"/>
                <w:bCs/>
              </w:rPr>
              <w:t>PRC-006-4 (Automatic Underfrequency Load Shedding)</w:t>
            </w:r>
          </w:p>
          <w:p w:rsidRPr="002D5670" w:rsidR="004C59FC" w:rsidP="007C7DEB" w:rsidRDefault="004C59FC" w14:paraId="1A62CA12" w14:textId="77777777">
            <w:pPr>
              <w:rPr>
                <w:rFonts w:eastAsia="Calibri"/>
                <w:bCs/>
              </w:rPr>
            </w:pPr>
            <w:r w:rsidRPr="002D5670">
              <w:rPr>
                <w:rFonts w:eastAsia="Calibri"/>
                <w:bCs/>
              </w:rPr>
              <w:t>R8-R10</w:t>
            </w:r>
          </w:p>
          <w:p w:rsidRPr="002D5670" w:rsidR="004C59FC" w:rsidP="007C7DEB" w:rsidRDefault="004C59FC" w14:paraId="5AEECFE2" w14:textId="77777777">
            <w:pPr>
              <w:rPr>
                <w:rFonts w:eastAsia="Calibri"/>
                <w:bCs/>
              </w:rPr>
            </w:pPr>
            <w:r w:rsidRPr="002D5670">
              <w:rPr>
                <w:rFonts w:eastAsia="Calibri"/>
                <w:bCs/>
              </w:rPr>
              <w:t>Evidence Retention—program increase &amp; clarification</w:t>
            </w:r>
            <w:r w:rsidRPr="002D5670">
              <w:rPr>
                <w:rFonts w:eastAsia="Calibri"/>
                <w:b/>
                <w:bCs/>
                <w:szCs w:val="26"/>
                <w:vertAlign w:val="superscript"/>
              </w:rPr>
              <w:footnoteReference w:id="13"/>
            </w:r>
          </w:p>
        </w:tc>
        <w:tc>
          <w:tcPr>
            <w:tcW w:w="1370" w:type="dxa"/>
            <w:shd w:val="clear" w:color="auto" w:fill="auto"/>
            <w:vAlign w:val="bottom"/>
          </w:tcPr>
          <w:p w:rsidRPr="002D5670" w:rsidR="004C59FC" w:rsidP="007C7DEB" w:rsidRDefault="004C59FC" w14:paraId="16A9E58C" w14:textId="77777777">
            <w:pPr>
              <w:jc w:val="right"/>
              <w:rPr>
                <w:rFonts w:eastAsia="Calibri"/>
              </w:rPr>
            </w:pPr>
            <w:r w:rsidRPr="002D5670">
              <w:rPr>
                <w:rFonts w:eastAsia="Calibri"/>
              </w:rPr>
              <w:t>478 (TO, DP, UFLS-only DP)</w:t>
            </w:r>
          </w:p>
        </w:tc>
        <w:tc>
          <w:tcPr>
            <w:tcW w:w="1261" w:type="dxa"/>
            <w:shd w:val="clear" w:color="auto" w:fill="auto"/>
            <w:vAlign w:val="bottom"/>
          </w:tcPr>
          <w:p w:rsidRPr="002D5670" w:rsidR="004C59FC" w:rsidP="007C7DEB" w:rsidRDefault="004C59FC" w14:paraId="0ED7FA8A" w14:textId="77777777">
            <w:pPr>
              <w:jc w:val="right"/>
              <w:rPr>
                <w:rFonts w:eastAsia="Calibri"/>
              </w:rPr>
            </w:pPr>
            <w:r w:rsidRPr="002D5670">
              <w:rPr>
                <w:rFonts w:eastAsia="Calibri"/>
              </w:rPr>
              <w:t>1</w:t>
            </w:r>
          </w:p>
        </w:tc>
        <w:tc>
          <w:tcPr>
            <w:tcW w:w="1261" w:type="dxa"/>
            <w:shd w:val="clear" w:color="auto" w:fill="auto"/>
            <w:vAlign w:val="bottom"/>
          </w:tcPr>
          <w:p w:rsidRPr="002D5670" w:rsidR="004C59FC" w:rsidP="007C7DEB" w:rsidRDefault="004C59FC" w14:paraId="0EB328F9" w14:textId="77777777">
            <w:pPr>
              <w:jc w:val="right"/>
              <w:rPr>
                <w:rFonts w:eastAsia="Calibri"/>
              </w:rPr>
            </w:pPr>
            <w:r w:rsidRPr="002D5670">
              <w:rPr>
                <w:rFonts w:eastAsia="Calibri"/>
              </w:rPr>
              <w:t>478</w:t>
            </w:r>
          </w:p>
        </w:tc>
        <w:tc>
          <w:tcPr>
            <w:tcW w:w="1351" w:type="dxa"/>
            <w:shd w:val="clear" w:color="auto" w:fill="auto"/>
            <w:vAlign w:val="bottom"/>
          </w:tcPr>
          <w:p w:rsidRPr="002D5670" w:rsidR="004C59FC" w:rsidP="007C7DEB" w:rsidRDefault="004C59FC" w14:paraId="0A378BB6" w14:textId="77777777">
            <w:pPr>
              <w:jc w:val="right"/>
              <w:rPr>
                <w:rFonts w:eastAsia="Calibri"/>
              </w:rPr>
            </w:pPr>
            <w:r w:rsidRPr="002D5670">
              <w:rPr>
                <w:rFonts w:eastAsia="Calibri"/>
              </w:rPr>
              <w:t>5 hrs.</w:t>
            </w:r>
          </w:p>
        </w:tc>
        <w:tc>
          <w:tcPr>
            <w:tcW w:w="2161" w:type="dxa"/>
            <w:shd w:val="clear" w:color="auto" w:fill="auto"/>
            <w:vAlign w:val="bottom"/>
          </w:tcPr>
          <w:p w:rsidRPr="002D5670" w:rsidR="004C59FC" w:rsidP="007C7DEB" w:rsidRDefault="004C59FC" w14:paraId="0FF781E3" w14:textId="77777777">
            <w:pPr>
              <w:jc w:val="right"/>
              <w:rPr>
                <w:rFonts w:eastAsia="Calibri"/>
              </w:rPr>
            </w:pPr>
            <w:r w:rsidRPr="002D5670">
              <w:rPr>
                <w:rFonts w:eastAsia="Calibri"/>
              </w:rPr>
              <w:t xml:space="preserve">2,390 hrs. </w:t>
            </w:r>
          </w:p>
        </w:tc>
      </w:tr>
      <w:tr w:rsidRPr="002D5670" w:rsidR="004C59FC" w:rsidTr="004C59FC" w14:paraId="684541F3" w14:textId="77777777">
        <w:trPr>
          <w:cantSplit/>
          <w:trHeight w:val="299"/>
          <w:jc w:val="center"/>
        </w:trPr>
        <w:tc>
          <w:tcPr>
            <w:tcW w:w="1686" w:type="dxa"/>
            <w:vAlign w:val="bottom"/>
          </w:tcPr>
          <w:p w:rsidRPr="002D5670" w:rsidR="004C59FC" w:rsidP="007C7DEB" w:rsidRDefault="004C59FC" w14:paraId="6EADBEA8" w14:textId="4947D71C">
            <w:pPr>
              <w:rPr>
                <w:rFonts w:eastAsia="Calibri"/>
                <w:b/>
                <w:bCs/>
              </w:rPr>
            </w:pPr>
            <w:r w:rsidRPr="004C59FC">
              <w:rPr>
                <w:rFonts w:eastAsia="Calibri"/>
                <w:b/>
                <w:bCs/>
              </w:rPr>
              <w:t>Net Changes for FERC-725G due to RD20-4</w:t>
            </w:r>
          </w:p>
        </w:tc>
        <w:tc>
          <w:tcPr>
            <w:tcW w:w="1370" w:type="dxa"/>
            <w:shd w:val="clear" w:color="auto" w:fill="D9D9D9"/>
            <w:vAlign w:val="bottom"/>
          </w:tcPr>
          <w:p w:rsidRPr="002D5670" w:rsidR="004C59FC" w:rsidP="007C7DEB" w:rsidRDefault="004C59FC" w14:paraId="1A782FB7" w14:textId="77777777">
            <w:pPr>
              <w:jc w:val="right"/>
              <w:rPr>
                <w:rFonts w:eastAsia="Calibri"/>
              </w:rPr>
            </w:pPr>
          </w:p>
        </w:tc>
        <w:tc>
          <w:tcPr>
            <w:tcW w:w="1261" w:type="dxa"/>
            <w:shd w:val="clear" w:color="auto" w:fill="D9D9D9"/>
            <w:vAlign w:val="bottom"/>
          </w:tcPr>
          <w:p w:rsidRPr="002D5670" w:rsidR="004C59FC" w:rsidP="007C7DEB" w:rsidRDefault="004C59FC" w14:paraId="0FCB3C8D" w14:textId="77777777">
            <w:pPr>
              <w:jc w:val="right"/>
              <w:rPr>
                <w:rFonts w:eastAsia="Calibri"/>
              </w:rPr>
            </w:pPr>
          </w:p>
        </w:tc>
        <w:tc>
          <w:tcPr>
            <w:tcW w:w="1261" w:type="dxa"/>
            <w:shd w:val="clear" w:color="auto" w:fill="auto"/>
            <w:vAlign w:val="bottom"/>
          </w:tcPr>
          <w:p w:rsidRPr="002D5670" w:rsidR="004C59FC" w:rsidP="007C7DEB" w:rsidRDefault="004C59FC" w14:paraId="02DEA220" w14:textId="77777777">
            <w:pPr>
              <w:jc w:val="right"/>
              <w:rPr>
                <w:rFonts w:eastAsia="Calibri"/>
              </w:rPr>
            </w:pPr>
            <w:r w:rsidRPr="002D5670">
              <w:rPr>
                <w:rFonts w:eastAsia="Calibri"/>
              </w:rPr>
              <w:t>446 (net increase)</w:t>
            </w:r>
          </w:p>
        </w:tc>
        <w:tc>
          <w:tcPr>
            <w:tcW w:w="1351" w:type="dxa"/>
            <w:shd w:val="clear" w:color="auto" w:fill="D9D9D9"/>
            <w:vAlign w:val="bottom"/>
          </w:tcPr>
          <w:p w:rsidRPr="002D5670" w:rsidR="004C59FC" w:rsidP="007C7DEB" w:rsidRDefault="004C59FC" w14:paraId="31FE623E" w14:textId="77777777">
            <w:pPr>
              <w:jc w:val="right"/>
              <w:rPr>
                <w:rFonts w:eastAsia="Calibri"/>
              </w:rPr>
            </w:pPr>
          </w:p>
        </w:tc>
        <w:tc>
          <w:tcPr>
            <w:tcW w:w="2161" w:type="dxa"/>
            <w:shd w:val="clear" w:color="auto" w:fill="auto"/>
            <w:vAlign w:val="bottom"/>
          </w:tcPr>
          <w:p w:rsidRPr="002D5670" w:rsidR="004C59FC" w:rsidP="007C7DEB" w:rsidRDefault="004C59FC" w14:paraId="070BBC58" w14:textId="77777777">
            <w:pPr>
              <w:jc w:val="right"/>
              <w:rPr>
                <w:rFonts w:eastAsia="Calibri"/>
              </w:rPr>
            </w:pPr>
            <w:r w:rsidRPr="002D5670">
              <w:rPr>
                <w:rFonts w:eastAsia="Calibri"/>
              </w:rPr>
              <w:t>1,558 hrs.</w:t>
            </w:r>
            <w:r w:rsidRPr="002D5670" w:rsidDel="00BC15D5">
              <w:rPr>
                <w:rFonts w:eastAsia="Calibri"/>
              </w:rPr>
              <w:t xml:space="preserve"> </w:t>
            </w:r>
            <w:r w:rsidRPr="002D5670">
              <w:rPr>
                <w:rFonts w:eastAsia="Calibri"/>
              </w:rPr>
              <w:t>(net increase)</w:t>
            </w:r>
          </w:p>
        </w:tc>
      </w:tr>
    </w:tbl>
    <w:p w:rsidRPr="00797119" w:rsidR="00DD0014" w:rsidP="00E32048" w:rsidRDefault="00DD0014" w14:paraId="32373CD7" w14:textId="77777777">
      <w:pPr>
        <w:spacing w:line="480" w:lineRule="auto"/>
        <w:rPr>
          <w:sz w:val="24"/>
        </w:rPr>
      </w:pPr>
    </w:p>
    <w:tbl>
      <w:tblPr>
        <w:tblW w:w="4801"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1"/>
        <w:gridCol w:w="1352"/>
        <w:gridCol w:w="1266"/>
        <w:gridCol w:w="1259"/>
        <w:gridCol w:w="989"/>
        <w:gridCol w:w="1530"/>
        <w:gridCol w:w="1171"/>
      </w:tblGrid>
      <w:tr w:rsidRPr="00797119" w:rsidR="0070257D" w:rsidTr="00A746F6" w14:paraId="647EE68D"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cPr>
          <w:p w:rsidRPr="00797119" w:rsidR="0070257D" w:rsidRDefault="0070257D" w14:paraId="6F6DDB31" w14:textId="03AFA650">
            <w:pPr>
              <w:jc w:val="center"/>
              <w:rPr>
                <w:rFonts w:eastAsia="Calibri"/>
                <w:b/>
                <w:sz w:val="24"/>
              </w:rPr>
            </w:pPr>
            <w:r w:rsidRPr="0070257D">
              <w:rPr>
                <w:rFonts w:eastAsia="Calibri"/>
                <w:b/>
                <w:sz w:val="24"/>
              </w:rPr>
              <w:lastRenderedPageBreak/>
              <w:t xml:space="preserve">IC21-30-000 Renewal as effected by RD20-4-000: Mandatory Reliability Standards for the Bulk-Power System: Regional Mandatory Reliability Standards for the Bulk-Power System:  Regional Reliability Standard PRC standards: PRC-006-5, PRC-002-2, PRC-012-2, PRC-019-2, </w:t>
            </w:r>
            <w:r w:rsidR="00C3082F">
              <w:rPr>
                <w:rFonts w:eastAsia="Calibri"/>
                <w:b/>
                <w:sz w:val="24"/>
              </w:rPr>
              <w:t xml:space="preserve">PRC-023-4, </w:t>
            </w:r>
            <w:r w:rsidRPr="0070257D">
              <w:rPr>
                <w:rFonts w:eastAsia="Calibri"/>
                <w:b/>
                <w:sz w:val="24"/>
              </w:rPr>
              <w:t>PRC-024-1, PRC-025-2, PRC-026-1, and PRC-0</w:t>
            </w:r>
            <w:r w:rsidRPr="00C57BFC">
              <w:rPr>
                <w:rFonts w:eastAsia="Calibri"/>
                <w:b/>
                <w:sz w:val="24"/>
              </w:rPr>
              <w:t>27.</w:t>
            </w:r>
            <w:r w:rsidRPr="00C57BFC" w:rsidR="00B06A3F">
              <w:rPr>
                <w:rStyle w:val="FootnoteReference"/>
                <w:rFonts w:eastAsia="Calibri"/>
                <w:b w:val="0"/>
              </w:rPr>
              <w:footnoteReference w:id="14"/>
            </w:r>
          </w:p>
        </w:tc>
      </w:tr>
      <w:tr w:rsidRPr="00797119" w:rsidR="00DF54A0" w:rsidTr="00DF54A0" w14:paraId="2C6EC619" w14:textId="77777777">
        <w:trPr>
          <w:cantSplit/>
        </w:trPr>
        <w:tc>
          <w:tcPr>
            <w:tcW w:w="786" w:type="pct"/>
            <w:tcBorders>
              <w:top w:val="single" w:color="auto" w:sz="4" w:space="0"/>
              <w:left w:val="single" w:color="auto" w:sz="4" w:space="0"/>
              <w:bottom w:val="single" w:color="auto" w:sz="4" w:space="0"/>
              <w:right w:val="single" w:color="auto" w:sz="4" w:space="0"/>
            </w:tcBorders>
            <w:shd w:val="clear" w:color="auto" w:fill="D9D9D9"/>
          </w:tcPr>
          <w:p w:rsidRPr="00797119" w:rsidR="00E0325B" w:rsidRDefault="00E0325B" w14:paraId="40C91A58" w14:textId="77777777">
            <w:pPr>
              <w:jc w:val="center"/>
              <w:rPr>
                <w:b/>
                <w:sz w:val="24"/>
              </w:rPr>
            </w:pPr>
          </w:p>
          <w:p w:rsidRPr="00797119" w:rsidR="00E0325B" w:rsidRDefault="00E0325B" w14:paraId="7E0488FE" w14:textId="77777777">
            <w:pPr>
              <w:jc w:val="center"/>
              <w:rPr>
                <w:b/>
                <w:sz w:val="24"/>
              </w:rPr>
            </w:pPr>
          </w:p>
          <w:p w:rsidRPr="00797119" w:rsidR="00E0325B" w:rsidRDefault="00E0325B" w14:paraId="0F086F1D" w14:textId="77777777">
            <w:pPr>
              <w:jc w:val="center"/>
              <w:rPr>
                <w:b/>
                <w:sz w:val="24"/>
              </w:rPr>
            </w:pPr>
          </w:p>
          <w:p w:rsidRPr="00797119" w:rsidR="00E0325B" w:rsidRDefault="00E0325B" w14:paraId="519B624F" w14:textId="77777777">
            <w:pPr>
              <w:jc w:val="center"/>
              <w:rPr>
                <w:rFonts w:eastAsia="Calibri"/>
                <w:sz w:val="24"/>
              </w:rPr>
            </w:pPr>
            <w:r w:rsidRPr="00797119">
              <w:rPr>
                <w:b/>
                <w:sz w:val="24"/>
              </w:rPr>
              <w:t>Reliability Standard &amp; Requirement</w:t>
            </w:r>
          </w:p>
        </w:tc>
        <w:tc>
          <w:tcPr>
            <w:tcW w:w="75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51174212" w14:textId="77777777">
            <w:pPr>
              <w:jc w:val="center"/>
              <w:rPr>
                <w:rFonts w:eastAsia="Calibri"/>
                <w:b/>
                <w:sz w:val="24"/>
              </w:rPr>
            </w:pPr>
            <w:r w:rsidRPr="00797119">
              <w:rPr>
                <w:rFonts w:eastAsia="Calibri"/>
                <w:b/>
                <w:sz w:val="24"/>
              </w:rPr>
              <w:t>Average Annual Number</w:t>
            </w:r>
            <w:r w:rsidRPr="00797119">
              <w:rPr>
                <w:sz w:val="24"/>
                <w:vertAlign w:val="superscript"/>
              </w:rPr>
              <w:t>1</w:t>
            </w:r>
            <w:r w:rsidRPr="00797119">
              <w:rPr>
                <w:rFonts w:eastAsia="Calibri"/>
                <w:b/>
                <w:sz w:val="24"/>
              </w:rPr>
              <w:t xml:space="preserve"> of Respondents</w:t>
            </w:r>
            <w:r w:rsidRPr="00797119">
              <w:rPr>
                <w:rFonts w:eastAsia="Calibri"/>
                <w:b/>
                <w:sz w:val="24"/>
              </w:rPr>
              <w:br/>
              <w:t>(1)</w:t>
            </w:r>
          </w:p>
        </w:tc>
        <w:tc>
          <w:tcPr>
            <w:tcW w:w="70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044E906C" w14:textId="77777777">
            <w:pPr>
              <w:jc w:val="center"/>
              <w:rPr>
                <w:rFonts w:eastAsia="Calibri"/>
                <w:b/>
                <w:sz w:val="24"/>
              </w:rPr>
            </w:pPr>
            <w:r w:rsidRPr="00797119">
              <w:rPr>
                <w:rFonts w:eastAsia="Calibri"/>
                <w:b/>
                <w:sz w:val="24"/>
              </w:rPr>
              <w:t>Average Annual Number of Responses per Respondent</w:t>
            </w:r>
          </w:p>
          <w:p w:rsidRPr="00797119" w:rsidR="00E0325B" w:rsidRDefault="00E0325B" w14:paraId="55073794" w14:textId="77777777">
            <w:pPr>
              <w:jc w:val="center"/>
              <w:rPr>
                <w:rFonts w:eastAsia="Calibri"/>
                <w:b/>
                <w:sz w:val="24"/>
              </w:rPr>
            </w:pPr>
            <w:r w:rsidRPr="00797119">
              <w:rPr>
                <w:rFonts w:eastAsia="Calibri"/>
                <w:b/>
                <w:sz w:val="24"/>
              </w:rPr>
              <w:t>(2)</w:t>
            </w:r>
          </w:p>
        </w:tc>
        <w:tc>
          <w:tcPr>
            <w:tcW w:w="7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10EC1963" w14:textId="77777777">
            <w:pPr>
              <w:jc w:val="center"/>
              <w:rPr>
                <w:rFonts w:eastAsia="Calibri"/>
                <w:b/>
                <w:sz w:val="24"/>
              </w:rPr>
            </w:pPr>
            <w:r w:rsidRPr="00797119">
              <w:rPr>
                <w:rFonts w:eastAsia="Calibri"/>
                <w:b/>
                <w:sz w:val="24"/>
              </w:rPr>
              <w:t>Average Annual Total Number of Responses (1)*(2)=(3)</w:t>
            </w:r>
          </w:p>
        </w:tc>
        <w:tc>
          <w:tcPr>
            <w:tcW w:w="55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4C969EAA" w14:textId="77777777">
            <w:pPr>
              <w:jc w:val="center"/>
              <w:rPr>
                <w:rFonts w:eastAsia="Calibri"/>
                <w:b/>
                <w:sz w:val="24"/>
              </w:rPr>
            </w:pPr>
            <w:r w:rsidRPr="00797119">
              <w:rPr>
                <w:rFonts w:eastAsia="Calibri"/>
                <w:b/>
                <w:sz w:val="24"/>
              </w:rPr>
              <w:t>Average Burden Hrs. &amp; Cost ($) Per Response</w:t>
            </w:r>
          </w:p>
          <w:p w:rsidRPr="00797119" w:rsidR="00E0325B" w:rsidRDefault="00E0325B" w14:paraId="4951C656" w14:textId="77777777">
            <w:pPr>
              <w:jc w:val="center"/>
              <w:rPr>
                <w:rFonts w:eastAsia="Calibri"/>
                <w:b/>
                <w:sz w:val="24"/>
              </w:rPr>
            </w:pPr>
            <w:r w:rsidRPr="00797119">
              <w:rPr>
                <w:rFonts w:eastAsia="Calibri"/>
                <w:b/>
                <w:sz w:val="24"/>
              </w:rPr>
              <w:t>(4)</w:t>
            </w:r>
          </w:p>
        </w:tc>
        <w:tc>
          <w:tcPr>
            <w:tcW w:w="85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61329E44" w14:textId="77777777">
            <w:pPr>
              <w:jc w:val="center"/>
              <w:rPr>
                <w:rFonts w:eastAsia="Calibri"/>
                <w:b/>
                <w:sz w:val="24"/>
              </w:rPr>
            </w:pPr>
            <w:r w:rsidRPr="00797119">
              <w:rPr>
                <w:rFonts w:eastAsia="Calibri"/>
                <w:b/>
                <w:sz w:val="24"/>
              </w:rPr>
              <w:t>Total Annual Burden Hours &amp; Cost ($) (rounded)</w:t>
            </w:r>
          </w:p>
          <w:p w:rsidRPr="00797119" w:rsidR="00E0325B" w:rsidRDefault="00E0325B" w14:paraId="6DEE8C6A" w14:textId="77777777">
            <w:pPr>
              <w:jc w:val="center"/>
              <w:rPr>
                <w:rFonts w:eastAsia="Calibri"/>
                <w:b/>
                <w:sz w:val="24"/>
              </w:rPr>
            </w:pPr>
            <w:r w:rsidRPr="00797119">
              <w:rPr>
                <w:rFonts w:eastAsia="Calibri"/>
                <w:b/>
                <w:sz w:val="24"/>
              </w:rPr>
              <w:t>(3)*(4)=(5)</w:t>
            </w:r>
          </w:p>
        </w:tc>
        <w:tc>
          <w:tcPr>
            <w:tcW w:w="65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738DA60E" w14:textId="77777777">
            <w:pPr>
              <w:jc w:val="center"/>
              <w:rPr>
                <w:rFonts w:eastAsia="Calibri"/>
                <w:b/>
                <w:sz w:val="24"/>
              </w:rPr>
            </w:pPr>
            <w:r w:rsidRPr="00797119">
              <w:rPr>
                <w:rFonts w:eastAsia="Calibri"/>
                <w:b/>
                <w:sz w:val="24"/>
              </w:rPr>
              <w:t>Cost per Respondent</w:t>
            </w:r>
          </w:p>
          <w:p w:rsidRPr="00797119" w:rsidR="00E0325B" w:rsidRDefault="00E0325B" w14:paraId="1C28687D" w14:textId="77777777">
            <w:pPr>
              <w:jc w:val="center"/>
              <w:rPr>
                <w:rFonts w:eastAsia="Calibri"/>
                <w:b/>
                <w:sz w:val="24"/>
              </w:rPr>
            </w:pPr>
            <w:r w:rsidRPr="00797119">
              <w:rPr>
                <w:rFonts w:eastAsia="Calibri"/>
                <w:b/>
                <w:sz w:val="24"/>
              </w:rPr>
              <w:t xml:space="preserve"> ($)</w:t>
            </w:r>
          </w:p>
          <w:p w:rsidRPr="00797119" w:rsidR="00E0325B" w:rsidRDefault="00E0325B" w14:paraId="553D518F" w14:textId="77777777">
            <w:pPr>
              <w:jc w:val="center"/>
              <w:rPr>
                <w:rFonts w:eastAsia="Calibri"/>
                <w:b/>
                <w:sz w:val="24"/>
              </w:rPr>
            </w:pPr>
            <w:r w:rsidRPr="00797119">
              <w:rPr>
                <w:rFonts w:eastAsia="Calibri"/>
                <w:b/>
                <w:sz w:val="24"/>
              </w:rPr>
              <w:t>(5)÷(1)</w:t>
            </w:r>
          </w:p>
        </w:tc>
      </w:tr>
      <w:tr w:rsidRPr="00797119" w:rsidR="008C0C23" w:rsidTr="00A746F6" w14:paraId="1ADF9F7D" w14:textId="77777777">
        <w:trPr>
          <w:gridAfter w:val="1"/>
          <w:wAfter w:w="652" w:type="pct"/>
          <w:cantSplit/>
          <w:trHeight w:val="413"/>
        </w:trPr>
        <w:tc>
          <w:tcPr>
            <w:tcW w:w="4348" w:type="pct"/>
            <w:gridSpan w:val="6"/>
            <w:tcBorders>
              <w:top w:val="single" w:color="auto" w:sz="4" w:space="0"/>
              <w:left w:val="single" w:color="auto" w:sz="4" w:space="0"/>
              <w:bottom w:val="single" w:color="auto" w:sz="4" w:space="0"/>
              <w:right w:val="single" w:color="auto" w:sz="4" w:space="0"/>
            </w:tcBorders>
          </w:tcPr>
          <w:p w:rsidRPr="00797119" w:rsidR="008C0C23" w:rsidP="008C0C23" w:rsidRDefault="002D4519" w14:paraId="4736C2E5" w14:textId="11278664">
            <w:pPr>
              <w:jc w:val="center"/>
              <w:rPr>
                <w:rFonts w:eastAsia="Calibri"/>
                <w:b/>
                <w:sz w:val="24"/>
              </w:rPr>
            </w:pPr>
            <w:r w:rsidRPr="00797119">
              <w:rPr>
                <w:rFonts w:eastAsia="Calibri"/>
                <w:b/>
                <w:sz w:val="24"/>
              </w:rPr>
              <w:t>PRC-006-5</w:t>
            </w:r>
            <w:r w:rsidR="00C31AA3">
              <w:rPr>
                <w:rFonts w:eastAsia="Calibri"/>
                <w:b/>
                <w:sz w:val="24"/>
              </w:rPr>
              <w:t xml:space="preserve"> (Current burden after net changes due to RD20-4)</w:t>
            </w:r>
          </w:p>
        </w:tc>
      </w:tr>
      <w:tr w:rsidRPr="00797119" w:rsidR="00A746F6" w:rsidTr="00DF54A0" w14:paraId="6D89AFCC" w14:textId="77777777">
        <w:trPr>
          <w:cantSplit/>
          <w:trHeight w:val="1430"/>
        </w:trPr>
        <w:tc>
          <w:tcPr>
            <w:tcW w:w="786" w:type="pct"/>
            <w:tcBorders>
              <w:top w:val="single" w:color="auto" w:sz="4" w:space="0"/>
              <w:left w:val="single" w:color="auto" w:sz="4" w:space="0"/>
              <w:bottom w:val="single" w:color="auto" w:sz="4" w:space="0"/>
              <w:right w:val="single" w:color="auto" w:sz="4" w:space="0"/>
            </w:tcBorders>
            <w:vAlign w:val="bottom"/>
          </w:tcPr>
          <w:p w:rsidRPr="00797119" w:rsidR="001B153A" w:rsidP="00217C1E" w:rsidRDefault="001B153A" w14:paraId="671588E3" w14:textId="5326C558">
            <w:pPr>
              <w:rPr>
                <w:rFonts w:eastAsia="Calibri"/>
                <w:bCs/>
                <w:sz w:val="24"/>
              </w:rPr>
            </w:pPr>
            <w:r w:rsidRPr="00797119">
              <w:rPr>
                <w:iCs/>
                <w:sz w:val="24"/>
              </w:rPr>
              <w:t>TO/DP/PC</w:t>
            </w:r>
            <w:r w:rsidRPr="00797119" w:rsidR="00F02DD2">
              <w:rPr>
                <w:rStyle w:val="FootnoteReference"/>
                <w:iCs/>
                <w:sz w:val="24"/>
                <w:szCs w:val="24"/>
              </w:rPr>
              <w:footnoteReference w:id="15"/>
            </w:r>
          </w:p>
        </w:tc>
        <w:tc>
          <w:tcPr>
            <w:tcW w:w="753" w:type="pct"/>
            <w:tcBorders>
              <w:top w:val="single" w:color="auto" w:sz="4" w:space="0"/>
              <w:left w:val="single" w:color="auto" w:sz="4" w:space="0"/>
              <w:bottom w:val="single" w:color="auto" w:sz="4" w:space="0"/>
              <w:right w:val="single" w:color="auto" w:sz="4" w:space="0"/>
            </w:tcBorders>
            <w:vAlign w:val="bottom"/>
          </w:tcPr>
          <w:p w:rsidRPr="00C57BFC" w:rsidR="001B153A" w:rsidP="00217C1E" w:rsidRDefault="001B153A" w14:paraId="40316579" w14:textId="132C4BD0">
            <w:pPr>
              <w:rPr>
                <w:rFonts w:eastAsia="Calibri"/>
                <w:bCs/>
                <w:sz w:val="24"/>
              </w:rPr>
            </w:pPr>
            <w:r w:rsidRPr="00C57BFC">
              <w:rPr>
                <w:iCs/>
                <w:sz w:val="24"/>
              </w:rPr>
              <w:t>480</w:t>
            </w:r>
          </w:p>
        </w:tc>
        <w:tc>
          <w:tcPr>
            <w:tcW w:w="705" w:type="pct"/>
            <w:tcBorders>
              <w:top w:val="single" w:color="auto" w:sz="4" w:space="0"/>
              <w:left w:val="single" w:color="auto" w:sz="4" w:space="0"/>
              <w:bottom w:val="single" w:color="auto" w:sz="4" w:space="0"/>
              <w:right w:val="single" w:color="auto" w:sz="4" w:space="0"/>
            </w:tcBorders>
            <w:vAlign w:val="bottom"/>
          </w:tcPr>
          <w:p w:rsidRPr="00C57BFC" w:rsidR="001B153A" w:rsidP="00217C1E" w:rsidRDefault="001B153A" w14:paraId="420EBA35" w14:textId="25FD44B7">
            <w:pPr>
              <w:rPr>
                <w:rFonts w:eastAsia="Calibri"/>
                <w:bCs/>
                <w:sz w:val="24"/>
              </w:rPr>
            </w:pPr>
            <w:r w:rsidRPr="00C57BFC">
              <w:rPr>
                <w:iCs/>
                <w:sz w:val="24"/>
              </w:rPr>
              <w:t>1</w:t>
            </w:r>
          </w:p>
        </w:tc>
        <w:tc>
          <w:tcPr>
            <w:tcW w:w="701" w:type="pct"/>
            <w:tcBorders>
              <w:top w:val="single" w:color="auto" w:sz="4" w:space="0"/>
              <w:left w:val="single" w:color="auto" w:sz="4" w:space="0"/>
              <w:bottom w:val="single" w:color="auto" w:sz="4" w:space="0"/>
              <w:right w:val="single" w:color="auto" w:sz="4" w:space="0"/>
            </w:tcBorders>
            <w:vAlign w:val="bottom"/>
          </w:tcPr>
          <w:p w:rsidRPr="00C57BFC" w:rsidR="001B153A" w:rsidP="00217C1E" w:rsidRDefault="001B153A" w14:paraId="4A0A68A2" w14:textId="40CC7C1E">
            <w:pPr>
              <w:rPr>
                <w:rFonts w:eastAsia="Calibri"/>
                <w:bCs/>
                <w:sz w:val="24"/>
              </w:rPr>
            </w:pPr>
            <w:r w:rsidRPr="00C57BFC">
              <w:rPr>
                <w:iCs/>
                <w:sz w:val="24"/>
              </w:rPr>
              <w:t>480</w:t>
            </w:r>
          </w:p>
        </w:tc>
        <w:tc>
          <w:tcPr>
            <w:tcW w:w="551" w:type="pct"/>
            <w:tcBorders>
              <w:top w:val="single" w:color="auto" w:sz="4" w:space="0"/>
              <w:left w:val="single" w:color="auto" w:sz="4" w:space="0"/>
              <w:bottom w:val="single" w:color="auto" w:sz="4" w:space="0"/>
              <w:right w:val="single" w:color="auto" w:sz="4" w:space="0"/>
            </w:tcBorders>
            <w:vAlign w:val="bottom"/>
          </w:tcPr>
          <w:p w:rsidRPr="00C57BFC" w:rsidR="00E62CAF" w:rsidP="00E62CAF" w:rsidRDefault="00E62CAF" w14:paraId="60375311" w14:textId="77777777">
            <w:pPr>
              <w:rPr>
                <w:iCs/>
                <w:sz w:val="24"/>
              </w:rPr>
            </w:pPr>
          </w:p>
          <w:p w:rsidRPr="00C57BFC" w:rsidR="001B153A" w:rsidP="001B153A" w:rsidRDefault="001B153A" w14:paraId="0C5CDF7A" w14:textId="370354D7">
            <w:pPr>
              <w:jc w:val="right"/>
              <w:rPr>
                <w:rFonts w:eastAsia="Calibri"/>
                <w:bCs/>
                <w:sz w:val="24"/>
              </w:rPr>
            </w:pPr>
            <w:r w:rsidRPr="00C57BFC">
              <w:rPr>
                <w:iCs/>
                <w:sz w:val="24"/>
              </w:rPr>
              <w:t>35 hrs</w:t>
            </w:r>
            <w:r w:rsidRPr="00C57BFC" w:rsidR="00E62CAF">
              <w:rPr>
                <w:iCs/>
                <w:sz w:val="24"/>
              </w:rPr>
              <w:t>.; $2,905</w:t>
            </w:r>
          </w:p>
        </w:tc>
        <w:tc>
          <w:tcPr>
            <w:tcW w:w="852" w:type="pct"/>
            <w:tcBorders>
              <w:top w:val="single" w:color="auto" w:sz="4" w:space="0"/>
              <w:left w:val="single" w:color="auto" w:sz="4" w:space="0"/>
              <w:bottom w:val="single" w:color="auto" w:sz="4" w:space="0"/>
              <w:right w:val="single" w:color="auto" w:sz="4" w:space="0"/>
            </w:tcBorders>
            <w:vAlign w:val="bottom"/>
          </w:tcPr>
          <w:p w:rsidRPr="00C57BFC" w:rsidR="001B153A" w:rsidP="004D3E45" w:rsidRDefault="001B153A" w14:paraId="61F60FE1" w14:textId="1E10022B">
            <w:pPr>
              <w:rPr>
                <w:rFonts w:eastAsia="Calibri"/>
                <w:bCs/>
                <w:sz w:val="24"/>
              </w:rPr>
            </w:pPr>
            <w:r w:rsidRPr="00C57BFC">
              <w:rPr>
                <w:iCs/>
                <w:sz w:val="24"/>
              </w:rPr>
              <w:t>16,800 hrs.</w:t>
            </w:r>
            <w:r w:rsidR="00440710">
              <w:rPr>
                <w:iCs/>
                <w:sz w:val="24"/>
              </w:rPr>
              <w:t>; $1,394,400</w:t>
            </w:r>
          </w:p>
        </w:tc>
        <w:tc>
          <w:tcPr>
            <w:tcW w:w="652" w:type="pct"/>
            <w:tcBorders>
              <w:top w:val="single" w:color="auto" w:sz="4" w:space="0"/>
              <w:left w:val="single" w:color="auto" w:sz="4" w:space="0"/>
              <w:bottom w:val="single" w:color="auto" w:sz="4" w:space="0"/>
              <w:right w:val="single" w:color="auto" w:sz="4" w:space="0"/>
            </w:tcBorders>
            <w:vAlign w:val="bottom"/>
          </w:tcPr>
          <w:p w:rsidRPr="00C57BFC" w:rsidR="001B153A" w:rsidP="001B153A" w:rsidRDefault="001B153A" w14:paraId="481526AE" w14:textId="77777777">
            <w:pPr>
              <w:jc w:val="right"/>
              <w:rPr>
                <w:rFonts w:eastAsia="Calibri"/>
                <w:bCs/>
                <w:sz w:val="24"/>
              </w:rPr>
            </w:pPr>
          </w:p>
          <w:p w:rsidRPr="00C57BFC" w:rsidR="00E62CAF" w:rsidP="001B153A" w:rsidRDefault="00E62CAF" w14:paraId="503D458E" w14:textId="77777777">
            <w:pPr>
              <w:jc w:val="right"/>
              <w:rPr>
                <w:rFonts w:eastAsia="Calibri"/>
                <w:bCs/>
                <w:sz w:val="24"/>
              </w:rPr>
            </w:pPr>
          </w:p>
          <w:p w:rsidRPr="00C57BFC" w:rsidR="00E62CAF" w:rsidP="001B153A" w:rsidRDefault="00E62CAF" w14:paraId="414F706C" w14:textId="77777777">
            <w:pPr>
              <w:jc w:val="right"/>
              <w:rPr>
                <w:rFonts w:eastAsia="Calibri"/>
                <w:bCs/>
                <w:sz w:val="24"/>
              </w:rPr>
            </w:pPr>
          </w:p>
          <w:p w:rsidRPr="00C57BFC" w:rsidR="00E62CAF" w:rsidP="00217C1E" w:rsidRDefault="00E62CAF" w14:paraId="530B24A5" w14:textId="072DCAC2">
            <w:pPr>
              <w:rPr>
                <w:rFonts w:eastAsia="Calibri"/>
                <w:bCs/>
                <w:sz w:val="24"/>
              </w:rPr>
            </w:pPr>
            <w:r w:rsidRPr="00C57BFC">
              <w:rPr>
                <w:rFonts w:eastAsia="Calibri"/>
                <w:bCs/>
                <w:sz w:val="24"/>
              </w:rPr>
              <w:t>$2,905</w:t>
            </w:r>
          </w:p>
        </w:tc>
      </w:tr>
      <w:tr w:rsidRPr="00797119" w:rsidR="00A746F6" w:rsidTr="00DF54A0" w14:paraId="475561FD" w14:textId="77777777">
        <w:trPr>
          <w:cantSplit/>
          <w:trHeight w:val="1430"/>
        </w:trPr>
        <w:tc>
          <w:tcPr>
            <w:tcW w:w="786" w:type="pct"/>
            <w:vAlign w:val="bottom"/>
          </w:tcPr>
          <w:p w:rsidRPr="00797119" w:rsidR="009644D3" w:rsidP="009644D3" w:rsidRDefault="009644D3" w14:paraId="5CC88434" w14:textId="68828C35">
            <w:pPr>
              <w:rPr>
                <w:iCs/>
                <w:sz w:val="24"/>
              </w:rPr>
            </w:pPr>
            <w:r w:rsidRPr="004C59FC">
              <w:rPr>
                <w:rFonts w:eastAsia="Calibri"/>
                <w:b/>
                <w:bCs/>
              </w:rPr>
              <w:t>Net Changes for FERC-725G due to RD20-4</w:t>
            </w:r>
          </w:p>
        </w:tc>
        <w:tc>
          <w:tcPr>
            <w:tcW w:w="753" w:type="pct"/>
            <w:shd w:val="clear" w:color="auto" w:fill="D9D9D9"/>
            <w:vAlign w:val="bottom"/>
          </w:tcPr>
          <w:p w:rsidRPr="00C57BFC" w:rsidR="009644D3" w:rsidP="009644D3" w:rsidRDefault="009644D3" w14:paraId="1384B787" w14:textId="77777777">
            <w:pPr>
              <w:jc w:val="right"/>
              <w:rPr>
                <w:iCs/>
                <w:sz w:val="24"/>
              </w:rPr>
            </w:pPr>
          </w:p>
        </w:tc>
        <w:tc>
          <w:tcPr>
            <w:tcW w:w="705" w:type="pct"/>
            <w:shd w:val="clear" w:color="auto" w:fill="D9D9D9"/>
            <w:vAlign w:val="bottom"/>
          </w:tcPr>
          <w:p w:rsidRPr="00C57BFC" w:rsidR="009644D3" w:rsidP="009644D3" w:rsidRDefault="009644D3" w14:paraId="65817A73" w14:textId="77777777">
            <w:pPr>
              <w:jc w:val="right"/>
              <w:rPr>
                <w:iCs/>
                <w:sz w:val="24"/>
              </w:rPr>
            </w:pPr>
          </w:p>
        </w:tc>
        <w:tc>
          <w:tcPr>
            <w:tcW w:w="701" w:type="pct"/>
            <w:shd w:val="clear" w:color="auto" w:fill="auto"/>
            <w:vAlign w:val="bottom"/>
          </w:tcPr>
          <w:p w:rsidRPr="00C57BFC" w:rsidR="009644D3" w:rsidP="009644D3" w:rsidRDefault="009644D3" w14:paraId="334387C3" w14:textId="126FEABC">
            <w:pPr>
              <w:jc w:val="right"/>
              <w:rPr>
                <w:iCs/>
                <w:sz w:val="24"/>
              </w:rPr>
            </w:pPr>
            <w:r>
              <w:rPr>
                <w:rFonts w:eastAsia="Calibri"/>
              </w:rPr>
              <w:t>926</w:t>
            </w:r>
            <w:r w:rsidRPr="002D5670">
              <w:rPr>
                <w:rFonts w:eastAsia="Calibri"/>
              </w:rPr>
              <w:t xml:space="preserve"> </w:t>
            </w:r>
          </w:p>
        </w:tc>
        <w:tc>
          <w:tcPr>
            <w:tcW w:w="551" w:type="pct"/>
            <w:shd w:val="clear" w:color="auto" w:fill="D9D9D9"/>
            <w:vAlign w:val="bottom"/>
          </w:tcPr>
          <w:p w:rsidRPr="00C57BFC" w:rsidR="009644D3" w:rsidP="009644D3" w:rsidRDefault="009644D3" w14:paraId="40BC1297" w14:textId="77777777">
            <w:pPr>
              <w:rPr>
                <w:iCs/>
                <w:sz w:val="24"/>
              </w:rPr>
            </w:pPr>
          </w:p>
        </w:tc>
        <w:tc>
          <w:tcPr>
            <w:tcW w:w="852" w:type="pct"/>
            <w:shd w:val="clear" w:color="auto" w:fill="auto"/>
            <w:vAlign w:val="bottom"/>
          </w:tcPr>
          <w:p w:rsidRPr="00C57BFC" w:rsidR="009644D3" w:rsidP="009644D3" w:rsidRDefault="009644D3" w14:paraId="0A220107" w14:textId="1CC2CA8D">
            <w:pPr>
              <w:jc w:val="right"/>
              <w:rPr>
                <w:iCs/>
                <w:sz w:val="24"/>
              </w:rPr>
            </w:pPr>
            <w:r w:rsidRPr="002D5670">
              <w:rPr>
                <w:rFonts w:eastAsia="Calibri"/>
              </w:rPr>
              <w:t>1</w:t>
            </w:r>
            <w:r>
              <w:rPr>
                <w:rFonts w:eastAsia="Calibri"/>
              </w:rPr>
              <w:t>8</w:t>
            </w:r>
            <w:r w:rsidRPr="002D5670">
              <w:rPr>
                <w:rFonts w:eastAsia="Calibri"/>
              </w:rPr>
              <w:t>,</w:t>
            </w:r>
            <w:r>
              <w:rPr>
                <w:rFonts w:eastAsia="Calibri"/>
              </w:rPr>
              <w:t>358</w:t>
            </w:r>
            <w:r w:rsidRPr="002D5670">
              <w:rPr>
                <w:rFonts w:eastAsia="Calibri"/>
              </w:rPr>
              <w:t xml:space="preserve"> hrs</w:t>
            </w:r>
            <w:r w:rsidR="00440710">
              <w:rPr>
                <w:rFonts w:eastAsia="Calibri"/>
              </w:rPr>
              <w:t>.; $1,523,714</w:t>
            </w:r>
            <w:r w:rsidRPr="002D5670" w:rsidDel="00BC15D5">
              <w:rPr>
                <w:rFonts w:eastAsia="Calibri"/>
              </w:rPr>
              <w:t xml:space="preserve"> </w:t>
            </w:r>
          </w:p>
        </w:tc>
        <w:tc>
          <w:tcPr>
            <w:tcW w:w="652"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558E18AC" w14:textId="77777777">
            <w:pPr>
              <w:jc w:val="right"/>
              <w:rPr>
                <w:rFonts w:eastAsia="Calibri"/>
                <w:bCs/>
                <w:sz w:val="24"/>
              </w:rPr>
            </w:pPr>
          </w:p>
        </w:tc>
      </w:tr>
      <w:tr w:rsidRPr="00C57BFC" w:rsidR="009644D3" w:rsidTr="00A746F6" w14:paraId="26FC26A5" w14:textId="77777777">
        <w:trPr>
          <w:gridAfter w:val="1"/>
          <w:wAfter w:w="652" w:type="pct"/>
          <w:cantSplit/>
          <w:trHeight w:val="305"/>
        </w:trPr>
        <w:tc>
          <w:tcPr>
            <w:tcW w:w="4348" w:type="pct"/>
            <w:gridSpan w:val="6"/>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29366637" w14:textId="2235FFD9">
            <w:pPr>
              <w:jc w:val="center"/>
              <w:rPr>
                <w:rFonts w:eastAsia="Calibri"/>
                <w:bCs/>
                <w:sz w:val="24"/>
              </w:rPr>
            </w:pPr>
            <w:r w:rsidRPr="00C57BFC">
              <w:rPr>
                <w:rFonts w:eastAsia="Calibri"/>
                <w:b/>
                <w:sz w:val="24"/>
              </w:rPr>
              <w:t>PRC-023-4</w:t>
            </w:r>
          </w:p>
        </w:tc>
      </w:tr>
      <w:tr w:rsidRPr="00797119" w:rsidR="00A746F6" w:rsidTr="00217C1E" w14:paraId="35BF0687" w14:textId="77777777">
        <w:trPr>
          <w:cantSplit/>
          <w:trHeight w:val="1430"/>
        </w:trPr>
        <w:tc>
          <w:tcPr>
            <w:tcW w:w="786" w:type="pct"/>
            <w:tcBorders>
              <w:top w:val="single" w:color="auto" w:sz="4" w:space="0"/>
              <w:left w:val="single" w:color="auto" w:sz="4" w:space="0"/>
              <w:bottom w:val="single" w:color="auto" w:sz="4" w:space="0"/>
              <w:right w:val="single" w:color="auto" w:sz="4" w:space="0"/>
            </w:tcBorders>
            <w:vAlign w:val="bottom"/>
          </w:tcPr>
          <w:p w:rsidRPr="00797119" w:rsidR="009644D3" w:rsidP="009644D3" w:rsidRDefault="009644D3" w14:paraId="411F6BFF" w14:textId="0CA4FCBB">
            <w:pPr>
              <w:rPr>
                <w:iCs/>
                <w:sz w:val="24"/>
              </w:rPr>
            </w:pPr>
            <w:r>
              <w:rPr>
                <w:iCs/>
                <w:sz w:val="24"/>
              </w:rPr>
              <w:lastRenderedPageBreak/>
              <w:t>TO/GO/DP</w:t>
            </w:r>
            <w:r>
              <w:rPr>
                <w:rStyle w:val="FootnoteReference"/>
                <w:iCs/>
              </w:rPr>
              <w:footnoteReference w:id="16"/>
            </w:r>
          </w:p>
        </w:tc>
        <w:tc>
          <w:tcPr>
            <w:tcW w:w="753"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6D7EED3A" w14:textId="01597A1C">
            <w:pPr>
              <w:jc w:val="right"/>
              <w:rPr>
                <w:iCs/>
                <w:sz w:val="24"/>
              </w:rPr>
            </w:pPr>
            <w:r w:rsidRPr="00C57BFC">
              <w:rPr>
                <w:iCs/>
                <w:sz w:val="24"/>
              </w:rPr>
              <w:t>1,314</w:t>
            </w:r>
          </w:p>
        </w:tc>
        <w:tc>
          <w:tcPr>
            <w:tcW w:w="705"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395FB0DF" w14:textId="60AE3C71">
            <w:pPr>
              <w:jc w:val="right"/>
              <w:rPr>
                <w:iCs/>
                <w:sz w:val="24"/>
              </w:rPr>
            </w:pPr>
            <w:r w:rsidRPr="00C57BFC">
              <w:rPr>
                <w:iCs/>
                <w:sz w:val="24"/>
              </w:rPr>
              <w:t>1</w:t>
            </w:r>
          </w:p>
        </w:tc>
        <w:tc>
          <w:tcPr>
            <w:tcW w:w="701"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27113CF2" w14:textId="5A840AB8">
            <w:pPr>
              <w:jc w:val="right"/>
              <w:rPr>
                <w:iCs/>
                <w:sz w:val="24"/>
              </w:rPr>
            </w:pPr>
            <w:r w:rsidRPr="00C57BFC">
              <w:rPr>
                <w:iCs/>
                <w:sz w:val="24"/>
              </w:rPr>
              <w:t>1,314</w:t>
            </w:r>
          </w:p>
        </w:tc>
        <w:tc>
          <w:tcPr>
            <w:tcW w:w="551" w:type="pct"/>
            <w:tcBorders>
              <w:top w:val="single" w:color="auto" w:sz="4" w:space="0"/>
              <w:left w:val="single" w:color="auto" w:sz="4" w:space="0"/>
              <w:bottom w:val="single" w:color="auto" w:sz="4" w:space="0"/>
              <w:right w:val="single" w:color="auto" w:sz="4" w:space="0"/>
            </w:tcBorders>
            <w:vAlign w:val="bottom"/>
          </w:tcPr>
          <w:p w:rsidRPr="00C57BFC" w:rsidR="009644D3" w:rsidP="00217C1E" w:rsidRDefault="009644D3" w14:paraId="5B5BD2E6" w14:textId="6BED6B52">
            <w:pPr>
              <w:jc w:val="right"/>
              <w:rPr>
                <w:iCs/>
                <w:sz w:val="24"/>
              </w:rPr>
            </w:pPr>
            <w:r w:rsidRPr="00C57BFC">
              <w:rPr>
                <w:iCs/>
                <w:sz w:val="24"/>
              </w:rPr>
              <w:t>303 hrs.; $25,149</w:t>
            </w:r>
          </w:p>
        </w:tc>
        <w:tc>
          <w:tcPr>
            <w:tcW w:w="852"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6CB6AA3A" w14:textId="215C1883">
            <w:pPr>
              <w:jc w:val="right"/>
              <w:rPr>
                <w:iCs/>
                <w:sz w:val="24"/>
              </w:rPr>
            </w:pPr>
            <w:r w:rsidRPr="00C57BFC">
              <w:rPr>
                <w:iCs/>
                <w:sz w:val="24"/>
              </w:rPr>
              <w:t>398,142 hrs.; $33,045,786</w:t>
            </w:r>
          </w:p>
        </w:tc>
        <w:tc>
          <w:tcPr>
            <w:tcW w:w="652"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36AD69C2" w14:textId="310D2F5B">
            <w:pPr>
              <w:jc w:val="right"/>
              <w:rPr>
                <w:rFonts w:eastAsia="Calibri"/>
                <w:bCs/>
                <w:sz w:val="24"/>
              </w:rPr>
            </w:pPr>
            <w:r w:rsidRPr="00C57BFC">
              <w:rPr>
                <w:rFonts w:eastAsia="Calibri"/>
                <w:bCs/>
                <w:sz w:val="24"/>
              </w:rPr>
              <w:t>$25,149</w:t>
            </w:r>
          </w:p>
        </w:tc>
      </w:tr>
      <w:tr w:rsidRPr="00797119" w:rsidR="00A746F6" w:rsidTr="00217C1E" w14:paraId="56CF6AC3" w14:textId="77777777">
        <w:trPr>
          <w:cantSplit/>
          <w:trHeight w:val="1430"/>
        </w:trPr>
        <w:tc>
          <w:tcPr>
            <w:tcW w:w="786" w:type="pct"/>
            <w:tcBorders>
              <w:top w:val="single" w:color="auto" w:sz="4" w:space="0"/>
              <w:left w:val="single" w:color="auto" w:sz="4" w:space="0"/>
              <w:bottom w:val="single" w:color="auto" w:sz="4" w:space="0"/>
              <w:right w:val="single" w:color="auto" w:sz="4" w:space="0"/>
            </w:tcBorders>
            <w:vAlign w:val="bottom"/>
          </w:tcPr>
          <w:p w:rsidR="009644D3" w:rsidP="009644D3" w:rsidRDefault="009644D3" w14:paraId="2D470148" w14:textId="1A1D7308">
            <w:pPr>
              <w:rPr>
                <w:iCs/>
                <w:sz w:val="24"/>
              </w:rPr>
            </w:pPr>
            <w:r>
              <w:rPr>
                <w:iCs/>
                <w:sz w:val="24"/>
              </w:rPr>
              <w:t>PC</w:t>
            </w:r>
          </w:p>
        </w:tc>
        <w:tc>
          <w:tcPr>
            <w:tcW w:w="753"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1808EE57" w14:textId="0A60E524">
            <w:pPr>
              <w:jc w:val="right"/>
              <w:rPr>
                <w:iCs/>
                <w:sz w:val="24"/>
              </w:rPr>
            </w:pPr>
            <w:r w:rsidRPr="00C57BFC">
              <w:rPr>
                <w:iCs/>
                <w:sz w:val="24"/>
              </w:rPr>
              <w:t>65</w:t>
            </w:r>
          </w:p>
        </w:tc>
        <w:tc>
          <w:tcPr>
            <w:tcW w:w="705"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29AC4883" w14:textId="42434A27">
            <w:pPr>
              <w:jc w:val="right"/>
              <w:rPr>
                <w:iCs/>
                <w:sz w:val="24"/>
              </w:rPr>
            </w:pPr>
            <w:r w:rsidRPr="00C57BFC">
              <w:rPr>
                <w:iCs/>
                <w:sz w:val="24"/>
              </w:rPr>
              <w:t>1</w:t>
            </w:r>
          </w:p>
        </w:tc>
        <w:tc>
          <w:tcPr>
            <w:tcW w:w="701"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51669950" w14:textId="231C727E">
            <w:pPr>
              <w:jc w:val="right"/>
              <w:rPr>
                <w:iCs/>
                <w:sz w:val="24"/>
              </w:rPr>
            </w:pPr>
            <w:r w:rsidRPr="00C57BFC">
              <w:rPr>
                <w:iCs/>
                <w:sz w:val="24"/>
              </w:rPr>
              <w:t>65</w:t>
            </w:r>
          </w:p>
        </w:tc>
        <w:tc>
          <w:tcPr>
            <w:tcW w:w="551" w:type="pct"/>
            <w:tcBorders>
              <w:top w:val="single" w:color="auto" w:sz="4" w:space="0"/>
              <w:left w:val="single" w:color="auto" w:sz="4" w:space="0"/>
              <w:bottom w:val="single" w:color="auto" w:sz="4" w:space="0"/>
              <w:right w:val="single" w:color="auto" w:sz="4" w:space="0"/>
            </w:tcBorders>
            <w:vAlign w:val="bottom"/>
          </w:tcPr>
          <w:p w:rsidRPr="00C57BFC" w:rsidR="009644D3" w:rsidP="00217C1E" w:rsidRDefault="009644D3" w14:paraId="68147617" w14:textId="32296F20">
            <w:pPr>
              <w:jc w:val="right"/>
              <w:rPr>
                <w:iCs/>
                <w:sz w:val="24"/>
              </w:rPr>
            </w:pPr>
            <w:r w:rsidRPr="00C57BFC">
              <w:rPr>
                <w:iCs/>
                <w:sz w:val="24"/>
              </w:rPr>
              <w:t>212 hrs.; $17,596</w:t>
            </w:r>
          </w:p>
        </w:tc>
        <w:tc>
          <w:tcPr>
            <w:tcW w:w="852"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74033D00" w14:textId="05B26AD1">
            <w:pPr>
              <w:jc w:val="right"/>
              <w:rPr>
                <w:iCs/>
                <w:sz w:val="24"/>
              </w:rPr>
            </w:pPr>
            <w:r w:rsidRPr="00C57BFC">
              <w:rPr>
                <w:iCs/>
                <w:sz w:val="24"/>
              </w:rPr>
              <w:t>13,780 hrs.; $1,143,740</w:t>
            </w:r>
          </w:p>
        </w:tc>
        <w:tc>
          <w:tcPr>
            <w:tcW w:w="652"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3B481160" w14:textId="2CDB37F3">
            <w:pPr>
              <w:jc w:val="right"/>
              <w:rPr>
                <w:rFonts w:eastAsia="Calibri"/>
                <w:bCs/>
                <w:sz w:val="24"/>
              </w:rPr>
            </w:pPr>
            <w:r w:rsidRPr="00C57BFC">
              <w:rPr>
                <w:rFonts w:eastAsia="Calibri"/>
                <w:bCs/>
                <w:sz w:val="24"/>
              </w:rPr>
              <w:t>$17,596</w:t>
            </w:r>
          </w:p>
        </w:tc>
      </w:tr>
      <w:tr w:rsidRPr="00797119" w:rsidR="009644D3" w:rsidTr="00A746F6" w14:paraId="0FB22814" w14:textId="77777777">
        <w:trPr>
          <w:gridAfter w:val="1"/>
          <w:wAfter w:w="652" w:type="pct"/>
          <w:cantSplit/>
          <w:trHeight w:val="260"/>
        </w:trPr>
        <w:tc>
          <w:tcPr>
            <w:tcW w:w="434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256E3348" w14:textId="1EF779E8">
            <w:pPr>
              <w:jc w:val="center"/>
              <w:rPr>
                <w:rFonts w:eastAsia="Calibri"/>
                <w:b/>
                <w:sz w:val="24"/>
              </w:rPr>
            </w:pPr>
            <w:r w:rsidRPr="00797119">
              <w:rPr>
                <w:rFonts w:eastAsia="Calibri"/>
                <w:b/>
                <w:sz w:val="24"/>
              </w:rPr>
              <w:t>PRC-025-2</w:t>
            </w:r>
            <w:r w:rsidRPr="00797119">
              <w:rPr>
                <w:rStyle w:val="FootnoteReference"/>
                <w:rFonts w:eastAsia="Calibri"/>
                <w:b w:val="0"/>
                <w:sz w:val="24"/>
                <w:szCs w:val="24"/>
              </w:rPr>
              <w:footnoteReference w:id="17"/>
            </w:r>
          </w:p>
        </w:tc>
      </w:tr>
      <w:tr w:rsidRPr="00797119" w:rsidR="00A746F6" w:rsidTr="00DF54A0" w14:paraId="4C2A69A9" w14:textId="77777777">
        <w:trPr>
          <w:cantSplit/>
          <w:trHeight w:val="710"/>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318F6B3A" w14:textId="3C6D766F">
            <w:pPr>
              <w:rPr>
                <w:rFonts w:eastAsia="Calibri"/>
                <w:bCs/>
                <w:sz w:val="24"/>
              </w:rPr>
            </w:pPr>
            <w:r w:rsidRPr="00797119">
              <w:rPr>
                <w:rFonts w:eastAsia="Calibri"/>
                <w:bCs/>
                <w:sz w:val="24"/>
              </w:rPr>
              <w:t>GO/TO/ DP</w:t>
            </w:r>
            <w:r w:rsidRPr="00797119">
              <w:rPr>
                <w:rStyle w:val="FootnoteReference"/>
                <w:rFonts w:eastAsia="Calibri"/>
                <w:bCs/>
                <w:sz w:val="24"/>
                <w:szCs w:val="24"/>
              </w:rPr>
              <w:footnoteReference w:id="18"/>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66114B7D" w14:textId="2C9A53E7">
            <w:pPr>
              <w:jc w:val="right"/>
              <w:rPr>
                <w:rFonts w:eastAsia="Calibri"/>
                <w:sz w:val="24"/>
              </w:rPr>
            </w:pPr>
            <w:r w:rsidRPr="00797119">
              <w:rPr>
                <w:rFonts w:eastAsia="Calibri"/>
                <w:sz w:val="24"/>
              </w:rPr>
              <w:t>1,314</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4089D5D3" w14:textId="70A85F8B">
            <w:pPr>
              <w:jc w:val="right"/>
              <w:rPr>
                <w:rFonts w:eastAsia="Calibri"/>
                <w:sz w:val="24"/>
              </w:rPr>
            </w:pPr>
            <w:r w:rsidRPr="00797119">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02DCCA36" w14:textId="3791A294">
            <w:pPr>
              <w:jc w:val="right"/>
              <w:rPr>
                <w:rFonts w:eastAsia="Calibri"/>
                <w:bCs/>
                <w:sz w:val="24"/>
              </w:rPr>
            </w:pPr>
            <w:r w:rsidRPr="00797119">
              <w:rPr>
                <w:rFonts w:eastAsia="Calibri"/>
                <w:bCs/>
                <w:sz w:val="24"/>
              </w:rPr>
              <w:t>1,314</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C57BFC" w:rsidR="009644D3" w:rsidP="009644D3" w:rsidRDefault="009644D3" w14:paraId="334B0E9D" w14:textId="1E042AF8">
            <w:pPr>
              <w:jc w:val="right"/>
              <w:rPr>
                <w:rFonts w:eastAsia="Calibri"/>
                <w:sz w:val="24"/>
              </w:rPr>
            </w:pPr>
            <w:r w:rsidRPr="00C57BFC">
              <w:rPr>
                <w:rFonts w:eastAsia="Calibri"/>
                <w:sz w:val="24"/>
              </w:rPr>
              <w:t>4 hrs.; $332</w:t>
            </w:r>
          </w:p>
          <w:p w:rsidRPr="00C57BFC" w:rsidR="009644D3" w:rsidP="009644D3" w:rsidRDefault="009644D3" w14:paraId="6B4622D3" w14:textId="56AFDA00">
            <w:pPr>
              <w:jc w:val="right"/>
              <w:rPr>
                <w:rFonts w:eastAsia="Calibri"/>
                <w:sz w:val="24"/>
              </w:rPr>
            </w:pPr>
          </w:p>
        </w:tc>
        <w:tc>
          <w:tcPr>
            <w:tcW w:w="852" w:type="pct"/>
            <w:tcBorders>
              <w:top w:val="single" w:color="auto" w:sz="4" w:space="0"/>
              <w:left w:val="single" w:color="auto" w:sz="4" w:space="0"/>
              <w:bottom w:val="single" w:color="auto" w:sz="4" w:space="0"/>
              <w:right w:val="single" w:color="auto" w:sz="4" w:space="0"/>
            </w:tcBorders>
            <w:shd w:val="clear" w:color="auto" w:fill="auto"/>
          </w:tcPr>
          <w:p w:rsidRPr="00C57BFC" w:rsidR="009644D3" w:rsidP="009644D3" w:rsidRDefault="009644D3" w14:paraId="7CB2F51B" w14:textId="5DB0CA2D">
            <w:pPr>
              <w:jc w:val="right"/>
              <w:rPr>
                <w:rFonts w:eastAsia="Calibri"/>
                <w:bCs/>
                <w:sz w:val="24"/>
              </w:rPr>
            </w:pPr>
            <w:r w:rsidRPr="00C57BFC">
              <w:rPr>
                <w:rFonts w:eastAsia="Calibri"/>
                <w:bCs/>
                <w:sz w:val="24"/>
              </w:rPr>
              <w:t>5,256 hrs.; $436,248</w:t>
            </w: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C57BFC" w:rsidR="009644D3" w:rsidP="009644D3" w:rsidRDefault="009644D3" w14:paraId="787218B2" w14:textId="37C84D95">
            <w:pPr>
              <w:jc w:val="right"/>
              <w:rPr>
                <w:rFonts w:eastAsia="Calibri"/>
                <w:bCs/>
                <w:sz w:val="24"/>
              </w:rPr>
            </w:pPr>
            <w:r w:rsidRPr="00C57BFC">
              <w:rPr>
                <w:rFonts w:eastAsia="Calibri"/>
                <w:bCs/>
                <w:sz w:val="24"/>
              </w:rPr>
              <w:t>$332</w:t>
            </w:r>
          </w:p>
        </w:tc>
      </w:tr>
      <w:tr w:rsidRPr="00797119" w:rsidR="009644D3" w:rsidTr="00A746F6" w14:paraId="29F8FE02" w14:textId="77777777">
        <w:trPr>
          <w:gridAfter w:val="1"/>
          <w:wAfter w:w="652" w:type="pct"/>
          <w:cantSplit/>
          <w:trHeight w:val="485"/>
        </w:trPr>
        <w:tc>
          <w:tcPr>
            <w:tcW w:w="434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2E5FBD96" w14:textId="4F1B8807">
            <w:pPr>
              <w:jc w:val="center"/>
              <w:rPr>
                <w:rFonts w:eastAsia="Calibri"/>
                <w:bCs/>
                <w:sz w:val="24"/>
              </w:rPr>
            </w:pPr>
            <w:r w:rsidRPr="00797119">
              <w:rPr>
                <w:rFonts w:eastAsia="Calibri"/>
                <w:b/>
                <w:bCs/>
                <w:sz w:val="24"/>
              </w:rPr>
              <w:t>PRC-019-2</w:t>
            </w:r>
          </w:p>
        </w:tc>
      </w:tr>
      <w:tr w:rsidRPr="00797119" w:rsidR="00A746F6" w:rsidTr="00DF54A0" w14:paraId="0B3E27BA" w14:textId="77777777">
        <w:trPr>
          <w:cantSplit/>
          <w:trHeight w:val="48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6747F188" w14:textId="1623A570">
            <w:pPr>
              <w:rPr>
                <w:rFonts w:eastAsia="Calibri"/>
                <w:bCs/>
                <w:sz w:val="24"/>
              </w:rPr>
            </w:pPr>
            <w:r w:rsidRPr="00797119">
              <w:rPr>
                <w:rFonts w:eastAsia="Calibri"/>
                <w:bCs/>
                <w:sz w:val="24"/>
              </w:rPr>
              <w:t>GO/TO</w:t>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4E09EADD" w14:textId="700D3297">
            <w:pPr>
              <w:jc w:val="right"/>
              <w:rPr>
                <w:rFonts w:eastAsia="Calibri"/>
                <w:sz w:val="24"/>
              </w:rPr>
            </w:pPr>
            <w:r w:rsidRPr="00797119">
              <w:rPr>
                <w:rFonts w:eastAsia="Calibri"/>
                <w:sz w:val="24"/>
              </w:rPr>
              <w:t>1,178</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6D83EECF" w14:textId="18F1D148">
            <w:pPr>
              <w:jc w:val="right"/>
              <w:rPr>
                <w:rFonts w:eastAsia="Calibri"/>
                <w:sz w:val="24"/>
              </w:rPr>
            </w:pPr>
            <w:r w:rsidRPr="00797119">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96D62D2" w14:textId="455ABCD2">
            <w:pPr>
              <w:jc w:val="right"/>
              <w:rPr>
                <w:rFonts w:eastAsia="Calibri"/>
                <w:bCs/>
                <w:sz w:val="24"/>
              </w:rPr>
            </w:pPr>
            <w:r w:rsidRPr="00797119">
              <w:rPr>
                <w:rFonts w:eastAsia="Calibri"/>
                <w:bCs/>
                <w:sz w:val="24"/>
              </w:rPr>
              <w:t>1,178</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4751A95" w14:textId="11CED46B">
            <w:pPr>
              <w:jc w:val="right"/>
              <w:rPr>
                <w:rFonts w:eastAsia="Calibri"/>
                <w:sz w:val="24"/>
              </w:rPr>
            </w:pPr>
            <w:r w:rsidRPr="00797119">
              <w:rPr>
                <w:rFonts w:eastAsia="Calibri"/>
                <w:sz w:val="24"/>
              </w:rPr>
              <w:t>8</w:t>
            </w:r>
            <w:r w:rsidR="00672E69">
              <w:rPr>
                <w:rFonts w:eastAsia="Calibri"/>
                <w:sz w:val="24"/>
              </w:rPr>
              <w:t>.9</w:t>
            </w:r>
            <w:r w:rsidRPr="00797119">
              <w:rPr>
                <w:rFonts w:eastAsia="Calibri"/>
                <w:sz w:val="24"/>
              </w:rPr>
              <w:t xml:space="preserve"> hrs.; $</w:t>
            </w:r>
            <w:r w:rsidR="00672E69">
              <w:rPr>
                <w:rFonts w:eastAsia="Calibri"/>
                <w:sz w:val="24"/>
              </w:rPr>
              <w:t>664</w:t>
            </w:r>
          </w:p>
        </w:tc>
        <w:tc>
          <w:tcPr>
            <w:tcW w:w="85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4B89AF8D" w14:textId="35EC13A6">
            <w:pPr>
              <w:jc w:val="right"/>
              <w:rPr>
                <w:rFonts w:eastAsia="Calibri"/>
                <w:bCs/>
                <w:sz w:val="24"/>
              </w:rPr>
            </w:pPr>
            <w:r w:rsidRPr="00797119">
              <w:rPr>
                <w:rFonts w:eastAsia="Calibri"/>
                <w:bCs/>
                <w:sz w:val="24"/>
              </w:rPr>
              <w:t>9,424 hrs.; $</w:t>
            </w:r>
            <w:r w:rsidR="00672E69">
              <w:rPr>
                <w:rFonts w:eastAsia="Calibri"/>
                <w:bCs/>
                <w:sz w:val="24"/>
              </w:rPr>
              <w:t>782,192</w:t>
            </w: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C20A3F0" w14:textId="554CC589">
            <w:pPr>
              <w:jc w:val="right"/>
              <w:rPr>
                <w:rFonts w:eastAsia="Calibri"/>
                <w:bCs/>
                <w:sz w:val="24"/>
              </w:rPr>
            </w:pPr>
            <w:r w:rsidRPr="00797119">
              <w:rPr>
                <w:rFonts w:eastAsia="Calibri"/>
                <w:bCs/>
                <w:sz w:val="24"/>
              </w:rPr>
              <w:t>$</w:t>
            </w:r>
            <w:r w:rsidR="00672E69">
              <w:rPr>
                <w:rFonts w:eastAsia="Calibri"/>
                <w:bCs/>
                <w:sz w:val="24"/>
              </w:rPr>
              <w:t>664</w:t>
            </w:r>
          </w:p>
        </w:tc>
      </w:tr>
      <w:tr w:rsidRPr="00797119" w:rsidR="009644D3" w:rsidTr="00A746F6" w14:paraId="3788CFEE" w14:textId="77777777">
        <w:trPr>
          <w:gridAfter w:val="1"/>
          <w:wAfter w:w="652" w:type="pct"/>
          <w:cantSplit/>
          <w:trHeight w:val="485"/>
        </w:trPr>
        <w:tc>
          <w:tcPr>
            <w:tcW w:w="434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2E10047C" w14:textId="3A8C1BC5">
            <w:pPr>
              <w:jc w:val="center"/>
              <w:rPr>
                <w:rFonts w:eastAsia="Calibri"/>
                <w:bCs/>
                <w:sz w:val="24"/>
              </w:rPr>
            </w:pPr>
            <w:bookmarkStart w:name="_Hlk72421854" w:id="3"/>
            <w:r w:rsidRPr="00797119">
              <w:rPr>
                <w:rFonts w:eastAsia="Calibri"/>
                <w:b/>
                <w:sz w:val="24"/>
              </w:rPr>
              <w:t>PRC-024-1</w:t>
            </w:r>
          </w:p>
        </w:tc>
      </w:tr>
      <w:tr w:rsidRPr="00797119" w:rsidR="00A746F6" w:rsidTr="00DF54A0" w14:paraId="288308F7" w14:textId="77777777">
        <w:trPr>
          <w:cantSplit/>
          <w:trHeight w:val="48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1B90E85B" w14:textId="77777777">
            <w:pPr>
              <w:rPr>
                <w:rFonts w:eastAsia="Calibri"/>
                <w:bCs/>
                <w:sz w:val="24"/>
              </w:rPr>
            </w:pPr>
            <w:bookmarkStart w:name="_Hlk72421809" w:id="4"/>
            <w:bookmarkEnd w:id="3"/>
            <w:r w:rsidRPr="00797119">
              <w:rPr>
                <w:rFonts w:eastAsia="Calibri"/>
                <w:bCs/>
                <w:sz w:val="24"/>
              </w:rPr>
              <w:t>GO</w:t>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212EB889" w14:textId="77777777">
            <w:pPr>
              <w:jc w:val="right"/>
              <w:rPr>
                <w:rFonts w:eastAsia="Calibri"/>
                <w:sz w:val="24"/>
              </w:rPr>
            </w:pPr>
            <w:r w:rsidRPr="00797119">
              <w:rPr>
                <w:rFonts w:eastAsia="Calibri"/>
                <w:sz w:val="24"/>
              </w:rPr>
              <w:t>1,003</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186A3291" w14:textId="77777777">
            <w:pPr>
              <w:jc w:val="right"/>
              <w:rPr>
                <w:rFonts w:eastAsia="Calibri"/>
                <w:sz w:val="24"/>
              </w:rPr>
            </w:pPr>
            <w:r w:rsidRPr="00797119">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3D22B380" w14:textId="77777777">
            <w:pPr>
              <w:jc w:val="right"/>
              <w:rPr>
                <w:rFonts w:eastAsia="Calibri"/>
                <w:bCs/>
                <w:sz w:val="24"/>
              </w:rPr>
            </w:pPr>
            <w:r w:rsidRPr="00797119">
              <w:rPr>
                <w:rFonts w:eastAsia="Calibri"/>
                <w:bCs/>
                <w:sz w:val="24"/>
              </w:rPr>
              <w:t>1,003</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74D12A2" w14:textId="5AAD9625">
            <w:pPr>
              <w:jc w:val="right"/>
              <w:rPr>
                <w:rFonts w:eastAsia="Calibri"/>
                <w:sz w:val="24"/>
              </w:rPr>
            </w:pPr>
            <w:r w:rsidRPr="00797119">
              <w:rPr>
                <w:rFonts w:eastAsia="Calibri"/>
                <w:sz w:val="24"/>
              </w:rPr>
              <w:t>8 hrs.; $</w:t>
            </w:r>
            <w:r w:rsidR="00672E69">
              <w:rPr>
                <w:rFonts w:eastAsia="Calibri"/>
                <w:sz w:val="24"/>
              </w:rPr>
              <w:t>664</w:t>
            </w:r>
          </w:p>
        </w:tc>
        <w:tc>
          <w:tcPr>
            <w:tcW w:w="85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62D0C896" w14:textId="57B3721A">
            <w:pPr>
              <w:jc w:val="right"/>
              <w:rPr>
                <w:rFonts w:eastAsia="Calibri"/>
                <w:bCs/>
                <w:sz w:val="24"/>
              </w:rPr>
            </w:pPr>
            <w:r w:rsidRPr="00797119">
              <w:rPr>
                <w:rFonts w:eastAsia="Calibri"/>
                <w:bCs/>
                <w:sz w:val="24"/>
              </w:rPr>
              <w:t>8,024 hrs.; $</w:t>
            </w:r>
            <w:r w:rsidR="00672E69">
              <w:rPr>
                <w:rFonts w:eastAsia="Calibri"/>
                <w:bCs/>
                <w:sz w:val="24"/>
              </w:rPr>
              <w:t>665,992</w:t>
            </w: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EAC0685" w14:textId="4480F0AA">
            <w:pPr>
              <w:jc w:val="right"/>
              <w:rPr>
                <w:rFonts w:eastAsia="Calibri"/>
                <w:bCs/>
                <w:sz w:val="24"/>
              </w:rPr>
            </w:pPr>
            <w:r w:rsidRPr="00797119">
              <w:rPr>
                <w:rFonts w:eastAsia="Calibri"/>
                <w:bCs/>
                <w:sz w:val="24"/>
              </w:rPr>
              <w:t>$</w:t>
            </w:r>
            <w:r w:rsidR="00672E69">
              <w:rPr>
                <w:rFonts w:eastAsia="Calibri"/>
                <w:bCs/>
                <w:sz w:val="24"/>
              </w:rPr>
              <w:t>664</w:t>
            </w:r>
          </w:p>
        </w:tc>
      </w:tr>
      <w:bookmarkEnd w:id="4"/>
      <w:tr w:rsidRPr="00797119" w:rsidR="009644D3" w:rsidTr="00A746F6" w14:paraId="05F677CA" w14:textId="77777777">
        <w:trPr>
          <w:gridAfter w:val="1"/>
          <w:wAfter w:w="652" w:type="pct"/>
          <w:cantSplit/>
          <w:trHeight w:val="485"/>
        </w:trPr>
        <w:tc>
          <w:tcPr>
            <w:tcW w:w="434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65A1A9A8" w14:textId="485EB102">
            <w:pPr>
              <w:jc w:val="center"/>
              <w:rPr>
                <w:rFonts w:eastAsia="Calibri"/>
                <w:bCs/>
                <w:sz w:val="24"/>
              </w:rPr>
            </w:pPr>
            <w:r w:rsidRPr="00797119">
              <w:rPr>
                <w:rFonts w:eastAsia="Calibri"/>
                <w:b/>
                <w:sz w:val="24"/>
              </w:rPr>
              <w:t>PRC-026-1</w:t>
            </w:r>
          </w:p>
        </w:tc>
      </w:tr>
      <w:tr w:rsidRPr="00797119" w:rsidR="00A746F6" w:rsidTr="00DF54A0" w14:paraId="48F04396" w14:textId="77777777">
        <w:trPr>
          <w:cantSplit/>
          <w:trHeight w:val="48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060A6FE1" w14:textId="7E9AA296">
            <w:pPr>
              <w:rPr>
                <w:rFonts w:eastAsia="Calibri"/>
                <w:bCs/>
                <w:sz w:val="24"/>
              </w:rPr>
            </w:pPr>
            <w:r w:rsidRPr="00797119">
              <w:rPr>
                <w:rFonts w:eastAsia="Calibri"/>
                <w:bCs/>
                <w:sz w:val="24"/>
              </w:rPr>
              <w:lastRenderedPageBreak/>
              <w:t>GO/PC/TO</w:t>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5972BA51" w14:textId="46CD4032">
            <w:pPr>
              <w:jc w:val="right"/>
              <w:rPr>
                <w:rFonts w:eastAsia="Calibri"/>
                <w:sz w:val="24"/>
              </w:rPr>
            </w:pPr>
            <w:r w:rsidRPr="00797119">
              <w:rPr>
                <w:rFonts w:eastAsia="Calibri"/>
                <w:sz w:val="24"/>
              </w:rPr>
              <w:t>1,189</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21629C61" w14:textId="7FD50770">
            <w:pPr>
              <w:jc w:val="right"/>
              <w:rPr>
                <w:rFonts w:eastAsia="Calibri"/>
                <w:sz w:val="24"/>
              </w:rPr>
            </w:pPr>
            <w:r w:rsidRPr="00797119">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5F15FEBE" w14:textId="4B248678">
            <w:pPr>
              <w:jc w:val="right"/>
              <w:rPr>
                <w:rFonts w:eastAsia="Calibri"/>
                <w:sz w:val="24"/>
              </w:rPr>
            </w:pPr>
            <w:r w:rsidRPr="00797119">
              <w:rPr>
                <w:rFonts w:eastAsia="Calibri"/>
                <w:sz w:val="24"/>
              </w:rPr>
              <w:t>1,189</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573E5F" w:rsidR="009644D3" w:rsidP="009644D3" w:rsidRDefault="009644D3" w14:paraId="69DAA021" w14:textId="4039E5C3">
            <w:pPr>
              <w:jc w:val="right"/>
              <w:rPr>
                <w:rFonts w:eastAsia="Calibri"/>
                <w:sz w:val="24"/>
              </w:rPr>
            </w:pPr>
            <w:r w:rsidRPr="00573E5F">
              <w:rPr>
                <w:rFonts w:eastAsia="Calibri"/>
                <w:sz w:val="24"/>
              </w:rPr>
              <w:t>18 hrs.; $</w:t>
            </w:r>
            <w:r w:rsidR="00672E69">
              <w:rPr>
                <w:rFonts w:eastAsia="Calibri"/>
                <w:sz w:val="24"/>
              </w:rPr>
              <w:t>1,494</w:t>
            </w:r>
          </w:p>
        </w:tc>
        <w:tc>
          <w:tcPr>
            <w:tcW w:w="852" w:type="pct"/>
            <w:tcBorders>
              <w:top w:val="single" w:color="auto" w:sz="4" w:space="0"/>
              <w:left w:val="single" w:color="auto" w:sz="4" w:space="0"/>
              <w:bottom w:val="single" w:color="auto" w:sz="4" w:space="0"/>
              <w:right w:val="single" w:color="auto" w:sz="4" w:space="0"/>
            </w:tcBorders>
            <w:shd w:val="clear" w:color="auto" w:fill="auto"/>
          </w:tcPr>
          <w:p w:rsidRPr="00573E5F" w:rsidR="009644D3" w:rsidP="009644D3" w:rsidRDefault="009644D3" w14:paraId="033DFB6B" w14:textId="0A22491A">
            <w:pPr>
              <w:jc w:val="right"/>
              <w:rPr>
                <w:rFonts w:eastAsia="Calibri"/>
                <w:bCs/>
                <w:sz w:val="24"/>
              </w:rPr>
            </w:pPr>
            <w:r w:rsidRPr="00573E5F">
              <w:rPr>
                <w:rFonts w:eastAsia="Calibri"/>
                <w:bCs/>
                <w:sz w:val="24"/>
              </w:rPr>
              <w:t>21,402 hrs.; $</w:t>
            </w:r>
            <w:r w:rsidR="00672E69">
              <w:rPr>
                <w:rFonts w:eastAsia="Calibri"/>
                <w:bCs/>
                <w:sz w:val="24"/>
              </w:rPr>
              <w:t>1,776,366</w:t>
            </w: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BE2DAC9" w14:textId="3DD1DB9F">
            <w:pPr>
              <w:jc w:val="right"/>
              <w:rPr>
                <w:rFonts w:eastAsia="Calibri"/>
                <w:bCs/>
                <w:sz w:val="24"/>
              </w:rPr>
            </w:pPr>
            <w:r w:rsidRPr="00797119">
              <w:rPr>
                <w:rFonts w:eastAsia="Calibri"/>
                <w:bCs/>
                <w:sz w:val="24"/>
              </w:rPr>
              <w:t>$</w:t>
            </w:r>
            <w:r w:rsidR="00672E69">
              <w:rPr>
                <w:rFonts w:eastAsia="Calibri"/>
                <w:bCs/>
                <w:sz w:val="24"/>
              </w:rPr>
              <w:t>1,494</w:t>
            </w:r>
          </w:p>
        </w:tc>
      </w:tr>
      <w:tr w:rsidRPr="00797119" w:rsidR="009644D3" w:rsidTr="00A746F6" w14:paraId="2CF54686" w14:textId="77777777">
        <w:trPr>
          <w:gridAfter w:val="1"/>
          <w:wAfter w:w="652" w:type="pct"/>
          <w:cantSplit/>
          <w:trHeight w:val="485"/>
        </w:trPr>
        <w:tc>
          <w:tcPr>
            <w:tcW w:w="434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2F24AC5D" w14:textId="669DA367">
            <w:pPr>
              <w:jc w:val="center"/>
              <w:rPr>
                <w:rFonts w:eastAsia="Calibri"/>
                <w:bCs/>
                <w:sz w:val="24"/>
              </w:rPr>
            </w:pPr>
            <w:r w:rsidRPr="00797119">
              <w:rPr>
                <w:rFonts w:eastAsia="Calibri"/>
                <w:b/>
                <w:sz w:val="24"/>
              </w:rPr>
              <w:t>PRC-002-2</w:t>
            </w:r>
          </w:p>
        </w:tc>
      </w:tr>
      <w:tr w:rsidRPr="00797119" w:rsidR="00A746F6" w:rsidTr="00DF54A0" w14:paraId="08B9CE1E" w14:textId="77777777">
        <w:trPr>
          <w:cantSplit/>
          <w:trHeight w:val="48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10DFE792" w14:textId="62ACB502">
            <w:pPr>
              <w:rPr>
                <w:rFonts w:eastAsia="Calibri"/>
                <w:bCs/>
                <w:sz w:val="24"/>
              </w:rPr>
            </w:pPr>
            <w:r w:rsidRPr="00797119">
              <w:rPr>
                <w:rFonts w:eastAsia="Calibri"/>
                <w:bCs/>
                <w:sz w:val="24"/>
              </w:rPr>
              <w:t>TO/GO/PC</w:t>
            </w:r>
            <w:r w:rsidRPr="00797119">
              <w:rPr>
                <w:rStyle w:val="FootnoteReference"/>
                <w:rFonts w:eastAsia="Calibri"/>
                <w:bCs/>
                <w:sz w:val="24"/>
                <w:szCs w:val="24"/>
              </w:rPr>
              <w:footnoteReference w:id="19"/>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8C38714" w14:textId="35B6AC2C">
            <w:pPr>
              <w:jc w:val="right"/>
              <w:rPr>
                <w:rFonts w:eastAsia="Calibri"/>
                <w:sz w:val="24"/>
              </w:rPr>
            </w:pPr>
            <w:r w:rsidRPr="00797119">
              <w:rPr>
                <w:rFonts w:eastAsia="Calibri"/>
                <w:sz w:val="24"/>
              </w:rPr>
              <w:t>1,189</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00220F91" w14:textId="3BF7F252">
            <w:pPr>
              <w:jc w:val="right"/>
              <w:rPr>
                <w:rFonts w:eastAsia="Calibri"/>
                <w:sz w:val="24"/>
              </w:rPr>
            </w:pPr>
            <w:r w:rsidRPr="00797119">
              <w:rPr>
                <w:rFonts w:eastAsia="Calibri"/>
                <w:sz w:val="24"/>
              </w:rPr>
              <w:t>0.50</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35BBE68C" w14:textId="32180191">
            <w:pPr>
              <w:jc w:val="right"/>
              <w:rPr>
                <w:rFonts w:eastAsia="Calibri"/>
                <w:sz w:val="24"/>
              </w:rPr>
            </w:pPr>
            <w:r w:rsidRPr="00797119">
              <w:rPr>
                <w:rFonts w:eastAsia="Calibri"/>
                <w:sz w:val="24"/>
              </w:rPr>
              <w:t>594.5</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04885D89" w14:textId="7F19FBB8">
            <w:pPr>
              <w:jc w:val="right"/>
              <w:rPr>
                <w:rFonts w:eastAsia="Calibri"/>
                <w:sz w:val="24"/>
              </w:rPr>
            </w:pPr>
            <w:r w:rsidRPr="00797119">
              <w:rPr>
                <w:rFonts w:eastAsia="Calibri"/>
                <w:sz w:val="24"/>
              </w:rPr>
              <w:t>100 hrs.; $8,</w:t>
            </w:r>
            <w:r w:rsidR="00672E69">
              <w:rPr>
                <w:rFonts w:eastAsia="Calibri"/>
                <w:sz w:val="24"/>
              </w:rPr>
              <w:t>300</w:t>
            </w:r>
          </w:p>
        </w:tc>
        <w:tc>
          <w:tcPr>
            <w:tcW w:w="85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E78F601" w14:textId="699C5DBE">
            <w:pPr>
              <w:jc w:val="right"/>
              <w:rPr>
                <w:rFonts w:eastAsia="Calibri"/>
                <w:bCs/>
                <w:sz w:val="24"/>
              </w:rPr>
            </w:pPr>
            <w:r w:rsidRPr="00797119">
              <w:rPr>
                <w:rFonts w:eastAsia="Calibri"/>
                <w:bCs/>
                <w:sz w:val="24"/>
              </w:rPr>
              <w:t>59,450 hrs.; $4,</w:t>
            </w:r>
            <w:r w:rsidR="00672E69">
              <w:rPr>
                <w:rFonts w:eastAsia="Calibri"/>
                <w:bCs/>
                <w:sz w:val="24"/>
              </w:rPr>
              <w:t>93</w:t>
            </w:r>
            <w:r w:rsidR="00F07DF3">
              <w:rPr>
                <w:rFonts w:eastAsia="Calibri"/>
                <w:bCs/>
                <w:sz w:val="24"/>
              </w:rPr>
              <w:t>4</w:t>
            </w:r>
            <w:r w:rsidR="00672E69">
              <w:rPr>
                <w:rFonts w:eastAsia="Calibri"/>
                <w:bCs/>
                <w:sz w:val="24"/>
              </w:rPr>
              <w:t>,350</w:t>
            </w: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01828F22" w14:textId="6919B505">
            <w:pPr>
              <w:jc w:val="right"/>
              <w:rPr>
                <w:rFonts w:eastAsia="Calibri"/>
                <w:bCs/>
                <w:sz w:val="24"/>
              </w:rPr>
            </w:pPr>
            <w:r w:rsidRPr="00797119">
              <w:rPr>
                <w:rFonts w:eastAsia="Calibri"/>
                <w:bCs/>
                <w:sz w:val="24"/>
              </w:rPr>
              <w:t>$8,</w:t>
            </w:r>
            <w:r w:rsidR="00672E69">
              <w:rPr>
                <w:rFonts w:eastAsia="Calibri"/>
                <w:bCs/>
                <w:sz w:val="24"/>
              </w:rPr>
              <w:t>300</w:t>
            </w:r>
          </w:p>
        </w:tc>
      </w:tr>
      <w:tr w:rsidRPr="00797119" w:rsidR="009644D3" w:rsidTr="00A746F6" w14:paraId="3861FDA6" w14:textId="77777777">
        <w:trPr>
          <w:gridAfter w:val="1"/>
          <w:wAfter w:w="652" w:type="pct"/>
          <w:cantSplit/>
          <w:trHeight w:val="485"/>
        </w:trPr>
        <w:tc>
          <w:tcPr>
            <w:tcW w:w="434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56E20837" w14:textId="4FA7C30D">
            <w:pPr>
              <w:jc w:val="center"/>
              <w:rPr>
                <w:rFonts w:eastAsia="Calibri"/>
                <w:bCs/>
                <w:sz w:val="24"/>
              </w:rPr>
            </w:pPr>
            <w:r w:rsidRPr="00797119">
              <w:rPr>
                <w:rFonts w:eastAsia="Calibri"/>
                <w:b/>
                <w:sz w:val="24"/>
              </w:rPr>
              <w:t>PRC-012-2</w:t>
            </w:r>
          </w:p>
        </w:tc>
      </w:tr>
      <w:tr w:rsidRPr="00797119" w:rsidR="00A746F6" w:rsidTr="00DF54A0" w14:paraId="77DF24E9" w14:textId="77777777">
        <w:trPr>
          <w:cantSplit/>
          <w:trHeight w:val="48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04AA9EEF" w14:textId="4FFFD719">
            <w:pPr>
              <w:rPr>
                <w:rFonts w:eastAsia="Calibri"/>
                <w:bCs/>
                <w:sz w:val="24"/>
              </w:rPr>
            </w:pPr>
            <w:r w:rsidRPr="00797119">
              <w:rPr>
                <w:rFonts w:eastAsia="Calibri"/>
                <w:bCs/>
                <w:sz w:val="24"/>
              </w:rPr>
              <w:t>RC/PC/TO/GO/DP</w:t>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209FE030" w14:textId="24EBC3BC">
            <w:pPr>
              <w:jc w:val="right"/>
              <w:rPr>
                <w:rFonts w:eastAsia="Calibri"/>
                <w:sz w:val="24"/>
              </w:rPr>
            </w:pPr>
            <w:r w:rsidRPr="00797119">
              <w:rPr>
                <w:rFonts w:eastAsia="Calibri"/>
                <w:sz w:val="24"/>
              </w:rPr>
              <w:t>1,329</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30684F1B" w14:textId="3B91A0DC">
            <w:pPr>
              <w:jc w:val="right"/>
              <w:rPr>
                <w:rFonts w:eastAsia="Calibri"/>
                <w:sz w:val="24"/>
              </w:rPr>
            </w:pPr>
            <w:r w:rsidRPr="00797119">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2CAF8518" w14:textId="03C0BB1F">
            <w:pPr>
              <w:jc w:val="right"/>
              <w:rPr>
                <w:rFonts w:eastAsia="Calibri"/>
                <w:sz w:val="24"/>
              </w:rPr>
            </w:pPr>
            <w:r w:rsidRPr="00797119">
              <w:rPr>
                <w:rFonts w:eastAsia="Calibri"/>
                <w:sz w:val="24"/>
              </w:rPr>
              <w:t>1,329</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6491ABBB" w14:textId="16894126">
            <w:pPr>
              <w:jc w:val="right"/>
              <w:rPr>
                <w:rFonts w:eastAsia="Calibri"/>
                <w:sz w:val="24"/>
              </w:rPr>
            </w:pPr>
            <w:r w:rsidRPr="00797119">
              <w:rPr>
                <w:rFonts w:eastAsia="Calibri"/>
                <w:sz w:val="24"/>
              </w:rPr>
              <w:t>88 hrs.; $</w:t>
            </w:r>
            <w:r w:rsidR="00672E69">
              <w:rPr>
                <w:rFonts w:eastAsia="Calibri"/>
                <w:sz w:val="24"/>
              </w:rPr>
              <w:t>7,304</w:t>
            </w:r>
          </w:p>
        </w:tc>
        <w:tc>
          <w:tcPr>
            <w:tcW w:w="85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4375FFBF" w14:textId="704F331D">
            <w:pPr>
              <w:jc w:val="right"/>
              <w:rPr>
                <w:rFonts w:eastAsia="Calibri"/>
                <w:bCs/>
                <w:sz w:val="24"/>
              </w:rPr>
            </w:pPr>
            <w:r w:rsidRPr="00797119">
              <w:rPr>
                <w:rFonts w:eastAsia="Calibri"/>
                <w:bCs/>
                <w:sz w:val="24"/>
              </w:rPr>
              <w:t>116,952 hrs.; $9,</w:t>
            </w:r>
            <w:r w:rsidR="00672E69">
              <w:rPr>
                <w:rFonts w:eastAsia="Calibri"/>
                <w:bCs/>
                <w:sz w:val="24"/>
              </w:rPr>
              <w:t>707,016</w:t>
            </w: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20E121EC" w14:textId="5C2BAAD8">
            <w:pPr>
              <w:jc w:val="right"/>
              <w:rPr>
                <w:rFonts w:eastAsia="Calibri"/>
                <w:bCs/>
                <w:sz w:val="24"/>
              </w:rPr>
            </w:pPr>
            <w:r w:rsidRPr="00797119">
              <w:rPr>
                <w:rFonts w:eastAsia="Calibri"/>
                <w:bCs/>
                <w:sz w:val="24"/>
              </w:rPr>
              <w:t>$</w:t>
            </w:r>
            <w:r w:rsidR="00672E69">
              <w:rPr>
                <w:rFonts w:eastAsia="Calibri"/>
                <w:bCs/>
                <w:sz w:val="24"/>
              </w:rPr>
              <w:t>7,304</w:t>
            </w:r>
          </w:p>
        </w:tc>
      </w:tr>
      <w:tr w:rsidRPr="00797119" w:rsidR="009644D3" w:rsidTr="00A746F6" w14:paraId="49D79380" w14:textId="77777777">
        <w:trPr>
          <w:gridAfter w:val="1"/>
          <w:wAfter w:w="652" w:type="pct"/>
          <w:cantSplit/>
          <w:trHeight w:val="485"/>
        </w:trPr>
        <w:tc>
          <w:tcPr>
            <w:tcW w:w="434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53D26773" w14:textId="1C842F3C">
            <w:pPr>
              <w:jc w:val="center"/>
              <w:rPr>
                <w:rFonts w:eastAsia="Calibri"/>
                <w:bCs/>
                <w:sz w:val="24"/>
              </w:rPr>
            </w:pPr>
            <w:r w:rsidRPr="00797119">
              <w:rPr>
                <w:rFonts w:eastAsia="Calibri"/>
                <w:b/>
                <w:sz w:val="24"/>
              </w:rPr>
              <w:t>PRC-027-1</w:t>
            </w:r>
          </w:p>
        </w:tc>
      </w:tr>
      <w:tr w:rsidRPr="00797119" w:rsidR="00A746F6" w:rsidTr="00DF54A0" w14:paraId="13229E57" w14:textId="77777777">
        <w:trPr>
          <w:cantSplit/>
          <w:trHeight w:val="75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2DABD511" w14:textId="7D571609">
            <w:pPr>
              <w:rPr>
                <w:rFonts w:eastAsia="Calibri"/>
                <w:bCs/>
                <w:sz w:val="24"/>
              </w:rPr>
            </w:pPr>
            <w:r w:rsidRPr="00797119">
              <w:rPr>
                <w:rFonts w:eastAsia="Calibri"/>
                <w:bCs/>
                <w:sz w:val="24"/>
              </w:rPr>
              <w:t>TO/GO/DP</w:t>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3419A66C" w14:textId="2437A93B">
            <w:pPr>
              <w:jc w:val="right"/>
              <w:rPr>
                <w:rFonts w:eastAsia="Calibri"/>
                <w:sz w:val="24"/>
              </w:rPr>
            </w:pPr>
            <w:r w:rsidRPr="00797119">
              <w:rPr>
                <w:rFonts w:eastAsia="Calibri"/>
                <w:sz w:val="24"/>
              </w:rPr>
              <w:t>1,314</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57124E61" w14:textId="70FE34A0">
            <w:pPr>
              <w:jc w:val="right"/>
              <w:rPr>
                <w:rFonts w:eastAsia="Calibri"/>
                <w:sz w:val="24"/>
              </w:rPr>
            </w:pPr>
            <w:r>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455D493" w14:textId="0663FBC0">
            <w:pPr>
              <w:jc w:val="right"/>
              <w:rPr>
                <w:rFonts w:eastAsia="Calibri"/>
                <w:sz w:val="24"/>
              </w:rPr>
            </w:pPr>
            <w:r w:rsidRPr="00797119">
              <w:rPr>
                <w:rFonts w:eastAsia="Calibri"/>
                <w:sz w:val="24"/>
              </w:rPr>
              <w:t>1,314</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1BC8F67A" w14:textId="4BB506B8">
            <w:pPr>
              <w:jc w:val="right"/>
              <w:rPr>
                <w:rFonts w:eastAsia="Calibri"/>
                <w:sz w:val="24"/>
              </w:rPr>
            </w:pPr>
            <w:r w:rsidRPr="00797119">
              <w:rPr>
                <w:rFonts w:eastAsia="Calibri"/>
                <w:sz w:val="24"/>
              </w:rPr>
              <w:t>44 hrs.; $</w:t>
            </w:r>
            <w:r w:rsidR="00672E69">
              <w:rPr>
                <w:rFonts w:eastAsia="Calibri"/>
                <w:sz w:val="24"/>
              </w:rPr>
              <w:t>3,652</w:t>
            </w:r>
          </w:p>
        </w:tc>
        <w:tc>
          <w:tcPr>
            <w:tcW w:w="85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07A46F87" w14:textId="285E682E">
            <w:pPr>
              <w:jc w:val="right"/>
              <w:rPr>
                <w:rFonts w:eastAsia="Calibri"/>
                <w:bCs/>
                <w:sz w:val="24"/>
              </w:rPr>
            </w:pPr>
            <w:r w:rsidRPr="00797119">
              <w:rPr>
                <w:rFonts w:eastAsia="Calibri"/>
                <w:bCs/>
                <w:sz w:val="24"/>
              </w:rPr>
              <w:t>57,816 hrs.; $</w:t>
            </w:r>
            <w:r w:rsidR="00672E69">
              <w:rPr>
                <w:rFonts w:eastAsia="Calibri"/>
                <w:bCs/>
                <w:sz w:val="24"/>
              </w:rPr>
              <w:t>4,798,728</w:t>
            </w: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4A575347" w14:textId="2C1EBE31">
            <w:pPr>
              <w:jc w:val="right"/>
              <w:rPr>
                <w:rFonts w:eastAsia="Calibri"/>
                <w:bCs/>
                <w:sz w:val="24"/>
              </w:rPr>
            </w:pPr>
            <w:r w:rsidRPr="00797119">
              <w:rPr>
                <w:rFonts w:eastAsia="Calibri"/>
                <w:bCs/>
                <w:sz w:val="24"/>
              </w:rPr>
              <w:t>$</w:t>
            </w:r>
            <w:r w:rsidR="00672E69">
              <w:rPr>
                <w:rFonts w:eastAsia="Calibri"/>
                <w:bCs/>
                <w:sz w:val="24"/>
              </w:rPr>
              <w:t>3,652</w:t>
            </w:r>
          </w:p>
        </w:tc>
      </w:tr>
      <w:tr w:rsidRPr="00797119" w:rsidR="00A746F6" w:rsidTr="00DF54A0" w14:paraId="417634EB" w14:textId="77777777">
        <w:trPr>
          <w:cantSplit/>
          <w:trHeight w:val="485"/>
        </w:trPr>
        <w:tc>
          <w:tcPr>
            <w:tcW w:w="786" w:type="pct"/>
            <w:tcBorders>
              <w:top w:val="single" w:color="auto" w:sz="4" w:space="0"/>
              <w:left w:val="single" w:color="auto" w:sz="4" w:space="0"/>
              <w:bottom w:val="single" w:color="auto" w:sz="4" w:space="0"/>
              <w:right w:val="single" w:color="auto" w:sz="4" w:space="0"/>
            </w:tcBorders>
            <w:hideMark/>
          </w:tcPr>
          <w:p w:rsidRPr="00797119" w:rsidR="009644D3" w:rsidP="009644D3" w:rsidRDefault="009644D3" w14:paraId="773462C8" w14:textId="696518A2">
            <w:pPr>
              <w:rPr>
                <w:rFonts w:eastAsia="Calibri"/>
                <w:b/>
                <w:sz w:val="24"/>
              </w:rPr>
            </w:pPr>
            <w:r w:rsidRPr="00797119">
              <w:rPr>
                <w:rFonts w:eastAsia="Calibri"/>
                <w:b/>
                <w:sz w:val="24"/>
              </w:rPr>
              <w:t>TOTAL for FERC-725G</w:t>
            </w:r>
          </w:p>
        </w:tc>
        <w:tc>
          <w:tcPr>
            <w:tcW w:w="1458" w:type="pct"/>
            <w:gridSpan w:val="2"/>
            <w:tcBorders>
              <w:top w:val="single" w:color="auto" w:sz="4" w:space="0"/>
              <w:left w:val="single" w:color="auto" w:sz="4" w:space="0"/>
              <w:bottom w:val="single" w:color="auto" w:sz="4" w:space="0"/>
              <w:right w:val="single" w:color="auto" w:sz="4" w:space="0"/>
            </w:tcBorders>
            <w:shd w:val="clear" w:color="auto" w:fill="D9D9D9"/>
          </w:tcPr>
          <w:p w:rsidRPr="00797119" w:rsidR="009644D3" w:rsidP="009644D3" w:rsidRDefault="009644D3" w14:paraId="2FBE7CAE" w14:textId="77777777">
            <w:pPr>
              <w:jc w:val="right"/>
              <w:rPr>
                <w:rFonts w:eastAsia="Calibri"/>
                <w:sz w:val="24"/>
              </w:rPr>
            </w:pPr>
          </w:p>
        </w:tc>
        <w:tc>
          <w:tcPr>
            <w:tcW w:w="701" w:type="pct"/>
            <w:tcBorders>
              <w:top w:val="single" w:color="auto" w:sz="4" w:space="0"/>
              <w:left w:val="single" w:color="auto" w:sz="4" w:space="0"/>
              <w:bottom w:val="single" w:color="auto" w:sz="4" w:space="0"/>
              <w:right w:val="single" w:color="auto" w:sz="4" w:space="0"/>
            </w:tcBorders>
            <w:hideMark/>
          </w:tcPr>
          <w:p w:rsidRPr="00573E5F" w:rsidR="009644D3" w:rsidP="009644D3" w:rsidRDefault="00573E5F" w14:paraId="39C1F9F3" w14:textId="68225B09">
            <w:pPr>
              <w:jc w:val="right"/>
              <w:rPr>
                <w:rFonts w:eastAsia="Calibri"/>
                <w:b/>
                <w:sz w:val="24"/>
              </w:rPr>
            </w:pPr>
            <w:r w:rsidRPr="00573E5F">
              <w:rPr>
                <w:rFonts w:eastAsia="Calibri"/>
                <w:b/>
                <w:sz w:val="24"/>
              </w:rPr>
              <w:t>10,226.50</w:t>
            </w:r>
          </w:p>
        </w:tc>
        <w:tc>
          <w:tcPr>
            <w:tcW w:w="551" w:type="pct"/>
            <w:tcBorders>
              <w:top w:val="single" w:color="auto" w:sz="4" w:space="0"/>
              <w:left w:val="single" w:color="auto" w:sz="4" w:space="0"/>
              <w:bottom w:val="single" w:color="auto" w:sz="4" w:space="0"/>
              <w:right w:val="single" w:color="auto" w:sz="4" w:space="0"/>
            </w:tcBorders>
            <w:shd w:val="clear" w:color="auto" w:fill="D9D9D9"/>
          </w:tcPr>
          <w:p w:rsidRPr="00573E5F" w:rsidR="009644D3" w:rsidP="009644D3" w:rsidRDefault="009644D3" w14:paraId="619EB7D7" w14:textId="77777777">
            <w:pPr>
              <w:jc w:val="right"/>
              <w:rPr>
                <w:rFonts w:eastAsia="Calibri"/>
                <w:sz w:val="24"/>
              </w:rPr>
            </w:pPr>
          </w:p>
        </w:tc>
        <w:tc>
          <w:tcPr>
            <w:tcW w:w="852" w:type="pct"/>
            <w:tcBorders>
              <w:top w:val="single" w:color="auto" w:sz="4" w:space="0"/>
              <w:left w:val="single" w:color="auto" w:sz="4" w:space="0"/>
              <w:bottom w:val="single" w:color="auto" w:sz="4" w:space="0"/>
              <w:right w:val="single" w:color="auto" w:sz="4" w:space="0"/>
            </w:tcBorders>
            <w:hideMark/>
          </w:tcPr>
          <w:p w:rsidRPr="00573E5F" w:rsidR="009644D3" w:rsidP="009644D3" w:rsidRDefault="00573E5F" w14:paraId="2D025BD6" w14:textId="239C1871">
            <w:pPr>
              <w:jc w:val="right"/>
              <w:rPr>
                <w:rFonts w:eastAsia="Calibri"/>
                <w:b/>
                <w:sz w:val="24"/>
              </w:rPr>
            </w:pPr>
            <w:r>
              <w:rPr>
                <w:rFonts w:eastAsia="Calibri"/>
                <w:b/>
                <w:sz w:val="24"/>
              </w:rPr>
              <w:t>708,604</w:t>
            </w:r>
            <w:r w:rsidRPr="00573E5F" w:rsidR="009644D3">
              <w:rPr>
                <w:rFonts w:eastAsia="Calibri"/>
                <w:b/>
                <w:sz w:val="24"/>
              </w:rPr>
              <w:t xml:space="preserve"> hrs.;</w:t>
            </w:r>
          </w:p>
          <w:p w:rsidRPr="00573E5F" w:rsidR="009644D3" w:rsidP="009644D3" w:rsidRDefault="009644D3" w14:paraId="0AD4034A" w14:textId="5CBC0895">
            <w:pPr>
              <w:jc w:val="right"/>
              <w:rPr>
                <w:rFonts w:eastAsia="Calibri"/>
                <w:b/>
                <w:sz w:val="24"/>
              </w:rPr>
            </w:pPr>
            <w:r w:rsidRPr="00573E5F">
              <w:rPr>
                <w:rFonts w:eastAsia="Calibri"/>
                <w:b/>
                <w:sz w:val="24"/>
              </w:rPr>
              <w:t>$</w:t>
            </w:r>
            <w:r w:rsidR="002F6C03">
              <w:rPr>
                <w:rFonts w:eastAsia="Calibri"/>
                <w:b/>
                <w:sz w:val="24"/>
              </w:rPr>
              <w:t>58,</w:t>
            </w:r>
            <w:r w:rsidR="00F07DF3">
              <w:rPr>
                <w:rFonts w:eastAsia="Calibri"/>
                <w:b/>
                <w:sz w:val="24"/>
              </w:rPr>
              <w:t>814,132</w:t>
            </w:r>
          </w:p>
        </w:tc>
        <w:tc>
          <w:tcPr>
            <w:tcW w:w="652" w:type="pct"/>
            <w:tcBorders>
              <w:top w:val="single" w:color="auto" w:sz="4" w:space="0"/>
              <w:left w:val="single" w:color="auto" w:sz="4" w:space="0"/>
              <w:bottom w:val="single" w:color="auto" w:sz="4" w:space="0"/>
              <w:right w:val="single" w:color="auto" w:sz="4" w:space="0"/>
            </w:tcBorders>
            <w:shd w:val="clear" w:color="auto" w:fill="D9D9D9"/>
          </w:tcPr>
          <w:p w:rsidRPr="00797119" w:rsidR="009644D3" w:rsidP="009644D3" w:rsidRDefault="009644D3" w14:paraId="028EF5BE" w14:textId="77777777">
            <w:pPr>
              <w:jc w:val="right"/>
              <w:rPr>
                <w:rFonts w:eastAsia="Calibri"/>
                <w:b/>
                <w:sz w:val="24"/>
              </w:rPr>
            </w:pPr>
          </w:p>
        </w:tc>
      </w:tr>
    </w:tbl>
    <w:p w:rsidRPr="00797119" w:rsidR="00E0325B" w:rsidP="00E0325B" w:rsidRDefault="00E0325B" w14:paraId="6ED8EC5E" w14:textId="77777777">
      <w:pPr>
        <w:spacing w:line="480" w:lineRule="auto"/>
        <w:rPr>
          <w:sz w:val="24"/>
          <w:vertAlign w:val="superscript"/>
        </w:rPr>
      </w:pPr>
    </w:p>
    <w:p w:rsidRPr="00CB6E46" w:rsidR="00AE1F12" w:rsidP="00AE1F12" w:rsidRDefault="00AE1F12" w14:paraId="23EE29AC" w14:textId="3772316C">
      <w:pPr>
        <w:spacing w:line="480" w:lineRule="auto"/>
        <w:rPr>
          <w:szCs w:val="26"/>
        </w:rPr>
      </w:pPr>
      <w:r w:rsidRPr="00CB6E46">
        <w:rPr>
          <w:i/>
          <w:szCs w:val="26"/>
        </w:rPr>
        <w:t xml:space="preserve">Comments:  </w:t>
      </w:r>
      <w:r w:rsidRPr="00CB6E46">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CB6E46" w:rsidR="00AE1F12" w:rsidP="00AE1F12" w:rsidRDefault="00AE1F12" w14:paraId="02C177FD" w14:textId="77777777">
      <w:pPr>
        <w:rPr>
          <w:szCs w:val="26"/>
        </w:rPr>
      </w:pPr>
    </w:p>
    <w:p w:rsidRPr="00CB6E46" w:rsidR="00AE1F12" w:rsidP="00AE1F12" w:rsidRDefault="00AE1F12" w14:paraId="5324E9D8" w14:textId="77777777">
      <w:pPr>
        <w:rPr>
          <w:szCs w:val="26"/>
        </w:rPr>
      </w:pPr>
    </w:p>
    <w:p w:rsidRPr="00CB6E46" w:rsidR="00AE1F12" w:rsidP="00AE1F12" w:rsidRDefault="00AE1F12" w14:paraId="4A2BE181" w14:textId="77777777">
      <w:pPr>
        <w:ind w:firstLine="2174"/>
        <w:jc w:val="center"/>
        <w:rPr>
          <w:szCs w:val="26"/>
        </w:rPr>
      </w:pPr>
      <w:r w:rsidRPr="00CB6E46">
        <w:rPr>
          <w:szCs w:val="26"/>
        </w:rPr>
        <w:t>Kimberly D. Bose,</w:t>
      </w:r>
    </w:p>
    <w:p w:rsidRPr="00CB6E46" w:rsidR="00AE1F12" w:rsidP="00AE1F12" w:rsidRDefault="00AE1F12" w14:paraId="10770123" w14:textId="77777777">
      <w:pPr>
        <w:ind w:firstLine="2174"/>
        <w:jc w:val="center"/>
        <w:rPr>
          <w:szCs w:val="26"/>
        </w:rPr>
      </w:pPr>
      <w:r w:rsidRPr="00CB6E46">
        <w:rPr>
          <w:szCs w:val="26"/>
        </w:rPr>
        <w:t>Secretary.</w:t>
      </w:r>
    </w:p>
    <w:p w:rsidRPr="00797119" w:rsidR="00853ABC" w:rsidRDefault="00853ABC" w14:paraId="212DCDEF" w14:textId="77777777">
      <w:pPr>
        <w:spacing w:after="160" w:line="259" w:lineRule="auto"/>
        <w:rPr>
          <w:sz w:val="24"/>
        </w:rPr>
      </w:pPr>
    </w:p>
    <w:sectPr w:rsidRPr="00797119" w:rsidR="00853ABC" w:rsidSect="00BF2D7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F9F80" w14:textId="77777777" w:rsidR="00913CB9" w:rsidRDefault="00913CB9" w:rsidP="00B01B16">
      <w:r>
        <w:separator/>
      </w:r>
    </w:p>
  </w:endnote>
  <w:endnote w:type="continuationSeparator" w:id="0">
    <w:p w14:paraId="411618BA" w14:textId="77777777" w:rsidR="00913CB9" w:rsidRDefault="00913CB9" w:rsidP="00B01B16">
      <w:r>
        <w:continuationSeparator/>
      </w:r>
    </w:p>
  </w:endnote>
  <w:endnote w:type="continuationNotice" w:id="1">
    <w:p w14:paraId="54B3EEBB" w14:textId="77777777" w:rsidR="00913CB9" w:rsidRDefault="00913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3E1F" w14:textId="77777777" w:rsidR="00CB6E46" w:rsidRDefault="00CB6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0587" w14:textId="77777777" w:rsidR="00CB6E46" w:rsidRDefault="00CB6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0A80" w14:textId="77777777" w:rsidR="00CB6E46" w:rsidRDefault="00CB6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69222" w14:textId="77777777" w:rsidR="00913CB9" w:rsidRDefault="00913CB9" w:rsidP="00B01B16">
      <w:r>
        <w:separator/>
      </w:r>
    </w:p>
  </w:footnote>
  <w:footnote w:type="continuationSeparator" w:id="0">
    <w:p w14:paraId="59161AFA" w14:textId="77777777" w:rsidR="00913CB9" w:rsidRDefault="00913CB9" w:rsidP="00B01B16">
      <w:r>
        <w:continuationSeparator/>
      </w:r>
    </w:p>
  </w:footnote>
  <w:footnote w:type="continuationNotice" w:id="1">
    <w:p w14:paraId="1EA895C2" w14:textId="77777777" w:rsidR="00913CB9" w:rsidRDefault="00913CB9"/>
  </w:footnote>
  <w:footnote w:id="2">
    <w:p w14:paraId="5AF9227E" w14:textId="0CB6B2BD" w:rsidR="00CF4785" w:rsidRDefault="00E0325B" w:rsidP="00CF4785">
      <w:pPr>
        <w:pStyle w:val="FootnoteText"/>
        <w:spacing w:after="260"/>
        <w:rPr>
          <w:sz w:val="26"/>
          <w:szCs w:val="26"/>
        </w:rPr>
      </w:pPr>
      <w:r>
        <w:rPr>
          <w:rStyle w:val="FootnoteReference"/>
        </w:rPr>
        <w:footnoteRef/>
      </w:r>
      <w:r>
        <w:rPr>
          <w:sz w:val="26"/>
          <w:szCs w:val="26"/>
        </w:rPr>
        <w:t xml:space="preserve">  Energy Policy Act of 2005, Pub. L. No. 109-58, Title XII, Subtitle A, 119 Stat. 594, 941 (codified at 16 U.S.C. 824</w:t>
      </w:r>
      <w:r>
        <w:rPr>
          <w:i/>
          <w:sz w:val="26"/>
          <w:szCs w:val="26"/>
        </w:rPr>
        <w:t>o</w:t>
      </w:r>
      <w:r>
        <w:rPr>
          <w:sz w:val="26"/>
          <w:szCs w:val="26"/>
        </w:rPr>
        <w:t>).</w:t>
      </w:r>
    </w:p>
  </w:footnote>
  <w:footnote w:id="3">
    <w:p w14:paraId="5CC51A08" w14:textId="77777777" w:rsidR="00E0325B" w:rsidRDefault="00E0325B" w:rsidP="00CF4785">
      <w:pPr>
        <w:pStyle w:val="FootnoteText"/>
        <w:spacing w:after="260"/>
        <w:rPr>
          <w:sz w:val="26"/>
          <w:szCs w:val="26"/>
        </w:rPr>
      </w:pPr>
      <w:r>
        <w:rPr>
          <w:rStyle w:val="FootnoteReference"/>
        </w:rPr>
        <w:footnoteRef/>
      </w:r>
      <w:r>
        <w:rPr>
          <w:sz w:val="26"/>
          <w:szCs w:val="26"/>
        </w:rPr>
        <w:t xml:space="preserve">  16 U.S.C. 824</w:t>
      </w:r>
      <w:r>
        <w:rPr>
          <w:i/>
          <w:sz w:val="26"/>
          <w:szCs w:val="26"/>
        </w:rPr>
        <w:t>o</w:t>
      </w:r>
      <w:r>
        <w:rPr>
          <w:sz w:val="26"/>
          <w:szCs w:val="26"/>
        </w:rPr>
        <w:t>(e)(3).</w:t>
      </w:r>
    </w:p>
  </w:footnote>
  <w:footnote w:id="4">
    <w:p w14:paraId="6F76F23B" w14:textId="5A7BE1A2" w:rsidR="00E0325B" w:rsidRDefault="00E0325B" w:rsidP="00E0325B">
      <w:pPr>
        <w:pStyle w:val="FootnoteText"/>
        <w:rPr>
          <w:sz w:val="26"/>
          <w:szCs w:val="26"/>
        </w:rPr>
      </w:pPr>
      <w:r>
        <w:rPr>
          <w:rStyle w:val="FootnoteReference"/>
        </w:rPr>
        <w:footnoteRef/>
      </w:r>
      <w:r>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5">
    <w:p w14:paraId="2C6B9A61" w14:textId="0CD1C76C" w:rsidR="00DD0014" w:rsidRPr="003358FD" w:rsidRDefault="00DD0014" w:rsidP="00E16B7C">
      <w:pPr>
        <w:pStyle w:val="FootnoteText"/>
        <w:ind w:firstLine="720"/>
        <w:rPr>
          <w:sz w:val="26"/>
          <w:szCs w:val="26"/>
        </w:rPr>
      </w:pPr>
      <w:r>
        <w:rPr>
          <w:rStyle w:val="FootnoteReference"/>
        </w:rPr>
        <w:footnoteRef/>
      </w:r>
      <w:r>
        <w:t xml:space="preserve"> </w:t>
      </w:r>
      <w:r w:rsidRPr="003A5DB0">
        <w:rPr>
          <w:i/>
          <w:iCs/>
          <w:sz w:val="26"/>
          <w:szCs w:val="26"/>
        </w:rPr>
        <w:t>Order on Electric Reliability Organization Risk Based Registration Initiative and Requiring Compliance Filing</w:t>
      </w:r>
      <w:r w:rsidRPr="003358FD">
        <w:rPr>
          <w:sz w:val="26"/>
          <w:szCs w:val="26"/>
        </w:rPr>
        <w:t>, 150 FERC ¶ 61,213</w:t>
      </w:r>
      <w:r>
        <w:rPr>
          <w:sz w:val="26"/>
          <w:szCs w:val="26"/>
        </w:rPr>
        <w:t xml:space="preserve"> </w:t>
      </w:r>
      <w:r w:rsidRPr="003358FD">
        <w:rPr>
          <w:sz w:val="26"/>
          <w:szCs w:val="26"/>
        </w:rPr>
        <w:t>(2015)</w:t>
      </w:r>
      <w:r>
        <w:rPr>
          <w:sz w:val="26"/>
          <w:szCs w:val="26"/>
        </w:rPr>
        <w:t>;</w:t>
      </w:r>
      <w:r w:rsidRPr="003358FD">
        <w:rPr>
          <w:sz w:val="26"/>
          <w:szCs w:val="26"/>
        </w:rPr>
        <w:t xml:space="preserve"> </w:t>
      </w:r>
      <w:r w:rsidRPr="003A5DB0">
        <w:rPr>
          <w:i/>
          <w:iCs/>
          <w:sz w:val="26"/>
          <w:szCs w:val="26"/>
        </w:rPr>
        <w:t>Order on Compliance Filing</w:t>
      </w:r>
      <w:r w:rsidRPr="003358FD">
        <w:rPr>
          <w:sz w:val="26"/>
          <w:szCs w:val="26"/>
        </w:rPr>
        <w:t>, 153 FERC ¶ 61,024 (2015).</w:t>
      </w:r>
    </w:p>
  </w:footnote>
  <w:footnote w:id="6">
    <w:p w14:paraId="3B8C75D1" w14:textId="10505DEA" w:rsidR="00DD0014" w:rsidRPr="005C2307" w:rsidRDefault="00DD0014" w:rsidP="00B8352C">
      <w:pPr>
        <w:pStyle w:val="FootnoteText"/>
        <w:rPr>
          <w:sz w:val="26"/>
          <w:szCs w:val="26"/>
        </w:rPr>
      </w:pPr>
      <w:r>
        <w:rPr>
          <w:rStyle w:val="FootnoteReference"/>
        </w:rPr>
        <w:footnoteRef/>
      </w:r>
      <w:r>
        <w:t xml:space="preserve"> </w:t>
      </w:r>
      <w:r>
        <w:rPr>
          <w:sz w:val="26"/>
          <w:szCs w:val="26"/>
        </w:rPr>
        <w:t xml:space="preserve">NERC’s risk-based registration initiative resulted in the removal of the load-serving entity and purchasing-selling entity from the NERC compliance registry. </w:t>
      </w:r>
    </w:p>
  </w:footnote>
  <w:footnote w:id="7">
    <w:p w14:paraId="48771EE8" w14:textId="025ADBF8" w:rsidR="00DD0014" w:rsidRPr="00B8352C" w:rsidRDefault="00DD0014" w:rsidP="00DD0014">
      <w:pPr>
        <w:pStyle w:val="FootnoteText"/>
        <w:rPr>
          <w:color w:val="0000FF"/>
          <w:sz w:val="26"/>
          <w:szCs w:val="26"/>
          <w:u w:val="single"/>
        </w:rPr>
      </w:pPr>
      <w:r>
        <w:rPr>
          <w:rStyle w:val="FootnoteReference"/>
        </w:rPr>
        <w:footnoteRef/>
      </w:r>
      <w:r>
        <w:t xml:space="preserve"> </w:t>
      </w:r>
      <w:hyperlink r:id="rId1" w:history="1">
        <w:r>
          <w:rPr>
            <w:rStyle w:val="Hyperlink"/>
            <w:sz w:val="26"/>
            <w:szCs w:val="26"/>
          </w:rPr>
          <w:t>Standards Alignment with Registration Petition</w:t>
        </w:r>
      </w:hyperlink>
      <w:r>
        <w:rPr>
          <w:rStyle w:val="Hyperlink"/>
          <w:sz w:val="26"/>
          <w:szCs w:val="26"/>
        </w:rPr>
        <w:t xml:space="preserve"> at 7.</w:t>
      </w:r>
    </w:p>
  </w:footnote>
  <w:footnote w:id="8">
    <w:p w14:paraId="47B79154" w14:textId="4D25FA55" w:rsidR="00DD0014" w:rsidRPr="00B8352C" w:rsidRDefault="00DD0014" w:rsidP="00B8352C">
      <w:pPr>
        <w:pStyle w:val="FootnoteText"/>
        <w:rPr>
          <w:sz w:val="26"/>
          <w:szCs w:val="26"/>
        </w:rPr>
      </w:pPr>
      <w:r>
        <w:rPr>
          <w:rStyle w:val="FootnoteReference"/>
        </w:rPr>
        <w:footnoteRef/>
      </w:r>
      <w:r>
        <w:t xml:space="preserve"> </w:t>
      </w:r>
      <w:r w:rsidRPr="00497CBC">
        <w:rPr>
          <w:sz w:val="26"/>
          <w:szCs w:val="26"/>
        </w:rPr>
        <w:t xml:space="preserve">The </w:t>
      </w:r>
      <w:r>
        <w:rPr>
          <w:sz w:val="26"/>
          <w:szCs w:val="26"/>
        </w:rPr>
        <w:t>burden associated with the Commission approved standard, PRC-006</w:t>
      </w:r>
      <w:r w:rsidR="00AF6304">
        <w:rPr>
          <w:sz w:val="26"/>
          <w:szCs w:val="26"/>
        </w:rPr>
        <w:t>-</w:t>
      </w:r>
      <w:r w:rsidR="008E778B">
        <w:rPr>
          <w:sz w:val="26"/>
          <w:szCs w:val="26"/>
        </w:rPr>
        <w:t>3</w:t>
      </w:r>
      <w:r>
        <w:rPr>
          <w:sz w:val="26"/>
          <w:szCs w:val="26"/>
        </w:rPr>
        <w:t xml:space="preserve">, is </w:t>
      </w:r>
      <w:r w:rsidRPr="004F4CD7">
        <w:rPr>
          <w:sz w:val="26"/>
          <w:szCs w:val="26"/>
        </w:rPr>
        <w:t xml:space="preserve">included in </w:t>
      </w:r>
      <w:r>
        <w:rPr>
          <w:sz w:val="26"/>
          <w:szCs w:val="26"/>
        </w:rPr>
        <w:t>FERC-725G</w:t>
      </w:r>
      <w:r w:rsidRPr="00332873">
        <w:rPr>
          <w:sz w:val="26"/>
          <w:szCs w:val="26"/>
        </w:rPr>
        <w:t>.</w:t>
      </w:r>
    </w:p>
  </w:footnote>
  <w:footnote w:id="9">
    <w:p w14:paraId="3C88105B" w14:textId="76061DCC" w:rsidR="00DD0014" w:rsidRDefault="00DD0014" w:rsidP="00B8352C">
      <w:pPr>
        <w:pStyle w:val="FootnoteText"/>
        <w:rPr>
          <w:rStyle w:val="Hyperlink"/>
          <w:sz w:val="26"/>
          <w:szCs w:val="26"/>
        </w:rPr>
      </w:pPr>
      <w:r w:rsidRPr="00CB6E46">
        <w:rPr>
          <w:rStyle w:val="FootnoteReference"/>
        </w:rPr>
        <w:footnoteRef/>
      </w:r>
      <w:r w:rsidRPr="00CB6E46">
        <w:rPr>
          <w:sz w:val="26"/>
          <w:szCs w:val="26"/>
        </w:rPr>
        <w:t xml:space="preserve"> </w:t>
      </w:r>
      <w:hyperlink r:id="rId2" w:history="1">
        <w:r w:rsidRPr="00CB6E46">
          <w:rPr>
            <w:rStyle w:val="Hyperlink"/>
            <w:sz w:val="26"/>
            <w:szCs w:val="26"/>
          </w:rPr>
          <w:t>Standards Alignment with Registration Petition</w:t>
        </w:r>
      </w:hyperlink>
      <w:r w:rsidRPr="00CB6E46">
        <w:rPr>
          <w:rStyle w:val="Hyperlink"/>
          <w:sz w:val="26"/>
          <w:szCs w:val="26"/>
        </w:rPr>
        <w:t xml:space="preserve"> at 13.</w:t>
      </w:r>
    </w:p>
    <w:p w14:paraId="63B20306" w14:textId="77777777" w:rsidR="00CB6E46" w:rsidRPr="00CB6E46" w:rsidRDefault="00CB6E46" w:rsidP="00B8352C">
      <w:pPr>
        <w:pStyle w:val="FootnoteText"/>
        <w:rPr>
          <w:color w:val="0000FF"/>
          <w:sz w:val="26"/>
          <w:szCs w:val="26"/>
          <w:u w:val="single"/>
        </w:rPr>
      </w:pPr>
    </w:p>
  </w:footnote>
  <w:footnote w:id="10">
    <w:p w14:paraId="1A00AE03" w14:textId="28FBFA41" w:rsidR="008E778B" w:rsidRDefault="008E778B">
      <w:pPr>
        <w:pStyle w:val="FootnoteText"/>
        <w:rPr>
          <w:sz w:val="26"/>
          <w:szCs w:val="26"/>
        </w:rPr>
      </w:pPr>
      <w:r w:rsidRPr="00CB6E46">
        <w:rPr>
          <w:rStyle w:val="FootnoteReference"/>
        </w:rPr>
        <w:footnoteRef/>
      </w:r>
      <w:r w:rsidRPr="00CB6E46">
        <w:rPr>
          <w:sz w:val="26"/>
          <w:szCs w:val="26"/>
        </w:rPr>
        <w:t xml:space="preserve"> PRC-006-5 was approved April 1, 2021 in RM21-1 which did not trigger the PRA and therefore did not require prior OMB approval.  The current version of this standard, PRC-006-5, was approved by the Commission on April 1, 2021.  The only change was a revision to the regional variance for the WECC region for PRC-006-4 modifications that needs to be approved through OMB.</w:t>
      </w:r>
    </w:p>
    <w:p w14:paraId="65BC470F" w14:textId="77777777" w:rsidR="00CB6E46" w:rsidRPr="00CB6E46" w:rsidRDefault="00CB6E46">
      <w:pPr>
        <w:pStyle w:val="FootnoteText"/>
        <w:rPr>
          <w:sz w:val="26"/>
          <w:szCs w:val="26"/>
        </w:rPr>
      </w:pPr>
    </w:p>
  </w:footnote>
  <w:footnote w:id="11">
    <w:p w14:paraId="43FFFA24" w14:textId="78DB3A9F" w:rsidR="004C59FC" w:rsidRDefault="004C59FC" w:rsidP="004C59FC">
      <w:pPr>
        <w:autoSpaceDE w:val="0"/>
        <w:autoSpaceDN w:val="0"/>
        <w:adjustRightInd w:val="0"/>
        <w:rPr>
          <w:szCs w:val="26"/>
        </w:rPr>
      </w:pPr>
      <w:r w:rsidRPr="00CB6E46">
        <w:rPr>
          <w:rStyle w:val="FootnoteReference"/>
        </w:rPr>
        <w:footnoteRef/>
      </w:r>
      <w:r w:rsidRPr="00CB6E46">
        <w:rPr>
          <w:szCs w:val="26"/>
        </w:rPr>
        <w:t xml:space="preserve"> The number of entities is being reduced in order to more clearly identify the applicable entities in subsequent rows in this table.  As stated in the NERC Petition, “[t]he currently effective standard is applicable to Planning Coordinators, “UFLS entities” (which may include Transmission Owners and Distribution Providers that own, operate, or control UFLS equipment), and Transmission Owners that own certain Elements. In proposed Reliability Standard PRC-006-4, NERC proposes to add the UFLS-Only Distribution Provider as an applicable UFLS entity, consistent with the language in Section III(b) of</w:t>
      </w:r>
      <w:r w:rsidRPr="007C596E">
        <w:rPr>
          <w:szCs w:val="26"/>
        </w:rPr>
        <w:t xml:space="preserve"> Appendix 5B of the NERC Rules of Procedure (Statement of Compliance Registry Criteria) that the Reliability Standards applicable to UFLS-Only Distribution Providers includes prior effective versions of the PRC-006 standard.”  The changes are not due to Docket No. RD20-4-000.</w:t>
      </w:r>
    </w:p>
    <w:p w14:paraId="0D64CEBD" w14:textId="77777777" w:rsidR="00CB6E46" w:rsidRPr="007C596E" w:rsidRDefault="00CB6E46" w:rsidP="004C59FC">
      <w:pPr>
        <w:autoSpaceDE w:val="0"/>
        <w:autoSpaceDN w:val="0"/>
        <w:adjustRightInd w:val="0"/>
        <w:rPr>
          <w:szCs w:val="26"/>
        </w:rPr>
      </w:pPr>
    </w:p>
  </w:footnote>
  <w:footnote w:id="12">
    <w:p w14:paraId="4E2C2260" w14:textId="77777777" w:rsidR="004C59FC" w:rsidRPr="007C596E" w:rsidRDefault="004C59FC" w:rsidP="004C59FC">
      <w:pPr>
        <w:pStyle w:val="FootnoteText"/>
        <w:rPr>
          <w:sz w:val="26"/>
          <w:szCs w:val="26"/>
        </w:rPr>
      </w:pPr>
      <w:r w:rsidRPr="007C596E">
        <w:rPr>
          <w:rStyle w:val="FootnoteReference"/>
        </w:rPr>
        <w:footnoteRef/>
      </w:r>
      <w:r w:rsidRPr="007C596E">
        <w:rPr>
          <w:sz w:val="26"/>
          <w:szCs w:val="26"/>
        </w:rPr>
        <w:t xml:space="preserve"> The increases are not due to Docket No. RD20-4-000.  They are a program increase of 64 PCs (and the corresponding hrs.) in order to correct and clarify the estimates.</w:t>
      </w:r>
    </w:p>
    <w:p w14:paraId="0E2F9AEA" w14:textId="77777777" w:rsidR="004C59FC" w:rsidRDefault="004C59FC" w:rsidP="004C59FC">
      <w:pPr>
        <w:pStyle w:val="FootnoteText"/>
        <w:ind w:firstLine="720"/>
      </w:pPr>
    </w:p>
  </w:footnote>
  <w:footnote w:id="13">
    <w:p w14:paraId="5356B4E9" w14:textId="77777777" w:rsidR="004C59FC" w:rsidRPr="007C596E" w:rsidRDefault="004C59FC" w:rsidP="004C59FC">
      <w:pPr>
        <w:pStyle w:val="CommentText"/>
        <w:rPr>
          <w:sz w:val="26"/>
          <w:szCs w:val="26"/>
        </w:rPr>
      </w:pPr>
      <w:r w:rsidRPr="007C596E">
        <w:rPr>
          <w:rStyle w:val="FootnoteReference"/>
        </w:rPr>
        <w:footnoteRef/>
      </w:r>
      <w:r w:rsidRPr="007C596E">
        <w:rPr>
          <w:sz w:val="26"/>
          <w:szCs w:val="26"/>
        </w:rPr>
        <w:t xml:space="preserve"> The program increase is due to adding 63 UFLS-only DPs due to Docket No. RD20-4-000.  In addition, 415 TOs and DPs were originally estimated in FERC-725A due to Order No. 693.  However, the estimates and descriptions were not clearly spelled out, so we are clarifying them.  As a result, there are 315 hours (63*5 hours) and the corresponding increase of 63 respondents of program increase due to Docket No. RD20-4-000, and 2,075 hours (415*5 hours) of increase due to adjustment.</w:t>
      </w:r>
    </w:p>
  </w:footnote>
  <w:footnote w:id="14">
    <w:p w14:paraId="1A8A0A7B" w14:textId="7B40FC74" w:rsidR="00B06A3F" w:rsidRDefault="00B06A3F">
      <w:pPr>
        <w:pStyle w:val="FootnoteText"/>
        <w:rPr>
          <w:sz w:val="26"/>
          <w:szCs w:val="26"/>
        </w:rPr>
      </w:pPr>
      <w:r w:rsidRPr="00C57BFC">
        <w:rPr>
          <w:rStyle w:val="FootnoteReference"/>
        </w:rPr>
        <w:footnoteRef/>
      </w:r>
      <w:r w:rsidRPr="00C57BFC">
        <w:t xml:space="preserve"> </w:t>
      </w:r>
      <w:r w:rsidRPr="00217C1E">
        <w:rPr>
          <w:sz w:val="26"/>
          <w:szCs w:val="26"/>
        </w:rPr>
        <w:t>The number of respondents on this table reflect information taken from NERC Compliance Registry</w:t>
      </w:r>
      <w:r w:rsidR="00817BE6" w:rsidRPr="00217C1E">
        <w:rPr>
          <w:sz w:val="26"/>
          <w:szCs w:val="26"/>
        </w:rPr>
        <w:t>,</w:t>
      </w:r>
      <w:r w:rsidRPr="00217C1E">
        <w:rPr>
          <w:sz w:val="26"/>
          <w:szCs w:val="26"/>
        </w:rPr>
        <w:t xml:space="preserve"> while it may show a decrease from previous years the 2021 values reflect treating standards as a whole instead of by requirement which allow for aggregate values and eliminating multiple counts</w:t>
      </w:r>
      <w:r w:rsidR="00817BE6" w:rsidRPr="00217C1E">
        <w:rPr>
          <w:sz w:val="26"/>
          <w:szCs w:val="26"/>
        </w:rPr>
        <w:t xml:space="preserve"> of the same entity within a standard.</w:t>
      </w:r>
    </w:p>
    <w:p w14:paraId="0721F22B" w14:textId="77777777" w:rsidR="00CB6E46" w:rsidRDefault="00CB6E46">
      <w:pPr>
        <w:pStyle w:val="FootnoteText"/>
      </w:pPr>
    </w:p>
  </w:footnote>
  <w:footnote w:id="15">
    <w:p w14:paraId="3F3D9445" w14:textId="13547172" w:rsidR="00F02DD2" w:rsidRDefault="00F02DD2">
      <w:pPr>
        <w:pStyle w:val="FootnoteText"/>
        <w:rPr>
          <w:sz w:val="26"/>
          <w:szCs w:val="26"/>
        </w:rPr>
      </w:pPr>
      <w:r w:rsidRPr="0070257D">
        <w:rPr>
          <w:rStyle w:val="FootnoteReference"/>
        </w:rPr>
        <w:footnoteRef/>
      </w:r>
      <w:r w:rsidRPr="004C59FC">
        <w:rPr>
          <w:sz w:val="26"/>
          <w:szCs w:val="26"/>
        </w:rPr>
        <w:t xml:space="preserve"> Using NERC Compliance Registration data (February 5, 2021), the number of respondents are for US unique entities and takes into account the overlap between functions of the DP = Distribution Provider, TO = Transmission Owner and PC= Planning Coordinator for a total of 480.</w:t>
      </w:r>
    </w:p>
    <w:p w14:paraId="2990D4C5" w14:textId="77777777" w:rsidR="00CB6E46" w:rsidRPr="002B6647" w:rsidRDefault="00CB6E46">
      <w:pPr>
        <w:pStyle w:val="FootnoteText"/>
        <w:rPr>
          <w:sz w:val="26"/>
          <w:szCs w:val="26"/>
        </w:rPr>
      </w:pPr>
    </w:p>
  </w:footnote>
  <w:footnote w:id="16">
    <w:p w14:paraId="30803DB1" w14:textId="2FCD5E84" w:rsidR="009644D3" w:rsidRDefault="009644D3">
      <w:pPr>
        <w:pStyle w:val="FootnoteText"/>
        <w:rPr>
          <w:rFonts w:eastAsia="Calibri"/>
          <w:sz w:val="26"/>
          <w:szCs w:val="26"/>
        </w:rPr>
      </w:pPr>
      <w:r>
        <w:rPr>
          <w:rStyle w:val="FootnoteReference"/>
        </w:rPr>
        <w:footnoteRef/>
      </w:r>
      <w:r>
        <w:t xml:space="preserve"> </w:t>
      </w:r>
      <w:r w:rsidRPr="002B6647">
        <w:rPr>
          <w:rFonts w:eastAsia="Calibri"/>
          <w:sz w:val="26"/>
          <w:szCs w:val="26"/>
        </w:rPr>
        <w:t>Using NERC Compliance Registration data (February 5, 2021), the number of respondents are for US unique entities and takes into account the overlap between functions of the DP = Distribution Provider, TO = Transmission Owner and DP = Distribution Provider for a total of 1,314. The number of hours also take into account line terminal work needed to be done applicable TO, GO, or DP as per PRC-023-1 approved in Order No. 773 March 18, 2010.</w:t>
      </w:r>
    </w:p>
    <w:p w14:paraId="74AFB8CE" w14:textId="77777777" w:rsidR="00CB6E46" w:rsidRPr="002B6647" w:rsidRDefault="00CB6E46">
      <w:pPr>
        <w:pStyle w:val="FootnoteText"/>
        <w:rPr>
          <w:rFonts w:ascii="Calibri" w:eastAsia="Calibri" w:hAnsi="Calibri"/>
          <w:sz w:val="26"/>
          <w:szCs w:val="26"/>
        </w:rPr>
      </w:pPr>
    </w:p>
  </w:footnote>
  <w:footnote w:id="17">
    <w:p w14:paraId="32FDAA69" w14:textId="77777777" w:rsidR="00CB6E46" w:rsidRDefault="009644D3" w:rsidP="002D4519">
      <w:pPr>
        <w:pStyle w:val="FootnoteText"/>
        <w:rPr>
          <w:sz w:val="26"/>
          <w:szCs w:val="26"/>
        </w:rPr>
      </w:pPr>
      <w:r>
        <w:rPr>
          <w:rStyle w:val="FootnoteReference"/>
        </w:rPr>
        <w:footnoteRef/>
      </w:r>
      <w:r>
        <w:t xml:space="preserve"> </w:t>
      </w:r>
      <w:r w:rsidRPr="008C0C23">
        <w:rPr>
          <w:sz w:val="26"/>
          <w:szCs w:val="26"/>
        </w:rPr>
        <w:t>Reliability Standard PRC-025-2 from FERC-725G2 (OMB No. 1902-0281)– a temporary place holder is now being placed back into 725G.</w:t>
      </w:r>
    </w:p>
    <w:p w14:paraId="170C6D96" w14:textId="0E6AD1C2" w:rsidR="009644D3" w:rsidRPr="008C0C23" w:rsidRDefault="009644D3" w:rsidP="002D4519">
      <w:pPr>
        <w:pStyle w:val="FootnoteText"/>
        <w:rPr>
          <w:sz w:val="26"/>
          <w:szCs w:val="26"/>
        </w:rPr>
      </w:pPr>
      <w:r w:rsidRPr="008C0C23">
        <w:rPr>
          <w:sz w:val="26"/>
          <w:szCs w:val="26"/>
        </w:rPr>
        <w:t xml:space="preserve"> </w:t>
      </w:r>
    </w:p>
  </w:footnote>
  <w:footnote w:id="18">
    <w:p w14:paraId="4E654362" w14:textId="6CBA2863" w:rsidR="009644D3" w:rsidRDefault="009644D3">
      <w:pPr>
        <w:pStyle w:val="FootnoteText"/>
      </w:pPr>
      <w:r w:rsidRPr="00F25008">
        <w:rPr>
          <w:rStyle w:val="FootnoteReference"/>
        </w:rPr>
        <w:footnoteRef/>
      </w:r>
      <w:r w:rsidRPr="008C0C23">
        <w:rPr>
          <w:sz w:val="26"/>
          <w:szCs w:val="26"/>
        </w:rPr>
        <w:t xml:space="preserve"> </w:t>
      </w:r>
      <w:r w:rsidRPr="00F25008">
        <w:rPr>
          <w:bCs/>
          <w:sz w:val="26"/>
          <w:szCs w:val="26"/>
        </w:rPr>
        <w:t xml:space="preserve">According to the NERC compliance </w:t>
      </w:r>
      <w:r w:rsidRPr="009977C7">
        <w:rPr>
          <w:bCs/>
          <w:sz w:val="26"/>
          <w:szCs w:val="26"/>
        </w:rPr>
        <w:t>registry as of February 5, 2021, NERC has registered 379 distribution providers (DP), 1,003 generator owners (GO</w:t>
      </w:r>
      <w:r w:rsidRPr="00787C4A">
        <w:rPr>
          <w:bCs/>
          <w:sz w:val="26"/>
          <w:szCs w:val="26"/>
        </w:rPr>
        <w:t xml:space="preserve">) and </w:t>
      </w:r>
      <w:r w:rsidRPr="008C0C23">
        <w:rPr>
          <w:bCs/>
          <w:sz w:val="26"/>
          <w:szCs w:val="26"/>
        </w:rPr>
        <w:t xml:space="preserve">321 transmission owners (TO).  However, under NERC’s compliance registration program, entities may be registered for multiple functions, so these numbers incorporate some double counting.  The number of unique entities responding will be approximately 994 entities registered as a transmission owner, a distribution provider, or a generator owner that is also a transmission owner and/or a distribution </w:t>
      </w:r>
      <w:r w:rsidRPr="005822E8">
        <w:rPr>
          <w:bCs/>
          <w:sz w:val="26"/>
          <w:szCs w:val="26"/>
        </w:rPr>
        <w:t>owner</w:t>
      </w:r>
      <w:r w:rsidRPr="005822E8">
        <w:rPr>
          <w:bCs/>
          <w:sz w:val="26"/>
          <w:szCs w:val="24"/>
        </w:rPr>
        <w:t>.  These values reflect removing any year 1-2 costs and covers on-going cost from version PRC-025-1 and PRC-025-2.</w:t>
      </w:r>
    </w:p>
  </w:footnote>
  <w:footnote w:id="19">
    <w:p w14:paraId="16A902EB" w14:textId="5EFB5840" w:rsidR="009644D3" w:rsidRPr="004C59FC" w:rsidRDefault="009644D3">
      <w:pPr>
        <w:pStyle w:val="FootnoteText"/>
        <w:rPr>
          <w:sz w:val="26"/>
          <w:szCs w:val="26"/>
        </w:rPr>
      </w:pPr>
      <w:r w:rsidRPr="0070257D">
        <w:rPr>
          <w:rStyle w:val="FootnoteReference"/>
        </w:rPr>
        <w:footnoteRef/>
      </w:r>
      <w:r w:rsidRPr="004C59FC">
        <w:rPr>
          <w:sz w:val="26"/>
          <w:szCs w:val="26"/>
        </w:rPr>
        <w:t xml:space="preserve"> Based on the Requirements of PRC-002-2 some entities do not have to perform tasks annual so average response rate is se</w:t>
      </w:r>
      <w:bookmarkStart w:id="5" w:name="_GoBack"/>
      <w:bookmarkEnd w:id="5"/>
      <w:r w:rsidRPr="004C59FC">
        <w:rPr>
          <w:sz w:val="26"/>
          <w:szCs w:val="26"/>
        </w:rPr>
        <w:t>t to 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ABD7" w14:textId="77777777" w:rsidR="00CB6E46" w:rsidRDefault="00CB6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639627"/>
      <w:docPartObj>
        <w:docPartGallery w:val="Page Numbers (Top of Page)"/>
        <w:docPartUnique/>
      </w:docPartObj>
    </w:sdtPr>
    <w:sdtEndPr>
      <w:rPr>
        <w:noProof/>
      </w:rPr>
    </w:sdtEndPr>
    <w:sdtContent>
      <w:p w14:paraId="6C9E3146" w14:textId="1C069730" w:rsidR="00CB6E46" w:rsidRDefault="00CB6E46">
        <w:pPr>
          <w:pStyle w:val="Header"/>
        </w:pPr>
        <w:r w:rsidRPr="00980E58">
          <w:t xml:space="preserve">Docket No. </w:t>
        </w:r>
        <w:r w:rsidRPr="00974530">
          <w:t>I</w:t>
        </w:r>
        <w:r>
          <w:t>C21</w:t>
        </w:r>
        <w:r w:rsidRPr="00974530">
          <w:t>-</w:t>
        </w:r>
        <w:r>
          <w:t>30</w:t>
        </w:r>
        <w:r w:rsidRPr="00974530">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3E80E6A9" w:rsidR="00F82EE1" w:rsidRPr="00CB6E46" w:rsidRDefault="00F82EE1" w:rsidP="00CB6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5A8FB" w14:textId="77777777" w:rsidR="00CB6E46" w:rsidRDefault="00CB6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4774B"/>
    <w:multiLevelType w:val="hybridMultilevel"/>
    <w:tmpl w:val="9FB8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977DE"/>
    <w:multiLevelType w:val="hybridMultilevel"/>
    <w:tmpl w:val="90A0E1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1F9E"/>
    <w:rsid w:val="00014343"/>
    <w:rsid w:val="00023424"/>
    <w:rsid w:val="00026C2D"/>
    <w:rsid w:val="000459B6"/>
    <w:rsid w:val="00046666"/>
    <w:rsid w:val="00062427"/>
    <w:rsid w:val="0008692A"/>
    <w:rsid w:val="000A0250"/>
    <w:rsid w:val="000A4103"/>
    <w:rsid w:val="000A6F37"/>
    <w:rsid w:val="000A7E68"/>
    <w:rsid w:val="000B5C78"/>
    <w:rsid w:val="000D017F"/>
    <w:rsid w:val="000D318C"/>
    <w:rsid w:val="000D3F6F"/>
    <w:rsid w:val="000D530C"/>
    <w:rsid w:val="000E1735"/>
    <w:rsid w:val="000E2568"/>
    <w:rsid w:val="000F606E"/>
    <w:rsid w:val="001074F9"/>
    <w:rsid w:val="00116326"/>
    <w:rsid w:val="00125991"/>
    <w:rsid w:val="0013525A"/>
    <w:rsid w:val="0015445B"/>
    <w:rsid w:val="00156BBB"/>
    <w:rsid w:val="001600DF"/>
    <w:rsid w:val="00164215"/>
    <w:rsid w:val="00170F8B"/>
    <w:rsid w:val="00171725"/>
    <w:rsid w:val="0017684C"/>
    <w:rsid w:val="00177704"/>
    <w:rsid w:val="00181BF7"/>
    <w:rsid w:val="00181C42"/>
    <w:rsid w:val="00184A26"/>
    <w:rsid w:val="00184B43"/>
    <w:rsid w:val="0019402A"/>
    <w:rsid w:val="001970A2"/>
    <w:rsid w:val="00197435"/>
    <w:rsid w:val="001A6645"/>
    <w:rsid w:val="001A6AD6"/>
    <w:rsid w:val="001B153A"/>
    <w:rsid w:val="001B78B8"/>
    <w:rsid w:val="001B7972"/>
    <w:rsid w:val="001C7064"/>
    <w:rsid w:val="001E36E9"/>
    <w:rsid w:val="001F1CDF"/>
    <w:rsid w:val="001F24D4"/>
    <w:rsid w:val="001F4CF7"/>
    <w:rsid w:val="00202E41"/>
    <w:rsid w:val="00212C3A"/>
    <w:rsid w:val="002131D0"/>
    <w:rsid w:val="00217C1E"/>
    <w:rsid w:val="00224BF8"/>
    <w:rsid w:val="002308D6"/>
    <w:rsid w:val="0024309C"/>
    <w:rsid w:val="00244422"/>
    <w:rsid w:val="00253F98"/>
    <w:rsid w:val="00254D77"/>
    <w:rsid w:val="00257CC2"/>
    <w:rsid w:val="00266431"/>
    <w:rsid w:val="00280886"/>
    <w:rsid w:val="00281FC7"/>
    <w:rsid w:val="002838B6"/>
    <w:rsid w:val="00292ABE"/>
    <w:rsid w:val="00297211"/>
    <w:rsid w:val="002B08F6"/>
    <w:rsid w:val="002B6647"/>
    <w:rsid w:val="002C3223"/>
    <w:rsid w:val="002C3579"/>
    <w:rsid w:val="002D17E5"/>
    <w:rsid w:val="002D40AA"/>
    <w:rsid w:val="002D4519"/>
    <w:rsid w:val="002E06A0"/>
    <w:rsid w:val="002E6DAA"/>
    <w:rsid w:val="002F4401"/>
    <w:rsid w:val="002F6C03"/>
    <w:rsid w:val="0030139F"/>
    <w:rsid w:val="00303516"/>
    <w:rsid w:val="00306318"/>
    <w:rsid w:val="00311D90"/>
    <w:rsid w:val="00314219"/>
    <w:rsid w:val="003149BC"/>
    <w:rsid w:val="003320C6"/>
    <w:rsid w:val="00332873"/>
    <w:rsid w:val="003334D5"/>
    <w:rsid w:val="00336AD9"/>
    <w:rsid w:val="0034287E"/>
    <w:rsid w:val="00365468"/>
    <w:rsid w:val="003658A2"/>
    <w:rsid w:val="003673EC"/>
    <w:rsid w:val="00373A2E"/>
    <w:rsid w:val="00376525"/>
    <w:rsid w:val="00397ABE"/>
    <w:rsid w:val="003A2C3F"/>
    <w:rsid w:val="003B435C"/>
    <w:rsid w:val="003B5B0B"/>
    <w:rsid w:val="003B6B16"/>
    <w:rsid w:val="003B7D11"/>
    <w:rsid w:val="003C08DE"/>
    <w:rsid w:val="003C3E7A"/>
    <w:rsid w:val="003C74FD"/>
    <w:rsid w:val="003D28D2"/>
    <w:rsid w:val="003D2B63"/>
    <w:rsid w:val="003D43FF"/>
    <w:rsid w:val="003E1657"/>
    <w:rsid w:val="003E1B5A"/>
    <w:rsid w:val="003E40B2"/>
    <w:rsid w:val="003E44AD"/>
    <w:rsid w:val="003E6F69"/>
    <w:rsid w:val="003F0FE7"/>
    <w:rsid w:val="003F2E32"/>
    <w:rsid w:val="003F570B"/>
    <w:rsid w:val="004041BA"/>
    <w:rsid w:val="0040559D"/>
    <w:rsid w:val="00411B62"/>
    <w:rsid w:val="004177CD"/>
    <w:rsid w:val="00422491"/>
    <w:rsid w:val="00423702"/>
    <w:rsid w:val="0042688C"/>
    <w:rsid w:val="0042765E"/>
    <w:rsid w:val="00427AE5"/>
    <w:rsid w:val="00437C7A"/>
    <w:rsid w:val="00440710"/>
    <w:rsid w:val="004423B3"/>
    <w:rsid w:val="00443282"/>
    <w:rsid w:val="004562F1"/>
    <w:rsid w:val="004628F2"/>
    <w:rsid w:val="0046661B"/>
    <w:rsid w:val="00471921"/>
    <w:rsid w:val="0047649D"/>
    <w:rsid w:val="00491543"/>
    <w:rsid w:val="004A661D"/>
    <w:rsid w:val="004B2F7A"/>
    <w:rsid w:val="004B4D26"/>
    <w:rsid w:val="004C0BC3"/>
    <w:rsid w:val="004C59FC"/>
    <w:rsid w:val="004C70C8"/>
    <w:rsid w:val="004D3E45"/>
    <w:rsid w:val="004D7787"/>
    <w:rsid w:val="004E683E"/>
    <w:rsid w:val="00524164"/>
    <w:rsid w:val="00527733"/>
    <w:rsid w:val="00531000"/>
    <w:rsid w:val="00531533"/>
    <w:rsid w:val="005401E0"/>
    <w:rsid w:val="005404C9"/>
    <w:rsid w:val="00541FE0"/>
    <w:rsid w:val="00544424"/>
    <w:rsid w:val="0054746C"/>
    <w:rsid w:val="00547AC8"/>
    <w:rsid w:val="005632A3"/>
    <w:rsid w:val="00565830"/>
    <w:rsid w:val="00565B5E"/>
    <w:rsid w:val="00566B5F"/>
    <w:rsid w:val="00573E5F"/>
    <w:rsid w:val="00574D1A"/>
    <w:rsid w:val="005822E8"/>
    <w:rsid w:val="00587D1F"/>
    <w:rsid w:val="00593173"/>
    <w:rsid w:val="005953A1"/>
    <w:rsid w:val="005A2F24"/>
    <w:rsid w:val="005B4216"/>
    <w:rsid w:val="005B4DA4"/>
    <w:rsid w:val="005C180F"/>
    <w:rsid w:val="005C77BE"/>
    <w:rsid w:val="005D238D"/>
    <w:rsid w:val="005E0B1A"/>
    <w:rsid w:val="005E45C6"/>
    <w:rsid w:val="005F6BAF"/>
    <w:rsid w:val="006128A5"/>
    <w:rsid w:val="00613169"/>
    <w:rsid w:val="00614F98"/>
    <w:rsid w:val="00620D6B"/>
    <w:rsid w:val="0062572C"/>
    <w:rsid w:val="00630E07"/>
    <w:rsid w:val="0063784F"/>
    <w:rsid w:val="00637F43"/>
    <w:rsid w:val="006436D5"/>
    <w:rsid w:val="00643FD7"/>
    <w:rsid w:val="00644A1B"/>
    <w:rsid w:val="006536D8"/>
    <w:rsid w:val="00654399"/>
    <w:rsid w:val="00654BA4"/>
    <w:rsid w:val="0066195A"/>
    <w:rsid w:val="006639A4"/>
    <w:rsid w:val="00664931"/>
    <w:rsid w:val="006670C8"/>
    <w:rsid w:val="00672E69"/>
    <w:rsid w:val="006841A7"/>
    <w:rsid w:val="00693721"/>
    <w:rsid w:val="00694C22"/>
    <w:rsid w:val="006963BC"/>
    <w:rsid w:val="006970F4"/>
    <w:rsid w:val="006A2E15"/>
    <w:rsid w:val="006A7BFE"/>
    <w:rsid w:val="006B3795"/>
    <w:rsid w:val="006D3430"/>
    <w:rsid w:val="006E7CBB"/>
    <w:rsid w:val="006F7028"/>
    <w:rsid w:val="006F749E"/>
    <w:rsid w:val="007024F1"/>
    <w:rsid w:val="0070257D"/>
    <w:rsid w:val="00713417"/>
    <w:rsid w:val="00713774"/>
    <w:rsid w:val="00714EDD"/>
    <w:rsid w:val="00723505"/>
    <w:rsid w:val="00726149"/>
    <w:rsid w:val="0072614E"/>
    <w:rsid w:val="007263B9"/>
    <w:rsid w:val="0074393A"/>
    <w:rsid w:val="0075009F"/>
    <w:rsid w:val="00781E6A"/>
    <w:rsid w:val="00782A49"/>
    <w:rsid w:val="00787C4A"/>
    <w:rsid w:val="00797119"/>
    <w:rsid w:val="007B1F57"/>
    <w:rsid w:val="007B4938"/>
    <w:rsid w:val="007E3706"/>
    <w:rsid w:val="007F4CD3"/>
    <w:rsid w:val="007F61C2"/>
    <w:rsid w:val="008018DB"/>
    <w:rsid w:val="00803CA2"/>
    <w:rsid w:val="00807CAC"/>
    <w:rsid w:val="008115BF"/>
    <w:rsid w:val="00816942"/>
    <w:rsid w:val="00817BE6"/>
    <w:rsid w:val="008212DA"/>
    <w:rsid w:val="00824D81"/>
    <w:rsid w:val="00835322"/>
    <w:rsid w:val="00837C85"/>
    <w:rsid w:val="00840DED"/>
    <w:rsid w:val="00853ABC"/>
    <w:rsid w:val="00856CE0"/>
    <w:rsid w:val="0086775D"/>
    <w:rsid w:val="00871D53"/>
    <w:rsid w:val="00871DCE"/>
    <w:rsid w:val="00881405"/>
    <w:rsid w:val="008872EE"/>
    <w:rsid w:val="0089069F"/>
    <w:rsid w:val="00895B40"/>
    <w:rsid w:val="00895DA2"/>
    <w:rsid w:val="00896F16"/>
    <w:rsid w:val="00897359"/>
    <w:rsid w:val="008A7371"/>
    <w:rsid w:val="008B7EC5"/>
    <w:rsid w:val="008C0C23"/>
    <w:rsid w:val="008C2E30"/>
    <w:rsid w:val="008D25B7"/>
    <w:rsid w:val="008D5479"/>
    <w:rsid w:val="008D574D"/>
    <w:rsid w:val="008E0DC0"/>
    <w:rsid w:val="008E0DF5"/>
    <w:rsid w:val="008E0E0C"/>
    <w:rsid w:val="008E3273"/>
    <w:rsid w:val="008E56FA"/>
    <w:rsid w:val="008E778B"/>
    <w:rsid w:val="008F0C45"/>
    <w:rsid w:val="009010FF"/>
    <w:rsid w:val="00904B00"/>
    <w:rsid w:val="00911C56"/>
    <w:rsid w:val="00913CB9"/>
    <w:rsid w:val="0093139A"/>
    <w:rsid w:val="00940C0F"/>
    <w:rsid w:val="00942E36"/>
    <w:rsid w:val="00951DC3"/>
    <w:rsid w:val="0095548F"/>
    <w:rsid w:val="009644D3"/>
    <w:rsid w:val="009744C8"/>
    <w:rsid w:val="00974530"/>
    <w:rsid w:val="00980E58"/>
    <w:rsid w:val="009815BD"/>
    <w:rsid w:val="00981886"/>
    <w:rsid w:val="00990102"/>
    <w:rsid w:val="00990FEC"/>
    <w:rsid w:val="00992257"/>
    <w:rsid w:val="009977C7"/>
    <w:rsid w:val="009A1B08"/>
    <w:rsid w:val="009B72BD"/>
    <w:rsid w:val="009C3CB9"/>
    <w:rsid w:val="009C4A13"/>
    <w:rsid w:val="009C745D"/>
    <w:rsid w:val="009F7DE3"/>
    <w:rsid w:val="00A07154"/>
    <w:rsid w:val="00A11868"/>
    <w:rsid w:val="00A127D3"/>
    <w:rsid w:val="00A13213"/>
    <w:rsid w:val="00A1386C"/>
    <w:rsid w:val="00A14335"/>
    <w:rsid w:val="00A14B43"/>
    <w:rsid w:val="00A23612"/>
    <w:rsid w:val="00A2604E"/>
    <w:rsid w:val="00A32860"/>
    <w:rsid w:val="00A417A2"/>
    <w:rsid w:val="00A52189"/>
    <w:rsid w:val="00A57463"/>
    <w:rsid w:val="00A664DF"/>
    <w:rsid w:val="00A67218"/>
    <w:rsid w:val="00A71219"/>
    <w:rsid w:val="00A713D0"/>
    <w:rsid w:val="00A722D4"/>
    <w:rsid w:val="00A746F6"/>
    <w:rsid w:val="00A75AAA"/>
    <w:rsid w:val="00A82A29"/>
    <w:rsid w:val="00A8373C"/>
    <w:rsid w:val="00AA516A"/>
    <w:rsid w:val="00AA5B0E"/>
    <w:rsid w:val="00AC0504"/>
    <w:rsid w:val="00AC1DB7"/>
    <w:rsid w:val="00AC664F"/>
    <w:rsid w:val="00AC750B"/>
    <w:rsid w:val="00AD6937"/>
    <w:rsid w:val="00AD6CED"/>
    <w:rsid w:val="00AD76B2"/>
    <w:rsid w:val="00AE1F12"/>
    <w:rsid w:val="00AE24CC"/>
    <w:rsid w:val="00AE4155"/>
    <w:rsid w:val="00AE4B7C"/>
    <w:rsid w:val="00AE66F6"/>
    <w:rsid w:val="00AF17CE"/>
    <w:rsid w:val="00AF349B"/>
    <w:rsid w:val="00AF6304"/>
    <w:rsid w:val="00AF6A90"/>
    <w:rsid w:val="00B009E9"/>
    <w:rsid w:val="00B01B16"/>
    <w:rsid w:val="00B06A3F"/>
    <w:rsid w:val="00B11D16"/>
    <w:rsid w:val="00B12F84"/>
    <w:rsid w:val="00B24588"/>
    <w:rsid w:val="00B268CD"/>
    <w:rsid w:val="00B31CBF"/>
    <w:rsid w:val="00B33201"/>
    <w:rsid w:val="00B447D7"/>
    <w:rsid w:val="00B61016"/>
    <w:rsid w:val="00B64D49"/>
    <w:rsid w:val="00B71BAA"/>
    <w:rsid w:val="00B759DA"/>
    <w:rsid w:val="00B76A1F"/>
    <w:rsid w:val="00B76DA7"/>
    <w:rsid w:val="00B82F8C"/>
    <w:rsid w:val="00B8352C"/>
    <w:rsid w:val="00B8460F"/>
    <w:rsid w:val="00B9438E"/>
    <w:rsid w:val="00B95477"/>
    <w:rsid w:val="00B95DD8"/>
    <w:rsid w:val="00BA1D81"/>
    <w:rsid w:val="00BA7130"/>
    <w:rsid w:val="00BD74AE"/>
    <w:rsid w:val="00BE16BC"/>
    <w:rsid w:val="00BE3FE7"/>
    <w:rsid w:val="00BF2D74"/>
    <w:rsid w:val="00BF4CC8"/>
    <w:rsid w:val="00BF75B6"/>
    <w:rsid w:val="00C02547"/>
    <w:rsid w:val="00C058D5"/>
    <w:rsid w:val="00C1124F"/>
    <w:rsid w:val="00C1686C"/>
    <w:rsid w:val="00C25B6D"/>
    <w:rsid w:val="00C3082F"/>
    <w:rsid w:val="00C30DED"/>
    <w:rsid w:val="00C31AA3"/>
    <w:rsid w:val="00C37BFF"/>
    <w:rsid w:val="00C42183"/>
    <w:rsid w:val="00C45F17"/>
    <w:rsid w:val="00C51458"/>
    <w:rsid w:val="00C53580"/>
    <w:rsid w:val="00C55838"/>
    <w:rsid w:val="00C56745"/>
    <w:rsid w:val="00C57BFC"/>
    <w:rsid w:val="00C70729"/>
    <w:rsid w:val="00C71475"/>
    <w:rsid w:val="00C77EF7"/>
    <w:rsid w:val="00C820F1"/>
    <w:rsid w:val="00C85A38"/>
    <w:rsid w:val="00C91512"/>
    <w:rsid w:val="00C94A53"/>
    <w:rsid w:val="00C95933"/>
    <w:rsid w:val="00CA005A"/>
    <w:rsid w:val="00CA2DE2"/>
    <w:rsid w:val="00CA3A85"/>
    <w:rsid w:val="00CA4C16"/>
    <w:rsid w:val="00CA6636"/>
    <w:rsid w:val="00CA6D76"/>
    <w:rsid w:val="00CB51CC"/>
    <w:rsid w:val="00CB6E46"/>
    <w:rsid w:val="00CC1A72"/>
    <w:rsid w:val="00CC5692"/>
    <w:rsid w:val="00CC65F3"/>
    <w:rsid w:val="00CD56E5"/>
    <w:rsid w:val="00CE0C1B"/>
    <w:rsid w:val="00CE489D"/>
    <w:rsid w:val="00CF0C67"/>
    <w:rsid w:val="00CF0F40"/>
    <w:rsid w:val="00CF39F3"/>
    <w:rsid w:val="00CF4753"/>
    <w:rsid w:val="00CF4785"/>
    <w:rsid w:val="00D0083B"/>
    <w:rsid w:val="00D172D8"/>
    <w:rsid w:val="00D35B2D"/>
    <w:rsid w:val="00D41416"/>
    <w:rsid w:val="00D439A3"/>
    <w:rsid w:val="00D44183"/>
    <w:rsid w:val="00D5276C"/>
    <w:rsid w:val="00D6384D"/>
    <w:rsid w:val="00D653F3"/>
    <w:rsid w:val="00D66B24"/>
    <w:rsid w:val="00D82BA0"/>
    <w:rsid w:val="00D85C84"/>
    <w:rsid w:val="00D872BC"/>
    <w:rsid w:val="00D9662E"/>
    <w:rsid w:val="00DA529F"/>
    <w:rsid w:val="00DB5AAE"/>
    <w:rsid w:val="00DB6882"/>
    <w:rsid w:val="00DC19D9"/>
    <w:rsid w:val="00DC5017"/>
    <w:rsid w:val="00DC5129"/>
    <w:rsid w:val="00DD0014"/>
    <w:rsid w:val="00DD7F1B"/>
    <w:rsid w:val="00DF54A0"/>
    <w:rsid w:val="00E00267"/>
    <w:rsid w:val="00E0325B"/>
    <w:rsid w:val="00E12A7A"/>
    <w:rsid w:val="00E16B7C"/>
    <w:rsid w:val="00E223D4"/>
    <w:rsid w:val="00E27FD6"/>
    <w:rsid w:val="00E32048"/>
    <w:rsid w:val="00E402A6"/>
    <w:rsid w:val="00E41DB9"/>
    <w:rsid w:val="00E423A9"/>
    <w:rsid w:val="00E62CAF"/>
    <w:rsid w:val="00E762BB"/>
    <w:rsid w:val="00E8661B"/>
    <w:rsid w:val="00E9084E"/>
    <w:rsid w:val="00E962E6"/>
    <w:rsid w:val="00EA689F"/>
    <w:rsid w:val="00EB0666"/>
    <w:rsid w:val="00EC1434"/>
    <w:rsid w:val="00EC72B0"/>
    <w:rsid w:val="00ED40DB"/>
    <w:rsid w:val="00ED7EC7"/>
    <w:rsid w:val="00EE6482"/>
    <w:rsid w:val="00EF1891"/>
    <w:rsid w:val="00EF33BE"/>
    <w:rsid w:val="00EF4F97"/>
    <w:rsid w:val="00F02DD2"/>
    <w:rsid w:val="00F0313D"/>
    <w:rsid w:val="00F07DF3"/>
    <w:rsid w:val="00F126FC"/>
    <w:rsid w:val="00F12983"/>
    <w:rsid w:val="00F15359"/>
    <w:rsid w:val="00F245A2"/>
    <w:rsid w:val="00F25008"/>
    <w:rsid w:val="00F309CB"/>
    <w:rsid w:val="00F33EEE"/>
    <w:rsid w:val="00F37A75"/>
    <w:rsid w:val="00F44A0E"/>
    <w:rsid w:val="00F4763C"/>
    <w:rsid w:val="00F540BA"/>
    <w:rsid w:val="00F56336"/>
    <w:rsid w:val="00F578C0"/>
    <w:rsid w:val="00F64069"/>
    <w:rsid w:val="00F64D6D"/>
    <w:rsid w:val="00F82EE1"/>
    <w:rsid w:val="00F93134"/>
    <w:rsid w:val="00FB078F"/>
    <w:rsid w:val="00FC3F00"/>
    <w:rsid w:val="00FC60C8"/>
    <w:rsid w:val="00FE22FA"/>
    <w:rsid w:val="00FF1D71"/>
    <w:rsid w:val="00FF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6014">
      <w:bodyDiv w:val="1"/>
      <w:marLeft w:val="0"/>
      <w:marRight w:val="0"/>
      <w:marTop w:val="0"/>
      <w:marBottom w:val="0"/>
      <w:divBdr>
        <w:top w:val="none" w:sz="0" w:space="0" w:color="auto"/>
        <w:left w:val="none" w:sz="0" w:space="0" w:color="auto"/>
        <w:bottom w:val="none" w:sz="0" w:space="0" w:color="auto"/>
        <w:right w:val="none" w:sz="0" w:space="0" w:color="auto"/>
      </w:divBdr>
      <w:divsChild>
        <w:div w:id="622884756">
          <w:marLeft w:val="0"/>
          <w:marRight w:val="0"/>
          <w:marTop w:val="0"/>
          <w:marBottom w:val="0"/>
          <w:divBdr>
            <w:top w:val="none" w:sz="0" w:space="0" w:color="auto"/>
            <w:left w:val="none" w:sz="0" w:space="0" w:color="auto"/>
            <w:bottom w:val="none" w:sz="0" w:space="0" w:color="auto"/>
            <w:right w:val="none" w:sz="0" w:space="0" w:color="auto"/>
          </w:divBdr>
          <w:divsChild>
            <w:div w:id="1026367885">
              <w:marLeft w:val="0"/>
              <w:marRight w:val="0"/>
              <w:marTop w:val="0"/>
              <w:marBottom w:val="0"/>
              <w:divBdr>
                <w:top w:val="none" w:sz="0" w:space="0" w:color="auto"/>
                <w:left w:val="none" w:sz="0" w:space="0" w:color="auto"/>
                <w:bottom w:val="none" w:sz="0" w:space="0" w:color="auto"/>
                <w:right w:val="none" w:sz="0" w:space="0" w:color="auto"/>
              </w:divBdr>
              <w:divsChild>
                <w:div w:id="2078741657">
                  <w:marLeft w:val="0"/>
                  <w:marRight w:val="0"/>
                  <w:marTop w:val="0"/>
                  <w:marBottom w:val="0"/>
                  <w:divBdr>
                    <w:top w:val="none" w:sz="0" w:space="0" w:color="auto"/>
                    <w:left w:val="none" w:sz="0" w:space="0" w:color="auto"/>
                    <w:bottom w:val="none" w:sz="0" w:space="0" w:color="auto"/>
                    <w:right w:val="none" w:sz="0" w:space="0" w:color="auto"/>
                  </w:divBdr>
                  <w:divsChild>
                    <w:div w:id="1978756664">
                      <w:marLeft w:val="0"/>
                      <w:marRight w:val="0"/>
                      <w:marTop w:val="0"/>
                      <w:marBottom w:val="0"/>
                      <w:divBdr>
                        <w:top w:val="none" w:sz="0" w:space="0" w:color="auto"/>
                        <w:left w:val="none" w:sz="0" w:space="0" w:color="auto"/>
                        <w:bottom w:val="none" w:sz="0" w:space="0" w:color="auto"/>
                        <w:right w:val="none" w:sz="0" w:space="0" w:color="auto"/>
                      </w:divBdr>
                      <w:divsChild>
                        <w:div w:id="1514105162">
                          <w:marLeft w:val="-225"/>
                          <w:marRight w:val="-225"/>
                          <w:marTop w:val="0"/>
                          <w:marBottom w:val="300"/>
                          <w:divBdr>
                            <w:top w:val="none" w:sz="0" w:space="0" w:color="auto"/>
                            <w:left w:val="none" w:sz="0" w:space="0" w:color="auto"/>
                            <w:bottom w:val="none" w:sz="0" w:space="0" w:color="auto"/>
                            <w:right w:val="none" w:sz="0" w:space="0" w:color="auto"/>
                          </w:divBdr>
                          <w:divsChild>
                            <w:div w:id="1638610219">
                              <w:marLeft w:val="0"/>
                              <w:marRight w:val="0"/>
                              <w:marTop w:val="0"/>
                              <w:marBottom w:val="0"/>
                              <w:divBdr>
                                <w:top w:val="none" w:sz="0" w:space="0" w:color="auto"/>
                                <w:left w:val="none" w:sz="0" w:space="0" w:color="auto"/>
                                <w:bottom w:val="none" w:sz="0" w:space="0" w:color="auto"/>
                                <w:right w:val="none" w:sz="0" w:space="0" w:color="auto"/>
                              </w:divBdr>
                              <w:divsChild>
                                <w:div w:id="945387955">
                                  <w:marLeft w:val="-225"/>
                                  <w:marRight w:val="-225"/>
                                  <w:marTop w:val="0"/>
                                  <w:marBottom w:val="300"/>
                                  <w:divBdr>
                                    <w:top w:val="none" w:sz="0" w:space="0" w:color="auto"/>
                                    <w:left w:val="none" w:sz="0" w:space="0" w:color="auto"/>
                                    <w:bottom w:val="none" w:sz="0" w:space="0" w:color="auto"/>
                                    <w:right w:val="none" w:sz="0" w:space="0" w:color="auto"/>
                                  </w:divBdr>
                                  <w:divsChild>
                                    <w:div w:id="209732604">
                                      <w:marLeft w:val="0"/>
                                      <w:marRight w:val="0"/>
                                      <w:marTop w:val="0"/>
                                      <w:marBottom w:val="0"/>
                                      <w:divBdr>
                                        <w:top w:val="none" w:sz="0" w:space="0" w:color="auto"/>
                                        <w:left w:val="none" w:sz="0" w:space="0" w:color="auto"/>
                                        <w:bottom w:val="none" w:sz="0" w:space="0" w:color="auto"/>
                                        <w:right w:val="none" w:sz="0" w:space="0" w:color="auto"/>
                                      </w:divBdr>
                                      <w:divsChild>
                                        <w:div w:id="76708326">
                                          <w:marLeft w:val="0"/>
                                          <w:marRight w:val="0"/>
                                          <w:marTop w:val="0"/>
                                          <w:marBottom w:val="0"/>
                                          <w:divBdr>
                                            <w:top w:val="none" w:sz="0" w:space="0" w:color="auto"/>
                                            <w:left w:val="none" w:sz="0" w:space="0" w:color="auto"/>
                                            <w:bottom w:val="none" w:sz="0" w:space="0" w:color="auto"/>
                                            <w:right w:val="none" w:sz="0" w:space="0" w:color="auto"/>
                                          </w:divBdr>
                                          <w:divsChild>
                                            <w:div w:id="13018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544029258">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926353879">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123766018">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ederalregister.gov/documents/2018/10/17/2018-22611/commission-information-collection-activities-ferc-725g-comment-request-extens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ferc.gov/idmws/common/OpenNat.asp?fileID=15468689" TargetMode="External"/><Relationship Id="rId1" Type="http://schemas.openxmlformats.org/officeDocument/2006/relationships/hyperlink" Target="https://elibrary.ferc.gov/idmws/common/OpenNat.asp?fileID=15468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24A15E42-6297-4742-95C5-8BAE575B1D67}">
  <ds:schemaRefs>
    <ds:schemaRef ds:uri="Microsoft.SharePoint.Taxonomy.ContentTypeSync"/>
  </ds:schemaRefs>
</ds:datastoreItem>
</file>

<file path=customXml/itemProps4.xml><?xml version="1.0" encoding="utf-8"?>
<ds:datastoreItem xmlns:ds="http://schemas.openxmlformats.org/officeDocument/2006/customXml" ds:itemID="{C196403E-A559-4C67-A972-15FC7019A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50119-DDDA-42E9-89F0-17BFA7EEB93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9</ap:TotalTime>
  <ap:Pages>12</ap:Pages>
  <ap:Words>1859</ap:Words>
  <ap:Characters>10598</ap:Characters>
  <ap:Application>Microsoft Office Word</ap:Application>
  <ap:DocSecurity>0</ap:DocSecurity>
  <ap:Lines>88</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12433</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2021-05-25T21:34:00.0000000Z</dcterms:created>
  <dcterms:modified xsi:type="dcterms:W3CDTF">2021-05-26T17:56:00.0000000Z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