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6B3479" w14:paraId="1502CB1A" w14:textId="31B67982">
      <w:pPr>
        <w:jc w:val="center"/>
      </w:pPr>
      <w:bookmarkStart w:name="_GoBack" w:id="0"/>
      <w:bookmarkEnd w:id="0"/>
      <w:r>
        <w:t>F</w:t>
      </w:r>
      <w:r w:rsidR="00A2604E">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336F649B">
      <w:pPr>
        <w:jc w:val="center"/>
      </w:pPr>
      <w:r w:rsidRPr="00980E58">
        <w:t>[</w:t>
      </w:r>
      <w:r w:rsidRPr="007633DD">
        <w:t>Docket No</w:t>
      </w:r>
      <w:r w:rsidRPr="00413FDE">
        <w:t xml:space="preserve">. </w:t>
      </w:r>
      <w:r w:rsidRPr="00413FDE" w:rsidR="00613169">
        <w:t>IC</w:t>
      </w:r>
      <w:r w:rsidRPr="00413FDE" w:rsidR="00FB078F">
        <w:t>21</w:t>
      </w:r>
      <w:r w:rsidRPr="00413FDE" w:rsidR="00613169">
        <w:t>-</w:t>
      </w:r>
      <w:r w:rsidR="009949AA">
        <w:t>23</w:t>
      </w:r>
      <w:r w:rsidRPr="00413FDE" w:rsidR="00613169">
        <w:t>-000</w:t>
      </w:r>
      <w:r w:rsidRPr="00413FDE">
        <w:t>]</w:t>
      </w:r>
    </w:p>
    <w:p w:rsidR="00A2604E" w:rsidP="00A2604E" w:rsidRDefault="00A2604E" w14:paraId="4D16FE54" w14:textId="77777777"/>
    <w:p w:rsidR="00A2604E" w:rsidP="00A2604E" w:rsidRDefault="00A2604E" w14:paraId="0627AE31" w14:textId="4520CCB9">
      <w:pPr>
        <w:jc w:val="center"/>
      </w:pPr>
      <w:r>
        <w:t>COMMISSION INFORMATION COLLECTION ACTIVITIES (FERC-</w:t>
      </w:r>
      <w:r w:rsidR="000A3C2F">
        <w:t>725</w:t>
      </w:r>
      <w:r w:rsidR="006B3479">
        <w:t>V</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297BF7" w:rsidRDefault="00297BF7" w14:paraId="692D2676" w14:textId="303698B8">
      <w:pPr>
        <w:jc w:val="center"/>
      </w:pPr>
      <w:r w:rsidRPr="00297BF7">
        <w:t>(May 6, 2021)</w:t>
      </w:r>
    </w:p>
    <w:p w:rsidRPr="00297BF7" w:rsidR="00297BF7" w:rsidP="00297BF7" w:rsidRDefault="00297BF7" w14:paraId="398D89B6"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0A3C2F" w:rsidP="00A2604E" w:rsidRDefault="00A2604E" w14:paraId="7763A4B2" w14:textId="77B4E412">
      <w:pPr>
        <w:spacing w:line="480" w:lineRule="auto"/>
        <w:rPr>
          <w:bCs/>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2"/>
      <w:r w:rsidR="000A3C2F">
        <w:rPr>
          <w:szCs w:val="26"/>
        </w:rPr>
        <w:t>FERC-725</w:t>
      </w:r>
      <w:r w:rsidR="006B3479">
        <w:rPr>
          <w:szCs w:val="26"/>
        </w:rPr>
        <w:t>V</w:t>
      </w:r>
      <w:r w:rsidR="000A3C2F">
        <w:rPr>
          <w:szCs w:val="26"/>
        </w:rPr>
        <w:t xml:space="preserve">, </w:t>
      </w:r>
      <w:bookmarkEnd w:id="2"/>
      <w:r w:rsidRPr="002C0D1E" w:rsidR="006B3479">
        <w:rPr>
          <w:szCs w:val="26"/>
        </w:rPr>
        <w:t>Mandatory Reliability Standards: COM Reliability Standards</w:t>
      </w:r>
      <w:r w:rsidR="006B3479">
        <w:rPr>
          <w:szCs w:val="26"/>
        </w:rPr>
        <w:t>.</w:t>
      </w:r>
    </w:p>
    <w:p w:rsidRPr="00524164" w:rsidR="00A2604E" w:rsidP="00A2604E" w:rsidRDefault="00A2604E" w14:paraId="5C5B574A" w14:textId="4DFEA6C3">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Pr="00A07154" w:rsidR="00297BF7">
        <w:rPr>
          <w:b/>
        </w:rPr>
        <w:t xml:space="preserve">60 </w:t>
      </w:r>
      <w:r w:rsidR="00297BF7">
        <w:rPr>
          <w:b/>
        </w:rPr>
        <w:t>DAYS</w:t>
      </w:r>
      <w:r w:rsidRPr="00A07154" w:rsidR="00297BF7">
        <w:rPr>
          <w:b/>
        </w:rPr>
        <w:t xml:space="preserve"> AFTER DATE OF PUBLICATION IN THE FEDERAL REGISTER</w:t>
      </w:r>
      <w:r w:rsidRPr="00524164">
        <w:t xml:space="preserve">]. </w:t>
      </w:r>
    </w:p>
    <w:p w:rsidRPr="0042765E" w:rsidR="0042765E" w:rsidP="0042765E" w:rsidRDefault="00A2604E" w14:paraId="571559FA" w14:textId="2C91985C">
      <w:pPr>
        <w:spacing w:line="480" w:lineRule="auto"/>
      </w:pPr>
      <w:r w:rsidRPr="00524164">
        <w:rPr>
          <w:b/>
        </w:rPr>
        <w:t>ADDRESSES:</w:t>
      </w:r>
      <w:r w:rsidRPr="00524164">
        <w:t xml:space="preserve">  </w:t>
      </w:r>
      <w:bookmarkStart w:name="OLE_LINK1" w:id="3"/>
      <w:r w:rsidRPr="0042765E" w:rsidR="0042765E">
        <w:t xml:space="preserve">You may submit copies of your comments (identified by Docket No. </w:t>
      </w:r>
      <w:r w:rsidRPr="00413FDE" w:rsidR="0042765E">
        <w:t>IC21-</w:t>
      </w:r>
      <w:r w:rsidR="009949AA">
        <w:t>23</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3"/>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0A3C2F" w:rsidP="000A3C2F" w:rsidRDefault="000A3C2F" w14:paraId="550D0A4F" w14:textId="7DF3FAB0">
      <w:pPr>
        <w:spacing w:line="480" w:lineRule="auto"/>
        <w:rPr>
          <w:szCs w:val="26"/>
        </w:rPr>
      </w:pPr>
      <w:r>
        <w:rPr>
          <w:b/>
          <w:szCs w:val="26"/>
        </w:rPr>
        <w:t>SUPPLEMENTARY INFORMATION:</w:t>
      </w:r>
      <w:r>
        <w:rPr>
          <w:szCs w:val="26"/>
        </w:rPr>
        <w:t xml:space="preserve">  </w:t>
      </w:r>
    </w:p>
    <w:p w:rsidR="002906E5" w:rsidP="000A3C2F" w:rsidRDefault="000A3C2F" w14:paraId="664FB0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Title:</w:t>
      </w:r>
      <w:r>
        <w:rPr>
          <w:szCs w:val="26"/>
        </w:rPr>
        <w:t xml:space="preserve"> </w:t>
      </w:r>
      <w:bookmarkStart w:name="_Hlk68524925" w:id="4"/>
      <w:r>
        <w:rPr>
          <w:szCs w:val="26"/>
        </w:rPr>
        <w:t>FERC-725</w:t>
      </w:r>
      <w:r w:rsidR="006B3479">
        <w:rPr>
          <w:szCs w:val="26"/>
        </w:rPr>
        <w:t>V</w:t>
      </w:r>
      <w:r>
        <w:rPr>
          <w:szCs w:val="26"/>
        </w:rPr>
        <w:t xml:space="preserve">, </w:t>
      </w:r>
      <w:bookmarkEnd w:id="4"/>
      <w:r w:rsidRPr="002C0D1E" w:rsidR="002906E5">
        <w:rPr>
          <w:szCs w:val="26"/>
        </w:rPr>
        <w:t>Mandatory Reliability Standards: COM Reliability Standards</w:t>
      </w:r>
      <w:r w:rsidR="002906E5">
        <w:rPr>
          <w:szCs w:val="26"/>
        </w:rPr>
        <w:t>.</w:t>
      </w:r>
    </w:p>
    <w:p w:rsidR="000A3C2F" w:rsidP="000A3C2F" w:rsidRDefault="000A3C2F" w14:paraId="7D4AED9C" w14:textId="295CC0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szCs w:val="26"/>
        </w:rPr>
      </w:pPr>
      <w:r>
        <w:rPr>
          <w:i/>
          <w:szCs w:val="26"/>
        </w:rPr>
        <w:t>OMB Control No.:</w:t>
      </w:r>
      <w:r>
        <w:rPr>
          <w:szCs w:val="26"/>
        </w:rPr>
        <w:t xml:space="preserve"> 1902-027</w:t>
      </w:r>
      <w:r w:rsidR="006B3479">
        <w:rPr>
          <w:szCs w:val="26"/>
        </w:rPr>
        <w:t>7</w:t>
      </w:r>
    </w:p>
    <w:p w:rsidR="000A3C2F" w:rsidP="000A3C2F" w:rsidRDefault="000A3C2F" w14:paraId="3E8A6964" w14:textId="4C9026C4">
      <w:pPr>
        <w:spacing w:line="480" w:lineRule="auto"/>
        <w:rPr>
          <w:szCs w:val="26"/>
        </w:rPr>
      </w:pPr>
      <w:r>
        <w:rPr>
          <w:i/>
          <w:szCs w:val="26"/>
        </w:rPr>
        <w:t>Type of Request:</w:t>
      </w:r>
      <w:r>
        <w:rPr>
          <w:szCs w:val="26"/>
        </w:rPr>
        <w:t xml:space="preserve"> Three-year extension of the FERC-725</w:t>
      </w:r>
      <w:r w:rsidR="006B3479">
        <w:rPr>
          <w:szCs w:val="26"/>
        </w:rPr>
        <w:t>V</w:t>
      </w:r>
      <w:r>
        <w:rPr>
          <w:szCs w:val="26"/>
        </w:rPr>
        <w:t xml:space="preserve"> information collection requirements with no changes to the reporting requirements. </w:t>
      </w:r>
    </w:p>
    <w:p w:rsidRPr="002906E5" w:rsidR="002906E5" w:rsidP="002906E5" w:rsidRDefault="000A3C2F" w14:paraId="1D70EC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szCs w:val="26"/>
        </w:rPr>
        <w:t>Abstract:</w:t>
      </w:r>
      <w:r>
        <w:rPr>
          <w:szCs w:val="26"/>
        </w:rPr>
        <w:t xml:space="preserve"> </w:t>
      </w:r>
      <w:r w:rsidRPr="002906E5" w:rsidR="002906E5">
        <w:rPr>
          <w:szCs w:val="26"/>
        </w:rPr>
        <w:t xml:space="preserve">On August 15, 2016, the North American Electric Reliability Corporation (NERC) filed a petition for Commission approval, pursuant to section 215(d)(1) of the </w:t>
      </w:r>
      <w:r w:rsidRPr="002906E5" w:rsidR="002906E5">
        <w:rPr>
          <w:szCs w:val="26"/>
        </w:rPr>
        <w:lastRenderedPageBreak/>
        <w:t>Federal Power Act (“FPA”)</w:t>
      </w:r>
      <w:r w:rsidRPr="002906E5" w:rsidR="002906E5">
        <w:rPr>
          <w:b/>
          <w:szCs w:val="26"/>
          <w:vertAlign w:val="superscript"/>
        </w:rPr>
        <w:footnoteReference w:id="2"/>
      </w:r>
      <w:r w:rsidRPr="002906E5" w:rsidR="002906E5">
        <w:rPr>
          <w:szCs w:val="26"/>
        </w:rPr>
        <w:t xml:space="preserve"> and Section 39.5</w:t>
      </w:r>
      <w:r w:rsidRPr="002906E5" w:rsidR="002906E5">
        <w:rPr>
          <w:b/>
          <w:szCs w:val="26"/>
          <w:vertAlign w:val="superscript"/>
        </w:rPr>
        <w:footnoteReference w:id="3"/>
      </w:r>
      <w:r w:rsidRPr="002906E5" w:rsidR="002906E5">
        <w:rPr>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COM-001-2, or develop a new standard, to address the Commission’s concerns regarding ensuring the adequacy of internal communications capability whenever internal communications could directly affect the reliability opera.</w:t>
      </w:r>
    </w:p>
    <w:p w:rsidRPr="002906E5" w:rsidR="002906E5" w:rsidP="002906E5" w:rsidRDefault="000500A8" w14:paraId="103E154B" w14:textId="248BD8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ab/>
      </w:r>
      <w:r w:rsidRPr="002906E5" w:rsidR="002906E5">
        <w:rPr>
          <w:color w:val="000000"/>
          <w:szCs w:val="26"/>
        </w:rPr>
        <w:t>Reliability Standards COM-001-</w:t>
      </w:r>
      <w:r w:rsidR="00042F33">
        <w:rPr>
          <w:color w:val="000000"/>
          <w:szCs w:val="26"/>
        </w:rPr>
        <w:t>3</w:t>
      </w:r>
      <w:r w:rsidRPr="002906E5" w:rsidR="002906E5">
        <w:rPr>
          <w:color w:val="000000"/>
          <w:szCs w:val="26"/>
        </w:rPr>
        <w:t xml:space="preserve"> and COM-002-4 do not require responsible entities to file information with the Commission.  COM-001-</w:t>
      </w:r>
      <w:r w:rsidR="00042F33">
        <w:rPr>
          <w:color w:val="000000"/>
          <w:szCs w:val="26"/>
        </w:rPr>
        <w:t>3</w:t>
      </w:r>
      <w:r w:rsidRPr="002906E5" w:rsidR="002906E5">
        <w:rPr>
          <w:color w:val="000000"/>
          <w:szCs w:val="26"/>
        </w:rPr>
        <w:t xml:space="preserve">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w:t>
      </w:r>
      <w:r w:rsidRPr="002906E5" w:rsidR="002906E5">
        <w:rPr>
          <w:color w:val="000000"/>
          <w:szCs w:val="26"/>
        </w:rPr>
        <w:lastRenderedPageBreak/>
        <w:t>annual assessment of the protocols. Additionally, all applicable entities (balancing authorities, reliability coordinators, transmission operators, generator operators, and distribution providers) must be able to provide evidence of three-part communication when issuing or receiving an Operating Instruction during an Emergency.</w:t>
      </w:r>
    </w:p>
    <w:p w:rsidRPr="002906E5" w:rsidR="002906E5" w:rsidP="002906E5" w:rsidRDefault="002906E5" w14:paraId="38C3A5E1" w14:textId="77777777">
      <w:pPr>
        <w:spacing w:line="480" w:lineRule="auto"/>
        <w:rPr>
          <w:szCs w:val="26"/>
        </w:rPr>
      </w:pPr>
      <w:r w:rsidRPr="002906E5">
        <w:rPr>
          <w:i/>
          <w:szCs w:val="26"/>
        </w:rPr>
        <w:t xml:space="preserve">Type of Respondents: </w:t>
      </w:r>
      <w:r w:rsidRPr="002906E5">
        <w:rPr>
          <w:szCs w:val="26"/>
        </w:rPr>
        <w:t>Public utilities.</w:t>
      </w:r>
    </w:p>
    <w:p w:rsidRPr="002906E5" w:rsidR="002906E5" w:rsidP="002906E5" w:rsidRDefault="002906E5" w14:paraId="44BF7517" w14:textId="77777777">
      <w:pPr>
        <w:spacing w:line="480" w:lineRule="auto"/>
        <w:rPr>
          <w:szCs w:val="26"/>
        </w:rPr>
      </w:pPr>
      <w:r w:rsidRPr="002906E5">
        <w:rPr>
          <w:i/>
          <w:szCs w:val="26"/>
        </w:rPr>
        <w:t>Estimate of Annual Burden</w:t>
      </w:r>
      <w:r w:rsidRPr="002906E5">
        <w:rPr>
          <w:b/>
          <w:i/>
          <w:szCs w:val="26"/>
          <w:vertAlign w:val="superscript"/>
        </w:rPr>
        <w:footnoteReference w:id="4"/>
      </w:r>
      <w:r w:rsidRPr="002906E5">
        <w:rPr>
          <w:i/>
          <w:szCs w:val="26"/>
        </w:rPr>
        <w:t xml:space="preserve">: </w:t>
      </w:r>
      <w:r w:rsidRPr="002906E5">
        <w:rPr>
          <w:szCs w:val="26"/>
        </w:rPr>
        <w:t xml:space="preserve">The Commission estimates the annual public reporting burden for the information collection as: </w:t>
      </w:r>
    </w:p>
    <w:tbl>
      <w:tblPr>
        <w:tblW w:w="513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9"/>
        <w:gridCol w:w="1722"/>
        <w:gridCol w:w="1173"/>
        <w:gridCol w:w="1207"/>
        <w:gridCol w:w="1207"/>
        <w:gridCol w:w="1489"/>
        <w:gridCol w:w="1370"/>
      </w:tblGrid>
      <w:tr w:rsidRPr="00D47B74" w:rsidR="00D47B74" w:rsidTr="000C5529" w14:paraId="7F1DA1F0" w14:textId="77777777">
        <w:trPr>
          <w:cantSplit/>
          <w:trHeight w:val="315"/>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D47B74" w:rsidR="00D47B74" w:rsidP="00D47B74" w:rsidRDefault="00D47B74" w14:paraId="5C352D74" w14:textId="77777777">
            <w:pPr>
              <w:spacing w:line="256" w:lineRule="auto"/>
              <w:jc w:val="center"/>
              <w:rPr>
                <w:rFonts w:eastAsia="Calibri"/>
                <w:b/>
                <w:szCs w:val="26"/>
              </w:rPr>
            </w:pPr>
            <w:r w:rsidRPr="00D47B74">
              <w:rPr>
                <w:rFonts w:eastAsia="Calibri"/>
                <w:b/>
                <w:szCs w:val="26"/>
              </w:rPr>
              <w:t>FERC-725V, Mandatory Reliability Standards: COM Reliability Standards</w:t>
            </w:r>
          </w:p>
        </w:tc>
      </w:tr>
      <w:tr w:rsidRPr="00D47B74" w:rsidR="00813CD5" w:rsidTr="000C5529" w14:paraId="76F4AEB5" w14:textId="77777777">
        <w:trPr>
          <w:cantSplit/>
          <w:trHeight w:val="2518"/>
        </w:trPr>
        <w:tc>
          <w:tcPr>
            <w:tcW w:w="744"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D47B74" w:rsidRDefault="00D47B74" w14:paraId="2EDA7C7C" w14:textId="77777777">
            <w:pPr>
              <w:spacing w:line="256" w:lineRule="auto"/>
              <w:rPr>
                <w:rFonts w:eastAsia="Calibri"/>
                <w:b/>
                <w:szCs w:val="26"/>
              </w:rPr>
            </w:pPr>
          </w:p>
        </w:tc>
        <w:tc>
          <w:tcPr>
            <w:tcW w:w="89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0EE6641C" w14:textId="77777777">
            <w:pPr>
              <w:spacing w:line="256" w:lineRule="auto"/>
              <w:rPr>
                <w:rFonts w:eastAsia="Calibri"/>
                <w:b/>
                <w:szCs w:val="26"/>
              </w:rPr>
            </w:pPr>
            <w:r w:rsidRPr="00D47B74">
              <w:rPr>
                <w:rFonts w:eastAsia="Calibri"/>
                <w:b/>
                <w:szCs w:val="26"/>
              </w:rPr>
              <w:t>Number of Respondents</w:t>
            </w:r>
            <w:r w:rsidRPr="00D47B74">
              <w:rPr>
                <w:rFonts w:eastAsia="Calibri"/>
                <w:b/>
                <w:szCs w:val="26"/>
              </w:rPr>
              <w:br/>
              <w:t>(1)</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79B4F74" w14:textId="77777777">
            <w:pPr>
              <w:spacing w:line="256" w:lineRule="auto"/>
              <w:rPr>
                <w:rFonts w:eastAsia="Calibri"/>
                <w:b/>
                <w:szCs w:val="26"/>
              </w:rPr>
            </w:pPr>
            <w:r w:rsidRPr="00D47B74">
              <w:rPr>
                <w:rFonts w:eastAsia="Calibri"/>
                <w:b/>
                <w:szCs w:val="26"/>
              </w:rPr>
              <w:t>Annual Number of Responses per Respondent</w:t>
            </w:r>
          </w:p>
          <w:p w:rsidRPr="00D47B74" w:rsidR="00D47B74" w:rsidP="00D47B74" w:rsidRDefault="00D47B74" w14:paraId="5C43E157" w14:textId="77777777">
            <w:pPr>
              <w:spacing w:line="256" w:lineRule="auto"/>
              <w:rPr>
                <w:rFonts w:eastAsia="Calibri"/>
                <w:b/>
                <w:szCs w:val="26"/>
              </w:rPr>
            </w:pPr>
            <w:r w:rsidRPr="00D47B74">
              <w:rPr>
                <w:rFonts w:eastAsia="Calibri"/>
                <w:b/>
                <w:szCs w:val="26"/>
              </w:rPr>
              <w:t>(2)</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328BC65" w14:textId="77777777">
            <w:pPr>
              <w:spacing w:line="256" w:lineRule="auto"/>
              <w:rPr>
                <w:rFonts w:eastAsia="Calibri"/>
                <w:b/>
                <w:szCs w:val="26"/>
              </w:rPr>
            </w:pPr>
            <w:r w:rsidRPr="00D47B74">
              <w:rPr>
                <w:rFonts w:eastAsia="Calibri"/>
                <w:b/>
                <w:szCs w:val="26"/>
              </w:rPr>
              <w:t>Total Number of Responses (</w:t>
            </w:r>
            <w:proofErr w:type="gramStart"/>
            <w:r w:rsidRPr="00D47B74">
              <w:rPr>
                <w:rFonts w:eastAsia="Calibri"/>
                <w:b/>
                <w:szCs w:val="26"/>
              </w:rPr>
              <w:t>1)*</w:t>
            </w:r>
            <w:proofErr w:type="gramEnd"/>
            <w:r w:rsidRPr="00D47B74">
              <w:rPr>
                <w:rFonts w:eastAsia="Calibri"/>
                <w:b/>
                <w:szCs w:val="26"/>
              </w:rPr>
              <w:t>(2)=(3)</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3CD036D9" w14:textId="6E1486FF">
            <w:pPr>
              <w:spacing w:line="256" w:lineRule="auto"/>
              <w:rPr>
                <w:rFonts w:eastAsia="Calibri"/>
                <w:b/>
                <w:szCs w:val="26"/>
              </w:rPr>
            </w:pPr>
            <w:r w:rsidRPr="00D47B74">
              <w:rPr>
                <w:rFonts w:eastAsia="Calibri"/>
                <w:b/>
                <w:szCs w:val="26"/>
              </w:rPr>
              <w:t>Average Burden &amp; Cost Per Response</w:t>
            </w:r>
            <w:r>
              <w:rPr>
                <w:rStyle w:val="FootnoteReference"/>
                <w:rFonts w:eastAsia="Calibri"/>
                <w:b w:val="0"/>
              </w:rPr>
              <w:footnoteReference w:id="5"/>
            </w:r>
          </w:p>
          <w:p w:rsidRPr="00D47B74" w:rsidR="00D47B74" w:rsidP="00D47B74" w:rsidRDefault="00D47B74" w14:paraId="1AD4F99A" w14:textId="77777777">
            <w:pPr>
              <w:spacing w:line="256" w:lineRule="auto"/>
              <w:rPr>
                <w:rFonts w:eastAsia="Calibri"/>
                <w:b/>
                <w:szCs w:val="26"/>
              </w:rPr>
            </w:pPr>
            <w:r w:rsidRPr="00D47B74">
              <w:rPr>
                <w:rFonts w:eastAsia="Calibri"/>
                <w:b/>
                <w:szCs w:val="26"/>
              </w:rPr>
              <w:t>(4)</w:t>
            </w:r>
          </w:p>
        </w:tc>
        <w:tc>
          <w:tcPr>
            <w:tcW w:w="7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77784975" w14:textId="7FE8ACE6">
            <w:pPr>
              <w:spacing w:line="256" w:lineRule="auto"/>
              <w:rPr>
                <w:rFonts w:eastAsia="Calibri"/>
                <w:b/>
                <w:szCs w:val="26"/>
              </w:rPr>
            </w:pPr>
            <w:r w:rsidRPr="00D47B74">
              <w:rPr>
                <w:rFonts w:eastAsia="Calibri"/>
                <w:b/>
                <w:szCs w:val="26"/>
              </w:rPr>
              <w:t>Total Annual Burden Hours &amp; Total Annual Cost</w:t>
            </w:r>
            <w:r w:rsidR="000500A8">
              <w:rPr>
                <w:rFonts w:eastAsia="Calibri"/>
                <w:b/>
                <w:szCs w:val="26"/>
              </w:rPr>
              <w:t xml:space="preserve"> ($)</w:t>
            </w:r>
          </w:p>
          <w:p w:rsidRPr="00D47B74" w:rsidR="00D47B74" w:rsidP="00D47B74" w:rsidRDefault="00D47B74" w14:paraId="5CA6F667" w14:textId="77777777">
            <w:pPr>
              <w:spacing w:line="256" w:lineRule="auto"/>
              <w:rPr>
                <w:rFonts w:eastAsia="Calibri"/>
                <w:b/>
                <w:szCs w:val="26"/>
              </w:rPr>
            </w:pPr>
            <w:r w:rsidRPr="00D47B74">
              <w:rPr>
                <w:rFonts w:eastAsia="Calibri"/>
                <w:b/>
                <w:szCs w:val="26"/>
              </w:rPr>
              <w:t>(</w:t>
            </w:r>
            <w:proofErr w:type="gramStart"/>
            <w:r w:rsidRPr="00D47B74">
              <w:rPr>
                <w:rFonts w:eastAsia="Calibri"/>
                <w:b/>
                <w:szCs w:val="26"/>
              </w:rPr>
              <w:t>3)*</w:t>
            </w:r>
            <w:proofErr w:type="gramEnd"/>
            <w:r w:rsidRPr="00D47B74">
              <w:rPr>
                <w:rFonts w:eastAsia="Calibri"/>
                <w:b/>
                <w:szCs w:val="26"/>
              </w:rPr>
              <w:t>(4)=(5)</w:t>
            </w:r>
          </w:p>
        </w:tc>
        <w:tc>
          <w:tcPr>
            <w:tcW w:w="71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47B74" w:rsidR="00D47B74" w:rsidP="00D47B74" w:rsidRDefault="00D47B74" w14:paraId="0C47B2A6" w14:textId="77777777">
            <w:pPr>
              <w:spacing w:line="256" w:lineRule="auto"/>
              <w:rPr>
                <w:rFonts w:eastAsia="Calibri"/>
                <w:b/>
                <w:szCs w:val="26"/>
              </w:rPr>
            </w:pPr>
            <w:r w:rsidRPr="00D47B74">
              <w:rPr>
                <w:rFonts w:eastAsia="Calibri"/>
                <w:b/>
                <w:szCs w:val="26"/>
              </w:rPr>
              <w:t>Cost per Respondent</w:t>
            </w:r>
          </w:p>
          <w:p w:rsidRPr="00D47B74" w:rsidR="00D47B74" w:rsidP="00D47B74" w:rsidRDefault="00D47B74" w14:paraId="359D4CFE" w14:textId="77777777">
            <w:pPr>
              <w:spacing w:line="256" w:lineRule="auto"/>
              <w:rPr>
                <w:rFonts w:eastAsia="Calibri"/>
                <w:b/>
                <w:szCs w:val="26"/>
              </w:rPr>
            </w:pPr>
            <w:r w:rsidRPr="00D47B74">
              <w:rPr>
                <w:rFonts w:eastAsia="Calibri"/>
                <w:b/>
                <w:szCs w:val="26"/>
              </w:rPr>
              <w:t xml:space="preserve"> ($)</w:t>
            </w:r>
          </w:p>
          <w:p w:rsidRPr="00D47B74" w:rsidR="00D47B74" w:rsidP="00D47B74" w:rsidRDefault="00D47B74" w14:paraId="6E9F7913" w14:textId="77777777">
            <w:pPr>
              <w:spacing w:line="256" w:lineRule="auto"/>
              <w:rPr>
                <w:rFonts w:eastAsia="Calibri"/>
                <w:b/>
                <w:szCs w:val="26"/>
              </w:rPr>
            </w:pPr>
            <w:r w:rsidRPr="00D47B74">
              <w:rPr>
                <w:rFonts w:eastAsia="Calibri"/>
                <w:b/>
                <w:szCs w:val="26"/>
              </w:rPr>
              <w:t>(</w:t>
            </w:r>
            <w:proofErr w:type="gramStart"/>
            <w:r w:rsidRPr="00D47B74">
              <w:rPr>
                <w:rFonts w:eastAsia="Calibri"/>
                <w:b/>
                <w:szCs w:val="26"/>
              </w:rPr>
              <w:t>5)÷</w:t>
            </w:r>
            <w:proofErr w:type="gramEnd"/>
            <w:r w:rsidRPr="00D47B74">
              <w:rPr>
                <w:rFonts w:eastAsia="Calibri"/>
                <w:b/>
                <w:szCs w:val="26"/>
              </w:rPr>
              <w:t>(1)</w:t>
            </w:r>
          </w:p>
        </w:tc>
      </w:tr>
      <w:tr w:rsidRPr="00D47B74" w:rsidR="00813CD5" w:rsidTr="000C5529" w14:paraId="178AB68C" w14:textId="77777777">
        <w:trPr>
          <w:cantSplit/>
          <w:trHeight w:val="1945"/>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23DF49AC" w14:textId="319E5D4A">
            <w:pPr>
              <w:jc w:val="right"/>
              <w:rPr>
                <w:rFonts w:eastAsia="Calibri"/>
                <w:szCs w:val="26"/>
              </w:rPr>
            </w:pPr>
            <w:r w:rsidRPr="00D47B74">
              <w:rPr>
                <w:rFonts w:eastAsia="Calibri"/>
                <w:szCs w:val="26"/>
              </w:rPr>
              <w:lastRenderedPageBreak/>
              <w:t>(On-going) Maintain evidence of Interpersonal Communication capability</w:t>
            </w:r>
            <w:r w:rsidR="000F3935">
              <w:rPr>
                <w:rStyle w:val="FootnoteReference"/>
                <w:rFonts w:eastAsia="Calibri"/>
              </w:rPr>
              <w:footnoteReference w:id="6"/>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819FEF6" w14:textId="77777777">
            <w:pPr>
              <w:jc w:val="right"/>
              <w:rPr>
                <w:rFonts w:eastAsia="Calibri"/>
                <w:szCs w:val="26"/>
              </w:rPr>
            </w:pPr>
          </w:p>
          <w:p w:rsidRPr="00D47B74" w:rsidR="00D47B74" w:rsidP="00813CD5" w:rsidRDefault="00D47B74" w14:paraId="2856F50A" w14:textId="77777777">
            <w:pPr>
              <w:jc w:val="right"/>
              <w:rPr>
                <w:rFonts w:eastAsia="Calibri"/>
                <w:szCs w:val="26"/>
              </w:rPr>
            </w:pPr>
          </w:p>
          <w:p w:rsidRPr="00D47B74" w:rsidR="00D47B74" w:rsidP="00813CD5" w:rsidRDefault="00D47B74" w14:paraId="5352CE45" w14:textId="77777777">
            <w:pPr>
              <w:jc w:val="right"/>
              <w:rPr>
                <w:rFonts w:eastAsia="Calibri"/>
                <w:szCs w:val="26"/>
              </w:rPr>
            </w:pPr>
          </w:p>
          <w:p w:rsidRPr="00D47B74" w:rsidR="00D47B74" w:rsidP="00813CD5" w:rsidRDefault="000F3935" w14:paraId="2AC001A9" w14:textId="3F9B0C7F">
            <w:pPr>
              <w:jc w:val="right"/>
              <w:rPr>
                <w:rFonts w:eastAsia="Calibri"/>
                <w:szCs w:val="26"/>
              </w:rPr>
            </w:pPr>
            <w:r>
              <w:rPr>
                <w:rFonts w:eastAsia="Calibri"/>
                <w:szCs w:val="26"/>
              </w:rPr>
              <w:t>1,313</w:t>
            </w:r>
          </w:p>
          <w:p w:rsidRPr="00D47B74" w:rsidR="00D47B74" w:rsidP="00813CD5" w:rsidRDefault="00D47B74" w14:paraId="230C8D02" w14:textId="3A3B3FDA">
            <w:pPr>
              <w:jc w:val="right"/>
              <w:rPr>
                <w:rFonts w:eastAsia="Calibri"/>
                <w:szCs w:val="26"/>
              </w:rPr>
            </w:pPr>
            <w:r w:rsidRPr="00D47B74">
              <w:rPr>
                <w:rFonts w:eastAsia="Calibri"/>
                <w:szCs w:val="26"/>
              </w:rPr>
              <w:t>(</w:t>
            </w:r>
            <w:r w:rsidR="00243773">
              <w:rPr>
                <w:rFonts w:eastAsia="Calibri"/>
                <w:szCs w:val="26"/>
              </w:rPr>
              <w:t xml:space="preserve">BA, </w:t>
            </w:r>
            <w:r w:rsidRPr="00D47B74">
              <w:rPr>
                <w:rFonts w:eastAsia="Calibri"/>
                <w:szCs w:val="26"/>
              </w:rPr>
              <w:t>DP</w:t>
            </w:r>
            <w:r w:rsidR="00243773">
              <w:rPr>
                <w:rFonts w:eastAsia="Calibri"/>
                <w:szCs w:val="26"/>
              </w:rPr>
              <w:t>, GOP, RC</w:t>
            </w:r>
            <w:r w:rsidRPr="00D47B74">
              <w:rPr>
                <w:rFonts w:eastAsia="Calibri"/>
                <w:szCs w:val="26"/>
              </w:rPr>
              <w:t xml:space="preserve"> &amp; </w:t>
            </w:r>
            <w:r w:rsidR="00243773">
              <w:rPr>
                <w:rFonts w:eastAsia="Calibri"/>
                <w:szCs w:val="26"/>
              </w:rPr>
              <w:t>T</w:t>
            </w:r>
            <w:r w:rsidRPr="00D47B74">
              <w:rPr>
                <w:rFonts w:eastAsia="Calibri"/>
                <w:szCs w:val="26"/>
              </w:rPr>
              <w:t>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338A4CAF" w14:textId="77777777">
            <w:pPr>
              <w:jc w:val="right"/>
              <w:rPr>
                <w:rFonts w:eastAsia="Calibri"/>
                <w:szCs w:val="26"/>
              </w:rPr>
            </w:pPr>
          </w:p>
          <w:p w:rsidRPr="00D47B74" w:rsidR="00D47B74" w:rsidP="00813CD5" w:rsidRDefault="00D47B74" w14:paraId="5BACAFF0" w14:textId="77777777">
            <w:pPr>
              <w:jc w:val="right"/>
              <w:rPr>
                <w:rFonts w:eastAsia="Calibri"/>
                <w:szCs w:val="26"/>
              </w:rPr>
            </w:pPr>
          </w:p>
          <w:p w:rsidRPr="00D47B74" w:rsidR="00D47B74" w:rsidP="00813CD5" w:rsidRDefault="00D47B74" w14:paraId="33890DD2" w14:textId="77777777">
            <w:pPr>
              <w:jc w:val="right"/>
              <w:rPr>
                <w:rFonts w:eastAsia="Calibri"/>
                <w:szCs w:val="26"/>
              </w:rPr>
            </w:pPr>
          </w:p>
          <w:p w:rsidRPr="00D47B74" w:rsidR="00D47B74" w:rsidP="00813CD5" w:rsidRDefault="00D47B74" w14:paraId="2BE4067C" w14:textId="77777777">
            <w:pPr>
              <w:jc w:val="right"/>
              <w:rPr>
                <w:rFonts w:eastAsia="Calibri"/>
                <w:szCs w:val="26"/>
              </w:rPr>
            </w:pPr>
          </w:p>
          <w:p w:rsidRPr="00D47B74" w:rsidR="00D47B74" w:rsidP="00813CD5" w:rsidRDefault="00D47B74" w14:paraId="65D98AAD" w14:textId="77777777">
            <w:pPr>
              <w:jc w:val="right"/>
              <w:rPr>
                <w:rFonts w:eastAsia="Calibri"/>
                <w:szCs w:val="26"/>
              </w:rPr>
            </w:pPr>
          </w:p>
          <w:p w:rsidRPr="00D47B74" w:rsidR="00D47B74" w:rsidP="00813CD5" w:rsidRDefault="00D47B74" w14:paraId="65AA0190" w14:textId="77777777">
            <w:pPr>
              <w:jc w:val="right"/>
              <w:rPr>
                <w:rFonts w:eastAsia="Calibri"/>
                <w:szCs w:val="26"/>
              </w:rPr>
            </w:pPr>
            <w:r w:rsidRPr="00D47B74">
              <w:rPr>
                <w:rFonts w:eastAsia="Calibri"/>
                <w:szCs w:val="26"/>
              </w:rPr>
              <w:t>1</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60ACEAC" w14:textId="77777777">
            <w:pPr>
              <w:jc w:val="right"/>
              <w:rPr>
                <w:rFonts w:eastAsia="Calibri"/>
                <w:szCs w:val="26"/>
              </w:rPr>
            </w:pPr>
          </w:p>
          <w:p w:rsidRPr="00D47B74" w:rsidR="00D47B74" w:rsidP="00813CD5" w:rsidRDefault="00D47B74" w14:paraId="27A782C3" w14:textId="77777777">
            <w:pPr>
              <w:jc w:val="right"/>
              <w:rPr>
                <w:rFonts w:eastAsia="Calibri"/>
                <w:szCs w:val="26"/>
              </w:rPr>
            </w:pPr>
          </w:p>
          <w:p w:rsidRPr="00D47B74" w:rsidR="00D47B74" w:rsidP="00813CD5" w:rsidRDefault="00D47B74" w14:paraId="68D2F4B7" w14:textId="77777777">
            <w:pPr>
              <w:jc w:val="right"/>
              <w:rPr>
                <w:rFonts w:eastAsia="Calibri"/>
                <w:szCs w:val="26"/>
              </w:rPr>
            </w:pPr>
          </w:p>
          <w:p w:rsidRPr="00D47B74" w:rsidR="00D47B74" w:rsidP="00813CD5" w:rsidRDefault="00D47B74" w14:paraId="0002ED52" w14:textId="77777777">
            <w:pPr>
              <w:jc w:val="right"/>
              <w:rPr>
                <w:rFonts w:eastAsia="Calibri"/>
                <w:szCs w:val="26"/>
              </w:rPr>
            </w:pPr>
          </w:p>
          <w:p w:rsidRPr="00D47B74" w:rsidR="00D47B74" w:rsidP="00813CD5" w:rsidRDefault="00D47B74" w14:paraId="0B57184B" w14:textId="77777777">
            <w:pPr>
              <w:jc w:val="right"/>
              <w:rPr>
                <w:rFonts w:eastAsia="Calibri"/>
                <w:szCs w:val="26"/>
              </w:rPr>
            </w:pPr>
          </w:p>
          <w:p w:rsidRPr="00D47B74" w:rsidR="00D47B74" w:rsidP="00813CD5" w:rsidRDefault="000F3935" w14:paraId="274B9CE3" w14:textId="0E0D4E43">
            <w:pPr>
              <w:jc w:val="right"/>
              <w:rPr>
                <w:rFonts w:eastAsia="Calibri"/>
                <w:szCs w:val="26"/>
              </w:rPr>
            </w:pPr>
            <w:r>
              <w:rPr>
                <w:rFonts w:eastAsia="Calibri"/>
                <w:szCs w:val="26"/>
              </w:rPr>
              <w:t>1,313</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1ACE7526" w14:textId="77777777">
            <w:pPr>
              <w:jc w:val="right"/>
              <w:rPr>
                <w:rFonts w:eastAsia="Calibri"/>
                <w:szCs w:val="26"/>
              </w:rPr>
            </w:pPr>
          </w:p>
          <w:p w:rsidRPr="00D47B74" w:rsidR="00D47B74" w:rsidP="00813CD5" w:rsidRDefault="00D47B74" w14:paraId="7D70F483" w14:textId="77777777">
            <w:pPr>
              <w:jc w:val="right"/>
              <w:rPr>
                <w:rFonts w:eastAsia="Calibri"/>
                <w:szCs w:val="26"/>
              </w:rPr>
            </w:pPr>
          </w:p>
          <w:p w:rsidRPr="00D47B74" w:rsidR="00D47B74" w:rsidP="00813CD5" w:rsidRDefault="00D47B74" w14:paraId="5F1A17C6" w14:textId="77777777">
            <w:pPr>
              <w:jc w:val="right"/>
              <w:rPr>
                <w:rFonts w:eastAsia="Calibri"/>
                <w:szCs w:val="26"/>
              </w:rPr>
            </w:pPr>
          </w:p>
          <w:p w:rsidRPr="00D47B74" w:rsidR="00D47B74" w:rsidP="00813CD5" w:rsidRDefault="00D47B74" w14:paraId="070EF2D5" w14:textId="77777777">
            <w:pPr>
              <w:jc w:val="right"/>
              <w:rPr>
                <w:rFonts w:eastAsia="Calibri"/>
                <w:szCs w:val="26"/>
              </w:rPr>
            </w:pPr>
          </w:p>
          <w:p w:rsidRPr="00D47B74" w:rsidR="00D47B74" w:rsidP="00813CD5" w:rsidRDefault="00D47B74" w14:paraId="63867812" w14:textId="77777777">
            <w:pPr>
              <w:jc w:val="right"/>
              <w:rPr>
                <w:rFonts w:eastAsia="Calibri"/>
                <w:szCs w:val="26"/>
              </w:rPr>
            </w:pPr>
            <w:r w:rsidRPr="00D47B74">
              <w:rPr>
                <w:rFonts w:eastAsia="Calibri"/>
                <w:szCs w:val="26"/>
              </w:rPr>
              <w:t>4 hrs.;</w:t>
            </w:r>
          </w:p>
          <w:p w:rsidRPr="00D47B74" w:rsidR="00D47B74" w:rsidP="00813CD5" w:rsidRDefault="00D47B74" w14:paraId="38B92833" w14:textId="4C9A76FB">
            <w:pPr>
              <w:jc w:val="right"/>
              <w:rPr>
                <w:rFonts w:eastAsia="Calibri"/>
                <w:szCs w:val="26"/>
              </w:rPr>
            </w:pPr>
            <w:r w:rsidRPr="00D47B74">
              <w:rPr>
                <w:rFonts w:eastAsia="Calibri"/>
                <w:szCs w:val="26"/>
              </w:rPr>
              <w:t>$2</w:t>
            </w:r>
            <w:r>
              <w:rPr>
                <w:rFonts w:eastAsia="Calibri"/>
                <w:szCs w:val="26"/>
              </w:rPr>
              <w:t>28</w:t>
            </w:r>
          </w:p>
        </w:tc>
        <w:tc>
          <w:tcPr>
            <w:tcW w:w="776"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32480851" w14:textId="77777777">
            <w:pPr>
              <w:jc w:val="right"/>
              <w:rPr>
                <w:rFonts w:eastAsia="Calibri"/>
                <w:szCs w:val="26"/>
              </w:rPr>
            </w:pPr>
          </w:p>
          <w:p w:rsidRPr="00D47B74" w:rsidR="00D47B74" w:rsidP="00813CD5" w:rsidRDefault="00D47B74" w14:paraId="1073D276" w14:textId="77777777">
            <w:pPr>
              <w:jc w:val="right"/>
              <w:rPr>
                <w:rFonts w:eastAsia="Calibri"/>
                <w:szCs w:val="26"/>
              </w:rPr>
            </w:pPr>
          </w:p>
          <w:p w:rsidRPr="00D47B74" w:rsidR="00D47B74" w:rsidP="00813CD5" w:rsidRDefault="00D47B74" w14:paraId="465DB3D6" w14:textId="77777777">
            <w:pPr>
              <w:jc w:val="right"/>
              <w:rPr>
                <w:rFonts w:eastAsia="Calibri"/>
                <w:szCs w:val="26"/>
              </w:rPr>
            </w:pPr>
          </w:p>
          <w:p w:rsidRPr="00D47B74" w:rsidR="00D47B74" w:rsidP="00813CD5" w:rsidRDefault="00D47B74" w14:paraId="50F98B71" w14:textId="77777777">
            <w:pPr>
              <w:jc w:val="right"/>
              <w:rPr>
                <w:rFonts w:eastAsia="Calibri"/>
                <w:szCs w:val="26"/>
              </w:rPr>
            </w:pPr>
          </w:p>
          <w:p w:rsidRPr="00D47B74" w:rsidR="00D47B74" w:rsidP="00813CD5" w:rsidRDefault="00D47B74" w14:paraId="1067451F" w14:textId="77777777">
            <w:pPr>
              <w:jc w:val="right"/>
              <w:rPr>
                <w:rFonts w:eastAsia="Calibri"/>
                <w:szCs w:val="26"/>
              </w:rPr>
            </w:pPr>
          </w:p>
          <w:p w:rsidRPr="00D47B74" w:rsidR="00D47B74" w:rsidP="00813CD5" w:rsidRDefault="000F3935" w14:paraId="64D36C48" w14:textId="2F801F6E">
            <w:pPr>
              <w:jc w:val="right"/>
              <w:rPr>
                <w:rFonts w:eastAsia="Calibri"/>
                <w:szCs w:val="26"/>
              </w:rPr>
            </w:pPr>
            <w:r>
              <w:rPr>
                <w:rFonts w:eastAsia="Calibri"/>
                <w:szCs w:val="26"/>
              </w:rPr>
              <w:t>5,252</w:t>
            </w:r>
            <w:r w:rsidRPr="00D47B74" w:rsidR="00D47B74">
              <w:rPr>
                <w:rFonts w:eastAsia="Calibri"/>
                <w:szCs w:val="26"/>
              </w:rPr>
              <w:t xml:space="preserve"> hrs.;</w:t>
            </w:r>
          </w:p>
          <w:p w:rsidRPr="00D47B74" w:rsidR="00D47B74" w:rsidP="00813CD5" w:rsidRDefault="00D47B74" w14:paraId="1DEE04F0" w14:textId="3113A889">
            <w:pPr>
              <w:jc w:val="right"/>
              <w:rPr>
                <w:rFonts w:eastAsia="Calibri"/>
                <w:szCs w:val="26"/>
              </w:rPr>
            </w:pPr>
            <w:r w:rsidRPr="0045522E">
              <w:rPr>
                <w:rFonts w:eastAsia="Calibri"/>
                <w:szCs w:val="26"/>
              </w:rPr>
              <w:t>$2</w:t>
            </w:r>
            <w:r w:rsidRPr="0045522E" w:rsidR="0045522E">
              <w:rPr>
                <w:rFonts w:eastAsia="Calibri"/>
                <w:szCs w:val="26"/>
              </w:rPr>
              <w:t>99,364</w:t>
            </w:r>
            <w:r w:rsidRPr="0045522E">
              <w:rPr>
                <w:rFonts w:eastAsia="Calibri"/>
                <w:szCs w:val="26"/>
              </w:rPr>
              <w:t xml:space="preserve"> </w:t>
            </w:r>
          </w:p>
        </w:tc>
        <w:tc>
          <w:tcPr>
            <w:tcW w:w="714"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4F402B8D" w14:textId="77777777">
            <w:pPr>
              <w:jc w:val="right"/>
              <w:rPr>
                <w:rFonts w:eastAsia="Calibri"/>
                <w:szCs w:val="26"/>
              </w:rPr>
            </w:pPr>
          </w:p>
          <w:p w:rsidRPr="00D47B74" w:rsidR="00D47B74" w:rsidP="00813CD5" w:rsidRDefault="00D47B74" w14:paraId="6BD39B2F" w14:textId="77777777">
            <w:pPr>
              <w:jc w:val="right"/>
              <w:rPr>
                <w:rFonts w:eastAsia="Calibri"/>
                <w:szCs w:val="26"/>
              </w:rPr>
            </w:pPr>
          </w:p>
          <w:p w:rsidRPr="00D47B74" w:rsidR="00D47B74" w:rsidP="00813CD5" w:rsidRDefault="00D47B74" w14:paraId="1D8F919E" w14:textId="77777777">
            <w:pPr>
              <w:jc w:val="right"/>
              <w:rPr>
                <w:rFonts w:eastAsia="Calibri"/>
                <w:szCs w:val="26"/>
              </w:rPr>
            </w:pPr>
          </w:p>
          <w:p w:rsidRPr="00D47B74" w:rsidR="00D47B74" w:rsidP="00813CD5" w:rsidRDefault="00D47B74" w14:paraId="27D22D7F" w14:textId="77777777">
            <w:pPr>
              <w:jc w:val="right"/>
              <w:rPr>
                <w:rFonts w:eastAsia="Calibri"/>
                <w:szCs w:val="26"/>
              </w:rPr>
            </w:pPr>
          </w:p>
          <w:p w:rsidRPr="00D47B74" w:rsidR="00D47B74" w:rsidP="00813CD5" w:rsidRDefault="00D47B74" w14:paraId="45282579" w14:textId="77777777">
            <w:pPr>
              <w:jc w:val="right"/>
              <w:rPr>
                <w:rFonts w:eastAsia="Calibri"/>
                <w:szCs w:val="26"/>
              </w:rPr>
            </w:pPr>
          </w:p>
          <w:p w:rsidRPr="00D47B74" w:rsidR="00D47B74" w:rsidP="00813CD5" w:rsidRDefault="00D47B74" w14:paraId="30325F9C" w14:textId="3ACB1020">
            <w:pPr>
              <w:jc w:val="right"/>
              <w:rPr>
                <w:rFonts w:eastAsia="Calibri"/>
                <w:szCs w:val="26"/>
              </w:rPr>
            </w:pPr>
            <w:r w:rsidRPr="00D47B74">
              <w:rPr>
                <w:rFonts w:eastAsia="Calibri"/>
                <w:szCs w:val="26"/>
              </w:rPr>
              <w:t>$2</w:t>
            </w:r>
            <w:r>
              <w:rPr>
                <w:rFonts w:eastAsia="Calibri"/>
                <w:szCs w:val="26"/>
              </w:rPr>
              <w:t>28</w:t>
            </w:r>
          </w:p>
        </w:tc>
      </w:tr>
      <w:tr w:rsidRPr="00D47B74" w:rsidR="00813CD5" w:rsidTr="000C5529" w14:paraId="4B4A3B8F" w14:textId="77777777">
        <w:trPr>
          <w:cantSplit/>
          <w:trHeight w:val="2360"/>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3F89C84A" w14:textId="6DDFF985">
            <w:pPr>
              <w:jc w:val="right"/>
              <w:rPr>
                <w:rFonts w:eastAsia="Calibri"/>
                <w:szCs w:val="26"/>
              </w:rPr>
            </w:pPr>
            <w:r w:rsidRPr="00D47B74">
              <w:rPr>
                <w:rFonts w:eastAsia="Calibri"/>
                <w:szCs w:val="26"/>
              </w:rPr>
              <w:t>(On-going) Maintain evidence of training and assessments</w:t>
            </w:r>
            <w:r w:rsidR="00CE0E66">
              <w:rPr>
                <w:rStyle w:val="FootnoteReference"/>
                <w:rFonts w:eastAsia="Calibri"/>
              </w:rPr>
              <w:footnoteReference w:id="7"/>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23D597E6" w14:textId="77777777">
            <w:pPr>
              <w:jc w:val="right"/>
              <w:rPr>
                <w:rFonts w:eastAsia="Calibri"/>
                <w:szCs w:val="26"/>
              </w:rPr>
            </w:pPr>
          </w:p>
          <w:p w:rsidRPr="00D47B74" w:rsidR="00D47B74" w:rsidP="00813CD5" w:rsidRDefault="00D47B74" w14:paraId="5431244D" w14:textId="77777777">
            <w:pPr>
              <w:jc w:val="right"/>
              <w:rPr>
                <w:rFonts w:eastAsia="Calibri"/>
                <w:szCs w:val="26"/>
              </w:rPr>
            </w:pPr>
          </w:p>
          <w:p w:rsidRPr="00D47B74" w:rsidR="00D47B74" w:rsidP="00813CD5" w:rsidRDefault="00D47B74" w14:paraId="7C4A7E54" w14:textId="77777777">
            <w:pPr>
              <w:jc w:val="right"/>
              <w:rPr>
                <w:rFonts w:eastAsia="Calibri"/>
                <w:szCs w:val="26"/>
              </w:rPr>
            </w:pPr>
          </w:p>
          <w:p w:rsidRPr="00D47B74" w:rsidR="00D47B74" w:rsidP="00813CD5" w:rsidRDefault="00D47B74" w14:paraId="50DD4CFB" w14:textId="77777777">
            <w:pPr>
              <w:jc w:val="right"/>
              <w:rPr>
                <w:rFonts w:eastAsia="Calibri"/>
                <w:szCs w:val="26"/>
              </w:rPr>
            </w:pPr>
          </w:p>
          <w:p w:rsidRPr="00D47B74" w:rsidR="00D47B74" w:rsidP="00813CD5" w:rsidRDefault="00D47B74" w14:paraId="20446A82" w14:textId="77777777">
            <w:pPr>
              <w:jc w:val="right"/>
              <w:rPr>
                <w:rFonts w:eastAsia="Calibri"/>
                <w:szCs w:val="26"/>
              </w:rPr>
            </w:pPr>
          </w:p>
          <w:p w:rsidRPr="00D47B74" w:rsidR="00D47B74" w:rsidP="00813CD5" w:rsidRDefault="00AA75B9" w14:paraId="7BB6ADA0" w14:textId="44744C24">
            <w:pPr>
              <w:jc w:val="right"/>
              <w:rPr>
                <w:rFonts w:eastAsia="Calibri"/>
                <w:szCs w:val="26"/>
              </w:rPr>
            </w:pPr>
            <w:r>
              <w:rPr>
                <w:rFonts w:eastAsia="Calibri"/>
                <w:szCs w:val="26"/>
              </w:rPr>
              <w:t>199</w:t>
            </w:r>
          </w:p>
          <w:p w:rsidRPr="00D47B74" w:rsidR="00D47B74" w:rsidP="00813CD5" w:rsidRDefault="00D47B74" w14:paraId="2A2FE05E" w14:textId="77777777">
            <w:pPr>
              <w:jc w:val="right"/>
              <w:rPr>
                <w:rFonts w:eastAsia="Calibri"/>
                <w:szCs w:val="26"/>
              </w:rPr>
            </w:pPr>
            <w:r w:rsidRPr="00D47B74">
              <w:rPr>
                <w:rFonts w:eastAsia="Calibri"/>
                <w:szCs w:val="26"/>
              </w:rPr>
              <w:t>(BA, RC &amp; TOP)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09BF38C3" w14:textId="77777777">
            <w:pPr>
              <w:jc w:val="right"/>
              <w:rPr>
                <w:rFonts w:eastAsia="Calibri"/>
                <w:szCs w:val="26"/>
              </w:rPr>
            </w:pPr>
          </w:p>
          <w:p w:rsidRPr="00D47B74" w:rsidR="00D47B74" w:rsidP="00813CD5" w:rsidRDefault="00D47B74" w14:paraId="07F156AD" w14:textId="77777777">
            <w:pPr>
              <w:jc w:val="right"/>
              <w:rPr>
                <w:rFonts w:eastAsia="Calibri"/>
                <w:szCs w:val="26"/>
              </w:rPr>
            </w:pPr>
          </w:p>
          <w:p w:rsidRPr="00D47B74" w:rsidR="00D47B74" w:rsidP="00813CD5" w:rsidRDefault="00D47B74" w14:paraId="5157C93B" w14:textId="77777777">
            <w:pPr>
              <w:jc w:val="right"/>
              <w:rPr>
                <w:rFonts w:eastAsia="Calibri"/>
                <w:szCs w:val="26"/>
              </w:rPr>
            </w:pPr>
          </w:p>
          <w:p w:rsidRPr="00D47B74" w:rsidR="00D47B74" w:rsidP="00813CD5" w:rsidRDefault="00D47B74" w14:paraId="2FCFB812" w14:textId="77777777">
            <w:pPr>
              <w:jc w:val="right"/>
              <w:rPr>
                <w:rFonts w:eastAsia="Calibri"/>
                <w:szCs w:val="26"/>
              </w:rPr>
            </w:pPr>
          </w:p>
          <w:p w:rsidRPr="00D47B74" w:rsidR="00D47B74" w:rsidP="00813CD5" w:rsidRDefault="00D47B74" w14:paraId="4ED569FF" w14:textId="77777777">
            <w:pPr>
              <w:jc w:val="right"/>
              <w:rPr>
                <w:rFonts w:eastAsia="Calibri"/>
                <w:szCs w:val="26"/>
              </w:rPr>
            </w:pPr>
            <w:r w:rsidRPr="00D47B74">
              <w:rPr>
                <w:rFonts w:eastAsia="Calibri"/>
                <w:szCs w:val="26"/>
              </w:rPr>
              <w:t>1</w:t>
            </w:r>
          </w:p>
          <w:p w:rsidRPr="00D47B74" w:rsidR="00D47B74" w:rsidP="00813CD5" w:rsidRDefault="00D47B74" w14:paraId="6C504535" w14:textId="77777777">
            <w:pPr>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5E7BFFD5" w14:textId="77777777">
            <w:pPr>
              <w:jc w:val="right"/>
              <w:rPr>
                <w:rFonts w:eastAsia="Calibri"/>
                <w:szCs w:val="26"/>
              </w:rPr>
            </w:pPr>
          </w:p>
          <w:p w:rsidRPr="00D47B74" w:rsidR="00D47B74" w:rsidP="00813CD5" w:rsidRDefault="00D47B74" w14:paraId="561278B3" w14:textId="77777777">
            <w:pPr>
              <w:jc w:val="right"/>
              <w:rPr>
                <w:rFonts w:eastAsia="Calibri"/>
                <w:szCs w:val="26"/>
              </w:rPr>
            </w:pPr>
          </w:p>
          <w:p w:rsidRPr="00D47B74" w:rsidR="00D47B74" w:rsidP="00813CD5" w:rsidRDefault="00D47B74" w14:paraId="62830198" w14:textId="77777777">
            <w:pPr>
              <w:jc w:val="right"/>
              <w:rPr>
                <w:rFonts w:eastAsia="Calibri"/>
                <w:szCs w:val="26"/>
              </w:rPr>
            </w:pPr>
          </w:p>
          <w:p w:rsidRPr="00D47B74" w:rsidR="00D47B74" w:rsidP="00813CD5" w:rsidRDefault="00D47B74" w14:paraId="56E11044" w14:textId="77777777">
            <w:pPr>
              <w:jc w:val="right"/>
              <w:rPr>
                <w:rFonts w:eastAsia="Calibri"/>
                <w:szCs w:val="26"/>
              </w:rPr>
            </w:pPr>
          </w:p>
          <w:p w:rsidRPr="00D47B74" w:rsidR="00D47B74" w:rsidP="00813CD5" w:rsidRDefault="00CE0E66" w14:paraId="1339D7B3" w14:textId="3C99DF6A">
            <w:pPr>
              <w:jc w:val="right"/>
              <w:rPr>
                <w:rFonts w:eastAsia="Calibri"/>
                <w:szCs w:val="26"/>
              </w:rPr>
            </w:pPr>
            <w:r>
              <w:rPr>
                <w:rFonts w:eastAsia="Calibri"/>
                <w:szCs w:val="26"/>
              </w:rPr>
              <w:t>199</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2D149D15" w14:textId="77777777">
            <w:pPr>
              <w:jc w:val="right"/>
              <w:rPr>
                <w:rFonts w:eastAsia="Calibri"/>
                <w:szCs w:val="26"/>
              </w:rPr>
            </w:pPr>
          </w:p>
          <w:p w:rsidRPr="00D47B74" w:rsidR="00D47B74" w:rsidP="00813CD5" w:rsidRDefault="00D47B74" w14:paraId="0ADB0B2B" w14:textId="77777777">
            <w:pPr>
              <w:jc w:val="right"/>
              <w:rPr>
                <w:rFonts w:eastAsia="Calibri"/>
                <w:szCs w:val="26"/>
              </w:rPr>
            </w:pPr>
          </w:p>
          <w:p w:rsidRPr="00D47B74" w:rsidR="00D47B74" w:rsidP="00813CD5" w:rsidRDefault="00D47B74" w14:paraId="172CC9F4" w14:textId="77777777">
            <w:pPr>
              <w:jc w:val="right"/>
              <w:rPr>
                <w:rFonts w:eastAsia="Calibri"/>
                <w:szCs w:val="26"/>
              </w:rPr>
            </w:pPr>
          </w:p>
          <w:p w:rsidRPr="00D47B74" w:rsidR="00D47B74" w:rsidP="00813CD5" w:rsidRDefault="00D47B74" w14:paraId="2C4C54BB" w14:textId="77777777">
            <w:pPr>
              <w:jc w:val="right"/>
              <w:rPr>
                <w:rFonts w:eastAsia="Calibri"/>
                <w:szCs w:val="26"/>
              </w:rPr>
            </w:pPr>
          </w:p>
          <w:p w:rsidRPr="00D47B74" w:rsidR="00D47B74" w:rsidP="00813CD5" w:rsidRDefault="00D47B74" w14:paraId="075B6187" w14:textId="77777777">
            <w:pPr>
              <w:jc w:val="right"/>
              <w:rPr>
                <w:rFonts w:eastAsia="Calibri"/>
                <w:szCs w:val="26"/>
              </w:rPr>
            </w:pPr>
            <w:r w:rsidRPr="00D47B74">
              <w:rPr>
                <w:rFonts w:eastAsia="Calibri"/>
                <w:szCs w:val="26"/>
              </w:rPr>
              <w:t>8 hrs.;</w:t>
            </w:r>
          </w:p>
          <w:p w:rsidRPr="00D47B74" w:rsidR="00D47B74" w:rsidP="00813CD5" w:rsidRDefault="00D47B74" w14:paraId="57B9387B" w14:textId="0B639323">
            <w:pPr>
              <w:jc w:val="right"/>
              <w:rPr>
                <w:rFonts w:eastAsia="Calibri"/>
                <w:szCs w:val="26"/>
              </w:rPr>
            </w:pPr>
            <w:r w:rsidRPr="00D47B74">
              <w:rPr>
                <w:rFonts w:eastAsia="Calibri"/>
                <w:szCs w:val="26"/>
              </w:rPr>
              <w:t>$4</w:t>
            </w:r>
            <w:r>
              <w:rPr>
                <w:rFonts w:eastAsia="Calibri"/>
                <w:szCs w:val="26"/>
              </w:rPr>
              <w:t>56</w:t>
            </w:r>
          </w:p>
        </w:tc>
        <w:tc>
          <w:tcPr>
            <w:tcW w:w="776" w:type="pct"/>
            <w:tcBorders>
              <w:top w:val="single" w:color="auto" w:sz="4" w:space="0"/>
              <w:left w:val="single" w:color="auto" w:sz="4" w:space="0"/>
              <w:bottom w:val="single" w:color="auto" w:sz="4" w:space="0"/>
              <w:right w:val="single" w:color="auto" w:sz="4" w:space="0"/>
            </w:tcBorders>
            <w:vAlign w:val="bottom"/>
          </w:tcPr>
          <w:p w:rsidRPr="0045522E" w:rsidR="00D47B74" w:rsidP="00813CD5" w:rsidRDefault="00D47B74" w14:paraId="77B8A89D" w14:textId="77777777">
            <w:pPr>
              <w:jc w:val="right"/>
              <w:rPr>
                <w:rFonts w:eastAsia="Calibri"/>
                <w:szCs w:val="26"/>
              </w:rPr>
            </w:pPr>
          </w:p>
          <w:p w:rsidRPr="0045522E" w:rsidR="00D47B74" w:rsidP="00813CD5" w:rsidRDefault="00D47B74" w14:paraId="02297863" w14:textId="77777777">
            <w:pPr>
              <w:jc w:val="right"/>
              <w:rPr>
                <w:rFonts w:eastAsia="Calibri"/>
                <w:szCs w:val="26"/>
              </w:rPr>
            </w:pPr>
          </w:p>
          <w:p w:rsidRPr="0045522E" w:rsidR="00D47B74" w:rsidP="00813CD5" w:rsidRDefault="00D47B74" w14:paraId="7F6DEFA4" w14:textId="77777777">
            <w:pPr>
              <w:jc w:val="right"/>
              <w:rPr>
                <w:rFonts w:eastAsia="Calibri"/>
                <w:szCs w:val="26"/>
              </w:rPr>
            </w:pPr>
          </w:p>
          <w:p w:rsidRPr="0045522E" w:rsidR="00D47B74" w:rsidP="00813CD5" w:rsidRDefault="00D47B74" w14:paraId="378F6FFF" w14:textId="77777777">
            <w:pPr>
              <w:jc w:val="right"/>
              <w:rPr>
                <w:rFonts w:eastAsia="Calibri"/>
                <w:szCs w:val="26"/>
              </w:rPr>
            </w:pPr>
          </w:p>
          <w:p w:rsidRPr="0045522E" w:rsidR="00D47B74" w:rsidP="00813CD5" w:rsidRDefault="00CE0E66" w14:paraId="14C86893" w14:textId="761CB348">
            <w:pPr>
              <w:jc w:val="right"/>
              <w:rPr>
                <w:rFonts w:eastAsia="Calibri"/>
                <w:szCs w:val="26"/>
              </w:rPr>
            </w:pPr>
            <w:r w:rsidRPr="0045522E">
              <w:rPr>
                <w:rFonts w:eastAsia="Calibri"/>
                <w:szCs w:val="26"/>
              </w:rPr>
              <w:t>1,592</w:t>
            </w:r>
            <w:r w:rsidRPr="0045522E" w:rsidR="00D47B74">
              <w:rPr>
                <w:rFonts w:eastAsia="Calibri"/>
                <w:szCs w:val="26"/>
              </w:rPr>
              <w:t xml:space="preserve"> hrs.;</w:t>
            </w:r>
          </w:p>
          <w:p w:rsidRPr="0045522E" w:rsidR="00D47B74" w:rsidP="00813CD5" w:rsidRDefault="00D47B74" w14:paraId="67608832" w14:textId="431A27D4">
            <w:pPr>
              <w:jc w:val="right"/>
              <w:rPr>
                <w:rFonts w:eastAsia="Calibri"/>
                <w:szCs w:val="26"/>
              </w:rPr>
            </w:pPr>
            <w:r w:rsidRPr="0045522E">
              <w:rPr>
                <w:rFonts w:eastAsia="Calibri"/>
                <w:szCs w:val="26"/>
              </w:rPr>
              <w:t>$</w:t>
            </w:r>
            <w:r w:rsidRPr="0045522E" w:rsidR="0045522E">
              <w:rPr>
                <w:rFonts w:eastAsia="Calibri"/>
                <w:szCs w:val="26"/>
              </w:rPr>
              <w:t>90,744</w:t>
            </w:r>
          </w:p>
        </w:tc>
        <w:tc>
          <w:tcPr>
            <w:tcW w:w="714"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7D55DA39" w14:textId="77777777">
            <w:pPr>
              <w:jc w:val="right"/>
              <w:rPr>
                <w:rFonts w:eastAsia="Calibri"/>
                <w:szCs w:val="26"/>
              </w:rPr>
            </w:pPr>
          </w:p>
          <w:p w:rsidRPr="00D47B74" w:rsidR="00D47B74" w:rsidP="00813CD5" w:rsidRDefault="00D47B74" w14:paraId="61A1CAC5" w14:textId="77777777">
            <w:pPr>
              <w:jc w:val="right"/>
              <w:rPr>
                <w:rFonts w:eastAsia="Calibri"/>
                <w:szCs w:val="26"/>
              </w:rPr>
            </w:pPr>
          </w:p>
          <w:p w:rsidRPr="00D47B74" w:rsidR="00D47B74" w:rsidP="00813CD5" w:rsidRDefault="00D47B74" w14:paraId="16ECD065" w14:textId="77777777">
            <w:pPr>
              <w:jc w:val="right"/>
              <w:rPr>
                <w:rFonts w:eastAsia="Calibri"/>
                <w:szCs w:val="26"/>
              </w:rPr>
            </w:pPr>
          </w:p>
          <w:p w:rsidRPr="00D47B74" w:rsidR="00D47B74" w:rsidP="00813CD5" w:rsidRDefault="00D47B74" w14:paraId="16036A97" w14:textId="77777777">
            <w:pPr>
              <w:jc w:val="right"/>
              <w:rPr>
                <w:rFonts w:eastAsia="Calibri"/>
                <w:szCs w:val="26"/>
              </w:rPr>
            </w:pPr>
          </w:p>
          <w:p w:rsidRPr="00D47B74" w:rsidR="00D47B74" w:rsidP="00813CD5" w:rsidRDefault="00D47B74" w14:paraId="68174E67" w14:textId="77777777">
            <w:pPr>
              <w:jc w:val="right"/>
              <w:rPr>
                <w:rFonts w:eastAsia="Calibri"/>
                <w:szCs w:val="26"/>
              </w:rPr>
            </w:pPr>
          </w:p>
          <w:p w:rsidRPr="00D47B74" w:rsidR="00D47B74" w:rsidP="00813CD5" w:rsidRDefault="00D47B74" w14:paraId="6127A793" w14:textId="77777777">
            <w:pPr>
              <w:jc w:val="right"/>
              <w:rPr>
                <w:rFonts w:eastAsia="Calibri"/>
                <w:szCs w:val="26"/>
              </w:rPr>
            </w:pPr>
          </w:p>
          <w:p w:rsidRPr="00D47B74" w:rsidR="00D47B74" w:rsidP="00813CD5" w:rsidRDefault="00D47B74" w14:paraId="49548A4B" w14:textId="66CDE840">
            <w:pPr>
              <w:jc w:val="right"/>
              <w:rPr>
                <w:rFonts w:eastAsia="Calibri"/>
                <w:szCs w:val="26"/>
              </w:rPr>
            </w:pPr>
            <w:r w:rsidRPr="00D47B74">
              <w:rPr>
                <w:rFonts w:eastAsia="Calibri"/>
                <w:szCs w:val="26"/>
              </w:rPr>
              <w:t>$4</w:t>
            </w:r>
            <w:r>
              <w:rPr>
                <w:rFonts w:eastAsia="Calibri"/>
                <w:szCs w:val="26"/>
              </w:rPr>
              <w:t>56</w:t>
            </w:r>
          </w:p>
        </w:tc>
      </w:tr>
      <w:tr w:rsidRPr="00D47B74" w:rsidR="00813CD5" w:rsidTr="000C5529" w14:paraId="3D2923E9" w14:textId="77777777">
        <w:trPr>
          <w:cantSplit/>
          <w:trHeight w:val="2073"/>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79DBAE65" w14:textId="4616BFD3">
            <w:pPr>
              <w:jc w:val="right"/>
              <w:rPr>
                <w:rFonts w:eastAsia="Calibri"/>
                <w:szCs w:val="26"/>
              </w:rPr>
            </w:pPr>
            <w:r w:rsidRPr="00D47B74">
              <w:rPr>
                <w:rFonts w:eastAsia="Calibri"/>
                <w:szCs w:val="26"/>
              </w:rPr>
              <w:t>(On-going) Maintain evidence of training</w:t>
            </w:r>
            <w:r w:rsidR="00CE0E66">
              <w:rPr>
                <w:rStyle w:val="FootnoteReference"/>
                <w:rFonts w:eastAsia="Calibri"/>
              </w:rPr>
              <w:footnoteReference w:id="8"/>
            </w:r>
            <w:r w:rsidRPr="00D47B74">
              <w:rPr>
                <w:rFonts w:eastAsia="Calibri"/>
                <w:szCs w:val="26"/>
              </w:rPr>
              <w:t xml:space="preserve"> </w:t>
            </w:r>
          </w:p>
        </w:tc>
        <w:tc>
          <w:tcPr>
            <w:tcW w:w="897"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7BBE4389" w14:textId="77777777">
            <w:pPr>
              <w:jc w:val="right"/>
              <w:rPr>
                <w:rFonts w:eastAsia="Calibri"/>
                <w:szCs w:val="26"/>
              </w:rPr>
            </w:pPr>
          </w:p>
          <w:p w:rsidRPr="00D47B74" w:rsidR="00D47B74" w:rsidP="00813CD5" w:rsidRDefault="00D47B74" w14:paraId="4D31DFDF" w14:textId="77777777">
            <w:pPr>
              <w:jc w:val="right"/>
              <w:rPr>
                <w:rFonts w:eastAsia="Calibri"/>
                <w:szCs w:val="26"/>
              </w:rPr>
            </w:pPr>
          </w:p>
          <w:p w:rsidRPr="00D47B74" w:rsidR="00D47B74" w:rsidP="00813CD5" w:rsidRDefault="00D47B74" w14:paraId="0D6646A8" w14:textId="77777777">
            <w:pPr>
              <w:jc w:val="right"/>
              <w:rPr>
                <w:rFonts w:eastAsia="Calibri"/>
                <w:szCs w:val="26"/>
              </w:rPr>
            </w:pPr>
          </w:p>
          <w:p w:rsidRPr="00D47B74" w:rsidR="00D47B74" w:rsidP="00813CD5" w:rsidRDefault="00D47B74" w14:paraId="27B149F0" w14:textId="77777777">
            <w:pPr>
              <w:jc w:val="right"/>
              <w:rPr>
                <w:rFonts w:eastAsia="Calibri"/>
                <w:szCs w:val="26"/>
              </w:rPr>
            </w:pPr>
          </w:p>
          <w:p w:rsidRPr="00D47B74" w:rsidR="00D47B74" w:rsidP="00813CD5" w:rsidRDefault="00D47B74" w14:paraId="576E4AC9" w14:textId="77777777">
            <w:pPr>
              <w:jc w:val="right"/>
              <w:rPr>
                <w:rFonts w:eastAsia="Calibri"/>
                <w:szCs w:val="26"/>
              </w:rPr>
            </w:pPr>
          </w:p>
          <w:p w:rsidRPr="00D47B74" w:rsidR="00D47B74" w:rsidP="00813CD5" w:rsidRDefault="00CE0E66" w14:paraId="3D37EF9D" w14:textId="71C9E66E">
            <w:pPr>
              <w:jc w:val="right"/>
              <w:rPr>
                <w:rFonts w:eastAsia="Calibri"/>
                <w:szCs w:val="26"/>
              </w:rPr>
            </w:pPr>
            <w:r>
              <w:rPr>
                <w:rFonts w:eastAsia="Calibri"/>
                <w:szCs w:val="26"/>
              </w:rPr>
              <w:t>1,257</w:t>
            </w:r>
          </w:p>
          <w:p w:rsidRPr="00D47B74" w:rsidR="00D47B74" w:rsidP="00813CD5" w:rsidRDefault="00D47B74" w14:paraId="25F037C6" w14:textId="77777777">
            <w:pPr>
              <w:jc w:val="right"/>
              <w:rPr>
                <w:rFonts w:eastAsia="Calibri"/>
                <w:szCs w:val="26"/>
              </w:rPr>
            </w:pPr>
            <w:r w:rsidRPr="00D47B74">
              <w:rPr>
                <w:rFonts w:eastAsia="Calibri"/>
                <w:szCs w:val="26"/>
              </w:rPr>
              <w:t>(DP &amp; GOP)</w:t>
            </w:r>
          </w:p>
        </w:tc>
        <w:tc>
          <w:tcPr>
            <w:tcW w:w="611"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0B986353" w14:textId="77777777">
            <w:pPr>
              <w:jc w:val="right"/>
              <w:rPr>
                <w:rFonts w:eastAsia="Calibri"/>
                <w:szCs w:val="26"/>
              </w:rPr>
            </w:pPr>
          </w:p>
          <w:p w:rsidRPr="00D47B74" w:rsidR="00D47B74" w:rsidP="00813CD5" w:rsidRDefault="00D47B74" w14:paraId="70272A10" w14:textId="77777777">
            <w:pPr>
              <w:jc w:val="right"/>
              <w:rPr>
                <w:rFonts w:eastAsia="Calibri"/>
                <w:szCs w:val="26"/>
              </w:rPr>
            </w:pPr>
          </w:p>
          <w:p w:rsidRPr="00D47B74" w:rsidR="00D47B74" w:rsidP="00813CD5" w:rsidRDefault="00D47B74" w14:paraId="29858985" w14:textId="77777777">
            <w:pPr>
              <w:jc w:val="right"/>
              <w:rPr>
                <w:rFonts w:eastAsia="Calibri"/>
                <w:szCs w:val="26"/>
              </w:rPr>
            </w:pPr>
          </w:p>
          <w:p w:rsidRPr="00D47B74" w:rsidR="00D47B74" w:rsidP="00813CD5" w:rsidRDefault="00D47B74" w14:paraId="02F987C4" w14:textId="77777777">
            <w:pPr>
              <w:jc w:val="right"/>
              <w:rPr>
                <w:rFonts w:eastAsia="Calibri"/>
                <w:szCs w:val="26"/>
              </w:rPr>
            </w:pPr>
          </w:p>
          <w:p w:rsidRPr="00D47B74" w:rsidR="00D47B74" w:rsidP="00813CD5" w:rsidRDefault="00D47B74" w14:paraId="39DA1284" w14:textId="77777777">
            <w:pPr>
              <w:jc w:val="right"/>
              <w:rPr>
                <w:rFonts w:eastAsia="Calibri"/>
                <w:szCs w:val="26"/>
              </w:rPr>
            </w:pPr>
          </w:p>
          <w:p w:rsidRPr="00D47B74" w:rsidR="00D47B74" w:rsidP="00813CD5" w:rsidRDefault="00D47B74" w14:paraId="7E052127" w14:textId="77777777">
            <w:pPr>
              <w:jc w:val="right"/>
              <w:rPr>
                <w:rFonts w:eastAsia="Calibri"/>
                <w:szCs w:val="26"/>
              </w:rPr>
            </w:pPr>
            <w:r w:rsidRPr="00D47B74">
              <w:rPr>
                <w:rFonts w:eastAsia="Calibri"/>
                <w:szCs w:val="26"/>
              </w:rPr>
              <w:t>1</w:t>
            </w:r>
          </w:p>
          <w:p w:rsidRPr="00D47B74" w:rsidR="00D47B74" w:rsidP="00813CD5" w:rsidRDefault="00D47B74" w14:paraId="25D5C5CA" w14:textId="77777777">
            <w:pPr>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15118A29" w14:textId="77777777">
            <w:pPr>
              <w:jc w:val="right"/>
              <w:rPr>
                <w:rFonts w:eastAsia="Calibri"/>
                <w:szCs w:val="26"/>
              </w:rPr>
            </w:pPr>
          </w:p>
          <w:p w:rsidRPr="00D47B74" w:rsidR="00D47B74" w:rsidP="00813CD5" w:rsidRDefault="00D47B74" w14:paraId="5CEE0E13" w14:textId="77777777">
            <w:pPr>
              <w:jc w:val="right"/>
              <w:rPr>
                <w:rFonts w:eastAsia="Calibri"/>
                <w:szCs w:val="26"/>
              </w:rPr>
            </w:pPr>
          </w:p>
          <w:p w:rsidRPr="00D47B74" w:rsidR="00D47B74" w:rsidP="00813CD5" w:rsidRDefault="00D47B74" w14:paraId="339EDE2C" w14:textId="77777777">
            <w:pPr>
              <w:jc w:val="right"/>
              <w:rPr>
                <w:rFonts w:eastAsia="Calibri"/>
                <w:szCs w:val="26"/>
              </w:rPr>
            </w:pPr>
          </w:p>
          <w:p w:rsidRPr="00D47B74" w:rsidR="00D47B74" w:rsidP="00813CD5" w:rsidRDefault="00D47B74" w14:paraId="70BE0DB5" w14:textId="77777777">
            <w:pPr>
              <w:jc w:val="right"/>
              <w:rPr>
                <w:rFonts w:eastAsia="Calibri"/>
                <w:szCs w:val="26"/>
              </w:rPr>
            </w:pPr>
          </w:p>
          <w:p w:rsidRPr="00D47B74" w:rsidR="00D47B74" w:rsidP="00813CD5" w:rsidRDefault="00D47B74" w14:paraId="4620BCC8" w14:textId="77777777">
            <w:pPr>
              <w:jc w:val="right"/>
              <w:rPr>
                <w:rFonts w:eastAsia="Calibri"/>
                <w:szCs w:val="26"/>
              </w:rPr>
            </w:pPr>
          </w:p>
          <w:p w:rsidRPr="00D47B74" w:rsidR="00D47B74" w:rsidP="00813CD5" w:rsidRDefault="00CE0E66" w14:paraId="70F73160" w14:textId="6999EF90">
            <w:pPr>
              <w:jc w:val="right"/>
              <w:rPr>
                <w:rFonts w:eastAsia="Calibri"/>
                <w:szCs w:val="26"/>
              </w:rPr>
            </w:pPr>
            <w:r>
              <w:rPr>
                <w:rFonts w:eastAsia="Calibri"/>
                <w:szCs w:val="26"/>
              </w:rPr>
              <w:t>1,257</w:t>
            </w:r>
          </w:p>
        </w:tc>
        <w:tc>
          <w:tcPr>
            <w:tcW w:w="629" w:type="pct"/>
            <w:tcBorders>
              <w:top w:val="single" w:color="auto" w:sz="4" w:space="0"/>
              <w:left w:val="single" w:color="auto" w:sz="4" w:space="0"/>
              <w:bottom w:val="single" w:color="auto" w:sz="4" w:space="0"/>
              <w:right w:val="single" w:color="auto" w:sz="4" w:space="0"/>
            </w:tcBorders>
            <w:vAlign w:val="bottom"/>
          </w:tcPr>
          <w:p w:rsidRPr="00D47B74" w:rsidR="00D47B74" w:rsidP="00813CD5" w:rsidRDefault="00D47B74" w14:paraId="562E1F38" w14:textId="77777777">
            <w:pPr>
              <w:jc w:val="right"/>
              <w:rPr>
                <w:rFonts w:eastAsia="Calibri"/>
                <w:szCs w:val="26"/>
              </w:rPr>
            </w:pPr>
          </w:p>
          <w:p w:rsidRPr="00D47B74" w:rsidR="00D47B74" w:rsidP="00813CD5" w:rsidRDefault="00D47B74" w14:paraId="42707E30" w14:textId="77777777">
            <w:pPr>
              <w:jc w:val="right"/>
              <w:rPr>
                <w:rFonts w:eastAsia="Calibri"/>
                <w:szCs w:val="26"/>
              </w:rPr>
            </w:pPr>
          </w:p>
          <w:p w:rsidRPr="00D47B74" w:rsidR="00D47B74" w:rsidP="00813CD5" w:rsidRDefault="00D47B74" w14:paraId="70A5BEEB" w14:textId="77777777">
            <w:pPr>
              <w:jc w:val="right"/>
              <w:rPr>
                <w:rFonts w:eastAsia="Calibri"/>
                <w:szCs w:val="26"/>
              </w:rPr>
            </w:pPr>
          </w:p>
          <w:p w:rsidRPr="00D47B74" w:rsidR="00D47B74" w:rsidP="00813CD5" w:rsidRDefault="00D47B74" w14:paraId="219A2227" w14:textId="77777777">
            <w:pPr>
              <w:jc w:val="right"/>
              <w:rPr>
                <w:rFonts w:eastAsia="Calibri"/>
                <w:szCs w:val="26"/>
              </w:rPr>
            </w:pPr>
          </w:p>
          <w:p w:rsidRPr="00D47B74" w:rsidR="00D47B74" w:rsidP="00813CD5" w:rsidRDefault="00D47B74" w14:paraId="311CF17C" w14:textId="77777777">
            <w:pPr>
              <w:jc w:val="right"/>
              <w:rPr>
                <w:rFonts w:eastAsia="Calibri"/>
                <w:szCs w:val="26"/>
              </w:rPr>
            </w:pPr>
          </w:p>
          <w:p w:rsidRPr="00D47B74" w:rsidR="00D47B74" w:rsidP="00813CD5" w:rsidRDefault="00D47B74" w14:paraId="3E68E82E" w14:textId="77777777">
            <w:pPr>
              <w:jc w:val="right"/>
              <w:rPr>
                <w:rFonts w:eastAsia="Calibri"/>
                <w:szCs w:val="26"/>
              </w:rPr>
            </w:pPr>
            <w:r w:rsidRPr="00D47B74">
              <w:rPr>
                <w:rFonts w:eastAsia="Calibri"/>
                <w:szCs w:val="26"/>
              </w:rPr>
              <w:t>8 hrs.;</w:t>
            </w:r>
          </w:p>
          <w:p w:rsidRPr="00D47B74" w:rsidR="00D47B74" w:rsidP="00813CD5" w:rsidRDefault="00D47B74" w14:paraId="59A00726" w14:textId="22B2535E">
            <w:pPr>
              <w:jc w:val="right"/>
              <w:rPr>
                <w:rFonts w:eastAsia="Calibri"/>
                <w:szCs w:val="26"/>
              </w:rPr>
            </w:pPr>
            <w:r w:rsidRPr="00D47B74">
              <w:rPr>
                <w:rFonts w:eastAsia="Calibri"/>
                <w:szCs w:val="26"/>
              </w:rPr>
              <w:t>$4</w:t>
            </w:r>
            <w:r>
              <w:rPr>
                <w:rFonts w:eastAsia="Calibri"/>
                <w:szCs w:val="26"/>
              </w:rPr>
              <w:t>56</w:t>
            </w:r>
          </w:p>
        </w:tc>
        <w:tc>
          <w:tcPr>
            <w:tcW w:w="776" w:type="pct"/>
            <w:tcBorders>
              <w:top w:val="single" w:color="auto" w:sz="4" w:space="0"/>
              <w:left w:val="single" w:color="auto" w:sz="4" w:space="0"/>
              <w:bottom w:val="single" w:color="auto" w:sz="4" w:space="0"/>
              <w:right w:val="single" w:color="auto" w:sz="4" w:space="0"/>
            </w:tcBorders>
            <w:vAlign w:val="bottom"/>
          </w:tcPr>
          <w:p w:rsidRPr="0045522E" w:rsidR="00D47B74" w:rsidP="00813CD5" w:rsidRDefault="00D47B74" w14:paraId="6B3F1FDC" w14:textId="77777777">
            <w:pPr>
              <w:jc w:val="right"/>
              <w:rPr>
                <w:rFonts w:eastAsia="Calibri"/>
                <w:szCs w:val="26"/>
              </w:rPr>
            </w:pPr>
          </w:p>
          <w:p w:rsidRPr="0045522E" w:rsidR="00D47B74" w:rsidP="00813CD5" w:rsidRDefault="00D47B74" w14:paraId="6FB619B4" w14:textId="77777777">
            <w:pPr>
              <w:jc w:val="right"/>
              <w:rPr>
                <w:rFonts w:eastAsia="Calibri"/>
                <w:szCs w:val="26"/>
              </w:rPr>
            </w:pPr>
          </w:p>
          <w:p w:rsidRPr="0045522E" w:rsidR="00D47B74" w:rsidP="00813CD5" w:rsidRDefault="00D47B74" w14:paraId="3805060D" w14:textId="77777777">
            <w:pPr>
              <w:jc w:val="right"/>
              <w:rPr>
                <w:rFonts w:eastAsia="Calibri"/>
                <w:szCs w:val="26"/>
              </w:rPr>
            </w:pPr>
          </w:p>
          <w:p w:rsidRPr="0045522E" w:rsidR="00D47B74" w:rsidP="00813CD5" w:rsidRDefault="00D47B74" w14:paraId="33C5FDB6" w14:textId="77777777">
            <w:pPr>
              <w:jc w:val="right"/>
              <w:rPr>
                <w:rFonts w:eastAsia="Calibri"/>
                <w:szCs w:val="26"/>
              </w:rPr>
            </w:pPr>
          </w:p>
          <w:p w:rsidRPr="0045522E" w:rsidR="00D47B74" w:rsidP="00813CD5" w:rsidRDefault="00D47B74" w14:paraId="4DA2F28D" w14:textId="77777777">
            <w:pPr>
              <w:jc w:val="right"/>
              <w:rPr>
                <w:rFonts w:eastAsia="Calibri"/>
                <w:szCs w:val="26"/>
              </w:rPr>
            </w:pPr>
          </w:p>
          <w:p w:rsidRPr="0045522E" w:rsidR="00D47B74" w:rsidP="00813CD5" w:rsidRDefault="00CE0E66" w14:paraId="7F3FF757" w14:textId="7DE2B493">
            <w:pPr>
              <w:jc w:val="right"/>
              <w:rPr>
                <w:rFonts w:eastAsia="Calibri"/>
                <w:szCs w:val="26"/>
              </w:rPr>
            </w:pPr>
            <w:r w:rsidRPr="0045522E">
              <w:rPr>
                <w:rFonts w:eastAsia="Calibri"/>
                <w:szCs w:val="26"/>
              </w:rPr>
              <w:t>10,056</w:t>
            </w:r>
            <w:r w:rsidR="00813CD5">
              <w:rPr>
                <w:rFonts w:eastAsia="Calibri"/>
                <w:szCs w:val="26"/>
              </w:rPr>
              <w:t xml:space="preserve"> </w:t>
            </w:r>
            <w:r w:rsidRPr="0045522E" w:rsidR="00D47B74">
              <w:rPr>
                <w:rFonts w:eastAsia="Calibri"/>
                <w:szCs w:val="26"/>
              </w:rPr>
              <w:t>hrs.; $</w:t>
            </w:r>
            <w:r w:rsidRPr="0045522E" w:rsidR="0045522E">
              <w:rPr>
                <w:rFonts w:eastAsia="Calibri"/>
                <w:szCs w:val="26"/>
              </w:rPr>
              <w:t>573,192</w:t>
            </w:r>
          </w:p>
        </w:tc>
        <w:tc>
          <w:tcPr>
            <w:tcW w:w="714" w:type="pct"/>
            <w:tcBorders>
              <w:top w:val="single" w:color="auto" w:sz="4" w:space="0"/>
              <w:left w:val="single" w:color="auto" w:sz="4" w:space="0"/>
              <w:bottom w:val="single" w:color="auto" w:sz="4" w:space="0"/>
              <w:right w:val="single" w:color="auto" w:sz="4" w:space="0"/>
            </w:tcBorders>
            <w:vAlign w:val="bottom"/>
            <w:hideMark/>
          </w:tcPr>
          <w:p w:rsidRPr="00D47B74" w:rsidR="00D47B74" w:rsidP="00813CD5" w:rsidRDefault="00D47B74" w14:paraId="5400C8EE" w14:textId="503B1764">
            <w:pPr>
              <w:jc w:val="right"/>
              <w:rPr>
                <w:rFonts w:eastAsia="Calibri"/>
                <w:szCs w:val="26"/>
              </w:rPr>
            </w:pPr>
            <w:r w:rsidRPr="00D47B74">
              <w:rPr>
                <w:rFonts w:eastAsia="Calibri"/>
                <w:szCs w:val="26"/>
              </w:rPr>
              <w:t>$4</w:t>
            </w:r>
            <w:r>
              <w:rPr>
                <w:rFonts w:eastAsia="Calibri"/>
                <w:szCs w:val="26"/>
              </w:rPr>
              <w:t>56</w:t>
            </w:r>
          </w:p>
        </w:tc>
      </w:tr>
      <w:tr w:rsidRPr="00D47B74" w:rsidR="00813CD5" w:rsidTr="000C5529" w14:paraId="7BD75265" w14:textId="77777777">
        <w:trPr>
          <w:cantSplit/>
          <w:trHeight w:val="478"/>
        </w:trPr>
        <w:tc>
          <w:tcPr>
            <w:tcW w:w="744" w:type="pct"/>
            <w:tcBorders>
              <w:top w:val="single" w:color="auto" w:sz="4" w:space="0"/>
              <w:left w:val="single" w:color="auto" w:sz="4" w:space="0"/>
              <w:bottom w:val="single" w:color="auto" w:sz="4" w:space="0"/>
              <w:right w:val="single" w:color="auto" w:sz="4" w:space="0"/>
            </w:tcBorders>
            <w:hideMark/>
          </w:tcPr>
          <w:p w:rsidRPr="00D47B74" w:rsidR="00D47B74" w:rsidP="00813CD5" w:rsidRDefault="00D47B74" w14:paraId="6E536620" w14:textId="77777777">
            <w:pPr>
              <w:spacing w:line="256" w:lineRule="auto"/>
              <w:jc w:val="right"/>
              <w:rPr>
                <w:rFonts w:eastAsia="Calibri"/>
                <w:b/>
                <w:szCs w:val="26"/>
              </w:rPr>
            </w:pPr>
            <w:r w:rsidRPr="00D47B74">
              <w:rPr>
                <w:rFonts w:eastAsia="Calibri"/>
                <w:b/>
                <w:szCs w:val="26"/>
              </w:rPr>
              <w:t>TOTAL</w:t>
            </w:r>
          </w:p>
        </w:tc>
        <w:tc>
          <w:tcPr>
            <w:tcW w:w="1508" w:type="pct"/>
            <w:gridSpan w:val="2"/>
            <w:tcBorders>
              <w:top w:val="single" w:color="auto" w:sz="4" w:space="0"/>
              <w:left w:val="single" w:color="auto" w:sz="4" w:space="0"/>
              <w:bottom w:val="single" w:color="auto" w:sz="4" w:space="0"/>
              <w:right w:val="single" w:color="auto" w:sz="4" w:space="0"/>
            </w:tcBorders>
            <w:shd w:val="clear" w:color="auto" w:fill="D9D9D9"/>
          </w:tcPr>
          <w:p w:rsidRPr="00D47B74" w:rsidR="00D47B74" w:rsidP="00813CD5" w:rsidRDefault="00D47B74" w14:paraId="1081DA94" w14:textId="77777777">
            <w:pPr>
              <w:spacing w:line="256" w:lineRule="auto"/>
              <w:jc w:val="right"/>
              <w:rPr>
                <w:rFonts w:eastAsia="Calibri"/>
                <w:szCs w:val="26"/>
              </w:rPr>
            </w:pPr>
          </w:p>
        </w:tc>
        <w:tc>
          <w:tcPr>
            <w:tcW w:w="629" w:type="pct"/>
            <w:tcBorders>
              <w:top w:val="single" w:color="auto" w:sz="4" w:space="0"/>
              <w:left w:val="single" w:color="auto" w:sz="4" w:space="0"/>
              <w:bottom w:val="single" w:color="auto" w:sz="4" w:space="0"/>
              <w:right w:val="single" w:color="auto" w:sz="4" w:space="0"/>
            </w:tcBorders>
            <w:hideMark/>
          </w:tcPr>
          <w:p w:rsidRPr="00D47B74" w:rsidR="00D47B74" w:rsidP="00813CD5" w:rsidRDefault="00B65159" w14:paraId="60AB2A78" w14:textId="74F8B2A9">
            <w:pPr>
              <w:spacing w:line="256" w:lineRule="auto"/>
              <w:jc w:val="right"/>
              <w:rPr>
                <w:rFonts w:eastAsia="Calibri"/>
                <w:b/>
                <w:szCs w:val="26"/>
              </w:rPr>
            </w:pPr>
            <w:r>
              <w:rPr>
                <w:rFonts w:eastAsia="Calibri"/>
                <w:b/>
                <w:szCs w:val="26"/>
              </w:rPr>
              <w:t>2,769</w:t>
            </w:r>
          </w:p>
        </w:tc>
        <w:tc>
          <w:tcPr>
            <w:tcW w:w="629"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813CD5" w:rsidRDefault="00D47B74" w14:paraId="21891B1B" w14:textId="77777777">
            <w:pPr>
              <w:spacing w:line="256" w:lineRule="auto"/>
              <w:jc w:val="right"/>
              <w:rPr>
                <w:rFonts w:eastAsia="Calibri"/>
                <w:szCs w:val="26"/>
              </w:rPr>
            </w:pPr>
          </w:p>
        </w:tc>
        <w:tc>
          <w:tcPr>
            <w:tcW w:w="776" w:type="pct"/>
            <w:tcBorders>
              <w:top w:val="single" w:color="auto" w:sz="4" w:space="0"/>
              <w:left w:val="single" w:color="auto" w:sz="4" w:space="0"/>
              <w:bottom w:val="single" w:color="auto" w:sz="4" w:space="0"/>
              <w:right w:val="single" w:color="auto" w:sz="4" w:space="0"/>
            </w:tcBorders>
            <w:hideMark/>
          </w:tcPr>
          <w:p w:rsidRPr="00D47B74" w:rsidR="00D47B74" w:rsidP="00813CD5" w:rsidRDefault="00B65159" w14:paraId="23E1A8A9" w14:textId="2E1D732A">
            <w:pPr>
              <w:spacing w:line="256" w:lineRule="auto"/>
              <w:jc w:val="right"/>
              <w:rPr>
                <w:rFonts w:eastAsia="Calibri"/>
                <w:b/>
                <w:szCs w:val="26"/>
              </w:rPr>
            </w:pPr>
            <w:r>
              <w:rPr>
                <w:rFonts w:eastAsia="Calibri"/>
                <w:b/>
                <w:szCs w:val="26"/>
              </w:rPr>
              <w:t>16,900</w:t>
            </w:r>
            <w:r w:rsidR="00813CD5">
              <w:rPr>
                <w:rFonts w:eastAsia="Calibri"/>
                <w:b/>
                <w:szCs w:val="26"/>
              </w:rPr>
              <w:t xml:space="preserve"> </w:t>
            </w:r>
            <w:r w:rsidRPr="00D47B74" w:rsidR="00D47B74">
              <w:rPr>
                <w:rFonts w:eastAsia="Calibri"/>
                <w:b/>
                <w:szCs w:val="26"/>
              </w:rPr>
              <w:t>hrs.;</w:t>
            </w:r>
          </w:p>
          <w:p w:rsidRPr="00D47B74" w:rsidR="00D47B74" w:rsidP="00813CD5" w:rsidRDefault="00D47B74" w14:paraId="23102AAC" w14:textId="7939812C">
            <w:pPr>
              <w:spacing w:line="256" w:lineRule="auto"/>
              <w:jc w:val="right"/>
              <w:rPr>
                <w:rFonts w:eastAsia="Calibri"/>
                <w:b/>
                <w:szCs w:val="26"/>
              </w:rPr>
            </w:pPr>
            <w:r w:rsidRPr="00813CD5">
              <w:rPr>
                <w:rFonts w:eastAsia="Calibri"/>
                <w:b/>
                <w:szCs w:val="26"/>
              </w:rPr>
              <w:t>$</w:t>
            </w:r>
            <w:r w:rsidRPr="00813CD5" w:rsidR="00813CD5">
              <w:rPr>
                <w:rFonts w:eastAsia="Calibri"/>
                <w:b/>
                <w:szCs w:val="26"/>
              </w:rPr>
              <w:t>963</w:t>
            </w:r>
            <w:r w:rsidR="00813CD5">
              <w:rPr>
                <w:rFonts w:eastAsia="Calibri"/>
                <w:b/>
                <w:szCs w:val="26"/>
              </w:rPr>
              <w:t>,300</w:t>
            </w:r>
          </w:p>
        </w:tc>
        <w:tc>
          <w:tcPr>
            <w:tcW w:w="714" w:type="pct"/>
            <w:tcBorders>
              <w:top w:val="single" w:color="auto" w:sz="4" w:space="0"/>
              <w:left w:val="single" w:color="auto" w:sz="4" w:space="0"/>
              <w:bottom w:val="single" w:color="auto" w:sz="4" w:space="0"/>
              <w:right w:val="single" w:color="auto" w:sz="4" w:space="0"/>
            </w:tcBorders>
            <w:shd w:val="clear" w:color="auto" w:fill="D9D9D9"/>
          </w:tcPr>
          <w:p w:rsidRPr="00D47B74" w:rsidR="00D47B74" w:rsidP="00D47B74" w:rsidRDefault="00D47B74" w14:paraId="3E41C2B4" w14:textId="77777777">
            <w:pPr>
              <w:spacing w:line="256" w:lineRule="auto"/>
              <w:rPr>
                <w:rFonts w:eastAsia="Calibri"/>
                <w:b/>
                <w:szCs w:val="26"/>
              </w:rPr>
            </w:pPr>
          </w:p>
        </w:tc>
      </w:tr>
    </w:tbl>
    <w:p w:rsidR="00D47B74" w:rsidP="002906E5" w:rsidRDefault="00D47B74" w14:paraId="257CCC4F" w14:textId="77777777">
      <w:pPr>
        <w:autoSpaceDE w:val="0"/>
        <w:autoSpaceDN w:val="0"/>
        <w:adjustRightInd w:val="0"/>
        <w:spacing w:line="480" w:lineRule="auto"/>
        <w:rPr>
          <w:i/>
        </w:rPr>
      </w:pPr>
    </w:p>
    <w:p w:rsidR="00881405" w:rsidP="002906E5" w:rsidRDefault="00AE1F12" w14:paraId="40735770" w14:textId="47FF3ABA">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w:t>
      </w:r>
      <w:r>
        <w:lastRenderedPageBreak/>
        <w:t xml:space="preserve">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3D507429"/>
    <w:p w:rsidR="00297BF7" w:rsidP="00AE1F12" w:rsidRDefault="00297BF7" w14:paraId="52852342"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E5C45" w14:textId="77777777" w:rsidR="004805BA" w:rsidRDefault="004805BA" w:rsidP="00B01B16">
      <w:r>
        <w:separator/>
      </w:r>
    </w:p>
  </w:endnote>
  <w:endnote w:type="continuationSeparator" w:id="0">
    <w:p w14:paraId="320E4E42" w14:textId="77777777" w:rsidR="004805BA" w:rsidRDefault="004805BA" w:rsidP="00B01B16">
      <w:r>
        <w:continuationSeparator/>
      </w:r>
    </w:p>
  </w:endnote>
  <w:endnote w:type="continuationNotice" w:id="1">
    <w:p w14:paraId="5DAAB47F" w14:textId="77777777" w:rsidR="004805BA" w:rsidRDefault="00480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A04D" w14:textId="77777777" w:rsidR="00243773" w:rsidRDefault="0024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B3C" w14:textId="77777777" w:rsidR="00243773" w:rsidRDefault="00243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B4990" w14:textId="77777777" w:rsidR="00243773" w:rsidRDefault="0024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950E2" w14:textId="77777777" w:rsidR="004805BA" w:rsidRDefault="004805BA" w:rsidP="00B01B16">
      <w:r>
        <w:separator/>
      </w:r>
    </w:p>
  </w:footnote>
  <w:footnote w:type="continuationSeparator" w:id="0">
    <w:p w14:paraId="2610AB39" w14:textId="77777777" w:rsidR="004805BA" w:rsidRDefault="004805BA" w:rsidP="00B01B16">
      <w:r>
        <w:continuationSeparator/>
      </w:r>
    </w:p>
  </w:footnote>
  <w:footnote w:type="continuationNotice" w:id="1">
    <w:p w14:paraId="625CC2D4" w14:textId="77777777" w:rsidR="004805BA" w:rsidRDefault="004805BA"/>
  </w:footnote>
  <w:footnote w:id="2">
    <w:p w14:paraId="4B725C5F"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16 U.S.C. § 824o (2012).</w:t>
      </w:r>
    </w:p>
  </w:footnote>
  <w:footnote w:id="3">
    <w:p w14:paraId="7D4E8F16"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18 C.F.R. § 39.5 (2015).</w:t>
      </w:r>
    </w:p>
  </w:footnote>
  <w:footnote w:id="4">
    <w:p w14:paraId="49D43262" w14:textId="77777777" w:rsidR="002906E5" w:rsidRPr="002C0D1E" w:rsidRDefault="002906E5" w:rsidP="002906E5">
      <w:pPr>
        <w:pStyle w:val="FootnoteText"/>
        <w:rPr>
          <w:sz w:val="26"/>
          <w:szCs w:val="26"/>
        </w:rPr>
      </w:pPr>
      <w:r w:rsidRPr="002C0D1E">
        <w:rPr>
          <w:rStyle w:val="FootnoteReference"/>
        </w:rPr>
        <w:footnoteRef/>
      </w:r>
      <w:r w:rsidRPr="002C0D1E">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5">
    <w:p w14:paraId="0BEF7212" w14:textId="77777777" w:rsidR="00D47B74" w:rsidRPr="00D47B74" w:rsidRDefault="00D47B74" w:rsidP="00D47B74">
      <w:pPr>
        <w:pStyle w:val="FootnoteText"/>
        <w:rPr>
          <w:rFonts w:eastAsiaTheme="minorHAnsi" w:cstheme="minorBidi"/>
          <w:sz w:val="26"/>
          <w:szCs w:val="26"/>
        </w:rPr>
      </w:pPr>
      <w:r>
        <w:rPr>
          <w:rStyle w:val="FootnoteReference"/>
        </w:rPr>
        <w:footnoteRef/>
      </w:r>
      <w:r>
        <w:t xml:space="preserve"> </w:t>
      </w:r>
      <w:r w:rsidRPr="00D47B74">
        <w:rPr>
          <w:rFonts w:eastAsiaTheme="minorHAnsi" w:cstheme="minorBidi"/>
          <w:sz w:val="26"/>
          <w:szCs w:val="26"/>
        </w:rPr>
        <w:t>The estimates for cost per response are loaded hourly wage figure (includes benefits) is based on two occupational categories for 2020 found on the Bureau of Labor Statistics website (</w:t>
      </w:r>
      <w:hyperlink r:id="rId1" w:history="1">
        <w:r w:rsidRPr="00D47B74">
          <w:rPr>
            <w:rStyle w:val="Hyperlink"/>
            <w:rFonts w:eastAsiaTheme="minorHAnsi" w:cstheme="minorBidi"/>
            <w:sz w:val="26"/>
            <w:szCs w:val="26"/>
          </w:rPr>
          <w:t>http://www.bls.gov/oes/current/naics2_22.htm</w:t>
        </w:r>
      </w:hyperlink>
      <w:r w:rsidRPr="00D47B74">
        <w:rPr>
          <w:rFonts w:eastAsiaTheme="minorHAnsi" w:cstheme="minorBidi"/>
          <w:sz w:val="26"/>
          <w:szCs w:val="26"/>
        </w:rPr>
        <w:t xml:space="preserve">): </w:t>
      </w:r>
    </w:p>
    <w:p w14:paraId="45E30FDC" w14:textId="28070FE6" w:rsidR="00D47B74" w:rsidRPr="00D47B74" w:rsidRDefault="00D47B74" w:rsidP="00D47B74">
      <w:pPr>
        <w:pStyle w:val="FootnoteText"/>
        <w:rPr>
          <w:rFonts w:eastAsiaTheme="minorHAnsi" w:cstheme="minorBidi"/>
          <w:sz w:val="26"/>
          <w:szCs w:val="26"/>
        </w:rPr>
      </w:pPr>
      <w:r w:rsidRPr="00D47B74">
        <w:rPr>
          <w:rFonts w:eastAsiaTheme="minorHAnsi" w:cstheme="minorBidi"/>
          <w:sz w:val="26"/>
          <w:szCs w:val="26"/>
        </w:rPr>
        <w:t>The hourly estimates for salary plus benefits are: (a) Electrical Engineer (code 17-2071), $</w:t>
      </w:r>
      <w:r>
        <w:rPr>
          <w:rFonts w:eastAsiaTheme="minorHAnsi" w:cstheme="minorBidi"/>
          <w:sz w:val="26"/>
          <w:szCs w:val="26"/>
        </w:rPr>
        <w:t>70.19</w:t>
      </w:r>
      <w:r w:rsidRPr="00D47B74">
        <w:rPr>
          <w:rFonts w:eastAsiaTheme="minorHAnsi" w:cstheme="minorBidi"/>
          <w:sz w:val="26"/>
          <w:szCs w:val="26"/>
        </w:rPr>
        <w:t>; (b) Information and Record Clerk (code 43-4199), $</w:t>
      </w:r>
      <w:r>
        <w:rPr>
          <w:rFonts w:eastAsiaTheme="minorHAnsi" w:cstheme="minorBidi"/>
          <w:sz w:val="26"/>
          <w:szCs w:val="26"/>
        </w:rPr>
        <w:t>43.38</w:t>
      </w:r>
      <w:r w:rsidRPr="00D47B74">
        <w:rPr>
          <w:rFonts w:eastAsiaTheme="minorHAnsi" w:cstheme="minorBidi"/>
          <w:sz w:val="26"/>
          <w:szCs w:val="26"/>
        </w:rPr>
        <w:t xml:space="preserve">.  The average hourly cost (salary plus benefits), weighting </w:t>
      </w:r>
      <w:r w:rsidR="000500A8" w:rsidRPr="00D47B74">
        <w:rPr>
          <w:rFonts w:eastAsiaTheme="minorHAnsi" w:cstheme="minorBidi"/>
          <w:sz w:val="26"/>
          <w:szCs w:val="26"/>
        </w:rPr>
        <w:t>both</w:t>
      </w:r>
      <w:r w:rsidRPr="00D47B74">
        <w:rPr>
          <w:rFonts w:eastAsiaTheme="minorHAnsi" w:cstheme="minorBidi"/>
          <w:sz w:val="26"/>
          <w:szCs w:val="26"/>
        </w:rPr>
        <w:t xml:space="preserve"> skill sets equally, is $5</w:t>
      </w:r>
      <w:r>
        <w:rPr>
          <w:rFonts w:eastAsiaTheme="minorHAnsi" w:cstheme="minorBidi"/>
          <w:sz w:val="26"/>
          <w:szCs w:val="26"/>
        </w:rPr>
        <w:t>6.79</w:t>
      </w:r>
      <w:r w:rsidRPr="00D47B74">
        <w:rPr>
          <w:rFonts w:eastAsiaTheme="minorHAnsi" w:cstheme="minorBidi"/>
          <w:sz w:val="26"/>
          <w:szCs w:val="26"/>
        </w:rPr>
        <w:t>. For these calculations, we round the figure to $5</w:t>
      </w:r>
      <w:r>
        <w:rPr>
          <w:rFonts w:eastAsiaTheme="minorHAnsi" w:cstheme="minorBidi"/>
          <w:sz w:val="26"/>
          <w:szCs w:val="26"/>
        </w:rPr>
        <w:t>7</w:t>
      </w:r>
      <w:r w:rsidRPr="00D47B74">
        <w:rPr>
          <w:rFonts w:eastAsiaTheme="minorHAnsi" w:cstheme="minorBidi"/>
          <w:sz w:val="26"/>
          <w:szCs w:val="26"/>
        </w:rPr>
        <w:t xml:space="preserve">.00 per hour. </w:t>
      </w:r>
    </w:p>
    <w:p w14:paraId="7730714C" w14:textId="32E45758" w:rsidR="00D47B74" w:rsidRDefault="00D47B74">
      <w:pPr>
        <w:pStyle w:val="FootnoteText"/>
      </w:pPr>
    </w:p>
  </w:footnote>
  <w:footnote w:id="6">
    <w:p w14:paraId="148A94E3" w14:textId="08A918A8" w:rsidR="000F3935" w:rsidRDefault="000F3935">
      <w:pPr>
        <w:pStyle w:val="FootnoteText"/>
      </w:pPr>
      <w:r>
        <w:rPr>
          <w:rStyle w:val="FootnoteReference"/>
        </w:rPr>
        <w:footnoteRef/>
      </w:r>
      <w:r>
        <w:t xml:space="preserve"> For COM-001-3 the BA, RC, TOP, GOP, DP were taken as aggregate to eliminate overlap if the same entity has multiple registrations.</w:t>
      </w:r>
    </w:p>
  </w:footnote>
  <w:footnote w:id="7">
    <w:p w14:paraId="11D57A5E" w14:textId="3CA76826" w:rsidR="00CE0E66" w:rsidRDefault="00CE0E66">
      <w:pPr>
        <w:pStyle w:val="FootnoteText"/>
      </w:pPr>
      <w:r>
        <w:rPr>
          <w:rStyle w:val="FootnoteReference"/>
        </w:rPr>
        <w:footnoteRef/>
      </w:r>
      <w:r>
        <w:t xml:space="preserve"> For COM-002-4 the BA, RC and TOP were taken as aggregate to eliminate overlap if the same entity has multiple registration.</w:t>
      </w:r>
    </w:p>
  </w:footnote>
  <w:footnote w:id="8">
    <w:p w14:paraId="5CDE6E00" w14:textId="61B8E017" w:rsidR="00CE0E66" w:rsidRDefault="00CE0E66">
      <w:pPr>
        <w:pStyle w:val="FootnoteText"/>
      </w:pPr>
      <w:r>
        <w:rPr>
          <w:rStyle w:val="FootnoteReference"/>
        </w:rPr>
        <w:footnoteRef/>
      </w:r>
      <w:r>
        <w:t xml:space="preserve"> For COM-002-4 the DP and GOP were taken as </w:t>
      </w:r>
      <w:r w:rsidR="00243773">
        <w:t>aggregate</w:t>
      </w:r>
      <w:r>
        <w:t xml:space="preserve"> to eliminate overlap if the same </w:t>
      </w:r>
      <w:r w:rsidR="00243773">
        <w:t>entity</w:t>
      </w:r>
      <w:r>
        <w:t xml:space="preserve"> has multiple </w:t>
      </w:r>
      <w:r w:rsidR="00243773">
        <w:t>registrations.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8B95" w14:textId="77777777" w:rsidR="00243773" w:rsidRDefault="00243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5F8B" w14:textId="7E6ACB98" w:rsidR="00F82EE1" w:rsidRDefault="00F82EE1">
    <w:pPr>
      <w:pStyle w:val="Header"/>
    </w:pPr>
    <w:r w:rsidRPr="00980E58">
      <w:t xml:space="preserve">Docket No. </w:t>
    </w:r>
    <w:r w:rsidRPr="00974530">
      <w:t>I</w:t>
    </w:r>
    <w:r>
      <w:t>C21</w:t>
    </w:r>
    <w:r w:rsidRPr="00974530">
      <w:t>-</w:t>
    </w:r>
    <w:r w:rsidR="009949AA">
      <w:t>23</w:t>
    </w:r>
    <w:r w:rsidRPr="00974530">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9F17" w14:textId="77777777" w:rsidR="00243773" w:rsidRDefault="00243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9"/>
  </w:num>
  <w:num w:numId="6">
    <w:abstractNumId w:val="1"/>
  </w:num>
  <w:num w:numId="7">
    <w:abstractNumId w:val="7"/>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6C2D"/>
    <w:rsid w:val="00042F33"/>
    <w:rsid w:val="000459B6"/>
    <w:rsid w:val="000500A8"/>
    <w:rsid w:val="000578D5"/>
    <w:rsid w:val="00062427"/>
    <w:rsid w:val="00084E3D"/>
    <w:rsid w:val="0008692A"/>
    <w:rsid w:val="000A0250"/>
    <w:rsid w:val="000A3C2F"/>
    <w:rsid w:val="000A6164"/>
    <w:rsid w:val="000A6F37"/>
    <w:rsid w:val="000A7E68"/>
    <w:rsid w:val="000B5C78"/>
    <w:rsid w:val="000C5529"/>
    <w:rsid w:val="000D318C"/>
    <w:rsid w:val="000E2568"/>
    <w:rsid w:val="000F3935"/>
    <w:rsid w:val="000F606E"/>
    <w:rsid w:val="00107E84"/>
    <w:rsid w:val="00116326"/>
    <w:rsid w:val="00125991"/>
    <w:rsid w:val="001309CE"/>
    <w:rsid w:val="0015445B"/>
    <w:rsid w:val="00156BBB"/>
    <w:rsid w:val="001600DF"/>
    <w:rsid w:val="00164215"/>
    <w:rsid w:val="00171725"/>
    <w:rsid w:val="0017684C"/>
    <w:rsid w:val="00177704"/>
    <w:rsid w:val="00181BF7"/>
    <w:rsid w:val="00184A26"/>
    <w:rsid w:val="00184B43"/>
    <w:rsid w:val="0019402A"/>
    <w:rsid w:val="00197435"/>
    <w:rsid w:val="001A2DAA"/>
    <w:rsid w:val="001A6645"/>
    <w:rsid w:val="001A6AD6"/>
    <w:rsid w:val="001B78B8"/>
    <w:rsid w:val="001C7064"/>
    <w:rsid w:val="001D578A"/>
    <w:rsid w:val="001E3237"/>
    <w:rsid w:val="001F1CDF"/>
    <w:rsid w:val="00202E41"/>
    <w:rsid w:val="00212F3F"/>
    <w:rsid w:val="002131D0"/>
    <w:rsid w:val="00213696"/>
    <w:rsid w:val="00224BF8"/>
    <w:rsid w:val="00237AB9"/>
    <w:rsid w:val="0024309C"/>
    <w:rsid w:val="00243773"/>
    <w:rsid w:val="00253F98"/>
    <w:rsid w:val="00257CC2"/>
    <w:rsid w:val="00266431"/>
    <w:rsid w:val="002906E5"/>
    <w:rsid w:val="00292A4C"/>
    <w:rsid w:val="00297211"/>
    <w:rsid w:val="00297BF7"/>
    <w:rsid w:val="002C2C8B"/>
    <w:rsid w:val="002C3223"/>
    <w:rsid w:val="002C3579"/>
    <w:rsid w:val="002D17E5"/>
    <w:rsid w:val="002E06A0"/>
    <w:rsid w:val="002E6DAA"/>
    <w:rsid w:val="002F4401"/>
    <w:rsid w:val="00301E3D"/>
    <w:rsid w:val="00303516"/>
    <w:rsid w:val="00306318"/>
    <w:rsid w:val="00311D90"/>
    <w:rsid w:val="00314219"/>
    <w:rsid w:val="003149BC"/>
    <w:rsid w:val="00336AD9"/>
    <w:rsid w:val="00340517"/>
    <w:rsid w:val="00365468"/>
    <w:rsid w:val="003658A2"/>
    <w:rsid w:val="003673EC"/>
    <w:rsid w:val="00373A2E"/>
    <w:rsid w:val="00376525"/>
    <w:rsid w:val="00397ABE"/>
    <w:rsid w:val="003A2C3F"/>
    <w:rsid w:val="003B435C"/>
    <w:rsid w:val="003B5B0B"/>
    <w:rsid w:val="003C08DE"/>
    <w:rsid w:val="003C3E7A"/>
    <w:rsid w:val="003D28D2"/>
    <w:rsid w:val="003E1657"/>
    <w:rsid w:val="003E1B25"/>
    <w:rsid w:val="003E1B5A"/>
    <w:rsid w:val="003E40B2"/>
    <w:rsid w:val="003E44AD"/>
    <w:rsid w:val="003F0FE7"/>
    <w:rsid w:val="003F2E32"/>
    <w:rsid w:val="003F570B"/>
    <w:rsid w:val="003F6466"/>
    <w:rsid w:val="00411B62"/>
    <w:rsid w:val="00413FDE"/>
    <w:rsid w:val="004177CD"/>
    <w:rsid w:val="0042688C"/>
    <w:rsid w:val="0042765E"/>
    <w:rsid w:val="00427AE5"/>
    <w:rsid w:val="00443282"/>
    <w:rsid w:val="0045522E"/>
    <w:rsid w:val="004562F1"/>
    <w:rsid w:val="004628F2"/>
    <w:rsid w:val="00471921"/>
    <w:rsid w:val="004805BA"/>
    <w:rsid w:val="00491543"/>
    <w:rsid w:val="004A661D"/>
    <w:rsid w:val="004C0BC3"/>
    <w:rsid w:val="004C70C8"/>
    <w:rsid w:val="004E44F8"/>
    <w:rsid w:val="004E683E"/>
    <w:rsid w:val="00524164"/>
    <w:rsid w:val="00527733"/>
    <w:rsid w:val="00531000"/>
    <w:rsid w:val="005401E0"/>
    <w:rsid w:val="00544424"/>
    <w:rsid w:val="0054746C"/>
    <w:rsid w:val="00565830"/>
    <w:rsid w:val="00565B5E"/>
    <w:rsid w:val="00566B5F"/>
    <w:rsid w:val="00567315"/>
    <w:rsid w:val="005749DE"/>
    <w:rsid w:val="0058195F"/>
    <w:rsid w:val="00587D1F"/>
    <w:rsid w:val="005953A1"/>
    <w:rsid w:val="005A2F24"/>
    <w:rsid w:val="005A6119"/>
    <w:rsid w:val="005B4DA4"/>
    <w:rsid w:val="005C180F"/>
    <w:rsid w:val="005C77BE"/>
    <w:rsid w:val="005D0259"/>
    <w:rsid w:val="005D238D"/>
    <w:rsid w:val="005D4628"/>
    <w:rsid w:val="005E0B1A"/>
    <w:rsid w:val="005E45C6"/>
    <w:rsid w:val="005F7CE1"/>
    <w:rsid w:val="006128A5"/>
    <w:rsid w:val="00613169"/>
    <w:rsid w:val="0062572C"/>
    <w:rsid w:val="00630E07"/>
    <w:rsid w:val="0063784F"/>
    <w:rsid w:val="00637F43"/>
    <w:rsid w:val="00644A1B"/>
    <w:rsid w:val="006536D8"/>
    <w:rsid w:val="00654399"/>
    <w:rsid w:val="00654BA4"/>
    <w:rsid w:val="0066195A"/>
    <w:rsid w:val="00663FBE"/>
    <w:rsid w:val="00664931"/>
    <w:rsid w:val="006670C8"/>
    <w:rsid w:val="006841A7"/>
    <w:rsid w:val="00693721"/>
    <w:rsid w:val="00694C22"/>
    <w:rsid w:val="006963BC"/>
    <w:rsid w:val="006970F4"/>
    <w:rsid w:val="006A2E15"/>
    <w:rsid w:val="006B3479"/>
    <w:rsid w:val="006E7CBB"/>
    <w:rsid w:val="006F7028"/>
    <w:rsid w:val="006F749E"/>
    <w:rsid w:val="007024F1"/>
    <w:rsid w:val="00713417"/>
    <w:rsid w:val="00714EDD"/>
    <w:rsid w:val="0071596F"/>
    <w:rsid w:val="00723505"/>
    <w:rsid w:val="00726254"/>
    <w:rsid w:val="007263B9"/>
    <w:rsid w:val="0075009F"/>
    <w:rsid w:val="00761148"/>
    <w:rsid w:val="007633DD"/>
    <w:rsid w:val="007803C5"/>
    <w:rsid w:val="00781E6A"/>
    <w:rsid w:val="007B1F57"/>
    <w:rsid w:val="007B4938"/>
    <w:rsid w:val="007E3706"/>
    <w:rsid w:val="007F4CD3"/>
    <w:rsid w:val="007F61C2"/>
    <w:rsid w:val="008018DB"/>
    <w:rsid w:val="00803CA2"/>
    <w:rsid w:val="00807CAC"/>
    <w:rsid w:val="008115BF"/>
    <w:rsid w:val="00813CD5"/>
    <w:rsid w:val="00816942"/>
    <w:rsid w:val="008212DA"/>
    <w:rsid w:val="00823681"/>
    <w:rsid w:val="00824D81"/>
    <w:rsid w:val="00835322"/>
    <w:rsid w:val="008507FE"/>
    <w:rsid w:val="00853ABC"/>
    <w:rsid w:val="00871D53"/>
    <w:rsid w:val="00871DCE"/>
    <w:rsid w:val="00881405"/>
    <w:rsid w:val="0089069F"/>
    <w:rsid w:val="00893C9F"/>
    <w:rsid w:val="008958C0"/>
    <w:rsid w:val="00895B40"/>
    <w:rsid w:val="00895DA2"/>
    <w:rsid w:val="00897359"/>
    <w:rsid w:val="008A050A"/>
    <w:rsid w:val="008A55FC"/>
    <w:rsid w:val="008A7371"/>
    <w:rsid w:val="008B7EC5"/>
    <w:rsid w:val="008D25B7"/>
    <w:rsid w:val="008D5479"/>
    <w:rsid w:val="008E0DC0"/>
    <w:rsid w:val="008E0DF5"/>
    <w:rsid w:val="008E3273"/>
    <w:rsid w:val="008F0A6E"/>
    <w:rsid w:val="008F0C45"/>
    <w:rsid w:val="00904B00"/>
    <w:rsid w:val="00940C0F"/>
    <w:rsid w:val="00951DC3"/>
    <w:rsid w:val="00953A5C"/>
    <w:rsid w:val="0095548F"/>
    <w:rsid w:val="009744C8"/>
    <w:rsid w:val="00974530"/>
    <w:rsid w:val="00980E58"/>
    <w:rsid w:val="009815BD"/>
    <w:rsid w:val="00981886"/>
    <w:rsid w:val="00990102"/>
    <w:rsid w:val="00990FEC"/>
    <w:rsid w:val="00992257"/>
    <w:rsid w:val="009949AA"/>
    <w:rsid w:val="00995921"/>
    <w:rsid w:val="009A1B08"/>
    <w:rsid w:val="009C3CB9"/>
    <w:rsid w:val="009C4A13"/>
    <w:rsid w:val="009C745D"/>
    <w:rsid w:val="009E2D84"/>
    <w:rsid w:val="009F7DE3"/>
    <w:rsid w:val="00A04C8E"/>
    <w:rsid w:val="00A07154"/>
    <w:rsid w:val="00A11868"/>
    <w:rsid w:val="00A127D3"/>
    <w:rsid w:val="00A1386C"/>
    <w:rsid w:val="00A14335"/>
    <w:rsid w:val="00A14B43"/>
    <w:rsid w:val="00A23612"/>
    <w:rsid w:val="00A2604E"/>
    <w:rsid w:val="00A32860"/>
    <w:rsid w:val="00A417A2"/>
    <w:rsid w:val="00A52189"/>
    <w:rsid w:val="00A57463"/>
    <w:rsid w:val="00A664DF"/>
    <w:rsid w:val="00A71219"/>
    <w:rsid w:val="00A713D0"/>
    <w:rsid w:val="00A722D4"/>
    <w:rsid w:val="00A75AAA"/>
    <w:rsid w:val="00A82A29"/>
    <w:rsid w:val="00A86B6F"/>
    <w:rsid w:val="00AA516A"/>
    <w:rsid w:val="00AA5B0E"/>
    <w:rsid w:val="00AA75B9"/>
    <w:rsid w:val="00AC0504"/>
    <w:rsid w:val="00AC1DB7"/>
    <w:rsid w:val="00AC62A6"/>
    <w:rsid w:val="00AC664F"/>
    <w:rsid w:val="00AC750B"/>
    <w:rsid w:val="00AD6937"/>
    <w:rsid w:val="00AE1F12"/>
    <w:rsid w:val="00AE24CC"/>
    <w:rsid w:val="00AE4155"/>
    <w:rsid w:val="00AE4B7C"/>
    <w:rsid w:val="00AE66F6"/>
    <w:rsid w:val="00AF17CE"/>
    <w:rsid w:val="00AF349B"/>
    <w:rsid w:val="00AF65F0"/>
    <w:rsid w:val="00B009E9"/>
    <w:rsid w:val="00B01B16"/>
    <w:rsid w:val="00B11D16"/>
    <w:rsid w:val="00B24588"/>
    <w:rsid w:val="00B30F2D"/>
    <w:rsid w:val="00B403F1"/>
    <w:rsid w:val="00B447D7"/>
    <w:rsid w:val="00B61016"/>
    <w:rsid w:val="00B65159"/>
    <w:rsid w:val="00B71BAA"/>
    <w:rsid w:val="00B76A1F"/>
    <w:rsid w:val="00B82F8C"/>
    <w:rsid w:val="00B8460F"/>
    <w:rsid w:val="00B95477"/>
    <w:rsid w:val="00BA1D81"/>
    <w:rsid w:val="00BA7130"/>
    <w:rsid w:val="00BC58DF"/>
    <w:rsid w:val="00BD74AE"/>
    <w:rsid w:val="00BE16BC"/>
    <w:rsid w:val="00BE3FE7"/>
    <w:rsid w:val="00BF2D74"/>
    <w:rsid w:val="00BF4CC8"/>
    <w:rsid w:val="00BF75B6"/>
    <w:rsid w:val="00C02547"/>
    <w:rsid w:val="00C04E54"/>
    <w:rsid w:val="00C058D5"/>
    <w:rsid w:val="00C1124F"/>
    <w:rsid w:val="00C1686C"/>
    <w:rsid w:val="00C30DED"/>
    <w:rsid w:val="00C367A6"/>
    <w:rsid w:val="00C37BFF"/>
    <w:rsid w:val="00C45F17"/>
    <w:rsid w:val="00C50BD5"/>
    <w:rsid w:val="00C50EB1"/>
    <w:rsid w:val="00C51458"/>
    <w:rsid w:val="00C53580"/>
    <w:rsid w:val="00C55838"/>
    <w:rsid w:val="00C56745"/>
    <w:rsid w:val="00C70729"/>
    <w:rsid w:val="00C71475"/>
    <w:rsid w:val="00C77EF7"/>
    <w:rsid w:val="00C820F1"/>
    <w:rsid w:val="00C859F7"/>
    <w:rsid w:val="00C85A38"/>
    <w:rsid w:val="00C91512"/>
    <w:rsid w:val="00C94A53"/>
    <w:rsid w:val="00CA0DEC"/>
    <w:rsid w:val="00CA2DE2"/>
    <w:rsid w:val="00CA3A85"/>
    <w:rsid w:val="00CA6636"/>
    <w:rsid w:val="00CA6D76"/>
    <w:rsid w:val="00CB51CC"/>
    <w:rsid w:val="00CC1A72"/>
    <w:rsid w:val="00CC5692"/>
    <w:rsid w:val="00CC65F3"/>
    <w:rsid w:val="00CD56E5"/>
    <w:rsid w:val="00CE0C1B"/>
    <w:rsid w:val="00CE0E66"/>
    <w:rsid w:val="00CF0C67"/>
    <w:rsid w:val="00CF0F40"/>
    <w:rsid w:val="00CF4753"/>
    <w:rsid w:val="00D0083B"/>
    <w:rsid w:val="00D172D8"/>
    <w:rsid w:val="00D17473"/>
    <w:rsid w:val="00D35B2D"/>
    <w:rsid w:val="00D44183"/>
    <w:rsid w:val="00D47B74"/>
    <w:rsid w:val="00D5276C"/>
    <w:rsid w:val="00D6384D"/>
    <w:rsid w:val="00D653F3"/>
    <w:rsid w:val="00D66B24"/>
    <w:rsid w:val="00D85E13"/>
    <w:rsid w:val="00D86288"/>
    <w:rsid w:val="00D872BC"/>
    <w:rsid w:val="00DA529F"/>
    <w:rsid w:val="00DB5AAE"/>
    <w:rsid w:val="00DB6882"/>
    <w:rsid w:val="00DC4B63"/>
    <w:rsid w:val="00DC5017"/>
    <w:rsid w:val="00DC5129"/>
    <w:rsid w:val="00DD7F1B"/>
    <w:rsid w:val="00DE451F"/>
    <w:rsid w:val="00E12A7A"/>
    <w:rsid w:val="00E27FD6"/>
    <w:rsid w:val="00E36A0F"/>
    <w:rsid w:val="00E41DB9"/>
    <w:rsid w:val="00E71CC0"/>
    <w:rsid w:val="00E731AE"/>
    <w:rsid w:val="00E74310"/>
    <w:rsid w:val="00E7435E"/>
    <w:rsid w:val="00E762BB"/>
    <w:rsid w:val="00E865C8"/>
    <w:rsid w:val="00E8661B"/>
    <w:rsid w:val="00E9084E"/>
    <w:rsid w:val="00E962E6"/>
    <w:rsid w:val="00E97D7C"/>
    <w:rsid w:val="00EA689F"/>
    <w:rsid w:val="00EC1434"/>
    <w:rsid w:val="00EC72B0"/>
    <w:rsid w:val="00EC77B3"/>
    <w:rsid w:val="00ED0142"/>
    <w:rsid w:val="00EF33BE"/>
    <w:rsid w:val="00EF4F97"/>
    <w:rsid w:val="00F126FC"/>
    <w:rsid w:val="00F12983"/>
    <w:rsid w:val="00F12AB6"/>
    <w:rsid w:val="00F15359"/>
    <w:rsid w:val="00F23714"/>
    <w:rsid w:val="00F245A2"/>
    <w:rsid w:val="00F309CB"/>
    <w:rsid w:val="00F33EEE"/>
    <w:rsid w:val="00F37677"/>
    <w:rsid w:val="00F37B05"/>
    <w:rsid w:val="00F44A0E"/>
    <w:rsid w:val="00F4763C"/>
    <w:rsid w:val="00F540BA"/>
    <w:rsid w:val="00F570F0"/>
    <w:rsid w:val="00F64069"/>
    <w:rsid w:val="00F64D6D"/>
    <w:rsid w:val="00F654D4"/>
    <w:rsid w:val="00F82EE1"/>
    <w:rsid w:val="00F93134"/>
    <w:rsid w:val="00F949BE"/>
    <w:rsid w:val="00FB078F"/>
    <w:rsid w:val="00FB3586"/>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uiPriority w:val="99"/>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80A173C4-B4F3-4CEE-8F18-98BB333988D3}">
  <ds:schemaRefs>
    <ds:schemaRef ds:uri="Microsoft.SharePoint.Taxonomy.ContentTypeSync"/>
  </ds:schemaRefs>
</ds:datastoreItem>
</file>

<file path=customXml/itemProps3.xml><?xml version="1.0" encoding="utf-8"?>
<ds:datastoreItem xmlns:ds="http://schemas.openxmlformats.org/officeDocument/2006/customXml" ds:itemID="{28265674-CE55-476A-9BD1-13571CE1A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5e8733a2-e908-454b-85cf-c9d17e1d0943"/>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FBF8CE6-CFB4-488C-8141-C3A0E0D4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933</Words>
  <Characters>5321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Kayla Williams</cp:lastModifiedBy>
  <cp:revision>2</cp:revision>
  <cp:lastPrinted>2016-12-20T13:40:00Z</cp:lastPrinted>
  <dcterms:created xsi:type="dcterms:W3CDTF">2021-07-22T15:26:00Z</dcterms:created>
  <dcterms:modified xsi:type="dcterms:W3CDTF">2021-07-22T15:26:00Z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2021-01-13T20:26:44.5748181Z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5c703711-a22e-4b17-814a-56fa80062e04</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