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1502CB1A"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A2604E" w:rsidP="003F0BD9" w:rsidRDefault="00A2604E" w14:paraId="6C561934" w14:textId="21DFAB6B">
      <w:pPr>
        <w:jc w:val="center"/>
      </w:pPr>
      <w:r>
        <w:t>FEDERAL ENERGY REGULATORY COMMISSION</w:t>
      </w:r>
    </w:p>
    <w:p w:rsidR="003F0BD9" w:rsidP="003F0BD9" w:rsidRDefault="003F0BD9" w14:paraId="1CBFF739" w14:textId="77777777">
      <w:pPr>
        <w:jc w:val="center"/>
      </w:pPr>
    </w:p>
    <w:p w:rsidR="00A2604E" w:rsidP="00A2604E" w:rsidRDefault="00A2604E" w14:paraId="3E11D4A1" w14:textId="25278676">
      <w:pPr>
        <w:jc w:val="center"/>
      </w:pPr>
      <w:r w:rsidRPr="00ED7A49">
        <w:t xml:space="preserve">[Docket No. </w:t>
      </w:r>
      <w:r w:rsidRPr="00ED7A49" w:rsidR="00613169">
        <w:t>IC</w:t>
      </w:r>
      <w:r w:rsidRPr="00ED7A49" w:rsidR="00FB078F">
        <w:t>21</w:t>
      </w:r>
      <w:r w:rsidRPr="00ED7A49" w:rsidR="00613169">
        <w:t>-</w:t>
      </w:r>
      <w:r w:rsidR="003F0BD9">
        <w:t>19-000</w:t>
      </w:r>
      <w:r w:rsidR="00533A77">
        <w:t>, RD21-4-000</w:t>
      </w:r>
      <w:r w:rsidRPr="00980E58">
        <w:t>]</w:t>
      </w:r>
    </w:p>
    <w:p w:rsidR="00A2604E" w:rsidP="00A2604E" w:rsidRDefault="00A2604E" w14:paraId="4D16FE54" w14:textId="77777777"/>
    <w:p w:rsidR="00A2604E" w:rsidP="00A2604E" w:rsidRDefault="00A2604E" w14:paraId="0627AE31" w14:textId="52A0BC50">
      <w:pPr>
        <w:jc w:val="center"/>
      </w:pPr>
      <w:r>
        <w:t>COMMISSION INFORMATION COLLECTION ACTIVITIES (FERC-</w:t>
      </w:r>
      <w:r w:rsidR="003F0BD9">
        <w:t>725A</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9F68AF" w:rsidRDefault="009F68AF" w14:paraId="692D2676" w14:textId="4A226EF6">
      <w:pPr>
        <w:jc w:val="center"/>
      </w:pPr>
      <w:r w:rsidRPr="009F68AF">
        <w:t>(August 5, 2021)</w:t>
      </w:r>
    </w:p>
    <w:p w:rsidRPr="009F68AF" w:rsidR="009F68AF" w:rsidP="009F68AF" w:rsidRDefault="009F68AF" w14:paraId="2607BAFF"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1"/>
      <w:r>
        <w:t xml:space="preserve">Notice of information collection </w:t>
      </w:r>
      <w:bookmarkEnd w:id="1"/>
      <w:r>
        <w:t>and request for comments.</w:t>
      </w:r>
    </w:p>
    <w:p w:rsidRPr="00BB5EF5" w:rsidR="00BB5EF5" w:rsidP="00BB5EF5" w:rsidRDefault="00A2604E" w14:paraId="00B515E9" w14:textId="77777777">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bookmarkStart w:name="_Hlk68535266" w:id="2"/>
      <w:r w:rsidRPr="00292A4C" w:rsidR="00292A4C">
        <w:t>FERC-</w:t>
      </w:r>
      <w:r w:rsidR="00533A77">
        <w:t>725A</w:t>
      </w:r>
      <w:r w:rsidRPr="00292A4C" w:rsidR="00292A4C">
        <w:t xml:space="preserve"> </w:t>
      </w:r>
      <w:r w:rsidR="00292A4C">
        <w:t>(</w:t>
      </w:r>
      <w:r w:rsidRPr="00533A77" w:rsidR="00533A77">
        <w:rPr>
          <w:szCs w:val="26"/>
        </w:rPr>
        <w:t>Mandatory Reliability Standards for the Bulk-Power System</w:t>
      </w:r>
      <w:r w:rsidR="00CC5692">
        <w:t>).</w:t>
      </w:r>
      <w:r w:rsidR="00533A77">
        <w:t xml:space="preserve">  This notice </w:t>
      </w:r>
      <w:r w:rsidR="00F22F4B">
        <w:t>includes</w:t>
      </w:r>
      <w:r w:rsidR="00533A77">
        <w:t xml:space="preserve"> the burden totals for proposed Reliability Standard FAC-008-5</w:t>
      </w:r>
      <w:r w:rsidR="00BB5EF5">
        <w:t xml:space="preserve">, </w:t>
      </w:r>
      <w:r w:rsidRPr="00BB5EF5" w:rsidR="00BB5EF5">
        <w:t xml:space="preserve">which will be submitted to the Office of Management and Budget (OMB) for review. </w:t>
      </w:r>
    </w:p>
    <w:p w:rsidRPr="00BB5EF5" w:rsidR="00BB5EF5" w:rsidP="00BB5EF5" w:rsidRDefault="00BB5EF5" w14:paraId="3E1649E9" w14:textId="77777777">
      <w:pPr>
        <w:spacing w:line="480" w:lineRule="auto"/>
      </w:pPr>
      <w:r w:rsidRPr="00BB5EF5">
        <w:rPr>
          <w:b/>
        </w:rPr>
        <w:t>DATES:</w:t>
      </w:r>
      <w:r w:rsidRPr="00BB5EF5">
        <w:t xml:space="preserve">  Comments on the collection of information are due</w:t>
      </w:r>
      <w:r w:rsidRPr="00BB5EF5">
        <w:rPr>
          <w:b/>
        </w:rPr>
        <w:t xml:space="preserve"> [INSERT DATE 30 DAYS AFTER DATE OF PUBLICATION IN THE FEDERAL REGISTER].</w:t>
      </w:r>
      <w:r w:rsidRPr="00BB5EF5">
        <w:t xml:space="preserve"> </w:t>
      </w:r>
    </w:p>
    <w:p w:rsidRPr="00BB5EF5" w:rsidR="00BB5EF5" w:rsidP="00BB5EF5" w:rsidRDefault="00BB5EF5" w14:paraId="781E474F" w14:textId="420D71ED">
      <w:pPr>
        <w:spacing w:line="480" w:lineRule="auto"/>
      </w:pPr>
      <w:r w:rsidRPr="00BB5EF5">
        <w:rPr>
          <w:b/>
        </w:rPr>
        <w:t>ADDRESSES:</w:t>
      </w:r>
      <w:r w:rsidRPr="00BB5EF5">
        <w:t xml:space="preserve">  </w:t>
      </w:r>
      <w:r w:rsidRPr="00BB5EF5">
        <w:rPr>
          <w:iCs/>
        </w:rPr>
        <w:t>Send written comments on FERC-725</w:t>
      </w:r>
      <w:r>
        <w:rPr>
          <w:iCs/>
        </w:rPr>
        <w:t>A</w:t>
      </w:r>
      <w:r w:rsidRPr="00BB5EF5">
        <w:rPr>
          <w:iCs/>
        </w:rPr>
        <w:t xml:space="preserve"> to OMB through </w:t>
      </w:r>
      <w:hyperlink w:history="1" r:id="rId12">
        <w:r w:rsidRPr="00BB5EF5">
          <w:rPr>
            <w:rStyle w:val="Hyperlink"/>
          </w:rPr>
          <w:t>www.reginfo.gov/public/do/PRAMain</w:t>
        </w:r>
      </w:hyperlink>
      <w:r w:rsidRPr="00BB5EF5">
        <w:rPr>
          <w:iCs/>
        </w:rPr>
        <w:t>.  Attention:  Federal Energy Regulatory Commission Desk Officer.  Please identify the OMB Control Number (1902-02</w:t>
      </w:r>
      <w:r>
        <w:rPr>
          <w:iCs/>
        </w:rPr>
        <w:t>44</w:t>
      </w:r>
      <w:r w:rsidRPr="00BB5EF5">
        <w:rPr>
          <w:iCs/>
        </w:rPr>
        <w:t>) in the subject line of your comments.  Comments</w:t>
      </w:r>
      <w:r w:rsidRPr="00BB5EF5">
        <w:t xml:space="preserve"> should be sent </w:t>
      </w:r>
      <w:bookmarkStart w:name="_Hlk35891527" w:id="3"/>
      <w:r w:rsidRPr="00BB5EF5">
        <w:t xml:space="preserve">within 30 days of publication of this notice  to </w:t>
      </w:r>
      <w:bookmarkStart w:name="_Hlk38028221" w:id="4"/>
      <w:r w:rsidRPr="00BB5EF5">
        <w:fldChar w:fldCharType="begin"/>
      </w:r>
      <w:r w:rsidRPr="00BB5EF5">
        <w:instrText xml:space="preserve"> HYPERLINK "http://www.reginfo.gov/public/do/PRAMain" </w:instrText>
      </w:r>
      <w:r w:rsidRPr="00BB5EF5">
        <w:fldChar w:fldCharType="separate"/>
      </w:r>
      <w:r w:rsidRPr="00BB5EF5">
        <w:rPr>
          <w:rStyle w:val="Hyperlink"/>
        </w:rPr>
        <w:t>www.reginfo.gov/public/do/PRAMain</w:t>
      </w:r>
      <w:r w:rsidRPr="00BB5EF5">
        <w:fldChar w:fldCharType="end"/>
      </w:r>
      <w:r w:rsidRPr="00BB5EF5">
        <w:t>.</w:t>
      </w:r>
      <w:bookmarkEnd w:id="3"/>
      <w:bookmarkEnd w:id="4"/>
    </w:p>
    <w:p w:rsidRPr="00BB5EF5" w:rsidR="00BB5EF5" w:rsidP="00BB5EF5" w:rsidRDefault="00BB5EF5" w14:paraId="3CA29AEF" w14:textId="2B541973">
      <w:pPr>
        <w:spacing w:line="480" w:lineRule="auto"/>
      </w:pPr>
      <w:r w:rsidRPr="00BB5EF5">
        <w:lastRenderedPageBreak/>
        <w:t>Please submit copies of your comments to the Commission.  You may submit copies of your comments (identified by Docket No. IC21-</w:t>
      </w:r>
      <w:r w:rsidR="00A31D29">
        <w:t>19</w:t>
      </w:r>
      <w:r w:rsidRPr="00BB5EF5">
        <w:t>-000) by one of the following methods:</w:t>
      </w:r>
    </w:p>
    <w:p w:rsidRPr="00BB5EF5" w:rsidR="00BB5EF5" w:rsidP="00BB5EF5" w:rsidRDefault="00BB5EF5" w14:paraId="451E98C4" w14:textId="77777777">
      <w:pPr>
        <w:spacing w:line="480" w:lineRule="auto"/>
      </w:pPr>
      <w:r w:rsidRPr="00BB5EF5">
        <w:t xml:space="preserve">Electronic filing through </w:t>
      </w:r>
      <w:hyperlink w:history="1" r:id="rId13">
        <w:r w:rsidRPr="00BB5EF5">
          <w:rPr>
            <w:rStyle w:val="Hyperlink"/>
          </w:rPr>
          <w:t>http://www.ferc.gov</w:t>
        </w:r>
      </w:hyperlink>
      <w:r w:rsidRPr="00BB5EF5">
        <w:t>, is preferred.</w:t>
      </w:r>
    </w:p>
    <w:p w:rsidRPr="00BB5EF5" w:rsidR="00BB5EF5" w:rsidP="00BB5EF5" w:rsidRDefault="00BB5EF5" w14:paraId="41D77E28"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Pr="00BB5EF5" w:rsidR="00BB5EF5" w:rsidP="00BB5EF5" w:rsidRDefault="00BB5EF5" w14:paraId="030F8E0A" w14:textId="77777777">
      <w:pPr>
        <w:numPr>
          <w:ilvl w:val="0"/>
          <w:numId w:val="6"/>
        </w:numPr>
        <w:spacing w:line="480" w:lineRule="auto"/>
      </w:pPr>
      <w:r w:rsidRPr="00BB5EF5">
        <w:t>For those unable to file electronically, comments may be filed by USPS mail or by hand (including courier) delivery.</w:t>
      </w:r>
    </w:p>
    <w:p w:rsidRPr="00BB5EF5" w:rsidR="00BB5EF5" w:rsidP="00BB5EF5" w:rsidRDefault="00BB5EF5" w14:paraId="06C8D061"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Pr="00BB5EF5" w:rsidR="00BB5EF5" w:rsidP="00BB5EF5" w:rsidRDefault="00BB5EF5" w14:paraId="60EEDC4D" w14:textId="77777777">
      <w:pPr>
        <w:numPr>
          <w:ilvl w:val="1"/>
          <w:numId w:val="6"/>
        </w:numPr>
        <w:spacing w:line="480" w:lineRule="auto"/>
      </w:pPr>
      <w:r w:rsidRPr="00BB5EF5">
        <w:t>Hand (including courier) delivery: Deliver to: Federal Energy Regulatory Commission, 12225 Wilkins Avenue, Rockville, MD 20852.</w:t>
      </w:r>
    </w:p>
    <w:p w:rsidRPr="00BB5EF5" w:rsidR="00BB5EF5" w:rsidP="00BB5EF5" w:rsidRDefault="00BB5EF5" w14:paraId="4686563F" w14:textId="77777777">
      <w:pPr>
        <w:spacing w:line="480" w:lineRule="auto"/>
      </w:pPr>
      <w:bookmarkStart w:name="OLE_LINK1" w:id="5"/>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w:history="1" r:id="rId14">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Pr="00BB5EF5" w:rsidR="00BB5EF5" w:rsidP="00BB5EF5" w:rsidRDefault="00BB5EF5" w14:paraId="2AA7891A" w14:textId="77777777">
      <w:pPr>
        <w:spacing w:line="480" w:lineRule="auto"/>
      </w:pPr>
      <w:r w:rsidRPr="00BB5EF5">
        <w:rPr>
          <w:i/>
          <w:iCs/>
        </w:rPr>
        <w:t>FERC submissions</w:t>
      </w:r>
      <w:r w:rsidRPr="00BB5EF5">
        <w:t xml:space="preserve"> </w:t>
      </w:r>
      <w:bookmarkStart w:name="_Hlk38028397" w:id="6"/>
      <w:r w:rsidRPr="00BB5EF5">
        <w:t>must be formatted and filed in accordance with submission guidelines at</w:t>
      </w:r>
      <w:bookmarkEnd w:id="6"/>
      <w:r w:rsidRPr="00BB5EF5">
        <w:t xml:space="preserve">: </w:t>
      </w:r>
      <w:hyperlink w:history="1" r:id="rId15">
        <w:r w:rsidRPr="00BB5EF5">
          <w:rPr>
            <w:rStyle w:val="Hyperlink"/>
          </w:rPr>
          <w:t>http://www.ferc.gov</w:t>
        </w:r>
      </w:hyperlink>
      <w:r w:rsidRPr="00BB5EF5">
        <w:t>.  For user assistance, contact FERC Online Support by e-mail at ferconlinesupport@ferc.gov, or by phone at: (866) 208-3676 (toll-free).</w:t>
      </w:r>
    </w:p>
    <w:p w:rsidRPr="00BB5EF5" w:rsidR="00BB5EF5" w:rsidP="00BB5EF5" w:rsidRDefault="00BB5EF5" w14:paraId="78437898" w14:textId="77777777">
      <w:pPr>
        <w:spacing w:line="480" w:lineRule="auto"/>
      </w:pPr>
      <w:r w:rsidRPr="00BB5EF5">
        <w:rPr>
          <w:i/>
        </w:rPr>
        <w:lastRenderedPageBreak/>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w:history="1" r:id="rId16">
        <w:r w:rsidRPr="00BB5EF5">
          <w:rPr>
            <w:rStyle w:val="Hyperlink"/>
          </w:rPr>
          <w:t>https://www.ferc.gov/ferc-online/overview</w:t>
        </w:r>
      </w:hyperlink>
      <w:r w:rsidRPr="00BB5EF5">
        <w:t xml:space="preserve">. </w:t>
      </w:r>
    </w:p>
    <w:bookmarkEnd w:id="5"/>
    <w:p w:rsidR="00A2604E" w:rsidP="00A2604E" w:rsidRDefault="00BB5EF5" w14:paraId="59F663B1" w14:textId="0424BAC0">
      <w:pPr>
        <w:spacing w:line="480" w:lineRule="auto"/>
      </w:pPr>
      <w:r w:rsidRPr="00BB5EF5">
        <w:rPr>
          <w:b/>
        </w:rPr>
        <w:t>FOR FURTHER INFORMATION CONTACT:</w:t>
      </w:r>
      <w:r w:rsidRPr="00BB5EF5">
        <w:t xml:space="preserve">  Ellen Brown may be reached by e-mail at </w:t>
      </w:r>
      <w:hyperlink w:history="1" r:id="rId17">
        <w:r w:rsidRPr="00BB5EF5">
          <w:rPr>
            <w:rStyle w:val="Hyperlink"/>
          </w:rPr>
          <w:t>DataClearance@FERC.gov</w:t>
        </w:r>
      </w:hyperlink>
      <w:r w:rsidRPr="00BB5EF5">
        <w:t>, telephone at (202) 502-8663.</w:t>
      </w:r>
    </w:p>
    <w:bookmarkEnd w:id="2"/>
    <w:p w:rsidR="00292A4C" w:rsidP="00292A4C" w:rsidRDefault="00292A4C" w14:paraId="110FA44D" w14:textId="77777777">
      <w:pPr>
        <w:spacing w:line="480" w:lineRule="auto"/>
      </w:pPr>
      <w:r>
        <w:rPr>
          <w:b/>
        </w:rPr>
        <w:t>SUPPLEMENTARY INFORMATION:</w:t>
      </w:r>
      <w:r>
        <w:t xml:space="preserve">  </w:t>
      </w:r>
    </w:p>
    <w:p w:rsidRPr="00533A77" w:rsidR="00533A77" w:rsidP="00533A77" w:rsidRDefault="00292A4C" w14:paraId="0C87CF93" w14:textId="77777777">
      <w:pPr>
        <w:spacing w:line="480" w:lineRule="auto"/>
      </w:pPr>
      <w:r>
        <w:rPr>
          <w:i/>
        </w:rPr>
        <w:t xml:space="preserve">Title: </w:t>
      </w:r>
      <w:r w:rsidRPr="00533A77" w:rsidR="00533A77">
        <w:t>FERC-725A (Mandatory Reliability Standards for the Bulk-Power System).</w:t>
      </w:r>
    </w:p>
    <w:p w:rsidR="00292A4C" w:rsidP="00292A4C" w:rsidRDefault="00292A4C" w14:paraId="5C682714" w14:textId="4844D4B3">
      <w:pPr>
        <w:spacing w:line="480" w:lineRule="auto"/>
      </w:pPr>
      <w:r>
        <w:rPr>
          <w:i/>
        </w:rPr>
        <w:t>OMB Control No.:</w:t>
      </w:r>
      <w:r>
        <w:t xml:space="preserve"> 1902-0</w:t>
      </w:r>
      <w:r w:rsidR="00533A77">
        <w:t>244</w:t>
      </w:r>
    </w:p>
    <w:p w:rsidR="00292A4C" w:rsidP="00292A4C" w:rsidRDefault="00292A4C" w14:paraId="22B00844" w14:textId="50448EC9">
      <w:pPr>
        <w:spacing w:line="480" w:lineRule="auto"/>
      </w:pPr>
      <w:r>
        <w:rPr>
          <w:i/>
        </w:rPr>
        <w:t>Type of Request:</w:t>
      </w:r>
      <w:r>
        <w:t xml:space="preserve"> Three-year extension of the FERC-</w:t>
      </w:r>
      <w:r w:rsidR="00904EDC">
        <w:t>725A</w:t>
      </w:r>
      <w:r>
        <w:t xml:space="preserve"> information collection requirements with no changes to the current reporting requirements. </w:t>
      </w:r>
    </w:p>
    <w:p w:rsidRPr="00060284" w:rsidR="00060284" w:rsidP="00060284" w:rsidRDefault="00292A4C" w14:paraId="58AB2BF6" w14:textId="5676A8A0">
      <w:pPr>
        <w:spacing w:line="480" w:lineRule="auto"/>
        <w:rPr>
          <w:iCs/>
          <w:szCs w:val="20"/>
        </w:rPr>
      </w:pPr>
      <w:r>
        <w:rPr>
          <w:i/>
          <w:szCs w:val="26"/>
        </w:rPr>
        <w:t>Abstract:</w:t>
      </w:r>
      <w:r>
        <w:rPr>
          <w:i/>
          <w:szCs w:val="20"/>
        </w:rPr>
        <w:t xml:space="preserve"> </w:t>
      </w:r>
      <w:r w:rsidRPr="00060284" w:rsidR="00060284">
        <w:rPr>
          <w:iCs/>
          <w:szCs w:val="20"/>
        </w:rPr>
        <w:t>On August 8, 2005, the Electricity Modernization Act of 2005, which is Title XII, Subtitle A, of the Energy Policy Act of 2005 (</w:t>
      </w:r>
      <w:proofErr w:type="spellStart"/>
      <w:r w:rsidRPr="00060284" w:rsidR="00060284">
        <w:rPr>
          <w:iCs/>
          <w:szCs w:val="20"/>
        </w:rPr>
        <w:t>EPAct</w:t>
      </w:r>
      <w:proofErr w:type="spellEnd"/>
      <w:r w:rsidRPr="00060284" w:rsidR="00060284">
        <w:rPr>
          <w:iCs/>
          <w:szCs w:val="20"/>
        </w:rPr>
        <w:t xml:space="preserve"> 2005), was enacted into law.</w:t>
      </w:r>
      <w:r w:rsidRPr="00060284" w:rsidR="00060284">
        <w:rPr>
          <w:b/>
          <w:iCs/>
          <w:szCs w:val="20"/>
          <w:vertAlign w:val="superscript"/>
        </w:rPr>
        <w:footnoteReference w:id="2"/>
      </w:r>
      <w:r w:rsidRPr="00060284" w:rsidR="00060284">
        <w:rPr>
          <w:iCs/>
          <w:szCs w:val="20"/>
        </w:rPr>
        <w:t xml:space="preserve">  </w:t>
      </w:r>
      <w:proofErr w:type="spellStart"/>
      <w:r w:rsidRPr="00060284" w:rsidR="00060284">
        <w:rPr>
          <w:iCs/>
          <w:szCs w:val="20"/>
        </w:rPr>
        <w:t>EPAct</w:t>
      </w:r>
      <w:proofErr w:type="spellEnd"/>
      <w:r w:rsidRPr="00060284" w:rsidR="00060284">
        <w:rPr>
          <w:iCs/>
          <w:szCs w:val="20"/>
        </w:rPr>
        <w:t xml:space="preserve"> 2005 added a new section 215 to the FPA, which requires a Commission-certified </w:t>
      </w:r>
      <w:r w:rsidRPr="00F22F4B" w:rsidR="00F22F4B">
        <w:rPr>
          <w:iCs/>
          <w:szCs w:val="20"/>
        </w:rPr>
        <w:t>electric reliability organization</w:t>
      </w:r>
      <w:r w:rsidR="00F22F4B">
        <w:rPr>
          <w:iCs/>
          <w:szCs w:val="20"/>
        </w:rPr>
        <w:t xml:space="preserve"> (</w:t>
      </w:r>
      <w:r w:rsidRPr="00060284" w:rsidR="00060284">
        <w:rPr>
          <w:iCs/>
          <w:szCs w:val="20"/>
        </w:rPr>
        <w:t>ERO</w:t>
      </w:r>
      <w:r w:rsidR="00F22F4B">
        <w:rPr>
          <w:iCs/>
          <w:szCs w:val="20"/>
        </w:rPr>
        <w:t>)</w:t>
      </w:r>
      <w:r w:rsidRPr="00060284" w:rsidR="00060284">
        <w:rPr>
          <w:iCs/>
          <w:szCs w:val="20"/>
        </w:rPr>
        <w:t xml:space="preserve"> (FERC-725) to develop mandatory and enforceable Reliability Standards, which are subject to Commission review and approval.  Once approved, the Reliability Standards may be enforced by the ERO, subject to Commission oversight or the Commission can independently enforce Reliability Standards (FERC-725A).</w:t>
      </w:r>
      <w:r w:rsidRPr="00060284" w:rsidR="00060284">
        <w:rPr>
          <w:b/>
          <w:iCs/>
          <w:szCs w:val="20"/>
          <w:vertAlign w:val="superscript"/>
        </w:rPr>
        <w:footnoteReference w:id="3"/>
      </w:r>
    </w:p>
    <w:p w:rsidRPr="00060284" w:rsidR="00060284" w:rsidP="00060284" w:rsidRDefault="00060284" w14:paraId="71AE0730" w14:textId="30248340">
      <w:pPr>
        <w:spacing w:line="480" w:lineRule="auto"/>
        <w:rPr>
          <w:iCs/>
          <w:szCs w:val="20"/>
        </w:rPr>
      </w:pPr>
      <w:r w:rsidRPr="00060284">
        <w:rPr>
          <w:iCs/>
          <w:szCs w:val="20"/>
        </w:rPr>
        <w:lastRenderedPageBreak/>
        <w:t>On February 3, 2006, the Commission issued Order No. 672, implementing section 215 of the FPA.</w:t>
      </w:r>
      <w:r w:rsidRPr="00060284">
        <w:rPr>
          <w:b/>
          <w:iCs/>
          <w:szCs w:val="20"/>
          <w:vertAlign w:val="superscript"/>
        </w:rPr>
        <w:footnoteReference w:id="4"/>
      </w:r>
      <w:r w:rsidRPr="00060284">
        <w:rPr>
          <w:iCs/>
          <w:szCs w:val="20"/>
        </w:rPr>
        <w:t xml:space="preserve">  Pursuant to Order No. 672, the Commission certified one organization, NERC, as the ERO.</w:t>
      </w:r>
      <w:r w:rsidRPr="00060284">
        <w:rPr>
          <w:b/>
          <w:iCs/>
          <w:szCs w:val="20"/>
          <w:vertAlign w:val="superscript"/>
        </w:rPr>
        <w:footnoteReference w:id="5"/>
      </w:r>
      <w:r w:rsidRPr="00060284">
        <w:rPr>
          <w:iCs/>
          <w:szCs w:val="20"/>
        </w:rPr>
        <w:t xml:space="preserve">  The ERO is required to develop Reliability Standards, which are subject to Commission review and approval.  The Reliability Standards will apply to users, owners and operators of the Bulk-Power System, as set forth in each Reliability Standard.  </w:t>
      </w:r>
    </w:p>
    <w:p w:rsidRPr="00060284" w:rsidR="00060284" w:rsidP="00060284" w:rsidRDefault="00060284" w14:paraId="6453AAFC" w14:textId="212FE7F4">
      <w:pPr>
        <w:spacing w:line="480" w:lineRule="auto"/>
        <w:rPr>
          <w:iCs/>
          <w:szCs w:val="20"/>
        </w:rPr>
      </w:pPr>
      <w:r w:rsidRPr="00060284">
        <w:rPr>
          <w:iCs/>
          <w:szCs w:val="20"/>
        </w:rPr>
        <w:t>On March 16, 2007, the Commission issued Order No. 693, a Final Rule adding part 40, a new part</w:t>
      </w:r>
      <w:r w:rsidR="00F22F4B">
        <w:rPr>
          <w:iCs/>
          <w:szCs w:val="20"/>
        </w:rPr>
        <w:t>,</w:t>
      </w:r>
      <w:r w:rsidRPr="00060284">
        <w:rPr>
          <w:iCs/>
          <w:szCs w:val="20"/>
        </w:rPr>
        <w:t xml:space="preserve"> to the Commission’s regulations.  The Final Rule states that this part applies to all users, owners and operators of the Bulk-Power System within the United States (other than Alaska or Hawaii).  It also requires that each Reliability Standard identify the subset of users, owners and operators to which that particular Reliability Standard applies.  The new regulations also require that each Reliability Standard that is approved by the Commission will be maintained on the ERO’s Internet website for public inspection. </w:t>
      </w:r>
    </w:p>
    <w:p w:rsidRPr="00060284" w:rsidR="00060284" w:rsidP="00060284" w:rsidRDefault="00060284" w14:paraId="6218B273" w14:textId="461443E1">
      <w:pPr>
        <w:spacing w:line="480" w:lineRule="auto"/>
        <w:rPr>
          <w:iCs/>
          <w:szCs w:val="20"/>
        </w:rPr>
      </w:pPr>
      <w:r w:rsidRPr="00060284">
        <w:rPr>
          <w:iCs/>
          <w:szCs w:val="20"/>
        </w:rPr>
        <w:t xml:space="preserve">In order that the Commission is able to perform its oversight function with regard to Reliability Standards that are proposed by the ERO and established by the Commission, it is essential that the Commission receive timely information regarding all or potential violations of Reliability Standards.  While section 215 of the FPA contemplates the filing </w:t>
      </w:r>
      <w:r w:rsidRPr="00060284">
        <w:rPr>
          <w:iCs/>
          <w:szCs w:val="20"/>
        </w:rPr>
        <w:lastRenderedPageBreak/>
        <w:t xml:space="preserve">of the record of an ERO or Regional Entity enforcement action, FERC needs information regarding violations and potential violations at or near the time of occurrence.  Therefore, it will work with the ERO and regional reliability organizations to be able to use the electronic filing of information so the Commission receives timely information. The new regulations also require that each Reliability Standard that is approved by the Commission will be maintained on the ERO’s Internet website for public inspection.   </w:t>
      </w:r>
    </w:p>
    <w:p w:rsidRPr="00ED421C" w:rsidR="00ED421C" w:rsidP="009A065C" w:rsidRDefault="00060284" w14:paraId="22614594" w14:textId="0679765A">
      <w:pPr>
        <w:spacing w:line="480" w:lineRule="auto"/>
        <w:rPr>
          <w:iCs/>
          <w:szCs w:val="20"/>
        </w:rPr>
      </w:pPr>
      <w:r w:rsidRPr="00060284">
        <w:rPr>
          <w:iCs/>
          <w:szCs w:val="20"/>
        </w:rPr>
        <w:t>In accordance with section 39.5 of the Commission’s regulations, the ERO must file each Reliability Standard or a modification to a Reliability Standard with the Commission.  The filing is to include a concise statement of the basis and purpose of the proposed Reliability Standard, either a summary of the Reliability development proceedings conducted by the ERO or a summary of the Reliability Standard development proceedings conducted by a Regional Entity together with a summary of the Reliability Standard review proceedings of the ERO and a demonstration that the proposed Reliability Standard is “just, reasonable, not unduly discriminatory or preferential, and in the public interest.</w:t>
      </w:r>
    </w:p>
    <w:p w:rsidR="00ED421C" w:rsidP="00ED421C" w:rsidRDefault="00ED421C" w14:paraId="08B70175" w14:textId="2ABDC145">
      <w:pPr>
        <w:spacing w:line="480" w:lineRule="auto"/>
        <w:rPr>
          <w:b/>
          <w:szCs w:val="20"/>
          <w:u w:val="single"/>
        </w:rPr>
      </w:pPr>
      <w:r w:rsidRPr="00ED421C">
        <w:rPr>
          <w:b/>
          <w:szCs w:val="20"/>
          <w:u w:val="single"/>
        </w:rPr>
        <w:t>RD21-4 (FAC-008-05)</w:t>
      </w:r>
    </w:p>
    <w:p w:rsidR="009A065C" w:rsidP="00ED421C" w:rsidRDefault="009A065C" w14:paraId="356F3837" w14:textId="77777777">
      <w:pPr>
        <w:spacing w:line="480" w:lineRule="auto"/>
        <w:rPr>
          <w:bCs/>
          <w:szCs w:val="20"/>
        </w:rPr>
      </w:pPr>
      <w:r w:rsidRPr="009A065C">
        <w:rPr>
          <w:bCs/>
          <w:szCs w:val="20"/>
        </w:rPr>
        <w:t xml:space="preserve">The proposed information collection changes in Docket No. RD21–4–000 relate to the proposed Reliability Standard FAC-008-05 (Facility Ratings) developed by the North American Electric Reliability Corporation (NERC), and submitted to the Commission for approval. The Commission received NERC’s petition to approve the proposed Reliability Standards. </w:t>
      </w:r>
    </w:p>
    <w:p w:rsidRPr="009A065C" w:rsidR="009A065C" w:rsidP="00ED421C" w:rsidRDefault="009A065C" w14:paraId="40605EE9" w14:textId="1FBF07F6">
      <w:pPr>
        <w:spacing w:line="480" w:lineRule="auto"/>
        <w:rPr>
          <w:bCs/>
          <w:szCs w:val="20"/>
        </w:rPr>
      </w:pPr>
      <w:r w:rsidRPr="00ED421C">
        <w:rPr>
          <w:bCs/>
          <w:szCs w:val="20"/>
        </w:rPr>
        <w:lastRenderedPageBreak/>
        <w:t>On February 19, 2021, NERC filed a petition seeking approval of proposed Reliability Standard FAC-008-5.  NERC states that proposed Reliability Standard FAC-008-5 reflects the retirement of Requirement R7 of the currently effective standard.  NERC notes that this proposal was recommended following the first phase of work under the NERC Standards Efficiency Review and that in its Order No. 873 remanding a previously proposed version of the FAC-008 Reliability Standard, the Commission agreed that the retirement of Requirement R7 from the standard would not result in a reliability gap.</w:t>
      </w:r>
    </w:p>
    <w:p w:rsidRPr="00ED421C" w:rsidR="00ED421C" w:rsidP="00ED421C" w:rsidRDefault="00ED421C" w14:paraId="22687D5C" w14:textId="07C36471">
      <w:pPr>
        <w:spacing w:line="480" w:lineRule="auto"/>
        <w:rPr>
          <w:szCs w:val="20"/>
        </w:rPr>
      </w:pPr>
      <w:r w:rsidRPr="00ED421C">
        <w:rPr>
          <w:szCs w:val="20"/>
        </w:rPr>
        <w:t>In June 2019, following the conclusion of the standard development process, NERC submitted a series of standard retirement proposals to the Commission.  Among the proposals, NERC submitted for Commission approval proposed Reliability Standard FAC-008-4, in which NERC proposed to retire Requirements R7 and R8 of currently effective Reliability Standard FAC-008-3.  In September 2020, the Commission issued Order No. 873 regarding NERC’s retirement proposals.  In this order, the Commission remanded proposed Reliability Standard FAC-008-4 to NERC for further consideration, citing concerns with the proposed retirement of Requirement R8 of the currently effective standard.  The standard drafting team determined to develop a new version of the Reliability Standard, proposed Reliability Standard FAC-008-5, in which only Requirement R7 of the currently effective standard would be proposed for retirement.  Reliability Standard FAC-008-</w:t>
      </w:r>
      <w:r w:rsidR="00C056C8">
        <w:rPr>
          <w:szCs w:val="20"/>
        </w:rPr>
        <w:t>5</w:t>
      </w:r>
      <w:r w:rsidRPr="00ED421C">
        <w:rPr>
          <w:szCs w:val="20"/>
        </w:rPr>
        <w:t xml:space="preserve"> Requirement R7 requires Generator Owners and Transmission Owners to provide certain information to requesting Reliability Coordinator(s), Planning Coordinator(s), Transmission Planner(s), Transmission Owner(s), and Transmission Operator(s) regarding their Facilities, as follows: </w:t>
      </w:r>
    </w:p>
    <w:p w:rsidRPr="00ED421C" w:rsidR="00ED421C" w:rsidP="00ED421C" w:rsidRDefault="00ED421C" w14:paraId="5171CD38" w14:textId="6AE228DB">
      <w:pPr>
        <w:spacing w:line="480" w:lineRule="auto"/>
        <w:rPr>
          <w:i/>
          <w:iCs/>
          <w:szCs w:val="20"/>
        </w:rPr>
      </w:pPr>
      <w:r w:rsidRPr="00ED421C">
        <w:rPr>
          <w:b/>
          <w:bCs/>
          <w:i/>
          <w:iCs/>
          <w:szCs w:val="20"/>
        </w:rPr>
        <w:lastRenderedPageBreak/>
        <w:t>R7.</w:t>
      </w:r>
      <w:r w:rsidRPr="00ED421C">
        <w:rPr>
          <w:i/>
          <w:iCs/>
          <w:szCs w:val="20"/>
        </w:rPr>
        <w:t xml:space="preserve"> Each Generator Owner shall provide Facility Ratings (for its solely and jointly owned Facilities that are existing Facilities, new Facilities, modifications to existing Facilities and re-ratings of existing Facilities) to its associated Reliability Coordinator(s), Planning Coordinator(s), Transmission Planner(s), Transmission Owner(s) and Transmission Operator(s) as scheduled by such requesting entities. </w:t>
      </w:r>
    </w:p>
    <w:p w:rsidR="00ED421C" w:rsidP="00ED421C" w:rsidRDefault="00ED421C" w14:paraId="15DACE6A" w14:textId="7E4A582B">
      <w:pPr>
        <w:spacing w:line="480" w:lineRule="auto"/>
        <w:rPr>
          <w:szCs w:val="20"/>
        </w:rPr>
      </w:pPr>
      <w:r w:rsidRPr="00ED421C">
        <w:rPr>
          <w:szCs w:val="20"/>
        </w:rPr>
        <w:t>In the years since Reliability Standard FAC-008-</w:t>
      </w:r>
      <w:r w:rsidR="00C056C8">
        <w:rPr>
          <w:szCs w:val="20"/>
        </w:rPr>
        <w:t>5</w:t>
      </w:r>
      <w:r w:rsidRPr="00ED421C">
        <w:rPr>
          <w:szCs w:val="20"/>
        </w:rPr>
        <w:t xml:space="preserve"> was developed, NERC has developed other Reliability Standards that render the data provision obligations of Requirement R7 redundant., Requirement R1 of Reliability Standard TOP-003-3 – Operational Reliability Data requires the Transmission Operator to maintain a documented data specification (Requirement R1) and for the Transmission Owner and Generator Owner to provide the requested data (Requirement R5).</w:t>
      </w:r>
    </w:p>
    <w:p w:rsidR="00292A4C" w:rsidP="00904EDC" w:rsidRDefault="00292A4C" w14:paraId="182982FF" w14:textId="301A9170">
      <w:pPr>
        <w:spacing w:line="480" w:lineRule="auto"/>
        <w:rPr>
          <w:i/>
        </w:rPr>
      </w:pPr>
      <w:r>
        <w:rPr>
          <w:i/>
        </w:rPr>
        <w:t>Estimate of Annual Burden</w:t>
      </w:r>
      <w:r>
        <w:rPr>
          <w:b/>
          <w:i/>
          <w:szCs w:val="26"/>
          <w:vertAlign w:val="superscript"/>
        </w:rPr>
        <w:footnoteReference w:id="6"/>
      </w:r>
      <w:r>
        <w:rPr>
          <w:i/>
        </w:rPr>
        <w:t xml:space="preserve">: </w:t>
      </w:r>
      <w:r>
        <w:t>The Commission estimates the burden and cost</w:t>
      </w:r>
      <w:r>
        <w:rPr>
          <w:rStyle w:val="FootnoteReference"/>
        </w:rPr>
        <w:footnoteReference w:id="7"/>
      </w:r>
      <w:r>
        <w:t xml:space="preserve"> for this information collection as follows.</w:t>
      </w:r>
      <w:r>
        <w:rPr>
          <w:i/>
        </w:rPr>
        <w:t xml:space="preserve"> </w:t>
      </w:r>
    </w:p>
    <w:tbl>
      <w:tblPr>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01"/>
        <w:gridCol w:w="1370"/>
        <w:gridCol w:w="1261"/>
        <w:gridCol w:w="1261"/>
        <w:gridCol w:w="1351"/>
        <w:gridCol w:w="2161"/>
      </w:tblGrid>
      <w:tr w:rsidRPr="0094424D" w:rsidR="0094424D" w:rsidTr="00923906" w14:paraId="33C1791B" w14:textId="77777777">
        <w:trPr>
          <w:cantSplit/>
          <w:trHeight w:val="299"/>
          <w:jc w:val="center"/>
        </w:trPr>
        <w:tc>
          <w:tcPr>
            <w:tcW w:w="9005"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tbl>
            <w:tblPr>
              <w:tblW w:w="9089" w:type="dxa"/>
              <w:jc w:val="center"/>
              <w:tblLayout w:type="fixed"/>
              <w:tblCellMar>
                <w:left w:w="0" w:type="dxa"/>
                <w:right w:w="0" w:type="dxa"/>
              </w:tblCellMar>
              <w:tblLook w:val="04A0" w:firstRow="1" w:lastRow="0" w:firstColumn="1" w:lastColumn="0" w:noHBand="0" w:noVBand="1"/>
            </w:tblPr>
            <w:tblGrid>
              <w:gridCol w:w="1686"/>
              <w:gridCol w:w="1370"/>
              <w:gridCol w:w="1261"/>
              <w:gridCol w:w="1261"/>
              <w:gridCol w:w="1351"/>
              <w:gridCol w:w="2160"/>
            </w:tblGrid>
            <w:tr w:rsidRPr="0094424D" w:rsidR="0094424D" w:rsidTr="00923906" w14:paraId="0537CA6A" w14:textId="77777777">
              <w:trPr>
                <w:cantSplit/>
                <w:trHeight w:val="800"/>
                <w:jc w:val="center"/>
              </w:trPr>
              <w:tc>
                <w:tcPr>
                  <w:tcW w:w="9089" w:type="dxa"/>
                  <w:gridSpan w:val="6"/>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94424D" w:rsidR="0094424D" w:rsidP="00923906" w:rsidRDefault="0094424D" w14:paraId="53D2ECF8" w14:textId="60C547B3">
                  <w:pPr>
                    <w:jc w:val="center"/>
                    <w:rPr>
                      <w:b/>
                      <w:bCs/>
                      <w:iCs/>
                    </w:rPr>
                  </w:pPr>
                  <w:r w:rsidRPr="0094424D">
                    <w:rPr>
                      <w:b/>
                      <w:bCs/>
                      <w:iCs/>
                    </w:rPr>
                    <w:t>Proposed Changes to Burden Due to Docket No. RD2</w:t>
                  </w:r>
                  <w:r w:rsidR="003F1419">
                    <w:rPr>
                      <w:b/>
                      <w:bCs/>
                      <w:iCs/>
                    </w:rPr>
                    <w:t>1</w:t>
                  </w:r>
                  <w:r w:rsidRPr="0094424D">
                    <w:rPr>
                      <w:b/>
                      <w:bCs/>
                      <w:iCs/>
                    </w:rPr>
                    <w:t>-4-000</w:t>
                  </w:r>
                </w:p>
                <w:p w:rsidRPr="0094424D" w:rsidR="0094424D" w:rsidP="00923906" w:rsidRDefault="0094424D" w14:paraId="5DD9BD16" w14:textId="16C17D08">
                  <w:pPr>
                    <w:jc w:val="center"/>
                    <w:rPr>
                      <w:b/>
                      <w:bCs/>
                      <w:iCs/>
                    </w:rPr>
                  </w:pPr>
                  <w:r w:rsidRPr="0094424D">
                    <w:rPr>
                      <w:b/>
                      <w:bCs/>
                      <w:iCs/>
                    </w:rPr>
                    <w:t>Adjustments and Clarifications</w:t>
                  </w:r>
                </w:p>
              </w:tc>
            </w:tr>
            <w:tr w:rsidRPr="0094424D" w:rsidR="0094424D" w:rsidTr="00923906" w14:paraId="70330E32" w14:textId="77777777">
              <w:trPr>
                <w:cantSplit/>
                <w:trHeight w:val="744"/>
                <w:jc w:val="center"/>
              </w:trPr>
              <w:tc>
                <w:tcPr>
                  <w:tcW w:w="1686" w:type="dxa"/>
                  <w:tcBorders>
                    <w:top w:val="nil"/>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4424D" w:rsidR="0094424D" w:rsidP="00923906" w:rsidRDefault="0094424D" w14:paraId="485CFAAE" w14:textId="77777777">
                  <w:pPr>
                    <w:rPr>
                      <w:b/>
                      <w:bCs/>
                      <w:iCs/>
                    </w:rPr>
                  </w:pPr>
                  <w:r w:rsidRPr="0094424D">
                    <w:rPr>
                      <w:b/>
                      <w:bCs/>
                      <w:iCs/>
                    </w:rPr>
                    <w:t xml:space="preserve">Reliability Standard &amp; Requirements </w:t>
                  </w:r>
                </w:p>
              </w:tc>
              <w:tc>
                <w:tcPr>
                  <w:tcW w:w="1370"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4424D" w:rsidR="0094424D" w:rsidP="00923906" w:rsidRDefault="0094424D" w14:paraId="3209CB90" w14:textId="77777777">
                  <w:pPr>
                    <w:rPr>
                      <w:b/>
                      <w:bCs/>
                      <w:iCs/>
                    </w:rPr>
                  </w:pPr>
                  <w:r w:rsidRPr="0094424D">
                    <w:rPr>
                      <w:b/>
                      <w:bCs/>
                      <w:iCs/>
                    </w:rPr>
                    <w:t>No. of Respondents &amp; Type of Entity</w:t>
                  </w:r>
                </w:p>
                <w:p w:rsidRPr="0094424D" w:rsidR="0094424D" w:rsidP="00923906" w:rsidRDefault="0094424D" w14:paraId="3CD331CC" w14:textId="77777777">
                  <w:pPr>
                    <w:rPr>
                      <w:b/>
                      <w:bCs/>
                      <w:iCs/>
                    </w:rPr>
                  </w:pPr>
                  <w:r w:rsidRPr="0094424D">
                    <w:rPr>
                      <w:b/>
                      <w:bCs/>
                      <w:iCs/>
                    </w:rPr>
                    <w:t>(1)</w:t>
                  </w:r>
                </w:p>
              </w:tc>
              <w:tc>
                <w:tcPr>
                  <w:tcW w:w="1261"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4424D" w:rsidR="0094424D" w:rsidP="00923906" w:rsidRDefault="0094424D" w14:paraId="0D2A3AD3" w14:textId="77777777">
                  <w:pPr>
                    <w:rPr>
                      <w:b/>
                      <w:bCs/>
                      <w:iCs/>
                    </w:rPr>
                  </w:pPr>
                  <w:r w:rsidRPr="0094424D">
                    <w:rPr>
                      <w:b/>
                      <w:bCs/>
                      <w:iCs/>
                    </w:rPr>
                    <w:t>Annual No. of Responses per Respondent</w:t>
                  </w:r>
                </w:p>
                <w:p w:rsidRPr="0094424D" w:rsidR="0094424D" w:rsidP="00923906" w:rsidRDefault="0094424D" w14:paraId="281F70B8" w14:textId="77777777">
                  <w:pPr>
                    <w:rPr>
                      <w:b/>
                      <w:bCs/>
                      <w:iCs/>
                    </w:rPr>
                  </w:pPr>
                  <w:r w:rsidRPr="0094424D">
                    <w:rPr>
                      <w:b/>
                      <w:bCs/>
                      <w:iCs/>
                    </w:rPr>
                    <w:t>(2)</w:t>
                  </w:r>
                </w:p>
              </w:tc>
              <w:tc>
                <w:tcPr>
                  <w:tcW w:w="1261"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4424D" w:rsidR="0094424D" w:rsidP="00923906" w:rsidRDefault="0094424D" w14:paraId="593401EF" w14:textId="77777777">
                  <w:pPr>
                    <w:rPr>
                      <w:b/>
                      <w:bCs/>
                      <w:iCs/>
                    </w:rPr>
                  </w:pPr>
                  <w:r w:rsidRPr="0094424D">
                    <w:rPr>
                      <w:b/>
                      <w:bCs/>
                      <w:iCs/>
                    </w:rPr>
                    <w:t>Annual No. of Responses</w:t>
                  </w:r>
                </w:p>
                <w:p w:rsidRPr="0094424D" w:rsidR="0094424D" w:rsidP="00923906" w:rsidRDefault="0094424D" w14:paraId="3B3B056A" w14:textId="77777777">
                  <w:pPr>
                    <w:rPr>
                      <w:b/>
                      <w:bCs/>
                      <w:iCs/>
                    </w:rPr>
                  </w:pPr>
                  <w:r w:rsidRPr="0094424D">
                    <w:rPr>
                      <w:b/>
                      <w:bCs/>
                      <w:iCs/>
                    </w:rPr>
                    <w:t>(1)*(2)=(3)</w:t>
                  </w:r>
                </w:p>
              </w:tc>
              <w:tc>
                <w:tcPr>
                  <w:tcW w:w="1351"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4424D" w:rsidR="0094424D" w:rsidP="00923906" w:rsidRDefault="0094424D" w14:paraId="624B9A4F" w14:textId="77777777">
                  <w:pPr>
                    <w:rPr>
                      <w:b/>
                      <w:bCs/>
                      <w:iCs/>
                    </w:rPr>
                  </w:pPr>
                  <w:r w:rsidRPr="0094424D">
                    <w:rPr>
                      <w:b/>
                      <w:bCs/>
                      <w:iCs/>
                    </w:rPr>
                    <w:t>Average Burden Hrs.</w:t>
                  </w:r>
                  <w:r w:rsidRPr="0094424D">
                    <w:rPr>
                      <w:b/>
                      <w:bCs/>
                      <w:iCs/>
                      <w:vertAlign w:val="superscript"/>
                    </w:rPr>
                    <w:t xml:space="preserve"> </w:t>
                  </w:r>
                  <w:r w:rsidRPr="0094424D">
                    <w:rPr>
                      <w:b/>
                      <w:bCs/>
                      <w:iCs/>
                    </w:rPr>
                    <w:t xml:space="preserve">Per Response </w:t>
                  </w:r>
                </w:p>
                <w:p w:rsidRPr="0094424D" w:rsidR="0094424D" w:rsidP="00923906" w:rsidRDefault="0094424D" w14:paraId="096BAAA2" w14:textId="77777777">
                  <w:pPr>
                    <w:rPr>
                      <w:b/>
                      <w:bCs/>
                      <w:iCs/>
                    </w:rPr>
                  </w:pPr>
                  <w:r w:rsidRPr="0094424D">
                    <w:rPr>
                      <w:b/>
                      <w:bCs/>
                      <w:iCs/>
                    </w:rPr>
                    <w:t>(4)</w:t>
                  </w:r>
                </w:p>
              </w:tc>
              <w:tc>
                <w:tcPr>
                  <w:tcW w:w="2160"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4424D" w:rsidR="0094424D" w:rsidP="00923906" w:rsidRDefault="0094424D" w14:paraId="027DCBD7" w14:textId="77777777">
                  <w:pPr>
                    <w:rPr>
                      <w:b/>
                      <w:bCs/>
                      <w:iCs/>
                    </w:rPr>
                  </w:pPr>
                  <w:r w:rsidRPr="0094424D">
                    <w:rPr>
                      <w:b/>
                      <w:bCs/>
                      <w:iCs/>
                    </w:rPr>
                    <w:t xml:space="preserve">Total Annual Burden Hours </w:t>
                  </w:r>
                </w:p>
                <w:p w:rsidRPr="0094424D" w:rsidR="0094424D" w:rsidP="00923906" w:rsidRDefault="0094424D" w14:paraId="2F01B96B" w14:textId="77777777">
                  <w:pPr>
                    <w:rPr>
                      <w:b/>
                      <w:bCs/>
                      <w:iCs/>
                    </w:rPr>
                  </w:pPr>
                  <w:r w:rsidRPr="0094424D">
                    <w:rPr>
                      <w:b/>
                      <w:bCs/>
                      <w:iCs/>
                    </w:rPr>
                    <w:t>(3)*(4)=(5)</w:t>
                  </w:r>
                </w:p>
              </w:tc>
            </w:tr>
          </w:tbl>
          <w:p w:rsidRPr="0094424D" w:rsidR="0094424D" w:rsidP="0094424D" w:rsidRDefault="0094424D" w14:paraId="71B47A37" w14:textId="77777777">
            <w:pPr>
              <w:spacing w:line="480" w:lineRule="auto"/>
              <w:rPr>
                <w:b/>
                <w:bCs/>
                <w:iCs/>
              </w:rPr>
            </w:pPr>
          </w:p>
        </w:tc>
      </w:tr>
      <w:tr w:rsidRPr="0094424D" w:rsidR="0094424D" w:rsidTr="00923906" w14:paraId="319DEE53" w14:textId="77777777">
        <w:trPr>
          <w:cantSplit/>
          <w:trHeight w:val="299"/>
          <w:jc w:val="center"/>
        </w:trPr>
        <w:tc>
          <w:tcPr>
            <w:tcW w:w="9005"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94424D" w:rsidR="0094424D" w:rsidP="0094424D" w:rsidRDefault="0094424D" w14:paraId="204FD4A8" w14:textId="6BFB2A56">
            <w:pPr>
              <w:spacing w:line="480" w:lineRule="auto"/>
              <w:rPr>
                <w:iCs/>
              </w:rPr>
            </w:pPr>
            <w:r w:rsidRPr="0094424D">
              <w:rPr>
                <w:b/>
                <w:bCs/>
                <w:iCs/>
              </w:rPr>
              <w:lastRenderedPageBreak/>
              <w:t>RD2</w:t>
            </w:r>
            <w:r>
              <w:rPr>
                <w:b/>
                <w:bCs/>
                <w:iCs/>
              </w:rPr>
              <w:t>1</w:t>
            </w:r>
            <w:r w:rsidRPr="0094424D">
              <w:rPr>
                <w:b/>
                <w:bCs/>
                <w:iCs/>
              </w:rPr>
              <w:t>-4 Net Changes to FERC-725</w:t>
            </w:r>
            <w:r>
              <w:rPr>
                <w:b/>
                <w:bCs/>
                <w:iCs/>
              </w:rPr>
              <w:t>A</w:t>
            </w:r>
            <w:r w:rsidRPr="0094424D">
              <w:rPr>
                <w:b/>
                <w:bCs/>
                <w:iCs/>
              </w:rPr>
              <w:t>, OMB Control No. 1902-02</w:t>
            </w:r>
            <w:r>
              <w:rPr>
                <w:b/>
                <w:bCs/>
                <w:iCs/>
              </w:rPr>
              <w:t>44</w:t>
            </w:r>
          </w:p>
        </w:tc>
      </w:tr>
      <w:tr w:rsidRPr="0094424D" w:rsidR="0094424D" w:rsidTr="00923906" w14:paraId="01E0C1B4" w14:textId="77777777">
        <w:trPr>
          <w:cantSplit/>
          <w:trHeight w:val="1016"/>
          <w:jc w:val="center"/>
        </w:trPr>
        <w:tc>
          <w:tcPr>
            <w:tcW w:w="1601" w:type="dxa"/>
            <w:tcBorders>
              <w:top w:val="single" w:color="auto" w:sz="4" w:space="0"/>
              <w:left w:val="single" w:color="auto" w:sz="4" w:space="0"/>
              <w:bottom w:val="single" w:color="auto" w:sz="4" w:space="0"/>
              <w:right w:val="single" w:color="auto" w:sz="4" w:space="0"/>
            </w:tcBorders>
            <w:vAlign w:val="bottom"/>
            <w:hideMark/>
          </w:tcPr>
          <w:p w:rsidRPr="0094424D" w:rsidR="0094424D" w:rsidP="00923906" w:rsidRDefault="00E83D74" w14:paraId="5187209F" w14:textId="11510C92">
            <w:pPr>
              <w:rPr>
                <w:bCs/>
                <w:iCs/>
              </w:rPr>
            </w:pPr>
            <w:r>
              <w:rPr>
                <w:bCs/>
                <w:iCs/>
              </w:rPr>
              <w:t>FAC-008-05</w:t>
            </w:r>
            <w:r w:rsidRPr="0094424D" w:rsidR="0094424D">
              <w:rPr>
                <w:bCs/>
                <w:iCs/>
              </w:rPr>
              <w:t xml:space="preserve"> (</w:t>
            </w:r>
            <w:r w:rsidR="00ED421C">
              <w:rPr>
                <w:bCs/>
                <w:iCs/>
              </w:rPr>
              <w:t>Facility Ratings</w:t>
            </w:r>
            <w:r w:rsidRPr="0094424D" w:rsidR="0094424D">
              <w:rPr>
                <w:bCs/>
                <w:iCs/>
              </w:rPr>
              <w:t>)</w:t>
            </w:r>
            <w:r w:rsidR="00B87561">
              <w:rPr>
                <w:rStyle w:val="FootnoteReference"/>
                <w:bCs/>
                <w:iCs/>
              </w:rPr>
              <w:footnoteReference w:id="8"/>
            </w:r>
          </w:p>
        </w:tc>
        <w:tc>
          <w:tcPr>
            <w:tcW w:w="1370" w:type="dxa"/>
            <w:tcBorders>
              <w:top w:val="single" w:color="auto" w:sz="4" w:space="0"/>
              <w:left w:val="single" w:color="auto" w:sz="4" w:space="0"/>
              <w:bottom w:val="single" w:color="auto" w:sz="4" w:space="0"/>
              <w:right w:val="single" w:color="auto" w:sz="4" w:space="0"/>
            </w:tcBorders>
            <w:vAlign w:val="bottom"/>
            <w:hideMark/>
          </w:tcPr>
          <w:p w:rsidR="0094424D" w:rsidP="00923906" w:rsidRDefault="003455E3" w14:paraId="32A8E140" w14:textId="77777777">
            <w:pPr>
              <w:jc w:val="right"/>
              <w:rPr>
                <w:iCs/>
              </w:rPr>
            </w:pPr>
            <w:r>
              <w:rPr>
                <w:iCs/>
              </w:rPr>
              <w:t>1,003</w:t>
            </w:r>
          </w:p>
          <w:p w:rsidRPr="0094424D" w:rsidR="003455E3" w:rsidP="00923906" w:rsidRDefault="00FF30D5" w14:paraId="47FB4CB4" w14:textId="1A1BF48A">
            <w:pPr>
              <w:jc w:val="right"/>
              <w:rPr>
                <w:iCs/>
              </w:rPr>
            </w:pPr>
            <w:r>
              <w:rPr>
                <w:iCs/>
              </w:rPr>
              <w:t>(</w:t>
            </w:r>
            <w:r w:rsidR="00B87561">
              <w:rPr>
                <w:iCs/>
              </w:rPr>
              <w:t>No Change</w:t>
            </w:r>
            <w:r>
              <w:rPr>
                <w:iCs/>
              </w:rPr>
              <w:t>)</w:t>
            </w:r>
          </w:p>
        </w:tc>
        <w:tc>
          <w:tcPr>
            <w:tcW w:w="1261" w:type="dxa"/>
            <w:tcBorders>
              <w:top w:val="single" w:color="auto" w:sz="4" w:space="0"/>
              <w:left w:val="single" w:color="auto" w:sz="4" w:space="0"/>
              <w:bottom w:val="single" w:color="auto" w:sz="4" w:space="0"/>
              <w:right w:val="single" w:color="auto" w:sz="4" w:space="0"/>
            </w:tcBorders>
            <w:vAlign w:val="bottom"/>
            <w:hideMark/>
          </w:tcPr>
          <w:p w:rsidR="0094424D" w:rsidP="00923906" w:rsidRDefault="003455E3" w14:paraId="1754A0D4" w14:textId="77777777">
            <w:pPr>
              <w:jc w:val="right"/>
              <w:rPr>
                <w:iCs/>
              </w:rPr>
            </w:pPr>
            <w:r>
              <w:rPr>
                <w:iCs/>
              </w:rPr>
              <w:t>1</w:t>
            </w:r>
          </w:p>
          <w:p w:rsidRPr="0094424D" w:rsidR="003455E3" w:rsidP="00923906" w:rsidRDefault="003455E3" w14:paraId="0EBA602C" w14:textId="13D6179D">
            <w:pPr>
              <w:jc w:val="right"/>
              <w:rPr>
                <w:iCs/>
              </w:rPr>
            </w:pPr>
          </w:p>
        </w:tc>
        <w:tc>
          <w:tcPr>
            <w:tcW w:w="1261" w:type="dxa"/>
            <w:tcBorders>
              <w:top w:val="single" w:color="auto" w:sz="4" w:space="0"/>
              <w:left w:val="single" w:color="auto" w:sz="4" w:space="0"/>
              <w:bottom w:val="single" w:color="auto" w:sz="4" w:space="0"/>
              <w:right w:val="single" w:color="auto" w:sz="4" w:space="0"/>
            </w:tcBorders>
            <w:vAlign w:val="bottom"/>
            <w:hideMark/>
          </w:tcPr>
          <w:p w:rsidR="0094424D" w:rsidP="00923906" w:rsidRDefault="003455E3" w14:paraId="671DB3F1" w14:textId="77777777">
            <w:pPr>
              <w:jc w:val="right"/>
              <w:rPr>
                <w:iCs/>
              </w:rPr>
            </w:pPr>
            <w:r>
              <w:rPr>
                <w:iCs/>
              </w:rPr>
              <w:t>1,003</w:t>
            </w:r>
          </w:p>
          <w:p w:rsidRPr="0094424D" w:rsidR="003455E3" w:rsidP="00923906" w:rsidRDefault="00FF30D5" w14:paraId="1F08361A" w14:textId="5782907A">
            <w:pPr>
              <w:jc w:val="right"/>
              <w:rPr>
                <w:iCs/>
              </w:rPr>
            </w:pPr>
            <w:r>
              <w:rPr>
                <w:iCs/>
              </w:rPr>
              <w:t>(</w:t>
            </w:r>
            <w:r w:rsidR="00B87561">
              <w:rPr>
                <w:iCs/>
              </w:rPr>
              <w:t>No Change</w:t>
            </w:r>
            <w:r>
              <w:rPr>
                <w:iCs/>
              </w:rPr>
              <w:t>)</w:t>
            </w:r>
          </w:p>
        </w:tc>
        <w:tc>
          <w:tcPr>
            <w:tcW w:w="1351" w:type="dxa"/>
            <w:tcBorders>
              <w:top w:val="single" w:color="auto" w:sz="4" w:space="0"/>
              <w:left w:val="single" w:color="auto" w:sz="4" w:space="0"/>
              <w:bottom w:val="single" w:color="auto" w:sz="4" w:space="0"/>
              <w:right w:val="single" w:color="auto" w:sz="4" w:space="0"/>
            </w:tcBorders>
            <w:vAlign w:val="bottom"/>
            <w:hideMark/>
          </w:tcPr>
          <w:p w:rsidR="0094424D" w:rsidP="00923906" w:rsidRDefault="003455E3" w14:paraId="2C8467A7" w14:textId="77777777">
            <w:pPr>
              <w:jc w:val="right"/>
              <w:rPr>
                <w:iCs/>
              </w:rPr>
            </w:pPr>
            <w:r>
              <w:rPr>
                <w:iCs/>
              </w:rPr>
              <w:t>-</w:t>
            </w:r>
            <w:r w:rsidR="00DA21E0">
              <w:rPr>
                <w:iCs/>
              </w:rPr>
              <w:t>10 hrs.</w:t>
            </w:r>
          </w:p>
          <w:p w:rsidRPr="0094424D" w:rsidR="003455E3" w:rsidP="00923906" w:rsidRDefault="00FF30D5" w14:paraId="19104D2D" w14:textId="21EA7669">
            <w:pPr>
              <w:jc w:val="right"/>
              <w:rPr>
                <w:iCs/>
              </w:rPr>
            </w:pPr>
            <w:r>
              <w:rPr>
                <w:iCs/>
              </w:rPr>
              <w:t>(</w:t>
            </w:r>
            <w:r w:rsidR="003455E3">
              <w:rPr>
                <w:iCs/>
              </w:rPr>
              <w:t>Reduction</w:t>
            </w:r>
            <w:r>
              <w:rPr>
                <w:iCs/>
              </w:rPr>
              <w:t>)</w:t>
            </w:r>
          </w:p>
        </w:tc>
        <w:tc>
          <w:tcPr>
            <w:tcW w:w="2161" w:type="dxa"/>
            <w:tcBorders>
              <w:top w:val="single" w:color="auto" w:sz="4" w:space="0"/>
              <w:left w:val="single" w:color="auto" w:sz="4" w:space="0"/>
              <w:bottom w:val="single" w:color="auto" w:sz="4" w:space="0"/>
              <w:right w:val="single" w:color="auto" w:sz="4" w:space="0"/>
            </w:tcBorders>
            <w:vAlign w:val="bottom"/>
            <w:hideMark/>
          </w:tcPr>
          <w:p w:rsidR="0094424D" w:rsidP="00923906" w:rsidRDefault="003455E3" w14:paraId="692D2B81" w14:textId="77777777">
            <w:pPr>
              <w:jc w:val="right"/>
              <w:rPr>
                <w:iCs/>
              </w:rPr>
            </w:pPr>
            <w:r>
              <w:rPr>
                <w:iCs/>
              </w:rPr>
              <w:t>-</w:t>
            </w:r>
            <w:r w:rsidR="00DA21E0">
              <w:rPr>
                <w:iCs/>
              </w:rPr>
              <w:t>10,030 hrs.</w:t>
            </w:r>
          </w:p>
          <w:p w:rsidRPr="0094424D" w:rsidR="003455E3" w:rsidP="00923906" w:rsidRDefault="00FF30D5" w14:paraId="216D8700" w14:textId="70F9A080">
            <w:pPr>
              <w:jc w:val="right"/>
              <w:rPr>
                <w:iCs/>
              </w:rPr>
            </w:pPr>
            <w:r>
              <w:rPr>
                <w:iCs/>
              </w:rPr>
              <w:t>(</w:t>
            </w:r>
            <w:r w:rsidR="003455E3">
              <w:rPr>
                <w:iCs/>
              </w:rPr>
              <w:t>Reduction</w:t>
            </w:r>
            <w:r>
              <w:rPr>
                <w:iCs/>
              </w:rPr>
              <w:t>)</w:t>
            </w:r>
          </w:p>
        </w:tc>
      </w:tr>
    </w:tbl>
    <w:p w:rsidR="0094424D" w:rsidP="00292A4C" w:rsidRDefault="0094424D" w14:paraId="01B352BC" w14:textId="1C002A21">
      <w:pPr>
        <w:spacing w:line="480" w:lineRule="auto"/>
        <w:rPr>
          <w:iCs/>
        </w:rPr>
      </w:pPr>
    </w:p>
    <w:p w:rsidR="0094424D" w:rsidP="00292A4C" w:rsidRDefault="00ED421C" w14:paraId="7358ACBF" w14:textId="038EEDCC">
      <w:pPr>
        <w:spacing w:line="480" w:lineRule="auto"/>
        <w:rPr>
          <w:i/>
        </w:rPr>
      </w:pPr>
      <w:r>
        <w:rPr>
          <w:b/>
          <w:bCs/>
          <w:iCs/>
          <w:u w:val="single"/>
        </w:rPr>
        <w:t>IC21-19-000 Renewal of 725A</w:t>
      </w:r>
    </w:p>
    <w:p w:rsidRPr="00ED421C" w:rsidR="0094424D" w:rsidP="00292A4C" w:rsidRDefault="00ED421C" w14:paraId="7F35A71A" w14:textId="5260D43E">
      <w:pPr>
        <w:spacing w:line="480" w:lineRule="auto"/>
        <w:rPr>
          <w:iCs/>
        </w:rPr>
      </w:pPr>
      <w:r>
        <w:rPr>
          <w:iCs/>
        </w:rPr>
        <w:t>The following table represents the current burden associated with all Mandatory Reliability Standards that fall under FERC-725A</w:t>
      </w:r>
    </w:p>
    <w:tbl>
      <w:tblPr>
        <w:tblStyle w:val="TableGrid"/>
        <w:tblW w:w="0" w:type="auto"/>
        <w:tblInd w:w="0" w:type="dxa"/>
        <w:tblLook w:val="04A0" w:firstRow="1" w:lastRow="0" w:firstColumn="1" w:lastColumn="0" w:noHBand="0" w:noVBand="1"/>
      </w:tblPr>
      <w:tblGrid>
        <w:gridCol w:w="1675"/>
        <w:gridCol w:w="1200"/>
        <w:gridCol w:w="1530"/>
        <w:gridCol w:w="1440"/>
        <w:gridCol w:w="1752"/>
        <w:gridCol w:w="1753"/>
      </w:tblGrid>
      <w:tr w:rsidR="001B37D4" w:rsidTr="00923906" w14:paraId="518C89A8" w14:textId="77777777">
        <w:tc>
          <w:tcPr>
            <w:tcW w:w="167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94424D" w:rsidP="00923906" w:rsidRDefault="0094424D" w14:paraId="3BC8FAA5" w14:textId="77777777">
            <w:pPr>
              <w:rPr>
                <w:b/>
              </w:rPr>
            </w:pPr>
            <w:r>
              <w:rPr>
                <w:b/>
              </w:rPr>
              <w:t>Reliability Standard &amp; Requirement</w:t>
            </w:r>
          </w:p>
        </w:tc>
        <w:tc>
          <w:tcPr>
            <w:tcW w:w="120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94424D" w:rsidP="00923906" w:rsidRDefault="0094424D" w14:paraId="284454B3" w14:textId="4C15BFC0">
            <w:pPr>
              <w:rPr>
                <w:b/>
              </w:rPr>
            </w:pPr>
            <w:r>
              <w:rPr>
                <w:b/>
              </w:rPr>
              <w:t>Number of Entity</w:t>
            </w:r>
            <w:r w:rsidR="003D68A3">
              <w:rPr>
                <w:b/>
                <w:szCs w:val="26"/>
                <w:vertAlign w:val="superscript"/>
              </w:rPr>
              <w:footnoteReference w:id="9"/>
            </w:r>
          </w:p>
          <w:p w:rsidR="0094424D" w:rsidP="00923906" w:rsidRDefault="0094424D" w14:paraId="60722FD1" w14:textId="77777777">
            <w:pPr>
              <w:rPr>
                <w:b/>
              </w:rPr>
            </w:pPr>
            <w:r>
              <w:t>(1)</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94424D" w:rsidP="00923906" w:rsidRDefault="0094424D" w14:paraId="17A14822" w14:textId="77777777">
            <w:pPr>
              <w:rPr>
                <w:b/>
              </w:rPr>
            </w:pPr>
            <w:r>
              <w:rPr>
                <w:b/>
              </w:rPr>
              <w:t>Number of Annual Responses Per Entity</w:t>
            </w:r>
          </w:p>
          <w:p w:rsidR="0094424D" w:rsidP="00923906" w:rsidRDefault="0094424D" w14:paraId="215906B6" w14:textId="77777777">
            <w:pPr>
              <w:rPr>
                <w:b/>
              </w:rPr>
            </w:pPr>
            <w:r>
              <w:rPr>
                <w:b/>
              </w:rPr>
              <w:t>(</w:t>
            </w:r>
            <w:r>
              <w:t>2)</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94424D" w:rsidP="00923906" w:rsidRDefault="0094424D" w14:paraId="6F633D18" w14:textId="77777777">
            <w:pPr>
              <w:rPr>
                <w:b/>
              </w:rPr>
            </w:pPr>
            <w:r>
              <w:rPr>
                <w:b/>
              </w:rPr>
              <w:t>Total Number of Responses</w:t>
            </w:r>
          </w:p>
          <w:p w:rsidR="0094424D" w:rsidP="00923906" w:rsidRDefault="0094424D" w14:paraId="4D2BBEC6" w14:textId="77777777">
            <w:pPr>
              <w:rPr>
                <w:b/>
              </w:rPr>
            </w:pPr>
            <w:r>
              <w:rPr>
                <w:b/>
              </w:rPr>
              <w:t>(1) *(2) = (3)</w:t>
            </w:r>
          </w:p>
        </w:tc>
        <w:tc>
          <w:tcPr>
            <w:tcW w:w="175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94424D" w:rsidP="00923906" w:rsidRDefault="0094424D" w14:paraId="224291EA" w14:textId="77777777">
            <w:pPr>
              <w:rPr>
                <w:b/>
              </w:rPr>
            </w:pPr>
            <w:r>
              <w:rPr>
                <w:b/>
              </w:rPr>
              <w:t>Average Number of Burden Hours per Response</w:t>
            </w:r>
          </w:p>
          <w:p w:rsidR="0094424D" w:rsidP="00923906" w:rsidRDefault="0094424D" w14:paraId="6EE48BA2" w14:textId="77777777">
            <w:pPr>
              <w:rPr>
                <w:b/>
              </w:rPr>
            </w:pPr>
            <w:r>
              <w:rPr>
                <w:b/>
              </w:rPr>
              <w:t>(4)</w:t>
            </w:r>
          </w:p>
        </w:tc>
        <w:tc>
          <w:tcPr>
            <w:tcW w:w="175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0094424D" w:rsidP="00923906" w:rsidRDefault="0094424D" w14:paraId="50CDA695" w14:textId="77777777">
            <w:pPr>
              <w:rPr>
                <w:b/>
              </w:rPr>
            </w:pPr>
            <w:r>
              <w:rPr>
                <w:b/>
              </w:rPr>
              <w:t>Total Burden Hours</w:t>
            </w:r>
          </w:p>
          <w:p w:rsidR="0094424D" w:rsidP="00923906" w:rsidRDefault="0094424D" w14:paraId="7C7C8F25" w14:textId="77777777">
            <w:pPr>
              <w:rPr>
                <w:b/>
              </w:rPr>
            </w:pPr>
            <w:r>
              <w:rPr>
                <w:b/>
              </w:rPr>
              <w:t>(3) *(4) = (5)</w:t>
            </w:r>
          </w:p>
        </w:tc>
      </w:tr>
      <w:tr w:rsidR="0094424D" w:rsidTr="0094424D" w14:paraId="1F335B19" w14:textId="77777777">
        <w:tc>
          <w:tcPr>
            <w:tcW w:w="9350"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94424D" w:rsidRDefault="0094424D" w14:paraId="1789DEC1" w14:textId="77777777">
            <w:pPr>
              <w:jc w:val="center"/>
              <w:rPr>
                <w:b/>
              </w:rPr>
            </w:pPr>
            <w:r>
              <w:rPr>
                <w:b/>
              </w:rPr>
              <w:t>FERC-725A</w:t>
            </w:r>
          </w:p>
        </w:tc>
      </w:tr>
      <w:tr w:rsidR="001B37D4" w:rsidTr="00923906" w14:paraId="5CB158B9" w14:textId="77777777">
        <w:tc>
          <w:tcPr>
            <w:tcW w:w="1675" w:type="dxa"/>
            <w:tcBorders>
              <w:top w:val="single" w:color="auto" w:sz="4" w:space="0"/>
              <w:left w:val="single" w:color="auto" w:sz="4" w:space="0"/>
              <w:bottom w:val="single" w:color="auto" w:sz="4" w:space="0"/>
              <w:right w:val="single" w:color="auto" w:sz="4" w:space="0"/>
            </w:tcBorders>
            <w:hideMark/>
          </w:tcPr>
          <w:p w:rsidR="001B37D4" w:rsidP="001B37D4" w:rsidRDefault="001B37D4" w14:paraId="103A7E6A" w14:textId="072415F9">
            <w:r>
              <w:t>Mandatory Reliability Standards for Bulk Power System</w:t>
            </w:r>
          </w:p>
        </w:tc>
        <w:tc>
          <w:tcPr>
            <w:tcW w:w="1200" w:type="dxa"/>
            <w:tcBorders>
              <w:top w:val="single" w:color="auto" w:sz="4" w:space="0"/>
              <w:left w:val="single" w:color="auto" w:sz="4" w:space="0"/>
              <w:bottom w:val="single" w:color="auto" w:sz="4" w:space="0"/>
              <w:right w:val="single" w:color="auto" w:sz="4" w:space="0"/>
            </w:tcBorders>
            <w:vAlign w:val="bottom"/>
            <w:hideMark/>
          </w:tcPr>
          <w:p w:rsidR="001B37D4" w:rsidP="00923906" w:rsidRDefault="001B37D4" w14:paraId="2F10620E" w14:textId="5937B924">
            <w:pPr>
              <w:jc w:val="right"/>
            </w:pPr>
            <w:r>
              <w:t xml:space="preserve"> (</w:t>
            </w:r>
            <w:r w:rsidR="000F6D0E">
              <w:t>3,420</w:t>
            </w:r>
            <w:r>
              <w:t>)</w:t>
            </w:r>
          </w:p>
        </w:tc>
        <w:tc>
          <w:tcPr>
            <w:tcW w:w="1530" w:type="dxa"/>
            <w:tcBorders>
              <w:top w:val="single" w:color="auto" w:sz="4" w:space="0"/>
              <w:left w:val="single" w:color="auto" w:sz="4" w:space="0"/>
              <w:bottom w:val="single" w:color="auto" w:sz="4" w:space="0"/>
              <w:right w:val="single" w:color="auto" w:sz="4" w:space="0"/>
            </w:tcBorders>
            <w:vAlign w:val="bottom"/>
            <w:hideMark/>
          </w:tcPr>
          <w:p w:rsidR="001B37D4" w:rsidP="00FF30D5" w:rsidRDefault="001B37D4" w14:paraId="228E79BF" w14:textId="2704416F">
            <w:pPr>
              <w:tabs>
                <w:tab w:val="center" w:pos="620"/>
                <w:tab w:val="right" w:pos="1241"/>
              </w:tabs>
              <w:jc w:val="right"/>
            </w:pPr>
            <w:r>
              <w:t>1</w:t>
            </w:r>
          </w:p>
        </w:tc>
        <w:tc>
          <w:tcPr>
            <w:tcW w:w="1440" w:type="dxa"/>
            <w:tcBorders>
              <w:top w:val="single" w:color="auto" w:sz="4" w:space="0"/>
              <w:left w:val="single" w:color="auto" w:sz="4" w:space="0"/>
              <w:bottom w:val="single" w:color="auto" w:sz="4" w:space="0"/>
              <w:right w:val="single" w:color="auto" w:sz="4" w:space="0"/>
            </w:tcBorders>
            <w:vAlign w:val="bottom"/>
            <w:hideMark/>
          </w:tcPr>
          <w:p w:rsidR="001B37D4" w:rsidRDefault="00FB70FA" w14:paraId="4EE152E0" w14:textId="49C67005">
            <w:pPr>
              <w:jc w:val="right"/>
            </w:pPr>
            <w:r>
              <w:t>3,420</w:t>
            </w:r>
          </w:p>
        </w:tc>
        <w:tc>
          <w:tcPr>
            <w:tcW w:w="1752" w:type="dxa"/>
            <w:tcBorders>
              <w:top w:val="single" w:color="auto" w:sz="4" w:space="0"/>
              <w:left w:val="single" w:color="auto" w:sz="4" w:space="0"/>
              <w:bottom w:val="single" w:color="auto" w:sz="4" w:space="0"/>
              <w:right w:val="single" w:color="auto" w:sz="4" w:space="0"/>
            </w:tcBorders>
            <w:vAlign w:val="bottom"/>
          </w:tcPr>
          <w:p w:rsidR="001B37D4" w:rsidRDefault="00FB70FA" w14:paraId="353547F2" w14:textId="70FC45FC">
            <w:pPr>
              <w:jc w:val="right"/>
            </w:pPr>
            <w:r>
              <w:t xml:space="preserve"> 428.86</w:t>
            </w:r>
            <w:r w:rsidR="00FF30D5">
              <w:t xml:space="preserve"> hrs.</w:t>
            </w:r>
          </w:p>
        </w:tc>
        <w:tc>
          <w:tcPr>
            <w:tcW w:w="1753" w:type="dxa"/>
            <w:tcBorders>
              <w:top w:val="single" w:color="auto" w:sz="4" w:space="0"/>
              <w:left w:val="single" w:color="auto" w:sz="4" w:space="0"/>
              <w:bottom w:val="single" w:color="auto" w:sz="4" w:space="0"/>
              <w:right w:val="single" w:color="auto" w:sz="4" w:space="0"/>
            </w:tcBorders>
            <w:vAlign w:val="bottom"/>
            <w:hideMark/>
          </w:tcPr>
          <w:p w:rsidR="001B37D4" w:rsidRDefault="000B2E9D" w14:paraId="5815F052" w14:textId="58FF63E1">
            <w:pPr>
              <w:jc w:val="right"/>
            </w:pPr>
            <w:r>
              <w:t>1,466,716 hrs</w:t>
            </w:r>
            <w:r w:rsidR="009E39CB">
              <w:t>.</w:t>
            </w:r>
          </w:p>
        </w:tc>
      </w:tr>
      <w:tr w:rsidR="009E39CB" w:rsidTr="00923906" w14:paraId="36F4A763" w14:textId="77777777">
        <w:tc>
          <w:tcPr>
            <w:tcW w:w="1675" w:type="dxa"/>
            <w:tcBorders>
              <w:top w:val="single" w:color="auto" w:sz="4" w:space="0"/>
              <w:left w:val="single" w:color="auto" w:sz="4" w:space="0"/>
              <w:bottom w:val="single" w:color="auto" w:sz="4" w:space="0"/>
              <w:right w:val="single" w:color="auto" w:sz="4" w:space="0"/>
            </w:tcBorders>
          </w:tcPr>
          <w:p w:rsidR="009E39CB" w:rsidP="001B37D4" w:rsidRDefault="009E39CB" w14:paraId="1AA5905E" w14:textId="0E2BC9C4">
            <w:r>
              <w:rPr>
                <w:b/>
              </w:rPr>
              <w:t>RD21-4 Net Changes</w:t>
            </w:r>
          </w:p>
        </w:tc>
        <w:tc>
          <w:tcPr>
            <w:tcW w:w="1200" w:type="dxa"/>
            <w:tcBorders>
              <w:top w:val="single" w:color="auto" w:sz="4" w:space="0"/>
              <w:left w:val="single" w:color="auto" w:sz="4" w:space="0"/>
              <w:bottom w:val="single" w:color="auto" w:sz="4" w:space="0"/>
              <w:right w:val="single" w:color="auto" w:sz="4" w:space="0"/>
            </w:tcBorders>
            <w:vAlign w:val="bottom"/>
          </w:tcPr>
          <w:p w:rsidR="009E39CB" w:rsidP="00923906" w:rsidRDefault="009E39CB" w14:paraId="40E80ED6" w14:textId="77777777">
            <w:pPr>
              <w:jc w:val="right"/>
            </w:pPr>
            <w:r>
              <w:t>1,003</w:t>
            </w:r>
          </w:p>
          <w:p w:rsidR="009E39CB" w:rsidP="00923906" w:rsidRDefault="00FF30D5" w14:paraId="5CA033D9" w14:textId="3B469156">
            <w:pPr>
              <w:jc w:val="right"/>
            </w:pPr>
            <w:r>
              <w:t>(</w:t>
            </w:r>
            <w:r w:rsidR="009E39CB">
              <w:t>No change</w:t>
            </w:r>
            <w:r>
              <w:t>)</w:t>
            </w:r>
          </w:p>
        </w:tc>
        <w:tc>
          <w:tcPr>
            <w:tcW w:w="1530" w:type="dxa"/>
            <w:tcBorders>
              <w:top w:val="single" w:color="auto" w:sz="4" w:space="0"/>
              <w:left w:val="single" w:color="auto" w:sz="4" w:space="0"/>
              <w:bottom w:val="single" w:color="auto" w:sz="4" w:space="0"/>
              <w:right w:val="single" w:color="auto" w:sz="4" w:space="0"/>
            </w:tcBorders>
            <w:vAlign w:val="bottom"/>
          </w:tcPr>
          <w:p w:rsidR="009E39CB" w:rsidP="00FF30D5" w:rsidRDefault="009E39CB" w14:paraId="08F1F389" w14:textId="61E7CB64">
            <w:pPr>
              <w:jc w:val="right"/>
            </w:pPr>
            <w:r>
              <w:t>1</w:t>
            </w:r>
          </w:p>
        </w:tc>
        <w:tc>
          <w:tcPr>
            <w:tcW w:w="1440" w:type="dxa"/>
            <w:tcBorders>
              <w:top w:val="single" w:color="auto" w:sz="4" w:space="0"/>
              <w:left w:val="single" w:color="auto" w:sz="4" w:space="0"/>
              <w:bottom w:val="single" w:color="auto" w:sz="4" w:space="0"/>
              <w:right w:val="single" w:color="auto" w:sz="4" w:space="0"/>
            </w:tcBorders>
            <w:vAlign w:val="bottom"/>
          </w:tcPr>
          <w:p w:rsidR="009E39CB" w:rsidRDefault="009E39CB" w14:paraId="1472AA13" w14:textId="77777777">
            <w:pPr>
              <w:jc w:val="right"/>
            </w:pPr>
            <w:r>
              <w:t>1,003</w:t>
            </w:r>
          </w:p>
          <w:p w:rsidR="009E39CB" w:rsidRDefault="00FF30D5" w14:paraId="4518913B" w14:textId="303B4E45">
            <w:pPr>
              <w:jc w:val="right"/>
            </w:pPr>
            <w:r>
              <w:t>(</w:t>
            </w:r>
            <w:r w:rsidR="009E39CB">
              <w:t>No Change</w:t>
            </w:r>
            <w:r>
              <w:t>)</w:t>
            </w:r>
          </w:p>
        </w:tc>
        <w:tc>
          <w:tcPr>
            <w:tcW w:w="1752" w:type="dxa"/>
            <w:tcBorders>
              <w:top w:val="single" w:color="auto" w:sz="4" w:space="0"/>
              <w:left w:val="single" w:color="auto" w:sz="4" w:space="0"/>
              <w:bottom w:val="single" w:color="auto" w:sz="4" w:space="0"/>
              <w:right w:val="single" w:color="auto" w:sz="4" w:space="0"/>
            </w:tcBorders>
            <w:vAlign w:val="bottom"/>
          </w:tcPr>
          <w:p w:rsidR="009E39CB" w:rsidRDefault="009E39CB" w14:paraId="5A8862B1" w14:textId="5B294315">
            <w:pPr>
              <w:jc w:val="right"/>
            </w:pPr>
            <w:r>
              <w:t>-10 hrs.</w:t>
            </w:r>
          </w:p>
        </w:tc>
        <w:tc>
          <w:tcPr>
            <w:tcW w:w="1753" w:type="dxa"/>
            <w:tcBorders>
              <w:top w:val="single" w:color="auto" w:sz="4" w:space="0"/>
              <w:left w:val="single" w:color="auto" w:sz="4" w:space="0"/>
              <w:bottom w:val="single" w:color="auto" w:sz="4" w:space="0"/>
              <w:right w:val="single" w:color="auto" w:sz="4" w:space="0"/>
            </w:tcBorders>
            <w:vAlign w:val="bottom"/>
          </w:tcPr>
          <w:p w:rsidR="009E39CB" w:rsidRDefault="009E39CB" w14:paraId="4F902603" w14:textId="0AB84B31">
            <w:pPr>
              <w:jc w:val="right"/>
            </w:pPr>
            <w:r>
              <w:t>-10,030 hrs.</w:t>
            </w:r>
          </w:p>
          <w:p w:rsidR="009E39CB" w:rsidRDefault="00FF30D5" w14:paraId="3D3F0D79" w14:textId="3ABA5CC9">
            <w:pPr>
              <w:jc w:val="right"/>
            </w:pPr>
            <w:r>
              <w:t>(</w:t>
            </w:r>
            <w:r w:rsidR="009E39CB">
              <w:t>Reduction</w:t>
            </w:r>
            <w:r>
              <w:t>)</w:t>
            </w:r>
          </w:p>
        </w:tc>
      </w:tr>
      <w:tr w:rsidR="009E39CB" w:rsidTr="00556F8C" w14:paraId="75DAECC6" w14:textId="77777777">
        <w:tc>
          <w:tcPr>
            <w:tcW w:w="1675" w:type="dxa"/>
            <w:tcBorders>
              <w:top w:val="single" w:color="auto" w:sz="4" w:space="0"/>
              <w:left w:val="single" w:color="auto" w:sz="4" w:space="0"/>
              <w:bottom w:val="single" w:color="auto" w:sz="4" w:space="0"/>
              <w:right w:val="single" w:color="auto" w:sz="4" w:space="0"/>
            </w:tcBorders>
          </w:tcPr>
          <w:p w:rsidR="009E39CB" w:rsidP="001B37D4" w:rsidRDefault="009E39CB" w14:paraId="62C63EEE" w14:textId="26A88CB6">
            <w:r>
              <w:rPr>
                <w:b/>
              </w:rPr>
              <w:t>Total for FERC-725A</w:t>
            </w:r>
          </w:p>
        </w:tc>
        <w:tc>
          <w:tcPr>
            <w:tcW w:w="1200"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009E39CB" w:rsidP="00923906" w:rsidRDefault="009E39CB" w14:paraId="6A69129D" w14:textId="5A4ED719">
            <w:pPr>
              <w:jc w:val="right"/>
            </w:pPr>
          </w:p>
        </w:tc>
        <w:tc>
          <w:tcPr>
            <w:tcW w:w="1530"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009E39CB" w:rsidP="00FF30D5" w:rsidRDefault="009E39CB" w14:paraId="5BFC0F4A" w14:textId="1D9EB75F">
            <w:pPr>
              <w:jc w:val="right"/>
            </w:pPr>
          </w:p>
        </w:tc>
        <w:tc>
          <w:tcPr>
            <w:tcW w:w="1440"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009E39CB" w:rsidRDefault="009E39CB" w14:paraId="6FE36631" w14:textId="6CED7074">
            <w:pPr>
              <w:jc w:val="right"/>
            </w:pPr>
          </w:p>
        </w:tc>
        <w:tc>
          <w:tcPr>
            <w:tcW w:w="1752"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009E39CB" w:rsidRDefault="009E39CB" w14:paraId="01D45D9E" w14:textId="6C001424">
            <w:pPr>
              <w:jc w:val="right"/>
            </w:pPr>
          </w:p>
        </w:tc>
        <w:tc>
          <w:tcPr>
            <w:tcW w:w="1753" w:type="dxa"/>
            <w:tcBorders>
              <w:top w:val="single" w:color="auto" w:sz="4" w:space="0"/>
              <w:left w:val="single" w:color="auto" w:sz="4" w:space="0"/>
              <w:bottom w:val="single" w:color="auto" w:sz="4" w:space="0"/>
              <w:right w:val="single" w:color="auto" w:sz="4" w:space="0"/>
            </w:tcBorders>
            <w:vAlign w:val="bottom"/>
          </w:tcPr>
          <w:p w:rsidR="009E39CB" w:rsidRDefault="009E39CB" w14:paraId="4B181498" w14:textId="7EA120EF">
            <w:pPr>
              <w:jc w:val="right"/>
            </w:pPr>
            <w:r>
              <w:t>1,456,686 hrs.</w:t>
            </w:r>
          </w:p>
        </w:tc>
      </w:tr>
    </w:tbl>
    <w:p w:rsidR="00292A4C" w:rsidP="00AE1F12" w:rsidRDefault="00292A4C" w14:paraId="74BFDCED" w14:textId="3526AA87">
      <w:pPr>
        <w:spacing w:line="480" w:lineRule="auto"/>
        <w:rPr>
          <w:iCs/>
        </w:rPr>
      </w:pPr>
    </w:p>
    <w:p w:rsidR="00ED472B" w:rsidP="00AE1F12" w:rsidRDefault="00ED472B" w14:paraId="2768D04A" w14:textId="30486EF3">
      <w:pPr>
        <w:spacing w:line="480" w:lineRule="auto"/>
        <w:rPr>
          <w:iCs/>
        </w:rPr>
      </w:pPr>
      <w:r>
        <w:rPr>
          <w:iCs/>
        </w:rPr>
        <w:t>Note: FAC-008-05 is a</w:t>
      </w:r>
      <w:r w:rsidR="009E39CB">
        <w:rPr>
          <w:iCs/>
        </w:rPr>
        <w:t xml:space="preserve"> </w:t>
      </w:r>
      <w:r>
        <w:rPr>
          <w:iCs/>
        </w:rPr>
        <w:t xml:space="preserve">part of the Bulk Power System </w:t>
      </w:r>
      <w:r w:rsidR="001B37D4">
        <w:rPr>
          <w:iCs/>
        </w:rPr>
        <w:t>b</w:t>
      </w:r>
      <w:r>
        <w:rPr>
          <w:iCs/>
        </w:rPr>
        <w:t xml:space="preserve">urden </w:t>
      </w:r>
      <w:r w:rsidR="001B37D4">
        <w:rPr>
          <w:iCs/>
        </w:rPr>
        <w:t>totals</w:t>
      </w:r>
      <w:r>
        <w:rPr>
          <w:iCs/>
        </w:rPr>
        <w:t xml:space="preserve">. The net changes for the responses and hours will </w:t>
      </w:r>
      <w:r w:rsidR="006D7F9D">
        <w:rPr>
          <w:iCs/>
        </w:rPr>
        <w:t xml:space="preserve">affect the totals for the row stated “Mandatory Reliability Standards for Bulk Power System” </w:t>
      </w:r>
      <w:r w:rsidR="001B37D4">
        <w:rPr>
          <w:iCs/>
        </w:rPr>
        <w:t xml:space="preserve"> </w:t>
      </w:r>
      <w:r>
        <w:rPr>
          <w:iCs/>
        </w:rPr>
        <w:t xml:space="preserve">   </w:t>
      </w:r>
    </w:p>
    <w:p w:rsidR="00EA0A58" w:rsidP="00EA0A58" w:rsidRDefault="00EA0A58" w14:paraId="256D3AD7" w14:textId="1228A031">
      <w:pPr>
        <w:spacing w:line="480" w:lineRule="auto"/>
        <w:rPr>
          <w:iCs/>
        </w:rPr>
      </w:pPr>
      <w:r>
        <w:rPr>
          <w:iCs/>
        </w:rPr>
        <w:t>Expanded Table Showing the Mandatory Reliability Standards for Bulk Power System is provided below The hyperlinks highlighted in blue provide additional information on the individual standards (Requirements, Measurements, and most recent order):</w:t>
      </w:r>
    </w:p>
    <w:tbl>
      <w:tblPr>
        <w:tblStyle w:val="TableGrid"/>
        <w:tblW w:w="0" w:type="auto"/>
        <w:tblInd w:w="-5" w:type="dxa"/>
        <w:tblLook w:val="04A0" w:firstRow="1" w:lastRow="0" w:firstColumn="1" w:lastColumn="0" w:noHBand="0" w:noVBand="1"/>
      </w:tblPr>
      <w:tblGrid>
        <w:gridCol w:w="1680"/>
        <w:gridCol w:w="5520"/>
        <w:gridCol w:w="2070"/>
      </w:tblGrid>
      <w:tr w:rsidRPr="004E1632" w:rsidR="00EA0A58" w:rsidTr="000F0ECA" w14:paraId="56DC4DDF" w14:textId="77777777">
        <w:trPr>
          <w:trHeight w:val="315"/>
        </w:trPr>
        <w:tc>
          <w:tcPr>
            <w:tcW w:w="1680" w:type="dxa"/>
            <w:shd w:val="clear" w:color="auto" w:fill="A6A6A6" w:themeFill="background1" w:themeFillShade="A6"/>
            <w:noWrap/>
            <w:hideMark/>
          </w:tcPr>
          <w:p w:rsidRPr="004E1632" w:rsidR="00EA0A58" w:rsidP="000F0ECA" w:rsidRDefault="00EA0A58" w14:paraId="6A771794" w14:textId="77777777">
            <w:pPr>
              <w:spacing w:line="480" w:lineRule="auto"/>
              <w:rPr>
                <w:b/>
                <w:bCs/>
                <w:iCs/>
                <w:sz w:val="28"/>
                <w:szCs w:val="28"/>
              </w:rPr>
            </w:pPr>
            <w:r w:rsidRPr="004E1632">
              <w:rPr>
                <w:b/>
                <w:bCs/>
                <w:iCs/>
                <w:sz w:val="28"/>
                <w:szCs w:val="28"/>
              </w:rPr>
              <w:t>Standard</w:t>
            </w:r>
          </w:p>
        </w:tc>
        <w:tc>
          <w:tcPr>
            <w:tcW w:w="5520" w:type="dxa"/>
            <w:shd w:val="clear" w:color="auto" w:fill="A6A6A6" w:themeFill="background1" w:themeFillShade="A6"/>
            <w:noWrap/>
            <w:hideMark/>
          </w:tcPr>
          <w:p w:rsidRPr="004E1632" w:rsidR="00EA0A58" w:rsidP="000F0ECA" w:rsidRDefault="00EA0A58" w14:paraId="75D081EC" w14:textId="77777777">
            <w:pPr>
              <w:spacing w:line="480" w:lineRule="auto"/>
              <w:rPr>
                <w:b/>
                <w:bCs/>
                <w:iCs/>
                <w:sz w:val="28"/>
                <w:szCs w:val="28"/>
              </w:rPr>
            </w:pPr>
            <w:r w:rsidRPr="004E1632">
              <w:rPr>
                <w:b/>
                <w:bCs/>
                <w:iCs/>
                <w:sz w:val="28"/>
                <w:szCs w:val="28"/>
              </w:rPr>
              <w:t>Name</w:t>
            </w:r>
          </w:p>
        </w:tc>
        <w:tc>
          <w:tcPr>
            <w:tcW w:w="2070" w:type="dxa"/>
            <w:shd w:val="clear" w:color="auto" w:fill="A6A6A6" w:themeFill="background1" w:themeFillShade="A6"/>
            <w:noWrap/>
            <w:hideMark/>
          </w:tcPr>
          <w:p w:rsidRPr="004E1632" w:rsidR="00EA0A58" w:rsidP="000F0ECA" w:rsidRDefault="00EA0A58" w14:paraId="5B152FEC" w14:textId="77777777">
            <w:pPr>
              <w:spacing w:line="480" w:lineRule="auto"/>
              <w:rPr>
                <w:b/>
                <w:bCs/>
                <w:iCs/>
                <w:sz w:val="28"/>
                <w:szCs w:val="28"/>
              </w:rPr>
            </w:pPr>
            <w:r w:rsidRPr="004E1632">
              <w:rPr>
                <w:b/>
                <w:bCs/>
                <w:iCs/>
                <w:sz w:val="28"/>
                <w:szCs w:val="28"/>
              </w:rPr>
              <w:t>In-service</w:t>
            </w:r>
          </w:p>
        </w:tc>
      </w:tr>
      <w:tr w:rsidRPr="004E1632" w:rsidR="00EA0A58" w:rsidTr="000F0ECA" w14:paraId="33B359F2" w14:textId="77777777">
        <w:trPr>
          <w:trHeight w:val="70"/>
        </w:trPr>
        <w:tc>
          <w:tcPr>
            <w:tcW w:w="1680" w:type="dxa"/>
            <w:hideMark/>
          </w:tcPr>
          <w:p w:rsidRPr="004E1632" w:rsidR="00EA0A58" w:rsidP="000F0ECA" w:rsidRDefault="00EA0A58" w14:paraId="5CA43562" w14:textId="68EF8285">
            <w:pPr>
              <w:spacing w:line="480" w:lineRule="auto"/>
              <w:rPr>
                <w:b/>
                <w:bCs/>
                <w:iCs/>
                <w:sz w:val="24"/>
              </w:rPr>
            </w:pPr>
            <w:r w:rsidRPr="004E1632">
              <w:rPr>
                <w:b/>
                <w:bCs/>
                <w:iCs/>
                <w:sz w:val="24"/>
              </w:rPr>
              <w:t>FAC-008-</w:t>
            </w:r>
            <w:r w:rsidR="005C4EB6">
              <w:rPr>
                <w:b/>
                <w:bCs/>
                <w:iCs/>
                <w:sz w:val="24"/>
              </w:rPr>
              <w:t>5</w:t>
            </w:r>
          </w:p>
        </w:tc>
        <w:tc>
          <w:tcPr>
            <w:tcW w:w="5520" w:type="dxa"/>
            <w:hideMark/>
          </w:tcPr>
          <w:p w:rsidRPr="004E1632" w:rsidR="00EA0A58" w:rsidP="000F0ECA" w:rsidRDefault="00EA0A58" w14:paraId="22A0D47C" w14:textId="0715A50F">
            <w:pPr>
              <w:spacing w:line="480" w:lineRule="auto"/>
              <w:rPr>
                <w:b/>
                <w:bCs/>
                <w:iCs/>
                <w:sz w:val="24"/>
                <w:u w:val="single"/>
              </w:rPr>
            </w:pPr>
            <w:r w:rsidRPr="00A14072">
              <w:rPr>
                <w:b/>
                <w:bCs/>
                <w:iCs/>
                <w:sz w:val="24"/>
              </w:rPr>
              <w:t>Facility Ratings</w:t>
            </w:r>
          </w:p>
        </w:tc>
        <w:tc>
          <w:tcPr>
            <w:tcW w:w="2070" w:type="dxa"/>
            <w:hideMark/>
          </w:tcPr>
          <w:p w:rsidRPr="004E1632" w:rsidR="00EA0A58" w:rsidP="000F0ECA" w:rsidRDefault="00EA0A58" w14:paraId="0F045165" w14:textId="4F8773AE">
            <w:pPr>
              <w:spacing w:line="480" w:lineRule="auto"/>
              <w:rPr>
                <w:b/>
                <w:bCs/>
                <w:iCs/>
                <w:sz w:val="24"/>
                <w:u w:val="single"/>
              </w:rPr>
            </w:pPr>
            <w:r w:rsidRPr="00A14072">
              <w:rPr>
                <w:b/>
                <w:bCs/>
                <w:iCs/>
                <w:sz w:val="24"/>
                <w:u w:val="single"/>
              </w:rPr>
              <w:t>1/1/2013</w:t>
            </w:r>
          </w:p>
        </w:tc>
      </w:tr>
      <w:tr w:rsidRPr="004E1632" w:rsidR="00EA0A58" w:rsidTr="00EA0A58" w14:paraId="579448FB" w14:textId="77777777">
        <w:trPr>
          <w:trHeight w:val="305"/>
        </w:trPr>
        <w:tc>
          <w:tcPr>
            <w:tcW w:w="1680" w:type="dxa"/>
            <w:hideMark/>
          </w:tcPr>
          <w:p w:rsidRPr="004E1632" w:rsidR="00EA0A58" w:rsidP="000F0ECA" w:rsidRDefault="00EA0A58" w14:paraId="028E72FB" w14:textId="77777777">
            <w:pPr>
              <w:spacing w:line="480" w:lineRule="auto"/>
              <w:rPr>
                <w:b/>
                <w:bCs/>
                <w:iCs/>
                <w:sz w:val="24"/>
              </w:rPr>
            </w:pPr>
            <w:r w:rsidRPr="004E1632">
              <w:rPr>
                <w:b/>
                <w:bCs/>
                <w:iCs/>
                <w:sz w:val="24"/>
              </w:rPr>
              <w:t>INT-006-5</w:t>
            </w:r>
          </w:p>
        </w:tc>
        <w:tc>
          <w:tcPr>
            <w:tcW w:w="5520" w:type="dxa"/>
            <w:hideMark/>
          </w:tcPr>
          <w:p w:rsidRPr="004E1632" w:rsidR="00EA0A58" w:rsidP="000F0ECA" w:rsidRDefault="00EA0A58" w14:paraId="2DDDC766" w14:textId="7E7B9E90">
            <w:pPr>
              <w:spacing w:line="480" w:lineRule="auto"/>
              <w:rPr>
                <w:b/>
                <w:bCs/>
                <w:iCs/>
                <w:sz w:val="24"/>
                <w:u w:val="single"/>
              </w:rPr>
            </w:pPr>
            <w:r w:rsidRPr="00A14072">
              <w:rPr>
                <w:b/>
                <w:bCs/>
                <w:iCs/>
                <w:sz w:val="24"/>
              </w:rPr>
              <w:t>Evaluation of Interchange Transactions</w:t>
            </w:r>
          </w:p>
        </w:tc>
        <w:tc>
          <w:tcPr>
            <w:tcW w:w="2070" w:type="dxa"/>
            <w:hideMark/>
          </w:tcPr>
          <w:p w:rsidRPr="004E1632" w:rsidR="00EA0A58" w:rsidP="000F0ECA" w:rsidRDefault="00EA0A58" w14:paraId="30376116" w14:textId="77777777">
            <w:pPr>
              <w:spacing w:line="480" w:lineRule="auto"/>
              <w:rPr>
                <w:b/>
                <w:bCs/>
                <w:iCs/>
                <w:sz w:val="24"/>
              </w:rPr>
            </w:pPr>
            <w:r w:rsidRPr="004E1632">
              <w:rPr>
                <w:b/>
                <w:bCs/>
                <w:iCs/>
                <w:sz w:val="24"/>
              </w:rPr>
              <w:t>4/1/2021</w:t>
            </w:r>
          </w:p>
        </w:tc>
      </w:tr>
      <w:tr w:rsidRPr="004E1632" w:rsidR="00EA0A58" w:rsidTr="000F0ECA" w14:paraId="229A735E" w14:textId="77777777">
        <w:trPr>
          <w:trHeight w:val="615"/>
        </w:trPr>
        <w:tc>
          <w:tcPr>
            <w:tcW w:w="1680" w:type="dxa"/>
            <w:hideMark/>
          </w:tcPr>
          <w:p w:rsidRPr="004E1632" w:rsidR="00EA0A58" w:rsidP="000F0ECA" w:rsidRDefault="00EA0A58" w14:paraId="6EC0A3AA" w14:textId="77777777">
            <w:pPr>
              <w:spacing w:line="480" w:lineRule="auto"/>
              <w:rPr>
                <w:b/>
                <w:bCs/>
                <w:iCs/>
                <w:sz w:val="24"/>
              </w:rPr>
            </w:pPr>
            <w:r w:rsidRPr="004E1632">
              <w:rPr>
                <w:b/>
                <w:bCs/>
                <w:iCs/>
                <w:sz w:val="24"/>
              </w:rPr>
              <w:t>INT-009-3</w:t>
            </w:r>
          </w:p>
        </w:tc>
        <w:tc>
          <w:tcPr>
            <w:tcW w:w="5520" w:type="dxa"/>
            <w:hideMark/>
          </w:tcPr>
          <w:p w:rsidRPr="004E1632" w:rsidR="00EA0A58" w:rsidP="000F0ECA" w:rsidRDefault="00EA0A58" w14:paraId="6F53B2D5" w14:textId="0C5AB758">
            <w:pPr>
              <w:spacing w:line="480" w:lineRule="auto"/>
              <w:rPr>
                <w:b/>
                <w:bCs/>
                <w:iCs/>
                <w:sz w:val="24"/>
                <w:u w:val="single"/>
              </w:rPr>
            </w:pPr>
            <w:r w:rsidRPr="00A14072">
              <w:rPr>
                <w:b/>
                <w:bCs/>
                <w:iCs/>
                <w:sz w:val="24"/>
              </w:rPr>
              <w:t>Implementation of Interchange</w:t>
            </w:r>
          </w:p>
        </w:tc>
        <w:tc>
          <w:tcPr>
            <w:tcW w:w="2070" w:type="dxa"/>
            <w:hideMark/>
          </w:tcPr>
          <w:p w:rsidRPr="004E1632" w:rsidR="00EA0A58" w:rsidP="000F0ECA" w:rsidRDefault="00EA0A58" w14:paraId="79007BCD" w14:textId="77777777">
            <w:pPr>
              <w:spacing w:line="480" w:lineRule="auto"/>
              <w:rPr>
                <w:b/>
                <w:bCs/>
                <w:iCs/>
                <w:sz w:val="24"/>
              </w:rPr>
            </w:pPr>
            <w:r w:rsidRPr="004E1632">
              <w:rPr>
                <w:b/>
                <w:bCs/>
                <w:iCs/>
                <w:sz w:val="24"/>
              </w:rPr>
              <w:t>4/1/2021</w:t>
            </w:r>
          </w:p>
        </w:tc>
      </w:tr>
      <w:tr w:rsidRPr="004E1632" w:rsidR="00EA0A58" w:rsidTr="000F0ECA" w14:paraId="11891BC8" w14:textId="77777777">
        <w:trPr>
          <w:trHeight w:val="615"/>
        </w:trPr>
        <w:tc>
          <w:tcPr>
            <w:tcW w:w="1680" w:type="dxa"/>
            <w:hideMark/>
          </w:tcPr>
          <w:p w:rsidRPr="004E1632" w:rsidR="00EA0A58" w:rsidP="000F0ECA" w:rsidRDefault="00EA0A58" w14:paraId="1A48956C" w14:textId="77777777">
            <w:pPr>
              <w:spacing w:line="480" w:lineRule="auto"/>
              <w:rPr>
                <w:b/>
                <w:bCs/>
                <w:iCs/>
                <w:sz w:val="24"/>
              </w:rPr>
            </w:pPr>
            <w:r w:rsidRPr="004E1632">
              <w:rPr>
                <w:b/>
                <w:bCs/>
                <w:iCs/>
                <w:sz w:val="24"/>
              </w:rPr>
              <w:t>PER-003-2</w:t>
            </w:r>
          </w:p>
        </w:tc>
        <w:tc>
          <w:tcPr>
            <w:tcW w:w="5520" w:type="dxa"/>
            <w:hideMark/>
          </w:tcPr>
          <w:p w:rsidRPr="004E1632" w:rsidR="00EA0A58" w:rsidP="000F0ECA" w:rsidRDefault="00EA0A58" w14:paraId="6D991384" w14:textId="7F9D77D1">
            <w:pPr>
              <w:spacing w:line="480" w:lineRule="auto"/>
              <w:rPr>
                <w:b/>
                <w:bCs/>
                <w:iCs/>
                <w:sz w:val="24"/>
                <w:u w:val="single"/>
              </w:rPr>
            </w:pPr>
            <w:r w:rsidRPr="00A14072">
              <w:rPr>
                <w:b/>
                <w:bCs/>
                <w:iCs/>
                <w:sz w:val="24"/>
              </w:rPr>
              <w:t>Operating Personnel Credentials</w:t>
            </w:r>
          </w:p>
        </w:tc>
        <w:tc>
          <w:tcPr>
            <w:tcW w:w="2070" w:type="dxa"/>
            <w:hideMark/>
          </w:tcPr>
          <w:p w:rsidRPr="004E1632" w:rsidR="00EA0A58" w:rsidP="000F0ECA" w:rsidRDefault="00EA0A58" w14:paraId="248EB381" w14:textId="4A482326">
            <w:pPr>
              <w:spacing w:line="480" w:lineRule="auto"/>
              <w:rPr>
                <w:b/>
                <w:bCs/>
                <w:iCs/>
                <w:sz w:val="24"/>
                <w:u w:val="single"/>
              </w:rPr>
            </w:pPr>
            <w:r w:rsidRPr="00A14072">
              <w:rPr>
                <w:b/>
                <w:bCs/>
                <w:iCs/>
                <w:sz w:val="24"/>
              </w:rPr>
              <w:t>7/1/2019</w:t>
            </w:r>
          </w:p>
        </w:tc>
      </w:tr>
      <w:tr w:rsidRPr="004E1632" w:rsidR="00EA0A58" w:rsidTr="00EA0A58" w14:paraId="21117D21" w14:textId="77777777">
        <w:trPr>
          <w:trHeight w:val="1322"/>
        </w:trPr>
        <w:tc>
          <w:tcPr>
            <w:tcW w:w="1680" w:type="dxa"/>
            <w:hideMark/>
          </w:tcPr>
          <w:p w:rsidRPr="004E1632" w:rsidR="00EA0A58" w:rsidP="000F0ECA" w:rsidRDefault="00EA0A58" w14:paraId="53FB78CF" w14:textId="77777777">
            <w:pPr>
              <w:spacing w:line="480" w:lineRule="auto"/>
              <w:rPr>
                <w:b/>
                <w:bCs/>
                <w:iCs/>
                <w:sz w:val="24"/>
              </w:rPr>
            </w:pPr>
            <w:r w:rsidRPr="004E1632">
              <w:rPr>
                <w:b/>
                <w:bCs/>
                <w:iCs/>
                <w:sz w:val="24"/>
              </w:rPr>
              <w:t>PRC-008-0</w:t>
            </w:r>
          </w:p>
        </w:tc>
        <w:tc>
          <w:tcPr>
            <w:tcW w:w="5520" w:type="dxa"/>
            <w:hideMark/>
          </w:tcPr>
          <w:p w:rsidRPr="004E1632" w:rsidR="00EA0A58" w:rsidP="000F0ECA" w:rsidRDefault="00EA0A58" w14:paraId="71567D08" w14:textId="60C83F17">
            <w:pPr>
              <w:spacing w:line="480" w:lineRule="auto"/>
              <w:rPr>
                <w:b/>
                <w:bCs/>
                <w:iCs/>
                <w:sz w:val="24"/>
                <w:u w:val="single"/>
              </w:rPr>
            </w:pPr>
            <w:r w:rsidRPr="00A14072">
              <w:rPr>
                <w:b/>
                <w:bCs/>
                <w:iCs/>
                <w:sz w:val="24"/>
              </w:rPr>
              <w:t>Implementation and Documentation of Underfrequency Load Shedding Equipment Maintenance Program</w:t>
            </w:r>
          </w:p>
        </w:tc>
        <w:tc>
          <w:tcPr>
            <w:tcW w:w="2070" w:type="dxa"/>
            <w:hideMark/>
          </w:tcPr>
          <w:p w:rsidRPr="004E1632" w:rsidR="00EA0A58" w:rsidP="000F0ECA" w:rsidRDefault="00EA0A58" w14:paraId="1E0781F6" w14:textId="30E1B8E1">
            <w:pPr>
              <w:spacing w:line="480" w:lineRule="auto"/>
              <w:rPr>
                <w:b/>
                <w:bCs/>
                <w:iCs/>
                <w:sz w:val="24"/>
                <w:u w:val="single"/>
              </w:rPr>
            </w:pPr>
            <w:r w:rsidRPr="00A14072">
              <w:rPr>
                <w:b/>
                <w:bCs/>
                <w:iCs/>
                <w:sz w:val="24"/>
              </w:rPr>
              <w:t>6/18/2007</w:t>
            </w:r>
          </w:p>
        </w:tc>
      </w:tr>
      <w:tr w:rsidRPr="004E1632" w:rsidR="00EA0A58" w:rsidTr="000F0ECA" w14:paraId="51EC8351" w14:textId="77777777">
        <w:trPr>
          <w:trHeight w:val="1215"/>
        </w:trPr>
        <w:tc>
          <w:tcPr>
            <w:tcW w:w="1680" w:type="dxa"/>
            <w:hideMark/>
          </w:tcPr>
          <w:p w:rsidRPr="004E1632" w:rsidR="00EA0A58" w:rsidP="000F0ECA" w:rsidRDefault="00EA0A58" w14:paraId="36FA2EC2" w14:textId="77777777">
            <w:pPr>
              <w:spacing w:line="480" w:lineRule="auto"/>
              <w:rPr>
                <w:b/>
                <w:bCs/>
                <w:iCs/>
                <w:sz w:val="24"/>
              </w:rPr>
            </w:pPr>
            <w:r w:rsidRPr="004E1632">
              <w:rPr>
                <w:b/>
                <w:bCs/>
                <w:iCs/>
                <w:sz w:val="24"/>
              </w:rPr>
              <w:t>PRC-011-0</w:t>
            </w:r>
          </w:p>
        </w:tc>
        <w:tc>
          <w:tcPr>
            <w:tcW w:w="5520" w:type="dxa"/>
            <w:hideMark/>
          </w:tcPr>
          <w:p w:rsidRPr="004E1632" w:rsidR="00EA0A58" w:rsidP="000F0ECA" w:rsidRDefault="00EA0A58" w14:paraId="36E0A52A" w14:textId="31073710">
            <w:pPr>
              <w:spacing w:line="480" w:lineRule="auto"/>
              <w:rPr>
                <w:b/>
                <w:bCs/>
                <w:iCs/>
                <w:sz w:val="24"/>
                <w:u w:val="single"/>
              </w:rPr>
            </w:pPr>
            <w:r w:rsidRPr="00A14072">
              <w:rPr>
                <w:b/>
                <w:bCs/>
                <w:iCs/>
                <w:sz w:val="24"/>
              </w:rPr>
              <w:t>Undervoltage Load Shedding System Maintenance and Testing</w:t>
            </w:r>
          </w:p>
        </w:tc>
        <w:tc>
          <w:tcPr>
            <w:tcW w:w="2070" w:type="dxa"/>
            <w:hideMark/>
          </w:tcPr>
          <w:p w:rsidRPr="004E1632" w:rsidR="00EA0A58" w:rsidP="000F0ECA" w:rsidRDefault="00EA0A58" w14:paraId="632D0A2E" w14:textId="0B2FCE4C">
            <w:pPr>
              <w:spacing w:line="480" w:lineRule="auto"/>
              <w:rPr>
                <w:b/>
                <w:bCs/>
                <w:iCs/>
                <w:sz w:val="24"/>
                <w:u w:val="single"/>
              </w:rPr>
            </w:pPr>
            <w:r w:rsidRPr="00A14072">
              <w:rPr>
                <w:b/>
                <w:bCs/>
                <w:iCs/>
                <w:sz w:val="24"/>
              </w:rPr>
              <w:t>6/18/2007</w:t>
            </w:r>
          </w:p>
        </w:tc>
      </w:tr>
      <w:tr w:rsidRPr="004E1632" w:rsidR="00EA0A58" w:rsidTr="00EA0A58" w14:paraId="30D117E6" w14:textId="77777777">
        <w:trPr>
          <w:trHeight w:val="323"/>
        </w:trPr>
        <w:tc>
          <w:tcPr>
            <w:tcW w:w="1680" w:type="dxa"/>
            <w:hideMark/>
          </w:tcPr>
          <w:p w:rsidRPr="004E1632" w:rsidR="00EA0A58" w:rsidP="000F0ECA" w:rsidRDefault="00EA0A58" w14:paraId="797696E2" w14:textId="77777777">
            <w:pPr>
              <w:spacing w:line="480" w:lineRule="auto"/>
              <w:rPr>
                <w:b/>
                <w:bCs/>
                <w:iCs/>
                <w:sz w:val="24"/>
              </w:rPr>
            </w:pPr>
            <w:r w:rsidRPr="004E1632">
              <w:rPr>
                <w:b/>
                <w:bCs/>
                <w:iCs/>
                <w:sz w:val="24"/>
              </w:rPr>
              <w:t>PRC-017-1</w:t>
            </w:r>
          </w:p>
        </w:tc>
        <w:tc>
          <w:tcPr>
            <w:tcW w:w="5520" w:type="dxa"/>
            <w:hideMark/>
          </w:tcPr>
          <w:p w:rsidRPr="004E1632" w:rsidR="00EA0A58" w:rsidP="000F0ECA" w:rsidRDefault="00EA0A58" w14:paraId="558761D9" w14:textId="4AFEC07E">
            <w:pPr>
              <w:spacing w:line="480" w:lineRule="auto"/>
              <w:rPr>
                <w:b/>
                <w:bCs/>
                <w:iCs/>
                <w:sz w:val="24"/>
                <w:u w:val="single"/>
              </w:rPr>
            </w:pPr>
            <w:r w:rsidRPr="00A14072">
              <w:rPr>
                <w:b/>
                <w:bCs/>
                <w:iCs/>
                <w:sz w:val="24"/>
              </w:rPr>
              <w:t>Remedial Action Scheme Maintenance and Testing</w:t>
            </w:r>
          </w:p>
        </w:tc>
        <w:tc>
          <w:tcPr>
            <w:tcW w:w="2070" w:type="dxa"/>
            <w:hideMark/>
          </w:tcPr>
          <w:p w:rsidRPr="004E1632" w:rsidR="00EA0A58" w:rsidP="000F0ECA" w:rsidRDefault="00EA0A58" w14:paraId="45C1A483" w14:textId="62123D9E">
            <w:pPr>
              <w:spacing w:line="480" w:lineRule="auto"/>
              <w:rPr>
                <w:b/>
                <w:bCs/>
                <w:iCs/>
                <w:sz w:val="24"/>
                <w:u w:val="single"/>
              </w:rPr>
            </w:pPr>
            <w:r w:rsidRPr="00A14072">
              <w:rPr>
                <w:b/>
                <w:bCs/>
                <w:iCs/>
                <w:sz w:val="24"/>
              </w:rPr>
              <w:t>4/1/2017</w:t>
            </w:r>
          </w:p>
        </w:tc>
      </w:tr>
      <w:tr w:rsidRPr="004E1632" w:rsidR="00EA0A58" w:rsidTr="00EA0A58" w14:paraId="79F63A32" w14:textId="77777777">
        <w:trPr>
          <w:trHeight w:val="620"/>
        </w:trPr>
        <w:tc>
          <w:tcPr>
            <w:tcW w:w="1680" w:type="dxa"/>
            <w:hideMark/>
          </w:tcPr>
          <w:p w:rsidRPr="004E1632" w:rsidR="00EA0A58" w:rsidP="000F0ECA" w:rsidRDefault="00EA0A58" w14:paraId="608E9204" w14:textId="77777777">
            <w:pPr>
              <w:spacing w:line="480" w:lineRule="auto"/>
              <w:rPr>
                <w:b/>
                <w:bCs/>
                <w:iCs/>
                <w:sz w:val="24"/>
              </w:rPr>
            </w:pPr>
            <w:r w:rsidRPr="004E1632">
              <w:rPr>
                <w:b/>
                <w:bCs/>
                <w:iCs/>
                <w:sz w:val="24"/>
              </w:rPr>
              <w:t>PRC-018-1</w:t>
            </w:r>
          </w:p>
        </w:tc>
        <w:tc>
          <w:tcPr>
            <w:tcW w:w="5520" w:type="dxa"/>
            <w:hideMark/>
          </w:tcPr>
          <w:p w:rsidRPr="004E1632" w:rsidR="00EA0A58" w:rsidP="000F0ECA" w:rsidRDefault="00EA0A58" w14:paraId="58849DE3" w14:textId="138614B2">
            <w:pPr>
              <w:spacing w:line="480" w:lineRule="auto"/>
              <w:rPr>
                <w:b/>
                <w:bCs/>
                <w:iCs/>
                <w:sz w:val="24"/>
                <w:u w:val="single"/>
              </w:rPr>
            </w:pPr>
            <w:r w:rsidRPr="00A14072">
              <w:rPr>
                <w:b/>
                <w:bCs/>
                <w:iCs/>
                <w:sz w:val="24"/>
              </w:rPr>
              <w:t>Disturbance Monitoring Equipment Installation and Data Reporting</w:t>
            </w:r>
          </w:p>
        </w:tc>
        <w:tc>
          <w:tcPr>
            <w:tcW w:w="2070" w:type="dxa"/>
            <w:hideMark/>
          </w:tcPr>
          <w:p w:rsidRPr="004E1632" w:rsidR="00EA0A58" w:rsidP="000F0ECA" w:rsidRDefault="00EA0A58" w14:paraId="72A9DFA9" w14:textId="6140BD7B">
            <w:pPr>
              <w:spacing w:line="480" w:lineRule="auto"/>
              <w:rPr>
                <w:b/>
                <w:bCs/>
                <w:iCs/>
                <w:sz w:val="24"/>
                <w:u w:val="single"/>
              </w:rPr>
            </w:pPr>
            <w:r w:rsidRPr="00A14072">
              <w:rPr>
                <w:b/>
                <w:bCs/>
                <w:iCs/>
                <w:sz w:val="24"/>
              </w:rPr>
              <w:t>6/18/2007</w:t>
            </w:r>
          </w:p>
        </w:tc>
      </w:tr>
      <w:tr w:rsidRPr="004E1632" w:rsidR="00EA0A58" w:rsidTr="000F0ECA" w14:paraId="65130185" w14:textId="77777777">
        <w:trPr>
          <w:trHeight w:val="615"/>
        </w:trPr>
        <w:tc>
          <w:tcPr>
            <w:tcW w:w="1680" w:type="dxa"/>
            <w:hideMark/>
          </w:tcPr>
          <w:p w:rsidRPr="004E1632" w:rsidR="00EA0A58" w:rsidP="000F0ECA" w:rsidRDefault="00EA0A58" w14:paraId="76238E44" w14:textId="77777777">
            <w:pPr>
              <w:spacing w:line="480" w:lineRule="auto"/>
              <w:rPr>
                <w:b/>
                <w:bCs/>
                <w:iCs/>
                <w:sz w:val="24"/>
              </w:rPr>
            </w:pPr>
            <w:r w:rsidRPr="004E1632">
              <w:rPr>
                <w:b/>
                <w:bCs/>
                <w:iCs/>
                <w:sz w:val="24"/>
              </w:rPr>
              <w:t>TOP-001-5</w:t>
            </w:r>
          </w:p>
        </w:tc>
        <w:tc>
          <w:tcPr>
            <w:tcW w:w="5520" w:type="dxa"/>
            <w:hideMark/>
          </w:tcPr>
          <w:p w:rsidRPr="004E1632" w:rsidR="00EA0A58" w:rsidP="000F0ECA" w:rsidRDefault="00EA0A58" w14:paraId="4D15BB84" w14:textId="0F02BB3C">
            <w:pPr>
              <w:spacing w:line="480" w:lineRule="auto"/>
              <w:rPr>
                <w:b/>
                <w:bCs/>
                <w:iCs/>
                <w:sz w:val="24"/>
                <w:u w:val="single"/>
              </w:rPr>
            </w:pPr>
            <w:r w:rsidRPr="00A14072">
              <w:rPr>
                <w:b/>
                <w:bCs/>
                <w:iCs/>
                <w:sz w:val="24"/>
              </w:rPr>
              <w:t>Transmission Operations</w:t>
            </w:r>
          </w:p>
        </w:tc>
        <w:tc>
          <w:tcPr>
            <w:tcW w:w="2070" w:type="dxa"/>
            <w:hideMark/>
          </w:tcPr>
          <w:p w:rsidRPr="004E1632" w:rsidR="00EA0A58" w:rsidP="000F0ECA" w:rsidRDefault="00EA0A58" w14:paraId="55C797AF" w14:textId="4748D3CC">
            <w:pPr>
              <w:spacing w:line="480" w:lineRule="auto"/>
              <w:rPr>
                <w:b/>
                <w:bCs/>
                <w:iCs/>
                <w:sz w:val="24"/>
                <w:u w:val="single"/>
              </w:rPr>
            </w:pPr>
            <w:r w:rsidRPr="00A14072">
              <w:rPr>
                <w:b/>
                <w:bCs/>
                <w:iCs/>
                <w:sz w:val="24"/>
              </w:rPr>
              <w:t>4/1/2021</w:t>
            </w:r>
          </w:p>
        </w:tc>
      </w:tr>
      <w:tr w:rsidRPr="004E1632" w:rsidR="00EA0A58" w:rsidTr="000F0ECA" w14:paraId="4F2C2068" w14:textId="77777777">
        <w:trPr>
          <w:trHeight w:val="780"/>
        </w:trPr>
        <w:tc>
          <w:tcPr>
            <w:tcW w:w="1680" w:type="dxa"/>
            <w:hideMark/>
          </w:tcPr>
          <w:p w:rsidRPr="004E1632" w:rsidR="00EA0A58" w:rsidP="000F0ECA" w:rsidRDefault="00EA0A58" w14:paraId="252E2934" w14:textId="77777777">
            <w:pPr>
              <w:spacing w:line="480" w:lineRule="auto"/>
              <w:rPr>
                <w:b/>
                <w:bCs/>
                <w:iCs/>
                <w:sz w:val="24"/>
              </w:rPr>
            </w:pPr>
            <w:r w:rsidRPr="004E1632">
              <w:rPr>
                <w:b/>
                <w:bCs/>
                <w:iCs/>
                <w:sz w:val="24"/>
              </w:rPr>
              <w:lastRenderedPageBreak/>
              <w:t>TOP-002-4</w:t>
            </w:r>
          </w:p>
        </w:tc>
        <w:tc>
          <w:tcPr>
            <w:tcW w:w="5520" w:type="dxa"/>
            <w:hideMark/>
          </w:tcPr>
          <w:p w:rsidRPr="004E1632" w:rsidR="00EA0A58" w:rsidP="000F0ECA" w:rsidRDefault="00EA0A58" w14:paraId="76EF7A37" w14:textId="7D0228A2">
            <w:pPr>
              <w:spacing w:line="480" w:lineRule="auto"/>
              <w:rPr>
                <w:b/>
                <w:bCs/>
                <w:iCs/>
                <w:sz w:val="24"/>
                <w:u w:val="single"/>
              </w:rPr>
            </w:pPr>
            <w:r w:rsidRPr="00A14072">
              <w:rPr>
                <w:b/>
                <w:bCs/>
                <w:iCs/>
                <w:sz w:val="24"/>
              </w:rPr>
              <w:t>Operations Planning</w:t>
            </w:r>
          </w:p>
        </w:tc>
        <w:tc>
          <w:tcPr>
            <w:tcW w:w="2070" w:type="dxa"/>
            <w:hideMark/>
          </w:tcPr>
          <w:p w:rsidRPr="004E1632" w:rsidR="00EA0A58" w:rsidP="000F0ECA" w:rsidRDefault="00EA0A58" w14:paraId="5C309760" w14:textId="0E9C8AAD">
            <w:pPr>
              <w:spacing w:line="480" w:lineRule="auto"/>
              <w:rPr>
                <w:b/>
                <w:bCs/>
                <w:iCs/>
                <w:sz w:val="24"/>
                <w:u w:val="single"/>
              </w:rPr>
            </w:pPr>
            <w:r w:rsidRPr="00A14072">
              <w:rPr>
                <w:b/>
                <w:bCs/>
                <w:iCs/>
                <w:sz w:val="24"/>
              </w:rPr>
              <w:t>4/1/2017</w:t>
            </w:r>
          </w:p>
        </w:tc>
      </w:tr>
      <w:tr w:rsidRPr="004E1632" w:rsidR="00EA0A58" w:rsidTr="000F0ECA" w14:paraId="7C22C2C5" w14:textId="77777777">
        <w:trPr>
          <w:trHeight w:val="615"/>
        </w:trPr>
        <w:tc>
          <w:tcPr>
            <w:tcW w:w="1680" w:type="dxa"/>
            <w:hideMark/>
          </w:tcPr>
          <w:p w:rsidRPr="004E1632" w:rsidR="00EA0A58" w:rsidP="000F0ECA" w:rsidRDefault="00EA0A58" w14:paraId="6AE40A26" w14:textId="77777777">
            <w:pPr>
              <w:spacing w:line="480" w:lineRule="auto"/>
              <w:rPr>
                <w:b/>
                <w:bCs/>
                <w:iCs/>
                <w:sz w:val="24"/>
              </w:rPr>
            </w:pPr>
            <w:r w:rsidRPr="004E1632">
              <w:rPr>
                <w:b/>
                <w:bCs/>
                <w:iCs/>
                <w:sz w:val="24"/>
              </w:rPr>
              <w:t>TOP-003-4</w:t>
            </w:r>
          </w:p>
        </w:tc>
        <w:tc>
          <w:tcPr>
            <w:tcW w:w="5520" w:type="dxa"/>
            <w:hideMark/>
          </w:tcPr>
          <w:p w:rsidRPr="004E1632" w:rsidR="00EA0A58" w:rsidP="000F0ECA" w:rsidRDefault="00EA0A58" w14:paraId="496641E0" w14:textId="1429B72F">
            <w:pPr>
              <w:spacing w:line="480" w:lineRule="auto"/>
              <w:rPr>
                <w:b/>
                <w:bCs/>
                <w:iCs/>
                <w:sz w:val="24"/>
                <w:u w:val="single"/>
              </w:rPr>
            </w:pPr>
            <w:r w:rsidRPr="00A14072">
              <w:rPr>
                <w:b/>
                <w:bCs/>
                <w:iCs/>
                <w:sz w:val="24"/>
              </w:rPr>
              <w:t>Operational Reliability Data</w:t>
            </w:r>
          </w:p>
        </w:tc>
        <w:tc>
          <w:tcPr>
            <w:tcW w:w="2070" w:type="dxa"/>
            <w:hideMark/>
          </w:tcPr>
          <w:p w:rsidRPr="004E1632" w:rsidR="00EA0A58" w:rsidP="000F0ECA" w:rsidRDefault="00EA0A58" w14:paraId="72FA01C4" w14:textId="351EB6A7">
            <w:pPr>
              <w:spacing w:line="480" w:lineRule="auto"/>
              <w:rPr>
                <w:b/>
                <w:bCs/>
                <w:iCs/>
                <w:sz w:val="24"/>
                <w:u w:val="single"/>
              </w:rPr>
            </w:pPr>
            <w:r w:rsidRPr="00A14072">
              <w:rPr>
                <w:b/>
                <w:bCs/>
                <w:iCs/>
                <w:sz w:val="24"/>
              </w:rPr>
              <w:t>4/1/2021</w:t>
            </w:r>
          </w:p>
        </w:tc>
      </w:tr>
      <w:tr w:rsidRPr="004E1632" w:rsidR="00EA0A58" w:rsidTr="000F0ECA" w14:paraId="152BE3DD" w14:textId="77777777">
        <w:trPr>
          <w:trHeight w:val="915"/>
        </w:trPr>
        <w:tc>
          <w:tcPr>
            <w:tcW w:w="1680" w:type="dxa"/>
            <w:hideMark/>
          </w:tcPr>
          <w:p w:rsidRPr="004E1632" w:rsidR="00EA0A58" w:rsidP="000F0ECA" w:rsidRDefault="00EA0A58" w14:paraId="5C970875" w14:textId="77777777">
            <w:pPr>
              <w:spacing w:line="480" w:lineRule="auto"/>
              <w:rPr>
                <w:b/>
                <w:bCs/>
                <w:iCs/>
                <w:sz w:val="24"/>
              </w:rPr>
            </w:pPr>
            <w:r w:rsidRPr="004E1632">
              <w:rPr>
                <w:b/>
                <w:bCs/>
                <w:iCs/>
                <w:sz w:val="24"/>
              </w:rPr>
              <w:t>TOP-010-1(</w:t>
            </w:r>
            <w:proofErr w:type="spellStart"/>
            <w:r w:rsidRPr="004E1632">
              <w:rPr>
                <w:b/>
                <w:bCs/>
                <w:iCs/>
                <w:sz w:val="24"/>
              </w:rPr>
              <w:t>i</w:t>
            </w:r>
            <w:proofErr w:type="spellEnd"/>
            <w:r w:rsidRPr="004E1632">
              <w:rPr>
                <w:b/>
                <w:bCs/>
                <w:iCs/>
                <w:sz w:val="24"/>
              </w:rPr>
              <w:t>)</w:t>
            </w:r>
          </w:p>
        </w:tc>
        <w:tc>
          <w:tcPr>
            <w:tcW w:w="5520" w:type="dxa"/>
            <w:hideMark/>
          </w:tcPr>
          <w:p w:rsidRPr="004E1632" w:rsidR="00EA0A58" w:rsidP="000F0ECA" w:rsidRDefault="00EA0A58" w14:paraId="292C6B50" w14:textId="0AA83907">
            <w:pPr>
              <w:spacing w:line="480" w:lineRule="auto"/>
              <w:rPr>
                <w:b/>
                <w:bCs/>
                <w:iCs/>
                <w:sz w:val="24"/>
                <w:u w:val="single"/>
              </w:rPr>
            </w:pPr>
            <w:r w:rsidRPr="00A14072">
              <w:rPr>
                <w:b/>
                <w:bCs/>
                <w:iCs/>
                <w:sz w:val="24"/>
              </w:rPr>
              <w:t>Real-time Reliability Monitoring and Analysis Capabilities</w:t>
            </w:r>
          </w:p>
        </w:tc>
        <w:tc>
          <w:tcPr>
            <w:tcW w:w="2070" w:type="dxa"/>
            <w:hideMark/>
          </w:tcPr>
          <w:p w:rsidRPr="004E1632" w:rsidR="00EA0A58" w:rsidP="000F0ECA" w:rsidRDefault="00EA0A58" w14:paraId="281DAABD" w14:textId="40D76755">
            <w:pPr>
              <w:spacing w:line="480" w:lineRule="auto"/>
              <w:rPr>
                <w:b/>
                <w:bCs/>
                <w:iCs/>
                <w:sz w:val="24"/>
                <w:u w:val="single"/>
              </w:rPr>
            </w:pPr>
            <w:r w:rsidRPr="00A14072">
              <w:rPr>
                <w:b/>
                <w:bCs/>
                <w:iCs/>
                <w:sz w:val="24"/>
              </w:rPr>
              <w:t>4/1/2018</w:t>
            </w:r>
          </w:p>
        </w:tc>
      </w:tr>
    </w:tbl>
    <w:p w:rsidRPr="00ED472B" w:rsidR="00EA0A58" w:rsidP="00AE1F12" w:rsidRDefault="00EA0A58" w14:paraId="65D521FD" w14:textId="77777777">
      <w:pPr>
        <w:spacing w:line="480" w:lineRule="auto"/>
        <w:rPr>
          <w:iCs/>
        </w:rPr>
      </w:pPr>
    </w:p>
    <w:p w:rsidR="00881405" w:rsidP="00AE1F12" w:rsidRDefault="00AE1F12" w14:paraId="40735770" w14:textId="4980FEE8">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2324F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03FCA" w14:textId="77777777" w:rsidR="002A480F" w:rsidRDefault="002A480F" w:rsidP="00B01B16">
      <w:r>
        <w:separator/>
      </w:r>
    </w:p>
  </w:endnote>
  <w:endnote w:type="continuationSeparator" w:id="0">
    <w:p w14:paraId="527F0F23" w14:textId="77777777" w:rsidR="002A480F" w:rsidRDefault="002A480F" w:rsidP="00B01B16">
      <w:r>
        <w:continuationSeparator/>
      </w:r>
    </w:p>
  </w:endnote>
  <w:endnote w:type="continuationNotice" w:id="1">
    <w:p w14:paraId="64F25A11" w14:textId="77777777" w:rsidR="002A480F" w:rsidRDefault="002A4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9F5EA" w14:textId="77777777" w:rsidR="002324F3" w:rsidRDefault="00232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67AF" w14:textId="77777777" w:rsidR="002324F3" w:rsidRDefault="00232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BD02A" w14:textId="77777777" w:rsidR="002324F3" w:rsidRDefault="00232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3F57B" w14:textId="77777777" w:rsidR="002A480F" w:rsidRDefault="002A480F" w:rsidP="00B01B16">
      <w:r>
        <w:separator/>
      </w:r>
    </w:p>
  </w:footnote>
  <w:footnote w:type="continuationSeparator" w:id="0">
    <w:p w14:paraId="37BF78CD" w14:textId="77777777" w:rsidR="002A480F" w:rsidRDefault="002A480F" w:rsidP="00B01B16">
      <w:r>
        <w:continuationSeparator/>
      </w:r>
    </w:p>
  </w:footnote>
  <w:footnote w:type="continuationNotice" w:id="1">
    <w:p w14:paraId="1B71C622" w14:textId="77777777" w:rsidR="002A480F" w:rsidRDefault="002A480F"/>
  </w:footnote>
  <w:footnote w:id="2">
    <w:p w14:paraId="7BE9BF69" w14:textId="77777777" w:rsidR="00060284" w:rsidRDefault="00060284" w:rsidP="00060284">
      <w:pPr>
        <w:pStyle w:val="FootnoteText"/>
      </w:pPr>
      <w:r>
        <w:rPr>
          <w:rStyle w:val="FootnoteReference"/>
        </w:rPr>
        <w:footnoteRef/>
      </w:r>
      <w:r>
        <w:t xml:space="preserve"> Energy Policy Act of 2005, Pub. L. No 109-58, Title XII, Subtitle A, 119 Stat. 594, 941 (2005), </w:t>
      </w:r>
      <w:r>
        <w:rPr>
          <w:u w:val="single"/>
        </w:rPr>
        <w:t>to be codified at</w:t>
      </w:r>
      <w:r>
        <w:t xml:space="preserve"> 16 U.S.C. 824o.</w:t>
      </w:r>
    </w:p>
  </w:footnote>
  <w:footnote w:id="3">
    <w:p w14:paraId="5161275D" w14:textId="77777777" w:rsidR="00060284" w:rsidRDefault="00060284" w:rsidP="00060284">
      <w:pPr>
        <w:pStyle w:val="FootnoteText"/>
      </w:pPr>
      <w:r>
        <w:rPr>
          <w:rStyle w:val="FootnoteReference"/>
        </w:rPr>
        <w:footnoteRef/>
      </w:r>
      <w:r>
        <w:t xml:space="preserve"> 16 U.S.C. 824o(e)(3).</w:t>
      </w:r>
    </w:p>
  </w:footnote>
  <w:footnote w:id="4">
    <w:p w14:paraId="17300B8E" w14:textId="77777777" w:rsidR="00060284" w:rsidRDefault="00060284" w:rsidP="00060284">
      <w:pPr>
        <w:pStyle w:val="FootnoteText"/>
      </w:pPr>
      <w:r>
        <w:rPr>
          <w:rStyle w:val="FootnoteReference"/>
        </w:rPr>
        <w:footnoteRef/>
      </w:r>
      <w:r>
        <w:t xml:space="preserve"> </w:t>
      </w:r>
      <w:r>
        <w:rPr>
          <w:u w:val="single"/>
        </w:rPr>
        <w:t>Rules Concerning Certification of the Electric Reliability Organization; Procedures for the Establishment, Approval and Enforcement of Electric Reliability Standards</w:t>
      </w:r>
      <w:r>
        <w:t xml:space="preserve">, Order No. 672, 71 FR 8662 (February 17, 2006), FERC Stats. &amp; Regs. ¶ 31,204 (2006), </w:t>
      </w:r>
      <w:r>
        <w:rPr>
          <w:u w:val="single"/>
        </w:rPr>
        <w:t>order on reh’g</w:t>
      </w:r>
      <w:r>
        <w:t>, Order No. 672-A, 71 FR 19814 (April 18, 2006), FERC Stats. &amp; Regs. ¶ 31,212 (2006).</w:t>
      </w:r>
    </w:p>
  </w:footnote>
  <w:footnote w:id="5">
    <w:p w14:paraId="2938083A" w14:textId="77777777" w:rsidR="00060284" w:rsidRDefault="00060284" w:rsidP="00060284">
      <w:pPr>
        <w:pStyle w:val="FootnoteText"/>
      </w:pPr>
      <w:r>
        <w:rPr>
          <w:rStyle w:val="FootnoteReference"/>
        </w:rPr>
        <w:footnoteRef/>
      </w:r>
      <w:r>
        <w:t xml:space="preserve"> </w:t>
      </w:r>
      <w:r>
        <w:rPr>
          <w:u w:val="single"/>
        </w:rPr>
        <w:t>North American Electric Reliability Corp.</w:t>
      </w:r>
      <w:r>
        <w:t>, 116 FERC ¶ 61,062 (</w:t>
      </w:r>
      <w:r>
        <w:rPr>
          <w:u w:val="single"/>
        </w:rPr>
        <w:t>ERO Certification Order</w:t>
      </w:r>
      <w:r>
        <w:t xml:space="preserve">), </w:t>
      </w:r>
      <w:r>
        <w:rPr>
          <w:u w:val="single"/>
        </w:rPr>
        <w:t>order on reh’g &amp; compliance</w:t>
      </w:r>
      <w:r>
        <w:t>, 117 FERC ¶ 61,126 (</w:t>
      </w:r>
      <w:r>
        <w:rPr>
          <w:u w:val="single"/>
        </w:rPr>
        <w:t>ERO Rehearing Order</w:t>
      </w:r>
      <w:r>
        <w:t xml:space="preserve">) (2006), </w:t>
      </w:r>
      <w:r>
        <w:rPr>
          <w:u w:val="single"/>
        </w:rPr>
        <w:t>order on compliance</w:t>
      </w:r>
      <w:r>
        <w:t>, 118 FERC ¶ 61,030 (2007) (</w:t>
      </w:r>
      <w:r>
        <w:rPr>
          <w:u w:val="single"/>
        </w:rPr>
        <w:t>January 2007 Compliance Order</w:t>
      </w:r>
      <w:r>
        <w:t>).</w:t>
      </w:r>
    </w:p>
  </w:footnote>
  <w:footnote w:id="6">
    <w:p w14:paraId="5E0ECDF0" w14:textId="77777777" w:rsidR="00292A4C" w:rsidRPr="00923906" w:rsidRDefault="00292A4C" w:rsidP="00292A4C">
      <w:pPr>
        <w:pStyle w:val="FootnoteText"/>
        <w:rPr>
          <w:szCs w:val="22"/>
        </w:rPr>
      </w:pPr>
      <w:r w:rsidRPr="00923906">
        <w:rPr>
          <w:rStyle w:val="FootnoteReference"/>
          <w:sz w:val="22"/>
          <w:szCs w:val="22"/>
        </w:rPr>
        <w:footnoteRef/>
      </w:r>
      <w:r w:rsidRPr="00923906">
        <w:rPr>
          <w:szCs w:val="22"/>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7">
    <w:p w14:paraId="78FF5291" w14:textId="7B8A77E8" w:rsidR="00292A4C" w:rsidRDefault="00292A4C" w:rsidP="00292A4C">
      <w:pPr>
        <w:pStyle w:val="FootnoteText"/>
        <w:rPr>
          <w:rFonts w:asciiTheme="minorHAnsi" w:hAnsiTheme="minorHAnsi" w:cstheme="minorBidi"/>
          <w:sz w:val="20"/>
        </w:rPr>
      </w:pPr>
      <w:r w:rsidRPr="00923906">
        <w:rPr>
          <w:rStyle w:val="FootnoteReference"/>
          <w:sz w:val="22"/>
          <w:szCs w:val="22"/>
        </w:rPr>
        <w:footnoteRef/>
      </w:r>
      <w:r w:rsidRPr="00997E84">
        <w:rPr>
          <w:szCs w:val="22"/>
        </w:rPr>
        <w:t xml:space="preserve"> </w:t>
      </w:r>
      <w:r w:rsidRPr="00923906">
        <w:rPr>
          <w:szCs w:val="22"/>
        </w:rPr>
        <w:t>The Commission staff thinks that the average respondent for this collection is similarly situated to the Commission, in terms of salary plus benefits.  Based on FERC’s 20</w:t>
      </w:r>
      <w:r w:rsidR="00196A63" w:rsidRPr="00923906">
        <w:rPr>
          <w:szCs w:val="22"/>
        </w:rPr>
        <w:t xml:space="preserve">20 </w:t>
      </w:r>
      <w:r w:rsidRPr="00923906">
        <w:rPr>
          <w:szCs w:val="22"/>
        </w:rPr>
        <w:t>annual average of $1</w:t>
      </w:r>
      <w:r w:rsidR="005A6119" w:rsidRPr="00923906">
        <w:rPr>
          <w:szCs w:val="22"/>
        </w:rPr>
        <w:t>72,329</w:t>
      </w:r>
      <w:r w:rsidRPr="00923906">
        <w:rPr>
          <w:szCs w:val="22"/>
        </w:rPr>
        <w:t xml:space="preserve"> (for salary plus benefits), the average hourly cost is $</w:t>
      </w:r>
      <w:r w:rsidR="005A6119" w:rsidRPr="00923906">
        <w:rPr>
          <w:szCs w:val="22"/>
        </w:rPr>
        <w:t>83</w:t>
      </w:r>
      <w:r w:rsidRPr="00923906">
        <w:rPr>
          <w:szCs w:val="22"/>
        </w:rPr>
        <w:t>/hour.</w:t>
      </w:r>
    </w:p>
  </w:footnote>
  <w:footnote w:id="8">
    <w:p w14:paraId="71DE56A4" w14:textId="05B0749A" w:rsidR="00B87561" w:rsidRDefault="00B87561" w:rsidP="00923906">
      <w:pPr>
        <w:pStyle w:val="FootnoteText"/>
      </w:pPr>
      <w:r>
        <w:rPr>
          <w:rStyle w:val="FootnoteReference"/>
        </w:rPr>
        <w:footnoteRef/>
      </w:r>
      <w:r>
        <w:t xml:space="preserve"> The type of entity effect </w:t>
      </w:r>
      <w:r w:rsidR="00F435E8">
        <w:t>is</w:t>
      </w:r>
      <w:r>
        <w:t xml:space="preserve"> the NERC registered GO = Generator Owners (1,003).  This reduction for 725A</w:t>
      </w:r>
      <w:r w:rsidR="00F435E8">
        <w:t xml:space="preserve"> represent a decrease in burden but the GOs still have other obligations, so the 1,003 is included for information purpose but does not affect the overall number of entities in 725A.</w:t>
      </w:r>
    </w:p>
  </w:footnote>
  <w:footnote w:id="9">
    <w:p w14:paraId="5D564D05" w14:textId="7197CFB7" w:rsidR="003D68A3" w:rsidRDefault="003D68A3" w:rsidP="003D68A3">
      <w:pPr>
        <w:pStyle w:val="FootnoteText"/>
        <w:rPr>
          <w:sz w:val="20"/>
        </w:rPr>
      </w:pPr>
      <w:r>
        <w:rPr>
          <w:rStyle w:val="FootnoteReference"/>
          <w:sz w:val="24"/>
        </w:rPr>
        <w:footnoteRef/>
      </w:r>
      <w:r>
        <w:t xml:space="preserve"> This is a list of NERC registered entities who under 725A need to follow the NERC Standards.  BA=Balancing Authority (99); DP = Distribution Provider (373); GP = Generator Owner (1,003); Generator Operator (937); PA/PC Planning Authority/Planning Coordinator (65); RC=Reliability Coordinator (11); RP = </w:t>
      </w:r>
      <w:r w:rsidR="0071476D">
        <w:t xml:space="preserve">Resource Planner </w:t>
      </w:r>
      <w:r>
        <w:t xml:space="preserve">(160); RSG = Reserve Sharing Group (11); FRSG = Frequency Response Sharing Group (1); TO = Transmission Owner (321); TOP = Transmission Operator (167); TP = Transmission Provided (201); TSP = Transmission Service Provider (71); for a sum total of (3,420).  </w:t>
      </w:r>
      <w:r w:rsidR="006B163F">
        <w:t>The same entity may have multiple registration obligation to follow under 725A</w:t>
      </w:r>
      <w:r w:rsidR="00F435E8">
        <w:t xml:space="preserve"> so an individual entity’s obligation increases based on registration functions</w:t>
      </w:r>
      <w:r w:rsidR="006B163F">
        <w:t>.  These values were derived from the NERC Compliance data of February 5, 2021 using only unique United States registered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C1D1D" w14:textId="77777777" w:rsidR="002324F3" w:rsidRDefault="00232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1503182"/>
      <w:docPartObj>
        <w:docPartGallery w:val="Page Numbers (Top of Page)"/>
        <w:docPartUnique/>
      </w:docPartObj>
    </w:sdtPr>
    <w:sdtEndPr>
      <w:rPr>
        <w:noProof/>
      </w:rPr>
    </w:sdtEndPr>
    <w:sdtContent>
      <w:p w14:paraId="61AC5518" w14:textId="19AE193F" w:rsidR="002324F3" w:rsidRDefault="002324F3">
        <w:pPr>
          <w:pStyle w:val="Header"/>
        </w:pPr>
        <w:r w:rsidRPr="002324F3">
          <w:t>Docket No. IC21-19-000</w:t>
        </w:r>
        <w:r>
          <w:tab/>
        </w:r>
        <w:r>
          <w:fldChar w:fldCharType="begin"/>
        </w:r>
        <w:r>
          <w:instrText xml:space="preserve"> PAGE   \* MERGEFORMAT </w:instrText>
        </w:r>
        <w:r>
          <w:fldChar w:fldCharType="separate"/>
        </w:r>
        <w:r>
          <w:rPr>
            <w:noProof/>
          </w:rPr>
          <w:t>2</w:t>
        </w:r>
        <w:r>
          <w:rPr>
            <w:noProof/>
          </w:rPr>
          <w:fldChar w:fldCharType="end"/>
        </w:r>
      </w:p>
    </w:sdtContent>
  </w:sdt>
  <w:p w14:paraId="2B37404A" w14:textId="77777777" w:rsidR="002324F3" w:rsidRDefault="00232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DA62E" w14:textId="55CBD003" w:rsidR="002324F3" w:rsidRDefault="002324F3">
    <w:pPr>
      <w:pStyle w:val="Header"/>
    </w:pPr>
  </w:p>
  <w:p w14:paraId="0B1EE9BC" w14:textId="77777777" w:rsidR="00F477DF" w:rsidRDefault="00F47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26C2D"/>
    <w:rsid w:val="000459B6"/>
    <w:rsid w:val="00060284"/>
    <w:rsid w:val="00062427"/>
    <w:rsid w:val="0008692A"/>
    <w:rsid w:val="0009224F"/>
    <w:rsid w:val="000A0250"/>
    <w:rsid w:val="000A6F37"/>
    <w:rsid w:val="000A7E68"/>
    <w:rsid w:val="000B2E9D"/>
    <w:rsid w:val="000B5C78"/>
    <w:rsid w:val="000D318C"/>
    <w:rsid w:val="000E2568"/>
    <w:rsid w:val="000F606E"/>
    <w:rsid w:val="000F6D0E"/>
    <w:rsid w:val="00116326"/>
    <w:rsid w:val="00125991"/>
    <w:rsid w:val="0015445B"/>
    <w:rsid w:val="00156BBB"/>
    <w:rsid w:val="001600DF"/>
    <w:rsid w:val="00164215"/>
    <w:rsid w:val="00171725"/>
    <w:rsid w:val="0017684C"/>
    <w:rsid w:val="00177704"/>
    <w:rsid w:val="00181BF7"/>
    <w:rsid w:val="00184A26"/>
    <w:rsid w:val="00184B43"/>
    <w:rsid w:val="0019402A"/>
    <w:rsid w:val="00196A63"/>
    <w:rsid w:val="00197435"/>
    <w:rsid w:val="001A6645"/>
    <w:rsid w:val="001A6AD6"/>
    <w:rsid w:val="001B37D4"/>
    <w:rsid w:val="001B78B8"/>
    <w:rsid w:val="001C5EFC"/>
    <w:rsid w:val="001C7064"/>
    <w:rsid w:val="001D612A"/>
    <w:rsid w:val="001F1CDF"/>
    <w:rsid w:val="00202E41"/>
    <w:rsid w:val="002131D0"/>
    <w:rsid w:val="00224BF8"/>
    <w:rsid w:val="002324F3"/>
    <w:rsid w:val="002355D4"/>
    <w:rsid w:val="0024309C"/>
    <w:rsid w:val="00253F98"/>
    <w:rsid w:val="00257CC2"/>
    <w:rsid w:val="00266431"/>
    <w:rsid w:val="00292A4C"/>
    <w:rsid w:val="00297211"/>
    <w:rsid w:val="002A480F"/>
    <w:rsid w:val="002C3223"/>
    <w:rsid w:val="002C3579"/>
    <w:rsid w:val="002D17E5"/>
    <w:rsid w:val="002E06A0"/>
    <w:rsid w:val="002E6DAA"/>
    <w:rsid w:val="002F4401"/>
    <w:rsid w:val="00303516"/>
    <w:rsid w:val="00306318"/>
    <w:rsid w:val="00311D90"/>
    <w:rsid w:val="00314219"/>
    <w:rsid w:val="003149BC"/>
    <w:rsid w:val="00326C10"/>
    <w:rsid w:val="00336AD9"/>
    <w:rsid w:val="003455E3"/>
    <w:rsid w:val="00365468"/>
    <w:rsid w:val="003658A2"/>
    <w:rsid w:val="003673EC"/>
    <w:rsid w:val="00373A2E"/>
    <w:rsid w:val="00376525"/>
    <w:rsid w:val="00397ABE"/>
    <w:rsid w:val="003A2C3F"/>
    <w:rsid w:val="003A2FD3"/>
    <w:rsid w:val="003B435C"/>
    <w:rsid w:val="003B5B0B"/>
    <w:rsid w:val="003C08DE"/>
    <w:rsid w:val="003C3E7A"/>
    <w:rsid w:val="003D28D2"/>
    <w:rsid w:val="003D68A3"/>
    <w:rsid w:val="003E1657"/>
    <w:rsid w:val="003E1B5A"/>
    <w:rsid w:val="003E40B2"/>
    <w:rsid w:val="003E44AD"/>
    <w:rsid w:val="003F0BD9"/>
    <w:rsid w:val="003F0FE7"/>
    <w:rsid w:val="003F1419"/>
    <w:rsid w:val="003F2E32"/>
    <w:rsid w:val="003F570B"/>
    <w:rsid w:val="00411B62"/>
    <w:rsid w:val="004177CD"/>
    <w:rsid w:val="0042688C"/>
    <w:rsid w:val="0042765E"/>
    <w:rsid w:val="00427AE5"/>
    <w:rsid w:val="00443282"/>
    <w:rsid w:val="004562F1"/>
    <w:rsid w:val="004628F2"/>
    <w:rsid w:val="00471921"/>
    <w:rsid w:val="00491543"/>
    <w:rsid w:val="004A661D"/>
    <w:rsid w:val="004C0BC3"/>
    <w:rsid w:val="004C70C8"/>
    <w:rsid w:val="004E683E"/>
    <w:rsid w:val="00524164"/>
    <w:rsid w:val="00527733"/>
    <w:rsid w:val="00531000"/>
    <w:rsid w:val="00533A77"/>
    <w:rsid w:val="005401E0"/>
    <w:rsid w:val="00544424"/>
    <w:rsid w:val="0054746C"/>
    <w:rsid w:val="00556F8C"/>
    <w:rsid w:val="00565830"/>
    <w:rsid w:val="00565B5E"/>
    <w:rsid w:val="00566B5F"/>
    <w:rsid w:val="00587D1F"/>
    <w:rsid w:val="005953A1"/>
    <w:rsid w:val="005A2F24"/>
    <w:rsid w:val="005A6119"/>
    <w:rsid w:val="005B4DA4"/>
    <w:rsid w:val="005C180F"/>
    <w:rsid w:val="005C4EB6"/>
    <w:rsid w:val="005C77BE"/>
    <w:rsid w:val="005D238D"/>
    <w:rsid w:val="005E0B1A"/>
    <w:rsid w:val="005E45C6"/>
    <w:rsid w:val="0060721F"/>
    <w:rsid w:val="006128A5"/>
    <w:rsid w:val="00613169"/>
    <w:rsid w:val="006132A8"/>
    <w:rsid w:val="0062572C"/>
    <w:rsid w:val="00630E07"/>
    <w:rsid w:val="0063784F"/>
    <w:rsid w:val="00637F43"/>
    <w:rsid w:val="00644A1B"/>
    <w:rsid w:val="006536D8"/>
    <w:rsid w:val="00654399"/>
    <w:rsid w:val="00654BA4"/>
    <w:rsid w:val="0066195A"/>
    <w:rsid w:val="00664931"/>
    <w:rsid w:val="006670C8"/>
    <w:rsid w:val="00674D13"/>
    <w:rsid w:val="006841A7"/>
    <w:rsid w:val="00693721"/>
    <w:rsid w:val="00694C22"/>
    <w:rsid w:val="006963BC"/>
    <w:rsid w:val="006970F4"/>
    <w:rsid w:val="006A2E15"/>
    <w:rsid w:val="006B163F"/>
    <w:rsid w:val="006D7F9D"/>
    <w:rsid w:val="006E7CBB"/>
    <w:rsid w:val="006F7028"/>
    <w:rsid w:val="006F749E"/>
    <w:rsid w:val="007024F1"/>
    <w:rsid w:val="00713417"/>
    <w:rsid w:val="0071476D"/>
    <w:rsid w:val="00714EDD"/>
    <w:rsid w:val="00723505"/>
    <w:rsid w:val="007263B9"/>
    <w:rsid w:val="0075009F"/>
    <w:rsid w:val="00754038"/>
    <w:rsid w:val="00781E6A"/>
    <w:rsid w:val="007B1F57"/>
    <w:rsid w:val="007B4938"/>
    <w:rsid w:val="007E3706"/>
    <w:rsid w:val="007F4CD3"/>
    <w:rsid w:val="007F61C2"/>
    <w:rsid w:val="008012D9"/>
    <w:rsid w:val="008018DB"/>
    <w:rsid w:val="00803CA2"/>
    <w:rsid w:val="00807CAC"/>
    <w:rsid w:val="008115BF"/>
    <w:rsid w:val="008166EB"/>
    <w:rsid w:val="00816942"/>
    <w:rsid w:val="008212DA"/>
    <w:rsid w:val="00824D81"/>
    <w:rsid w:val="00835322"/>
    <w:rsid w:val="00853ABC"/>
    <w:rsid w:val="00871D53"/>
    <w:rsid w:val="00871DCE"/>
    <w:rsid w:val="00881405"/>
    <w:rsid w:val="0089069F"/>
    <w:rsid w:val="00895B40"/>
    <w:rsid w:val="00895DA2"/>
    <w:rsid w:val="00897359"/>
    <w:rsid w:val="008A7371"/>
    <w:rsid w:val="008B7EC5"/>
    <w:rsid w:val="008D25B7"/>
    <w:rsid w:val="008D5479"/>
    <w:rsid w:val="008E0DC0"/>
    <w:rsid w:val="008E0DF5"/>
    <w:rsid w:val="008E3273"/>
    <w:rsid w:val="008F0C45"/>
    <w:rsid w:val="00904B00"/>
    <w:rsid w:val="00904EDC"/>
    <w:rsid w:val="0092286A"/>
    <w:rsid w:val="00923906"/>
    <w:rsid w:val="00940C0F"/>
    <w:rsid w:val="0094424D"/>
    <w:rsid w:val="00951DC3"/>
    <w:rsid w:val="0095548F"/>
    <w:rsid w:val="009744C8"/>
    <w:rsid w:val="00974530"/>
    <w:rsid w:val="00980E58"/>
    <w:rsid w:val="009815BD"/>
    <w:rsid w:val="00981886"/>
    <w:rsid w:val="00990102"/>
    <w:rsid w:val="00990FEC"/>
    <w:rsid w:val="00992257"/>
    <w:rsid w:val="00995921"/>
    <w:rsid w:val="00997E84"/>
    <w:rsid w:val="009A065C"/>
    <w:rsid w:val="009A1B08"/>
    <w:rsid w:val="009C3CB9"/>
    <w:rsid w:val="009C4A13"/>
    <w:rsid w:val="009C745D"/>
    <w:rsid w:val="009E39CB"/>
    <w:rsid w:val="009F68AF"/>
    <w:rsid w:val="009F7DE3"/>
    <w:rsid w:val="00A07154"/>
    <w:rsid w:val="00A11868"/>
    <w:rsid w:val="00A127D3"/>
    <w:rsid w:val="00A1386C"/>
    <w:rsid w:val="00A14072"/>
    <w:rsid w:val="00A14335"/>
    <w:rsid w:val="00A14B43"/>
    <w:rsid w:val="00A23612"/>
    <w:rsid w:val="00A2604E"/>
    <w:rsid w:val="00A31D29"/>
    <w:rsid w:val="00A32860"/>
    <w:rsid w:val="00A40E1A"/>
    <w:rsid w:val="00A417A2"/>
    <w:rsid w:val="00A51A92"/>
    <w:rsid w:val="00A52189"/>
    <w:rsid w:val="00A57463"/>
    <w:rsid w:val="00A664DF"/>
    <w:rsid w:val="00A71219"/>
    <w:rsid w:val="00A713D0"/>
    <w:rsid w:val="00A722D4"/>
    <w:rsid w:val="00A75AAA"/>
    <w:rsid w:val="00A82A29"/>
    <w:rsid w:val="00AA516A"/>
    <w:rsid w:val="00AA5B0E"/>
    <w:rsid w:val="00AC0504"/>
    <w:rsid w:val="00AC1DB7"/>
    <w:rsid w:val="00AC664F"/>
    <w:rsid w:val="00AC750B"/>
    <w:rsid w:val="00AD6937"/>
    <w:rsid w:val="00AE1F12"/>
    <w:rsid w:val="00AE24CC"/>
    <w:rsid w:val="00AE4155"/>
    <w:rsid w:val="00AE4B7C"/>
    <w:rsid w:val="00AE66F6"/>
    <w:rsid w:val="00AF17CE"/>
    <w:rsid w:val="00AF349B"/>
    <w:rsid w:val="00B009E9"/>
    <w:rsid w:val="00B01B16"/>
    <w:rsid w:val="00B11D16"/>
    <w:rsid w:val="00B24588"/>
    <w:rsid w:val="00B447D7"/>
    <w:rsid w:val="00B51693"/>
    <w:rsid w:val="00B61016"/>
    <w:rsid w:val="00B71BAA"/>
    <w:rsid w:val="00B76A1F"/>
    <w:rsid w:val="00B82F8C"/>
    <w:rsid w:val="00B8460F"/>
    <w:rsid w:val="00B87561"/>
    <w:rsid w:val="00B95477"/>
    <w:rsid w:val="00BA1D81"/>
    <w:rsid w:val="00BA7130"/>
    <w:rsid w:val="00BB5EF5"/>
    <w:rsid w:val="00BD74AE"/>
    <w:rsid w:val="00BE16BC"/>
    <w:rsid w:val="00BE3FE7"/>
    <w:rsid w:val="00BF2D74"/>
    <w:rsid w:val="00BF4CC8"/>
    <w:rsid w:val="00BF75B6"/>
    <w:rsid w:val="00C02547"/>
    <w:rsid w:val="00C056C8"/>
    <w:rsid w:val="00C058D5"/>
    <w:rsid w:val="00C06C20"/>
    <w:rsid w:val="00C1124F"/>
    <w:rsid w:val="00C1686C"/>
    <w:rsid w:val="00C30DED"/>
    <w:rsid w:val="00C37BFF"/>
    <w:rsid w:val="00C45F17"/>
    <w:rsid w:val="00C51458"/>
    <w:rsid w:val="00C53580"/>
    <w:rsid w:val="00C55838"/>
    <w:rsid w:val="00C56745"/>
    <w:rsid w:val="00C70729"/>
    <w:rsid w:val="00C71475"/>
    <w:rsid w:val="00C77EF7"/>
    <w:rsid w:val="00C820F1"/>
    <w:rsid w:val="00C85A38"/>
    <w:rsid w:val="00C91512"/>
    <w:rsid w:val="00C94A53"/>
    <w:rsid w:val="00CA2DE2"/>
    <w:rsid w:val="00CA3A85"/>
    <w:rsid w:val="00CA6636"/>
    <w:rsid w:val="00CA6D76"/>
    <w:rsid w:val="00CB51CC"/>
    <w:rsid w:val="00CC1A72"/>
    <w:rsid w:val="00CC5692"/>
    <w:rsid w:val="00CC65F3"/>
    <w:rsid w:val="00CD56E5"/>
    <w:rsid w:val="00CE0C1B"/>
    <w:rsid w:val="00CF0C67"/>
    <w:rsid w:val="00CF0F40"/>
    <w:rsid w:val="00CF4753"/>
    <w:rsid w:val="00D0083B"/>
    <w:rsid w:val="00D172D8"/>
    <w:rsid w:val="00D35B2D"/>
    <w:rsid w:val="00D44183"/>
    <w:rsid w:val="00D5276C"/>
    <w:rsid w:val="00D6384D"/>
    <w:rsid w:val="00D653F3"/>
    <w:rsid w:val="00D66B24"/>
    <w:rsid w:val="00D872BC"/>
    <w:rsid w:val="00DA21E0"/>
    <w:rsid w:val="00DA529F"/>
    <w:rsid w:val="00DB5AAE"/>
    <w:rsid w:val="00DB6882"/>
    <w:rsid w:val="00DC5017"/>
    <w:rsid w:val="00DC5129"/>
    <w:rsid w:val="00DD7F1B"/>
    <w:rsid w:val="00E12A7A"/>
    <w:rsid w:val="00E27FD6"/>
    <w:rsid w:val="00E41DB9"/>
    <w:rsid w:val="00E762BB"/>
    <w:rsid w:val="00E83D74"/>
    <w:rsid w:val="00E8661B"/>
    <w:rsid w:val="00E9084E"/>
    <w:rsid w:val="00E962E6"/>
    <w:rsid w:val="00EA0A58"/>
    <w:rsid w:val="00EA689F"/>
    <w:rsid w:val="00EC1434"/>
    <w:rsid w:val="00EC72B0"/>
    <w:rsid w:val="00ED421C"/>
    <w:rsid w:val="00ED472B"/>
    <w:rsid w:val="00ED7A49"/>
    <w:rsid w:val="00EE5F75"/>
    <w:rsid w:val="00EF33BE"/>
    <w:rsid w:val="00EF4F97"/>
    <w:rsid w:val="00F126FC"/>
    <w:rsid w:val="00F12983"/>
    <w:rsid w:val="00F15359"/>
    <w:rsid w:val="00F22F4B"/>
    <w:rsid w:val="00F245A2"/>
    <w:rsid w:val="00F309CB"/>
    <w:rsid w:val="00F33EEE"/>
    <w:rsid w:val="00F435E8"/>
    <w:rsid w:val="00F44A0E"/>
    <w:rsid w:val="00F4763C"/>
    <w:rsid w:val="00F477DF"/>
    <w:rsid w:val="00F540BA"/>
    <w:rsid w:val="00F64069"/>
    <w:rsid w:val="00F64D6D"/>
    <w:rsid w:val="00F82EE1"/>
    <w:rsid w:val="00F93134"/>
    <w:rsid w:val="00FB078F"/>
    <w:rsid w:val="00FB70FA"/>
    <w:rsid w:val="00FC3F00"/>
    <w:rsid w:val="00FF1D71"/>
    <w:rsid w:val="00FF3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Char"/>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468744726">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361836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 w:id="21037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2.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7A8E2D13-DAAF-4A6A-8E27-4F7592F2C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724AA7-92B1-433C-B4B0-8FDEC980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2021-08-11T19:44:00Z</dcterms:created>
  <dcterms:modified xsi:type="dcterms:W3CDTF">2021-08-11T19:44:00Z</dcterms:modified>
  <cp:category/>
  <dc:identifier/>
  <cp:contentStatus/>
  <cp:version/>
</cp:coreProperties>
</file>