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0FD5" w:rsidR="00B3407F" w:rsidP="0092596C" w:rsidRDefault="00B3407F" w14:paraId="34B02DCB" w14:textId="77777777">
      <w:pPr>
        <w:spacing w:after="0" w:line="240" w:lineRule="auto"/>
        <w:jc w:val="center"/>
        <w:rPr>
          <w:rFonts w:ascii="Times New Roman" w:hAnsi="Times New Roman"/>
          <w:sz w:val="24"/>
          <w:szCs w:val="24"/>
        </w:rPr>
      </w:pPr>
      <w:r w:rsidRPr="00BD0FD5">
        <w:rPr>
          <w:rFonts w:ascii="Times New Roman" w:hAnsi="Times New Roman"/>
          <w:sz w:val="24"/>
          <w:szCs w:val="24"/>
        </w:rPr>
        <w:t>Supporting Statement</w:t>
      </w:r>
    </w:p>
    <w:p w:rsidR="007D1EDB" w:rsidP="009D4D24" w:rsidRDefault="00B3407F" w14:paraId="65D98BDA" w14:textId="77777777">
      <w:pPr>
        <w:spacing w:after="0" w:line="240" w:lineRule="auto"/>
        <w:jc w:val="center"/>
        <w:rPr>
          <w:rFonts w:ascii="Times New Roman" w:hAnsi="Times New Roman"/>
          <w:b/>
          <w:sz w:val="24"/>
          <w:szCs w:val="24"/>
        </w:rPr>
      </w:pPr>
      <w:r w:rsidRPr="00BD0FD5">
        <w:rPr>
          <w:rFonts w:ascii="Times New Roman" w:hAnsi="Times New Roman"/>
          <w:b/>
          <w:sz w:val="24"/>
          <w:szCs w:val="24"/>
        </w:rPr>
        <w:t>FERC-725</w:t>
      </w:r>
      <w:r w:rsidR="007D1EDB">
        <w:rPr>
          <w:rFonts w:ascii="Times New Roman" w:hAnsi="Times New Roman"/>
          <w:b/>
          <w:sz w:val="24"/>
          <w:szCs w:val="24"/>
        </w:rPr>
        <w:t>A</w:t>
      </w:r>
      <w:r w:rsidRPr="00BD0FD5">
        <w:rPr>
          <w:rFonts w:ascii="Times New Roman" w:hAnsi="Times New Roman"/>
          <w:b/>
          <w:sz w:val="24"/>
          <w:szCs w:val="24"/>
        </w:rPr>
        <w:t>,</w:t>
      </w:r>
      <w:r w:rsidRPr="00BD0FD5" w:rsidR="008F16EE">
        <w:rPr>
          <w:rFonts w:ascii="Times New Roman" w:hAnsi="Times New Roman"/>
          <w:b/>
          <w:sz w:val="24"/>
          <w:szCs w:val="24"/>
        </w:rPr>
        <w:t xml:space="preserve"> Mandatory Reliability Standards</w:t>
      </w:r>
      <w:r w:rsidR="007D1EDB">
        <w:rPr>
          <w:rFonts w:ascii="Times New Roman" w:hAnsi="Times New Roman"/>
          <w:b/>
          <w:sz w:val="24"/>
          <w:szCs w:val="24"/>
        </w:rPr>
        <w:t xml:space="preserve"> for the Bulk Power System</w:t>
      </w:r>
    </w:p>
    <w:p w:rsidRPr="00BD0FD5" w:rsidR="00FD66F1" w:rsidP="0092596C" w:rsidRDefault="00FD66F1" w14:paraId="06ED65FC" w14:textId="77777777">
      <w:pPr>
        <w:spacing w:after="0" w:line="240" w:lineRule="auto"/>
        <w:rPr>
          <w:rFonts w:ascii="Times New Roman" w:hAnsi="Times New Roman" w:cs="Times New Roman"/>
          <w:sz w:val="24"/>
          <w:szCs w:val="24"/>
        </w:rPr>
      </w:pPr>
    </w:p>
    <w:p w:rsidRPr="00BD0FD5" w:rsidR="0081469B" w:rsidP="0081469B" w:rsidRDefault="00656F55" w14:paraId="5C6E31D6" w14:textId="478AC5D0">
      <w:pPr>
        <w:spacing w:after="0" w:line="240" w:lineRule="auto"/>
        <w:rPr>
          <w:rFonts w:ascii="Times New Roman" w:hAnsi="Times New Roman"/>
          <w:sz w:val="24"/>
          <w:szCs w:val="24"/>
        </w:rPr>
      </w:pPr>
      <w:r w:rsidRPr="00BD0FD5">
        <w:rPr>
          <w:rFonts w:ascii="Times New Roman" w:hAnsi="Times New Roman"/>
          <w:sz w:val="24"/>
          <w:szCs w:val="24"/>
        </w:rPr>
        <w:t>The existing</w:t>
      </w:r>
      <w:r w:rsidRPr="00BD0FD5" w:rsidR="00333EE2">
        <w:rPr>
          <w:rFonts w:ascii="Times New Roman" w:hAnsi="Times New Roman"/>
          <w:sz w:val="24"/>
          <w:szCs w:val="24"/>
        </w:rPr>
        <w:t xml:space="preserve"> information collection requireme</w:t>
      </w:r>
      <w:r w:rsidRPr="00BD0FD5" w:rsidR="007A7A19">
        <w:rPr>
          <w:rFonts w:ascii="Times New Roman" w:hAnsi="Times New Roman"/>
          <w:sz w:val="24"/>
          <w:szCs w:val="24"/>
        </w:rPr>
        <w:t xml:space="preserve">nts in the </w:t>
      </w:r>
      <w:r w:rsidR="00DD2B39">
        <w:rPr>
          <w:rFonts w:ascii="Times New Roman" w:hAnsi="Times New Roman"/>
          <w:sz w:val="24"/>
          <w:szCs w:val="24"/>
        </w:rPr>
        <w:t xml:space="preserve">currently effective </w:t>
      </w:r>
      <w:r w:rsidR="007E08EF">
        <w:rPr>
          <w:rFonts w:ascii="Times New Roman" w:hAnsi="Times New Roman"/>
          <w:sz w:val="24"/>
          <w:szCs w:val="24"/>
        </w:rPr>
        <w:t xml:space="preserve">Mandatory </w:t>
      </w:r>
      <w:r w:rsidRPr="00BD0FD5" w:rsidR="007A7A19">
        <w:rPr>
          <w:rFonts w:ascii="Times New Roman" w:hAnsi="Times New Roman"/>
          <w:sz w:val="24"/>
          <w:szCs w:val="24"/>
        </w:rPr>
        <w:t>Reliability Standard</w:t>
      </w:r>
      <w:r w:rsidR="007E08EF">
        <w:rPr>
          <w:rFonts w:ascii="Times New Roman" w:hAnsi="Times New Roman"/>
          <w:sz w:val="24"/>
          <w:szCs w:val="24"/>
        </w:rPr>
        <w:t>s</w:t>
      </w:r>
      <w:r w:rsidR="00DD2B39">
        <w:rPr>
          <w:rFonts w:ascii="Times New Roman" w:hAnsi="Times New Roman"/>
          <w:sz w:val="24"/>
          <w:szCs w:val="24"/>
        </w:rPr>
        <w:t>,</w:t>
      </w:r>
      <w:r w:rsidRPr="00BD0FD5" w:rsidR="00333EE2">
        <w:rPr>
          <w:rFonts w:ascii="Times New Roman" w:hAnsi="Times New Roman"/>
          <w:sz w:val="24"/>
          <w:szCs w:val="24"/>
        </w:rPr>
        <w:t xml:space="preserve"> are approved by OMB under FERC-725A (</w:t>
      </w:r>
      <w:r w:rsidRPr="00BD0FD5" w:rsidR="001F1AD2">
        <w:rPr>
          <w:rFonts w:ascii="Times New Roman" w:hAnsi="Times New Roman"/>
          <w:sz w:val="24"/>
          <w:szCs w:val="24"/>
        </w:rPr>
        <w:t>OMB Control No.</w:t>
      </w:r>
      <w:r w:rsidRPr="00BD0FD5" w:rsidR="00333EE2">
        <w:rPr>
          <w:rFonts w:ascii="Times New Roman" w:hAnsi="Times New Roman"/>
          <w:sz w:val="24"/>
          <w:szCs w:val="24"/>
        </w:rPr>
        <w:t xml:space="preserve">1902-0244).  </w:t>
      </w:r>
    </w:p>
    <w:p w:rsidRPr="00BD0FD5" w:rsidR="0002242D" w:rsidP="0092596C" w:rsidRDefault="0002242D" w14:paraId="0A7ACEEA" w14:textId="77777777">
      <w:pPr>
        <w:spacing w:after="0" w:line="240" w:lineRule="auto"/>
        <w:rPr>
          <w:rFonts w:ascii="Times New Roman" w:hAnsi="Times New Roman" w:cs="Times New Roman"/>
          <w:sz w:val="24"/>
          <w:szCs w:val="24"/>
        </w:rPr>
      </w:pPr>
    </w:p>
    <w:p w:rsidRPr="00BD0FD5" w:rsidR="00A72E7B" w:rsidP="0092596C" w:rsidRDefault="00A72E7B" w14:paraId="24609743"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CIRCUMSTANCES THAT MAKE THE COLLECTION OF INFORMATION NECESSARY</w:t>
      </w:r>
    </w:p>
    <w:p w:rsidR="007E08EF" w:rsidP="007E08EF" w:rsidRDefault="007E08EF" w14:paraId="2897BE48" w14:textId="7B881229">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 xml:space="preserve">On August 8, 2005, the Electricity Modernization Act of 2005, which is Title XII, Subtitle A, of the Energy Policy Act of 2005 (EPAct 2005), was enacted into law.  EPAct 2005 added a new section 215 to the FPA, which requires a Commission-certified </w:t>
      </w:r>
      <w:r w:rsidR="007C5EB4">
        <w:rPr>
          <w:rFonts w:ascii="Times New Roman" w:hAnsi="Times New Roman" w:cs="Times New Roman"/>
          <w:sz w:val="24"/>
          <w:szCs w:val="24"/>
        </w:rPr>
        <w:t>E</w:t>
      </w:r>
      <w:r w:rsidRPr="007E08EF">
        <w:rPr>
          <w:rFonts w:ascii="Times New Roman" w:hAnsi="Times New Roman" w:cs="Times New Roman"/>
          <w:sz w:val="24"/>
          <w:szCs w:val="24"/>
        </w:rPr>
        <w:t xml:space="preserve">lectric </w:t>
      </w:r>
      <w:r w:rsidR="007C5EB4">
        <w:rPr>
          <w:rFonts w:ascii="Times New Roman" w:hAnsi="Times New Roman" w:cs="Times New Roman"/>
          <w:sz w:val="24"/>
          <w:szCs w:val="24"/>
        </w:rPr>
        <w:t>R</w:t>
      </w:r>
      <w:r w:rsidRPr="007E08EF">
        <w:rPr>
          <w:rFonts w:ascii="Times New Roman" w:hAnsi="Times New Roman" w:cs="Times New Roman"/>
          <w:sz w:val="24"/>
          <w:szCs w:val="24"/>
        </w:rPr>
        <w:t xml:space="preserve">eliability </w:t>
      </w:r>
      <w:r w:rsidR="007C5EB4">
        <w:rPr>
          <w:rFonts w:ascii="Times New Roman" w:hAnsi="Times New Roman" w:cs="Times New Roman"/>
          <w:sz w:val="24"/>
          <w:szCs w:val="24"/>
        </w:rPr>
        <w:t>O</w:t>
      </w:r>
      <w:r w:rsidRPr="007E08EF">
        <w:rPr>
          <w:rFonts w:ascii="Times New Roman" w:hAnsi="Times New Roman" w:cs="Times New Roman"/>
          <w:sz w:val="24"/>
          <w:szCs w:val="24"/>
        </w:rPr>
        <w:t xml:space="preserve">rganization (ERO) (FERC-725) to develop mandatory and enforceable Reliability Standards, which are subject to Commission review and approval.  Once approved, the Reliability Standards may be enforced by the ERO, subject to Commission oversight or the Commission can independently enforce Reliability Standards (FERC-725A). </w:t>
      </w:r>
    </w:p>
    <w:p w:rsidRPr="007E08EF" w:rsidR="00004D85" w:rsidP="007E08EF" w:rsidRDefault="00004D85" w14:paraId="010D7951" w14:textId="77777777">
      <w:pPr>
        <w:spacing w:after="0" w:line="240" w:lineRule="auto"/>
        <w:rPr>
          <w:rFonts w:ascii="Times New Roman" w:hAnsi="Times New Roman" w:cs="Times New Roman"/>
          <w:sz w:val="24"/>
          <w:szCs w:val="24"/>
        </w:rPr>
      </w:pPr>
    </w:p>
    <w:p w:rsidR="007E08EF" w:rsidP="007E08EF" w:rsidRDefault="007E08EF" w14:paraId="606B9AEF" w14:textId="39BCDBF4">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On February 3, 2006, the Commission issued Order No. 672, implementing section 215 of the F</w:t>
      </w:r>
      <w:r w:rsidR="007C5EB4">
        <w:rPr>
          <w:rFonts w:ascii="Times New Roman" w:hAnsi="Times New Roman" w:cs="Times New Roman"/>
          <w:sz w:val="24"/>
          <w:szCs w:val="24"/>
        </w:rPr>
        <w:t>ederal Power Act (F</w:t>
      </w:r>
      <w:r w:rsidRPr="007E08EF">
        <w:rPr>
          <w:rFonts w:ascii="Times New Roman" w:hAnsi="Times New Roman" w:cs="Times New Roman"/>
          <w:sz w:val="24"/>
          <w:szCs w:val="24"/>
        </w:rPr>
        <w:t>PA</w:t>
      </w:r>
      <w:r w:rsidR="007C5EB4">
        <w:rPr>
          <w:rFonts w:ascii="Times New Roman" w:hAnsi="Times New Roman" w:cs="Times New Roman"/>
          <w:sz w:val="24"/>
          <w:szCs w:val="24"/>
        </w:rPr>
        <w:t>)</w:t>
      </w:r>
      <w:r w:rsidRPr="007E08EF">
        <w:rPr>
          <w:rFonts w:ascii="Times New Roman" w:hAnsi="Times New Roman" w:cs="Times New Roman"/>
          <w:sz w:val="24"/>
          <w:szCs w:val="24"/>
        </w:rPr>
        <w:t xml:space="preserve">.   Pursuant to Order No. 672, the Commission certified one organization, NERC, as the ERO.   The ERO is required to develop Reliability Standards, which are subject to Commission review and approval.  The Reliability Standards will apply to users, owners and operators of the Bulk-Power System, as set forth in each Reliability Standard.  </w:t>
      </w:r>
    </w:p>
    <w:p w:rsidRPr="007E08EF" w:rsidR="00004D85" w:rsidP="007E08EF" w:rsidRDefault="00004D85" w14:paraId="2D0DCF2F" w14:textId="77777777">
      <w:pPr>
        <w:spacing w:after="0" w:line="240" w:lineRule="auto"/>
        <w:rPr>
          <w:rFonts w:ascii="Times New Roman" w:hAnsi="Times New Roman" w:cs="Times New Roman"/>
          <w:sz w:val="24"/>
          <w:szCs w:val="24"/>
        </w:rPr>
      </w:pPr>
    </w:p>
    <w:p w:rsidR="007E08EF" w:rsidP="007E08EF" w:rsidRDefault="007E08EF" w14:paraId="1B23A74E" w14:textId="44DACE5C">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 xml:space="preserve">On March 16, 2007, the Commission issued Order No. 693, a Final Rule adding part 40, a new part, to the Commission’s regulations.  The Final Rule states that this part applies to all users, owners and operators of the Bulk-Power System within the United States (other than Alaska or Hawaii).  It also requires that each Reliability Standard identify the subset of users, owners and operators to which that </w:t>
      </w:r>
      <w:r w:rsidRPr="007E08EF" w:rsidR="00896DEA">
        <w:rPr>
          <w:rFonts w:ascii="Times New Roman" w:hAnsi="Times New Roman" w:cs="Times New Roman"/>
          <w:sz w:val="24"/>
          <w:szCs w:val="24"/>
        </w:rPr>
        <w:t>Reliability</w:t>
      </w:r>
      <w:r w:rsidRPr="007E08EF">
        <w:rPr>
          <w:rFonts w:ascii="Times New Roman" w:hAnsi="Times New Roman" w:cs="Times New Roman"/>
          <w:sz w:val="24"/>
          <w:szCs w:val="24"/>
        </w:rPr>
        <w:t xml:space="preserve"> Standard applies.  The new regulations also require that each Reliability Standard that is approved by the Commission will be maintained on the ERO’s Internet website for public inspection. </w:t>
      </w:r>
    </w:p>
    <w:p w:rsidRPr="007E08EF" w:rsidR="00004D85" w:rsidP="007E08EF" w:rsidRDefault="00004D85" w14:paraId="643D6819" w14:textId="77777777">
      <w:pPr>
        <w:spacing w:after="0" w:line="240" w:lineRule="auto"/>
        <w:rPr>
          <w:rFonts w:ascii="Times New Roman" w:hAnsi="Times New Roman" w:cs="Times New Roman"/>
          <w:sz w:val="24"/>
          <w:szCs w:val="24"/>
        </w:rPr>
      </w:pPr>
    </w:p>
    <w:p w:rsidR="007E08EF" w:rsidP="007E08EF" w:rsidRDefault="007E08EF" w14:paraId="41D62511" w14:textId="65F8DC69">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 xml:space="preserve">In order that the Commission is able to perform its oversight function with regard to Reliability Standards that are proposed by the ERO and established by the Commission, it is essential that the Commission receive timely information regarding all or potential violations of Reliability Standards.  While section 215 of the FPA contemplates the filing of the record of an ERO or Regional Entity enforcement action, FERC needs information regarding violations and potential violations at or near the time of occurrence.  Therefore, it will work with the ERO and regional reliability organizations to be able to use the electronic filing of </w:t>
      </w:r>
      <w:r w:rsidRPr="007E08EF" w:rsidR="00896DEA">
        <w:rPr>
          <w:rFonts w:ascii="Times New Roman" w:hAnsi="Times New Roman" w:cs="Times New Roman"/>
          <w:sz w:val="24"/>
          <w:szCs w:val="24"/>
        </w:rPr>
        <w:t>information,</w:t>
      </w:r>
      <w:r w:rsidRPr="007E08EF">
        <w:rPr>
          <w:rFonts w:ascii="Times New Roman" w:hAnsi="Times New Roman" w:cs="Times New Roman"/>
          <w:sz w:val="24"/>
          <w:szCs w:val="24"/>
        </w:rPr>
        <w:t xml:space="preserve"> so the Commission receives timely information. The new regulations also require that each Reliability Standard that is approved by the Commission will be maintained on the ERO’s Internet website for public inspection.   </w:t>
      </w:r>
    </w:p>
    <w:p w:rsidRPr="007E08EF" w:rsidR="00DD1F76" w:rsidP="007E08EF" w:rsidRDefault="00DD1F76" w14:paraId="0085E51F" w14:textId="77777777">
      <w:pPr>
        <w:spacing w:after="0" w:line="240" w:lineRule="auto"/>
        <w:rPr>
          <w:rFonts w:ascii="Times New Roman" w:hAnsi="Times New Roman" w:cs="Times New Roman"/>
          <w:sz w:val="24"/>
          <w:szCs w:val="24"/>
        </w:rPr>
      </w:pPr>
    </w:p>
    <w:p w:rsidRPr="007E08EF" w:rsidR="007E08EF" w:rsidP="007E08EF" w:rsidRDefault="007E08EF" w14:paraId="4F58CCD3" w14:textId="77777777">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 xml:space="preserve">In accordance with section 39.5 of the Commission’s regulations, the ERO must file each Reliability Standard or a modification to a Reliability Standard with the Commission.  The filing is to include a concise statement of the basis and purpose of the proposed Reliability Standard, either a summary of the Reliability development proceedings conducted by the ERO or a summary of the Reliability Standard development proceedings conducted by a Regional Entity </w:t>
      </w:r>
      <w:r w:rsidRPr="007E08EF">
        <w:rPr>
          <w:rFonts w:ascii="Times New Roman" w:hAnsi="Times New Roman" w:cs="Times New Roman"/>
          <w:sz w:val="24"/>
          <w:szCs w:val="24"/>
        </w:rPr>
        <w:lastRenderedPageBreak/>
        <w:t>together with a summary of the Reliability Standard review proceedings of the ERO and a demonstration that the proposed Reliability Standard is “just, reasonable, not unduly discriminatory or preferential, and in the public interest.</w:t>
      </w:r>
    </w:p>
    <w:p w:rsidR="007E08EF" w:rsidP="007E08EF" w:rsidRDefault="007E08EF" w14:paraId="1CB697B7" w14:textId="77777777">
      <w:pPr>
        <w:spacing w:after="0" w:line="240" w:lineRule="auto"/>
        <w:rPr>
          <w:rFonts w:ascii="Times New Roman" w:hAnsi="Times New Roman" w:cs="Times New Roman"/>
          <w:b/>
          <w:bCs/>
          <w:sz w:val="24"/>
          <w:szCs w:val="24"/>
        </w:rPr>
      </w:pPr>
      <w:r w:rsidRPr="007E08EF">
        <w:rPr>
          <w:rFonts w:ascii="Times New Roman" w:hAnsi="Times New Roman" w:cs="Times New Roman"/>
          <w:b/>
          <w:bCs/>
          <w:sz w:val="24"/>
          <w:szCs w:val="24"/>
        </w:rPr>
        <w:t>RD21-4 (FAC-008-05)</w:t>
      </w:r>
    </w:p>
    <w:p w:rsidRPr="007E08EF" w:rsidR="007E08EF" w:rsidP="007E08EF" w:rsidRDefault="007E08EF" w14:paraId="23E711E3" w14:textId="77777777">
      <w:pPr>
        <w:spacing w:after="0" w:line="240" w:lineRule="auto"/>
        <w:rPr>
          <w:rFonts w:ascii="Times New Roman" w:hAnsi="Times New Roman" w:cs="Times New Roman"/>
          <w:b/>
          <w:bCs/>
          <w:sz w:val="24"/>
          <w:szCs w:val="24"/>
        </w:rPr>
      </w:pPr>
    </w:p>
    <w:p w:rsidRPr="007E08EF" w:rsidR="007E08EF" w:rsidP="007E08EF" w:rsidRDefault="007E08EF" w14:paraId="72A5F319" w14:textId="277F389D">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The proposed information collection changes in Docket No. RD21–4–000 relate</w:t>
      </w:r>
      <w:r w:rsidR="00773039">
        <w:rPr>
          <w:rFonts w:ascii="Times New Roman" w:hAnsi="Times New Roman" w:cs="Times New Roman"/>
          <w:sz w:val="24"/>
          <w:szCs w:val="24"/>
        </w:rPr>
        <w:t>s</w:t>
      </w:r>
      <w:r w:rsidRPr="007E08EF">
        <w:rPr>
          <w:rFonts w:ascii="Times New Roman" w:hAnsi="Times New Roman" w:cs="Times New Roman"/>
          <w:sz w:val="24"/>
          <w:szCs w:val="24"/>
        </w:rPr>
        <w:t xml:space="preserve"> to the proposed Reliability Standard FAC-008-05 (Facility Ratings) developed by the North American Electric Reliability Corporation (NERC), and submitted to the Commission for approval. The Commission received NERC’s petition to approve the proposed Reliability Standards. </w:t>
      </w:r>
    </w:p>
    <w:p w:rsidR="007E08EF" w:rsidP="007E08EF" w:rsidRDefault="007E08EF" w14:paraId="636C0AC7" w14:textId="2BB39919">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On February 19, 2021, NERC filed a petition seeking approval of proposed Reliability Standard FAC-008-5.  NERC states that proposed Reliability Standard FAC-008-5 reflects the retirement of Requirement R7 of the currently effective standard.  NERC notes that this proposal was recommended following the first phase of work under the NERC Standards Efficiency Review and that in its Order No. 873 remanding a previously proposed version of the FAC-008 Reliability Standard, the Commission agreed that the retirement of Requirement R7 from the standard would not result in a reliability gap.</w:t>
      </w:r>
    </w:p>
    <w:p w:rsidRPr="007E08EF" w:rsidR="00DD1F76" w:rsidP="007E08EF" w:rsidRDefault="00DD1F76" w14:paraId="24052ED3" w14:textId="77777777">
      <w:pPr>
        <w:spacing w:after="0" w:line="240" w:lineRule="auto"/>
        <w:rPr>
          <w:rFonts w:ascii="Times New Roman" w:hAnsi="Times New Roman" w:cs="Times New Roman"/>
          <w:sz w:val="24"/>
          <w:szCs w:val="24"/>
        </w:rPr>
      </w:pPr>
    </w:p>
    <w:p w:rsidR="007E08EF" w:rsidP="007E08EF" w:rsidRDefault="007E08EF" w14:paraId="42E66882" w14:textId="75E2125A">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 xml:space="preserve">In June 2019, following the conclusion of the standard development process, NERC submitted a series of standard retirement proposals to the Commission.  Among the proposals, NERC submitted for Commission approval proposed Reliability Standard FAC-008-4, in which NERC proposed to retire Requirements R7 and R8 of currently effective Reliability Standard FAC-008-3.  In September 2020, the Commission issued Order No. 873 regarding NERC’s retirement proposals.  In this order, the Commission remanded proposed Reliability Standard FAC-008-4 to NERC for further consideration, citing concerns with the proposed retirement of Requirement R8 of the currently effective standard.  The standard drafting team determined to develop a new version of the Reliability Standard, proposed Reliability Standard FAC-008-5, in which only Requirement R7 of the currently effective standard would be proposed for retirement.  Reliability Standard FAC-008-5 Requirement R7 requires Generator Owners and Transmission Owners to provide certain information to requesting Reliability Coordinator(s), Planning Coordinator(s), Transmission Planner(s), Transmission Owner(s), and Transmission Operator(s) regarding their Facilities, as follows: </w:t>
      </w:r>
    </w:p>
    <w:p w:rsidRPr="007E08EF" w:rsidR="00DD1F76" w:rsidP="007E08EF" w:rsidRDefault="00DD1F76" w14:paraId="7CE70A01" w14:textId="77777777">
      <w:pPr>
        <w:spacing w:after="0" w:line="240" w:lineRule="auto"/>
        <w:rPr>
          <w:rFonts w:ascii="Times New Roman" w:hAnsi="Times New Roman" w:cs="Times New Roman"/>
          <w:sz w:val="24"/>
          <w:szCs w:val="24"/>
        </w:rPr>
      </w:pPr>
    </w:p>
    <w:p w:rsidRPr="007E08EF" w:rsidR="007E08EF" w:rsidP="007E08EF" w:rsidRDefault="007E08EF" w14:paraId="1C441281" w14:textId="77777777">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 xml:space="preserve">R7. Each Generator Owner shall provide Facility Ratings (for its solely and jointly owned Facilities that are existing Facilities, new Facilities, modifications to existing Facilities and re-ratings of existing Facilities) to its associated Reliability Coordinator(s), Planning Coordinator(s), Transmission Planner(s), Transmission Owner(s) and Transmission Operator(s) as scheduled by such requesting entities. </w:t>
      </w:r>
    </w:p>
    <w:p w:rsidR="007E08EF" w:rsidP="007E08EF" w:rsidRDefault="007E08EF" w14:paraId="7A869914" w14:textId="77777777">
      <w:pPr>
        <w:spacing w:after="0" w:line="240" w:lineRule="auto"/>
        <w:rPr>
          <w:rFonts w:ascii="Times New Roman" w:hAnsi="Times New Roman" w:cs="Times New Roman"/>
          <w:sz w:val="24"/>
          <w:szCs w:val="24"/>
        </w:rPr>
      </w:pPr>
    </w:p>
    <w:p w:rsidRPr="00BD0FD5" w:rsidR="00A72E7B" w:rsidP="007E08EF" w:rsidRDefault="007E08EF" w14:paraId="18AB99A4" w14:textId="77777777">
      <w:pPr>
        <w:spacing w:after="0" w:line="240" w:lineRule="auto"/>
        <w:rPr>
          <w:rFonts w:ascii="Times New Roman" w:hAnsi="Times New Roman" w:cs="Times New Roman"/>
          <w:sz w:val="24"/>
          <w:szCs w:val="24"/>
        </w:rPr>
      </w:pPr>
      <w:r w:rsidRPr="007E08EF">
        <w:rPr>
          <w:rFonts w:ascii="Times New Roman" w:hAnsi="Times New Roman" w:cs="Times New Roman"/>
          <w:sz w:val="24"/>
          <w:szCs w:val="24"/>
        </w:rPr>
        <w:t>In the years since Reliability Standard FAC-008-5 was developed, NERC has developed other Reliability Standards that render the data provision obligations of Requirement R7 redundant., Requirement R1 of Reliability Standard TOP-003-3 – Operational Reliability Data requires the Transmission Operator to maintain a documented data specification (Requirement R1) and for the Transmission Owner and Generator Owner to provide the requested data (Requirement R5).</w:t>
      </w:r>
    </w:p>
    <w:p w:rsidRPr="00BD0FD5" w:rsidR="00DF401D" w:rsidP="0092596C" w:rsidRDefault="00DF401D" w14:paraId="0A31E859" w14:textId="7CC13022">
      <w:pPr>
        <w:pStyle w:val="FERCparanumber"/>
        <w:widowControl/>
        <w:numPr>
          <w:ilvl w:val="0"/>
          <w:numId w:val="0"/>
        </w:numPr>
        <w:spacing w:line="240" w:lineRule="auto"/>
        <w:rPr>
          <w:sz w:val="24"/>
        </w:rPr>
      </w:pPr>
      <w:r w:rsidRPr="00BD0FD5">
        <w:rPr>
          <w:sz w:val="24"/>
        </w:rPr>
        <w:t>Once approved</w:t>
      </w:r>
      <w:r w:rsidRPr="00BD0FD5" w:rsidR="0081469B">
        <w:rPr>
          <w:sz w:val="24"/>
        </w:rPr>
        <w:t>,</w:t>
      </w:r>
      <w:r w:rsidRPr="00BD0FD5">
        <w:rPr>
          <w:sz w:val="24"/>
        </w:rPr>
        <w:t xml:space="preserve"> the Reliability Standards may be enforced by the ERO, subject to Commission oversight</w:t>
      </w:r>
      <w:r w:rsidR="00DD2B39">
        <w:rPr>
          <w:sz w:val="24"/>
        </w:rPr>
        <w:t>, or by the Commission independently</w:t>
      </w:r>
      <w:r w:rsidRPr="00BD0FD5">
        <w:rPr>
          <w:sz w:val="24"/>
        </w:rPr>
        <w:t xml:space="preserve">. </w:t>
      </w:r>
    </w:p>
    <w:p w:rsidRPr="00BD0FD5" w:rsidR="00DF401D" w:rsidP="0092596C" w:rsidRDefault="00DF401D" w14:paraId="37AB418D" w14:textId="77777777">
      <w:pPr>
        <w:spacing w:after="0" w:line="240" w:lineRule="auto"/>
        <w:rPr>
          <w:rFonts w:ascii="Times New Roman" w:hAnsi="Times New Roman" w:cs="Times New Roman"/>
          <w:sz w:val="24"/>
          <w:szCs w:val="24"/>
        </w:rPr>
      </w:pPr>
    </w:p>
    <w:p w:rsidRPr="00BD0FD5" w:rsidR="00EB3E6F" w:rsidP="0092596C" w:rsidRDefault="00EB3E6F" w14:paraId="217ED921" w14:textId="77777777">
      <w:pPr>
        <w:spacing w:after="0" w:line="240" w:lineRule="auto"/>
        <w:rPr>
          <w:rFonts w:ascii="Times New Roman" w:hAnsi="Times New Roman" w:cs="Times New Roman"/>
          <w:sz w:val="24"/>
          <w:szCs w:val="24"/>
        </w:rPr>
      </w:pPr>
    </w:p>
    <w:p w:rsidRPr="00BD0FD5" w:rsidR="00A72E7B" w:rsidP="0092596C" w:rsidRDefault="00EB3E6F" w14:paraId="1A5C90A5"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HOW, BY WHOM, AND FOR WHAT PURPOSE THE INFORMATION IS TO BE USED AND THE CONSEQUENCES OF NOT COLLECTING THE INFORMATION</w:t>
      </w:r>
    </w:p>
    <w:p w:rsidR="009A6326" w:rsidP="009A6326" w:rsidRDefault="009A6326" w14:paraId="6C25D29F" w14:textId="30B0D1B1">
      <w:pPr>
        <w:spacing w:after="0" w:line="240" w:lineRule="auto"/>
        <w:rPr>
          <w:rFonts w:ascii="Times New Roman" w:hAnsi="Times New Roman" w:cs="Times New Roman"/>
          <w:sz w:val="24"/>
          <w:szCs w:val="24"/>
        </w:rPr>
      </w:pPr>
    </w:p>
    <w:p w:rsidR="007F0136" w:rsidP="007F0136" w:rsidRDefault="007F0136" w14:paraId="1089FE4B" w14:textId="3F19B14F">
      <w:pPr>
        <w:spacing w:after="0" w:line="240" w:lineRule="auto"/>
        <w:rPr>
          <w:rFonts w:ascii="Times New Roman" w:hAnsi="Times New Roman" w:cs="Times New Roman"/>
          <w:sz w:val="24"/>
          <w:szCs w:val="24"/>
        </w:rPr>
      </w:pPr>
      <w:r w:rsidRPr="007F0136">
        <w:rPr>
          <w:rFonts w:ascii="Times New Roman" w:hAnsi="Times New Roman" w:cs="Times New Roman"/>
          <w:sz w:val="24"/>
          <w:szCs w:val="24"/>
        </w:rPr>
        <w:t xml:space="preserve">In general, information collection and record retention requirements related to Reliability Standards are not submitted to, or retained for audit by, FERC.  Rather they are submitted to, or retained for audit by, NERC or the Compliance Enforcement Authority, as specified in each individual Reliability Standard. </w:t>
      </w:r>
      <w:r>
        <w:rPr>
          <w:rFonts w:ascii="Times New Roman" w:hAnsi="Times New Roman" w:cs="Times New Roman"/>
          <w:sz w:val="24"/>
          <w:szCs w:val="24"/>
        </w:rPr>
        <w:t xml:space="preserve"> </w:t>
      </w:r>
      <w:r w:rsidRPr="007F0136">
        <w:rPr>
          <w:rFonts w:ascii="Times New Roman" w:hAnsi="Times New Roman" w:cs="Times New Roman"/>
          <w:sz w:val="24"/>
          <w:szCs w:val="24"/>
        </w:rPr>
        <w:t>Without collecting this information, reliability of the bulk-power system could become compromised, potentially resulting in outages.</w:t>
      </w:r>
    </w:p>
    <w:p w:rsidRPr="00B862DA" w:rsidR="00FB482A" w:rsidP="00FB482A" w:rsidRDefault="00FB482A" w14:paraId="35974AD5" w14:textId="143AB608">
      <w:pPr>
        <w:numPr>
          <w:ilvl w:val="0"/>
          <w:numId w:val="24"/>
        </w:numPr>
        <w:spacing w:before="100" w:beforeAutospacing="1" w:after="100" w:afterAutospacing="1" w:line="240" w:lineRule="auto"/>
        <w:contextualSpacing/>
        <w:rPr>
          <w:rFonts w:ascii="Times New Roman" w:hAnsi="Times New Roman" w:eastAsia="Calibri" w:cs="Times New Roman"/>
          <w:sz w:val="24"/>
          <w:szCs w:val="24"/>
          <w:u w:val="single"/>
        </w:rPr>
      </w:pPr>
      <w:r w:rsidRPr="00FB482A">
        <w:rPr>
          <w:rFonts w:ascii="Times New Roman" w:hAnsi="Times New Roman" w:eastAsia="Times New Roman" w:cs="Times New Roman"/>
          <w:b/>
          <w:bCs/>
          <w:color w:val="000000"/>
          <w:sz w:val="24"/>
          <w:szCs w:val="24"/>
          <w:u w:val="single"/>
        </w:rPr>
        <w:t>FAC-008-5</w:t>
      </w:r>
    </w:p>
    <w:p w:rsidRPr="00FB482A" w:rsidR="00FB482A" w:rsidP="00B862DA" w:rsidRDefault="00FB482A" w14:paraId="2B661C23" w14:textId="77777777">
      <w:pPr>
        <w:spacing w:before="100" w:beforeAutospacing="1" w:after="100" w:afterAutospacing="1" w:line="240" w:lineRule="auto"/>
        <w:ind w:left="720"/>
        <w:contextualSpacing/>
        <w:rPr>
          <w:rFonts w:ascii="Times New Roman" w:hAnsi="Times New Roman" w:eastAsia="Calibri" w:cs="Times New Roman"/>
          <w:sz w:val="24"/>
          <w:szCs w:val="24"/>
          <w:u w:val="single"/>
        </w:rPr>
      </w:pPr>
    </w:p>
    <w:p w:rsidRPr="00FB482A" w:rsidR="00FB482A" w:rsidP="00FB482A" w:rsidRDefault="00FB482A" w14:paraId="081E970A"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w:t>
      </w:r>
    </w:p>
    <w:p w:rsidRPr="00FB482A" w:rsidR="00FB482A" w:rsidP="00FB482A" w:rsidRDefault="00FB482A" w14:paraId="1894FCF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Generator Owner shall have documentation for determining the Facility Ratings of its solely and jointly owned generator Facilities up to the low side terminals of the main step up transformer if the Generator Owner does not own the main step up transformer and the high side terminals of the main step up transformer if the Generator Owner owns the main step up transformer. </w:t>
      </w:r>
    </w:p>
    <w:p w:rsidRPr="00FB482A" w:rsidR="00FB482A" w:rsidP="00FB482A" w:rsidRDefault="00FB482A" w14:paraId="26B8D776" w14:textId="77777777">
      <w:pPr>
        <w:spacing w:after="0"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1.1. The documentation shall contain assumptions used to rate the generator and at least one of the following:</w:t>
      </w:r>
    </w:p>
    <w:p w:rsidRPr="00FB482A" w:rsidR="00FB482A" w:rsidP="00FB482A" w:rsidRDefault="00FB482A" w14:paraId="1C2E93E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Design or construction information such as design criteria, ratings provided by equipment manufacturers, equipment drawings and/or specifications, engineering analyses, method(s) consistent with industry standards (e.g. ANSI and IEEE), or an established engineering practice that has been verified by testing or engineering analysis.</w:t>
      </w:r>
    </w:p>
    <w:p w:rsidRPr="00FB482A" w:rsidR="00FB482A" w:rsidP="00FB482A" w:rsidRDefault="00FB482A" w14:paraId="41ECA3B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Operational information such as commissioning test results, performance testing or historical performance records, any of which may be supplemented by engineering analyses.</w:t>
      </w:r>
    </w:p>
    <w:p w:rsidRPr="00FB482A" w:rsidR="00FB482A" w:rsidP="00FB482A" w:rsidRDefault="00FB482A" w14:paraId="2E51700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1.2. The documentation shall be consistent with the principle that the Facility Ratings do not exceed the most limiting applicable Equipment Rating of the individual equipment that comprises that Facility.</w:t>
      </w:r>
    </w:p>
    <w:p w:rsidRPr="00FB482A" w:rsidR="00FB482A" w:rsidP="00FB482A" w:rsidRDefault="00FB482A" w14:paraId="0544BB5B" w14:textId="25A82280">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Each Generator Owner shall have a documented methodology for determining Facility Ratings (Facility Ratings methodology) of its solely and jointly owned equipment connected between the location specified in R1 and the point of interconnection with the Transmission Owner that contains </w:t>
      </w:r>
      <w:r w:rsidRPr="00FB482A" w:rsidR="00896DEA">
        <w:rPr>
          <w:rFonts w:ascii="Times New Roman" w:hAnsi="Times New Roman" w:eastAsia="Calibri" w:cs="Times New Roman"/>
          <w:sz w:val="24"/>
          <w:szCs w:val="24"/>
        </w:rPr>
        <w:t>all</w:t>
      </w:r>
      <w:r w:rsidRPr="00FB482A">
        <w:rPr>
          <w:rFonts w:ascii="Times New Roman" w:hAnsi="Times New Roman" w:eastAsia="Calibri" w:cs="Times New Roman"/>
          <w:sz w:val="24"/>
          <w:szCs w:val="24"/>
        </w:rPr>
        <w:t xml:space="preserve"> the following. </w:t>
      </w:r>
    </w:p>
    <w:p w:rsidRPr="00FB482A" w:rsidR="00FB482A" w:rsidP="00FB482A" w:rsidRDefault="00FB482A" w14:paraId="38D4459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2.1. The methodology used to establish the Ratings of the equipment that comprises the Facility(ies) shall be consistent with at least one of the following:</w:t>
      </w:r>
    </w:p>
    <w:p w:rsidRPr="00FB482A" w:rsidR="00FB482A" w:rsidP="00FB482A" w:rsidRDefault="00FB482A" w14:paraId="427F4A5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Ratings provided by equipment manufacturers or obtained from equipment manufacturer specifications such as nameplate rating.</w:t>
      </w:r>
    </w:p>
    <w:p w:rsidRPr="00FB482A" w:rsidR="00FB482A" w:rsidP="00FB482A" w:rsidRDefault="00FB482A" w14:paraId="2852B45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One or more industry standards developed through an open process such as Institute of Electrical and Electronic Engineers (IEEE) or International Council on Large Electric Systems (CIGRE).</w:t>
      </w:r>
    </w:p>
    <w:p w:rsidRPr="00FB482A" w:rsidR="00FB482A" w:rsidP="00FB482A" w:rsidRDefault="00FB482A" w14:paraId="07DCEF7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A practice that has been verified by testing, performance history or engineering analysis.</w:t>
      </w:r>
    </w:p>
    <w:p w:rsidRPr="00FB482A" w:rsidR="00FB482A" w:rsidP="00FB482A" w:rsidRDefault="00FB482A" w14:paraId="41DC09E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2.2. The underlying assumptions, design criteria, and methods used to determine the Equipment Ratings identified in Requirement R2, Part 2.1 including identification of how each of the following were considered:</w:t>
      </w:r>
    </w:p>
    <w:p w:rsidRPr="00FB482A" w:rsidR="00FB482A" w:rsidP="00FB482A" w:rsidRDefault="00FB482A" w14:paraId="317533B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2.2.1. Equipment Rating standard(s) used in development of this methodology.</w:t>
      </w:r>
    </w:p>
    <w:p w:rsidRPr="00FB482A" w:rsidR="00FB482A" w:rsidP="00FB482A" w:rsidRDefault="00FB482A" w14:paraId="784EE2C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2.2.2. Ratings provided by equipment manufacturers or obtained from equipment manufacturer specifications.</w:t>
      </w:r>
    </w:p>
    <w:p w:rsidRPr="00FB482A" w:rsidR="00FB482A" w:rsidP="00FB482A" w:rsidRDefault="00FB482A" w14:paraId="055ED59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2.2.3. Ambient conditions (for particular or average conditions or as they vary in real-time).</w:t>
      </w:r>
    </w:p>
    <w:p w:rsidRPr="00FB482A" w:rsidR="00FB482A" w:rsidP="00FB482A" w:rsidRDefault="00FB482A" w14:paraId="2233FD7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2.2.4. Operating limitations.</w:t>
      </w:r>
    </w:p>
    <w:p w:rsidRPr="00FB482A" w:rsidR="00FB482A" w:rsidP="00FB482A" w:rsidRDefault="00FB482A" w14:paraId="3F8F4CE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2.3. A statement that a Facility Rating shall respect the most limiting applicable Equipment Rating of the individual equipment that comprises that Facility. </w:t>
      </w:r>
    </w:p>
    <w:p w:rsidRPr="00FB482A" w:rsidR="00FB482A" w:rsidP="00FB482A" w:rsidRDefault="00FB482A" w14:paraId="77869DE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2.4. The process by which the Rating of equipment that comprises a Facility is determined.</w:t>
      </w:r>
    </w:p>
    <w:p w:rsidRPr="00FB482A" w:rsidR="00FB482A" w:rsidP="00FB482A" w:rsidRDefault="00FB482A" w14:paraId="02655CA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2.4.1. The scope of equipment addressed shall include, but not be limited to conductors, transformers, relay protective devices, terminal equipment, and series and shunt compensation devices.</w:t>
      </w:r>
    </w:p>
    <w:p w:rsidRPr="00FB482A" w:rsidR="00FB482A" w:rsidP="00FB482A" w:rsidRDefault="00FB482A" w14:paraId="05A108B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2.4.2. The scope of Ratings addressed shall include, as a minimum, both Normal and Emergency Ratings. </w:t>
      </w:r>
    </w:p>
    <w:p w:rsidRPr="00FB482A" w:rsidR="00FB482A" w:rsidP="00FB482A" w:rsidRDefault="00FB482A" w14:paraId="0DD8A40A" w14:textId="434C4058">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Each Transmission Owner shall have a documented methodology for determining Facility Ratings (Facility Ratings methodology) of its solely and jointly owned Facilities (except for those generating unit Facilities addressed in R1 and R2) that contains </w:t>
      </w:r>
      <w:r w:rsidRPr="00FB482A" w:rsidR="00896DEA">
        <w:rPr>
          <w:rFonts w:ascii="Times New Roman" w:hAnsi="Times New Roman" w:eastAsia="Calibri" w:cs="Times New Roman"/>
          <w:sz w:val="24"/>
          <w:szCs w:val="24"/>
        </w:rPr>
        <w:t>all</w:t>
      </w:r>
      <w:r w:rsidRPr="00FB482A">
        <w:rPr>
          <w:rFonts w:ascii="Times New Roman" w:hAnsi="Times New Roman" w:eastAsia="Calibri" w:cs="Times New Roman"/>
          <w:sz w:val="24"/>
          <w:szCs w:val="24"/>
        </w:rPr>
        <w:t xml:space="preserve"> the following: </w:t>
      </w:r>
    </w:p>
    <w:p w:rsidRPr="00FB482A" w:rsidR="00FB482A" w:rsidP="00FB482A" w:rsidRDefault="00FB482A" w14:paraId="4B19BD4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 The methodology used to establish the Ratings of the equipment that comprises the Facility shall be consistent with at least one of the following:</w:t>
      </w:r>
    </w:p>
    <w:p w:rsidRPr="00FB482A" w:rsidR="00FB482A" w:rsidP="00FB482A" w:rsidRDefault="00FB482A" w14:paraId="357F63D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Ratings provided by equipment manufacturers or obtained from equipment manufacturer specifications such as nameplate rating.</w:t>
      </w:r>
    </w:p>
    <w:p w:rsidRPr="00FB482A" w:rsidR="00FB482A" w:rsidP="00FB482A" w:rsidRDefault="00FB482A" w14:paraId="7324ECE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 One or more industry standards developed through an open process such as Institute of Electrical and Electronics Engineers (IEEE) or International Council on Large Electric Systems (CIGRE). </w:t>
      </w:r>
    </w:p>
    <w:p w:rsidRPr="00FB482A" w:rsidR="00FB482A" w:rsidP="00FB482A" w:rsidRDefault="00FB482A" w14:paraId="6AA0C7D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A practice that has been verified by testing, performance history or engineering analysis. 3.2. The underlying assumptions, design criteria, and methods used to determine the Equipment Ratings identified in Requirement R3, Part 3.1 including identification of how each of the following were considered:</w:t>
      </w:r>
    </w:p>
    <w:p w:rsidRPr="00FB482A" w:rsidR="00FB482A" w:rsidP="00FB482A" w:rsidRDefault="00FB482A" w14:paraId="35202574" w14:textId="599D72D9">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3.2.1. Equipment Rating standard(s) used in development of this </w:t>
      </w:r>
      <w:r w:rsidRPr="00FB482A" w:rsidR="00896DEA">
        <w:rPr>
          <w:rFonts w:ascii="Times New Roman" w:hAnsi="Times New Roman" w:eastAsia="Calibri" w:cs="Times New Roman"/>
          <w:sz w:val="24"/>
          <w:szCs w:val="24"/>
        </w:rPr>
        <w:t>methodology. Such</w:t>
      </w:r>
      <w:r w:rsidRPr="00FB482A">
        <w:rPr>
          <w:rFonts w:ascii="Times New Roman" w:hAnsi="Times New Roman" w:eastAsia="Calibri" w:cs="Times New Roman"/>
          <w:sz w:val="24"/>
          <w:szCs w:val="24"/>
        </w:rPr>
        <w:t xml:space="preserve"> as temporary de-ratings of impaired equipment in accordance with good utility practice. </w:t>
      </w:r>
    </w:p>
    <w:p w:rsidRPr="00FB482A" w:rsidR="00FB482A" w:rsidP="00FB482A" w:rsidRDefault="00FB482A" w14:paraId="2D49A78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3.2.2. Ratings provided by equipment manufacturers or obtained from equipment manufacturer specifications.</w:t>
      </w:r>
    </w:p>
    <w:p w:rsidRPr="00FB482A" w:rsidR="00FB482A" w:rsidP="00FB482A" w:rsidRDefault="00FB482A" w14:paraId="7DAC144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3.2.3. Ambient conditions (for particular or average conditions or as they vary in real-time).</w:t>
      </w:r>
    </w:p>
    <w:p w:rsidRPr="00FB482A" w:rsidR="00FB482A" w:rsidP="00FB482A" w:rsidRDefault="00FB482A" w14:paraId="4D937AE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3.2.4. Operating limitations.</w:t>
      </w:r>
    </w:p>
    <w:p w:rsidRPr="00FB482A" w:rsidR="00FB482A" w:rsidP="00FB482A" w:rsidRDefault="00FB482A" w14:paraId="2DDFD5B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3.3. A statement that a Facility Rating shall respect the most limiting applicable Equipment Rating of the individual equipment that comprises that Facility. </w:t>
      </w:r>
    </w:p>
    <w:p w:rsidRPr="00FB482A" w:rsidR="00FB482A" w:rsidP="00FB482A" w:rsidRDefault="00FB482A" w14:paraId="7F161AA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3.4. The process by which the Rating of equipment that comprises a Facility is determined.</w:t>
      </w:r>
    </w:p>
    <w:p w:rsidRPr="00FB482A" w:rsidR="00FB482A" w:rsidP="00FB482A" w:rsidRDefault="00FB482A" w14:paraId="0E0A593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3.4.1. The scope of equipment addressed shall include, but not be limited to, transmission conductors, transformers, relay protective devices, terminal equipment, and series and shunt compensation devices. </w:t>
      </w:r>
    </w:p>
    <w:p w:rsidRPr="00FB482A" w:rsidR="00FB482A" w:rsidP="00FB482A" w:rsidRDefault="00FB482A" w14:paraId="3E0D118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3.4.2. The scope of Ratings addressed shall include, as a minimum, both Normal and Emergency Ratings. </w:t>
      </w:r>
    </w:p>
    <w:p w:rsidRPr="00FB482A" w:rsidR="00FB482A" w:rsidP="00FB482A" w:rsidRDefault="00FB482A" w14:paraId="1667637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R4. Each Transmission Owner shall make its Facility Ratings methodology and each Generator Owner shall each make its documentation for determining its Facility Ratings and its Facility Ratings methodology available for inspection and technical review by those Reliability Coordinators, Transmission Operators, Transmission Planners and Planning Coordinators that have responsibility for the area in which the associated Facilities are located, within 21 calendar days of receipt of a request. </w:t>
      </w:r>
    </w:p>
    <w:p w:rsidRPr="00FB482A" w:rsidR="00FB482A" w:rsidP="00FB482A" w:rsidRDefault="00FB482A" w14:paraId="176038E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R5. If a Reliability Coordinator, Transmission Operator, Transmission Planner or Planning Coordinator provides documented comments on its technical review of a Transmission Owner’s Facility Ratings methodology or Generator Owner’s documentation for determining its Facility Ratings and its Facility Rating methodology, the Transmission Owner or Generator Owner shall provide a response to that commenting entity within 45 calendar days of receipt of those comments. The response shall indicate whether a change will be made to the Facility Ratings methodology and, if no change will be made to that Facility Ratings methodology, the reason why. </w:t>
      </w:r>
    </w:p>
    <w:p w:rsidRPr="00FB482A" w:rsidR="00FB482A" w:rsidP="00FB482A" w:rsidRDefault="00FB482A" w14:paraId="6174D4B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R6. Each Transmission Owner and Generator Owner shall have Facility Ratings for its solely and jointly owned Facilities that are consistent with the associated Facility Ratings methodology or documentation for determining its Facility Ratings. </w:t>
      </w:r>
    </w:p>
    <w:p w:rsidRPr="00FB482A" w:rsidR="00FB482A" w:rsidP="00FB482A" w:rsidRDefault="00FB482A" w14:paraId="5A11F4B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R7. Each Generator Owner shall provide Facility Ratings (for its solely and jointly owned Facilities that are existing Facilities, new Facilities, modifications to existing Facilities and re-ratings of existing Facilities) to its associated Reliability Coordinator(s), Planning Coordinator(s), Transmission Planner(s), Transmission Owner(s) and Transmission Operator(s) as scheduled by such requesting entities. </w:t>
      </w:r>
    </w:p>
    <w:p w:rsidRPr="00FB482A" w:rsidR="00FB482A" w:rsidP="00FB482A" w:rsidRDefault="00FB482A" w14:paraId="7DE5975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R8. Each Transmission Owner (and each Generator Owner subject to Requirement R2) shall provide requested information as specified below (for its solely and jointly owned Facilities that are existing Facilities, new Facilities, modifications to existing Facilities and re-ratings of existing Facilities) to its associated Reliability Coordinator(s), Planning Coordinator(s), </w:t>
      </w:r>
    </w:p>
    <w:p w:rsidRPr="00FB482A" w:rsidR="00FB482A" w:rsidP="00FB482A" w:rsidRDefault="00FB482A" w14:paraId="6BED0C9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8.1. As scheduled by the requesting entities:</w:t>
      </w:r>
    </w:p>
    <w:p w:rsidRPr="00FB482A" w:rsidR="00FB482A" w:rsidP="00FB482A" w:rsidRDefault="00FB482A" w14:paraId="000A2C5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8.1.1. Facility Ratings</w:t>
      </w:r>
    </w:p>
    <w:p w:rsidRPr="00FB482A" w:rsidR="00FB482A" w:rsidP="00FB482A" w:rsidRDefault="00FB482A" w14:paraId="2154EEB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8.1.2. Identity of the most limiting equipment of the Facilities</w:t>
      </w:r>
    </w:p>
    <w:p w:rsidRPr="00FB482A" w:rsidR="00FB482A" w:rsidP="00FB482A" w:rsidRDefault="00FB482A" w14:paraId="525595E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8.2. Within 30 calendar days (or a later date if specified by the requester), for any requested Facility with a Thermal Rating that limits the use of Facilities under the requester’s authority by causing any of the following: 1) An Interconnection Reliability Operating Limit, 2) A limitation of Total Transfer Capability, 3) An impediment to generator deliverability, or 4) An impediment to service to a major load center:</w:t>
      </w:r>
    </w:p>
    <w:p w:rsidRPr="00FB482A" w:rsidR="00FB482A" w:rsidP="00FB482A" w:rsidRDefault="00FB482A" w14:paraId="3865913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8.2.1. Identity of the existing next most limiting equipment of the Facility </w:t>
      </w:r>
    </w:p>
    <w:p w:rsidRPr="00FB482A" w:rsidR="00FB482A" w:rsidP="00FB482A" w:rsidRDefault="00FB482A" w14:paraId="2B80EF4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8.2.2. The Thermal Rating for the next most limiting equipment identified in Requirement R8, Part 8.2.1.</w:t>
      </w:r>
    </w:p>
    <w:p w:rsidRPr="00FB482A" w:rsidR="00FB482A" w:rsidP="00FB482A" w:rsidRDefault="00FB482A" w14:paraId="0C6954A3"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Measures</w:t>
      </w:r>
    </w:p>
    <w:p w:rsidRPr="00FB482A" w:rsidR="00FB482A" w:rsidP="00FB482A" w:rsidRDefault="00FB482A" w14:paraId="3FE0A7C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 Each Generator Owner shall have documentation that shows how its Facility Ratings were determined as identified in Requirement 1.</w:t>
      </w:r>
    </w:p>
    <w:p w:rsidRPr="00FB482A" w:rsidR="00FB482A" w:rsidP="00FB482A" w:rsidRDefault="00FB482A" w14:paraId="2890C6AC" w14:textId="61385F4E">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 Each Generator Owner shall have a documented Facility Ratings methodology that includes </w:t>
      </w:r>
      <w:r w:rsidRPr="00FB482A" w:rsidR="00896DEA">
        <w:rPr>
          <w:rFonts w:ascii="Times New Roman" w:hAnsi="Times New Roman" w:eastAsia="Calibri" w:cs="Times New Roman"/>
          <w:sz w:val="24"/>
          <w:szCs w:val="24"/>
        </w:rPr>
        <w:t>all</w:t>
      </w:r>
      <w:r w:rsidRPr="00FB482A">
        <w:rPr>
          <w:rFonts w:ascii="Times New Roman" w:hAnsi="Times New Roman" w:eastAsia="Calibri" w:cs="Times New Roman"/>
          <w:sz w:val="24"/>
          <w:szCs w:val="24"/>
        </w:rPr>
        <w:t xml:space="preserve"> the items identified in Requirement 2, Parts 2.1 through 2.4.</w:t>
      </w:r>
    </w:p>
    <w:p w:rsidRPr="00FB482A" w:rsidR="00FB482A" w:rsidP="00FB482A" w:rsidRDefault="00FB482A" w14:paraId="55227E5D" w14:textId="6FEA1A76">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M3. Each Transmission Owner shall have a documented Facility Ratings methodology that includes </w:t>
      </w:r>
      <w:r w:rsidRPr="00FB482A" w:rsidR="00896DEA">
        <w:rPr>
          <w:rFonts w:ascii="Times New Roman" w:hAnsi="Times New Roman" w:eastAsia="Calibri" w:cs="Times New Roman"/>
          <w:sz w:val="24"/>
          <w:szCs w:val="24"/>
        </w:rPr>
        <w:t>all</w:t>
      </w:r>
      <w:r w:rsidRPr="00FB482A">
        <w:rPr>
          <w:rFonts w:ascii="Times New Roman" w:hAnsi="Times New Roman" w:eastAsia="Calibri" w:cs="Times New Roman"/>
          <w:sz w:val="24"/>
          <w:szCs w:val="24"/>
        </w:rPr>
        <w:t xml:space="preserve"> the items identified in Requirement 3, Parts 3.1 through 3.4.</w:t>
      </w:r>
    </w:p>
    <w:p w:rsidRPr="00FB482A" w:rsidR="00FB482A" w:rsidP="00FB482A" w:rsidRDefault="00FB482A" w14:paraId="2756935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M4. Each Transmission Owner shall have evidence, such as a copy of a dated electronic note, or other comparable evidence to show that it made its Facility Ratings methodology available for inspection within 21 calendar days of a request in accordance with Requirement 4. The Generator Owner shall have evidence, such as a copy of a dated electronic note, or other comparable evidence to show that it made its documentation for determining its Facility Ratings or its Facility Ratings methodology available for inspection within 21 calendar days of a request </w:t>
      </w:r>
      <w:r w:rsidRPr="00FB482A">
        <w:rPr>
          <w:rFonts w:ascii="Times New Roman" w:hAnsi="Times New Roman" w:eastAsia="Calibri" w:cs="Times New Roman"/>
          <w:sz w:val="24"/>
          <w:szCs w:val="24"/>
        </w:rPr>
        <w:lastRenderedPageBreak/>
        <w:t>in accordance with Requirement R4. (Retirement approved by NERC BOT pending applicable regulatory approval.)</w:t>
      </w:r>
    </w:p>
    <w:p w:rsidRPr="00FB482A" w:rsidR="00FB482A" w:rsidP="00FB482A" w:rsidRDefault="00FB482A" w14:paraId="3F60785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M5. If the Reliability Coordinator, Transmission Operator, Transmission Planner or Planning Coordinator provides documented comments on its technical review of a Transmission Owner’s or Generator Owner’s Facility Ratings methodology or a Generator Owner’s documentation for determining its Facility Ratings, the Transmission Owner or Generator Owner shall have evidence, (such as a copy of a dated electronic or hard copy note, or other comparable evidence from the Transmission Owner or Generator Owner addressed to the commenter that includes the response to the comment,) that it provided a response to that commenting entity in accordance with Requirement R5. (Retirement approved by NERC BOT pending applicable regulatory approval.)</w:t>
      </w:r>
    </w:p>
    <w:p w:rsidRPr="00FB482A" w:rsidR="00FB482A" w:rsidP="00FB482A" w:rsidRDefault="00FB482A" w14:paraId="72F5200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M6. Each Transmission Owner and Generator Owner shall have evidence to show that its Facility Ratings are consistent with the documentation for determining its Facility Ratings as specified in Requirement R1 or consistent with its Facility Ratings methodology as specified in Requirements R2 and R3 (Requirement R6). </w:t>
      </w:r>
    </w:p>
    <w:p w:rsidRPr="00FB482A" w:rsidR="00FB482A" w:rsidP="00FB482A" w:rsidRDefault="00FB482A" w14:paraId="40DAB3D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M7. Each Generator Owner shall have evidence, such as a copy of a dated electronic note, or other comparable evidence to show that it provided its Facility Ratings to its associated Reliability Coordinator(s), Planning Coordinator(s), Transmission Planner(s), Transmission Owner(s) and Transmission Operator(s) in accordance with Requirement R7.</w:t>
      </w:r>
    </w:p>
    <w:p w:rsidRPr="00FB482A" w:rsidR="00FB482A" w:rsidP="00FB482A" w:rsidRDefault="00FB482A" w14:paraId="213300E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M8. Each Transmission Owner (and Generator Owner subject to Requirement R2) shall have evidence, such as a copy of a dated electronic note, or other comparable evidence to show that it provided its Facility Ratings and identity of limiting equipment to its associated Reliability Coordinator(s), Planning Coordinator(s), Transmission Planner(s), Transmission Owner(s) and Transmission Operator(s) in accordance with Requirement R8.</w:t>
      </w:r>
    </w:p>
    <w:p w:rsidRPr="00FB482A" w:rsidR="00FB482A" w:rsidP="00FB482A" w:rsidRDefault="00FB482A" w14:paraId="3CB73D32"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 xml:space="preserve">Data Retention </w:t>
      </w:r>
    </w:p>
    <w:p w:rsidRPr="00FB482A" w:rsidR="00FB482A" w:rsidP="00FB482A" w:rsidRDefault="00FB482A" w14:paraId="5CB36A6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The Generator Owner shall keep its current documentation (for R1) and any modifications to the documentation that were in force since last compliance audit period for Measure M1 and Measure M6. The Generator Owner shall keep its current, in force Facility Ratings methodology (for R2) and any modifications to the methodology that were in force since last compliance audit period for Measure M2 and Measure M6. The Transmission Owner shall keep its current, in force Facility Ratings methodology (for R3) and any modifications to the methodology that were in force since the last compliance audit for Measure M3 and Measure M6.The Transmission Owner and Generator Owner shall keep its current, in force Facility Ratings and any changes to those ratings for three calendar years for Measure M6. The Generator Owner and Transmission Owner shall each keep evidence for Measure M4, and Measure M5, for three calendar years. (Retirement approved by FERC effective January 21, 2014.) The Generator Owner shall keep evidence for Measure M7 for three calendar years. The Transmission Owner (and Generator Owner that is subject to Requirement R2) shall keep evidence for Measure M8 for three calendar years. If a Generator Owner or Transmission Owner is found non-compliant, it shall keep </w:t>
      </w:r>
      <w:r w:rsidRPr="00FB482A">
        <w:rPr>
          <w:rFonts w:ascii="Times New Roman" w:hAnsi="Times New Roman" w:eastAsia="Calibri" w:cs="Times New Roman"/>
          <w:sz w:val="24"/>
          <w:szCs w:val="24"/>
        </w:rPr>
        <w:lastRenderedPageBreak/>
        <w:t>information related to the non-compliance until found compliant. The Compliance Enforcement Authority shall keep the last audit and all subsequent compliance records.</w:t>
      </w:r>
    </w:p>
    <w:p w:rsidRPr="00B862DA" w:rsidR="00FB482A" w:rsidP="00FB482A" w:rsidRDefault="00FB482A" w14:paraId="6A04BC17" w14:textId="22BC396F">
      <w:pPr>
        <w:numPr>
          <w:ilvl w:val="0"/>
          <w:numId w:val="24"/>
        </w:numPr>
        <w:spacing w:before="100" w:beforeAutospacing="1" w:after="100" w:afterAutospacing="1" w:line="240" w:lineRule="auto"/>
        <w:contextualSpacing/>
        <w:rPr>
          <w:rFonts w:ascii="Times New Roman" w:hAnsi="Times New Roman" w:eastAsia="Calibri" w:cs="Times New Roman"/>
          <w:sz w:val="24"/>
          <w:szCs w:val="24"/>
          <w:u w:val="single"/>
        </w:rPr>
      </w:pPr>
      <w:r w:rsidRPr="00FB482A">
        <w:rPr>
          <w:rFonts w:ascii="Times New Roman" w:hAnsi="Times New Roman" w:eastAsia="Times New Roman" w:cs="Times New Roman"/>
          <w:b/>
          <w:bCs/>
          <w:color w:val="000000"/>
          <w:sz w:val="24"/>
          <w:szCs w:val="24"/>
          <w:u w:val="single"/>
        </w:rPr>
        <w:t>INT-006-5</w:t>
      </w:r>
    </w:p>
    <w:p w:rsidRPr="00FB482A" w:rsidR="00FB482A" w:rsidP="00B862DA" w:rsidRDefault="00FB482A" w14:paraId="29F4179D" w14:textId="77777777">
      <w:pPr>
        <w:spacing w:before="100" w:beforeAutospacing="1" w:after="100" w:afterAutospacing="1" w:line="240" w:lineRule="auto"/>
        <w:ind w:left="720"/>
        <w:contextualSpacing/>
        <w:rPr>
          <w:rFonts w:ascii="Times New Roman" w:hAnsi="Times New Roman" w:eastAsia="Calibri" w:cs="Times New Roman"/>
          <w:sz w:val="24"/>
          <w:szCs w:val="24"/>
          <w:u w:val="single"/>
        </w:rPr>
      </w:pPr>
    </w:p>
    <w:p w:rsidRPr="00FB482A" w:rsidR="00FB482A" w:rsidP="00FB482A" w:rsidRDefault="00FB482A" w14:paraId="52B0A8AE"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 and Measures</w:t>
      </w:r>
    </w:p>
    <w:p w:rsidRPr="00FB482A" w:rsidR="00FB482A" w:rsidP="00FB482A" w:rsidRDefault="00FB482A" w14:paraId="5E43EB6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Balancing Authority shall approve or deny each on-time Arranged Interchange or emergency Arranged Interchange that it receives and shall do so prior to the expiration of the time period defined in Attachment 1, Column B. </w:t>
      </w:r>
    </w:p>
    <w:p w:rsidRPr="00FB482A" w:rsidR="00FB482A" w:rsidP="00FB482A" w:rsidRDefault="00FB482A" w14:paraId="6EA9F61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1.1. Each Source and Sink Balancing Authority shall deny the Arranged Interchange or curtail Confirmed Interchange if it does not expect to be capable of supporting the magnitude of the Interchange, including ramping, throughout the duration of the Arranged Interchange.</w:t>
      </w:r>
    </w:p>
    <w:p w:rsidRPr="00FB482A" w:rsidR="00FB482A" w:rsidP="00FB482A" w:rsidRDefault="00FB482A" w14:paraId="0952313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1.2. Each Balancing Authority shall deny the Arranged Interchange or curtail Confirmed Interchange if the Scheduling Path (proper connectivity of Adjacent Balancing Authorities) between it and its Adjacent Balancing Authorities is invalid.</w:t>
      </w:r>
    </w:p>
    <w:p w:rsidRPr="00FB482A" w:rsidR="00FB482A" w:rsidP="00FB482A" w:rsidRDefault="00FB482A" w14:paraId="3135C2B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 Each Balancing Authority shall have evidence (such as dated and time stamped electronic logs, or other evidence) that it responded to each request for its approval to transition an Arranged Interchange to a Confirmed Interchange within the time defined in Attachment 1, Column B. (R1)</w:t>
      </w:r>
    </w:p>
    <w:p w:rsidRPr="00FB482A" w:rsidR="00FB482A" w:rsidP="00FB482A" w:rsidRDefault="00FB482A" w14:paraId="767B12B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Each Transmission Service Provider shall approve or deny each on-time Arranged Interchange or emergency Arranged Interchange that it receives and shall do so prior to the expiration of the time period defined in Attachment 1, Column B. </w:t>
      </w:r>
    </w:p>
    <w:p w:rsidRPr="00FB482A" w:rsidR="00FB482A" w:rsidP="00FB482A" w:rsidRDefault="00FB482A" w14:paraId="6A89A71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2.1. Each Transmission Service Provider shall deny the Arranged Interchange or curtail Confirmed Interchange if the transmission path (proper connectivity of adjacent Transmission Service Providers) between it and its adjacent Transmission Service Providers is invalid.</w:t>
      </w:r>
    </w:p>
    <w:p w:rsidRPr="00FB482A" w:rsidR="00FB482A" w:rsidP="00FB482A" w:rsidRDefault="00FB482A" w14:paraId="3DDCB2A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 Each Transmission Service Provider shall have evidence (such as dated and time stamped electronic logs, studies, or other evidence) that it responded to each Arranged Interchange or emergency Arranged Interchange within the time defined in Attachment 1, Column B. If the transmission path between the Transmission Service Provider and its adjacent Transmission Service Providers is invalid, each Transmission Service Provider shall have evidence (such as dated and time stamped electronic logs, studies, or other evidence) that it denied the Arranged Interchange or curtailed confirmed Interchange. (R2)</w:t>
      </w:r>
    </w:p>
    <w:p w:rsidRPr="00FB482A" w:rsidR="00FB482A" w:rsidP="00FB482A" w:rsidRDefault="00FB482A" w14:paraId="56BF074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R3. The Source Balancing Authority and the Sink Balancing Authority receiving a Reliability Adjustment Arranged Interchange shall approve or deny it prior to the expiration of the time period defined in Attachment 1, Column B.</w:t>
      </w:r>
    </w:p>
    <w:p w:rsidRPr="00FB482A" w:rsidR="00FB482A" w:rsidP="00FB482A" w:rsidRDefault="00FB482A" w14:paraId="7986779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M3. Each Balancing Authority shall have evidence (such as dated and time stamped electronic logs, studies, or other evidence) that when responding to a Reliability Adjustment Arranged Interchange, it either approved the request or denied the request.</w:t>
      </w:r>
    </w:p>
    <w:p w:rsidRPr="00FB482A" w:rsidR="00FB482A" w:rsidP="00FB482A" w:rsidRDefault="00FB482A" w14:paraId="36A5FAE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b/>
          <w:bCs/>
          <w:sz w:val="24"/>
          <w:szCs w:val="24"/>
        </w:rPr>
        <w:t>Evidence Retention</w:t>
      </w:r>
      <w:r w:rsidRPr="00FB482A">
        <w:rPr>
          <w:rFonts w:ascii="Times New Roman" w:hAnsi="Times New Roman" w:eastAsia="Calibri" w:cs="Times New Roman"/>
          <w:sz w:val="24"/>
          <w:szCs w:val="24"/>
        </w:rPr>
        <w:t>: 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 The applicable entity shall keep data or evidence to show compliance as identified below unless directed by its Compliance Enforcement Authority to retain specific evidence for a longer period of time as part of an investigation.</w:t>
      </w:r>
    </w:p>
    <w:p w:rsidRPr="00FB482A" w:rsidR="00FB482A" w:rsidP="00FB482A" w:rsidRDefault="00FB482A" w14:paraId="189721E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The Balancing Authority shall maintain evidence to show compliance with R1and R3 for the most recent three calendar months plus the current month.</w:t>
      </w:r>
    </w:p>
    <w:p w:rsidRPr="00FB482A" w:rsidR="00FB482A" w:rsidP="00FB482A" w:rsidRDefault="00FB482A" w14:paraId="78FC2DF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The Transmission Service Provider shall maintain evidence to show compliance with R2 for the most recent three calendar months plus the current month.</w:t>
      </w:r>
    </w:p>
    <w:p w:rsidRPr="00FB482A" w:rsidR="00FB482A" w:rsidP="00FB482A" w:rsidRDefault="00FB482A" w14:paraId="7D7BA25C" w14:textId="7E3AE825">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 If a Balancing Authority or Transmission Service Provider is found noncompliant, it shall keep information related to the non-compliance until found compliant. The Compliance Enforcement Authority shall keep the last audit </w:t>
      </w:r>
      <w:r w:rsidRPr="00FB482A" w:rsidR="00896DEA">
        <w:rPr>
          <w:rFonts w:ascii="Times New Roman" w:hAnsi="Times New Roman" w:eastAsia="Calibri" w:cs="Times New Roman"/>
          <w:sz w:val="24"/>
          <w:szCs w:val="24"/>
        </w:rPr>
        <w:t>records,</w:t>
      </w:r>
      <w:r w:rsidRPr="00FB482A">
        <w:rPr>
          <w:rFonts w:ascii="Times New Roman" w:hAnsi="Times New Roman" w:eastAsia="Calibri" w:cs="Times New Roman"/>
          <w:sz w:val="24"/>
          <w:szCs w:val="24"/>
        </w:rPr>
        <w:t xml:space="preserve"> and all requested and submitted subsequent audit record.</w:t>
      </w:r>
    </w:p>
    <w:p w:rsidR="00FB482A" w:rsidP="00FB482A" w:rsidRDefault="00FB482A" w14:paraId="0B109099" w14:textId="63C59BAE">
      <w:pPr>
        <w:numPr>
          <w:ilvl w:val="0"/>
          <w:numId w:val="24"/>
        </w:numPr>
        <w:spacing w:before="100" w:beforeAutospacing="1" w:after="100" w:afterAutospacing="1" w:line="240" w:lineRule="auto"/>
        <w:contextualSpacing/>
        <w:rPr>
          <w:rFonts w:ascii="Times New Roman" w:hAnsi="Times New Roman" w:eastAsia="Times New Roman" w:cs="Times New Roman"/>
          <w:b/>
          <w:bCs/>
          <w:color w:val="000000"/>
          <w:sz w:val="24"/>
          <w:szCs w:val="24"/>
          <w:u w:val="single"/>
        </w:rPr>
      </w:pPr>
      <w:r w:rsidRPr="00FB482A">
        <w:rPr>
          <w:rFonts w:ascii="Times New Roman" w:hAnsi="Times New Roman" w:eastAsia="Times New Roman" w:cs="Times New Roman"/>
          <w:b/>
          <w:bCs/>
          <w:color w:val="000000"/>
          <w:sz w:val="24"/>
          <w:szCs w:val="24"/>
          <w:u w:val="single"/>
        </w:rPr>
        <w:t>INT-009-3</w:t>
      </w:r>
    </w:p>
    <w:p w:rsidRPr="00FB482A" w:rsidR="00FB482A" w:rsidP="00B862DA" w:rsidRDefault="00FB482A" w14:paraId="2EF25BE5" w14:textId="77777777">
      <w:pPr>
        <w:spacing w:before="100" w:beforeAutospacing="1" w:after="100" w:afterAutospacing="1" w:line="240" w:lineRule="auto"/>
        <w:ind w:left="720"/>
        <w:contextualSpacing/>
        <w:rPr>
          <w:rFonts w:ascii="Times New Roman" w:hAnsi="Times New Roman" w:eastAsia="Times New Roman" w:cs="Times New Roman"/>
          <w:b/>
          <w:bCs/>
          <w:color w:val="000000"/>
          <w:sz w:val="24"/>
          <w:szCs w:val="24"/>
          <w:u w:val="single"/>
        </w:rPr>
      </w:pPr>
    </w:p>
    <w:p w:rsidRPr="00FB482A" w:rsidR="00FB482A" w:rsidP="00FB482A" w:rsidRDefault="00FB482A" w14:paraId="1587E3B9"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 and Measures</w:t>
      </w:r>
    </w:p>
    <w:p w:rsidRPr="00FB482A" w:rsidR="00FB482A" w:rsidP="00FB482A" w:rsidRDefault="00FB482A" w14:paraId="1937F52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Balancing Authority shall agree with each of its Adjacent Balancing Authorities that its Composite Confirmed Interchange with that Adjacent Balancing Authority, at mutually agreed upon time intervals, excluding Dynamic Schedules and Pseudo-Ties and including any Interchange not yet captured in the Composite Confirmed Interchange, is: </w:t>
      </w:r>
    </w:p>
    <w:p w:rsidRPr="00FB482A" w:rsidR="00FB482A" w:rsidP="00FB482A" w:rsidRDefault="00FB482A" w14:paraId="12C4441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1.1. Identical in magnitude to that of the Adjacent Balancing Authority, and</w:t>
      </w:r>
    </w:p>
    <w:p w:rsidRPr="00FB482A" w:rsidR="00FB482A" w:rsidP="00FB482A" w:rsidRDefault="00FB482A" w14:paraId="0E75E4C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1.2. Opposite in sign or direction to that of the Adjacent Balancing Authority.</w:t>
      </w:r>
    </w:p>
    <w:p w:rsidRPr="00FB482A" w:rsidR="00FB482A" w:rsidP="00FB482A" w:rsidRDefault="00FB482A" w14:paraId="5BD7654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 The Balancing Authority shall have evidence (such as dated logs, voice recordings, electronic records, or other evidence) that its Composite Confirmed Interchange, excluding Dynamic Schedules and Pseudo-Ties and including any Interchange not yet captured in the Composite Confirmed Interchange, was agreed to by each Adjacent Balancing Authority, identical in magnitude to those of each Adjacent Balancing Authority, and opposite in sign to that of each Adjacent Balancing Authority. (R1)</w:t>
      </w:r>
    </w:p>
    <w:p w:rsidRPr="00FB482A" w:rsidR="00FB482A" w:rsidP="00FB482A" w:rsidRDefault="00FB482A" w14:paraId="71549E8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R2. Reserved.</w:t>
      </w:r>
    </w:p>
    <w:p w:rsidRPr="00FB482A" w:rsidR="00FB482A" w:rsidP="00FB482A" w:rsidRDefault="00FB482A" w14:paraId="5653273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M2. Reserved.</w:t>
      </w:r>
    </w:p>
    <w:p w:rsidRPr="00FB482A" w:rsidR="00FB482A" w:rsidP="00FB482A" w:rsidRDefault="00FB482A" w14:paraId="4F14586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Each Balancing Authority in whose area the high-voltage direct current tie is controlled shall coordinate the Confirmed Interchange prior to its implementation with the Transmission Operator of the high-voltage direct current tie. </w:t>
      </w:r>
    </w:p>
    <w:p w:rsidRPr="00FB482A" w:rsidR="00FB482A" w:rsidP="00FB482A" w:rsidRDefault="00FB482A" w14:paraId="5A901EB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M3. The Balancing Authority shall have evidence (such as dated logs, electronic records, or other evidence) that it coordinated the Confirmed Interchange prior to its implementation with the Transmission Operator of the high-voltage direct current tie.</w:t>
      </w:r>
    </w:p>
    <w:p w:rsidRPr="00FB482A" w:rsidR="00FB482A" w:rsidP="00FB482A" w:rsidRDefault="00FB482A" w14:paraId="65F72E4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b/>
          <w:bCs/>
          <w:sz w:val="24"/>
          <w:szCs w:val="24"/>
        </w:rPr>
        <w:t>Evidence Retention</w:t>
      </w:r>
      <w:r w:rsidRPr="00FB482A">
        <w:rPr>
          <w:rFonts w:ascii="Times New Roman" w:hAnsi="Times New Roman" w:eastAsia="Calibri" w:cs="Times New Roman"/>
          <w:sz w:val="24"/>
          <w:szCs w:val="24"/>
        </w:rPr>
        <w:t>: 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 The applicable entity shall keep data or evidence to show compliance as identified below unless directed by its Compliance Enforcement Authority to retain specific evidence for a longer period of time as part of an investigation.</w:t>
      </w:r>
    </w:p>
    <w:p w:rsidRPr="00FB482A" w:rsidR="00FB482A" w:rsidP="00FB482A" w:rsidRDefault="00FB482A" w14:paraId="56B6D41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The Balancing Authority shall maintain evidence to show compliance with R1 and R3 for the most recent 3 months plus the current month. If a Balancing Authority is found non-compliant, it shall keep information related to the non-compliance until found compliant. The Compliance Enforcement Authority shall keep the last audit records, and all requested and submitted subsequent audit records.</w:t>
      </w:r>
    </w:p>
    <w:p w:rsidR="00FB482A" w:rsidP="00FB482A" w:rsidRDefault="00FB482A" w14:paraId="3EF3A46A" w14:textId="273FB88F">
      <w:pPr>
        <w:numPr>
          <w:ilvl w:val="0"/>
          <w:numId w:val="24"/>
        </w:numPr>
        <w:spacing w:before="100" w:beforeAutospacing="1" w:after="100" w:afterAutospacing="1" w:line="240" w:lineRule="auto"/>
        <w:contextualSpacing/>
        <w:rPr>
          <w:rFonts w:ascii="Times New Roman" w:hAnsi="Times New Roman" w:eastAsia="Times New Roman" w:cs="Times New Roman"/>
          <w:b/>
          <w:bCs/>
          <w:color w:val="000000"/>
          <w:sz w:val="24"/>
          <w:szCs w:val="24"/>
          <w:u w:val="single"/>
        </w:rPr>
      </w:pPr>
      <w:r w:rsidRPr="00FB482A">
        <w:rPr>
          <w:rFonts w:ascii="Times New Roman" w:hAnsi="Times New Roman" w:eastAsia="Times New Roman" w:cs="Times New Roman"/>
          <w:b/>
          <w:bCs/>
          <w:color w:val="000000"/>
          <w:sz w:val="24"/>
          <w:szCs w:val="24"/>
          <w:u w:val="single"/>
        </w:rPr>
        <w:t>PER-003-2</w:t>
      </w:r>
    </w:p>
    <w:p w:rsidRPr="00FB482A" w:rsidR="00FB482A" w:rsidP="00B862DA" w:rsidRDefault="00FB482A" w14:paraId="52980CD5" w14:textId="77777777">
      <w:pPr>
        <w:spacing w:before="100" w:beforeAutospacing="1" w:after="100" w:afterAutospacing="1" w:line="240" w:lineRule="auto"/>
        <w:ind w:left="720"/>
        <w:contextualSpacing/>
        <w:rPr>
          <w:rFonts w:ascii="Times New Roman" w:hAnsi="Times New Roman" w:eastAsia="Times New Roman" w:cs="Times New Roman"/>
          <w:b/>
          <w:bCs/>
          <w:color w:val="000000"/>
          <w:sz w:val="24"/>
          <w:szCs w:val="24"/>
          <w:u w:val="single"/>
        </w:rPr>
      </w:pPr>
    </w:p>
    <w:p w:rsidRPr="00FB482A" w:rsidR="00FB482A" w:rsidP="00FB482A" w:rsidRDefault="00FB482A" w14:paraId="23F74E7A"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 and Measures</w:t>
      </w:r>
    </w:p>
    <w:p w:rsidRPr="00FB482A" w:rsidR="00FB482A" w:rsidP="00FB482A" w:rsidRDefault="00FB482A" w14:paraId="618A5B3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Reliability Coordinator shall staff its Real-time operating positions performing Reliability Coordinator reliability-related tasks with System Operators who have demonstrated minimum competency in the areas listed by obtaining and maintaining a valid NERC Reliability Operator certificate </w:t>
      </w:r>
    </w:p>
    <w:p w:rsidRPr="00FB482A" w:rsidR="00FB482A" w:rsidP="00FB482A" w:rsidRDefault="00FB482A" w14:paraId="13DB007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M1. Each Reliability Coordinator shall have the following evidence to show that it staffed its Real-time operating positions performing reliability-related tasks with System Operators who have demonstrated the applicable minimum competency by obtaining and maintaining the appropriate, valid NERC certificate: </w:t>
      </w:r>
    </w:p>
    <w:p w:rsidRPr="00FB482A" w:rsidR="00FB482A" w:rsidP="00FB482A" w:rsidRDefault="00FB482A" w14:paraId="53AE804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M1.1 A list of Real-time operating positions.</w:t>
      </w:r>
    </w:p>
    <w:p w:rsidRPr="00FB482A" w:rsidR="00FB482A" w:rsidP="00FB482A" w:rsidRDefault="00FB482A" w14:paraId="687BAE2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M1.2 A list of System Operators assigned to its Real-time operating positions.</w:t>
      </w:r>
    </w:p>
    <w:p w:rsidRPr="00FB482A" w:rsidR="00FB482A" w:rsidP="00FB482A" w:rsidRDefault="00FB482A" w14:paraId="6BD42AB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M1.3 A copy of each of its System Operator’s NERC certificate or NERC certificate number with expiration date which demonstrates compliance with the applicable Areas of Competency.</w:t>
      </w:r>
    </w:p>
    <w:p w:rsidRPr="00FB482A" w:rsidR="00FB482A" w:rsidP="00FB482A" w:rsidRDefault="00FB482A" w14:paraId="45786D1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M1.4 Work schedules, work logs, or other equivalent evidence showing which System Operators were assigned to work in Real-time operating positions.</w:t>
      </w:r>
    </w:p>
    <w:p w:rsidRPr="00FB482A" w:rsidR="00FB482A" w:rsidP="00FB482A" w:rsidRDefault="00FB482A" w14:paraId="37FD58A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Each Transmission Operator shall staff its Real-time operating positions performing Transmission Operator reliability-related tasks with System Operators who have demonstrated minimum competency in the areas listed by obtaining and maintaining one of the following valid NERC certificates </w:t>
      </w:r>
    </w:p>
    <w:p w:rsidRPr="00FB482A" w:rsidR="00FB482A" w:rsidP="00FB482A" w:rsidRDefault="00FB482A" w14:paraId="0D3DF37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 Each Transmission Operator shall have the following evidence to show that it staffed its Real-time operating positions performing reliability-related tasks with System Operators who have demonstrated the applicable minimum competency by obtaining and maintaining the appropriate, valid NERC certificate: </w:t>
      </w:r>
    </w:p>
    <w:p w:rsidRPr="00FB482A" w:rsidR="00FB482A" w:rsidP="00FB482A" w:rsidRDefault="00FB482A" w14:paraId="1CB1704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 M2.1 A list of Real-time operating positions.</w:t>
      </w:r>
    </w:p>
    <w:p w:rsidRPr="00FB482A" w:rsidR="00FB482A" w:rsidP="00FB482A" w:rsidRDefault="00FB482A" w14:paraId="5E2C092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M2.2 A list of System Operators assigned to its Real-time operating positions.</w:t>
      </w:r>
    </w:p>
    <w:p w:rsidRPr="00FB482A" w:rsidR="00FB482A" w:rsidP="00FB482A" w:rsidRDefault="00FB482A" w14:paraId="5A694A4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M2.3 A copy of each of its System Operator’s NERC certificate or NERC certificate number with expiration date which demonstrates compliance with the applicable Areas of Competency.</w:t>
      </w:r>
    </w:p>
    <w:p w:rsidRPr="00FB482A" w:rsidR="00FB482A" w:rsidP="00FB482A" w:rsidRDefault="00FB482A" w14:paraId="14538FD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M2.4 Work schedules, work logs, or other equivalent evidence showing which System Operators were assigned to work in Real-time operating positions.</w:t>
      </w:r>
    </w:p>
    <w:p w:rsidRPr="00FB482A" w:rsidR="00FB482A" w:rsidP="00FB482A" w:rsidRDefault="00FB482A" w14:paraId="64C0E85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Each Balancing Authority shall staff its Real-time operating positions performing Balancing Authority reliability-related tasks with System Operators who have demonstrated minimum competency in the areas listed by obtaining and maintaining one of the following valid NERC certificates </w:t>
      </w:r>
    </w:p>
    <w:p w:rsidRPr="00FB482A" w:rsidR="00FB482A" w:rsidP="00FB482A" w:rsidRDefault="00FB482A" w14:paraId="579F34C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 Areas of Competency</w:t>
      </w:r>
    </w:p>
    <w:p w:rsidRPr="00FB482A" w:rsidR="00FB482A" w:rsidP="00FB482A" w:rsidRDefault="00FB482A" w14:paraId="11B81C2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3.1.1. Resources and demand balancing</w:t>
      </w:r>
    </w:p>
    <w:p w:rsidRPr="00FB482A" w:rsidR="00FB482A" w:rsidP="00FB482A" w:rsidRDefault="00FB482A" w14:paraId="5F1C823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3.1.2. Emergency preparedness and operations</w:t>
      </w:r>
    </w:p>
    <w:p w:rsidRPr="00FB482A" w:rsidR="00FB482A" w:rsidP="00FB482A" w:rsidRDefault="00FB482A" w14:paraId="63BC82D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3.1.3. System operations</w:t>
      </w:r>
    </w:p>
    <w:p w:rsidRPr="00FB482A" w:rsidR="00FB482A" w:rsidP="00FB482A" w:rsidRDefault="00FB482A" w14:paraId="51F3A26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3.1.4. Interchange scheduling and coordination</w:t>
      </w:r>
    </w:p>
    <w:p w:rsidRPr="00FB482A" w:rsidR="00FB482A" w:rsidP="00FB482A" w:rsidRDefault="00FB482A" w14:paraId="0AA9594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3.2. Certificates</w:t>
      </w:r>
    </w:p>
    <w:p w:rsidRPr="00FB482A" w:rsidR="00FB482A" w:rsidP="00FB482A" w:rsidRDefault="00FB482A" w14:paraId="1DD1C95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Reliability Operator</w:t>
      </w:r>
    </w:p>
    <w:p w:rsidRPr="00FB482A" w:rsidR="00FB482A" w:rsidP="00FB482A" w:rsidRDefault="00FB482A" w14:paraId="1424CC7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Balancing, Interchange and Transmission Operator</w:t>
      </w:r>
    </w:p>
    <w:p w:rsidRPr="00FB482A" w:rsidR="00FB482A" w:rsidP="00FB482A" w:rsidRDefault="00FB482A" w14:paraId="62C4D93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Balancing and Interchange Operator</w:t>
      </w:r>
    </w:p>
    <w:p w:rsidRPr="00FB482A" w:rsidR="00FB482A" w:rsidP="00FB482A" w:rsidRDefault="00FB482A" w14:paraId="34CE8AC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M3. Each Balancing Authority shall have the following evidence to show that it staffed its Real-time operating positions performing reliability-related tasks with System Operators who have demonstrated the applicable minimum competency by obtaining and maintaining the appropriate, valid NERC certificate: </w:t>
      </w:r>
    </w:p>
    <w:p w:rsidRPr="00FB482A" w:rsidR="00FB482A" w:rsidP="00FB482A" w:rsidRDefault="00FB482A" w14:paraId="72AE755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M3.1 A list of Real-time operating positions.</w:t>
      </w:r>
    </w:p>
    <w:p w:rsidRPr="00FB482A" w:rsidR="00FB482A" w:rsidP="00FB482A" w:rsidRDefault="00FB482A" w14:paraId="29D8794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M3.2 A list of System Operators assigned to its Real-time operating positions.</w:t>
      </w:r>
    </w:p>
    <w:p w:rsidRPr="00FB482A" w:rsidR="00FB482A" w:rsidP="00FB482A" w:rsidRDefault="00FB482A" w14:paraId="70B1573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M3.3 A copy of each of its System Operator’s NERC certificate or NERC certificate number with expiration date which demonstrates compliance with the applicable Areas of Competency.</w:t>
      </w:r>
    </w:p>
    <w:p w:rsidRPr="00FB482A" w:rsidR="00FB482A" w:rsidP="00FB482A" w:rsidRDefault="00FB482A" w14:paraId="5E6B71D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M3.4 Work schedules, work logs, or other equivalent evidence showing which System Operators were assigned to work in Real-time operating positions. Reliability Standards in their respective </w:t>
      </w:r>
    </w:p>
    <w:p w:rsidRPr="00FB482A" w:rsidR="00FB482A" w:rsidP="00FB482A" w:rsidRDefault="00FB482A" w14:paraId="5AFBC416"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Evidence Retention:</w:t>
      </w:r>
    </w:p>
    <w:p w:rsidRPr="00FB482A" w:rsidR="00FB482A" w:rsidP="00FB482A" w:rsidRDefault="00FB482A" w14:paraId="079E5E8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 The applicable entity shall keep data or evidence to show compliance as identified below unless directed by its Compliance Enforcement Authority to retain specific evidence for a longer period of time as part of an investigation.</w:t>
      </w:r>
    </w:p>
    <w:p w:rsidRPr="00FB482A" w:rsidR="00FB482A" w:rsidP="00FB482A" w:rsidRDefault="00FB482A" w14:paraId="619E29E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Each Reliability Coordinator, Transmission Operator and Balancing Authority shall keep data or evidence for three years or since its last compliance audit, whichever time frame is the greatest.</w:t>
      </w:r>
    </w:p>
    <w:p w:rsidR="00FB482A" w:rsidP="00FB482A" w:rsidRDefault="00FB482A" w14:paraId="0BBA653A" w14:textId="6A96D273">
      <w:pPr>
        <w:numPr>
          <w:ilvl w:val="0"/>
          <w:numId w:val="24"/>
        </w:numPr>
        <w:spacing w:before="100" w:beforeAutospacing="1" w:after="100" w:afterAutospacing="1" w:line="240" w:lineRule="auto"/>
        <w:contextualSpacing/>
        <w:rPr>
          <w:rFonts w:ascii="Times New Roman" w:hAnsi="Times New Roman" w:eastAsia="Times New Roman" w:cs="Times New Roman"/>
          <w:b/>
          <w:bCs/>
          <w:color w:val="000000"/>
          <w:sz w:val="24"/>
          <w:szCs w:val="24"/>
          <w:u w:val="single"/>
        </w:rPr>
      </w:pPr>
      <w:r w:rsidRPr="00FB482A">
        <w:rPr>
          <w:rFonts w:ascii="Times New Roman" w:hAnsi="Times New Roman" w:eastAsia="Times New Roman" w:cs="Times New Roman"/>
          <w:b/>
          <w:bCs/>
          <w:color w:val="000000"/>
          <w:sz w:val="24"/>
          <w:szCs w:val="24"/>
          <w:u w:val="single"/>
        </w:rPr>
        <w:t>PRC-008-0</w:t>
      </w:r>
    </w:p>
    <w:p w:rsidRPr="00FB482A" w:rsidR="00FB482A" w:rsidP="00B862DA" w:rsidRDefault="00FB482A" w14:paraId="371477AB" w14:textId="77777777">
      <w:pPr>
        <w:spacing w:before="100" w:beforeAutospacing="1" w:after="100" w:afterAutospacing="1" w:line="240" w:lineRule="auto"/>
        <w:ind w:left="720"/>
        <w:contextualSpacing/>
        <w:rPr>
          <w:rFonts w:ascii="Times New Roman" w:hAnsi="Times New Roman" w:eastAsia="Times New Roman" w:cs="Times New Roman"/>
          <w:b/>
          <w:bCs/>
          <w:color w:val="000000"/>
          <w:sz w:val="24"/>
          <w:szCs w:val="24"/>
          <w:u w:val="single"/>
        </w:rPr>
      </w:pPr>
    </w:p>
    <w:p w:rsidRPr="00FB482A" w:rsidR="00FB482A" w:rsidP="00FB482A" w:rsidRDefault="00FB482A" w14:paraId="08CA218A" w14:textId="77777777">
      <w:pPr>
        <w:spacing w:before="100" w:beforeAutospacing="1" w:after="100" w:afterAutospacing="1" w:line="240" w:lineRule="auto"/>
        <w:rPr>
          <w:rFonts w:ascii="Times New Roman" w:hAnsi="Times New Roman" w:eastAsia="Times New Roman" w:cs="Times New Roman"/>
          <w:b/>
          <w:bCs/>
          <w:color w:val="000000"/>
          <w:sz w:val="24"/>
          <w:szCs w:val="24"/>
        </w:rPr>
      </w:pPr>
      <w:r w:rsidRPr="00FB482A">
        <w:rPr>
          <w:rFonts w:ascii="Times New Roman" w:hAnsi="Times New Roman" w:eastAsia="Times New Roman" w:cs="Times New Roman"/>
          <w:b/>
          <w:bCs/>
          <w:color w:val="000000"/>
          <w:sz w:val="24"/>
          <w:szCs w:val="24"/>
        </w:rPr>
        <w:t xml:space="preserve">Requirements </w:t>
      </w:r>
    </w:p>
    <w:p w:rsidRPr="00FB482A" w:rsidR="00FB482A" w:rsidP="00FB482A" w:rsidRDefault="00FB482A" w14:paraId="4D7558D7"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 The Transmission Owner and Distribution Provider with a UFLS program (as required by its Regional Reliability Organization) shall have a UFLS equipment maintenance and testing program in place. This UFLS equipment maintenance and testing program shall include UFLS equipment identification, the schedule for UFLS equipment testing, and the schedule for UFLS equipment maintenance. </w:t>
      </w:r>
    </w:p>
    <w:p w:rsidRPr="00FB482A" w:rsidR="00FB482A" w:rsidP="00FB482A" w:rsidRDefault="00FB482A" w14:paraId="29DE024E"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R2. The Transmission Owner and Distribution Provider with a UFLS program (as required by its Regional Reliability Organization) shall implement its UFLS equipment maintenance and testing program and shall provide UFLS maintenance and testing program results to its Regional Reliability Organization and NERC on request (within 30 calendar days). </w:t>
      </w:r>
    </w:p>
    <w:p w:rsidRPr="00FB482A" w:rsidR="00FB482A" w:rsidP="00FB482A" w:rsidRDefault="00FB482A" w14:paraId="450B27C7"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b/>
          <w:bCs/>
          <w:color w:val="000000"/>
          <w:sz w:val="24"/>
          <w:szCs w:val="24"/>
        </w:rPr>
        <w:t>Measures</w:t>
      </w:r>
      <w:r w:rsidRPr="00FB482A">
        <w:rPr>
          <w:rFonts w:ascii="Times New Roman" w:hAnsi="Times New Roman" w:eastAsia="Times New Roman" w:cs="Times New Roman"/>
          <w:color w:val="000000"/>
          <w:sz w:val="24"/>
          <w:szCs w:val="24"/>
        </w:rPr>
        <w:t xml:space="preserve"> </w:t>
      </w:r>
    </w:p>
    <w:p w:rsidRPr="00FB482A" w:rsidR="00FB482A" w:rsidP="00FB482A" w:rsidRDefault="00FB482A" w14:paraId="5801D508"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lastRenderedPageBreak/>
        <w:t xml:space="preserve">M1. Each Transmission Owner’s and Distribution Provider’s UFLS equipment maintenance and </w:t>
      </w:r>
    </w:p>
    <w:p w:rsidRPr="00FB482A" w:rsidR="00FB482A" w:rsidP="00FB482A" w:rsidRDefault="00FB482A" w14:paraId="595688A5"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testing program contains the elements specified in Reliability Standard PRC-008-0_R1. </w:t>
      </w:r>
    </w:p>
    <w:p w:rsidRPr="00FB482A" w:rsidR="00FB482A" w:rsidP="00FB482A" w:rsidRDefault="00FB482A" w14:paraId="67C4FBA1"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M2. Each Transmission Owner and Distribution Provider shall have evidence that it provided the </w:t>
      </w:r>
    </w:p>
    <w:p w:rsidRPr="00FB482A" w:rsidR="00FB482A" w:rsidP="00FB482A" w:rsidRDefault="00FB482A" w14:paraId="0AF63997"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results of its UFLS equipment maintenance and testing program’s implementation to its </w:t>
      </w:r>
    </w:p>
    <w:p w:rsidRPr="00FB482A" w:rsidR="00FB482A" w:rsidP="00FB482A" w:rsidRDefault="00FB482A" w14:paraId="230C1120"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Regional Reliability Organization and NERC on request (within 30 calendar days).</w:t>
      </w:r>
    </w:p>
    <w:p w:rsidRPr="00FB482A" w:rsidR="00FB482A" w:rsidP="00FB482A" w:rsidRDefault="00FB482A" w14:paraId="20F9C61A"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b/>
          <w:bCs/>
          <w:color w:val="000000"/>
          <w:sz w:val="24"/>
          <w:szCs w:val="24"/>
        </w:rPr>
        <w:t>Data Retention:</w:t>
      </w:r>
      <w:r w:rsidRPr="00FB482A">
        <w:rPr>
          <w:rFonts w:ascii="Times New Roman" w:hAnsi="Times New Roman" w:eastAsia="Times New Roman" w:cs="Times New Roman"/>
          <w:color w:val="000000"/>
          <w:sz w:val="24"/>
          <w:szCs w:val="24"/>
        </w:rPr>
        <w:t xml:space="preserve"> None specified.</w:t>
      </w:r>
    </w:p>
    <w:p w:rsidR="00FB482A" w:rsidP="00FB482A" w:rsidRDefault="00FB482A" w14:paraId="2931A63E" w14:textId="73D57D64">
      <w:pPr>
        <w:numPr>
          <w:ilvl w:val="0"/>
          <w:numId w:val="24"/>
        </w:numPr>
        <w:spacing w:before="100" w:beforeAutospacing="1" w:after="100" w:afterAutospacing="1" w:line="240" w:lineRule="auto"/>
        <w:contextualSpacing/>
        <w:rPr>
          <w:rFonts w:ascii="Times New Roman" w:hAnsi="Times New Roman" w:eastAsia="Times New Roman" w:cs="Times New Roman"/>
          <w:b/>
          <w:bCs/>
          <w:color w:val="000000"/>
          <w:sz w:val="24"/>
          <w:szCs w:val="24"/>
          <w:u w:val="single"/>
        </w:rPr>
      </w:pPr>
      <w:r w:rsidRPr="00FB482A">
        <w:rPr>
          <w:rFonts w:ascii="Times New Roman" w:hAnsi="Times New Roman" w:eastAsia="Times New Roman" w:cs="Times New Roman"/>
          <w:b/>
          <w:bCs/>
          <w:color w:val="000000"/>
          <w:sz w:val="24"/>
          <w:szCs w:val="24"/>
          <w:u w:val="single"/>
        </w:rPr>
        <w:t>PRC-011-0</w:t>
      </w:r>
    </w:p>
    <w:p w:rsidRPr="00FB482A" w:rsidR="00FB482A" w:rsidP="00B862DA" w:rsidRDefault="00FB482A" w14:paraId="60384AB4" w14:textId="77777777">
      <w:pPr>
        <w:spacing w:before="100" w:beforeAutospacing="1" w:after="100" w:afterAutospacing="1" w:line="240" w:lineRule="auto"/>
        <w:ind w:left="720"/>
        <w:contextualSpacing/>
        <w:rPr>
          <w:rFonts w:ascii="Times New Roman" w:hAnsi="Times New Roman" w:eastAsia="Times New Roman" w:cs="Times New Roman"/>
          <w:b/>
          <w:bCs/>
          <w:color w:val="000000"/>
          <w:sz w:val="24"/>
          <w:szCs w:val="24"/>
          <w:u w:val="single"/>
        </w:rPr>
      </w:pPr>
    </w:p>
    <w:p w:rsidRPr="00FB482A" w:rsidR="00FB482A" w:rsidP="00FB482A" w:rsidRDefault="00FB482A" w14:paraId="70C36758" w14:textId="77777777">
      <w:pPr>
        <w:spacing w:before="100" w:beforeAutospacing="1" w:after="100" w:afterAutospacing="1" w:line="240" w:lineRule="auto"/>
        <w:rPr>
          <w:rFonts w:ascii="Times New Roman" w:hAnsi="Times New Roman" w:eastAsia="Times New Roman" w:cs="Times New Roman"/>
          <w:b/>
          <w:bCs/>
          <w:color w:val="000000"/>
          <w:sz w:val="24"/>
          <w:szCs w:val="24"/>
        </w:rPr>
      </w:pPr>
      <w:r w:rsidRPr="00FB482A">
        <w:rPr>
          <w:rFonts w:ascii="Times New Roman" w:hAnsi="Times New Roman" w:eastAsia="Times New Roman" w:cs="Times New Roman"/>
          <w:b/>
          <w:bCs/>
          <w:color w:val="000000"/>
          <w:sz w:val="24"/>
          <w:szCs w:val="24"/>
        </w:rPr>
        <w:t xml:space="preserve">Requirements </w:t>
      </w:r>
    </w:p>
    <w:p w:rsidRPr="00FB482A" w:rsidR="00FB482A" w:rsidP="00FB482A" w:rsidRDefault="00FB482A" w14:paraId="13609E79"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 The Transmission Owner and Distribution Provider that owns a UVLS system shall have a UVLS equipment maintenance and testing program in place. This program shall include: </w:t>
      </w:r>
    </w:p>
    <w:p w:rsidRPr="00FB482A" w:rsidR="00FB482A" w:rsidP="00FB482A" w:rsidRDefault="00FB482A" w14:paraId="7CAC330A"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R1.1. The UVLS system identification which shall include but is not limited to: </w:t>
      </w:r>
    </w:p>
    <w:p w:rsidRPr="00FB482A" w:rsidR="00FB482A" w:rsidP="00FB482A" w:rsidRDefault="00FB482A" w14:paraId="752EF17A"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R1.1.1. Relays. </w:t>
      </w:r>
    </w:p>
    <w:p w:rsidRPr="00FB482A" w:rsidR="00FB482A" w:rsidP="00FB482A" w:rsidRDefault="00FB482A" w14:paraId="24F2D66C"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R1.1.2. Instrument transformers. </w:t>
      </w:r>
    </w:p>
    <w:p w:rsidRPr="00FB482A" w:rsidR="00FB482A" w:rsidP="00FB482A" w:rsidRDefault="00FB482A" w14:paraId="1318C5E1"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R1.1.3. Communications systems, where appropriate. </w:t>
      </w:r>
    </w:p>
    <w:p w:rsidRPr="00FB482A" w:rsidR="00FB482A" w:rsidP="00FB482A" w:rsidRDefault="00FB482A" w14:paraId="386BF7A5"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R1.1.4. Batteries. </w:t>
      </w:r>
    </w:p>
    <w:p w:rsidRPr="00FB482A" w:rsidR="00FB482A" w:rsidP="00FB482A" w:rsidRDefault="00FB482A" w14:paraId="2108438B"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R1.2. Documentation of maintenance and testing intervals and their basis. </w:t>
      </w:r>
    </w:p>
    <w:p w:rsidRPr="00FB482A" w:rsidR="00FB482A" w:rsidP="00FB482A" w:rsidRDefault="00FB482A" w14:paraId="5513F3BA"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R1.3. Summary of testing procedure. </w:t>
      </w:r>
    </w:p>
    <w:p w:rsidRPr="00FB482A" w:rsidR="00FB482A" w:rsidP="00FB482A" w:rsidRDefault="00FB482A" w14:paraId="797A044D"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R1.4. Schedule for system testing. </w:t>
      </w:r>
    </w:p>
    <w:p w:rsidRPr="00FB482A" w:rsidR="00FB482A" w:rsidP="00FB482A" w:rsidRDefault="00FB482A" w14:paraId="59040717"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R1.5. Schedule for system maintenance. </w:t>
      </w:r>
    </w:p>
    <w:p w:rsidRPr="00FB482A" w:rsidR="00FB482A" w:rsidP="00FB482A" w:rsidRDefault="00FB482A" w14:paraId="0A90E6C8"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R1.6. Date last tested/maintained. </w:t>
      </w:r>
    </w:p>
    <w:p w:rsidRPr="00FB482A" w:rsidR="00FB482A" w:rsidP="00FB482A" w:rsidRDefault="00FB482A" w14:paraId="73F24FEF"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 xml:space="preserve">R2. The Transmission Owner and Distribution Provider that owns a UVLS system shall provide documentation of its UVLS equipment maintenance and testing program and the implementation of that UVLS equipment maintenance and testing program to its Regional Reliability Organization and NERC on request (within 30 calendar days). </w:t>
      </w:r>
    </w:p>
    <w:p w:rsidRPr="00FB482A" w:rsidR="00FB482A" w:rsidP="00FB482A" w:rsidRDefault="00FB482A" w14:paraId="31F17664" w14:textId="77777777">
      <w:pPr>
        <w:spacing w:before="100" w:beforeAutospacing="1" w:after="100" w:afterAutospacing="1" w:line="240" w:lineRule="auto"/>
        <w:rPr>
          <w:rFonts w:ascii="Times New Roman" w:hAnsi="Times New Roman" w:eastAsia="Times New Roman" w:cs="Times New Roman"/>
          <w:b/>
          <w:bCs/>
          <w:color w:val="000000"/>
          <w:sz w:val="24"/>
          <w:szCs w:val="24"/>
        </w:rPr>
      </w:pPr>
      <w:r w:rsidRPr="00FB482A">
        <w:rPr>
          <w:rFonts w:ascii="Times New Roman" w:hAnsi="Times New Roman" w:eastAsia="Times New Roman" w:cs="Times New Roman"/>
          <w:b/>
          <w:bCs/>
          <w:color w:val="000000"/>
          <w:sz w:val="24"/>
          <w:szCs w:val="24"/>
        </w:rPr>
        <w:t xml:space="preserve">Measures </w:t>
      </w:r>
    </w:p>
    <w:p w:rsidRPr="00FB482A" w:rsidR="00FB482A" w:rsidP="00FB482A" w:rsidRDefault="00FB482A" w14:paraId="1757A9D4"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lastRenderedPageBreak/>
        <w:t xml:space="preserve">M1. Each Transmission Owner and Distribution Provider that owns a UVLS system shall have documentation that its UVLS equipment maintenance and testing program conforms with Reliability Standard PRC-011-0_R1. </w:t>
      </w:r>
    </w:p>
    <w:p w:rsidRPr="00FB482A" w:rsidR="00FB482A" w:rsidP="00FB482A" w:rsidRDefault="00FB482A" w14:paraId="191AF925" w14:textId="77777777">
      <w:pPr>
        <w:spacing w:before="100" w:beforeAutospacing="1" w:after="100" w:afterAutospacing="1" w:line="240" w:lineRule="auto"/>
        <w:rPr>
          <w:rFonts w:ascii="Times New Roman" w:hAnsi="Times New Roman" w:eastAsia="Times New Roman" w:cs="Times New Roman"/>
          <w:color w:val="000000"/>
          <w:sz w:val="24"/>
          <w:szCs w:val="24"/>
        </w:rPr>
      </w:pPr>
      <w:r w:rsidRPr="00FB482A">
        <w:rPr>
          <w:rFonts w:ascii="Times New Roman" w:hAnsi="Times New Roman" w:eastAsia="Times New Roman" w:cs="Times New Roman"/>
          <w:color w:val="000000"/>
          <w:sz w:val="24"/>
          <w:szCs w:val="24"/>
        </w:rPr>
        <w:t>M2. Each Transmission Owner and Distribution Provider that owns a UVLS system shall have evidence it provided documentation of its UVLS equipment maintenance and testing program and the implementation of that UVLS equipment maintenance and testing program as specified in Reliability Standard PRC-011-0_R2.</w:t>
      </w:r>
    </w:p>
    <w:p w:rsidRPr="00FB482A" w:rsidR="00FB482A" w:rsidP="00FB482A" w:rsidRDefault="00FB482A" w14:paraId="3AD4ACB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b/>
          <w:bCs/>
          <w:sz w:val="24"/>
          <w:szCs w:val="24"/>
        </w:rPr>
        <w:t>Data Retention</w:t>
      </w:r>
      <w:r w:rsidRPr="00FB482A">
        <w:rPr>
          <w:rFonts w:ascii="Times New Roman" w:hAnsi="Times New Roman" w:eastAsia="Calibri" w:cs="Times New Roman"/>
          <w:sz w:val="24"/>
          <w:szCs w:val="24"/>
        </w:rPr>
        <w:t>: None specified.</w:t>
      </w:r>
    </w:p>
    <w:p w:rsidRPr="00B862DA" w:rsidR="00FB482A" w:rsidP="00FB482A" w:rsidRDefault="00FB482A" w14:paraId="0BF31C76" w14:textId="05BD1E1C">
      <w:pPr>
        <w:numPr>
          <w:ilvl w:val="0"/>
          <w:numId w:val="24"/>
        </w:numPr>
        <w:spacing w:before="100" w:beforeAutospacing="1" w:after="100" w:afterAutospacing="1" w:line="240" w:lineRule="auto"/>
        <w:contextualSpacing/>
        <w:rPr>
          <w:rFonts w:ascii="Times New Roman" w:hAnsi="Times New Roman" w:eastAsia="Calibri" w:cs="Times New Roman"/>
          <w:b/>
          <w:bCs/>
          <w:sz w:val="24"/>
          <w:szCs w:val="24"/>
          <w:u w:val="single"/>
        </w:rPr>
      </w:pPr>
      <w:r w:rsidRPr="00FB482A">
        <w:rPr>
          <w:rFonts w:ascii="Times New Roman" w:hAnsi="Times New Roman" w:eastAsia="Times New Roman" w:cs="Times New Roman"/>
          <w:b/>
          <w:bCs/>
          <w:color w:val="000000"/>
          <w:sz w:val="24"/>
          <w:szCs w:val="24"/>
          <w:u w:val="single"/>
        </w:rPr>
        <w:t>PRC-017-1</w:t>
      </w:r>
    </w:p>
    <w:p w:rsidRPr="00FB482A" w:rsidR="00FB482A" w:rsidP="00B862DA" w:rsidRDefault="00FB482A" w14:paraId="4338C474" w14:textId="77777777">
      <w:pPr>
        <w:spacing w:before="100" w:beforeAutospacing="1" w:after="100" w:afterAutospacing="1" w:line="240" w:lineRule="auto"/>
        <w:ind w:left="720"/>
        <w:contextualSpacing/>
        <w:rPr>
          <w:rFonts w:ascii="Times New Roman" w:hAnsi="Times New Roman" w:eastAsia="Calibri" w:cs="Times New Roman"/>
          <w:b/>
          <w:bCs/>
          <w:sz w:val="24"/>
          <w:szCs w:val="24"/>
          <w:u w:val="single"/>
        </w:rPr>
      </w:pPr>
    </w:p>
    <w:p w:rsidRPr="00FB482A" w:rsidR="00FB482A" w:rsidP="00FB482A" w:rsidRDefault="00FB482A" w14:paraId="089799E3"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w:t>
      </w:r>
    </w:p>
    <w:p w:rsidRPr="00FB482A" w:rsidR="00FB482A" w:rsidP="00FB482A" w:rsidRDefault="00FB482A" w14:paraId="3AF743B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 The Transmission Owner, Generator Owner, and Distribution Provider that owns a RAS shall have a system maintenance and testing program(s) in place. The program(s) shall include:</w:t>
      </w:r>
    </w:p>
    <w:p w:rsidRPr="00FB482A" w:rsidR="00FB482A" w:rsidP="00FB482A" w:rsidRDefault="00FB482A" w14:paraId="3AEDFB2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R1.1. RAS identification shall include but is not limited to:</w:t>
      </w:r>
    </w:p>
    <w:p w:rsidRPr="00FB482A" w:rsidR="00FB482A" w:rsidP="00FB482A" w:rsidRDefault="00FB482A" w14:paraId="56C8028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R1.1.1. Relays.</w:t>
      </w:r>
    </w:p>
    <w:p w:rsidRPr="00FB482A" w:rsidR="00FB482A" w:rsidP="00FB482A" w:rsidRDefault="00FB482A" w14:paraId="52167B5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R1.1.2. Instrument transformers.</w:t>
      </w:r>
    </w:p>
    <w:p w:rsidRPr="00FB482A" w:rsidR="00FB482A" w:rsidP="00FB482A" w:rsidRDefault="00FB482A" w14:paraId="43879C1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R1.1.3. Communications systems, where appropriate.</w:t>
      </w:r>
    </w:p>
    <w:p w:rsidRPr="00FB482A" w:rsidR="00FB482A" w:rsidP="00FB482A" w:rsidRDefault="00FB482A" w14:paraId="447B06A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R1.1.4. Batteries.</w:t>
      </w:r>
    </w:p>
    <w:p w:rsidRPr="00FB482A" w:rsidR="00FB482A" w:rsidP="00FB482A" w:rsidRDefault="00FB482A" w14:paraId="3EBA08C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R1.2. Documentation of maintenance and testing intervals and their basis.</w:t>
      </w:r>
    </w:p>
    <w:p w:rsidRPr="00FB482A" w:rsidR="00FB482A" w:rsidP="00FB482A" w:rsidRDefault="00FB482A" w14:paraId="01EFC6A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R1.3. Summary of testing procedure.</w:t>
      </w:r>
    </w:p>
    <w:p w:rsidRPr="00FB482A" w:rsidR="00FB482A" w:rsidP="00FB482A" w:rsidRDefault="00FB482A" w14:paraId="66A416D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R1.4. Schedule for system testing.</w:t>
      </w:r>
    </w:p>
    <w:p w:rsidRPr="00FB482A" w:rsidR="00FB482A" w:rsidP="00FB482A" w:rsidRDefault="00FB482A" w14:paraId="400DBFE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R1.5. Schedule for system maintenance.</w:t>
      </w:r>
    </w:p>
    <w:p w:rsidRPr="00FB482A" w:rsidR="00FB482A" w:rsidP="00FB482A" w:rsidRDefault="00FB482A" w14:paraId="6A86EFE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R1.6. Date last tested/maintained. </w:t>
      </w:r>
    </w:p>
    <w:p w:rsidRPr="00FB482A" w:rsidR="00FB482A" w:rsidP="00FB482A" w:rsidRDefault="00FB482A" w14:paraId="55AF6B7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R2. The Transmission Owner, Generator Owner, and Distribution Provider that owns a RAS shall provide documentation of the program and its implementation to the appropriate Regional Reliability Organizations and NERC on request (within 30 calendar days).</w:t>
      </w:r>
    </w:p>
    <w:p w:rsidRPr="00FB482A" w:rsidR="00FB482A" w:rsidP="00FB482A" w:rsidRDefault="00FB482A" w14:paraId="45BA33DB"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Measures</w:t>
      </w:r>
    </w:p>
    <w:p w:rsidRPr="00FB482A" w:rsidR="00FB482A" w:rsidP="00FB482A" w:rsidRDefault="00FB482A" w14:paraId="136435E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M1. The Transmission Owner, Generator Owner, and Distribution Provider that owns a RAS shall have a system maintenance and testing program(s) in place that includes all items in Reliability Standard PRC-017-1_R1.</w:t>
      </w:r>
    </w:p>
    <w:p w:rsidRPr="00FB482A" w:rsidR="00FB482A" w:rsidP="00FB482A" w:rsidRDefault="00FB482A" w14:paraId="06755EA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 The Transmission Owner, Generator Owner, and Distribution Provider that owns a RAS shall have evidence it provided documentation of the program and its implementation to the appropriate Regional Reliability Organizations and NERC on request (within 30 calendar days)</w:t>
      </w:r>
    </w:p>
    <w:p w:rsidRPr="00FB482A" w:rsidR="00FB482A" w:rsidP="00FB482A" w:rsidRDefault="00FB482A" w14:paraId="5FBCDDD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b/>
          <w:bCs/>
          <w:sz w:val="24"/>
          <w:szCs w:val="24"/>
        </w:rPr>
        <w:t>Evidence Retention:</w:t>
      </w:r>
      <w:r w:rsidRPr="00FB482A">
        <w:rPr>
          <w:rFonts w:ascii="Times New Roman" w:hAnsi="Times New Roman" w:eastAsia="Calibri" w:cs="Times New Roman"/>
          <w:sz w:val="24"/>
          <w:szCs w:val="24"/>
        </w:rPr>
        <w:t xml:space="preserve"> N/A</w:t>
      </w:r>
    </w:p>
    <w:p w:rsidR="00FB482A" w:rsidP="00FB482A" w:rsidRDefault="00FB482A" w14:paraId="6B96A11F" w14:textId="46BEA323">
      <w:pPr>
        <w:numPr>
          <w:ilvl w:val="0"/>
          <w:numId w:val="24"/>
        </w:numPr>
        <w:spacing w:before="100" w:beforeAutospacing="1" w:after="100" w:afterAutospacing="1" w:line="240" w:lineRule="auto"/>
        <w:contextualSpacing/>
        <w:rPr>
          <w:rFonts w:ascii="Times New Roman" w:hAnsi="Times New Roman" w:eastAsia="Times New Roman" w:cs="Times New Roman"/>
          <w:b/>
          <w:bCs/>
          <w:color w:val="000000"/>
          <w:sz w:val="24"/>
          <w:szCs w:val="24"/>
          <w:u w:val="single"/>
        </w:rPr>
      </w:pPr>
      <w:r w:rsidRPr="00FB482A">
        <w:rPr>
          <w:rFonts w:ascii="Times New Roman" w:hAnsi="Times New Roman" w:eastAsia="Times New Roman" w:cs="Times New Roman"/>
          <w:b/>
          <w:bCs/>
          <w:color w:val="000000"/>
          <w:sz w:val="24"/>
          <w:szCs w:val="24"/>
          <w:u w:val="single"/>
        </w:rPr>
        <w:t>PRC-018-1</w:t>
      </w:r>
    </w:p>
    <w:p w:rsidRPr="00FB482A" w:rsidR="00FB482A" w:rsidP="00B862DA" w:rsidRDefault="00FB482A" w14:paraId="1A854537" w14:textId="77777777">
      <w:pPr>
        <w:spacing w:before="100" w:beforeAutospacing="1" w:after="100" w:afterAutospacing="1" w:line="240" w:lineRule="auto"/>
        <w:ind w:left="720"/>
        <w:contextualSpacing/>
        <w:rPr>
          <w:rFonts w:ascii="Times New Roman" w:hAnsi="Times New Roman" w:eastAsia="Times New Roman" w:cs="Times New Roman"/>
          <w:b/>
          <w:bCs/>
          <w:color w:val="000000"/>
          <w:sz w:val="24"/>
          <w:szCs w:val="24"/>
          <w:u w:val="single"/>
        </w:rPr>
      </w:pPr>
    </w:p>
    <w:p w:rsidRPr="00FB482A" w:rsidR="00FB482A" w:rsidP="00FB482A" w:rsidRDefault="00FB482A" w14:paraId="0CB00851"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 xml:space="preserve">Requirements </w:t>
      </w:r>
    </w:p>
    <w:p w:rsidRPr="00FB482A" w:rsidR="00FB482A" w:rsidP="00FB482A" w:rsidRDefault="00FB482A" w14:paraId="583BCE3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Transmission Owner and Generator Owner required to install DMEs by its Regional Reliability Organization (reliability standard PRC-002 Requirements 1-3) shall have DMEs installed that meet the following requirements: </w:t>
      </w:r>
    </w:p>
    <w:p w:rsidRPr="00FB482A" w:rsidR="00FB482A" w:rsidP="00FB482A" w:rsidRDefault="00FB482A" w14:paraId="0961DB3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R1.1. Internal Clocks in DME devices shall be synchronized to within 2 milliseconds or </w:t>
      </w:r>
    </w:p>
    <w:p w:rsidRPr="00FB482A" w:rsidR="00FB482A" w:rsidP="00FB482A" w:rsidRDefault="00FB482A" w14:paraId="0A235CF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less of Universal Coordinated Time scale (UTC) </w:t>
      </w:r>
    </w:p>
    <w:p w:rsidRPr="00FB482A" w:rsidR="00FB482A" w:rsidP="00FB482A" w:rsidRDefault="00FB482A" w14:paraId="09B1577B" w14:textId="61BBE1E4">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R1.2. Recorded data from each Disturbance shall be retrievable for ten calendar </w:t>
      </w:r>
      <w:r w:rsidRPr="00FB482A" w:rsidR="00896DEA">
        <w:rPr>
          <w:rFonts w:ascii="Times New Roman" w:hAnsi="Times New Roman" w:eastAsia="Calibri" w:cs="Times New Roman"/>
          <w:sz w:val="24"/>
          <w:szCs w:val="24"/>
        </w:rPr>
        <w:t>days.</w:t>
      </w:r>
      <w:r w:rsidRPr="00FB482A">
        <w:rPr>
          <w:rFonts w:ascii="Times New Roman" w:hAnsi="Times New Roman" w:eastAsia="Calibri" w:cs="Times New Roman"/>
          <w:sz w:val="24"/>
          <w:szCs w:val="24"/>
        </w:rPr>
        <w:t xml:space="preserve"> </w:t>
      </w:r>
    </w:p>
    <w:p w:rsidRPr="00FB482A" w:rsidR="00FB482A" w:rsidP="00FB482A" w:rsidRDefault="00FB482A" w14:paraId="7375B98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The Transmission Owner and Generator Owner shall each install DMEs in accordance with its Regional Reliability Organization’s installation requirements (reliability standard PRC-002 Requirements 1 through 3). </w:t>
      </w:r>
    </w:p>
    <w:p w:rsidRPr="00FB482A" w:rsidR="00FB482A" w:rsidP="00FB482A" w:rsidRDefault="00FB482A" w14:paraId="065CA5C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The Transmission Owner and Generator Owner shall each maintain, and report to its Regional Reliability Organization on request, the following data on the DMEs installed to meet that region’s installation requirements (reliability standard PRC-002 Requirements 1.1, 2.1 and 3.1): </w:t>
      </w:r>
    </w:p>
    <w:p w:rsidRPr="00FB482A" w:rsidR="00FB482A" w:rsidP="00FB482A" w:rsidRDefault="00FB482A" w14:paraId="2B507C7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R3.1. Type of DME (sequence of event recorder, fault recorder, or dynamic disturbance </w:t>
      </w:r>
    </w:p>
    <w:p w:rsidRPr="00FB482A" w:rsidR="00FB482A" w:rsidP="00FB482A" w:rsidRDefault="00FB482A" w14:paraId="49C3AB6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recorder). </w:t>
      </w:r>
    </w:p>
    <w:p w:rsidRPr="00FB482A" w:rsidR="00FB482A" w:rsidP="00FB482A" w:rsidRDefault="00FB482A" w14:paraId="7293AE3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R3.2. Make and model of equipment. </w:t>
      </w:r>
    </w:p>
    <w:p w:rsidRPr="00FB482A" w:rsidR="00FB482A" w:rsidP="00FB482A" w:rsidRDefault="00FB482A" w14:paraId="269044D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R3.3. Installation location. </w:t>
      </w:r>
    </w:p>
    <w:p w:rsidRPr="00FB482A" w:rsidR="00FB482A" w:rsidP="00FB482A" w:rsidRDefault="00FB482A" w14:paraId="07AE789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R3.4. Operational status. </w:t>
      </w:r>
    </w:p>
    <w:p w:rsidRPr="00FB482A" w:rsidR="00FB482A" w:rsidP="00FB482A" w:rsidRDefault="00FB482A" w14:paraId="4B54724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R3.5. Date last tested. </w:t>
      </w:r>
    </w:p>
    <w:p w:rsidRPr="00FB482A" w:rsidR="00FB482A" w:rsidP="00FB482A" w:rsidRDefault="00FB482A" w14:paraId="01B0BD3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R3.6. Monitored elements, such as transmission circuit, bus section, etc. </w:t>
      </w:r>
    </w:p>
    <w:p w:rsidRPr="00FB482A" w:rsidR="00FB482A" w:rsidP="00FB482A" w:rsidRDefault="00FB482A" w14:paraId="74580CB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R3.7. Monitored devices, such as circuit breaker, disconnect status, alarms, etc. </w:t>
      </w:r>
    </w:p>
    <w:p w:rsidRPr="00FB482A" w:rsidR="00FB482A" w:rsidP="00FB482A" w:rsidRDefault="00FB482A" w14:paraId="70ECE6F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R3.8. Monitored electrical quantities, such as voltage, current, etc. </w:t>
      </w:r>
    </w:p>
    <w:p w:rsidRPr="00FB482A" w:rsidR="00FB482A" w:rsidP="00FB482A" w:rsidRDefault="00FB482A" w14:paraId="4B65160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R4. The Transmission Owner and Generator Owner shall each provide Disturbance data </w:t>
      </w:r>
    </w:p>
    <w:p w:rsidRPr="00FB482A" w:rsidR="00FB482A" w:rsidP="00FB482A" w:rsidRDefault="00FB482A" w14:paraId="0009E57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(recorded by DMEs) in accordance with its Regional Reliability Organization’s </w:t>
      </w:r>
    </w:p>
    <w:p w:rsidRPr="00FB482A" w:rsidR="00FB482A" w:rsidP="00FB482A" w:rsidRDefault="00FB482A" w14:paraId="16B54D3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requirements (reliability standard PRC-002 Requirement 4). </w:t>
      </w:r>
    </w:p>
    <w:p w:rsidRPr="00FB482A" w:rsidR="00FB482A" w:rsidP="00FB482A" w:rsidRDefault="00FB482A" w14:paraId="446107C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R5. The Transmission Owner and Generator Owner shall each archive all data recorded by </w:t>
      </w:r>
    </w:p>
    <w:p w:rsidRPr="00FB482A" w:rsidR="00FB482A" w:rsidP="00FB482A" w:rsidRDefault="00FB482A" w14:paraId="59747D5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DMEs for Regional Reliability Organization-identified events for at least three years. </w:t>
      </w:r>
    </w:p>
    <w:p w:rsidRPr="00FB482A" w:rsidR="00FB482A" w:rsidP="00FB482A" w:rsidRDefault="00FB482A" w14:paraId="64FA03C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R6. Each Transmission Owner and Generator Owner that is required by its Regional Reliability </w:t>
      </w:r>
    </w:p>
    <w:p w:rsidRPr="00FB482A" w:rsidR="00FB482A" w:rsidP="00FB482A" w:rsidRDefault="00FB482A" w14:paraId="667066A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Organization to have DMEs shall have a maintenance and testing program for those DMEs </w:t>
      </w:r>
    </w:p>
    <w:p w:rsidRPr="00FB482A" w:rsidR="00FB482A" w:rsidP="00FB482A" w:rsidRDefault="00FB482A" w14:paraId="011DE6D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that includes: </w:t>
      </w:r>
    </w:p>
    <w:p w:rsidRPr="00FB482A" w:rsidR="00FB482A" w:rsidP="00FB482A" w:rsidRDefault="00FB482A" w14:paraId="732D69F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R6.1. Maintenance and testing intervals and their basis. </w:t>
      </w:r>
    </w:p>
    <w:p w:rsidRPr="00FB482A" w:rsidR="00FB482A" w:rsidP="00FB482A" w:rsidRDefault="00FB482A" w14:paraId="304835B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R6.2. Summary of maintenance and testing procedures. </w:t>
      </w:r>
    </w:p>
    <w:p w:rsidRPr="00FB482A" w:rsidR="00FB482A" w:rsidP="00FB482A" w:rsidRDefault="00FB482A" w14:paraId="5D410624"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 xml:space="preserve">Measures </w:t>
      </w:r>
    </w:p>
    <w:p w:rsidRPr="00FB482A" w:rsidR="00FB482A" w:rsidP="00FB482A" w:rsidRDefault="00FB482A" w14:paraId="2295856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M1. The Transmission Owner and Generator Owner shall each have evidence that DMEs it is required to have meet the functional requirements specified in Requirement 1 and are installed in accordance with its associated Regional Reliability Organization’s requirements (R2). </w:t>
      </w:r>
    </w:p>
    <w:p w:rsidRPr="00FB482A" w:rsidR="00FB482A" w:rsidP="00FB482A" w:rsidRDefault="00FB482A" w14:paraId="5D2C3AC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 The Transmission Owner and Generator Owner shall each maintain the data listed in Requirements 3.1 through 3.8 for the DMEs installed to meet its Regional Reliability Organization’s DME installation requirements. </w:t>
      </w:r>
    </w:p>
    <w:p w:rsidRPr="00FB482A" w:rsidR="00FB482A" w:rsidP="00FB482A" w:rsidRDefault="00FB482A" w14:paraId="04D6D2A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M2.1 The Transmission Owner and Generator Owner shall each have evidence it provided this DME data to its Regional Reliability Organization within 30 calendar days of a request. </w:t>
      </w:r>
    </w:p>
    <w:p w:rsidRPr="00FB482A" w:rsidR="00FB482A" w:rsidP="00FB482A" w:rsidRDefault="00FB482A" w14:paraId="405B667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M3. The Transmission Owner and Generator Owner shall each have evidence it retained and provided recorded Disturbance data to entities in accordance with its associated Regional Reliability Organization’s Disturbance data reporting requirements. (R4 R5)</w:t>
      </w:r>
    </w:p>
    <w:p w:rsidRPr="00FB482A" w:rsidR="00FB482A" w:rsidP="00FB482A" w:rsidRDefault="00FB482A" w14:paraId="0D77E13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M4. Each Transmission Owner and Generator Owner that is required to install DMEs to meet its Regional Reliability Organization’s DME installation requirements, shall have an associated DME maintenance and testing program as defined in Requirement 6. </w:t>
      </w:r>
    </w:p>
    <w:p w:rsidRPr="00FB482A" w:rsidR="00FB482A" w:rsidP="00FB482A" w:rsidRDefault="00FB482A" w14:paraId="4B07D4F8"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 xml:space="preserve">Data Retention </w:t>
      </w:r>
    </w:p>
    <w:p w:rsidRPr="00FB482A" w:rsidR="00FB482A" w:rsidP="00FB482A" w:rsidRDefault="00FB482A" w14:paraId="06820DB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The Transmission Owner and Generator Owner shall each retain any Disturbance data provided to the Regional Reliability Organization (Requirement 4) for three years. The Compliance Monitor shall retain any audit data for three years.</w:t>
      </w:r>
    </w:p>
    <w:p w:rsidR="00FB482A" w:rsidP="00FB482A" w:rsidRDefault="00FB482A" w14:paraId="4654838A" w14:textId="2194AE85">
      <w:pPr>
        <w:numPr>
          <w:ilvl w:val="0"/>
          <w:numId w:val="24"/>
        </w:numPr>
        <w:spacing w:before="100" w:beforeAutospacing="1" w:after="100" w:afterAutospacing="1" w:line="240" w:lineRule="auto"/>
        <w:contextualSpacing/>
        <w:rPr>
          <w:rFonts w:ascii="Times New Roman" w:hAnsi="Times New Roman" w:eastAsia="Calibri" w:cs="Times New Roman"/>
          <w:b/>
          <w:bCs/>
          <w:sz w:val="24"/>
          <w:szCs w:val="24"/>
          <w:u w:val="single"/>
        </w:rPr>
      </w:pPr>
      <w:r w:rsidRPr="00FB482A">
        <w:rPr>
          <w:rFonts w:ascii="Times New Roman" w:hAnsi="Times New Roman" w:eastAsia="Calibri" w:cs="Times New Roman"/>
          <w:b/>
          <w:bCs/>
          <w:sz w:val="24"/>
          <w:szCs w:val="24"/>
          <w:u w:val="single"/>
        </w:rPr>
        <w:t>TOP-001-5</w:t>
      </w:r>
    </w:p>
    <w:p w:rsidRPr="00FB482A" w:rsidR="00FB482A" w:rsidP="00B862DA" w:rsidRDefault="00FB482A" w14:paraId="5FF7F6A9" w14:textId="77777777">
      <w:pPr>
        <w:spacing w:before="100" w:beforeAutospacing="1" w:after="100" w:afterAutospacing="1" w:line="240" w:lineRule="auto"/>
        <w:ind w:left="720"/>
        <w:contextualSpacing/>
        <w:rPr>
          <w:rFonts w:ascii="Times New Roman" w:hAnsi="Times New Roman" w:eastAsia="Calibri" w:cs="Times New Roman"/>
          <w:b/>
          <w:bCs/>
          <w:sz w:val="24"/>
          <w:szCs w:val="24"/>
          <w:u w:val="single"/>
        </w:rPr>
      </w:pPr>
    </w:p>
    <w:p w:rsidRPr="00FB482A" w:rsidR="00FB482A" w:rsidP="00FB482A" w:rsidRDefault="00FB482A" w14:paraId="3347141C"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 xml:space="preserve">Requirements and Measures </w:t>
      </w:r>
    </w:p>
    <w:p w:rsidRPr="00FB482A" w:rsidR="00FB482A" w:rsidP="00FB482A" w:rsidRDefault="00FB482A" w14:paraId="48DB3AE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Transmission Operator shall act to maintain the reliability of its Transmission Operator Area via its own actions or by issuing Operating Instructions.  </w:t>
      </w:r>
    </w:p>
    <w:p w:rsidRPr="00FB482A" w:rsidR="00FB482A" w:rsidP="00FB482A" w:rsidRDefault="00FB482A" w14:paraId="1D6EB93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 Each Transmission Operator shall have and provide evidence which may include but is not limited to dated operator logs, dated records, dated and time‐stamped voice recordings or dated transcripts of voice recordings, electronic communications, or equivalent documentation, that will be used to determine that it acted to maintain the reliability of its Transmission Operator Area via its own actions or by issuing Operating Instructions.</w:t>
      </w:r>
    </w:p>
    <w:p w:rsidRPr="00FB482A" w:rsidR="00FB482A" w:rsidP="00FB482A" w:rsidRDefault="00FB482A" w14:paraId="3BC4F11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Each Balancing Authority shall act to maintain the reliability of its Balancing Authority Area via its own actions or by issuing Operating Instructions.  </w:t>
      </w:r>
    </w:p>
    <w:p w:rsidRPr="00FB482A" w:rsidR="00FB482A" w:rsidP="00FB482A" w:rsidRDefault="00FB482A" w14:paraId="0D60CA7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 Each Balancing Authority shall have and provide evidence which may include but is not limited to dated operator logs, dated records, dated and time‐stamped voice recordings or dated transcripts of voice recordings, electronic communications, or equivalent documentation, that will be used to determine that it acted to maintain the reliability of its Balancing Authority Area via its own actions or by issuing Operating Instructions.</w:t>
      </w:r>
    </w:p>
    <w:p w:rsidRPr="00FB482A" w:rsidR="00FB482A" w:rsidP="00FB482A" w:rsidRDefault="00FB482A" w14:paraId="5544981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R3. Each Balancing Authority, Generator Operator, and Distribution Provider shall comply with each Operating Instruction issued by its Transmission Operator(s), unless such action cannot be physically implemented or it would violate safety, equipment, regulatory, or statutory requirements.</w:t>
      </w:r>
    </w:p>
    <w:p w:rsidRPr="00FB482A" w:rsidR="00FB482A" w:rsidP="00FB482A" w:rsidRDefault="00FB482A" w14:paraId="438B882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M3. Each Balancing Authority, Generator Operator, and Distribution Provider shall make available upon request, evidence that it complied with each Operating Instruction issued by the Transmission Operator(s) unless such action could not be physically implemented or it would have violated safety, equipment, regulatory, or statutory requirements.  Such evidence could include but is not limited to dated operator logs, voice recordings or transcripts of voice recordings, electronic communications, or other equivalent evidence in electronic or hard copy format.  In such cases, the Balancing Authority, Generator Operator, and Distribution Provider shall have and provide copies of the safety, equipment, regulatory, or statutory requirements as evidence for not complying with the Transmission Operator’s Operating Instruction. If such a situation has not occurred, the Balancing Authority, Generator Operator, or Distribution Provider may provide an attestation.</w:t>
      </w:r>
    </w:p>
    <w:p w:rsidRPr="00FB482A" w:rsidR="00FB482A" w:rsidP="00FB482A" w:rsidRDefault="00FB482A" w14:paraId="5AF39CF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R4. Each Balancing Authority, Generator Operator, and Distribution Provider shall inform its Transmission Operator of its inability to comply with an Operating Instruction issued by its Transmission Operator. </w:t>
      </w:r>
    </w:p>
    <w:p w:rsidRPr="00FB482A" w:rsidR="00FB482A" w:rsidP="00FB482A" w:rsidRDefault="00FB482A" w14:paraId="4EDA2E5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M4. Each Balancing Authority, Generator Operator, and Distribution Provider shall make available upon request, evidence which may include but is not limited to dated operator logs, voice recordings or transcripts of voice recordings, electronic communications, or equivalent evidence in electronic or hard copy format, that it informed its Transmission Operator of its inability to comply with its Operating Instruction issued.  If such a situation has not occurred, the Balancing Authority, Generator Operator, or Distribution Provider may provide an attestation.</w:t>
      </w:r>
    </w:p>
    <w:p w:rsidRPr="00FB482A" w:rsidR="00FB482A" w:rsidP="00FB482A" w:rsidRDefault="00FB482A" w14:paraId="23307B5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R5. Each Transmission Operator, Generator Operator, and Distribution Provider shall comply with each Operating Instruction issued by its Balancing Authority, unless such action cannot be physically implemented, or it would violate safety, equipment, regulatory, or statutory requirements</w:t>
      </w:r>
    </w:p>
    <w:p w:rsidRPr="00FB482A" w:rsidR="00FB482A" w:rsidP="00FB482A" w:rsidRDefault="00FB482A" w14:paraId="15F7F01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M5. Each Transmission Operator, Generator Operator, and Distribution Provider shall make available upon request, evidence that it complied with each Operating Instruction issued by its Balancing Authority unless such action could not be physically implemented or it would have violated safety, equipment, regulatory, or statutory requirements.  Such evidence could include but is not limited to dated operator logs, voice recordings or transcripts of voice recordings, electronic communications, or other equivalent evidence in electronic or hard copy format.  In such cases, the Transmission Operator, Generator Operator, and Distribution Provider shall have and provide copies of the safety, equipment, regulatory, or statutory requirements as evidence for not complying with the Balancing Authority’s Operating Instruction.  If such a situation has not occurred, the Transmission Operator, Generator Operator, or Distribution Provider may provide an attestation.</w:t>
      </w:r>
    </w:p>
    <w:p w:rsidRPr="00FB482A" w:rsidR="00FB482A" w:rsidP="00FB482A" w:rsidRDefault="00FB482A" w14:paraId="63C1E95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R6. Each Transmission Operator, Generator Operator, and Distribution Provider shall inform its Balancing Authority of its inability to comply with an Operating Instruction issued by its Balancing Authority. </w:t>
      </w:r>
    </w:p>
    <w:p w:rsidRPr="00FB482A" w:rsidR="00FB482A" w:rsidP="00FB482A" w:rsidRDefault="00FB482A" w14:paraId="2121595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M6. Each Transmission Operator, Generator Operator, and Distribution Provider shall make available upon request, evidence which may include but is not limited to dated operator logs, voice recordings or transcripts of voice recordings, electronic communications, or equivalent evidence in electronic or hard copy format, that it informed its Balancing Authority of its inability to comply with its Operating Instruction.  If such a situation has not occurred, the Transmission Operator, Generator Operator, or Distribution Provider may provide an attestation.</w:t>
      </w:r>
    </w:p>
    <w:p w:rsidRPr="00FB482A" w:rsidR="00FB482A" w:rsidP="00FB482A" w:rsidRDefault="00FB482A" w14:paraId="176C406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R7. Each Transmission Operator shall assist other Transmission Operators within its Reliability Coordinator Area, if requested and able, provided that the requesting Transmission Operator has implemented its comparable Emergency procedures, unless such assistance cannot be physically implemented or would violate safety, equipment, regulatory, or statutory requirements. </w:t>
      </w:r>
    </w:p>
    <w:p w:rsidRPr="00FB482A" w:rsidR="00FB482A" w:rsidP="00FB482A" w:rsidRDefault="00FB482A" w14:paraId="2EF0AB2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M7. Each Transmission Operator shall make available upon request, evidence that comparable requested assistance, if able, was provided to other Transmission Operators within its Reliability Coordinator Area unless such assistance could not be physically implemented or would have violated safety, equipment, regulatory, or statutory requirements.  Such evidence could include but is not limited to dated operator logs, voice recordings or transcripts of voice recordings, </w:t>
      </w:r>
      <w:r w:rsidRPr="00FB482A">
        <w:rPr>
          <w:rFonts w:ascii="Times New Roman" w:hAnsi="Times New Roman" w:eastAsia="Calibri" w:cs="Times New Roman"/>
          <w:sz w:val="24"/>
          <w:szCs w:val="24"/>
        </w:rPr>
        <w:lastRenderedPageBreak/>
        <w:t>electronic communications, or other equivalent evidence in electronic or hard copy format.  If no request for assistance was received, the Transmission Operator may provide an attestation.</w:t>
      </w:r>
    </w:p>
    <w:p w:rsidRPr="00FB482A" w:rsidR="00FB482A" w:rsidP="00FB482A" w:rsidRDefault="00FB482A" w14:paraId="61E2E64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R8. Each Transmission Operator shall inform its Reliability Coordinator, known impacted Balancing Authorities, and known impacted Transmission Operators of its actual or expected operations that result in, or could result in, an Emergency.</w:t>
      </w:r>
    </w:p>
    <w:p w:rsidRPr="00FB482A" w:rsidR="00FB482A" w:rsidP="00FB482A" w:rsidRDefault="00FB482A" w14:paraId="58A966A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M8. Each Transmission Operator shall make available upon request, evidence that it informed its Reliability Coordinator, known impacted Balancing Authorities, and known impacted Transmission Operators of its actual or expected operations that result in, or could result in, an Emergency. Such evidence could include but is not limited to dated operator logs, voice recordings or transcripts of voice recordings, electronic communications, or other equivalent evidence. If no such situations have occurred, the Transmission Operator may provide an attestation.</w:t>
      </w:r>
    </w:p>
    <w:p w:rsidRPr="00FB482A" w:rsidR="00FB482A" w:rsidP="00FB482A" w:rsidRDefault="00FB482A" w14:paraId="75D49A6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R9. Each Balancing Authority and Transmission Operator shall notify its Reliability Coordinator and known impacted interconnected entities of all planned outages, and unplanned outages of 30 minutes or more, for telemetering and control equipment, monitoring and assessment capabilities, and associated communication channels between the affected entities.  </w:t>
      </w:r>
    </w:p>
    <w:p w:rsidRPr="00FB482A" w:rsidR="00FB482A" w:rsidP="00FB482A" w:rsidRDefault="00FB482A" w14:paraId="7833DA3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M9. Each Balancing Authority and Transmission Operator shall make available upon request, evidence that it notified its Reliability Coordinator and known impacted interconnected entities of all planned outages, and unplanned outages of 30 minutes or more, for telemetering and control equipment, monitoring and assessment capabilities, and associated communication channels. Such evidence could include but is not limited to dated operator logs, voice recordings or transcripts of voice recordings, electronic communications, or other equivalent evidence.  If such a situation has not occurred, the Balancing Authority or Transmission Operator may provide an attestation.</w:t>
      </w:r>
    </w:p>
    <w:p w:rsidRPr="00FB482A" w:rsidR="00FB482A" w:rsidP="00FB482A" w:rsidRDefault="00FB482A" w14:paraId="7847AC1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R10. Each Transmission Operator shall perform the following for determining System Operating Limit (SOL) exceedances within its Transmission Operator Area:</w:t>
      </w:r>
    </w:p>
    <w:p w:rsidRPr="00FB482A" w:rsidR="00FB482A" w:rsidP="00FB482A" w:rsidRDefault="00FB482A" w14:paraId="70A3255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10.1. Monitor Facilities within its Transmission Operator Area;</w:t>
      </w:r>
    </w:p>
    <w:p w:rsidRPr="00FB482A" w:rsidR="00FB482A" w:rsidP="00FB482A" w:rsidRDefault="00FB482A" w14:paraId="3DDD1D4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10.2. Monitor the status of Remedial Action Schemes within its Transmission Operator Area;</w:t>
      </w:r>
    </w:p>
    <w:p w:rsidRPr="00FB482A" w:rsidR="00FB482A" w:rsidP="00FB482A" w:rsidRDefault="00FB482A" w14:paraId="66B8109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10.3. Monitor non‐BES facilities within its Transmission Operator Area identified as necessary by the Transmission Operator;</w:t>
      </w:r>
    </w:p>
    <w:p w:rsidRPr="00FB482A" w:rsidR="00FB482A" w:rsidP="00FB482A" w:rsidRDefault="00FB482A" w14:paraId="3E606F3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10.4. Obtain and utilize status, voltages, and flow data for Facilities outside its Transmission Operator Area identified as necessary by the Transmission Operator;</w:t>
      </w:r>
    </w:p>
    <w:p w:rsidRPr="00FB482A" w:rsidR="00FB482A" w:rsidP="00FB482A" w:rsidRDefault="00FB482A" w14:paraId="1497FB2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10.5. Obtain and utilize the status of Remedial Action Schemes outside its Transmission Operator Area identified as necessary by the Transmission Operator;</w:t>
      </w:r>
    </w:p>
    <w:p w:rsidRPr="00FB482A" w:rsidR="00FB482A" w:rsidP="00FB482A" w:rsidRDefault="00FB482A" w14:paraId="258A12E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10.6. Obtain and utilize status, voltages, and flow data for non‐BES facilities outside its Transmission Operator Area identified as necessary by the Transmission Operator.</w:t>
      </w:r>
    </w:p>
    <w:p w:rsidRPr="00FB482A" w:rsidR="00FB482A" w:rsidP="00FB482A" w:rsidRDefault="00FB482A" w14:paraId="3D031F2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M10. Each Transmission Operator shall have, and provide upon request, evidence that could include but is not limited to Energy Management System description documents, computer printouts, Supervisory Control and Data Acquisition (SCADA) data collection, or other equivalent evidence that will be used to confirm that it monitored or obtained and utilized data as required to determine any System Operating Limit (SOL) exceedances within its Transmission Operator Area.</w:t>
      </w:r>
    </w:p>
    <w:p w:rsidRPr="00FB482A" w:rsidR="00FB482A" w:rsidP="00FB482A" w:rsidRDefault="00FB482A" w14:paraId="3BCFC83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R11. Each Balancing Authority shall monitor its Balancing Authority Area, including the status of Remedial Action Schemes that impact generation or Load, in order to maintain generation‐Load‐interchange balance within its Balancing Authority Area and support Interconnection frequency. </w:t>
      </w:r>
    </w:p>
    <w:p w:rsidRPr="00FB482A" w:rsidR="00FB482A" w:rsidP="00FB482A" w:rsidRDefault="00FB482A" w14:paraId="2D4152D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M11. Each Balancing Authority shall have, and provide upon request, evidence that could include but is not limited to Energy Management System description documents, computer printouts, SCADA data collection, or other equivalent evidence that will be used to confirm that it monitors its Balancing Authority Area, including the status of Remedial Action Schemes that impact generation or Load, in order to maintain generation‐Load‐interchange balance within its Balancing Authority Area and support Interconnection frequency.</w:t>
      </w:r>
    </w:p>
    <w:p w:rsidRPr="00FB482A" w:rsidR="00FB482A" w:rsidP="00FB482A" w:rsidRDefault="00FB482A" w14:paraId="3E136F3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R12. Each Transmission Operator shall not operate outside any identified Interconnection Reliability Operating Limit (IROL) for a continuous duration exceeding its associated IROL Tv.  </w:t>
      </w:r>
    </w:p>
    <w:p w:rsidRPr="00FB482A" w:rsidR="00FB482A" w:rsidP="00FB482A" w:rsidRDefault="00FB482A" w14:paraId="0A9EC03E" w14:textId="4BBD71E1">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M12. Each Transmission Operator shall make available evidence to show that for any occasion in which it operated outside any identified Interconnection Reliability Operating Limit (IROL</w:t>
      </w:r>
      <w:r w:rsidRPr="00FB482A" w:rsidR="00896DEA">
        <w:rPr>
          <w:rFonts w:ascii="Times New Roman" w:hAnsi="Times New Roman" w:eastAsia="Calibri" w:cs="Times New Roman"/>
          <w:sz w:val="24"/>
          <w:szCs w:val="24"/>
        </w:rPr>
        <w:t>);</w:t>
      </w:r>
      <w:r w:rsidRPr="00FB482A">
        <w:rPr>
          <w:rFonts w:ascii="Times New Roman" w:hAnsi="Times New Roman" w:eastAsia="Calibri" w:cs="Times New Roman"/>
          <w:sz w:val="24"/>
          <w:szCs w:val="24"/>
        </w:rPr>
        <w:t xml:space="preserve"> the continuous duration did not exceed its associated IROL Tv. Such evidence could include but is not limited to dated computer logs or reports in electronic or hard copy format specifying the date, time, duration, and details of the excursion.  If such a situation has not occurred, the Transmission Operator may provide an attestation that an event has not occurred.</w:t>
      </w:r>
    </w:p>
    <w:p w:rsidRPr="00FB482A" w:rsidR="00FB482A" w:rsidP="00FB482A" w:rsidRDefault="00FB482A" w14:paraId="0741B88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R13. Each Transmission Operator shall ensure that a Real‐time Assessment is performed at least once every 30 minutes. </w:t>
      </w:r>
    </w:p>
    <w:p w:rsidRPr="00FB482A" w:rsidR="00FB482A" w:rsidP="00FB482A" w:rsidRDefault="00FB482A" w14:paraId="7F51011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M13. Each Transmission Operator shall have, and make available upon request, evidence to show it ensured that a Real‐Time Assessment was performed at least once every 30 minutes. This evidence could include but is not limited to dated computer logs showing times the assessment was conducted, dated checklists, or other evidence.</w:t>
      </w:r>
    </w:p>
    <w:p w:rsidRPr="00FB482A" w:rsidR="00FB482A" w:rsidP="00FB482A" w:rsidRDefault="00FB482A" w14:paraId="61A488D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R14. Each Transmission Operator shall initiate its Operating Plan to mitigate a SOL exceedance identified as part of its Real‐time monitoring or Real‐time Assessment.</w:t>
      </w:r>
    </w:p>
    <w:p w:rsidRPr="00FB482A" w:rsidR="00FB482A" w:rsidP="00FB482A" w:rsidRDefault="00FB482A" w14:paraId="002312C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M14. Each Transmission Operator shall have evidence that it initiated its Operating Plan for mitigating SOL exceedances identified as part of its Real‐time monitoring or Real‐time </w:t>
      </w:r>
      <w:r w:rsidRPr="00FB482A">
        <w:rPr>
          <w:rFonts w:ascii="Times New Roman" w:hAnsi="Times New Roman" w:eastAsia="Calibri" w:cs="Times New Roman"/>
          <w:sz w:val="24"/>
          <w:szCs w:val="24"/>
        </w:rPr>
        <w:lastRenderedPageBreak/>
        <w:t>Assessments.  This evidence could include but is not limited to dated computer logs showing times the Operating Plan was initiated, dated checklists, or other evidence.</w:t>
      </w:r>
    </w:p>
    <w:p w:rsidRPr="00FB482A" w:rsidR="00FB482A" w:rsidP="00FB482A" w:rsidRDefault="00FB482A" w14:paraId="5C9502C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R15. Each Transmission Operator shall inform its Reliability Coordinator of actions taken to return the System to within limits when a SOL has been exceeded.  </w:t>
      </w:r>
    </w:p>
    <w:p w:rsidRPr="00FB482A" w:rsidR="00FB482A" w:rsidP="00FB482A" w:rsidRDefault="00FB482A" w14:paraId="5B97C6D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M15. Each Transmission Operator shall make available evidence that it informed its Reliability Coordinator of actions taken to return the System to within limits when a SOL was exceeded.  Such evidence could include but is not limited to dated operator logs, voice recordings or transcripts of voice recordings, or dated computer printouts. If such a situation has not occurred, the Transmission Operator may provide an attestation.</w:t>
      </w:r>
    </w:p>
    <w:p w:rsidRPr="00FB482A" w:rsidR="00FB482A" w:rsidP="00FB482A" w:rsidRDefault="00FB482A" w14:paraId="68B3D95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R16. Each Transmission Operator shall provide its System Operators with the authority to approve planned outages and maintenance of its telemetering and control equipment, monitoring and assessment capabilities, and associated communication channels between affected entities. </w:t>
      </w:r>
    </w:p>
    <w:p w:rsidRPr="00FB482A" w:rsidR="00FB482A" w:rsidP="00FB482A" w:rsidRDefault="00FB482A" w14:paraId="56A65B3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M16. Each Transmission Operator shall have, and provide upon request, evidence that could include but is not limited to a documented procedure or equivalent evidence that will be used to confirm that the Transmission Operator has provided its System Operators with the authority to approve planned outages and maintenance of telemetering and control equipment, monitoring and assessment capabilities, and associated communication channels between affected entities.</w:t>
      </w:r>
    </w:p>
    <w:p w:rsidRPr="00FB482A" w:rsidR="00FB482A" w:rsidP="00FB482A" w:rsidRDefault="00FB482A" w14:paraId="4705263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R17. Each Balancing Authority shall provide its System Operators with the authority to approve planned outages and maintenance of its telemetering and control equipment, monitoring and assessment capabilities, and associated communication channels between affected entities.</w:t>
      </w:r>
    </w:p>
    <w:p w:rsidRPr="00FB482A" w:rsidR="00FB482A" w:rsidP="00FB482A" w:rsidRDefault="00FB482A" w14:paraId="2B96F2E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M17. Each Balancing Authority shall have, and provide upon request, evidence that could include but is not limited to a documented procedure or equivalent evidence that will be used to confirm that the Balancing Authority has provided its System Operators with the authority to approve planned outages and maintenance of its telemetering and control equipment, monitoring and assessment capabilities, and associated communication channels between affected entities.</w:t>
      </w:r>
    </w:p>
    <w:p w:rsidRPr="00FB482A" w:rsidR="00FB482A" w:rsidP="00FB482A" w:rsidRDefault="00FB482A" w14:paraId="58F15E3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R18. Each Transmission Operator shall operate to the most limiting parameter in instances where there is a difference in SOLs.  </w:t>
      </w:r>
    </w:p>
    <w:p w:rsidRPr="00FB482A" w:rsidR="00FB482A" w:rsidP="00FB482A" w:rsidRDefault="00FB482A" w14:paraId="3EB9073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M18. Each Transmission Operator shall have, and provide upon request, evidence that could include but is not limited to operator logs, voice recordings, electronic communications, or equivalent evidence that will be used to determine if it operated to the most limiting parameter in instances where there is a difference in SOLs.</w:t>
      </w:r>
    </w:p>
    <w:p w:rsidRPr="00FB482A" w:rsidR="00FB482A" w:rsidP="00FB482A" w:rsidRDefault="00FB482A" w14:paraId="5B57175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R19. Reserved.</w:t>
      </w:r>
    </w:p>
    <w:p w:rsidRPr="00FB482A" w:rsidR="00FB482A" w:rsidP="00FB482A" w:rsidRDefault="00FB482A" w14:paraId="3726FAD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M19. Reserved.</w:t>
      </w:r>
    </w:p>
    <w:p w:rsidRPr="00FB482A" w:rsidR="00FB482A" w:rsidP="00FB482A" w:rsidRDefault="00FB482A" w14:paraId="6D72A1B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R20. Each Transmission Operator shall have data exchange capabilities, with redundant and diversely routed data exchange infrastructure within the Transmission Operator's primary </w:t>
      </w:r>
      <w:r w:rsidRPr="00FB482A">
        <w:rPr>
          <w:rFonts w:ascii="Times New Roman" w:hAnsi="Times New Roman" w:eastAsia="Calibri" w:cs="Times New Roman"/>
          <w:sz w:val="24"/>
          <w:szCs w:val="24"/>
        </w:rPr>
        <w:lastRenderedPageBreak/>
        <w:t xml:space="preserve">Control Center, for the exchange of Real‐time data with its Reliability Coordinator, Balancing Authority, and the entities it has identified it needs data from in order for it to perform its Real‐time monitoring and Real‐time Assessments.   </w:t>
      </w:r>
    </w:p>
    <w:p w:rsidRPr="00FB482A" w:rsidR="00FB482A" w:rsidP="00FB482A" w:rsidRDefault="00FB482A" w14:paraId="61B3A50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M20. Each Transmission Operator shall have, and provide upon request, evidence that could include, but is not limited to, system specifications, system diagrams, or other</w:t>
      </w:r>
    </w:p>
    <w:p w:rsidRPr="00FB482A" w:rsidR="00FB482A" w:rsidP="00FB482A" w:rsidRDefault="00FB482A" w14:paraId="43CDED0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documentation that lists its data exchange capabilities, including redundant and diversely routed data exchange infrastructure within the Transmission Operator's primary Control Center, for the exchange of Real‐time data with its Reliability Coordinator, Balancing Authority, and the entities it has identified it needs data from in order to perform its Real‐time monitoring and Real‐time Assessments as specified in the requirement.</w:t>
      </w:r>
    </w:p>
    <w:p w:rsidRPr="00FB482A" w:rsidR="00FB482A" w:rsidP="00FB482A" w:rsidRDefault="00FB482A" w14:paraId="4E0A30C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R21. Each Transmission Operator shall test its primary Control Center data exchange capabilities specified in Requirement R20 for redundant functionality at least once every 90 calendar days. If the test is unsuccessful, the Transmission Operator shall initiate action within two hours to restore redundant functionality. </w:t>
      </w:r>
    </w:p>
    <w:p w:rsidRPr="00FB482A" w:rsidR="00FB482A" w:rsidP="00FB482A" w:rsidRDefault="00FB482A" w14:paraId="77FF28D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M21. Each Transmission Operator shall have, and provide upon request, evidence that it tested its primary Control Center data exchange capabilities specified in Requirement</w:t>
      </w:r>
    </w:p>
    <w:p w:rsidRPr="00FB482A" w:rsidR="00FB482A" w:rsidP="00FB482A" w:rsidRDefault="00FB482A" w14:paraId="12CE0644" w14:textId="0A030B51">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R20 for the redundant </w:t>
      </w:r>
      <w:r w:rsidRPr="00FB482A" w:rsidR="00896DEA">
        <w:rPr>
          <w:rFonts w:ascii="Times New Roman" w:hAnsi="Times New Roman" w:eastAsia="Calibri" w:cs="Times New Roman"/>
          <w:sz w:val="24"/>
          <w:szCs w:val="24"/>
        </w:rPr>
        <w:t>functionality or</w:t>
      </w:r>
      <w:r w:rsidRPr="00FB482A">
        <w:rPr>
          <w:rFonts w:ascii="Times New Roman" w:hAnsi="Times New Roman" w:eastAsia="Calibri" w:cs="Times New Roman"/>
          <w:sz w:val="24"/>
          <w:szCs w:val="24"/>
        </w:rPr>
        <w:t xml:space="preserve"> experienced an event that demonstrated the redundant functionality; and, if the test was unsuccessful, initiated action within two hours to restore redundant functionality as specified in Requirement R21. Evidence could include but is not limited to: dated and time‐stamped test records, operator logs, voice recordings, or electronic communications.</w:t>
      </w:r>
    </w:p>
    <w:p w:rsidRPr="00FB482A" w:rsidR="00FB482A" w:rsidP="00FB482A" w:rsidRDefault="00FB482A" w14:paraId="04D3097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R22. Reserved.</w:t>
      </w:r>
    </w:p>
    <w:p w:rsidRPr="00FB482A" w:rsidR="00FB482A" w:rsidP="00FB482A" w:rsidRDefault="00FB482A" w14:paraId="2F1FCF6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M22. Reserved.</w:t>
      </w:r>
    </w:p>
    <w:p w:rsidRPr="00FB482A" w:rsidR="00FB482A" w:rsidP="00FB482A" w:rsidRDefault="00FB482A" w14:paraId="7263CDA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R23. Each Balancing Authority shall have data exchange capabilities, with redundant and diversely routed data exchange infrastructure within the Balancing Authority's primary Control Center, for the exchange of Real‐time data with its Reliability Coordinator, Transmission Operator, and the entities it has identified it needs data from in order for it to perform its Real‐time monitoring and analysis functions.   </w:t>
      </w:r>
    </w:p>
    <w:p w:rsidRPr="00FB482A" w:rsidR="00FB482A" w:rsidP="00FB482A" w:rsidRDefault="00FB482A" w14:paraId="79D62EF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M23. Each Balancing Authority shall have, and provide upon request, evidence that could include, but is not limited to, system specifications, system diagrams, or other documentation that lists its data exchange capabilities, including redundant and diversely routed data exchange infrastructure within the Balancing Authority's primary Control Center, for the exchange of Real‐time data with its Reliability Coordinator, Transmission Operator, and the entities it has identified it needs data from in order to perform its Real‐time monitoring and analysis functions as specified in the requirement.</w:t>
      </w:r>
    </w:p>
    <w:p w:rsidRPr="00FB482A" w:rsidR="00FB482A" w:rsidP="00FB482A" w:rsidRDefault="00FB482A" w14:paraId="28D5117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R24. Each Balancing Authority shall test its primary Control Center data exchange capabilities specified in Requirement R23 for redundant functionality at least once every 90 calendar days. If the test is unsuccessful, the Balancing Authority shall initiate action within two hours to restore redundant functionality. </w:t>
      </w:r>
    </w:p>
    <w:p w:rsidRPr="00FB482A" w:rsidR="00FB482A" w:rsidP="00FB482A" w:rsidRDefault="00FB482A" w14:paraId="110B408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M24. Each Balancing Authority shall have, and provide upon request, evidence that it tested its primary Control Center data exchange capabilities specified in Requirement R23 for redundant functionality, or experienced an event that demonstrated the redundant functionality; and, if the test was unsuccessful, initiated action within two hours to restore redundant functionality as specified in Requirement R24. Evidence could include but is not limited to: dated and time‐stamped test records, operator logs, voice recordings, or electronic communications.  </w:t>
      </w:r>
    </w:p>
    <w:p w:rsidRPr="00FB482A" w:rsidR="00FB482A" w:rsidP="00FB482A" w:rsidRDefault="00FB482A" w14:paraId="77B6FCB0"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Evidence Retention:</w:t>
      </w:r>
    </w:p>
    <w:p w:rsidRPr="00FB482A" w:rsidR="00FB482A" w:rsidP="00FB482A" w:rsidRDefault="00FB482A" w14:paraId="4208EBF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full‐time period since the last audit. The applicable entity shall keep data or evidence to show compliance as identified below unless directed by its Compliance Enforcement Authority to retain specific evidence for a longer period of time as part of an investigation.</w:t>
      </w:r>
    </w:p>
    <w:p w:rsidRPr="00FB482A" w:rsidR="00FB482A" w:rsidP="00FB482A" w:rsidRDefault="00FB482A" w14:paraId="6B523315" w14:textId="77777777">
      <w:pPr>
        <w:numPr>
          <w:ilvl w:val="0"/>
          <w:numId w:val="32"/>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Each Balancing Authority, Transmission Operator, Generator Operator, and Distribution Provider shall each keep data or evidence for each applicable Requirement R1 through R11, and Measure M1 through M11, for the current calendar year and one previous calendar year, with the exception of operator logs and voice recordings which shall be retained for a minimum of 90calendar days, unless directed by its Compliance Enforcement Authority to retain specific evidence for a longer period of time as part of an investigation.  </w:t>
      </w:r>
    </w:p>
    <w:p w:rsidRPr="00FB482A" w:rsidR="00FB482A" w:rsidP="00FB482A" w:rsidRDefault="00FB482A" w14:paraId="4B7E953A" w14:textId="77777777">
      <w:pPr>
        <w:numPr>
          <w:ilvl w:val="0"/>
          <w:numId w:val="31"/>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Each Transmission Operator shall retain evidence for three calendar years of any occasion in which it has exceeded an identified IROL and its associated IROL Tv as specified in Requirement R12 and Measure M12.</w:t>
      </w:r>
    </w:p>
    <w:p w:rsidRPr="00FB482A" w:rsidR="00FB482A" w:rsidP="00FB482A" w:rsidRDefault="00FB482A" w14:paraId="522FC1CA" w14:textId="77777777">
      <w:pPr>
        <w:numPr>
          <w:ilvl w:val="0"/>
          <w:numId w:val="25"/>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Each Transmission Operator shall keep data or evidence for Requirement R13and Measure M13 for a rolling 30‐day period, unless directed by its Compliance Enforcement Authority to retain specific evidence for a longer period of time as part of an investigation.  </w:t>
      </w:r>
    </w:p>
    <w:p w:rsidRPr="00FB482A" w:rsidR="00FB482A" w:rsidP="00FB482A" w:rsidRDefault="00FB482A" w14:paraId="0D2A358F" w14:textId="77777777">
      <w:pPr>
        <w:numPr>
          <w:ilvl w:val="0"/>
          <w:numId w:val="25"/>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Each Transmission Operator shall retain evidence and that it initiated its Operating Plan to mitigate a SOL exceedance as specified in Requirement R14and Measurement M14 for three calendar years.</w:t>
      </w:r>
    </w:p>
    <w:p w:rsidRPr="00FB482A" w:rsidR="00FB482A" w:rsidP="00FB482A" w:rsidRDefault="00FB482A" w14:paraId="275553E4" w14:textId="77777777">
      <w:pPr>
        <w:numPr>
          <w:ilvl w:val="0"/>
          <w:numId w:val="25"/>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Each Transmission Operator and Balancing Authority shall each keep data or evidence for each applicable Requirement R15 through R18, and Measure M15through M18 for the current calendar year and one previous calendar year, with the exception of operator logs and voice recordings which shall be retained for a minimum of 90 calendar days.</w:t>
      </w:r>
    </w:p>
    <w:p w:rsidRPr="00FB482A" w:rsidR="00FB482A" w:rsidP="00FB482A" w:rsidRDefault="00FB482A" w14:paraId="0F801A5D" w14:textId="77777777">
      <w:pPr>
        <w:numPr>
          <w:ilvl w:val="0"/>
          <w:numId w:val="23"/>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Each Transmission Operator shall keep data or evidence for Requirement R20 and Measure M20 for the current calendar year and one previous calendar year.</w:t>
      </w:r>
    </w:p>
    <w:p w:rsidRPr="00FB482A" w:rsidR="00FB482A" w:rsidP="00FB482A" w:rsidRDefault="00FB482A" w14:paraId="40800EAB" w14:textId="77777777">
      <w:pPr>
        <w:numPr>
          <w:ilvl w:val="0"/>
          <w:numId w:val="22"/>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Each Transmission Operator shall keep evidence for Requirement R21 and Measure M21 for the most recent twelve calendar months, with the exception of operator logs and voice recordings which shall be retained for a minimum of 90 calendar days.</w:t>
      </w:r>
    </w:p>
    <w:p w:rsidRPr="00FB482A" w:rsidR="00FB482A" w:rsidP="00FB482A" w:rsidRDefault="00FB482A" w14:paraId="0BBF8865" w14:textId="77777777">
      <w:pPr>
        <w:numPr>
          <w:ilvl w:val="0"/>
          <w:numId w:val="22"/>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Each Balancing Authority shall keep data or evidence for Requirement R23 and Measure M23 for the current calendar year and one previous calendar year.</w:t>
      </w:r>
    </w:p>
    <w:p w:rsidRPr="00FB482A" w:rsidR="00FB482A" w:rsidP="00FB482A" w:rsidRDefault="00FB482A" w14:paraId="4DE04F1A" w14:textId="77777777">
      <w:pPr>
        <w:numPr>
          <w:ilvl w:val="0"/>
          <w:numId w:val="22"/>
        </w:numPr>
        <w:spacing w:before="100" w:beforeAutospacing="1" w:after="100" w:afterAutospacing="1" w:line="240" w:lineRule="auto"/>
        <w:contextualSpacing/>
        <w:rPr>
          <w:rFonts w:ascii="Times New Roman" w:hAnsi="Times New Roman" w:eastAsia="Calibri" w:cs="Times New Roman"/>
          <w:sz w:val="24"/>
          <w:szCs w:val="24"/>
        </w:rPr>
      </w:pPr>
      <w:r w:rsidRPr="00FB482A">
        <w:rPr>
          <w:rFonts w:ascii="Times New Roman" w:hAnsi="Times New Roman" w:eastAsia="Calibri" w:cs="Times New Roman"/>
          <w:sz w:val="24"/>
          <w:szCs w:val="24"/>
        </w:rPr>
        <w:t>Each Balancing Authority shall keep evidence for Requirement R24 and Measure M24 for the most recent twelve calendar months, with the exception of operator logs and voice recordings which shall be retained for a minimum of 90 calendar days.</w:t>
      </w:r>
    </w:p>
    <w:p w:rsidRPr="00FB482A" w:rsidR="00FB482A" w:rsidP="00FB482A" w:rsidRDefault="00FB482A" w14:paraId="31476C11" w14:textId="77777777">
      <w:pPr>
        <w:spacing w:before="100" w:beforeAutospacing="1" w:after="100" w:afterAutospacing="1" w:line="240" w:lineRule="auto"/>
        <w:contextualSpacing/>
        <w:rPr>
          <w:rFonts w:ascii="Times New Roman" w:hAnsi="Times New Roman" w:eastAsia="Calibri" w:cs="Times New Roman"/>
          <w:sz w:val="24"/>
          <w:szCs w:val="24"/>
        </w:rPr>
      </w:pPr>
    </w:p>
    <w:p w:rsidR="00FB482A" w:rsidP="00FB482A" w:rsidRDefault="00FB482A" w14:paraId="1C0996EE" w14:textId="27445484">
      <w:pPr>
        <w:numPr>
          <w:ilvl w:val="0"/>
          <w:numId w:val="24"/>
        </w:numPr>
        <w:spacing w:before="100" w:beforeAutospacing="1" w:after="100" w:afterAutospacing="1" w:line="240" w:lineRule="auto"/>
        <w:contextualSpacing/>
        <w:rPr>
          <w:rFonts w:ascii="Times New Roman" w:hAnsi="Times New Roman" w:eastAsia="Calibri" w:cs="Times New Roman"/>
          <w:b/>
          <w:bCs/>
          <w:sz w:val="24"/>
          <w:szCs w:val="24"/>
          <w:u w:val="single"/>
        </w:rPr>
      </w:pPr>
      <w:r w:rsidRPr="00FB482A">
        <w:rPr>
          <w:rFonts w:ascii="Times New Roman" w:hAnsi="Times New Roman" w:eastAsia="Calibri" w:cs="Times New Roman"/>
          <w:b/>
          <w:bCs/>
          <w:sz w:val="24"/>
          <w:szCs w:val="24"/>
          <w:u w:val="single"/>
        </w:rPr>
        <w:t>TOP-002-4</w:t>
      </w:r>
    </w:p>
    <w:p w:rsidRPr="00FB482A" w:rsidR="00FB482A" w:rsidP="00B862DA" w:rsidRDefault="00FB482A" w14:paraId="036B1F21" w14:textId="77777777">
      <w:pPr>
        <w:spacing w:before="100" w:beforeAutospacing="1" w:after="100" w:afterAutospacing="1" w:line="240" w:lineRule="auto"/>
        <w:ind w:left="720"/>
        <w:contextualSpacing/>
        <w:rPr>
          <w:rFonts w:ascii="Times New Roman" w:hAnsi="Times New Roman" w:eastAsia="Calibri" w:cs="Times New Roman"/>
          <w:b/>
          <w:bCs/>
          <w:sz w:val="24"/>
          <w:szCs w:val="24"/>
          <w:u w:val="single"/>
        </w:rPr>
      </w:pPr>
    </w:p>
    <w:p w:rsidRPr="00FB482A" w:rsidR="00FB482A" w:rsidP="00FB482A" w:rsidRDefault="00FB482A" w14:paraId="36EFD844"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 and Measures</w:t>
      </w:r>
    </w:p>
    <w:p w:rsidRPr="00FB482A" w:rsidR="00FB482A" w:rsidP="00FB482A" w:rsidRDefault="00FB482A" w14:paraId="2A487E3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Transmission Operator shall have an Operational Planning Analysis that will allow it to assess whether its planned operations for the next day within its Transmission Operator Area will exceed any of its System Operating Limits (SOLs). </w:t>
      </w:r>
    </w:p>
    <w:p w:rsidRPr="00FB482A" w:rsidR="00FB482A" w:rsidP="00FB482A" w:rsidRDefault="00FB482A" w14:paraId="3A1E27A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 Each Transmission Operator shall have evidence of a completed Operational Planning Analysis. Such evidence could include but is not limited to dated power flow study results.</w:t>
      </w:r>
    </w:p>
    <w:p w:rsidRPr="00FB482A" w:rsidR="00FB482A" w:rsidP="00FB482A" w:rsidRDefault="00FB482A" w14:paraId="31E4AD5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Each Transmission Operator shall have an Operating Plan(s) for next-day operations to address potential System Operating Limit (SOL) exceedances identified as a result of its Operational Planning Analysis as required in Requirement R1. </w:t>
      </w:r>
    </w:p>
    <w:p w:rsidRPr="00FB482A" w:rsidR="00FB482A" w:rsidP="00FB482A" w:rsidRDefault="00FB482A" w14:paraId="2CDB348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 Each Transmission Operator shall have evidence that it has an Operating Plan to address potential System Operating Limits (SOLs) exceedances identified as a result of the Operational Planning Analysis performed in Requirement R1. Such evidence could include but it is not limited to plans for precluding operating in excess of each SOL that was identified as a result of the Operational Planning Analysis. </w:t>
      </w:r>
    </w:p>
    <w:p w:rsidRPr="00FB482A" w:rsidR="00FB482A" w:rsidP="00FB482A" w:rsidRDefault="00FB482A" w14:paraId="707C03C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Each Transmission Operator shall notify entities identified in the Operating Plan(s) cited in Requirement R2 as to their role in those plan(s). </w:t>
      </w:r>
    </w:p>
    <w:p w:rsidRPr="00FB482A" w:rsidR="00FB482A" w:rsidP="00FB482A" w:rsidRDefault="00FB482A" w14:paraId="60A9BB1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M3. Each Transmission Operator shall have evidence that it notified entities identified in the Operating Plan(s) cited in Requirement R2 as to their role in the plan(s). Such evidence could include but is not limited to dated operator logs, or e-mail records. </w:t>
      </w:r>
    </w:p>
    <w:p w:rsidRPr="00FB482A" w:rsidR="00FB482A" w:rsidP="00FB482A" w:rsidRDefault="00FB482A" w14:paraId="6A7C2ED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R4. Each Balancing Authority shall have an Operating Plan(s) for the next-day that Addresses:</w:t>
      </w:r>
    </w:p>
    <w:p w:rsidRPr="00FB482A" w:rsidR="00FB482A" w:rsidP="00FB482A" w:rsidRDefault="00FB482A" w14:paraId="391E9A4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4.1 Expected generation resource commitment and dispatch</w:t>
      </w:r>
    </w:p>
    <w:p w:rsidRPr="00FB482A" w:rsidR="00FB482A" w:rsidP="00FB482A" w:rsidRDefault="00FB482A" w14:paraId="6611159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4.2 Interchange scheduling</w:t>
      </w:r>
    </w:p>
    <w:p w:rsidRPr="00FB482A" w:rsidR="00FB482A" w:rsidP="00FB482A" w:rsidRDefault="00FB482A" w14:paraId="387546F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4.3 Demand patterns</w:t>
      </w:r>
    </w:p>
    <w:p w:rsidRPr="00FB482A" w:rsidR="00FB482A" w:rsidP="00FB482A" w:rsidRDefault="00FB482A" w14:paraId="06309C7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 4.4 Capacity and energy reserve requirements, including deliverability capability</w:t>
      </w:r>
    </w:p>
    <w:p w:rsidRPr="00FB482A" w:rsidR="00FB482A" w:rsidP="00FB482A" w:rsidRDefault="00FB482A" w14:paraId="11F0660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M4. Each Balancing Authority shall have evidence that it has developed a plan to operate within the criteria identified. Such evidence could include but is not limited to dated operator logs or e-mail records. </w:t>
      </w:r>
    </w:p>
    <w:p w:rsidRPr="00FB482A" w:rsidR="00FB482A" w:rsidP="00FB482A" w:rsidRDefault="00FB482A" w14:paraId="4E87666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R5. Each Balancing Authority shall notify entities identified in the Operating Plan(s) cited in Requirement R4 as to their role in those plan(s). </w:t>
      </w:r>
    </w:p>
    <w:p w:rsidRPr="00FB482A" w:rsidR="00FB482A" w:rsidP="00FB482A" w:rsidRDefault="00FB482A" w14:paraId="3B71207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M5. Each Balancing Authority shall have evidence that it notified entities identified in the plan(s) cited in Requirement R4 as to their role in the plan(s). Such evidence could include but is not limited to dated operator logs or e-mail records. </w:t>
      </w:r>
    </w:p>
    <w:p w:rsidRPr="00FB482A" w:rsidR="00FB482A" w:rsidP="00FB482A" w:rsidRDefault="00FB482A" w14:paraId="7DF6556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R6. Each Transmission Operator shall provide its Operating Plan(s) for next-day operations identified in Requirement R2 to its Reliability Coordinator. </w:t>
      </w:r>
    </w:p>
    <w:p w:rsidRPr="00FB482A" w:rsidR="00FB482A" w:rsidP="00FB482A" w:rsidRDefault="00FB482A" w14:paraId="6E37661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M6. Each Transmission Operator shall have evidence that it provided its Operating Plan(s) for next-day operations identified in Requirement R2 to its Reliability Coordinator. Such evidence could include but is not limited to dated operator logs or e-mail records.</w:t>
      </w:r>
    </w:p>
    <w:p w:rsidRPr="00FB482A" w:rsidR="00FB482A" w:rsidP="00FB482A" w:rsidRDefault="00FB482A" w14:paraId="5E55B07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R7. Each Balancing Authority shall provide its Operating Plan(s) for next-day operations identified in Requirement R4 to its Reliability Coordinator. </w:t>
      </w:r>
    </w:p>
    <w:p w:rsidRPr="00FB482A" w:rsidR="00FB482A" w:rsidP="00FB482A" w:rsidRDefault="00FB482A" w14:paraId="185FB32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M7. Each Balancing Authority shall have evidence that it provided its Operating Plan(s) for next-day operations identified in Requirement R4 to its Reliability Coordinator. Such evidence could include but is not limited to dated operator logs or e-mail records.</w:t>
      </w:r>
    </w:p>
    <w:p w:rsidRPr="00FB482A" w:rsidR="00FB482A" w:rsidP="00FB482A" w:rsidRDefault="00FB482A" w14:paraId="2A68A48E"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Data Retention</w:t>
      </w:r>
    </w:p>
    <w:p w:rsidRPr="00FB482A" w:rsidR="00FB482A" w:rsidP="00FB482A" w:rsidRDefault="00FB482A" w14:paraId="0B7D96B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 time period since the last audit. Each Transmission Operator and Balancing Authority shall keep data or evidence to show compliance for each applicable Requirement for a rolling 90-calendar days period for analyses, the most recent 90-calendar days for voice recordings, and 12 months for operating logs and e-mail records unless directed by its Compliance Enforcement Authority to retain specific evidence for a longer period of time as part of an investigation. If a Transmission Operator or Balancing Authority is found non-compliant, it shall keep information related to the non-compliance until found compliant or the time period specified above, whichever is longer. The Compliance Enforcement Authority shall keep the last audit records, and all requested and submitted subsequent audit records</w:t>
      </w:r>
    </w:p>
    <w:p w:rsidR="00FB482A" w:rsidP="00FB482A" w:rsidRDefault="00FB482A" w14:paraId="6C0B5D4A" w14:textId="73091410">
      <w:pPr>
        <w:numPr>
          <w:ilvl w:val="0"/>
          <w:numId w:val="24"/>
        </w:numPr>
        <w:spacing w:before="100" w:beforeAutospacing="1" w:after="100" w:afterAutospacing="1" w:line="240" w:lineRule="auto"/>
        <w:contextualSpacing/>
        <w:rPr>
          <w:rFonts w:ascii="Times New Roman" w:hAnsi="Times New Roman" w:eastAsia="Calibri" w:cs="Times New Roman"/>
          <w:b/>
          <w:bCs/>
          <w:sz w:val="24"/>
          <w:szCs w:val="24"/>
          <w:u w:val="single"/>
        </w:rPr>
      </w:pPr>
      <w:r w:rsidRPr="00FB482A">
        <w:rPr>
          <w:rFonts w:ascii="Times New Roman" w:hAnsi="Times New Roman" w:eastAsia="Calibri" w:cs="Times New Roman"/>
          <w:b/>
          <w:bCs/>
          <w:sz w:val="24"/>
          <w:szCs w:val="24"/>
          <w:u w:val="single"/>
        </w:rPr>
        <w:t>TOP-003-4</w:t>
      </w:r>
    </w:p>
    <w:p w:rsidRPr="00FB482A" w:rsidR="00FB482A" w:rsidP="00B862DA" w:rsidRDefault="00FB482A" w14:paraId="3E53933D" w14:textId="77777777">
      <w:pPr>
        <w:spacing w:before="100" w:beforeAutospacing="1" w:after="100" w:afterAutospacing="1" w:line="240" w:lineRule="auto"/>
        <w:ind w:left="720"/>
        <w:contextualSpacing/>
        <w:rPr>
          <w:rFonts w:ascii="Times New Roman" w:hAnsi="Times New Roman" w:eastAsia="Calibri" w:cs="Times New Roman"/>
          <w:b/>
          <w:bCs/>
          <w:sz w:val="24"/>
          <w:szCs w:val="24"/>
          <w:u w:val="single"/>
        </w:rPr>
      </w:pPr>
    </w:p>
    <w:p w:rsidRPr="00FB482A" w:rsidR="00FB482A" w:rsidP="00FB482A" w:rsidRDefault="00FB482A" w14:paraId="0B06E14A"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 and Measures</w:t>
      </w:r>
    </w:p>
    <w:p w:rsidRPr="00FB482A" w:rsidR="00FB482A" w:rsidP="00FB482A" w:rsidRDefault="00FB482A" w14:paraId="21FD7BAC"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R1. Each Transmission Operator shall maintain a documented specification for the data necessary for it to perform its Operational Planning Analyses, Real-time monitoring, and Real-time Assessments. The data specification shall include, but not be limited to: </w:t>
      </w:r>
    </w:p>
    <w:p w:rsidRPr="00FB482A" w:rsidR="00FB482A" w:rsidP="00FB482A" w:rsidRDefault="00FB482A" w14:paraId="147E3A4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1.1. A list of data and information needed by the Transmission Operator to support its Operational Planning Analyses, Real-time monitoring, and Realtime Assessments including non-BES data and external network data as deemed necessary by the Transmission Operator. </w:t>
      </w:r>
    </w:p>
    <w:p w:rsidRPr="00FB482A" w:rsidR="00FB482A" w:rsidP="00FB482A" w:rsidRDefault="00FB482A" w14:paraId="498E392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1.2. Provisions for notification of current Protection System and Special Protection </w:t>
      </w:r>
    </w:p>
    <w:p w:rsidRPr="00FB482A" w:rsidR="00FB482A" w:rsidP="00FB482A" w:rsidRDefault="00FB482A" w14:paraId="7033E0C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System status or degradation that impacts System reliability. </w:t>
      </w:r>
    </w:p>
    <w:p w:rsidRPr="00FB482A" w:rsidR="00FB482A" w:rsidP="00FB482A" w:rsidRDefault="00FB482A" w14:paraId="1142973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1.3. A periodicity for providing data.</w:t>
      </w:r>
    </w:p>
    <w:p w:rsidRPr="00FB482A" w:rsidR="00FB482A" w:rsidP="00FB482A" w:rsidRDefault="00FB482A" w14:paraId="42B10FD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1.4. The deadline by which the respondent is to provide the indicated data.</w:t>
      </w:r>
    </w:p>
    <w:p w:rsidRPr="00FB482A" w:rsidR="00FB482A" w:rsidP="00FB482A" w:rsidRDefault="00FB482A" w14:paraId="1DB9C80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M1. Each Transmission Operator shall make available its dated, current, in force </w:t>
      </w:r>
    </w:p>
    <w:p w:rsidRPr="00FB482A" w:rsidR="00FB482A" w:rsidP="00FB482A" w:rsidRDefault="00FB482A" w14:paraId="7B3AB5D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documented specification for data.</w:t>
      </w:r>
    </w:p>
    <w:p w:rsidRPr="00FB482A" w:rsidR="00FB482A" w:rsidP="00FB482A" w:rsidRDefault="00FB482A" w14:paraId="165ECD0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R2. Each Balancing Authority shall maintain a documented specification for the data </w:t>
      </w:r>
    </w:p>
    <w:p w:rsidRPr="00FB482A" w:rsidR="00FB482A" w:rsidP="00FB482A" w:rsidRDefault="00FB482A" w14:paraId="4DEC49C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necessary for it to perform its analysis functions and Real-time monitoring. The data </w:t>
      </w:r>
    </w:p>
    <w:p w:rsidRPr="00FB482A" w:rsidR="00FB482A" w:rsidP="00FB482A" w:rsidRDefault="00FB482A" w14:paraId="7CD8298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specification shall include, but not be limited to:</w:t>
      </w:r>
    </w:p>
    <w:p w:rsidRPr="00FB482A" w:rsidR="00FB482A" w:rsidP="00FB482A" w:rsidRDefault="00FB482A" w14:paraId="0BBDAA5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2.1. A list of data and information needed by the Balancing Authority to support </w:t>
      </w:r>
    </w:p>
    <w:p w:rsidRPr="00FB482A" w:rsidR="00FB482A" w:rsidP="00FB482A" w:rsidRDefault="00FB482A" w14:paraId="063B6E3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its analysis functions and Real-time monitoring. </w:t>
      </w:r>
    </w:p>
    <w:p w:rsidRPr="00FB482A" w:rsidR="00FB482A" w:rsidP="00FB482A" w:rsidRDefault="00FB482A" w14:paraId="30FF314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2.2. Provisions for notification of current Protection System and Special Protection </w:t>
      </w:r>
    </w:p>
    <w:p w:rsidRPr="00FB482A" w:rsidR="00FB482A" w:rsidP="00FB482A" w:rsidRDefault="00FB482A" w14:paraId="49135F9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System status or degradation that impacts System reliability. </w:t>
      </w:r>
    </w:p>
    <w:p w:rsidRPr="00FB482A" w:rsidR="00FB482A" w:rsidP="00FB482A" w:rsidRDefault="00FB482A" w14:paraId="07461C8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2.3. A periodicity for providing data. </w:t>
      </w:r>
    </w:p>
    <w:p w:rsidRPr="00FB482A" w:rsidR="00FB482A" w:rsidP="00FB482A" w:rsidRDefault="00FB482A" w14:paraId="27C18BF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2.4. The deadline by which the respondent is to provide the indicated data.</w:t>
      </w:r>
    </w:p>
    <w:p w:rsidRPr="00FB482A" w:rsidR="00FB482A" w:rsidP="00FB482A" w:rsidRDefault="00FB482A" w14:paraId="47232E3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M2. Each Balancing Authority shall make available its dated, current, in force documented </w:t>
      </w:r>
    </w:p>
    <w:p w:rsidRPr="00FB482A" w:rsidR="00FB482A" w:rsidP="00FB482A" w:rsidRDefault="00FB482A" w14:paraId="2BAFCEC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specification for data. </w:t>
      </w:r>
    </w:p>
    <w:p w:rsidRPr="00FB482A" w:rsidR="00FB482A" w:rsidP="00FB482A" w:rsidRDefault="00FB482A" w14:paraId="129BFB3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Each Transmission Operator shall distribute its data specification to entities that have </w:t>
      </w:r>
    </w:p>
    <w:p w:rsidRPr="00FB482A" w:rsidR="00FB482A" w:rsidP="00FB482A" w:rsidRDefault="00FB482A" w14:paraId="05002CF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data required by the Transmission Operator’s Operational Planning Analyses, Realtime monitoring, and Real-time Assessment. </w:t>
      </w:r>
    </w:p>
    <w:p w:rsidRPr="00FB482A" w:rsidR="00FB482A" w:rsidP="00FB482A" w:rsidRDefault="00FB482A" w14:paraId="72C8DE7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M3. Each Transmission Operator shall make available evidence that it has distributed its </w:t>
      </w:r>
    </w:p>
    <w:p w:rsidRPr="00FB482A" w:rsidR="00FB482A" w:rsidP="00FB482A" w:rsidRDefault="00FB482A" w14:paraId="1F0C1916"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data specification to entities that have data required by the Transmission Operator’s </w:t>
      </w:r>
    </w:p>
    <w:p w:rsidRPr="00FB482A" w:rsidR="00FB482A" w:rsidP="00FB482A" w:rsidRDefault="00FB482A" w14:paraId="2E2B12F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Operational Planning Analyses, Real-time monitoring, and Real-time Assessments. </w:t>
      </w:r>
    </w:p>
    <w:p w:rsidRPr="00FB482A" w:rsidR="00FB482A" w:rsidP="00FB482A" w:rsidRDefault="00FB482A" w14:paraId="458393D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Such evidence could include but is not limited to web postings with an electronic notice of the posting, dated operator logs, voice recordings, postal receipts showing the recipient, date and contents, or e-mail records. </w:t>
      </w:r>
    </w:p>
    <w:p w:rsidRPr="00FB482A" w:rsidR="00FB482A" w:rsidP="00FB482A" w:rsidRDefault="00FB482A" w14:paraId="63CBF14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R4. Each Balancing Authority shall distribute its data specification to entities that have data required by the Balancing Authority’s analysis functions and Real-time monitoring. </w:t>
      </w:r>
    </w:p>
    <w:p w:rsidRPr="00FB482A" w:rsidR="00FB482A" w:rsidP="00FB482A" w:rsidRDefault="00FB482A" w14:paraId="21F41DE4"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M4. Each Balancing Authority shall make available evidence that it has distributed its data specification to entities that have data required by the Balancing Authority’s analysis functions and Real-time monitoring. Such evidence could include but is not limited to web postings with an electronic notice of the posting, dated operator logs, voice recordings, postal receipts showing the recipient, or e-mail records.</w:t>
      </w:r>
    </w:p>
    <w:p w:rsidRPr="00FB482A" w:rsidR="00FB482A" w:rsidP="00FB482A" w:rsidRDefault="00FB482A" w14:paraId="2D2B794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R5. Each Transmission Operator, Balancing Authority, Generator Owner, Generator Operator, Transmission Owner, and Distribution Provider receiving a data specification in Requirement R3 or R4 shall satisfy the obligations of the documented specifications using: </w:t>
      </w:r>
    </w:p>
    <w:p w:rsidRPr="00FB482A" w:rsidR="00FB482A" w:rsidP="00FB482A" w:rsidRDefault="00FB482A" w14:paraId="77D8CDF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5.1. A mutually agreeable format</w:t>
      </w:r>
    </w:p>
    <w:p w:rsidRPr="00FB482A" w:rsidR="00FB482A" w:rsidP="00FB482A" w:rsidRDefault="00FB482A" w14:paraId="536284E0"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5.2. A mutually agreeable process for resolving data conflicts </w:t>
      </w:r>
    </w:p>
    <w:p w:rsidRPr="00FB482A" w:rsidR="00FB482A" w:rsidP="00FB482A" w:rsidRDefault="00FB482A" w14:paraId="059060DE"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5.3. A mutually agreeable security protocol </w:t>
      </w:r>
    </w:p>
    <w:p w:rsidRPr="00FB482A" w:rsidR="00FB482A" w:rsidP="00FB482A" w:rsidRDefault="00FB482A" w14:paraId="0EE0CFCF"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M5. Each Transmission Operator, Balancing Authority, Generator Owner, Generator Operator, Transmission Owner, and Distribution Provider receiving a data specification in Requirement R3 or R4 shall make available evidence that it has satisfied the obligations of the documented specifications. Such evidence could include, but is not limited to, electronic or hard copies of data transmittals or attestations of receiving entities.</w:t>
      </w:r>
    </w:p>
    <w:p w:rsidRPr="00FB482A" w:rsidR="00FB482A" w:rsidP="00FB482A" w:rsidRDefault="00FB482A" w14:paraId="619103A6"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Data Retention</w:t>
      </w:r>
    </w:p>
    <w:p w:rsidRPr="00FB482A" w:rsidR="00FB482A" w:rsidP="00FB482A" w:rsidRDefault="00FB482A" w14:paraId="1345F42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that it was compliant for the full time period since the last audit. Each responsible entity shall keep data or evidence to show compliance as identified below unless directed by its Compliance Enforcement Authority to retain specific evidence for a longer period of time as part of an investigation: Each Transmission Operator shall retain its dated, current, in force, documented specification for the data necessary for it to perform its Operational Planning Analyses, Real-time monitoring, and </w:t>
      </w:r>
      <w:r w:rsidRPr="00FB482A">
        <w:rPr>
          <w:rFonts w:ascii="Times New Roman" w:hAnsi="Times New Roman" w:eastAsia="Calibri" w:cs="Times New Roman"/>
          <w:sz w:val="24"/>
          <w:szCs w:val="24"/>
        </w:rPr>
        <w:lastRenderedPageBreak/>
        <w:t>Real-time Assessments in accordance with Requirement R1 and Measurement M1 as well as any documents in force since the last compliance audits. Each Balancing Authority shall retain its dated, current, in force, documented specification for the data necessary for it to perform its analysis functions and Real-time monitoring in accordance with Requirement R2 and Measurement M2 as well as any documents in force since the last compliance audit. Each Transmission Operator shall retain evidence for three calendar years that it has distributed its data specification to entities that have data required by the Transmission Operator’s Operational Planning Analyses, Real-time monitoring, and Real-time Assessments in accordance with Requirement R3 and Measurement M3.Each Balancing Authority shall retain evidence for three calendar years that it has distributed its data specification to entities that have data required by the Balancing Authority’s analysis functions and Real-time monitoring in accordance with Requirement R4 and Measurement M4. Each Balancing Authority, Generator Owner, Generator Operator, Transmission Operator, Transmission Owner, and Distribution Provider receiving a data specification in Requirement R3 or R4 shall retain evidence for the most recent 90-calendar days that it has satisfied the obligations of the documented specifications in accordance with Requirement R5 and Measurement M5. If a responsible entity is found non-compliant, it shall keep information related to the non-compliance until mitigation is complete and approved or the time period specified above, whichever is longer. The Compliance Enforcement Authority shall keep the last audit records, and all requested and submitted subsequent audit records</w:t>
      </w:r>
    </w:p>
    <w:p w:rsidR="00FB482A" w:rsidP="00FB482A" w:rsidRDefault="00FB482A" w14:paraId="7DB3ADB7" w14:textId="3F95D9EE">
      <w:pPr>
        <w:numPr>
          <w:ilvl w:val="0"/>
          <w:numId w:val="24"/>
        </w:numPr>
        <w:spacing w:before="100" w:beforeAutospacing="1" w:after="100" w:afterAutospacing="1" w:line="240" w:lineRule="auto"/>
        <w:contextualSpacing/>
        <w:rPr>
          <w:rFonts w:ascii="Times New Roman" w:hAnsi="Times New Roman" w:eastAsia="Calibri" w:cs="Times New Roman"/>
          <w:b/>
          <w:bCs/>
          <w:sz w:val="24"/>
          <w:szCs w:val="24"/>
          <w:u w:val="single"/>
        </w:rPr>
      </w:pPr>
      <w:r w:rsidRPr="00FB482A">
        <w:rPr>
          <w:rFonts w:ascii="Times New Roman" w:hAnsi="Times New Roman" w:eastAsia="Calibri" w:cs="Times New Roman"/>
          <w:b/>
          <w:bCs/>
          <w:sz w:val="24"/>
          <w:szCs w:val="24"/>
          <w:u w:val="single"/>
        </w:rPr>
        <w:t>TOP-010-1(i)</w:t>
      </w:r>
    </w:p>
    <w:p w:rsidRPr="00FB482A" w:rsidR="00FB482A" w:rsidP="00B862DA" w:rsidRDefault="00FB482A" w14:paraId="72D647FD" w14:textId="77777777">
      <w:pPr>
        <w:spacing w:before="100" w:beforeAutospacing="1" w:after="100" w:afterAutospacing="1" w:line="240" w:lineRule="auto"/>
        <w:ind w:left="720"/>
        <w:contextualSpacing/>
        <w:rPr>
          <w:rFonts w:ascii="Times New Roman" w:hAnsi="Times New Roman" w:eastAsia="Calibri" w:cs="Times New Roman"/>
          <w:b/>
          <w:bCs/>
          <w:sz w:val="24"/>
          <w:szCs w:val="24"/>
          <w:u w:val="single"/>
        </w:rPr>
      </w:pPr>
    </w:p>
    <w:p w:rsidRPr="00FB482A" w:rsidR="00FB482A" w:rsidP="00FB482A" w:rsidRDefault="00FB482A" w14:paraId="711C3EDD" w14:textId="77777777">
      <w:pPr>
        <w:spacing w:before="100" w:beforeAutospacing="1" w:after="100" w:afterAutospacing="1" w:line="240" w:lineRule="auto"/>
        <w:rPr>
          <w:rFonts w:ascii="Times New Roman" w:hAnsi="Times New Roman" w:eastAsia="Calibri" w:cs="Times New Roman"/>
          <w:b/>
          <w:bCs/>
          <w:sz w:val="24"/>
          <w:szCs w:val="24"/>
        </w:rPr>
      </w:pPr>
      <w:r w:rsidRPr="00FB482A">
        <w:rPr>
          <w:rFonts w:ascii="Times New Roman" w:hAnsi="Times New Roman" w:eastAsia="Calibri" w:cs="Times New Roman"/>
          <w:b/>
          <w:bCs/>
          <w:sz w:val="24"/>
          <w:szCs w:val="24"/>
        </w:rPr>
        <w:t>Requirements and Measures</w:t>
      </w:r>
    </w:p>
    <w:p w:rsidRPr="00FB482A" w:rsidR="00FB482A" w:rsidP="00FB482A" w:rsidRDefault="00FB482A" w14:paraId="63A48803"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R1. Each Transmission Operator shall implement an Operating Process or Operating Procedure to address the quality of the Real-time data necessary to perform its Realtime monitoring and Real-time Assessments. The Operating Process or Operating Procedure shall include: </w:t>
      </w:r>
    </w:p>
    <w:p w:rsidRPr="00FB482A" w:rsidR="00FB482A" w:rsidP="00FB482A" w:rsidRDefault="00FB482A" w14:paraId="3A02D24D"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1.1. Criteria for evaluating the quality of Real-time data;</w:t>
      </w:r>
    </w:p>
    <w:p w:rsidRPr="00FB482A" w:rsidR="00FB482A" w:rsidP="00FB482A" w:rsidRDefault="00FB482A" w14:paraId="194AAD7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1.2. Provisions to indicate the quality of Real-time data to the System Operator; and</w:t>
      </w:r>
    </w:p>
    <w:p w:rsidRPr="00FB482A" w:rsidR="00FB482A" w:rsidP="00FB482A" w:rsidRDefault="00FB482A" w14:paraId="60EC76E1"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1.3. Actions to address Real-time data quality issues with the entity(ies) responsible for providing the data when data quality affects Real-time Assessments.</w:t>
      </w:r>
    </w:p>
    <w:p w:rsidRPr="00FB482A" w:rsidR="00FB482A" w:rsidP="00FB482A" w:rsidRDefault="00FB482A" w14:paraId="6A9983B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M1. Each Transmission Operator shall have evidence that it implemented its Operating Process or Operating Procedure to address the quality of the Real-time data necessary to perform its Real-time monitoring and Real-time Assessments. This evidence could include, but is not limited to: 1) an Operating Process or Operating Procedure in electronic or hard copy format meeting all provisions of Requirement R1; and 2) evidence the Transmission Operator implemented the Operating Process or Operating Procedure as called for in the Operating Process or Operating Procedure, such as dated operator logs, dated checklists, voice recordings, voice transcripts, or other evidence.</w:t>
      </w:r>
    </w:p>
    <w:p w:rsidRPr="00FB482A" w:rsidR="00FB482A" w:rsidP="00FB482A" w:rsidRDefault="00FB482A" w14:paraId="1E5F8FA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 xml:space="preserve">R2. Each Balancing Authority shall implement an Operating Process or Operating Procedure to address the quality of the Real-time data necessary to perform its analysis functions and Real-time monitoring. The Operating Process or Operating Procedure shall include: </w:t>
      </w:r>
    </w:p>
    <w:p w:rsidRPr="00FB482A" w:rsidR="00FB482A" w:rsidP="00FB482A" w:rsidRDefault="00FB482A" w14:paraId="5316B0A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2.1. Criteria for evaluating the quality of Real-time data;</w:t>
      </w:r>
    </w:p>
    <w:p w:rsidRPr="00FB482A" w:rsidR="00FB482A" w:rsidP="00FB482A" w:rsidRDefault="00FB482A" w14:paraId="2884500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2.2. Provisions to indicate the quality of Real-time data to the System Operator; and</w:t>
      </w:r>
    </w:p>
    <w:p w:rsidRPr="00FB482A" w:rsidR="00FB482A" w:rsidP="00FB482A" w:rsidRDefault="00FB482A" w14:paraId="76FF40C8"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2.3. Actions to address Real-time data quality issues with the entity(ies) responsible for providing the data when data quality affects its analysis functions.</w:t>
      </w:r>
    </w:p>
    <w:p w:rsidRPr="00FB482A" w:rsidR="00FB482A" w:rsidP="00FB482A" w:rsidRDefault="00FB482A" w14:paraId="39653ED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M2. Each Balancing Authority shall have evidence that it implemented its Operating Process or Operating Procedure to address the quality of the Real-time data necessary to perform its analysis functions and Real-time monitoring. This evidence could include, but is not limited to: 1) an Operating Process or Operating Procedure in electronic or hard copy format meeting all provisions of Requirement R2; and 2) evidence the Balancing Authority implemented the Operating Process or Operating Procedure as called for in the Operating Process or Operating Procedure, such as dated operator logs, dated checklists, voice recordings, voice transcripts, or other evidence.</w:t>
      </w:r>
    </w:p>
    <w:p w:rsidRPr="00FB482A" w:rsidR="00FB482A" w:rsidP="00FB482A" w:rsidRDefault="00FB482A" w14:paraId="7C291752"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R3. Each Transmission Operator shall implement an Operating Process or Operating Procedure to address the quality of analysis used in its Real-time Assessments. The Operating Process or Operating Procedure shall include: </w:t>
      </w:r>
    </w:p>
    <w:p w:rsidRPr="00FB482A" w:rsidR="00FB482A" w:rsidP="00FB482A" w:rsidRDefault="00FB482A" w14:paraId="4F7094BB"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3.1. Criteria for evaluating the quality of analysis used in its Real-time Assessments;</w:t>
      </w:r>
    </w:p>
    <w:p w:rsidRPr="00FB482A" w:rsidR="00FB482A" w:rsidP="00FB482A" w:rsidRDefault="00FB482A" w14:paraId="2D06B229"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 xml:space="preserve">3.2. Provisions to indicate the quality of analysis used in its Real-time Assessments; </w:t>
      </w:r>
    </w:p>
    <w:p w:rsidRPr="00FB482A" w:rsidR="00FB482A" w:rsidP="00FB482A" w:rsidRDefault="00FB482A" w14:paraId="74ED9BC5"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t>3.3. Actions to address analysis quality issues affecting its Real-time Assessments.M3. Each Transmission Operator shall have evidence it implemented its Operating Process or Operating Procedure to address the quality of analysis used in its Real-time Assessments as specified in Requirement R3. This evidence could include, but is not limited to: 1) an Operating Process or Operating Procedure in electronic or hard copy format meeting all provisions of Requirement R3; and 2) evidence the Transmission Operator implemented the Operating Process or Operating Procedure as called for in the Operating Process or Operating Procedure, such as dated operator logs, dated checklists, voice recordings, voice transcripts, or other evidence.R4. Each Transmission Operator and Balancing Authority shall have an alarm process monitor that provides notification(s) to its System Operators when a failure of its Real-time monitoring alarm processor has occurred M4. Each Transmission Operator and Balancing Authority shall have evidence of an alarm process monitor that provides notification(s) to its System Operators when a failure of its Real-time monitoring alarm processor has occurred. This evidence could include, but is not limited to, operator logs, computer printouts, system specifications, or other evidence.</w:t>
      </w:r>
    </w:p>
    <w:p w:rsidRPr="00FB482A" w:rsidR="00FB482A" w:rsidP="00FB482A" w:rsidRDefault="00FB482A" w14:paraId="5A7DBC57"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b/>
          <w:bCs/>
          <w:sz w:val="24"/>
          <w:szCs w:val="24"/>
        </w:rPr>
        <w:t>Evidence Retention</w:t>
      </w:r>
      <w:r w:rsidRPr="00FB482A">
        <w:rPr>
          <w:rFonts w:ascii="Times New Roman" w:hAnsi="Times New Roman" w:eastAsia="Calibri" w:cs="Times New Roman"/>
          <w:sz w:val="24"/>
          <w:szCs w:val="24"/>
        </w:rPr>
        <w:t>:</w:t>
      </w:r>
    </w:p>
    <w:p w:rsidRPr="00FB482A" w:rsidR="00FB482A" w:rsidP="00FB482A" w:rsidRDefault="00FB482A" w14:paraId="24AF457A" w14:textId="77777777">
      <w:pPr>
        <w:spacing w:before="100" w:beforeAutospacing="1" w:after="100" w:afterAutospacing="1" w:line="240" w:lineRule="auto"/>
        <w:rPr>
          <w:rFonts w:ascii="Times New Roman" w:hAnsi="Times New Roman" w:eastAsia="Calibri" w:cs="Times New Roman"/>
          <w:sz w:val="24"/>
          <w:szCs w:val="24"/>
        </w:rPr>
      </w:pPr>
      <w:r w:rsidRPr="00FB482A">
        <w:rPr>
          <w:rFonts w:ascii="Times New Roman" w:hAnsi="Times New Roman" w:eastAsia="Calibri" w:cs="Times New Roman"/>
          <w:sz w:val="24"/>
          <w:szCs w:val="24"/>
        </w:rPr>
        <w:lastRenderedPageBreak/>
        <w:t>The following evidence retention period(s) identify the period of time an entity is required to retain specific evidence to demonstrate compliance. For instances where the evidence retention period specified below is shorter than the time since the last audit, the Compliance Enforcement Authority may ask an entity to provide other evidence to show it was compliant for the full-time period since the last audit. The applicable entity shall keep data or evidence to show compliance as identified below unless directed by its Compliance Enforcement Authority to retain specific evidence for a longer period of time as part of an investigation. The applicable entity shall retain evidence of compliance for Requirements R1, R2, and R4, and Measures M1, M2, and M4 for the current calendar year and one previous calendar year, with the exception of operator logs and voice recordings which shall be retained for a minimum of 90 calendar days, unless directed by its Compliance Enforcement Authority to retain specific evidence for a longer period of time as part of an investigation. The Transmission Operator shall retain evidence of compliance for Requirement R3 and Measure M3 for a rolling 30-day period, unless directed by its Compliance Enforcement Authority to retain specific evidence for a longer period of time as part of an investigation. If an applicable entity is found non-compliant it shall keep information related to the non-compliance until mitigation is complete and approved or for the time specified above, whichever is longer.</w:t>
      </w:r>
    </w:p>
    <w:p w:rsidRPr="007F0136" w:rsidR="00FB482A" w:rsidP="007F0136" w:rsidRDefault="00FB482A" w14:paraId="57B3FC6A" w14:textId="77777777">
      <w:pPr>
        <w:spacing w:after="0" w:line="240" w:lineRule="auto"/>
        <w:rPr>
          <w:rFonts w:ascii="Times New Roman" w:hAnsi="Times New Roman" w:cs="Times New Roman"/>
          <w:sz w:val="24"/>
          <w:szCs w:val="24"/>
        </w:rPr>
      </w:pPr>
    </w:p>
    <w:p w:rsidRPr="00BD0FD5" w:rsidR="007F0136" w:rsidP="009A6326" w:rsidRDefault="007F0136" w14:paraId="0A694C65" w14:textId="77777777">
      <w:pPr>
        <w:spacing w:after="0" w:line="240" w:lineRule="auto"/>
        <w:rPr>
          <w:rFonts w:ascii="Times New Roman" w:hAnsi="Times New Roman" w:cs="Times New Roman"/>
          <w:sz w:val="24"/>
          <w:szCs w:val="24"/>
        </w:rPr>
      </w:pPr>
    </w:p>
    <w:p w:rsidRPr="00BD0FD5" w:rsidR="00EB3E6F" w:rsidP="0092596C" w:rsidRDefault="00EB3E6F" w14:paraId="04ECF797"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DESCRIBE ANY CONSIDERATION OF THE USE OF IMPROVED INFORMATION TECHNOLOGY TO REDUCE THE BURDEN AND TECHNICAL OR LEGAL OBSTACLES TO REDUCING BURDEN</w:t>
      </w:r>
    </w:p>
    <w:p w:rsidRPr="00BD0FD5" w:rsidR="00EB3E6F" w:rsidP="0092596C" w:rsidRDefault="00EB3E6F" w14:paraId="11E30C30" w14:textId="77777777">
      <w:pPr>
        <w:spacing w:after="0" w:line="240" w:lineRule="auto"/>
        <w:rPr>
          <w:rFonts w:ascii="Times New Roman" w:hAnsi="Times New Roman" w:cs="Times New Roman"/>
          <w:sz w:val="24"/>
          <w:szCs w:val="24"/>
        </w:rPr>
      </w:pPr>
    </w:p>
    <w:p w:rsidRPr="00BD0FD5" w:rsidR="00C00D70" w:rsidP="0092596C" w:rsidRDefault="00C00D70" w14:paraId="4E5746FB" w14:textId="75253D72">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 xml:space="preserve">The use of current or improved technology is not covered in Reliability </w:t>
      </w:r>
      <w:r w:rsidRPr="00BD0FD5" w:rsidR="00896DEA">
        <w:rPr>
          <w:rFonts w:ascii="Times New Roman" w:hAnsi="Times New Roman" w:cs="Times New Roman"/>
          <w:sz w:val="24"/>
          <w:szCs w:val="24"/>
        </w:rPr>
        <w:t>Standards and</w:t>
      </w:r>
      <w:r w:rsidRPr="00BD0FD5">
        <w:rPr>
          <w:rFonts w:ascii="Times New Roman" w:hAnsi="Times New Roman" w:cs="Times New Roman"/>
          <w:sz w:val="24"/>
          <w:szCs w:val="24"/>
        </w:rPr>
        <w:t xml:space="preserve"> is therefore left to the discretion of each reporting entity.</w:t>
      </w:r>
      <w:r w:rsidRPr="00DD0209" w:rsidR="00DD0209">
        <w:t xml:space="preserve"> </w:t>
      </w:r>
      <w:r w:rsidR="00DD1F76">
        <w:t xml:space="preserve"> </w:t>
      </w:r>
      <w:r w:rsidRPr="00DD0209" w:rsidR="00DD0209">
        <w:rPr>
          <w:rFonts w:ascii="Times New Roman" w:hAnsi="Times New Roman" w:cs="Times New Roman"/>
          <w:sz w:val="24"/>
          <w:szCs w:val="24"/>
        </w:rPr>
        <w:t xml:space="preserve">We think that nearly all of the respondents are likely to make and keep related records in an electronic format.  Each of the </w:t>
      </w:r>
      <w:r w:rsidR="00DD1F76">
        <w:rPr>
          <w:rFonts w:ascii="Times New Roman" w:hAnsi="Times New Roman" w:cs="Times New Roman"/>
          <w:sz w:val="24"/>
          <w:szCs w:val="24"/>
        </w:rPr>
        <w:t>six</w:t>
      </w:r>
      <w:r w:rsidRPr="00DD0209" w:rsidR="00DD1F76">
        <w:rPr>
          <w:rFonts w:ascii="Times New Roman" w:hAnsi="Times New Roman" w:cs="Times New Roman"/>
          <w:sz w:val="24"/>
          <w:szCs w:val="24"/>
        </w:rPr>
        <w:t xml:space="preserve"> </w:t>
      </w:r>
      <w:r w:rsidRPr="00DD0209" w:rsidR="00DD0209">
        <w:rPr>
          <w:rFonts w:ascii="Times New Roman" w:hAnsi="Times New Roman" w:cs="Times New Roman"/>
          <w:sz w:val="24"/>
          <w:szCs w:val="24"/>
        </w:rPr>
        <w:t>Regional Entities has a well-established compliance portal for registered entities to electronically submit compliance information and reports.  The compliance portals allow documents developed by the registered entities to be attached and uploaded to the Regional Entity’s portal.  Compliance data can also be submitted by filling out data forms on the portals.  These portals are accessible through an internet browser password protected user interface.</w:t>
      </w:r>
    </w:p>
    <w:p w:rsidRPr="00BD0FD5" w:rsidR="00EB3E6F" w:rsidP="0092596C" w:rsidRDefault="00EB3E6F" w14:paraId="054AF835" w14:textId="77777777">
      <w:pPr>
        <w:spacing w:after="0" w:line="240" w:lineRule="auto"/>
        <w:rPr>
          <w:rFonts w:ascii="Times New Roman" w:hAnsi="Times New Roman" w:cs="Times New Roman"/>
          <w:sz w:val="24"/>
          <w:szCs w:val="24"/>
        </w:rPr>
      </w:pPr>
    </w:p>
    <w:p w:rsidRPr="00BD0FD5" w:rsidR="00EB3E6F" w:rsidP="0092596C" w:rsidRDefault="00EB3E6F" w14:paraId="2820C7BF"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DESCRIBE EFFORTS TO IDENTIF</w:t>
      </w:r>
      <w:r w:rsidRPr="00BD0FD5" w:rsidR="00E05FA3">
        <w:rPr>
          <w:rFonts w:ascii="Times New Roman" w:hAnsi="Times New Roman" w:cs="Times New Roman"/>
          <w:b/>
          <w:sz w:val="24"/>
          <w:szCs w:val="24"/>
        </w:rPr>
        <w:t>Y</w:t>
      </w:r>
      <w:r w:rsidRPr="00BD0FD5">
        <w:rPr>
          <w:rFonts w:ascii="Times New Roman" w:hAnsi="Times New Roman" w:cs="Times New Roman"/>
          <w:b/>
          <w:sz w:val="24"/>
          <w:szCs w:val="24"/>
        </w:rPr>
        <w:t xml:space="preserve"> DUPLICATION AND SHOW SPECIFICALLY WHY ANY SIMILAR INFORMATION ALREADY AVAILABLE CANNOT BE USED OR MODIFIED FOR USE FOR THE PURPOSE(S) DESCRIBED IN INSTRUCTION NO. 2</w:t>
      </w:r>
    </w:p>
    <w:p w:rsidRPr="00BD0FD5" w:rsidR="00EB3E6F" w:rsidP="0092596C" w:rsidRDefault="00EB3E6F" w14:paraId="0C9BB099" w14:textId="77777777">
      <w:pPr>
        <w:spacing w:after="0" w:line="240" w:lineRule="auto"/>
        <w:rPr>
          <w:rFonts w:ascii="Times New Roman" w:hAnsi="Times New Roman" w:cs="Times New Roman"/>
          <w:sz w:val="24"/>
          <w:szCs w:val="24"/>
        </w:rPr>
      </w:pPr>
    </w:p>
    <w:p w:rsidRPr="007F58DE" w:rsidR="007F58DE" w:rsidP="007F58DE" w:rsidRDefault="007F58DE" w14:paraId="27CB5DA3" w14:textId="77777777">
      <w:pPr>
        <w:spacing w:after="0" w:line="240" w:lineRule="auto"/>
        <w:rPr>
          <w:rFonts w:ascii="Times New Roman" w:hAnsi="Times New Roman" w:cs="Times New Roman"/>
          <w:sz w:val="24"/>
          <w:szCs w:val="24"/>
        </w:rPr>
      </w:pPr>
      <w:r w:rsidRPr="007F58DE">
        <w:rPr>
          <w:rFonts w:ascii="Times New Roman" w:hAnsi="Times New Roman" w:cs="Times New Roman"/>
          <w:sz w:val="24"/>
          <w:szCs w:val="24"/>
        </w:rPr>
        <w:t>The Commission periodically reviews filing requirements concurrent with OMB review or as the Commission deems necessary to eliminate duplicative filing and to minimize the filing burden.</w:t>
      </w:r>
    </w:p>
    <w:p w:rsidRPr="007F58DE" w:rsidR="007F58DE" w:rsidP="007F58DE" w:rsidRDefault="007F58DE" w14:paraId="42FA9778" w14:textId="1A60821D">
      <w:pPr>
        <w:spacing w:after="0" w:line="240" w:lineRule="auto"/>
        <w:rPr>
          <w:rFonts w:ascii="Times New Roman" w:hAnsi="Times New Roman" w:cs="Times New Roman"/>
          <w:sz w:val="24"/>
          <w:szCs w:val="24"/>
        </w:rPr>
      </w:pPr>
      <w:r w:rsidRPr="007F58DE">
        <w:rPr>
          <w:rFonts w:ascii="Times New Roman" w:hAnsi="Times New Roman" w:cs="Times New Roman"/>
          <w:sz w:val="24"/>
          <w:szCs w:val="24"/>
        </w:rPr>
        <w:t>Reliability Standards are developed by a collaborative process which requires industry participation.  The Commission is unaware of any other source of information similar to the additional requirements.</w:t>
      </w:r>
    </w:p>
    <w:p w:rsidRPr="00BD0FD5" w:rsidR="00AE205C" w:rsidP="0092596C" w:rsidRDefault="00AE205C" w14:paraId="4CDD391B" w14:textId="2A497815">
      <w:pPr>
        <w:spacing w:after="0" w:line="240" w:lineRule="auto"/>
        <w:rPr>
          <w:rFonts w:ascii="Times New Roman" w:hAnsi="Times New Roman" w:cs="Times New Roman"/>
          <w:sz w:val="24"/>
          <w:szCs w:val="24"/>
        </w:rPr>
      </w:pPr>
    </w:p>
    <w:p w:rsidRPr="00BD0FD5" w:rsidR="00EB3E6F" w:rsidP="0092596C" w:rsidRDefault="00EB3E6F" w14:paraId="093A3264"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METHODS USED TO MINIMIZE THE BURDEN IN COLLECTION OF INFORMATION INVOLVING SMALL ENTITIES</w:t>
      </w:r>
    </w:p>
    <w:p w:rsidRPr="00BD0FD5" w:rsidR="00EB3E6F" w:rsidP="0092596C" w:rsidRDefault="00EB3E6F" w14:paraId="18ABCDBE" w14:textId="77777777">
      <w:pPr>
        <w:spacing w:after="0" w:line="240" w:lineRule="auto"/>
        <w:rPr>
          <w:rFonts w:ascii="Times New Roman" w:hAnsi="Times New Roman" w:cs="Times New Roman"/>
          <w:sz w:val="24"/>
          <w:szCs w:val="24"/>
        </w:rPr>
      </w:pPr>
    </w:p>
    <w:p w:rsidRPr="00BD0FD5" w:rsidR="00C00D70" w:rsidP="0092596C" w:rsidRDefault="00C00D70" w14:paraId="40F90D38" w14:textId="77777777">
      <w:pPr>
        <w:spacing w:after="0" w:line="240" w:lineRule="auto"/>
        <w:rPr>
          <w:rFonts w:ascii="Times New Roman" w:hAnsi="Times New Roman" w:cs="Times New Roman"/>
          <w:sz w:val="24"/>
          <w:szCs w:val="24"/>
        </w:rPr>
      </w:pPr>
    </w:p>
    <w:p w:rsidR="00C00D70" w:rsidP="0092596C" w:rsidRDefault="00C00D70" w14:paraId="2D7CFBFB" w14:textId="3F7B23B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 xml:space="preserve">In general, small entities may </w:t>
      </w:r>
      <w:r w:rsidRPr="00BD0FD5" w:rsidR="00B86284">
        <w:rPr>
          <w:rFonts w:ascii="Times New Roman" w:hAnsi="Times New Roman" w:cs="Times New Roman"/>
          <w:sz w:val="24"/>
          <w:szCs w:val="24"/>
        </w:rPr>
        <w:t xml:space="preserve">reduce their burden by taking part in a joint registration organization or </w:t>
      </w:r>
      <w:r w:rsidRPr="00BD0FD5">
        <w:rPr>
          <w:rFonts w:ascii="Times New Roman" w:hAnsi="Times New Roman" w:cs="Times New Roman"/>
          <w:sz w:val="24"/>
          <w:szCs w:val="24"/>
        </w:rPr>
        <w:t>a coordinated functional registration</w:t>
      </w:r>
      <w:r w:rsidRPr="00BD0FD5" w:rsidR="00B86284">
        <w:rPr>
          <w:rFonts w:ascii="Times New Roman" w:hAnsi="Times New Roman" w:cs="Times New Roman"/>
          <w:sz w:val="24"/>
          <w:szCs w:val="24"/>
        </w:rPr>
        <w:t>.  These options allow an entity to share its compliance burden with other entities.</w:t>
      </w:r>
    </w:p>
    <w:p w:rsidR="007F0136" w:rsidP="0092596C" w:rsidRDefault="007F0136" w14:paraId="7215EC62" w14:textId="4E1A61B0">
      <w:pPr>
        <w:spacing w:after="0" w:line="240" w:lineRule="auto"/>
        <w:rPr>
          <w:rFonts w:ascii="Times New Roman" w:hAnsi="Times New Roman" w:cs="Times New Roman"/>
          <w:sz w:val="24"/>
          <w:szCs w:val="24"/>
        </w:rPr>
      </w:pPr>
    </w:p>
    <w:p w:rsidRPr="007F0136" w:rsidR="007F0136" w:rsidP="007F0136" w:rsidRDefault="007F0136" w14:paraId="0A9E5EDB" w14:textId="77777777">
      <w:pPr>
        <w:spacing w:after="0" w:line="240" w:lineRule="auto"/>
        <w:rPr>
          <w:rFonts w:ascii="Times New Roman" w:hAnsi="Times New Roman" w:cs="Times New Roman"/>
          <w:sz w:val="24"/>
          <w:szCs w:val="24"/>
        </w:rPr>
      </w:pPr>
      <w:r w:rsidRPr="007F0136">
        <w:rPr>
          <w:rFonts w:ascii="Times New Roman" w:hAnsi="Times New Roman" w:cs="Times New Roman"/>
          <w:sz w:val="24"/>
          <w:szCs w:val="24"/>
        </w:rPr>
        <w:t>Detailed information regarding these options is available in NERC’s Rules of Procedure at sections 507 and 508.</w:t>
      </w:r>
      <w:r w:rsidRPr="007F0136">
        <w:rPr>
          <w:rFonts w:ascii="Times New Roman" w:hAnsi="Times New Roman" w:cs="Times New Roman"/>
          <w:sz w:val="24"/>
          <w:szCs w:val="24"/>
          <w:vertAlign w:val="superscript"/>
        </w:rPr>
        <w:footnoteReference w:id="1"/>
      </w:r>
      <w:r w:rsidRPr="007F0136">
        <w:rPr>
          <w:rFonts w:ascii="Times New Roman" w:hAnsi="Times New Roman" w:cs="Times New Roman"/>
          <w:sz w:val="24"/>
          <w:szCs w:val="24"/>
          <w:vertAlign w:val="superscript"/>
        </w:rPr>
        <w:t xml:space="preserve"> </w:t>
      </w:r>
    </w:p>
    <w:p w:rsidRPr="00BD0FD5" w:rsidR="007F0136" w:rsidP="0092596C" w:rsidRDefault="007F0136" w14:paraId="652280F7" w14:textId="77777777">
      <w:pPr>
        <w:spacing w:after="0" w:line="240" w:lineRule="auto"/>
        <w:rPr>
          <w:rFonts w:ascii="Times New Roman" w:hAnsi="Times New Roman" w:cs="Times New Roman"/>
          <w:sz w:val="24"/>
          <w:szCs w:val="24"/>
        </w:rPr>
      </w:pPr>
    </w:p>
    <w:p w:rsidRPr="00BD0FD5" w:rsidR="00EB3E6F" w:rsidP="0092596C" w:rsidRDefault="00EB3E6F" w14:paraId="2EDB8F78" w14:textId="77777777">
      <w:pPr>
        <w:spacing w:after="0" w:line="240" w:lineRule="auto"/>
        <w:rPr>
          <w:rFonts w:ascii="Times New Roman" w:hAnsi="Times New Roman" w:cs="Times New Roman"/>
          <w:sz w:val="24"/>
          <w:szCs w:val="24"/>
        </w:rPr>
      </w:pPr>
    </w:p>
    <w:p w:rsidRPr="00BD0FD5" w:rsidR="00EB3E6F" w:rsidP="0092596C" w:rsidRDefault="00EB3E6F" w14:paraId="381BCCC8"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CONSEQUENCE TO FEDERAL PROGRAM IF COLLECTION WERE CONDUCTED LESS FREQUENTLY</w:t>
      </w:r>
    </w:p>
    <w:p w:rsidRPr="00BD0FD5" w:rsidR="00EB3E6F" w:rsidP="0092596C" w:rsidRDefault="00EB3E6F" w14:paraId="1D8BD47F" w14:textId="77777777">
      <w:pPr>
        <w:spacing w:after="0" w:line="240" w:lineRule="auto"/>
        <w:rPr>
          <w:rFonts w:ascii="Times New Roman" w:hAnsi="Times New Roman" w:cs="Times New Roman"/>
          <w:sz w:val="24"/>
          <w:szCs w:val="24"/>
        </w:rPr>
      </w:pPr>
    </w:p>
    <w:p w:rsidRPr="00B862DA" w:rsidR="00B86284" w:rsidP="00B862DA" w:rsidRDefault="001F4608" w14:paraId="1863DCB0" w14:textId="0E3F55A2">
      <w:pPr>
        <w:widowControl w:val="0"/>
        <w:autoSpaceDE w:val="0"/>
        <w:autoSpaceDN w:val="0"/>
        <w:adjustRightInd w:val="0"/>
        <w:spacing w:after="0" w:line="240" w:lineRule="auto"/>
        <w:rPr>
          <w:rFonts w:ascii="Times New Roman" w:hAnsi="Times New Roman" w:eastAsia="Times New Roman" w:cs="Times New Roman"/>
          <w:sz w:val="24"/>
          <w:szCs w:val="24"/>
        </w:rPr>
      </w:pPr>
      <w:r w:rsidRPr="00B862DA">
        <w:rPr>
          <w:rFonts w:ascii="Times New Roman" w:hAnsi="Times New Roman" w:eastAsia="Times New Roman" w:cs="Times New Roman"/>
          <w:sz w:val="24"/>
          <w:szCs w:val="24"/>
        </w:rPr>
        <w:t>In general, information collection requirements in Reliability Standards and requirements help maintain Bulk-Power System reliability. The Commission believes that the elimination of unnecessary requirements will strengthen the Reliability Standards program and benefit overall reliability by allowing registered entities to focus their resources on complying with those Reliability Standard requirements that more effectively promote the reliability operation and planning of the nation’s Bulk-Power System.</w:t>
      </w:r>
      <w:r>
        <w:rPr>
          <w:rFonts w:ascii="Times New Roman" w:hAnsi="Times New Roman" w:eastAsia="Times New Roman" w:cs="Times New Roman"/>
          <w:sz w:val="24"/>
          <w:szCs w:val="24"/>
        </w:rPr>
        <w:t xml:space="preserve"> </w:t>
      </w:r>
      <w:r w:rsidRPr="001F4608" w:rsidR="002E7D81">
        <w:rPr>
          <w:rFonts w:ascii="Times New Roman" w:hAnsi="Times New Roman" w:cs="Times New Roman"/>
          <w:sz w:val="24"/>
          <w:szCs w:val="24"/>
        </w:rPr>
        <w:t>The standard requires entities to report certain disturbance events within 24 hours of meeting an event type threshold or by the end of the next business day if the event occurs on a weekend.  Other paperwork related requirements are one-time or done on a yearly basis.</w:t>
      </w:r>
      <w:r w:rsidRPr="001F4608" w:rsidR="007C31D6">
        <w:rPr>
          <w:rFonts w:ascii="Times New Roman" w:hAnsi="Times New Roman" w:cs="Times New Roman"/>
          <w:sz w:val="24"/>
          <w:szCs w:val="24"/>
        </w:rPr>
        <w:t xml:space="preserve">  If the disturbance events were reported less frequently, it would undermine NERC’s (and others’) ability to mitigate the current event and prepare for a possible next event.</w:t>
      </w:r>
      <w:r w:rsidRPr="001F4608" w:rsidR="002E7D81">
        <w:rPr>
          <w:rFonts w:ascii="Times New Roman" w:hAnsi="Times New Roman" w:cs="Times New Roman"/>
          <w:sz w:val="24"/>
          <w:szCs w:val="24"/>
        </w:rPr>
        <w:t xml:space="preserve">  </w:t>
      </w:r>
    </w:p>
    <w:p w:rsidRPr="00BD0FD5" w:rsidR="002E7D81" w:rsidP="0092596C" w:rsidRDefault="002E7D81" w14:paraId="4A160987" w14:textId="77777777">
      <w:pPr>
        <w:spacing w:after="0" w:line="240" w:lineRule="auto"/>
        <w:rPr>
          <w:rFonts w:ascii="Times New Roman" w:hAnsi="Times New Roman" w:cs="Times New Roman"/>
          <w:sz w:val="24"/>
          <w:szCs w:val="24"/>
        </w:rPr>
      </w:pPr>
    </w:p>
    <w:p w:rsidRPr="00BD0FD5" w:rsidR="00EB3E6F" w:rsidP="0092596C" w:rsidRDefault="00EB3E6F" w14:paraId="4A7865B8"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EXPLAIN ANY SPECIAL CIRCUMSTANCES RELATING TO THE INFORMATION COLLECTION</w:t>
      </w:r>
    </w:p>
    <w:p w:rsidRPr="00BD0FD5" w:rsidR="00EB3E6F" w:rsidP="0092596C" w:rsidRDefault="00EB3E6F" w14:paraId="07E33058" w14:textId="77777777">
      <w:pPr>
        <w:spacing w:after="0" w:line="240" w:lineRule="auto"/>
        <w:rPr>
          <w:rFonts w:ascii="Times New Roman" w:hAnsi="Times New Roman" w:cs="Times New Roman"/>
          <w:sz w:val="24"/>
          <w:szCs w:val="24"/>
        </w:rPr>
      </w:pPr>
    </w:p>
    <w:p w:rsidRPr="00BD0FD5" w:rsidR="00C60EDC" w:rsidP="00C60EDC" w:rsidRDefault="00C60EDC" w14:paraId="31C2540C" w14:textId="77777777">
      <w:pPr>
        <w:spacing w:after="0" w:line="240" w:lineRule="auto"/>
        <w:rPr>
          <w:rFonts w:ascii="Times New Roman" w:hAnsi="Times New Roman"/>
          <w:sz w:val="24"/>
          <w:szCs w:val="24"/>
        </w:rPr>
      </w:pPr>
      <w:r w:rsidRPr="00BD0FD5">
        <w:rPr>
          <w:rFonts w:ascii="Times New Roman" w:hAnsi="Times New Roman"/>
          <w:sz w:val="24"/>
          <w:szCs w:val="24"/>
        </w:rPr>
        <w:t xml:space="preserve">There </w:t>
      </w:r>
      <w:r w:rsidR="00EE4C15">
        <w:rPr>
          <w:rFonts w:ascii="Times New Roman" w:hAnsi="Times New Roman"/>
          <w:sz w:val="24"/>
          <w:szCs w:val="24"/>
        </w:rPr>
        <w:t>are</w:t>
      </w:r>
      <w:r w:rsidRPr="00BD0FD5" w:rsidR="00705F66">
        <w:rPr>
          <w:rFonts w:ascii="Times New Roman" w:hAnsi="Times New Roman"/>
          <w:sz w:val="24"/>
          <w:szCs w:val="24"/>
        </w:rPr>
        <w:t xml:space="preserve"> </w:t>
      </w:r>
      <w:r w:rsidR="00EE4C15">
        <w:rPr>
          <w:rFonts w:ascii="Times New Roman" w:hAnsi="Times New Roman"/>
          <w:sz w:val="24"/>
          <w:szCs w:val="24"/>
        </w:rPr>
        <w:t>two</w:t>
      </w:r>
      <w:r w:rsidRPr="00BD0FD5">
        <w:rPr>
          <w:rFonts w:ascii="Times New Roman" w:hAnsi="Times New Roman"/>
          <w:sz w:val="24"/>
          <w:szCs w:val="24"/>
        </w:rPr>
        <w:t xml:space="preserve"> special circumstances as described in 5 CFR 1320.5(d)(2) related to this information collection.</w:t>
      </w:r>
    </w:p>
    <w:p w:rsidRPr="00BD0FD5" w:rsidR="00C60EDC" w:rsidP="00C60EDC" w:rsidRDefault="00C60EDC" w14:paraId="071F0D0E" w14:textId="77777777">
      <w:pPr>
        <w:spacing w:after="0" w:line="240" w:lineRule="auto"/>
        <w:rPr>
          <w:rFonts w:ascii="Times New Roman" w:hAnsi="Times New Roman"/>
          <w:sz w:val="24"/>
          <w:szCs w:val="24"/>
        </w:rPr>
      </w:pPr>
    </w:p>
    <w:p w:rsidRPr="00BD0FD5" w:rsidR="00C60EDC" w:rsidP="00C60EDC" w:rsidRDefault="000A441A" w14:paraId="4D448A82" w14:textId="3EAFE293">
      <w:pPr>
        <w:spacing w:after="0" w:line="240" w:lineRule="auto"/>
        <w:rPr>
          <w:rFonts w:ascii="Times New Roman" w:hAnsi="Times New Roman"/>
          <w:sz w:val="24"/>
          <w:szCs w:val="24"/>
        </w:rPr>
      </w:pPr>
      <w:r w:rsidRPr="00BD0FD5">
        <w:rPr>
          <w:rFonts w:ascii="Times New Roman" w:hAnsi="Times New Roman"/>
          <w:sz w:val="24"/>
          <w:szCs w:val="24"/>
        </w:rPr>
        <w:t>The data retention requirement in the Reliability Standard</w:t>
      </w:r>
      <w:r w:rsidR="00841DE0">
        <w:rPr>
          <w:rFonts w:ascii="Times New Roman" w:hAnsi="Times New Roman"/>
          <w:sz w:val="24"/>
          <w:szCs w:val="24"/>
        </w:rPr>
        <w:t>s</w:t>
      </w:r>
      <w:r w:rsidRPr="00BD0FD5">
        <w:rPr>
          <w:rFonts w:ascii="Times New Roman" w:hAnsi="Times New Roman"/>
          <w:sz w:val="24"/>
          <w:szCs w:val="24"/>
        </w:rPr>
        <w:t xml:space="preserve"> </w:t>
      </w:r>
      <w:r w:rsidRPr="00BD0FD5" w:rsidR="0056728B">
        <w:rPr>
          <w:rFonts w:ascii="Times New Roman" w:hAnsi="Times New Roman"/>
          <w:sz w:val="24"/>
          <w:szCs w:val="24"/>
        </w:rPr>
        <w:t xml:space="preserve">indicates that entities maintain data or evidence to show compliance with the requirements since the last audit.  Reliability audits are generally every three years, but </w:t>
      </w:r>
      <w:r w:rsidRPr="00BD0FD5" w:rsidR="00577CC7">
        <w:rPr>
          <w:rFonts w:ascii="Times New Roman" w:hAnsi="Times New Roman"/>
          <w:sz w:val="24"/>
          <w:szCs w:val="24"/>
        </w:rPr>
        <w:t>timing is such that they could</w:t>
      </w:r>
      <w:r w:rsidRPr="00BD0FD5" w:rsidR="0056728B">
        <w:rPr>
          <w:rFonts w:ascii="Times New Roman" w:hAnsi="Times New Roman"/>
          <w:sz w:val="24"/>
          <w:szCs w:val="24"/>
        </w:rPr>
        <w:t xml:space="preserve"> be more than three years</w:t>
      </w:r>
      <w:r w:rsidRPr="00BD0FD5" w:rsidR="00577CC7">
        <w:rPr>
          <w:rFonts w:ascii="Times New Roman" w:hAnsi="Times New Roman"/>
          <w:sz w:val="24"/>
          <w:szCs w:val="24"/>
        </w:rPr>
        <w:t xml:space="preserve"> apart</w:t>
      </w:r>
      <w:r w:rsidRPr="00BD0FD5" w:rsidR="0056728B">
        <w:rPr>
          <w:rFonts w:ascii="Times New Roman" w:hAnsi="Times New Roman"/>
          <w:sz w:val="24"/>
          <w:szCs w:val="24"/>
        </w:rPr>
        <w:t>.</w:t>
      </w:r>
    </w:p>
    <w:p w:rsidRPr="00BD0FD5" w:rsidR="00C60EDC" w:rsidP="00C60EDC" w:rsidRDefault="00C60EDC" w14:paraId="59826E73" w14:textId="77777777">
      <w:pPr>
        <w:spacing w:after="0" w:line="240" w:lineRule="auto"/>
        <w:rPr>
          <w:rFonts w:ascii="Times New Roman" w:hAnsi="Times New Roman"/>
          <w:sz w:val="24"/>
          <w:szCs w:val="24"/>
        </w:rPr>
      </w:pPr>
    </w:p>
    <w:p w:rsidR="000A441A" w:rsidP="00C60EDC" w:rsidRDefault="000A441A" w14:paraId="7BD407B7" w14:textId="77777777">
      <w:pPr>
        <w:spacing w:after="0" w:line="240" w:lineRule="auto"/>
        <w:rPr>
          <w:rFonts w:ascii="Times New Roman" w:hAnsi="Times New Roman"/>
          <w:sz w:val="24"/>
          <w:szCs w:val="24"/>
        </w:rPr>
      </w:pPr>
      <w:r w:rsidRPr="00BD0FD5">
        <w:rPr>
          <w:rFonts w:ascii="Times New Roman" w:hAnsi="Times New Roman"/>
          <w:sz w:val="24"/>
          <w:szCs w:val="24"/>
        </w:rPr>
        <w:t xml:space="preserve">This is the language adopted by the standards </w:t>
      </w:r>
      <w:r w:rsidRPr="00BD0FD5" w:rsidR="00DD0209">
        <w:rPr>
          <w:rFonts w:ascii="Times New Roman" w:hAnsi="Times New Roman"/>
          <w:sz w:val="24"/>
          <w:szCs w:val="24"/>
        </w:rPr>
        <w:t>draft</w:t>
      </w:r>
      <w:r w:rsidR="00DD0209">
        <w:rPr>
          <w:rFonts w:ascii="Times New Roman" w:hAnsi="Times New Roman"/>
          <w:sz w:val="24"/>
          <w:szCs w:val="24"/>
        </w:rPr>
        <w:t>ing</w:t>
      </w:r>
      <w:r w:rsidRPr="00BD0FD5" w:rsidR="00DD0209">
        <w:rPr>
          <w:rFonts w:ascii="Times New Roman" w:hAnsi="Times New Roman"/>
          <w:sz w:val="24"/>
          <w:szCs w:val="24"/>
        </w:rPr>
        <w:t xml:space="preserve"> </w:t>
      </w:r>
      <w:r w:rsidRPr="00BD0FD5">
        <w:rPr>
          <w:rFonts w:ascii="Times New Roman" w:hAnsi="Times New Roman"/>
          <w:sz w:val="24"/>
          <w:szCs w:val="24"/>
        </w:rPr>
        <w:t>team and approved by industry representatives during the balloting process.  As such, this is the data retention period deemed necessary for the reliability purposes contained in this standard.</w:t>
      </w:r>
    </w:p>
    <w:p w:rsidR="00EE4C15" w:rsidP="00C60EDC" w:rsidRDefault="00EE4C15" w14:paraId="103904CC" w14:textId="77777777">
      <w:pPr>
        <w:spacing w:after="0" w:line="240" w:lineRule="auto"/>
        <w:rPr>
          <w:rFonts w:ascii="Times New Roman" w:hAnsi="Times New Roman"/>
          <w:sz w:val="24"/>
          <w:szCs w:val="24"/>
        </w:rPr>
      </w:pPr>
    </w:p>
    <w:p w:rsidR="00EE4C15" w:rsidP="00C60EDC" w:rsidRDefault="00EE4C15" w14:paraId="7679CFC3" w14:textId="3288F876">
      <w:pPr>
        <w:spacing w:after="0" w:line="240" w:lineRule="auto"/>
        <w:rPr>
          <w:rFonts w:ascii="Times New Roman" w:hAnsi="Times New Roman"/>
          <w:sz w:val="24"/>
          <w:szCs w:val="24"/>
        </w:rPr>
      </w:pPr>
      <w:r>
        <w:rPr>
          <w:rFonts w:ascii="Times New Roman" w:hAnsi="Times New Roman"/>
          <w:sz w:val="24"/>
          <w:szCs w:val="24"/>
        </w:rPr>
        <w:lastRenderedPageBreak/>
        <w:t>The reporting requirement</w:t>
      </w:r>
      <w:r w:rsidR="007F0136">
        <w:rPr>
          <w:rFonts w:ascii="Times New Roman" w:hAnsi="Times New Roman"/>
          <w:sz w:val="24"/>
          <w:szCs w:val="24"/>
        </w:rPr>
        <w:t>s are</w:t>
      </w:r>
      <w:r>
        <w:rPr>
          <w:rFonts w:ascii="Times New Roman" w:hAnsi="Times New Roman"/>
          <w:sz w:val="24"/>
          <w:szCs w:val="24"/>
        </w:rPr>
        <w:t xml:space="preserve"> event driven, and as such, an entity may be required to report more often than quarterly.</w:t>
      </w:r>
      <w:r w:rsidR="00A03A01">
        <w:rPr>
          <w:rFonts w:ascii="Times New Roman" w:hAnsi="Times New Roman"/>
          <w:sz w:val="24"/>
          <w:szCs w:val="24"/>
        </w:rPr>
        <w:t xml:space="preserve">  NERC is responsible for ensuring the reliability of the bulk electric system.  </w:t>
      </w:r>
      <w:r w:rsidR="007F0136">
        <w:rPr>
          <w:rFonts w:ascii="Times New Roman" w:hAnsi="Times New Roman"/>
          <w:sz w:val="24"/>
          <w:szCs w:val="24"/>
        </w:rPr>
        <w:t>General statement</w:t>
      </w:r>
      <w:r w:rsidR="00A03A01">
        <w:rPr>
          <w:rFonts w:ascii="Times New Roman" w:hAnsi="Times New Roman"/>
          <w:sz w:val="24"/>
          <w:szCs w:val="24"/>
        </w:rPr>
        <w:t xml:space="preserve">.  </w:t>
      </w:r>
    </w:p>
    <w:p w:rsidR="00A03A01" w:rsidP="00C60EDC" w:rsidRDefault="00A03A01" w14:paraId="3A245AE2" w14:textId="77777777">
      <w:pPr>
        <w:spacing w:after="0" w:line="240" w:lineRule="auto"/>
        <w:rPr>
          <w:rFonts w:ascii="Times New Roman" w:hAnsi="Times New Roman"/>
          <w:sz w:val="24"/>
          <w:szCs w:val="24"/>
        </w:rPr>
      </w:pPr>
    </w:p>
    <w:p w:rsidR="00EB3E6F" w:rsidP="0092596C" w:rsidRDefault="00A03A01" w14:paraId="0E6F874B" w14:textId="036C4C75">
      <w:pPr>
        <w:spacing w:after="0" w:line="240" w:lineRule="auto"/>
        <w:rPr>
          <w:rFonts w:ascii="Times New Roman" w:hAnsi="Times New Roman" w:cs="Times New Roman"/>
          <w:sz w:val="26"/>
          <w:szCs w:val="26"/>
        </w:rPr>
      </w:pPr>
      <w:r w:rsidRPr="00A03A01">
        <w:rPr>
          <w:rFonts w:ascii="Times New Roman" w:hAnsi="Times New Roman"/>
          <w:sz w:val="24"/>
          <w:szCs w:val="24"/>
        </w:rPr>
        <w:t>Emergency electric incidents and disturbances leading to interruptions of power, such as rotating blackouts, could lead to disruptions of critical infrastructures</w:t>
      </w:r>
      <w:r>
        <w:rPr>
          <w:rFonts w:ascii="Times New Roman" w:hAnsi="Times New Roman"/>
          <w:sz w:val="24"/>
          <w:szCs w:val="24"/>
        </w:rPr>
        <w:t>.</w:t>
      </w:r>
      <w:r w:rsidRPr="00A03A01">
        <w:rPr>
          <w:rFonts w:ascii="Times New Roman" w:hAnsi="Times New Roman"/>
          <w:sz w:val="24"/>
          <w:szCs w:val="24"/>
        </w:rPr>
        <w:t xml:space="preserve"> </w:t>
      </w:r>
      <w:r>
        <w:rPr>
          <w:rFonts w:ascii="Times New Roman" w:hAnsi="Times New Roman"/>
          <w:sz w:val="24"/>
          <w:szCs w:val="24"/>
        </w:rPr>
        <w:t xml:space="preserve"> </w:t>
      </w:r>
      <w:r w:rsidRPr="00A03A01">
        <w:rPr>
          <w:rFonts w:ascii="Times New Roman" w:hAnsi="Times New Roman"/>
          <w:sz w:val="24"/>
          <w:szCs w:val="24"/>
        </w:rPr>
        <w:t>The national security, economic prosperity, and social wellbeing of the nation depends on the continuing reliability of our increasingly complex and interdependent infrastructures, the key one of which is electric power.</w:t>
      </w:r>
    </w:p>
    <w:p w:rsidR="00A03A01" w:rsidP="0092596C" w:rsidRDefault="00A03A01" w14:paraId="67A60529" w14:textId="77777777">
      <w:pPr>
        <w:spacing w:after="0" w:line="240" w:lineRule="auto"/>
        <w:rPr>
          <w:rFonts w:ascii="Times New Roman" w:hAnsi="Times New Roman" w:cs="Times New Roman"/>
          <w:sz w:val="26"/>
          <w:szCs w:val="26"/>
        </w:rPr>
      </w:pPr>
    </w:p>
    <w:p w:rsidR="00A03A01" w:rsidP="0092596C" w:rsidRDefault="00A03A01" w14:paraId="6720E995" w14:textId="14A1BBFD">
      <w:pPr>
        <w:spacing w:after="0" w:line="240" w:lineRule="auto"/>
        <w:rPr>
          <w:rFonts w:ascii="Times New Roman" w:hAnsi="Times New Roman" w:cs="Times New Roman"/>
          <w:sz w:val="26"/>
          <w:szCs w:val="26"/>
        </w:rPr>
      </w:pPr>
      <w:r>
        <w:rPr>
          <w:rFonts w:ascii="Times New Roman" w:hAnsi="Times New Roman" w:cs="Times New Roman"/>
          <w:sz w:val="26"/>
          <w:szCs w:val="26"/>
        </w:rPr>
        <w:t>For these reasons we consider the reporting requirement</w:t>
      </w:r>
      <w:r w:rsidR="007F0136">
        <w:rPr>
          <w:rFonts w:ascii="Times New Roman" w:hAnsi="Times New Roman" w:cs="Times New Roman"/>
          <w:sz w:val="26"/>
          <w:szCs w:val="26"/>
        </w:rPr>
        <w:t>s</w:t>
      </w:r>
      <w:r>
        <w:rPr>
          <w:rFonts w:ascii="Times New Roman" w:hAnsi="Times New Roman" w:cs="Times New Roman"/>
          <w:sz w:val="26"/>
          <w:szCs w:val="26"/>
        </w:rPr>
        <w:t xml:space="preserve"> necessary.</w:t>
      </w:r>
    </w:p>
    <w:p w:rsidRPr="00BD0FD5" w:rsidR="00A03A01" w:rsidP="0092596C" w:rsidRDefault="00A03A01" w14:paraId="74ADE459" w14:textId="77777777">
      <w:pPr>
        <w:spacing w:after="0" w:line="240" w:lineRule="auto"/>
        <w:rPr>
          <w:rFonts w:ascii="Times New Roman" w:hAnsi="Times New Roman" w:cs="Times New Roman"/>
          <w:sz w:val="24"/>
          <w:szCs w:val="24"/>
        </w:rPr>
      </w:pPr>
    </w:p>
    <w:p w:rsidRPr="00BD0FD5" w:rsidR="00EB3E6F" w:rsidP="0092596C" w:rsidRDefault="00EB3E6F" w14:paraId="4E1E27C3"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DESCRIBE EFFORTS TO CONSULT OUTSIDE THE AGENCY: SUMMARIZE PUBLIC COMMENTS AND THE AGENCY’S RESPONSE</w:t>
      </w:r>
    </w:p>
    <w:p w:rsidRPr="00BD0FD5" w:rsidR="00EB3E6F" w:rsidP="0092596C" w:rsidRDefault="00EB3E6F" w14:paraId="75E84060" w14:textId="77777777">
      <w:pPr>
        <w:spacing w:after="0" w:line="240" w:lineRule="auto"/>
        <w:rPr>
          <w:rFonts w:ascii="Times New Roman" w:hAnsi="Times New Roman" w:cs="Times New Roman"/>
          <w:sz w:val="24"/>
          <w:szCs w:val="24"/>
        </w:rPr>
      </w:pPr>
    </w:p>
    <w:p w:rsidRPr="0000315F" w:rsidR="0000315F" w:rsidP="0000315F" w:rsidRDefault="0000315F" w14:paraId="2A1EE4DA" w14:textId="77777777">
      <w:pPr>
        <w:autoSpaceDE w:val="0"/>
        <w:autoSpaceDN w:val="0"/>
        <w:adjustRightInd w:val="0"/>
        <w:spacing w:after="0" w:line="240" w:lineRule="auto"/>
        <w:rPr>
          <w:rFonts w:ascii="Times New Roman" w:hAnsi="Times New Roman" w:eastAsia="Times New Roman" w:cs="Times New Roman"/>
          <w:sz w:val="26"/>
          <w:szCs w:val="26"/>
        </w:rPr>
      </w:pPr>
      <w:r w:rsidRPr="0000315F">
        <w:rPr>
          <w:rFonts w:ascii="Times New Roman" w:hAnsi="Times New Roman" w:eastAsia="Times New Roman" w:cs="Times New Roman"/>
          <w:sz w:val="26"/>
          <w:szCs w:val="26"/>
        </w:rPr>
        <w:t>The Commission published a 60-day notice</w:t>
      </w:r>
      <w:r w:rsidRPr="0000315F">
        <w:rPr>
          <w:rFonts w:ascii="Times New Roman" w:hAnsi="Times New Roman" w:eastAsia="Times New Roman" w:cs="Times New Roman"/>
          <w:sz w:val="20"/>
          <w:szCs w:val="24"/>
          <w:vertAlign w:val="superscript"/>
        </w:rPr>
        <w:footnoteReference w:id="2"/>
      </w:r>
      <w:r w:rsidRPr="0000315F">
        <w:rPr>
          <w:rFonts w:ascii="Times New Roman" w:hAnsi="Times New Roman" w:eastAsia="Times New Roman" w:cs="Times New Roman"/>
          <w:sz w:val="26"/>
          <w:szCs w:val="26"/>
          <w:vertAlign w:val="superscript"/>
        </w:rPr>
        <w:t xml:space="preserve"> </w:t>
      </w:r>
      <w:r w:rsidRPr="0000315F">
        <w:rPr>
          <w:rFonts w:ascii="Times New Roman" w:hAnsi="Times New Roman" w:eastAsia="Times New Roman" w:cs="Times New Roman"/>
          <w:sz w:val="26"/>
          <w:szCs w:val="26"/>
        </w:rPr>
        <w:t xml:space="preserve">in Docket No. IC21-25 in the Federal Register requesting comments. No comments were received in response to the 60-day Notice.  </w:t>
      </w:r>
    </w:p>
    <w:p w:rsidRPr="0000315F" w:rsidR="0000315F" w:rsidP="0000315F" w:rsidRDefault="0000315F" w14:paraId="7E3E4074" w14:textId="77777777">
      <w:pPr>
        <w:autoSpaceDE w:val="0"/>
        <w:autoSpaceDN w:val="0"/>
        <w:adjustRightInd w:val="0"/>
        <w:spacing w:after="0" w:line="240" w:lineRule="auto"/>
        <w:rPr>
          <w:rFonts w:ascii="Times New Roman" w:hAnsi="Times New Roman" w:eastAsia="Times New Roman" w:cs="Times New Roman"/>
          <w:sz w:val="26"/>
          <w:szCs w:val="26"/>
        </w:rPr>
      </w:pPr>
    </w:p>
    <w:p w:rsidRPr="0000315F" w:rsidR="0000315F" w:rsidP="0000315F" w:rsidRDefault="0000315F" w14:paraId="353BAA5C" w14:textId="77777777">
      <w:pPr>
        <w:autoSpaceDE w:val="0"/>
        <w:autoSpaceDN w:val="0"/>
        <w:adjustRightInd w:val="0"/>
        <w:spacing w:after="0" w:line="240" w:lineRule="auto"/>
        <w:rPr>
          <w:rFonts w:ascii="Times New Roman" w:hAnsi="Times New Roman" w:eastAsia="Times New Roman" w:cs="Times New Roman"/>
          <w:sz w:val="26"/>
          <w:szCs w:val="26"/>
        </w:rPr>
      </w:pPr>
      <w:r w:rsidRPr="0000315F">
        <w:rPr>
          <w:rFonts w:ascii="Times New Roman" w:hAnsi="Times New Roman" w:eastAsia="Times New Roman" w:cs="Times New Roman"/>
          <w:sz w:val="26"/>
          <w:szCs w:val="26"/>
        </w:rPr>
        <w:t>In addition, the Commission is publishing a 30-day Notice in the Federal Register</w:t>
      </w:r>
      <w:r w:rsidRPr="0000315F">
        <w:rPr>
          <w:rFonts w:ascii="Times New Roman" w:hAnsi="Times New Roman" w:eastAsia="Times New Roman" w:cs="Times New Roman"/>
          <w:b/>
          <w:sz w:val="26"/>
          <w:szCs w:val="26"/>
          <w:vertAlign w:val="superscript"/>
        </w:rPr>
        <w:footnoteReference w:id="3"/>
      </w:r>
      <w:r w:rsidRPr="0000315F">
        <w:rPr>
          <w:rFonts w:ascii="Times New Roman" w:hAnsi="Times New Roman" w:eastAsia="Times New Roman" w:cs="Times New Roman"/>
          <w:sz w:val="26"/>
          <w:szCs w:val="26"/>
        </w:rPr>
        <w:t>.</w:t>
      </w:r>
    </w:p>
    <w:p w:rsidRPr="00BD0FD5" w:rsidR="0030268B" w:rsidP="0092596C" w:rsidRDefault="0030268B" w14:paraId="6FDC3008" w14:textId="77777777">
      <w:pPr>
        <w:spacing w:after="0" w:line="240" w:lineRule="auto"/>
        <w:rPr>
          <w:rFonts w:ascii="Times New Roman" w:hAnsi="Times New Roman"/>
          <w:sz w:val="24"/>
          <w:szCs w:val="24"/>
        </w:rPr>
      </w:pPr>
    </w:p>
    <w:p w:rsidRPr="00BD0FD5" w:rsidR="0030268B" w:rsidRDefault="0030268B" w14:paraId="4D0EED59" w14:textId="6CBDE7A3">
      <w:pPr>
        <w:spacing w:after="0" w:line="240" w:lineRule="auto"/>
        <w:rPr>
          <w:rFonts w:ascii="Times New Roman" w:hAnsi="Times New Roman"/>
          <w:bCs/>
          <w:sz w:val="24"/>
          <w:szCs w:val="24"/>
        </w:rPr>
      </w:pPr>
    </w:p>
    <w:p w:rsidRPr="00BD0FD5" w:rsidR="00EB3E6F" w:rsidP="0092596C" w:rsidRDefault="00EB3E6F" w14:paraId="50B43B4F" w14:textId="77777777">
      <w:pPr>
        <w:spacing w:after="0" w:line="240" w:lineRule="auto"/>
        <w:rPr>
          <w:rFonts w:ascii="Times New Roman" w:hAnsi="Times New Roman" w:cs="Times New Roman"/>
          <w:sz w:val="24"/>
          <w:szCs w:val="24"/>
        </w:rPr>
      </w:pPr>
    </w:p>
    <w:p w:rsidRPr="00BD0FD5" w:rsidR="00EB3E6F" w:rsidP="0092596C" w:rsidRDefault="00D80FBD" w14:paraId="2D54320C"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EXPLAIN ANY PAYMENT OR GIFTS TO RESPONDENTS</w:t>
      </w:r>
    </w:p>
    <w:p w:rsidRPr="00BD0FD5" w:rsidR="00D80FBD" w:rsidP="0092596C" w:rsidRDefault="00D80FBD" w14:paraId="1210C2DD" w14:textId="77777777">
      <w:pPr>
        <w:spacing w:after="0" w:line="240" w:lineRule="auto"/>
        <w:rPr>
          <w:rFonts w:ascii="Times New Roman" w:hAnsi="Times New Roman" w:cs="Times New Roman"/>
          <w:sz w:val="24"/>
          <w:szCs w:val="24"/>
        </w:rPr>
      </w:pPr>
    </w:p>
    <w:p w:rsidRPr="00BD0FD5" w:rsidR="0072126E" w:rsidP="0092596C" w:rsidRDefault="0072126E" w14:paraId="28105D39" w14:textId="77777777">
      <w:pPr>
        <w:spacing w:after="0" w:line="240" w:lineRule="auto"/>
        <w:rPr>
          <w:rFonts w:ascii="Times New Roman" w:hAnsi="Times New Roman"/>
          <w:sz w:val="24"/>
          <w:szCs w:val="24"/>
        </w:rPr>
      </w:pPr>
      <w:r w:rsidRPr="00BD0FD5">
        <w:rPr>
          <w:rFonts w:ascii="Times New Roman" w:hAnsi="Times New Roman"/>
          <w:sz w:val="24"/>
          <w:szCs w:val="24"/>
        </w:rPr>
        <w:t>The Commission does not make payments or provide gifts for respondents related to this collection.</w:t>
      </w:r>
    </w:p>
    <w:p w:rsidRPr="00BD0FD5" w:rsidR="00D80FBD" w:rsidP="0092596C" w:rsidRDefault="00D80FBD" w14:paraId="16D50B62" w14:textId="77777777">
      <w:pPr>
        <w:spacing w:after="0" w:line="240" w:lineRule="auto"/>
        <w:rPr>
          <w:rFonts w:ascii="Times New Roman" w:hAnsi="Times New Roman" w:cs="Times New Roman"/>
          <w:sz w:val="24"/>
          <w:szCs w:val="24"/>
        </w:rPr>
      </w:pPr>
    </w:p>
    <w:p w:rsidRPr="00BD0FD5" w:rsidR="00D80FBD" w:rsidP="0092596C" w:rsidRDefault="00D80FBD" w14:paraId="06226082"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DESCRIBE ANY ASSURANCE OF CONFIDENTIALITY PROVIDED TO RESPONDENTS</w:t>
      </w:r>
    </w:p>
    <w:p w:rsidRPr="00BD0FD5" w:rsidR="00182858" w:rsidP="0092596C" w:rsidRDefault="00182858" w14:paraId="6FDD0DA7" w14:textId="77777777">
      <w:pPr>
        <w:spacing w:after="0" w:line="240" w:lineRule="auto"/>
        <w:rPr>
          <w:rFonts w:ascii="Times New Roman" w:hAnsi="Times New Roman" w:cs="Times New Roman"/>
          <w:sz w:val="24"/>
          <w:szCs w:val="24"/>
        </w:rPr>
      </w:pPr>
    </w:p>
    <w:p w:rsidRPr="00BD0FD5" w:rsidR="00D80FBD" w:rsidP="0092596C" w:rsidRDefault="004552E9" w14:paraId="0E61A2E0" w14:textId="7777777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There are no specific assurances of confidentiality mentioned to respondents.</w:t>
      </w:r>
    </w:p>
    <w:p w:rsidRPr="00BD0FD5" w:rsidR="00D80FBD" w:rsidP="0092596C" w:rsidRDefault="00D80FBD" w14:paraId="52B231BB" w14:textId="77777777">
      <w:pPr>
        <w:spacing w:after="0" w:line="240" w:lineRule="auto"/>
        <w:rPr>
          <w:rFonts w:ascii="Times New Roman" w:hAnsi="Times New Roman" w:cs="Times New Roman"/>
          <w:sz w:val="24"/>
          <w:szCs w:val="24"/>
        </w:rPr>
      </w:pPr>
    </w:p>
    <w:p w:rsidRPr="00BD0FD5" w:rsidR="00D80FBD" w:rsidP="0092596C" w:rsidRDefault="00D80FBD" w14:paraId="192AC248"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PROVIDE ADDITIONAL JUSTIFICATION FOR ANY QUESTIONS OF A SENSITIVE NATURE</w:t>
      </w:r>
    </w:p>
    <w:p w:rsidRPr="00BD0FD5" w:rsidR="00D80FBD" w:rsidP="0092596C" w:rsidRDefault="00D80FBD" w14:paraId="186BF47D" w14:textId="77777777">
      <w:pPr>
        <w:spacing w:after="0" w:line="240" w:lineRule="auto"/>
        <w:rPr>
          <w:rFonts w:ascii="Times New Roman" w:hAnsi="Times New Roman" w:cs="Times New Roman"/>
          <w:sz w:val="24"/>
          <w:szCs w:val="24"/>
        </w:rPr>
      </w:pPr>
    </w:p>
    <w:p w:rsidRPr="00BD0FD5" w:rsidR="00A4336A" w:rsidP="0092596C" w:rsidRDefault="00A4336A" w14:paraId="008F18F6" w14:textId="77777777">
      <w:pPr>
        <w:spacing w:after="0" w:line="240" w:lineRule="auto"/>
        <w:rPr>
          <w:rFonts w:ascii="Times New Roman" w:hAnsi="Times New Roman"/>
          <w:sz w:val="24"/>
          <w:szCs w:val="24"/>
        </w:rPr>
      </w:pPr>
      <w:r w:rsidRPr="00BD0FD5">
        <w:rPr>
          <w:rFonts w:ascii="Times New Roman" w:hAnsi="Times New Roman"/>
          <w:sz w:val="24"/>
          <w:szCs w:val="24"/>
        </w:rPr>
        <w:t>This collection does not include any questions of a sensitive nature.</w:t>
      </w:r>
    </w:p>
    <w:p w:rsidRPr="00BD0FD5" w:rsidR="00D80FBD" w:rsidP="0092596C" w:rsidRDefault="00D80FBD" w14:paraId="0CBD35AA" w14:textId="77777777">
      <w:pPr>
        <w:spacing w:after="0" w:line="240" w:lineRule="auto"/>
        <w:rPr>
          <w:rFonts w:ascii="Times New Roman" w:hAnsi="Times New Roman" w:cs="Times New Roman"/>
          <w:sz w:val="24"/>
          <w:szCs w:val="24"/>
        </w:rPr>
      </w:pPr>
    </w:p>
    <w:p w:rsidR="00D80FBD" w:rsidP="0092596C" w:rsidRDefault="00D80FBD" w14:paraId="51C07940" w14:textId="672B190B">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ESTIMATED BURDEN OF COLLECTION OF INFORMATION</w:t>
      </w:r>
    </w:p>
    <w:p w:rsidRPr="009234F6" w:rsidR="009234F6" w:rsidP="009234F6" w:rsidRDefault="009234F6" w14:paraId="20DC6BC7" w14:textId="77777777">
      <w:pPr>
        <w:spacing w:after="0" w:line="240" w:lineRule="auto"/>
        <w:rPr>
          <w:rFonts w:ascii="Times New Roman" w:hAnsi="Times New Roman" w:cs="Times New Roman"/>
          <w:b/>
          <w:bCs/>
          <w:sz w:val="24"/>
          <w:szCs w:val="24"/>
        </w:rPr>
      </w:pPr>
    </w:p>
    <w:p w:rsidR="009234F6" w:rsidP="009234F6" w:rsidRDefault="009234F6" w14:paraId="431F85E3" w14:textId="7C133FF7">
      <w:pPr>
        <w:spacing w:after="0" w:line="240" w:lineRule="auto"/>
        <w:rPr>
          <w:rFonts w:ascii="Times New Roman" w:hAnsi="Times New Roman" w:cs="Times New Roman"/>
          <w:sz w:val="24"/>
          <w:szCs w:val="24"/>
        </w:rPr>
      </w:pPr>
      <w:r w:rsidRPr="00B862DA">
        <w:rPr>
          <w:rFonts w:ascii="Times New Roman" w:hAnsi="Times New Roman" w:cs="Times New Roman"/>
          <w:sz w:val="24"/>
          <w:szCs w:val="24"/>
        </w:rPr>
        <w:t xml:space="preserve">On February 19, 2021, NERC filed a petition seeking approval of proposed Reliability Standard FAC-008-5.  NERC states that proposed Reliability Standard FAC-008-5 reflects the retirement of Requirement R7 of the currently effective standard.  NERC notes that this proposal was recommended following the first phase of work under the NERC Standards Efficiency Review </w:t>
      </w:r>
      <w:r w:rsidRPr="00B862DA">
        <w:rPr>
          <w:rFonts w:ascii="Times New Roman" w:hAnsi="Times New Roman" w:cs="Times New Roman"/>
          <w:sz w:val="24"/>
          <w:szCs w:val="24"/>
        </w:rPr>
        <w:lastRenderedPageBreak/>
        <w:t>and that in its Order No. 873 remanding a previously proposed version of the FAC-008 Reliability Standard, the Commission agreed that the retirement of Requirement R7 from the standard would not result in a reliability gap.</w:t>
      </w:r>
    </w:p>
    <w:p w:rsidRPr="00B862DA" w:rsidR="00AE205C" w:rsidP="009234F6" w:rsidRDefault="00AE205C" w14:paraId="0989CFA2" w14:textId="77777777">
      <w:pPr>
        <w:spacing w:after="0" w:line="240" w:lineRule="auto"/>
        <w:rPr>
          <w:rFonts w:ascii="Times New Roman" w:hAnsi="Times New Roman" w:cs="Times New Roman"/>
          <w:sz w:val="24"/>
          <w:szCs w:val="24"/>
        </w:rPr>
      </w:pPr>
    </w:p>
    <w:p w:rsidR="009234F6" w:rsidP="009234F6" w:rsidRDefault="009234F6" w14:paraId="2B603214" w14:textId="06EF38B8">
      <w:pPr>
        <w:spacing w:after="0" w:line="240" w:lineRule="auto"/>
        <w:rPr>
          <w:rFonts w:ascii="Times New Roman" w:hAnsi="Times New Roman" w:cs="Times New Roman"/>
          <w:sz w:val="24"/>
          <w:szCs w:val="24"/>
        </w:rPr>
      </w:pPr>
      <w:r w:rsidRPr="00B862DA">
        <w:rPr>
          <w:rFonts w:ascii="Times New Roman" w:hAnsi="Times New Roman" w:cs="Times New Roman"/>
          <w:sz w:val="24"/>
          <w:szCs w:val="24"/>
        </w:rPr>
        <w:t xml:space="preserve">In June 2019, following the conclusion of the standard development process, NERC submitted a series of standard retirement proposals to the Commission.  Among the proposals, NERC submitted for Commission approval proposed Reliability Standard FAC-008-4, in which NERC proposed to retire Requirements R7 and R8 of currently effective Reliability Standard FAC-008-3.  In September 2020, the Commission issued Order No. 873 regarding NERC’s retirement proposals.  In this order, the Commission remanded proposed Reliability Standard FAC-008-4 to NERC for further consideration, citing concerns with the proposed retirement of Requirement R8 of the currently effective standard.  The standard drafting team determined to develop a new version of the Reliability Standard, proposed Reliability Standard FAC-008-5, in which only Requirement R7 of the currently effective standard would be proposed for retirement.  Reliability Standard FAC-008-5 Requirement R7 requires Generator Owners and Transmission Owners to provide certain information to requesting Reliability Coordinator(s), Planning Coordinator(s), Transmission Planner(s), Transmission Owner(s), and Transmission Operator(s) regarding their Facilities, as follows: </w:t>
      </w:r>
    </w:p>
    <w:p w:rsidRPr="00B862DA" w:rsidR="00AE205C" w:rsidP="009234F6" w:rsidRDefault="00AE205C" w14:paraId="225FAD88" w14:textId="77777777">
      <w:pPr>
        <w:spacing w:after="0" w:line="240" w:lineRule="auto"/>
        <w:rPr>
          <w:rFonts w:ascii="Times New Roman" w:hAnsi="Times New Roman" w:cs="Times New Roman"/>
          <w:sz w:val="24"/>
          <w:szCs w:val="24"/>
        </w:rPr>
      </w:pPr>
    </w:p>
    <w:p w:rsidR="009234F6" w:rsidP="009234F6" w:rsidRDefault="009234F6" w14:paraId="246DF03A" w14:textId="4B910735">
      <w:pPr>
        <w:spacing w:after="0" w:line="240" w:lineRule="auto"/>
        <w:rPr>
          <w:rFonts w:ascii="Times New Roman" w:hAnsi="Times New Roman" w:cs="Times New Roman"/>
          <w:i/>
          <w:iCs/>
          <w:sz w:val="24"/>
          <w:szCs w:val="24"/>
        </w:rPr>
      </w:pPr>
      <w:r w:rsidRPr="00B862DA">
        <w:rPr>
          <w:rFonts w:ascii="Times New Roman" w:hAnsi="Times New Roman" w:cs="Times New Roman"/>
          <w:i/>
          <w:iCs/>
          <w:sz w:val="24"/>
          <w:szCs w:val="24"/>
        </w:rPr>
        <w:t xml:space="preserve">R7. Each Generator Owner shall provide Facility Ratings (for its solely and jointly owned Facilities that are existing Facilities, new Facilities, modifications to existing Facilities and re-ratings of existing Facilities) to its associated Reliability Coordinator(s), Planning Coordinator(s), Transmission Planner(s), Transmission Owner(s) and Transmission Operator(s) as scheduled by such requesting entities. </w:t>
      </w:r>
    </w:p>
    <w:p w:rsidRPr="00B862DA" w:rsidR="00AE205C" w:rsidP="009234F6" w:rsidRDefault="00AE205C" w14:paraId="15CE5D10" w14:textId="77777777">
      <w:pPr>
        <w:spacing w:after="0" w:line="240" w:lineRule="auto"/>
        <w:rPr>
          <w:rFonts w:ascii="Times New Roman" w:hAnsi="Times New Roman" w:cs="Times New Roman"/>
          <w:i/>
          <w:iCs/>
          <w:sz w:val="24"/>
          <w:szCs w:val="24"/>
        </w:rPr>
      </w:pPr>
    </w:p>
    <w:p w:rsidR="009234F6" w:rsidP="009234F6" w:rsidRDefault="009234F6" w14:paraId="28A59513" w14:textId="28D4FC5D">
      <w:pPr>
        <w:spacing w:after="0" w:line="240" w:lineRule="auto"/>
        <w:rPr>
          <w:rFonts w:ascii="Times New Roman" w:hAnsi="Times New Roman" w:cs="Times New Roman"/>
          <w:sz w:val="24"/>
          <w:szCs w:val="24"/>
        </w:rPr>
      </w:pPr>
      <w:r w:rsidRPr="00B862DA">
        <w:rPr>
          <w:rFonts w:ascii="Times New Roman" w:hAnsi="Times New Roman" w:cs="Times New Roman"/>
          <w:sz w:val="24"/>
          <w:szCs w:val="24"/>
        </w:rPr>
        <w:t>In the years since Reliability Standard FAC-008-5 was developed, NERC has developed other Reliability Standards that render the data provision obligations of Requirement R7 redundant., Requirement R1 of Reliability Standard TOP-003-3 – Operational Reliability Data requires the Transmission Operator to maintain a documented data specification (Requirement R1) and for the Transmission Owner and Generator Owner to provide the requested data (Requirement R5).</w:t>
      </w:r>
    </w:p>
    <w:p w:rsidRPr="00B862DA" w:rsidR="00AE205C" w:rsidP="009234F6" w:rsidRDefault="00AE205C" w14:paraId="0DE2558D" w14:textId="77777777">
      <w:pPr>
        <w:spacing w:after="0" w:line="240" w:lineRule="auto"/>
        <w:rPr>
          <w:rFonts w:ascii="Times New Roman" w:hAnsi="Times New Roman" w:cs="Times New Roman"/>
          <w:sz w:val="24"/>
          <w:szCs w:val="24"/>
        </w:rPr>
      </w:pPr>
    </w:p>
    <w:p w:rsidRPr="00B862DA" w:rsidR="009234F6" w:rsidP="009234F6" w:rsidRDefault="009234F6" w14:paraId="7354AFA0" w14:textId="77777777">
      <w:pPr>
        <w:spacing w:after="0" w:line="240" w:lineRule="auto"/>
        <w:rPr>
          <w:rFonts w:ascii="Times New Roman" w:hAnsi="Times New Roman" w:cs="Times New Roman"/>
          <w:i/>
          <w:sz w:val="24"/>
          <w:szCs w:val="24"/>
        </w:rPr>
      </w:pPr>
      <w:r w:rsidRPr="00B862DA">
        <w:rPr>
          <w:rFonts w:ascii="Times New Roman" w:hAnsi="Times New Roman" w:cs="Times New Roman"/>
          <w:i/>
          <w:sz w:val="24"/>
          <w:szCs w:val="24"/>
        </w:rPr>
        <w:t>Estimate of Annual Burden</w:t>
      </w:r>
      <w:r w:rsidRPr="00B862DA">
        <w:rPr>
          <w:rFonts w:ascii="Times New Roman" w:hAnsi="Times New Roman" w:cs="Times New Roman"/>
          <w:i/>
          <w:sz w:val="24"/>
          <w:szCs w:val="24"/>
          <w:vertAlign w:val="superscript"/>
        </w:rPr>
        <w:footnoteReference w:id="4"/>
      </w:r>
      <w:r w:rsidRPr="00B862DA">
        <w:rPr>
          <w:rFonts w:ascii="Times New Roman" w:hAnsi="Times New Roman" w:cs="Times New Roman"/>
          <w:i/>
          <w:sz w:val="24"/>
          <w:szCs w:val="24"/>
        </w:rPr>
        <w:t xml:space="preserve">: </w:t>
      </w:r>
      <w:r w:rsidRPr="00B862DA">
        <w:rPr>
          <w:rFonts w:ascii="Times New Roman" w:hAnsi="Times New Roman" w:cs="Times New Roman"/>
          <w:sz w:val="24"/>
          <w:szCs w:val="24"/>
        </w:rPr>
        <w:t>The Commission estimates the burden and cost</w:t>
      </w:r>
      <w:r w:rsidRPr="00B862DA">
        <w:rPr>
          <w:rFonts w:ascii="Times New Roman" w:hAnsi="Times New Roman" w:cs="Times New Roman"/>
          <w:sz w:val="24"/>
          <w:szCs w:val="24"/>
          <w:vertAlign w:val="superscript"/>
        </w:rPr>
        <w:footnoteReference w:id="5"/>
      </w:r>
      <w:r w:rsidRPr="00B862DA">
        <w:rPr>
          <w:rFonts w:ascii="Times New Roman" w:hAnsi="Times New Roman" w:cs="Times New Roman"/>
          <w:sz w:val="24"/>
          <w:szCs w:val="24"/>
        </w:rPr>
        <w:t xml:space="preserve"> for this information collection as follows.</w:t>
      </w:r>
      <w:r w:rsidRPr="00B862DA">
        <w:rPr>
          <w:rFonts w:ascii="Times New Roman" w:hAnsi="Times New Roman" w:cs="Times New Roman"/>
          <w:i/>
          <w:sz w:val="24"/>
          <w:szCs w:val="24"/>
        </w:rPr>
        <w:t xml:space="preserve"> </w:t>
      </w:r>
    </w:p>
    <w:p w:rsidRPr="00B862DA" w:rsidR="009234F6" w:rsidP="00B862DA" w:rsidRDefault="009234F6" w14:paraId="725D4E7E" w14:textId="77777777">
      <w:pPr>
        <w:spacing w:after="0" w:line="240" w:lineRule="auto"/>
        <w:rPr>
          <w:rFonts w:ascii="Times New Roman" w:hAnsi="Times New Roman" w:cs="Times New Roman"/>
          <w:sz w:val="24"/>
          <w:szCs w:val="24"/>
        </w:rPr>
      </w:pPr>
    </w:p>
    <w:p w:rsidRPr="009234F6" w:rsidR="009234F6" w:rsidP="009234F6" w:rsidRDefault="009234F6" w14:paraId="1875FF2A" w14:textId="77777777">
      <w:pPr>
        <w:spacing w:after="0" w:line="240" w:lineRule="auto"/>
        <w:rPr>
          <w:rFonts w:ascii="Times New Roman" w:hAnsi="Times New Roman" w:cs="Times New Roman"/>
          <w:i/>
          <w:sz w:val="24"/>
          <w:szCs w:val="24"/>
        </w:rPr>
      </w:pPr>
    </w:p>
    <w:tbl>
      <w:tblPr>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01"/>
        <w:gridCol w:w="1370"/>
        <w:gridCol w:w="1261"/>
        <w:gridCol w:w="1261"/>
        <w:gridCol w:w="1351"/>
        <w:gridCol w:w="2161"/>
      </w:tblGrid>
      <w:tr w:rsidRPr="009234F6" w:rsidR="009234F6" w:rsidTr="009234F6" w14:paraId="1AF5B647" w14:textId="77777777">
        <w:trPr>
          <w:cantSplit/>
          <w:trHeight w:val="299"/>
          <w:jc w:val="center"/>
        </w:trPr>
        <w:tc>
          <w:tcPr>
            <w:tcW w:w="9005"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tcPr>
          <w:tbl>
            <w:tblPr>
              <w:tblW w:w="9089" w:type="dxa"/>
              <w:jc w:val="center"/>
              <w:tblLayout w:type="fixed"/>
              <w:tblCellMar>
                <w:left w:w="0" w:type="dxa"/>
                <w:right w:w="0" w:type="dxa"/>
              </w:tblCellMar>
              <w:tblLook w:val="04A0" w:firstRow="1" w:lastRow="0" w:firstColumn="1" w:lastColumn="0" w:noHBand="0" w:noVBand="1"/>
            </w:tblPr>
            <w:tblGrid>
              <w:gridCol w:w="1686"/>
              <w:gridCol w:w="1370"/>
              <w:gridCol w:w="1261"/>
              <w:gridCol w:w="1261"/>
              <w:gridCol w:w="1351"/>
              <w:gridCol w:w="2160"/>
            </w:tblGrid>
            <w:tr w:rsidRPr="009234F6" w:rsidR="009234F6" w:rsidTr="009234F6" w14:paraId="24D8A6F4" w14:textId="77777777">
              <w:trPr>
                <w:cantSplit/>
                <w:trHeight w:val="800"/>
                <w:jc w:val="center"/>
              </w:trPr>
              <w:tc>
                <w:tcPr>
                  <w:tcW w:w="9089" w:type="dxa"/>
                  <w:gridSpan w:val="6"/>
                  <w:tcBorders>
                    <w:top w:val="single" w:color="auto" w:sz="8" w:space="0"/>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hideMark/>
                </w:tcPr>
                <w:p w:rsidRPr="009234F6" w:rsidR="009234F6" w:rsidP="009234F6" w:rsidRDefault="009234F6" w14:paraId="01CA9DFE"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lastRenderedPageBreak/>
                    <w:t>Proposed Changes to Burden Due to Docket No. RD21-4-000</w:t>
                  </w:r>
                </w:p>
                <w:p w:rsidRPr="009234F6" w:rsidR="009234F6" w:rsidP="009234F6" w:rsidRDefault="009234F6" w14:paraId="551BC16F"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Adjustments and Clarifications</w:t>
                  </w:r>
                </w:p>
              </w:tc>
            </w:tr>
            <w:tr w:rsidRPr="009234F6" w:rsidR="009234F6" w:rsidTr="009234F6" w14:paraId="69404D09" w14:textId="77777777">
              <w:trPr>
                <w:cantSplit/>
                <w:trHeight w:val="744"/>
                <w:jc w:val="center"/>
              </w:trPr>
              <w:tc>
                <w:tcPr>
                  <w:tcW w:w="1686" w:type="dxa"/>
                  <w:tcBorders>
                    <w:top w:val="nil"/>
                    <w:left w:val="single" w:color="auto" w:sz="8" w:space="0"/>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234F6" w:rsidR="009234F6" w:rsidP="009234F6" w:rsidRDefault="009234F6" w14:paraId="2689B123"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 xml:space="preserve">Reliability Standard &amp; Requirements </w:t>
                  </w:r>
                </w:p>
              </w:tc>
              <w:tc>
                <w:tcPr>
                  <w:tcW w:w="1370"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234F6" w:rsidR="009234F6" w:rsidP="009234F6" w:rsidRDefault="009234F6" w14:paraId="0B5D6508"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No. of Respondents &amp; Type of Entity</w:t>
                  </w:r>
                </w:p>
                <w:p w:rsidRPr="009234F6" w:rsidR="009234F6" w:rsidP="009234F6" w:rsidRDefault="009234F6" w14:paraId="18F9AB2A"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(1)</w:t>
                  </w:r>
                </w:p>
              </w:tc>
              <w:tc>
                <w:tcPr>
                  <w:tcW w:w="1261"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234F6" w:rsidR="009234F6" w:rsidP="009234F6" w:rsidRDefault="009234F6" w14:paraId="3D283A22"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Annual No. of Responses per Respondent</w:t>
                  </w:r>
                </w:p>
                <w:p w:rsidRPr="009234F6" w:rsidR="009234F6" w:rsidP="009234F6" w:rsidRDefault="009234F6" w14:paraId="4B4AF5F4"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(2)</w:t>
                  </w:r>
                </w:p>
              </w:tc>
              <w:tc>
                <w:tcPr>
                  <w:tcW w:w="1261"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234F6" w:rsidR="009234F6" w:rsidP="009234F6" w:rsidRDefault="009234F6" w14:paraId="15CA760C"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Annual No. of Responses</w:t>
                  </w:r>
                </w:p>
                <w:p w:rsidRPr="009234F6" w:rsidR="009234F6" w:rsidP="009234F6" w:rsidRDefault="009234F6" w14:paraId="131F6D20"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(1)*(2)=(3)</w:t>
                  </w:r>
                </w:p>
              </w:tc>
              <w:tc>
                <w:tcPr>
                  <w:tcW w:w="1351"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234F6" w:rsidR="009234F6" w:rsidP="009234F6" w:rsidRDefault="009234F6" w14:paraId="37AA1208"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Average Burden Hrs.</w:t>
                  </w:r>
                  <w:r w:rsidRPr="009234F6">
                    <w:rPr>
                      <w:rFonts w:ascii="Times New Roman" w:hAnsi="Times New Roman" w:cs="Times New Roman"/>
                      <w:b/>
                      <w:bCs/>
                      <w:iCs/>
                      <w:sz w:val="24"/>
                      <w:szCs w:val="24"/>
                      <w:vertAlign w:val="superscript"/>
                    </w:rPr>
                    <w:t xml:space="preserve"> </w:t>
                  </w:r>
                  <w:r w:rsidRPr="009234F6">
                    <w:rPr>
                      <w:rFonts w:ascii="Times New Roman" w:hAnsi="Times New Roman" w:cs="Times New Roman"/>
                      <w:b/>
                      <w:bCs/>
                      <w:iCs/>
                      <w:sz w:val="24"/>
                      <w:szCs w:val="24"/>
                    </w:rPr>
                    <w:t xml:space="preserve">Per Response </w:t>
                  </w:r>
                </w:p>
                <w:p w:rsidRPr="009234F6" w:rsidR="009234F6" w:rsidP="009234F6" w:rsidRDefault="009234F6" w14:paraId="12829998"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(4)</w:t>
                  </w:r>
                </w:p>
              </w:tc>
              <w:tc>
                <w:tcPr>
                  <w:tcW w:w="2160" w:type="dxa"/>
                  <w:tcBorders>
                    <w:top w:val="nil"/>
                    <w:left w:val="nil"/>
                    <w:bottom w:val="single" w:color="auto" w:sz="8" w:space="0"/>
                    <w:right w:val="single" w:color="auto" w:sz="8" w:space="0"/>
                  </w:tcBorders>
                  <w:shd w:val="clear" w:color="auto" w:fill="BFBFBF" w:themeFill="background1" w:themeFillShade="BF"/>
                  <w:tcMar>
                    <w:top w:w="0" w:type="dxa"/>
                    <w:left w:w="108" w:type="dxa"/>
                    <w:bottom w:w="0" w:type="dxa"/>
                    <w:right w:w="108" w:type="dxa"/>
                  </w:tcMar>
                  <w:vAlign w:val="bottom"/>
                  <w:hideMark/>
                </w:tcPr>
                <w:p w:rsidRPr="009234F6" w:rsidR="009234F6" w:rsidP="009234F6" w:rsidRDefault="009234F6" w14:paraId="374B2A25"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 xml:space="preserve">Total Annual Burden Hours </w:t>
                  </w:r>
                </w:p>
                <w:p w:rsidRPr="009234F6" w:rsidR="009234F6" w:rsidP="009234F6" w:rsidRDefault="009234F6" w14:paraId="599CA3AF" w14:textId="77777777">
                  <w:pPr>
                    <w:spacing w:after="0" w:line="240" w:lineRule="auto"/>
                    <w:rPr>
                      <w:rFonts w:ascii="Times New Roman" w:hAnsi="Times New Roman" w:cs="Times New Roman"/>
                      <w:b/>
                      <w:bCs/>
                      <w:iCs/>
                      <w:sz w:val="24"/>
                      <w:szCs w:val="24"/>
                    </w:rPr>
                  </w:pPr>
                  <w:r w:rsidRPr="009234F6">
                    <w:rPr>
                      <w:rFonts w:ascii="Times New Roman" w:hAnsi="Times New Roman" w:cs="Times New Roman"/>
                      <w:b/>
                      <w:bCs/>
                      <w:iCs/>
                      <w:sz w:val="24"/>
                      <w:szCs w:val="24"/>
                    </w:rPr>
                    <w:t>(3)*(4)=(5)</w:t>
                  </w:r>
                </w:p>
              </w:tc>
            </w:tr>
          </w:tbl>
          <w:p w:rsidRPr="009234F6" w:rsidR="009234F6" w:rsidP="009234F6" w:rsidRDefault="009234F6" w14:paraId="62D831A7" w14:textId="77777777">
            <w:pPr>
              <w:spacing w:after="0" w:line="240" w:lineRule="auto"/>
              <w:rPr>
                <w:rFonts w:ascii="Times New Roman" w:hAnsi="Times New Roman" w:cs="Times New Roman"/>
                <w:b/>
                <w:bCs/>
                <w:iCs/>
                <w:sz w:val="24"/>
                <w:szCs w:val="24"/>
              </w:rPr>
            </w:pPr>
          </w:p>
        </w:tc>
      </w:tr>
      <w:tr w:rsidRPr="009234F6" w:rsidR="009234F6" w:rsidTr="009234F6" w14:paraId="45FF2727" w14:textId="77777777">
        <w:trPr>
          <w:cantSplit/>
          <w:trHeight w:val="299"/>
          <w:jc w:val="center"/>
        </w:trPr>
        <w:tc>
          <w:tcPr>
            <w:tcW w:w="9005"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5F5E76C4" w14:textId="77777777">
            <w:pPr>
              <w:spacing w:after="0" w:line="240" w:lineRule="auto"/>
              <w:rPr>
                <w:rFonts w:ascii="Times New Roman" w:hAnsi="Times New Roman" w:cs="Times New Roman"/>
                <w:iCs/>
                <w:sz w:val="24"/>
                <w:szCs w:val="24"/>
              </w:rPr>
            </w:pPr>
            <w:r w:rsidRPr="009234F6">
              <w:rPr>
                <w:rFonts w:ascii="Times New Roman" w:hAnsi="Times New Roman" w:cs="Times New Roman"/>
                <w:b/>
                <w:bCs/>
                <w:iCs/>
                <w:sz w:val="24"/>
                <w:szCs w:val="24"/>
              </w:rPr>
              <w:t>RD21-4 Net Changes to FERC-725A, OMB Control No. 1902-0244</w:t>
            </w:r>
          </w:p>
        </w:tc>
      </w:tr>
      <w:tr w:rsidRPr="009234F6" w:rsidR="009234F6" w:rsidTr="009234F6" w14:paraId="6C44A883" w14:textId="77777777">
        <w:trPr>
          <w:cantSplit/>
          <w:trHeight w:val="1016"/>
          <w:jc w:val="center"/>
        </w:trPr>
        <w:tc>
          <w:tcPr>
            <w:tcW w:w="1601"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688DD6DC" w14:textId="77777777">
            <w:pPr>
              <w:spacing w:after="0" w:line="240" w:lineRule="auto"/>
              <w:rPr>
                <w:rFonts w:ascii="Times New Roman" w:hAnsi="Times New Roman" w:cs="Times New Roman"/>
                <w:bCs/>
                <w:iCs/>
                <w:sz w:val="24"/>
                <w:szCs w:val="24"/>
              </w:rPr>
            </w:pPr>
            <w:r w:rsidRPr="009234F6">
              <w:rPr>
                <w:rFonts w:ascii="Times New Roman" w:hAnsi="Times New Roman" w:cs="Times New Roman"/>
                <w:bCs/>
                <w:iCs/>
                <w:sz w:val="24"/>
                <w:szCs w:val="24"/>
              </w:rPr>
              <w:t>FAC-008-05 (Facility Ratings)</w:t>
            </w:r>
            <w:r w:rsidRPr="009234F6">
              <w:rPr>
                <w:rFonts w:ascii="Times New Roman" w:hAnsi="Times New Roman" w:cs="Times New Roman"/>
                <w:b/>
                <w:bCs/>
                <w:iCs/>
                <w:sz w:val="24"/>
                <w:szCs w:val="24"/>
                <w:vertAlign w:val="superscript"/>
              </w:rPr>
              <w:footnoteReference w:id="6"/>
            </w:r>
          </w:p>
        </w:tc>
        <w:tc>
          <w:tcPr>
            <w:tcW w:w="1370"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2478B201"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1,003</w:t>
            </w:r>
          </w:p>
          <w:p w:rsidRPr="009234F6" w:rsidR="009234F6" w:rsidP="009234F6" w:rsidRDefault="009234F6" w14:paraId="4551A269"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(No Change)</w:t>
            </w:r>
          </w:p>
        </w:tc>
        <w:tc>
          <w:tcPr>
            <w:tcW w:w="1261"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67D06C03"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1</w:t>
            </w:r>
          </w:p>
          <w:p w:rsidRPr="009234F6" w:rsidR="009234F6" w:rsidP="009234F6" w:rsidRDefault="009234F6" w14:paraId="41CC8F13" w14:textId="77777777">
            <w:pPr>
              <w:spacing w:after="0" w:line="240" w:lineRule="auto"/>
              <w:rPr>
                <w:rFonts w:ascii="Times New Roman" w:hAnsi="Times New Roman" w:cs="Times New Roman"/>
                <w:iCs/>
                <w:sz w:val="24"/>
                <w:szCs w:val="24"/>
              </w:rPr>
            </w:pPr>
          </w:p>
        </w:tc>
        <w:tc>
          <w:tcPr>
            <w:tcW w:w="1261"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5F999987"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1,003</w:t>
            </w:r>
          </w:p>
          <w:p w:rsidRPr="009234F6" w:rsidR="009234F6" w:rsidP="009234F6" w:rsidRDefault="009234F6" w14:paraId="22A3B0C7"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(No Change)</w:t>
            </w:r>
          </w:p>
        </w:tc>
        <w:tc>
          <w:tcPr>
            <w:tcW w:w="1351"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7CC188DF"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-10 hrs.</w:t>
            </w:r>
          </w:p>
          <w:p w:rsidRPr="009234F6" w:rsidR="009234F6" w:rsidP="009234F6" w:rsidRDefault="009234F6" w14:paraId="27ACD743"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(Reduction)</w:t>
            </w:r>
          </w:p>
        </w:tc>
        <w:tc>
          <w:tcPr>
            <w:tcW w:w="2161"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2CCAEFBF"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-10,030 hrs.</w:t>
            </w:r>
          </w:p>
          <w:p w:rsidRPr="009234F6" w:rsidR="009234F6" w:rsidP="009234F6" w:rsidRDefault="009234F6" w14:paraId="005C3407"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(Reduction)</w:t>
            </w:r>
          </w:p>
        </w:tc>
      </w:tr>
    </w:tbl>
    <w:p w:rsidRPr="009234F6" w:rsidR="009234F6" w:rsidP="009234F6" w:rsidRDefault="009234F6" w14:paraId="21019DBB" w14:textId="77777777">
      <w:pPr>
        <w:spacing w:after="0" w:line="240" w:lineRule="auto"/>
        <w:rPr>
          <w:rFonts w:ascii="Times New Roman" w:hAnsi="Times New Roman" w:cs="Times New Roman"/>
          <w:iCs/>
          <w:sz w:val="24"/>
          <w:szCs w:val="24"/>
        </w:rPr>
      </w:pPr>
    </w:p>
    <w:p w:rsidRPr="009234F6" w:rsidR="009234F6" w:rsidP="009234F6" w:rsidRDefault="009234F6" w14:paraId="560CE5A0" w14:textId="77777777">
      <w:pPr>
        <w:spacing w:after="0" w:line="240" w:lineRule="auto"/>
        <w:rPr>
          <w:rFonts w:ascii="Times New Roman" w:hAnsi="Times New Roman" w:cs="Times New Roman"/>
          <w:i/>
          <w:sz w:val="24"/>
          <w:szCs w:val="24"/>
        </w:rPr>
      </w:pPr>
      <w:r w:rsidRPr="009234F6">
        <w:rPr>
          <w:rFonts w:ascii="Times New Roman" w:hAnsi="Times New Roman" w:cs="Times New Roman"/>
          <w:b/>
          <w:bCs/>
          <w:iCs/>
          <w:sz w:val="24"/>
          <w:szCs w:val="24"/>
          <w:u w:val="single"/>
        </w:rPr>
        <w:t>IC21-19-000 Renewal of 725A</w:t>
      </w:r>
    </w:p>
    <w:p w:rsidR="009234F6" w:rsidP="009234F6" w:rsidRDefault="009234F6" w14:paraId="47D20B08" w14:textId="31714560">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The following table represents the current burden associated with all Mandatory Reliability Standards that fall under FERC-725A</w:t>
      </w:r>
    </w:p>
    <w:p w:rsidRPr="009234F6" w:rsidR="009234F6" w:rsidP="009234F6" w:rsidRDefault="009234F6" w14:paraId="617F3822" w14:textId="77777777">
      <w:pPr>
        <w:spacing w:after="0" w:line="240" w:lineRule="auto"/>
        <w:rPr>
          <w:rFonts w:ascii="Times New Roman" w:hAnsi="Times New Roman" w:cs="Times New Roman"/>
          <w:iCs/>
          <w:sz w:val="24"/>
          <w:szCs w:val="24"/>
        </w:rPr>
      </w:pPr>
    </w:p>
    <w:tbl>
      <w:tblPr>
        <w:tblStyle w:val="TableGrid"/>
        <w:tblW w:w="0" w:type="auto"/>
        <w:tblInd w:w="0" w:type="dxa"/>
        <w:tblLook w:val="04A0" w:firstRow="1" w:lastRow="0" w:firstColumn="1" w:lastColumn="0" w:noHBand="0" w:noVBand="1"/>
      </w:tblPr>
      <w:tblGrid>
        <w:gridCol w:w="1675"/>
        <w:gridCol w:w="1200"/>
        <w:gridCol w:w="1530"/>
        <w:gridCol w:w="1440"/>
        <w:gridCol w:w="1752"/>
        <w:gridCol w:w="1753"/>
      </w:tblGrid>
      <w:tr w:rsidRPr="009234F6" w:rsidR="009234F6" w:rsidTr="009234F6" w14:paraId="7BB5142C" w14:textId="77777777">
        <w:tc>
          <w:tcPr>
            <w:tcW w:w="1675"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5FFE1EED" w14:textId="77777777">
            <w:pPr>
              <w:rPr>
                <w:rFonts w:ascii="Times New Roman" w:hAnsi="Times New Roman" w:cs="Times New Roman"/>
                <w:b/>
                <w:sz w:val="24"/>
                <w:szCs w:val="24"/>
              </w:rPr>
            </w:pPr>
            <w:r w:rsidRPr="009234F6">
              <w:rPr>
                <w:rFonts w:ascii="Times New Roman" w:hAnsi="Times New Roman" w:cs="Times New Roman"/>
                <w:b/>
                <w:sz w:val="24"/>
                <w:szCs w:val="24"/>
              </w:rPr>
              <w:t>Reliability Standard &amp; Requirement</w:t>
            </w:r>
          </w:p>
        </w:tc>
        <w:tc>
          <w:tcPr>
            <w:tcW w:w="120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32F54EF4" w14:textId="77777777">
            <w:pPr>
              <w:rPr>
                <w:rFonts w:ascii="Times New Roman" w:hAnsi="Times New Roman" w:cs="Times New Roman"/>
                <w:b/>
                <w:sz w:val="24"/>
                <w:szCs w:val="24"/>
              </w:rPr>
            </w:pPr>
            <w:r w:rsidRPr="009234F6">
              <w:rPr>
                <w:rFonts w:ascii="Times New Roman" w:hAnsi="Times New Roman" w:cs="Times New Roman"/>
                <w:b/>
                <w:sz w:val="24"/>
                <w:szCs w:val="24"/>
              </w:rPr>
              <w:t>Number of Entity</w:t>
            </w:r>
            <w:r w:rsidRPr="009234F6">
              <w:rPr>
                <w:rFonts w:ascii="Times New Roman" w:hAnsi="Times New Roman" w:cs="Times New Roman"/>
                <w:b/>
                <w:sz w:val="24"/>
                <w:szCs w:val="24"/>
                <w:vertAlign w:val="superscript"/>
              </w:rPr>
              <w:footnoteReference w:id="7"/>
            </w:r>
          </w:p>
          <w:p w:rsidRPr="009234F6" w:rsidR="009234F6" w:rsidP="009234F6" w:rsidRDefault="009234F6" w14:paraId="07E2ACDA" w14:textId="77777777">
            <w:pPr>
              <w:rPr>
                <w:rFonts w:ascii="Times New Roman" w:hAnsi="Times New Roman" w:cs="Times New Roman"/>
                <w:b/>
                <w:sz w:val="24"/>
                <w:szCs w:val="24"/>
              </w:rPr>
            </w:pPr>
            <w:r w:rsidRPr="009234F6">
              <w:rPr>
                <w:rFonts w:ascii="Times New Roman" w:hAnsi="Times New Roman" w:cs="Times New Roman"/>
                <w:sz w:val="24"/>
                <w:szCs w:val="24"/>
              </w:rPr>
              <w:t>(1)</w:t>
            </w:r>
          </w:p>
        </w:tc>
        <w:tc>
          <w:tcPr>
            <w:tcW w:w="153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1E0DE23E" w14:textId="77777777">
            <w:pPr>
              <w:rPr>
                <w:rFonts w:ascii="Times New Roman" w:hAnsi="Times New Roman" w:cs="Times New Roman"/>
                <w:b/>
                <w:sz w:val="24"/>
                <w:szCs w:val="24"/>
              </w:rPr>
            </w:pPr>
            <w:r w:rsidRPr="009234F6">
              <w:rPr>
                <w:rFonts w:ascii="Times New Roman" w:hAnsi="Times New Roman" w:cs="Times New Roman"/>
                <w:b/>
                <w:sz w:val="24"/>
                <w:szCs w:val="24"/>
              </w:rPr>
              <w:t>Number of Annual Responses Per Entity</w:t>
            </w:r>
          </w:p>
          <w:p w:rsidRPr="009234F6" w:rsidR="009234F6" w:rsidP="009234F6" w:rsidRDefault="009234F6" w14:paraId="15AD1D19" w14:textId="77777777">
            <w:pPr>
              <w:rPr>
                <w:rFonts w:ascii="Times New Roman" w:hAnsi="Times New Roman" w:cs="Times New Roman"/>
                <w:b/>
                <w:sz w:val="24"/>
                <w:szCs w:val="24"/>
              </w:rPr>
            </w:pPr>
            <w:r w:rsidRPr="009234F6">
              <w:rPr>
                <w:rFonts w:ascii="Times New Roman" w:hAnsi="Times New Roman" w:cs="Times New Roman"/>
                <w:b/>
                <w:sz w:val="24"/>
                <w:szCs w:val="24"/>
              </w:rPr>
              <w:t>(</w:t>
            </w:r>
            <w:r w:rsidRPr="009234F6">
              <w:rPr>
                <w:rFonts w:ascii="Times New Roman" w:hAnsi="Times New Roman" w:cs="Times New Roman"/>
                <w:sz w:val="24"/>
                <w:szCs w:val="24"/>
              </w:rPr>
              <w:t>2)</w:t>
            </w: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2D4200E1" w14:textId="77777777">
            <w:pPr>
              <w:rPr>
                <w:rFonts w:ascii="Times New Roman" w:hAnsi="Times New Roman" w:cs="Times New Roman"/>
                <w:b/>
                <w:sz w:val="24"/>
                <w:szCs w:val="24"/>
              </w:rPr>
            </w:pPr>
            <w:r w:rsidRPr="009234F6">
              <w:rPr>
                <w:rFonts w:ascii="Times New Roman" w:hAnsi="Times New Roman" w:cs="Times New Roman"/>
                <w:b/>
                <w:sz w:val="24"/>
                <w:szCs w:val="24"/>
              </w:rPr>
              <w:t>Total Number of Responses</w:t>
            </w:r>
          </w:p>
          <w:p w:rsidRPr="009234F6" w:rsidR="009234F6" w:rsidP="009234F6" w:rsidRDefault="009234F6" w14:paraId="58288570" w14:textId="77777777">
            <w:pPr>
              <w:rPr>
                <w:rFonts w:ascii="Times New Roman" w:hAnsi="Times New Roman" w:cs="Times New Roman"/>
                <w:b/>
                <w:sz w:val="24"/>
                <w:szCs w:val="24"/>
              </w:rPr>
            </w:pPr>
            <w:r w:rsidRPr="009234F6">
              <w:rPr>
                <w:rFonts w:ascii="Times New Roman" w:hAnsi="Times New Roman" w:cs="Times New Roman"/>
                <w:b/>
                <w:sz w:val="24"/>
                <w:szCs w:val="24"/>
              </w:rPr>
              <w:t>(1) *(2) = (3)</w:t>
            </w:r>
          </w:p>
        </w:tc>
        <w:tc>
          <w:tcPr>
            <w:tcW w:w="1752"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25940164" w14:textId="77777777">
            <w:pPr>
              <w:rPr>
                <w:rFonts w:ascii="Times New Roman" w:hAnsi="Times New Roman" w:cs="Times New Roman"/>
                <w:b/>
                <w:sz w:val="24"/>
                <w:szCs w:val="24"/>
              </w:rPr>
            </w:pPr>
            <w:r w:rsidRPr="009234F6">
              <w:rPr>
                <w:rFonts w:ascii="Times New Roman" w:hAnsi="Times New Roman" w:cs="Times New Roman"/>
                <w:b/>
                <w:sz w:val="24"/>
                <w:szCs w:val="24"/>
              </w:rPr>
              <w:t>Average Number of Burden Hours per Response</w:t>
            </w:r>
          </w:p>
          <w:p w:rsidRPr="009234F6" w:rsidR="009234F6" w:rsidP="009234F6" w:rsidRDefault="009234F6" w14:paraId="3A061BCA" w14:textId="77777777">
            <w:pPr>
              <w:rPr>
                <w:rFonts w:ascii="Times New Roman" w:hAnsi="Times New Roman" w:cs="Times New Roman"/>
                <w:b/>
                <w:sz w:val="24"/>
                <w:szCs w:val="24"/>
              </w:rPr>
            </w:pPr>
            <w:r w:rsidRPr="009234F6">
              <w:rPr>
                <w:rFonts w:ascii="Times New Roman" w:hAnsi="Times New Roman" w:cs="Times New Roman"/>
                <w:b/>
                <w:sz w:val="24"/>
                <w:szCs w:val="24"/>
              </w:rPr>
              <w:t>(4)</w:t>
            </w:r>
          </w:p>
        </w:tc>
        <w:tc>
          <w:tcPr>
            <w:tcW w:w="1753"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bottom"/>
            <w:hideMark/>
          </w:tcPr>
          <w:p w:rsidRPr="009234F6" w:rsidR="009234F6" w:rsidP="009234F6" w:rsidRDefault="009234F6" w14:paraId="1764F2A5" w14:textId="77777777">
            <w:pPr>
              <w:rPr>
                <w:rFonts w:ascii="Times New Roman" w:hAnsi="Times New Roman" w:cs="Times New Roman"/>
                <w:b/>
                <w:sz w:val="24"/>
                <w:szCs w:val="24"/>
              </w:rPr>
            </w:pPr>
            <w:r w:rsidRPr="009234F6">
              <w:rPr>
                <w:rFonts w:ascii="Times New Roman" w:hAnsi="Times New Roman" w:cs="Times New Roman"/>
                <w:b/>
                <w:sz w:val="24"/>
                <w:szCs w:val="24"/>
              </w:rPr>
              <w:t>Total Burden Hours</w:t>
            </w:r>
          </w:p>
          <w:p w:rsidRPr="009234F6" w:rsidR="009234F6" w:rsidP="009234F6" w:rsidRDefault="009234F6" w14:paraId="16BD6AC0" w14:textId="77777777">
            <w:pPr>
              <w:rPr>
                <w:rFonts w:ascii="Times New Roman" w:hAnsi="Times New Roman" w:cs="Times New Roman"/>
                <w:b/>
                <w:sz w:val="24"/>
                <w:szCs w:val="24"/>
              </w:rPr>
            </w:pPr>
            <w:r w:rsidRPr="009234F6">
              <w:rPr>
                <w:rFonts w:ascii="Times New Roman" w:hAnsi="Times New Roman" w:cs="Times New Roman"/>
                <w:b/>
                <w:sz w:val="24"/>
                <w:szCs w:val="24"/>
              </w:rPr>
              <w:t>(3) *(4) = (5)</w:t>
            </w:r>
          </w:p>
        </w:tc>
      </w:tr>
      <w:tr w:rsidRPr="009234F6" w:rsidR="009234F6" w:rsidTr="009234F6" w14:paraId="18455D15" w14:textId="77777777">
        <w:tc>
          <w:tcPr>
            <w:tcW w:w="9350"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Pr="009234F6" w:rsidR="009234F6" w:rsidP="009234F6" w:rsidRDefault="009234F6" w14:paraId="6CD3E6AD" w14:textId="77777777">
            <w:pPr>
              <w:rPr>
                <w:rFonts w:ascii="Times New Roman" w:hAnsi="Times New Roman" w:cs="Times New Roman"/>
                <w:b/>
                <w:sz w:val="24"/>
                <w:szCs w:val="24"/>
              </w:rPr>
            </w:pPr>
            <w:r w:rsidRPr="009234F6">
              <w:rPr>
                <w:rFonts w:ascii="Times New Roman" w:hAnsi="Times New Roman" w:cs="Times New Roman"/>
                <w:b/>
                <w:sz w:val="24"/>
                <w:szCs w:val="24"/>
              </w:rPr>
              <w:t>FERC-725A</w:t>
            </w:r>
          </w:p>
        </w:tc>
      </w:tr>
      <w:tr w:rsidRPr="009234F6" w:rsidR="009234F6" w:rsidTr="009234F6" w14:paraId="19FF2797" w14:textId="77777777">
        <w:tc>
          <w:tcPr>
            <w:tcW w:w="1675" w:type="dxa"/>
            <w:tcBorders>
              <w:top w:val="single" w:color="auto" w:sz="4" w:space="0"/>
              <w:left w:val="single" w:color="auto" w:sz="4" w:space="0"/>
              <w:bottom w:val="single" w:color="auto" w:sz="4" w:space="0"/>
              <w:right w:val="single" w:color="auto" w:sz="4" w:space="0"/>
            </w:tcBorders>
            <w:hideMark/>
          </w:tcPr>
          <w:p w:rsidRPr="009234F6" w:rsidR="009234F6" w:rsidP="009234F6" w:rsidRDefault="009234F6" w14:paraId="3810A733" w14:textId="77777777">
            <w:pPr>
              <w:rPr>
                <w:rFonts w:ascii="Times New Roman" w:hAnsi="Times New Roman" w:cs="Times New Roman"/>
                <w:sz w:val="24"/>
                <w:szCs w:val="24"/>
              </w:rPr>
            </w:pPr>
            <w:r w:rsidRPr="009234F6">
              <w:rPr>
                <w:rFonts w:ascii="Times New Roman" w:hAnsi="Times New Roman" w:cs="Times New Roman"/>
                <w:sz w:val="24"/>
                <w:szCs w:val="24"/>
              </w:rPr>
              <w:t>Mandatory Reliability Standards for Bulk Power System</w:t>
            </w:r>
          </w:p>
        </w:tc>
        <w:tc>
          <w:tcPr>
            <w:tcW w:w="1200"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71EB2EAF" w14:textId="56BF5C8C">
            <w:pPr>
              <w:rPr>
                <w:rFonts w:ascii="Times New Roman" w:hAnsi="Times New Roman" w:cs="Times New Roman"/>
                <w:sz w:val="24"/>
                <w:szCs w:val="24"/>
              </w:rPr>
            </w:pPr>
            <w:r w:rsidRPr="009234F6">
              <w:rPr>
                <w:rFonts w:ascii="Times New Roman" w:hAnsi="Times New Roman" w:cs="Times New Roman"/>
                <w:sz w:val="24"/>
                <w:szCs w:val="24"/>
              </w:rPr>
              <w:t xml:space="preserve"> 3,420</w:t>
            </w:r>
          </w:p>
        </w:tc>
        <w:tc>
          <w:tcPr>
            <w:tcW w:w="1530"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666AE3A3" w14:textId="77777777">
            <w:pPr>
              <w:rPr>
                <w:rFonts w:ascii="Times New Roman" w:hAnsi="Times New Roman" w:cs="Times New Roman"/>
                <w:sz w:val="24"/>
                <w:szCs w:val="24"/>
              </w:rPr>
            </w:pPr>
            <w:r w:rsidRPr="009234F6">
              <w:rPr>
                <w:rFonts w:ascii="Times New Roman" w:hAnsi="Times New Roman" w:cs="Times New Roman"/>
                <w:sz w:val="24"/>
                <w:szCs w:val="24"/>
              </w:rPr>
              <w:t>1</w:t>
            </w:r>
          </w:p>
        </w:tc>
        <w:tc>
          <w:tcPr>
            <w:tcW w:w="1440"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2DABCBFE" w14:textId="77777777">
            <w:pPr>
              <w:rPr>
                <w:rFonts w:ascii="Times New Roman" w:hAnsi="Times New Roman" w:cs="Times New Roman"/>
                <w:sz w:val="24"/>
                <w:szCs w:val="24"/>
              </w:rPr>
            </w:pPr>
            <w:r w:rsidRPr="009234F6">
              <w:rPr>
                <w:rFonts w:ascii="Times New Roman" w:hAnsi="Times New Roman" w:cs="Times New Roman"/>
                <w:sz w:val="24"/>
                <w:szCs w:val="24"/>
              </w:rPr>
              <w:t>3,420</w:t>
            </w:r>
          </w:p>
        </w:tc>
        <w:tc>
          <w:tcPr>
            <w:tcW w:w="1752"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32BD98B4" w14:textId="77777777">
            <w:pPr>
              <w:rPr>
                <w:rFonts w:ascii="Times New Roman" w:hAnsi="Times New Roman" w:cs="Times New Roman"/>
                <w:sz w:val="24"/>
                <w:szCs w:val="24"/>
              </w:rPr>
            </w:pPr>
            <w:r w:rsidRPr="009234F6">
              <w:rPr>
                <w:rFonts w:ascii="Times New Roman" w:hAnsi="Times New Roman" w:cs="Times New Roman"/>
                <w:sz w:val="24"/>
                <w:szCs w:val="24"/>
              </w:rPr>
              <w:t xml:space="preserve"> 428.86 hrs.</w:t>
            </w:r>
          </w:p>
        </w:tc>
        <w:tc>
          <w:tcPr>
            <w:tcW w:w="1753" w:type="dxa"/>
            <w:tcBorders>
              <w:top w:val="single" w:color="auto" w:sz="4" w:space="0"/>
              <w:left w:val="single" w:color="auto" w:sz="4" w:space="0"/>
              <w:bottom w:val="single" w:color="auto" w:sz="4" w:space="0"/>
              <w:right w:val="single" w:color="auto" w:sz="4" w:space="0"/>
            </w:tcBorders>
            <w:vAlign w:val="bottom"/>
            <w:hideMark/>
          </w:tcPr>
          <w:p w:rsidRPr="009234F6" w:rsidR="009234F6" w:rsidP="009234F6" w:rsidRDefault="009234F6" w14:paraId="2E980B88" w14:textId="77777777">
            <w:pPr>
              <w:rPr>
                <w:rFonts w:ascii="Times New Roman" w:hAnsi="Times New Roman" w:cs="Times New Roman"/>
                <w:sz w:val="24"/>
                <w:szCs w:val="24"/>
              </w:rPr>
            </w:pPr>
            <w:r w:rsidRPr="009234F6">
              <w:rPr>
                <w:rFonts w:ascii="Times New Roman" w:hAnsi="Times New Roman" w:cs="Times New Roman"/>
                <w:sz w:val="24"/>
                <w:szCs w:val="24"/>
              </w:rPr>
              <w:t>1,466,716 hrs.</w:t>
            </w:r>
          </w:p>
        </w:tc>
      </w:tr>
      <w:tr w:rsidRPr="009234F6" w:rsidR="009234F6" w:rsidTr="009234F6" w14:paraId="58DEEEF5" w14:textId="77777777">
        <w:tc>
          <w:tcPr>
            <w:tcW w:w="1675" w:type="dxa"/>
            <w:tcBorders>
              <w:top w:val="single" w:color="auto" w:sz="4" w:space="0"/>
              <w:left w:val="single" w:color="auto" w:sz="4" w:space="0"/>
              <w:bottom w:val="single" w:color="auto" w:sz="4" w:space="0"/>
              <w:right w:val="single" w:color="auto" w:sz="4" w:space="0"/>
            </w:tcBorders>
          </w:tcPr>
          <w:p w:rsidRPr="009234F6" w:rsidR="009234F6" w:rsidP="009234F6" w:rsidRDefault="009234F6" w14:paraId="6C9E94C2" w14:textId="77777777">
            <w:pPr>
              <w:rPr>
                <w:rFonts w:ascii="Times New Roman" w:hAnsi="Times New Roman" w:cs="Times New Roman"/>
                <w:sz w:val="24"/>
                <w:szCs w:val="24"/>
              </w:rPr>
            </w:pPr>
            <w:r w:rsidRPr="009234F6">
              <w:rPr>
                <w:rFonts w:ascii="Times New Roman" w:hAnsi="Times New Roman" w:cs="Times New Roman"/>
                <w:b/>
                <w:sz w:val="24"/>
                <w:szCs w:val="24"/>
              </w:rPr>
              <w:t>RD21-4 Net Changes</w:t>
            </w:r>
          </w:p>
        </w:tc>
        <w:tc>
          <w:tcPr>
            <w:tcW w:w="1200"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1ABDCC91" w14:textId="77777777">
            <w:pPr>
              <w:rPr>
                <w:rFonts w:ascii="Times New Roman" w:hAnsi="Times New Roman" w:cs="Times New Roman"/>
                <w:sz w:val="24"/>
                <w:szCs w:val="24"/>
              </w:rPr>
            </w:pPr>
            <w:r w:rsidRPr="009234F6">
              <w:rPr>
                <w:rFonts w:ascii="Times New Roman" w:hAnsi="Times New Roman" w:cs="Times New Roman"/>
                <w:sz w:val="24"/>
                <w:szCs w:val="24"/>
              </w:rPr>
              <w:t>1,003</w:t>
            </w:r>
          </w:p>
          <w:p w:rsidRPr="009234F6" w:rsidR="009234F6" w:rsidP="009234F6" w:rsidRDefault="009234F6" w14:paraId="7E5D9457" w14:textId="77777777">
            <w:pPr>
              <w:rPr>
                <w:rFonts w:ascii="Times New Roman" w:hAnsi="Times New Roman" w:cs="Times New Roman"/>
                <w:sz w:val="24"/>
                <w:szCs w:val="24"/>
              </w:rPr>
            </w:pPr>
            <w:r w:rsidRPr="009234F6">
              <w:rPr>
                <w:rFonts w:ascii="Times New Roman" w:hAnsi="Times New Roman" w:cs="Times New Roman"/>
                <w:sz w:val="24"/>
                <w:szCs w:val="24"/>
              </w:rPr>
              <w:t>(No change)</w:t>
            </w:r>
          </w:p>
        </w:tc>
        <w:tc>
          <w:tcPr>
            <w:tcW w:w="1530"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6710BA40" w14:textId="77777777">
            <w:pPr>
              <w:rPr>
                <w:rFonts w:ascii="Times New Roman" w:hAnsi="Times New Roman" w:cs="Times New Roman"/>
                <w:sz w:val="24"/>
                <w:szCs w:val="24"/>
              </w:rPr>
            </w:pPr>
            <w:r w:rsidRPr="009234F6">
              <w:rPr>
                <w:rFonts w:ascii="Times New Roman" w:hAnsi="Times New Roman" w:cs="Times New Roman"/>
                <w:sz w:val="24"/>
                <w:szCs w:val="24"/>
              </w:rPr>
              <w:t>1</w:t>
            </w:r>
          </w:p>
        </w:tc>
        <w:tc>
          <w:tcPr>
            <w:tcW w:w="1440"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07C611C7" w14:textId="77777777">
            <w:pPr>
              <w:rPr>
                <w:rFonts w:ascii="Times New Roman" w:hAnsi="Times New Roman" w:cs="Times New Roman"/>
                <w:sz w:val="24"/>
                <w:szCs w:val="24"/>
              </w:rPr>
            </w:pPr>
            <w:r w:rsidRPr="009234F6">
              <w:rPr>
                <w:rFonts w:ascii="Times New Roman" w:hAnsi="Times New Roman" w:cs="Times New Roman"/>
                <w:sz w:val="24"/>
                <w:szCs w:val="24"/>
              </w:rPr>
              <w:t>1,003</w:t>
            </w:r>
          </w:p>
          <w:p w:rsidRPr="009234F6" w:rsidR="009234F6" w:rsidP="009234F6" w:rsidRDefault="009234F6" w14:paraId="54A4C1AE" w14:textId="77777777">
            <w:pPr>
              <w:rPr>
                <w:rFonts w:ascii="Times New Roman" w:hAnsi="Times New Roman" w:cs="Times New Roman"/>
                <w:sz w:val="24"/>
                <w:szCs w:val="24"/>
              </w:rPr>
            </w:pPr>
            <w:r w:rsidRPr="009234F6">
              <w:rPr>
                <w:rFonts w:ascii="Times New Roman" w:hAnsi="Times New Roman" w:cs="Times New Roman"/>
                <w:sz w:val="24"/>
                <w:szCs w:val="24"/>
              </w:rPr>
              <w:t>(No Change)</w:t>
            </w:r>
          </w:p>
        </w:tc>
        <w:tc>
          <w:tcPr>
            <w:tcW w:w="1752"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4FA70780" w14:textId="77777777">
            <w:pPr>
              <w:rPr>
                <w:rFonts w:ascii="Times New Roman" w:hAnsi="Times New Roman" w:cs="Times New Roman"/>
                <w:sz w:val="24"/>
                <w:szCs w:val="24"/>
              </w:rPr>
            </w:pPr>
            <w:r w:rsidRPr="009234F6">
              <w:rPr>
                <w:rFonts w:ascii="Times New Roman" w:hAnsi="Times New Roman" w:cs="Times New Roman"/>
                <w:sz w:val="24"/>
                <w:szCs w:val="24"/>
              </w:rPr>
              <w:t>-10 hrs.</w:t>
            </w:r>
          </w:p>
        </w:tc>
        <w:tc>
          <w:tcPr>
            <w:tcW w:w="1753"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55D7AACA" w14:textId="77777777">
            <w:pPr>
              <w:rPr>
                <w:rFonts w:ascii="Times New Roman" w:hAnsi="Times New Roman" w:cs="Times New Roman"/>
                <w:sz w:val="24"/>
                <w:szCs w:val="24"/>
              </w:rPr>
            </w:pPr>
            <w:r w:rsidRPr="009234F6">
              <w:rPr>
                <w:rFonts w:ascii="Times New Roman" w:hAnsi="Times New Roman" w:cs="Times New Roman"/>
                <w:sz w:val="24"/>
                <w:szCs w:val="24"/>
              </w:rPr>
              <w:t>-10,030 hrs.</w:t>
            </w:r>
          </w:p>
          <w:p w:rsidRPr="009234F6" w:rsidR="009234F6" w:rsidP="009234F6" w:rsidRDefault="009234F6" w14:paraId="4DBFF9CC" w14:textId="77777777">
            <w:pPr>
              <w:rPr>
                <w:rFonts w:ascii="Times New Roman" w:hAnsi="Times New Roman" w:cs="Times New Roman"/>
                <w:sz w:val="24"/>
                <w:szCs w:val="24"/>
              </w:rPr>
            </w:pPr>
            <w:r w:rsidRPr="009234F6">
              <w:rPr>
                <w:rFonts w:ascii="Times New Roman" w:hAnsi="Times New Roman" w:cs="Times New Roman"/>
                <w:sz w:val="24"/>
                <w:szCs w:val="24"/>
              </w:rPr>
              <w:t>(Reduction)</w:t>
            </w:r>
          </w:p>
        </w:tc>
      </w:tr>
      <w:tr w:rsidRPr="009234F6" w:rsidR="009234F6" w:rsidTr="009234F6" w14:paraId="2496EEF6" w14:textId="77777777">
        <w:tc>
          <w:tcPr>
            <w:tcW w:w="1675" w:type="dxa"/>
            <w:tcBorders>
              <w:top w:val="single" w:color="auto" w:sz="4" w:space="0"/>
              <w:left w:val="single" w:color="auto" w:sz="4" w:space="0"/>
              <w:bottom w:val="single" w:color="auto" w:sz="4" w:space="0"/>
              <w:right w:val="single" w:color="auto" w:sz="4" w:space="0"/>
            </w:tcBorders>
          </w:tcPr>
          <w:p w:rsidRPr="009234F6" w:rsidR="009234F6" w:rsidP="009234F6" w:rsidRDefault="009234F6" w14:paraId="7B8223C3" w14:textId="77777777">
            <w:pPr>
              <w:rPr>
                <w:rFonts w:ascii="Times New Roman" w:hAnsi="Times New Roman" w:cs="Times New Roman"/>
                <w:sz w:val="24"/>
                <w:szCs w:val="24"/>
              </w:rPr>
            </w:pPr>
            <w:r w:rsidRPr="009234F6">
              <w:rPr>
                <w:rFonts w:ascii="Times New Roman" w:hAnsi="Times New Roman" w:cs="Times New Roman"/>
                <w:b/>
                <w:sz w:val="24"/>
                <w:szCs w:val="24"/>
              </w:rPr>
              <w:t>Total for FERC-725A</w:t>
            </w:r>
          </w:p>
        </w:tc>
        <w:tc>
          <w:tcPr>
            <w:tcW w:w="1200"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Pr="009234F6" w:rsidR="009234F6" w:rsidP="009234F6" w:rsidRDefault="009234F6" w14:paraId="4AA2EC38" w14:textId="77777777">
            <w:pPr>
              <w:rPr>
                <w:rFonts w:ascii="Times New Roman" w:hAnsi="Times New Roman" w:cs="Times New Roman"/>
                <w:sz w:val="24"/>
                <w:szCs w:val="24"/>
              </w:rPr>
            </w:pPr>
          </w:p>
        </w:tc>
        <w:tc>
          <w:tcPr>
            <w:tcW w:w="1530"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Pr="009234F6" w:rsidR="009234F6" w:rsidP="009234F6" w:rsidRDefault="009234F6" w14:paraId="674D0E43" w14:textId="77777777">
            <w:pPr>
              <w:rPr>
                <w:rFonts w:ascii="Times New Roman" w:hAnsi="Times New Roman" w:cs="Times New Roman"/>
                <w:sz w:val="24"/>
                <w:szCs w:val="24"/>
              </w:rPr>
            </w:pPr>
          </w:p>
        </w:tc>
        <w:tc>
          <w:tcPr>
            <w:tcW w:w="1440"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Pr="009234F6" w:rsidR="009234F6" w:rsidP="009234F6" w:rsidRDefault="009234F6" w14:paraId="12290C17" w14:textId="77777777">
            <w:pPr>
              <w:rPr>
                <w:rFonts w:ascii="Times New Roman" w:hAnsi="Times New Roman" w:cs="Times New Roman"/>
                <w:sz w:val="24"/>
                <w:szCs w:val="24"/>
              </w:rPr>
            </w:pPr>
          </w:p>
        </w:tc>
        <w:tc>
          <w:tcPr>
            <w:tcW w:w="1752" w:type="dxa"/>
            <w:tcBorders>
              <w:top w:val="single" w:color="auto" w:sz="4" w:space="0"/>
              <w:left w:val="single" w:color="auto" w:sz="4" w:space="0"/>
              <w:bottom w:val="single" w:color="auto" w:sz="4" w:space="0"/>
              <w:right w:val="single" w:color="auto" w:sz="4" w:space="0"/>
            </w:tcBorders>
            <w:shd w:val="clear" w:color="auto" w:fill="A6A6A6" w:themeFill="background1" w:themeFillShade="A6"/>
            <w:vAlign w:val="bottom"/>
          </w:tcPr>
          <w:p w:rsidRPr="009234F6" w:rsidR="009234F6" w:rsidP="009234F6" w:rsidRDefault="009234F6" w14:paraId="4BC18979" w14:textId="77777777">
            <w:pPr>
              <w:rPr>
                <w:rFonts w:ascii="Times New Roman" w:hAnsi="Times New Roman" w:cs="Times New Roman"/>
                <w:sz w:val="24"/>
                <w:szCs w:val="24"/>
              </w:rPr>
            </w:pPr>
          </w:p>
        </w:tc>
        <w:tc>
          <w:tcPr>
            <w:tcW w:w="1753" w:type="dxa"/>
            <w:tcBorders>
              <w:top w:val="single" w:color="auto" w:sz="4" w:space="0"/>
              <w:left w:val="single" w:color="auto" w:sz="4" w:space="0"/>
              <w:bottom w:val="single" w:color="auto" w:sz="4" w:space="0"/>
              <w:right w:val="single" w:color="auto" w:sz="4" w:space="0"/>
            </w:tcBorders>
            <w:vAlign w:val="bottom"/>
          </w:tcPr>
          <w:p w:rsidRPr="009234F6" w:rsidR="009234F6" w:rsidP="009234F6" w:rsidRDefault="009234F6" w14:paraId="5AC3CCDC" w14:textId="77777777">
            <w:pPr>
              <w:rPr>
                <w:rFonts w:ascii="Times New Roman" w:hAnsi="Times New Roman" w:cs="Times New Roman"/>
                <w:sz w:val="24"/>
                <w:szCs w:val="24"/>
              </w:rPr>
            </w:pPr>
            <w:r w:rsidRPr="009234F6">
              <w:rPr>
                <w:rFonts w:ascii="Times New Roman" w:hAnsi="Times New Roman" w:cs="Times New Roman"/>
                <w:sz w:val="24"/>
                <w:szCs w:val="24"/>
              </w:rPr>
              <w:t>1,456,686 hrs.</w:t>
            </w:r>
          </w:p>
        </w:tc>
      </w:tr>
    </w:tbl>
    <w:p w:rsidRPr="009234F6" w:rsidR="009234F6" w:rsidP="009234F6" w:rsidRDefault="009234F6" w14:paraId="4D5A2171" w14:textId="77777777">
      <w:pPr>
        <w:spacing w:after="0" w:line="240" w:lineRule="auto"/>
        <w:rPr>
          <w:rFonts w:ascii="Times New Roman" w:hAnsi="Times New Roman" w:cs="Times New Roman"/>
          <w:iCs/>
          <w:sz w:val="24"/>
          <w:szCs w:val="24"/>
        </w:rPr>
      </w:pPr>
    </w:p>
    <w:p w:rsidRPr="009234F6" w:rsidR="009234F6" w:rsidP="009234F6" w:rsidRDefault="009234F6" w14:paraId="15C1D03C" w14:textId="77777777">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 xml:space="preserve">Note: FAC-008-05 is a part of the Bulk Power System burden totals. The net changes for the responses and hours will affect the totals for the row stated “Mandatory Reliability Standards for Bulk Power System”     </w:t>
      </w:r>
    </w:p>
    <w:p w:rsidR="009234F6" w:rsidP="009234F6" w:rsidRDefault="009234F6" w14:paraId="475E3BA7" w14:textId="68995C65">
      <w:pPr>
        <w:spacing w:after="0" w:line="240" w:lineRule="auto"/>
        <w:rPr>
          <w:rFonts w:ascii="Times New Roman" w:hAnsi="Times New Roman" w:cs="Times New Roman"/>
          <w:iCs/>
          <w:sz w:val="24"/>
          <w:szCs w:val="24"/>
        </w:rPr>
      </w:pPr>
      <w:r w:rsidRPr="009234F6">
        <w:rPr>
          <w:rFonts w:ascii="Times New Roman" w:hAnsi="Times New Roman" w:cs="Times New Roman"/>
          <w:iCs/>
          <w:sz w:val="24"/>
          <w:szCs w:val="24"/>
        </w:rPr>
        <w:t xml:space="preserve">Expanded Table Showing the Mandatory Reliability Standards for Bulk Power System is provided below </w:t>
      </w:r>
      <w:r>
        <w:rPr>
          <w:rFonts w:ascii="Times New Roman" w:hAnsi="Times New Roman" w:cs="Times New Roman"/>
          <w:iCs/>
          <w:sz w:val="24"/>
          <w:szCs w:val="24"/>
        </w:rPr>
        <w:t>(</w:t>
      </w:r>
      <w:r w:rsidRPr="009234F6">
        <w:rPr>
          <w:rFonts w:ascii="Times New Roman" w:hAnsi="Times New Roman" w:cs="Times New Roman"/>
          <w:iCs/>
          <w:sz w:val="24"/>
          <w:szCs w:val="24"/>
        </w:rPr>
        <w:t>The hyperlinks highlighted in blue provide additional information on the individual standards (Requirements, Measurements, and most recent order):</w:t>
      </w:r>
    </w:p>
    <w:p w:rsidRPr="009234F6" w:rsidR="009234F6" w:rsidP="009234F6" w:rsidRDefault="009234F6" w14:paraId="7705B803" w14:textId="77777777">
      <w:pPr>
        <w:spacing w:after="0" w:line="240" w:lineRule="auto"/>
        <w:rPr>
          <w:rFonts w:ascii="Times New Roman" w:hAnsi="Times New Roman" w:cs="Times New Roman"/>
          <w:iCs/>
          <w:sz w:val="24"/>
          <w:szCs w:val="24"/>
        </w:rPr>
      </w:pPr>
    </w:p>
    <w:tbl>
      <w:tblPr>
        <w:tblStyle w:val="TableGrid"/>
        <w:tblW w:w="0" w:type="auto"/>
        <w:tblInd w:w="-5" w:type="dxa"/>
        <w:tblLook w:val="04A0" w:firstRow="1" w:lastRow="0" w:firstColumn="1" w:lastColumn="0" w:noHBand="0" w:noVBand="1"/>
      </w:tblPr>
      <w:tblGrid>
        <w:gridCol w:w="1680"/>
        <w:gridCol w:w="5520"/>
        <w:gridCol w:w="2070"/>
      </w:tblGrid>
      <w:tr w:rsidRPr="009234F6" w:rsidR="009234F6" w:rsidTr="009234F6" w14:paraId="3B2BAA2C" w14:textId="77777777">
        <w:trPr>
          <w:trHeight w:val="315"/>
        </w:trPr>
        <w:tc>
          <w:tcPr>
            <w:tcW w:w="1680" w:type="dxa"/>
            <w:shd w:val="clear" w:color="auto" w:fill="A6A6A6" w:themeFill="background1" w:themeFillShade="A6"/>
            <w:noWrap/>
            <w:hideMark/>
          </w:tcPr>
          <w:p w:rsidRPr="009234F6" w:rsidR="009234F6" w:rsidP="009234F6" w:rsidRDefault="009234F6" w14:paraId="052355CE"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Standard</w:t>
            </w:r>
          </w:p>
        </w:tc>
        <w:tc>
          <w:tcPr>
            <w:tcW w:w="5520" w:type="dxa"/>
            <w:shd w:val="clear" w:color="auto" w:fill="A6A6A6" w:themeFill="background1" w:themeFillShade="A6"/>
            <w:noWrap/>
            <w:hideMark/>
          </w:tcPr>
          <w:p w:rsidRPr="009234F6" w:rsidR="009234F6" w:rsidP="009234F6" w:rsidRDefault="009234F6" w14:paraId="379F7509"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Name</w:t>
            </w:r>
          </w:p>
        </w:tc>
        <w:tc>
          <w:tcPr>
            <w:tcW w:w="2070" w:type="dxa"/>
            <w:shd w:val="clear" w:color="auto" w:fill="A6A6A6" w:themeFill="background1" w:themeFillShade="A6"/>
            <w:noWrap/>
            <w:hideMark/>
          </w:tcPr>
          <w:p w:rsidRPr="009234F6" w:rsidR="009234F6" w:rsidP="009234F6" w:rsidRDefault="009234F6" w14:paraId="7B59B2C2"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In-service</w:t>
            </w:r>
          </w:p>
        </w:tc>
      </w:tr>
      <w:tr w:rsidRPr="009234F6" w:rsidR="009234F6" w:rsidTr="009234F6" w14:paraId="5F838E9C" w14:textId="77777777">
        <w:trPr>
          <w:trHeight w:val="70"/>
        </w:trPr>
        <w:tc>
          <w:tcPr>
            <w:tcW w:w="1680" w:type="dxa"/>
            <w:hideMark/>
          </w:tcPr>
          <w:p w:rsidRPr="009234F6" w:rsidR="009234F6" w:rsidP="009234F6" w:rsidRDefault="009234F6" w14:paraId="152C30D4"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FAC-008-5</w:t>
            </w:r>
          </w:p>
        </w:tc>
        <w:tc>
          <w:tcPr>
            <w:tcW w:w="5520" w:type="dxa"/>
            <w:hideMark/>
          </w:tcPr>
          <w:p w:rsidRPr="009234F6" w:rsidR="009234F6" w:rsidP="009234F6" w:rsidRDefault="009234F6" w14:paraId="5B59FC7F"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Facility Ratings</w:t>
            </w:r>
          </w:p>
        </w:tc>
        <w:tc>
          <w:tcPr>
            <w:tcW w:w="2070" w:type="dxa"/>
            <w:hideMark/>
          </w:tcPr>
          <w:p w:rsidRPr="009234F6" w:rsidR="009234F6" w:rsidP="009234F6" w:rsidRDefault="009234F6" w14:paraId="263878EB"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u w:val="single"/>
              </w:rPr>
              <w:t>1/1/2013</w:t>
            </w:r>
          </w:p>
        </w:tc>
      </w:tr>
      <w:tr w:rsidRPr="009234F6" w:rsidR="009234F6" w:rsidTr="009234F6" w14:paraId="349B85CB" w14:textId="77777777">
        <w:trPr>
          <w:trHeight w:val="305"/>
        </w:trPr>
        <w:tc>
          <w:tcPr>
            <w:tcW w:w="1680" w:type="dxa"/>
            <w:hideMark/>
          </w:tcPr>
          <w:p w:rsidRPr="009234F6" w:rsidR="009234F6" w:rsidP="009234F6" w:rsidRDefault="009234F6" w14:paraId="5502DC33"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INT-006-5</w:t>
            </w:r>
          </w:p>
        </w:tc>
        <w:tc>
          <w:tcPr>
            <w:tcW w:w="5520" w:type="dxa"/>
            <w:hideMark/>
          </w:tcPr>
          <w:p w:rsidRPr="009234F6" w:rsidR="009234F6" w:rsidP="009234F6" w:rsidRDefault="009234F6" w14:paraId="69C66F16"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Evaluation of Interchange Transactions</w:t>
            </w:r>
          </w:p>
        </w:tc>
        <w:tc>
          <w:tcPr>
            <w:tcW w:w="2070" w:type="dxa"/>
            <w:hideMark/>
          </w:tcPr>
          <w:p w:rsidRPr="009234F6" w:rsidR="009234F6" w:rsidP="009234F6" w:rsidRDefault="009234F6" w14:paraId="7CA081AB"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4/1/2021</w:t>
            </w:r>
          </w:p>
        </w:tc>
      </w:tr>
      <w:tr w:rsidRPr="009234F6" w:rsidR="009234F6" w:rsidTr="009234F6" w14:paraId="2B911528" w14:textId="77777777">
        <w:trPr>
          <w:trHeight w:val="615"/>
        </w:trPr>
        <w:tc>
          <w:tcPr>
            <w:tcW w:w="1680" w:type="dxa"/>
            <w:hideMark/>
          </w:tcPr>
          <w:p w:rsidRPr="009234F6" w:rsidR="009234F6" w:rsidP="009234F6" w:rsidRDefault="009234F6" w14:paraId="4D687C36"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INT-009-3</w:t>
            </w:r>
          </w:p>
        </w:tc>
        <w:tc>
          <w:tcPr>
            <w:tcW w:w="5520" w:type="dxa"/>
            <w:hideMark/>
          </w:tcPr>
          <w:p w:rsidRPr="009234F6" w:rsidR="009234F6" w:rsidP="009234F6" w:rsidRDefault="009234F6" w14:paraId="3C71F7B0"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Implementation of Interchange</w:t>
            </w:r>
          </w:p>
        </w:tc>
        <w:tc>
          <w:tcPr>
            <w:tcW w:w="2070" w:type="dxa"/>
            <w:hideMark/>
          </w:tcPr>
          <w:p w:rsidRPr="009234F6" w:rsidR="009234F6" w:rsidP="009234F6" w:rsidRDefault="009234F6" w14:paraId="7B37ED21"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4/1/2021</w:t>
            </w:r>
          </w:p>
        </w:tc>
      </w:tr>
      <w:tr w:rsidRPr="009234F6" w:rsidR="009234F6" w:rsidTr="009234F6" w14:paraId="1574CC86" w14:textId="77777777">
        <w:trPr>
          <w:trHeight w:val="615"/>
        </w:trPr>
        <w:tc>
          <w:tcPr>
            <w:tcW w:w="1680" w:type="dxa"/>
            <w:hideMark/>
          </w:tcPr>
          <w:p w:rsidRPr="009234F6" w:rsidR="009234F6" w:rsidP="009234F6" w:rsidRDefault="009234F6" w14:paraId="77E57745"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PER-003-2</w:t>
            </w:r>
          </w:p>
        </w:tc>
        <w:tc>
          <w:tcPr>
            <w:tcW w:w="5520" w:type="dxa"/>
            <w:hideMark/>
          </w:tcPr>
          <w:p w:rsidRPr="009234F6" w:rsidR="009234F6" w:rsidP="009234F6" w:rsidRDefault="009234F6" w14:paraId="391D86CE"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Operating Personnel Credentials</w:t>
            </w:r>
          </w:p>
        </w:tc>
        <w:tc>
          <w:tcPr>
            <w:tcW w:w="2070" w:type="dxa"/>
            <w:hideMark/>
          </w:tcPr>
          <w:p w:rsidRPr="009234F6" w:rsidR="009234F6" w:rsidP="009234F6" w:rsidRDefault="009234F6" w14:paraId="3CC966AD"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7/1/2019</w:t>
            </w:r>
          </w:p>
        </w:tc>
      </w:tr>
      <w:tr w:rsidRPr="009234F6" w:rsidR="009234F6" w:rsidTr="009234F6" w14:paraId="41CD0F2A" w14:textId="77777777">
        <w:trPr>
          <w:trHeight w:val="1322"/>
        </w:trPr>
        <w:tc>
          <w:tcPr>
            <w:tcW w:w="1680" w:type="dxa"/>
            <w:hideMark/>
          </w:tcPr>
          <w:p w:rsidRPr="009234F6" w:rsidR="009234F6" w:rsidP="009234F6" w:rsidRDefault="009234F6" w14:paraId="3CD6E3B5"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PRC-008-0</w:t>
            </w:r>
          </w:p>
        </w:tc>
        <w:tc>
          <w:tcPr>
            <w:tcW w:w="5520" w:type="dxa"/>
            <w:hideMark/>
          </w:tcPr>
          <w:p w:rsidRPr="009234F6" w:rsidR="009234F6" w:rsidP="009234F6" w:rsidRDefault="009234F6" w14:paraId="1AEA64FB"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Implementation and Documentation of Underfrequency Load Shedding Equipment Maintenance Program</w:t>
            </w:r>
          </w:p>
        </w:tc>
        <w:tc>
          <w:tcPr>
            <w:tcW w:w="2070" w:type="dxa"/>
            <w:hideMark/>
          </w:tcPr>
          <w:p w:rsidRPr="009234F6" w:rsidR="009234F6" w:rsidP="009234F6" w:rsidRDefault="009234F6" w14:paraId="2D30BCF0"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6/18/2007</w:t>
            </w:r>
          </w:p>
        </w:tc>
      </w:tr>
      <w:tr w:rsidRPr="009234F6" w:rsidR="009234F6" w:rsidTr="009234F6" w14:paraId="619B2F26" w14:textId="77777777">
        <w:trPr>
          <w:trHeight w:val="1215"/>
        </w:trPr>
        <w:tc>
          <w:tcPr>
            <w:tcW w:w="1680" w:type="dxa"/>
            <w:hideMark/>
          </w:tcPr>
          <w:p w:rsidRPr="009234F6" w:rsidR="009234F6" w:rsidP="009234F6" w:rsidRDefault="009234F6" w14:paraId="72CB9F23"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PRC-011-0</w:t>
            </w:r>
          </w:p>
        </w:tc>
        <w:tc>
          <w:tcPr>
            <w:tcW w:w="5520" w:type="dxa"/>
            <w:hideMark/>
          </w:tcPr>
          <w:p w:rsidRPr="009234F6" w:rsidR="009234F6" w:rsidP="009234F6" w:rsidRDefault="009234F6" w14:paraId="08A4FC9A"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Undervoltage Load Shedding System Maintenance and Testing</w:t>
            </w:r>
          </w:p>
        </w:tc>
        <w:tc>
          <w:tcPr>
            <w:tcW w:w="2070" w:type="dxa"/>
            <w:hideMark/>
          </w:tcPr>
          <w:p w:rsidRPr="009234F6" w:rsidR="009234F6" w:rsidP="009234F6" w:rsidRDefault="009234F6" w14:paraId="3C7B4F3A"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6/18/2007</w:t>
            </w:r>
          </w:p>
        </w:tc>
      </w:tr>
      <w:tr w:rsidRPr="009234F6" w:rsidR="009234F6" w:rsidTr="009234F6" w14:paraId="35D4DD4E" w14:textId="77777777">
        <w:trPr>
          <w:trHeight w:val="323"/>
        </w:trPr>
        <w:tc>
          <w:tcPr>
            <w:tcW w:w="1680" w:type="dxa"/>
            <w:hideMark/>
          </w:tcPr>
          <w:p w:rsidRPr="009234F6" w:rsidR="009234F6" w:rsidP="009234F6" w:rsidRDefault="009234F6" w14:paraId="196C9ECC"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PRC-017-1</w:t>
            </w:r>
          </w:p>
        </w:tc>
        <w:tc>
          <w:tcPr>
            <w:tcW w:w="5520" w:type="dxa"/>
            <w:hideMark/>
          </w:tcPr>
          <w:p w:rsidRPr="009234F6" w:rsidR="009234F6" w:rsidP="009234F6" w:rsidRDefault="009234F6" w14:paraId="7714B15A"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Remedial Action Scheme Maintenance and Testing</w:t>
            </w:r>
          </w:p>
        </w:tc>
        <w:tc>
          <w:tcPr>
            <w:tcW w:w="2070" w:type="dxa"/>
            <w:hideMark/>
          </w:tcPr>
          <w:p w:rsidRPr="009234F6" w:rsidR="009234F6" w:rsidP="009234F6" w:rsidRDefault="009234F6" w14:paraId="6FE4C134"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4/1/2017</w:t>
            </w:r>
          </w:p>
        </w:tc>
      </w:tr>
      <w:tr w:rsidRPr="009234F6" w:rsidR="009234F6" w:rsidTr="009234F6" w14:paraId="545A9D5C" w14:textId="77777777">
        <w:trPr>
          <w:trHeight w:val="620"/>
        </w:trPr>
        <w:tc>
          <w:tcPr>
            <w:tcW w:w="1680" w:type="dxa"/>
            <w:hideMark/>
          </w:tcPr>
          <w:p w:rsidRPr="009234F6" w:rsidR="009234F6" w:rsidP="009234F6" w:rsidRDefault="009234F6" w14:paraId="423AC517"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PRC-018-1</w:t>
            </w:r>
          </w:p>
        </w:tc>
        <w:tc>
          <w:tcPr>
            <w:tcW w:w="5520" w:type="dxa"/>
            <w:hideMark/>
          </w:tcPr>
          <w:p w:rsidRPr="009234F6" w:rsidR="009234F6" w:rsidP="009234F6" w:rsidRDefault="009234F6" w14:paraId="63A7CF55"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Disturbance Monitoring Equipment Installation and Data Reporting</w:t>
            </w:r>
          </w:p>
        </w:tc>
        <w:tc>
          <w:tcPr>
            <w:tcW w:w="2070" w:type="dxa"/>
            <w:hideMark/>
          </w:tcPr>
          <w:p w:rsidRPr="009234F6" w:rsidR="009234F6" w:rsidP="009234F6" w:rsidRDefault="009234F6" w14:paraId="37C9D0C3"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6/18/2007</w:t>
            </w:r>
          </w:p>
        </w:tc>
      </w:tr>
      <w:tr w:rsidRPr="009234F6" w:rsidR="009234F6" w:rsidTr="009234F6" w14:paraId="1BEB658E" w14:textId="77777777">
        <w:trPr>
          <w:trHeight w:val="615"/>
        </w:trPr>
        <w:tc>
          <w:tcPr>
            <w:tcW w:w="1680" w:type="dxa"/>
            <w:hideMark/>
          </w:tcPr>
          <w:p w:rsidRPr="009234F6" w:rsidR="009234F6" w:rsidP="009234F6" w:rsidRDefault="009234F6" w14:paraId="3353A811"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TOP-001-5</w:t>
            </w:r>
          </w:p>
        </w:tc>
        <w:tc>
          <w:tcPr>
            <w:tcW w:w="5520" w:type="dxa"/>
            <w:hideMark/>
          </w:tcPr>
          <w:p w:rsidRPr="009234F6" w:rsidR="009234F6" w:rsidP="009234F6" w:rsidRDefault="009234F6" w14:paraId="2B635F41"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Transmission Operations</w:t>
            </w:r>
          </w:p>
        </w:tc>
        <w:tc>
          <w:tcPr>
            <w:tcW w:w="2070" w:type="dxa"/>
            <w:hideMark/>
          </w:tcPr>
          <w:p w:rsidRPr="009234F6" w:rsidR="009234F6" w:rsidP="009234F6" w:rsidRDefault="009234F6" w14:paraId="1E4A1A9B"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4/1/2021</w:t>
            </w:r>
          </w:p>
        </w:tc>
      </w:tr>
      <w:tr w:rsidRPr="009234F6" w:rsidR="009234F6" w:rsidTr="009234F6" w14:paraId="53082835" w14:textId="77777777">
        <w:trPr>
          <w:trHeight w:val="780"/>
        </w:trPr>
        <w:tc>
          <w:tcPr>
            <w:tcW w:w="1680" w:type="dxa"/>
            <w:hideMark/>
          </w:tcPr>
          <w:p w:rsidRPr="009234F6" w:rsidR="009234F6" w:rsidP="009234F6" w:rsidRDefault="009234F6" w14:paraId="30A3C9BC"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TOP-002-4</w:t>
            </w:r>
          </w:p>
        </w:tc>
        <w:tc>
          <w:tcPr>
            <w:tcW w:w="5520" w:type="dxa"/>
            <w:hideMark/>
          </w:tcPr>
          <w:p w:rsidRPr="009234F6" w:rsidR="009234F6" w:rsidP="009234F6" w:rsidRDefault="009234F6" w14:paraId="167F0046"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Operations Planning</w:t>
            </w:r>
          </w:p>
        </w:tc>
        <w:tc>
          <w:tcPr>
            <w:tcW w:w="2070" w:type="dxa"/>
            <w:hideMark/>
          </w:tcPr>
          <w:p w:rsidRPr="009234F6" w:rsidR="009234F6" w:rsidP="009234F6" w:rsidRDefault="009234F6" w14:paraId="213A4224"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4/1/2017</w:t>
            </w:r>
          </w:p>
        </w:tc>
      </w:tr>
      <w:tr w:rsidRPr="009234F6" w:rsidR="009234F6" w:rsidTr="009234F6" w14:paraId="0DBB7803" w14:textId="77777777">
        <w:trPr>
          <w:trHeight w:val="615"/>
        </w:trPr>
        <w:tc>
          <w:tcPr>
            <w:tcW w:w="1680" w:type="dxa"/>
            <w:hideMark/>
          </w:tcPr>
          <w:p w:rsidRPr="009234F6" w:rsidR="009234F6" w:rsidP="009234F6" w:rsidRDefault="009234F6" w14:paraId="7AFB5DE1"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TOP-003-4</w:t>
            </w:r>
          </w:p>
        </w:tc>
        <w:tc>
          <w:tcPr>
            <w:tcW w:w="5520" w:type="dxa"/>
            <w:hideMark/>
          </w:tcPr>
          <w:p w:rsidRPr="009234F6" w:rsidR="009234F6" w:rsidP="009234F6" w:rsidRDefault="009234F6" w14:paraId="184D7EC5"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Operational Reliability Data</w:t>
            </w:r>
          </w:p>
        </w:tc>
        <w:tc>
          <w:tcPr>
            <w:tcW w:w="2070" w:type="dxa"/>
            <w:hideMark/>
          </w:tcPr>
          <w:p w:rsidRPr="009234F6" w:rsidR="009234F6" w:rsidP="009234F6" w:rsidRDefault="009234F6" w14:paraId="7005131F"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4/1/2021</w:t>
            </w:r>
          </w:p>
        </w:tc>
      </w:tr>
      <w:tr w:rsidRPr="009234F6" w:rsidR="009234F6" w:rsidTr="009234F6" w14:paraId="336E9143" w14:textId="77777777">
        <w:trPr>
          <w:trHeight w:val="915"/>
        </w:trPr>
        <w:tc>
          <w:tcPr>
            <w:tcW w:w="1680" w:type="dxa"/>
            <w:hideMark/>
          </w:tcPr>
          <w:p w:rsidRPr="009234F6" w:rsidR="009234F6" w:rsidP="009234F6" w:rsidRDefault="009234F6" w14:paraId="6BF7C65B" w14:textId="77777777">
            <w:pPr>
              <w:rPr>
                <w:rFonts w:ascii="Times New Roman" w:hAnsi="Times New Roman" w:cs="Times New Roman"/>
                <w:b/>
                <w:bCs/>
                <w:iCs/>
                <w:sz w:val="24"/>
                <w:szCs w:val="24"/>
              </w:rPr>
            </w:pPr>
            <w:r w:rsidRPr="009234F6">
              <w:rPr>
                <w:rFonts w:ascii="Times New Roman" w:hAnsi="Times New Roman" w:cs="Times New Roman"/>
                <w:b/>
                <w:bCs/>
                <w:iCs/>
                <w:sz w:val="24"/>
                <w:szCs w:val="24"/>
              </w:rPr>
              <w:t>TOP-010-1(i)</w:t>
            </w:r>
          </w:p>
        </w:tc>
        <w:tc>
          <w:tcPr>
            <w:tcW w:w="5520" w:type="dxa"/>
            <w:hideMark/>
          </w:tcPr>
          <w:p w:rsidRPr="009234F6" w:rsidR="009234F6" w:rsidP="009234F6" w:rsidRDefault="009234F6" w14:paraId="1B8184E6"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Real-time Reliability Monitoring and Analysis Capabilities</w:t>
            </w:r>
          </w:p>
        </w:tc>
        <w:tc>
          <w:tcPr>
            <w:tcW w:w="2070" w:type="dxa"/>
            <w:hideMark/>
          </w:tcPr>
          <w:p w:rsidRPr="009234F6" w:rsidR="009234F6" w:rsidP="009234F6" w:rsidRDefault="009234F6" w14:paraId="52D43E80" w14:textId="77777777">
            <w:pPr>
              <w:rPr>
                <w:rFonts w:ascii="Times New Roman" w:hAnsi="Times New Roman" w:cs="Times New Roman"/>
                <w:b/>
                <w:bCs/>
                <w:iCs/>
                <w:sz w:val="24"/>
                <w:szCs w:val="24"/>
                <w:u w:val="single"/>
              </w:rPr>
            </w:pPr>
            <w:r w:rsidRPr="009234F6">
              <w:rPr>
                <w:rFonts w:ascii="Times New Roman" w:hAnsi="Times New Roman" w:cs="Times New Roman"/>
                <w:b/>
                <w:bCs/>
                <w:iCs/>
                <w:sz w:val="24"/>
                <w:szCs w:val="24"/>
              </w:rPr>
              <w:t>4/1/2018</w:t>
            </w:r>
          </w:p>
        </w:tc>
      </w:tr>
    </w:tbl>
    <w:p w:rsidRPr="009234F6" w:rsidR="009234F6" w:rsidP="009234F6" w:rsidRDefault="009234F6" w14:paraId="33C78C3C" w14:textId="77777777">
      <w:pPr>
        <w:spacing w:after="0" w:line="240" w:lineRule="auto"/>
        <w:rPr>
          <w:rFonts w:ascii="Times New Roman" w:hAnsi="Times New Roman" w:cs="Times New Roman"/>
          <w:iCs/>
          <w:sz w:val="24"/>
          <w:szCs w:val="24"/>
        </w:rPr>
      </w:pPr>
    </w:p>
    <w:p w:rsidRPr="00BA57C6" w:rsidR="00BA57C6" w:rsidP="00BA57C6" w:rsidRDefault="00BA57C6" w14:paraId="6B16B1A6" w14:textId="4759C333">
      <w:pPr>
        <w:spacing w:after="0" w:line="240" w:lineRule="auto"/>
        <w:rPr>
          <w:rFonts w:ascii="Times New Roman" w:hAnsi="Times New Roman" w:eastAsia="Calibri" w:cs="Times New Roman"/>
          <w:sz w:val="26"/>
          <w:szCs w:val="26"/>
        </w:rPr>
      </w:pPr>
      <w:r w:rsidRPr="00BA57C6">
        <w:rPr>
          <w:rFonts w:ascii="Times New Roman" w:hAnsi="Times New Roman" w:eastAsia="Calibri" w:cs="Times New Roman"/>
          <w:sz w:val="26"/>
          <w:szCs w:val="26"/>
        </w:rPr>
        <w:t>The existing burden inventory for the entire FERC-725A collection is estimated at 1,</w:t>
      </w:r>
      <w:r w:rsidR="001D0D91">
        <w:rPr>
          <w:rFonts w:ascii="Times New Roman" w:hAnsi="Times New Roman" w:eastAsia="Calibri" w:cs="Times New Roman"/>
          <w:sz w:val="26"/>
          <w:szCs w:val="26"/>
        </w:rPr>
        <w:t>456</w:t>
      </w:r>
      <w:r w:rsidRPr="00BA57C6">
        <w:rPr>
          <w:rFonts w:ascii="Times New Roman" w:hAnsi="Times New Roman" w:eastAsia="Calibri" w:cs="Times New Roman"/>
          <w:sz w:val="26"/>
          <w:szCs w:val="26"/>
        </w:rPr>
        <w:t>,</w:t>
      </w:r>
      <w:r w:rsidR="001D0D91">
        <w:rPr>
          <w:rFonts w:ascii="Times New Roman" w:hAnsi="Times New Roman" w:eastAsia="Calibri" w:cs="Times New Roman"/>
          <w:sz w:val="26"/>
          <w:szCs w:val="26"/>
        </w:rPr>
        <w:t>686</w:t>
      </w:r>
      <w:r w:rsidRPr="00BA57C6">
        <w:rPr>
          <w:rFonts w:ascii="Times New Roman" w:hAnsi="Times New Roman" w:eastAsia="Calibri" w:cs="Times New Roman"/>
          <w:sz w:val="26"/>
          <w:szCs w:val="26"/>
        </w:rPr>
        <w:t xml:space="preserve"> burden hours.  FERC</w:t>
      </w:r>
      <w:r w:rsidR="00FF0862">
        <w:rPr>
          <w:rFonts w:ascii="Times New Roman" w:hAnsi="Times New Roman" w:eastAsia="Calibri" w:cs="Times New Roman"/>
          <w:sz w:val="26"/>
          <w:szCs w:val="26"/>
        </w:rPr>
        <w:t>-</w:t>
      </w:r>
      <w:r w:rsidRPr="00BA57C6">
        <w:rPr>
          <w:rFonts w:ascii="Times New Roman" w:hAnsi="Times New Roman" w:eastAsia="Calibri" w:cs="Times New Roman"/>
          <w:sz w:val="26"/>
          <w:szCs w:val="26"/>
        </w:rPr>
        <w:t>725A contains the information collection requirements for nearly all of the US wide Reliability Standards.  The collection started in 2007 when FERC approved 83 Reliability Standards with an estimated 1,252,680 burden hours.</w:t>
      </w:r>
    </w:p>
    <w:p w:rsidRPr="00BA57C6" w:rsidR="00BA57C6" w:rsidP="00BA57C6" w:rsidRDefault="00BA57C6" w14:paraId="7A13F7D1" w14:textId="7276300C">
      <w:pPr>
        <w:spacing w:after="0" w:line="240" w:lineRule="auto"/>
        <w:rPr>
          <w:rFonts w:ascii="Times New Roman" w:hAnsi="Times New Roman" w:eastAsia="Calibri" w:cs="Times New Roman"/>
          <w:sz w:val="26"/>
          <w:szCs w:val="26"/>
        </w:rPr>
      </w:pPr>
      <w:r w:rsidRPr="00BA57C6">
        <w:rPr>
          <w:rFonts w:ascii="Times New Roman" w:hAnsi="Times New Roman" w:eastAsia="Calibri" w:cs="Times New Roman"/>
          <w:sz w:val="26"/>
          <w:szCs w:val="26"/>
        </w:rPr>
        <w:lastRenderedPageBreak/>
        <w:t>Since that time</w:t>
      </w:r>
      <w:r w:rsidR="00836ACB">
        <w:rPr>
          <w:rFonts w:ascii="Times New Roman" w:hAnsi="Times New Roman" w:eastAsia="Calibri" w:cs="Times New Roman"/>
          <w:sz w:val="26"/>
          <w:szCs w:val="26"/>
        </w:rPr>
        <w:t>,</w:t>
      </w:r>
      <w:r w:rsidRPr="00BA57C6">
        <w:rPr>
          <w:rFonts w:ascii="Times New Roman" w:hAnsi="Times New Roman" w:eastAsia="Calibri" w:cs="Times New Roman"/>
          <w:sz w:val="26"/>
          <w:szCs w:val="26"/>
        </w:rPr>
        <w:t xml:space="preserve"> NERC has revised many of the original standards (as well as proposed new standards) resulting in many incremental additions to the total burden hours (a total of approximately 575,000 burden hours).  One of the most notable additions occurred in 2011(ICR # 201012-1902-005) when we closely evaluated the number of respondents and found that there were approximately 500 more than we previously estimated.  This adjustment increased the total burden for the FERC-725A by approximately 450,000 hours.   </w:t>
      </w:r>
    </w:p>
    <w:p w:rsidRPr="00BD0FD5" w:rsidR="006A5231" w:rsidP="006A5231" w:rsidRDefault="006A5231" w14:paraId="6B170CE7" w14:textId="77777777">
      <w:pPr>
        <w:pStyle w:val="FERCparanumber"/>
        <w:numPr>
          <w:ilvl w:val="0"/>
          <w:numId w:val="0"/>
        </w:numPr>
        <w:spacing w:line="240" w:lineRule="auto"/>
        <w:rPr>
          <w:sz w:val="24"/>
        </w:rPr>
      </w:pPr>
    </w:p>
    <w:p w:rsidRPr="00BD0FD5" w:rsidR="00D80FBD" w:rsidP="0092596C" w:rsidRDefault="00E636D7" w14:paraId="6E56DD0C"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ESTIMATE OF THE TOTAL ANNUAL COST BURDEN TO RESPONDENTS</w:t>
      </w:r>
    </w:p>
    <w:p w:rsidRPr="00BD0FD5" w:rsidR="00E636D7" w:rsidP="0092596C" w:rsidRDefault="00E636D7" w14:paraId="156AFB31" w14:textId="77777777">
      <w:pPr>
        <w:spacing w:after="0" w:line="240" w:lineRule="auto"/>
        <w:rPr>
          <w:rFonts w:ascii="Times New Roman" w:hAnsi="Times New Roman" w:cs="Times New Roman"/>
          <w:sz w:val="24"/>
          <w:szCs w:val="24"/>
        </w:rPr>
      </w:pPr>
    </w:p>
    <w:p w:rsidRPr="00BD0FD5" w:rsidR="004552E9" w:rsidP="0092596C" w:rsidRDefault="004552E9" w14:paraId="44333495" w14:textId="77777777">
      <w:pPr>
        <w:spacing w:after="0" w:line="240" w:lineRule="auto"/>
        <w:rPr>
          <w:rFonts w:ascii="Times New Roman" w:hAnsi="Times New Roman"/>
          <w:sz w:val="24"/>
          <w:szCs w:val="24"/>
        </w:rPr>
      </w:pPr>
      <w:r w:rsidRPr="00BD0FD5">
        <w:rPr>
          <w:rFonts w:ascii="Times New Roman" w:hAnsi="Times New Roman"/>
          <w:sz w:val="24"/>
          <w:szCs w:val="24"/>
        </w:rPr>
        <w:t xml:space="preserve">There is no start-up or other non-labor hour cost associated with </w:t>
      </w:r>
      <w:r w:rsidRPr="00BD0FD5" w:rsidR="006A5231">
        <w:rPr>
          <w:rFonts w:ascii="Times New Roman" w:hAnsi="Times New Roman"/>
          <w:sz w:val="24"/>
          <w:szCs w:val="24"/>
        </w:rPr>
        <w:t>this collection</w:t>
      </w:r>
      <w:r w:rsidRPr="00BD0FD5">
        <w:rPr>
          <w:rFonts w:ascii="Times New Roman" w:hAnsi="Times New Roman"/>
          <w:sz w:val="24"/>
          <w:szCs w:val="24"/>
        </w:rPr>
        <w:t xml:space="preserve">.  </w:t>
      </w:r>
    </w:p>
    <w:p w:rsidRPr="00BD0FD5" w:rsidR="00E636D7" w:rsidP="0092596C" w:rsidRDefault="00E636D7" w14:paraId="7B75114A" w14:textId="77777777">
      <w:pPr>
        <w:spacing w:after="0" w:line="240" w:lineRule="auto"/>
        <w:rPr>
          <w:rFonts w:ascii="Times New Roman" w:hAnsi="Times New Roman" w:cs="Times New Roman"/>
          <w:sz w:val="24"/>
          <w:szCs w:val="24"/>
        </w:rPr>
      </w:pPr>
    </w:p>
    <w:p w:rsidRPr="00BD0FD5" w:rsidR="00E636D7" w:rsidP="0092596C" w:rsidRDefault="00A276F5" w14:paraId="552549EE"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ESTIMATED ANNUALIZED COST TO FEDERAL GOVERNMENT</w:t>
      </w:r>
    </w:p>
    <w:p w:rsidRPr="00BD0FD5" w:rsidR="00A276F5" w:rsidP="0092596C" w:rsidRDefault="00A276F5" w14:paraId="129207A8" w14:textId="77777777">
      <w:pPr>
        <w:spacing w:after="0" w:line="240" w:lineRule="auto"/>
        <w:rPr>
          <w:rFonts w:ascii="Times New Roman" w:hAnsi="Times New Roman" w:cs="Times New Roman"/>
          <w:sz w:val="24"/>
          <w:szCs w:val="24"/>
        </w:rPr>
      </w:pPr>
    </w:p>
    <w:p w:rsidRPr="001B66CF" w:rsidR="001B66CF" w:rsidP="001B66CF" w:rsidRDefault="001B66CF" w14:paraId="20A89DBE" w14:textId="77777777">
      <w:pPr>
        <w:spacing w:after="0" w:line="240" w:lineRule="auto"/>
        <w:rPr>
          <w:rFonts w:ascii="Times New Roman" w:hAnsi="Times New Roman" w:eastAsia="Calibri" w:cs="Times New Roman"/>
          <w:sz w:val="26"/>
          <w:szCs w:val="26"/>
        </w:rPr>
      </w:pPr>
      <w:r w:rsidRPr="001B66CF">
        <w:rPr>
          <w:rFonts w:ascii="Times New Roman" w:hAnsi="Times New Roman" w:eastAsia="Calibri" w:cs="Times New Roman"/>
          <w:sz w:val="26"/>
          <w:szCs w:val="26"/>
        </w:rPr>
        <w:t>The estimate of the cost for ‘analysis and processing of filings’</w:t>
      </w:r>
      <w:r w:rsidRPr="001B66CF">
        <w:rPr>
          <w:rFonts w:ascii="Times New Roman" w:hAnsi="Times New Roman" w:eastAsia="Calibri" w:cs="Times New Roman"/>
          <w:sz w:val="26"/>
          <w:szCs w:val="26"/>
          <w:vertAlign w:val="superscript"/>
        </w:rPr>
        <w:footnoteReference w:id="8"/>
      </w:r>
      <w:r w:rsidRPr="001B66CF">
        <w:rPr>
          <w:rFonts w:ascii="Times New Roman" w:hAnsi="Times New Roman" w:eastAsia="Calibri" w:cs="Times New Roman"/>
          <w:sz w:val="26"/>
          <w:szCs w:val="26"/>
          <w:vertAlign w:val="superscript"/>
        </w:rPr>
        <w:t xml:space="preserve"> </w:t>
      </w:r>
      <w:r w:rsidRPr="001B66CF">
        <w:rPr>
          <w:rFonts w:ascii="Times New Roman" w:hAnsi="Times New Roman" w:eastAsia="Calibri" w:cs="Times New Roman"/>
          <w:sz w:val="26"/>
          <w:szCs w:val="26"/>
        </w:rPr>
        <w:t xml:space="preserve">is based on salaries and benefits for professional and clerical support.  This estimated cost represents staff analysis, decision-making, and review of any actual filings submitted in response to the information collection.  </w:t>
      </w:r>
    </w:p>
    <w:p w:rsidRPr="001B66CF" w:rsidR="001B66CF" w:rsidP="001B66CF" w:rsidRDefault="001B66CF" w14:paraId="7FB8557D" w14:textId="77777777">
      <w:pPr>
        <w:spacing w:after="0" w:line="240" w:lineRule="auto"/>
        <w:rPr>
          <w:rFonts w:ascii="Times New Roman" w:hAnsi="Times New Roman" w:eastAsia="Calibri" w:cs="Times New Roman"/>
          <w:sz w:val="26"/>
          <w:szCs w:val="26"/>
        </w:rPr>
      </w:pPr>
    </w:p>
    <w:p w:rsidRPr="001B66CF" w:rsidR="001B66CF" w:rsidP="001B66CF" w:rsidRDefault="001B66CF" w14:paraId="5DB4A9F3" w14:textId="77777777">
      <w:pPr>
        <w:spacing w:after="0" w:line="240" w:lineRule="auto"/>
        <w:rPr>
          <w:rFonts w:ascii="Times New Roman" w:hAnsi="Times New Roman" w:eastAsia="Calibri" w:cs="Times New Roman"/>
          <w:sz w:val="26"/>
          <w:szCs w:val="26"/>
        </w:rPr>
      </w:pPr>
      <w:r w:rsidRPr="001B66CF">
        <w:rPr>
          <w:rFonts w:ascii="Times New Roman" w:hAnsi="Times New Roman" w:eastAsia="Calibri" w:cs="Times New Roman"/>
          <w:sz w:val="26"/>
          <w:szCs w:val="26"/>
        </w:rPr>
        <w:t>The Paperwork Reduction Act (PRA) Administrative Cost is the average annual FERC cost associated with preparing, issuing, and submitting materials necessary to comply with the PRA for rulemakings, orders, or any other vehicle used to create, modify, extend, or discontinue an information collection.  It also includes the cost of publishing the necessary notices in the Federal Register.</w:t>
      </w:r>
    </w:p>
    <w:p w:rsidRPr="001B66CF" w:rsidR="001B66CF" w:rsidP="001B66CF" w:rsidRDefault="001B66CF" w14:paraId="76E8ADC2" w14:textId="77777777">
      <w:pPr>
        <w:tabs>
          <w:tab w:val="left" w:pos="-1440"/>
        </w:tabs>
        <w:autoSpaceDE w:val="0"/>
        <w:autoSpaceDN w:val="0"/>
        <w:adjustRightInd w:val="0"/>
        <w:spacing w:after="0" w:line="240" w:lineRule="auto"/>
        <w:ind w:left="720" w:hanging="720"/>
        <w:rPr>
          <w:rFonts w:ascii="Times New Roman" w:hAnsi="Times New Roman" w:eastAsia="Times New Roman" w:cs="Times New Roman"/>
          <w:b/>
          <w:bCs/>
          <w:sz w:val="26"/>
          <w:szCs w:val="26"/>
        </w:rPr>
      </w:pPr>
    </w:p>
    <w:tbl>
      <w:tblPr>
        <w:tblW w:w="10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82"/>
        <w:gridCol w:w="3201"/>
        <w:gridCol w:w="3985"/>
      </w:tblGrid>
      <w:tr w:rsidRPr="001B66CF" w:rsidR="001B66CF" w:rsidTr="007C5EB4" w14:paraId="6E059B37" w14:textId="77777777">
        <w:tc>
          <w:tcPr>
            <w:tcW w:w="3182" w:type="dxa"/>
            <w:shd w:val="clear" w:color="auto" w:fill="CCCCCC"/>
          </w:tcPr>
          <w:p w:rsidRPr="001B66CF" w:rsidR="001B66CF" w:rsidP="001B66CF" w:rsidRDefault="001B66CF" w14:paraId="575EED8D" w14:textId="77777777">
            <w:pPr>
              <w:autoSpaceDE w:val="0"/>
              <w:autoSpaceDN w:val="0"/>
              <w:adjustRightInd w:val="0"/>
              <w:spacing w:after="0" w:line="240" w:lineRule="auto"/>
              <w:rPr>
                <w:rFonts w:ascii="Times New Roman" w:hAnsi="Times New Roman" w:eastAsia="Times New Roman" w:cs="Times New Roman"/>
                <w:sz w:val="26"/>
                <w:szCs w:val="26"/>
              </w:rPr>
            </w:pPr>
          </w:p>
        </w:tc>
        <w:tc>
          <w:tcPr>
            <w:tcW w:w="3201" w:type="dxa"/>
            <w:shd w:val="clear" w:color="auto" w:fill="CCCCCC"/>
          </w:tcPr>
          <w:p w:rsidRPr="001B66CF" w:rsidR="001B66CF" w:rsidP="001B66CF" w:rsidRDefault="001B66CF" w14:paraId="6FCC20A6" w14:textId="77777777">
            <w:pPr>
              <w:autoSpaceDE w:val="0"/>
              <w:autoSpaceDN w:val="0"/>
              <w:adjustRightInd w:val="0"/>
              <w:spacing w:after="0" w:line="240" w:lineRule="auto"/>
              <w:rPr>
                <w:rFonts w:ascii="Times New Roman" w:hAnsi="Times New Roman" w:eastAsia="Times New Roman" w:cs="Times New Roman"/>
                <w:b/>
                <w:sz w:val="26"/>
                <w:szCs w:val="26"/>
              </w:rPr>
            </w:pPr>
            <w:r w:rsidRPr="001B66CF">
              <w:rPr>
                <w:rFonts w:ascii="Times New Roman" w:hAnsi="Times New Roman" w:eastAsia="Times New Roman" w:cs="Times New Roman"/>
                <w:b/>
                <w:sz w:val="26"/>
                <w:szCs w:val="26"/>
              </w:rPr>
              <w:t>Number of Employees (FTEs)</w:t>
            </w:r>
          </w:p>
        </w:tc>
        <w:tc>
          <w:tcPr>
            <w:tcW w:w="3985" w:type="dxa"/>
            <w:shd w:val="clear" w:color="auto" w:fill="CCCCCC"/>
          </w:tcPr>
          <w:p w:rsidRPr="001B66CF" w:rsidR="001B66CF" w:rsidP="001B66CF" w:rsidRDefault="001B66CF" w14:paraId="050D65C3" w14:textId="77777777">
            <w:pPr>
              <w:autoSpaceDE w:val="0"/>
              <w:autoSpaceDN w:val="0"/>
              <w:adjustRightInd w:val="0"/>
              <w:spacing w:after="0" w:line="240" w:lineRule="auto"/>
              <w:rPr>
                <w:rFonts w:ascii="Times New Roman" w:hAnsi="Times New Roman" w:eastAsia="Times New Roman" w:cs="Times New Roman"/>
                <w:b/>
                <w:sz w:val="26"/>
                <w:szCs w:val="26"/>
              </w:rPr>
            </w:pPr>
            <w:r w:rsidRPr="001B66CF">
              <w:rPr>
                <w:rFonts w:ascii="Times New Roman" w:hAnsi="Times New Roman" w:eastAsia="Times New Roman" w:cs="Times New Roman"/>
                <w:b/>
                <w:sz w:val="26"/>
                <w:szCs w:val="26"/>
              </w:rPr>
              <w:t>Estimated Annual Federal Cost</w:t>
            </w:r>
          </w:p>
        </w:tc>
      </w:tr>
      <w:tr w:rsidRPr="001B66CF" w:rsidR="001B66CF" w:rsidTr="007C5EB4" w14:paraId="42CA9A47" w14:textId="77777777">
        <w:tc>
          <w:tcPr>
            <w:tcW w:w="3182" w:type="dxa"/>
            <w:shd w:val="clear" w:color="auto" w:fill="auto"/>
          </w:tcPr>
          <w:p w:rsidRPr="001B66CF" w:rsidR="001B66CF" w:rsidP="001B66CF" w:rsidRDefault="001B66CF" w14:paraId="682081B7" w14:textId="77777777">
            <w:pPr>
              <w:autoSpaceDE w:val="0"/>
              <w:autoSpaceDN w:val="0"/>
              <w:adjustRightInd w:val="0"/>
              <w:spacing w:after="0" w:line="240" w:lineRule="auto"/>
              <w:rPr>
                <w:rFonts w:ascii="Times New Roman" w:hAnsi="Times New Roman" w:eastAsia="Times New Roman" w:cs="Times New Roman"/>
                <w:sz w:val="26"/>
                <w:szCs w:val="26"/>
              </w:rPr>
            </w:pPr>
            <w:r w:rsidRPr="001B66CF">
              <w:rPr>
                <w:rFonts w:ascii="Times New Roman" w:hAnsi="Times New Roman" w:eastAsia="Times New Roman" w:cs="Times New Roman"/>
                <w:sz w:val="26"/>
                <w:szCs w:val="26"/>
              </w:rPr>
              <w:t>Analysis and Processing of filings</w:t>
            </w:r>
          </w:p>
        </w:tc>
        <w:tc>
          <w:tcPr>
            <w:tcW w:w="3201" w:type="dxa"/>
            <w:shd w:val="clear" w:color="auto" w:fill="auto"/>
            <w:vAlign w:val="center"/>
          </w:tcPr>
          <w:p w:rsidRPr="001B66CF" w:rsidR="001B66CF" w:rsidP="001B66CF" w:rsidRDefault="001B66CF" w14:paraId="421D49AF" w14:textId="6CDE7F74">
            <w:pPr>
              <w:autoSpaceDE w:val="0"/>
              <w:autoSpaceDN w:val="0"/>
              <w:adjustRightInd w:val="0"/>
              <w:spacing w:after="0" w:line="240" w:lineRule="auto"/>
              <w:jc w:val="right"/>
              <w:rPr>
                <w:rFonts w:ascii="Times New Roman" w:hAnsi="Times New Roman" w:eastAsia="Times New Roman" w:cs="Times New Roman"/>
                <w:sz w:val="26"/>
                <w:szCs w:val="26"/>
              </w:rPr>
            </w:pPr>
            <w:r w:rsidRPr="001B66CF">
              <w:rPr>
                <w:rFonts w:ascii="Times New Roman" w:hAnsi="Times New Roman" w:eastAsia="Times New Roman" w:cs="Times New Roman"/>
                <w:sz w:val="26"/>
                <w:szCs w:val="26"/>
              </w:rPr>
              <w:t>0</w:t>
            </w:r>
          </w:p>
        </w:tc>
        <w:tc>
          <w:tcPr>
            <w:tcW w:w="3985" w:type="dxa"/>
            <w:shd w:val="clear" w:color="auto" w:fill="auto"/>
            <w:vAlign w:val="center"/>
          </w:tcPr>
          <w:p w:rsidRPr="001B66CF" w:rsidR="001B66CF" w:rsidP="001B66CF" w:rsidRDefault="001B66CF" w14:paraId="78A0903E" w14:textId="172DFA8F">
            <w:pPr>
              <w:autoSpaceDE w:val="0"/>
              <w:autoSpaceDN w:val="0"/>
              <w:adjustRightInd w:val="0"/>
              <w:spacing w:after="0" w:line="240" w:lineRule="auto"/>
              <w:jc w:val="right"/>
              <w:rPr>
                <w:rFonts w:ascii="Times New Roman" w:hAnsi="Times New Roman" w:eastAsia="Times New Roman" w:cs="Times New Roman"/>
                <w:sz w:val="26"/>
                <w:szCs w:val="26"/>
                <w:highlight w:val="yellow"/>
              </w:rPr>
            </w:pPr>
            <w:r w:rsidRPr="001B66CF">
              <w:rPr>
                <w:rFonts w:ascii="Times New Roman" w:hAnsi="Times New Roman" w:eastAsia="Times New Roman" w:cs="Times New Roman"/>
                <w:sz w:val="26"/>
                <w:szCs w:val="26"/>
              </w:rPr>
              <w:t>$0</w:t>
            </w:r>
          </w:p>
        </w:tc>
      </w:tr>
      <w:tr w:rsidRPr="001B66CF" w:rsidR="001B66CF" w:rsidTr="007C5EB4" w14:paraId="2BC4BA8A" w14:textId="77777777">
        <w:tc>
          <w:tcPr>
            <w:tcW w:w="3182" w:type="dxa"/>
            <w:shd w:val="clear" w:color="auto" w:fill="auto"/>
          </w:tcPr>
          <w:p w:rsidRPr="001B66CF" w:rsidR="001B66CF" w:rsidP="001B66CF" w:rsidRDefault="001B66CF" w14:paraId="718D6417" w14:textId="77777777">
            <w:pPr>
              <w:autoSpaceDE w:val="0"/>
              <w:autoSpaceDN w:val="0"/>
              <w:adjustRightInd w:val="0"/>
              <w:spacing w:after="0" w:line="240" w:lineRule="auto"/>
              <w:rPr>
                <w:rFonts w:ascii="Times New Roman" w:hAnsi="Times New Roman" w:eastAsia="Times New Roman" w:cs="Times New Roman"/>
                <w:sz w:val="26"/>
                <w:szCs w:val="26"/>
              </w:rPr>
            </w:pPr>
            <w:r w:rsidRPr="001B66CF">
              <w:rPr>
                <w:rFonts w:ascii="Times New Roman" w:hAnsi="Times New Roman" w:eastAsia="Times New Roman" w:cs="Times New Roman"/>
                <w:sz w:val="26"/>
                <w:szCs w:val="26"/>
              </w:rPr>
              <w:t>PRA Administrative Cost</w:t>
            </w:r>
          </w:p>
        </w:tc>
        <w:tc>
          <w:tcPr>
            <w:tcW w:w="3201" w:type="dxa"/>
            <w:shd w:val="clear" w:color="auto" w:fill="auto"/>
            <w:vAlign w:val="center"/>
          </w:tcPr>
          <w:p w:rsidRPr="001B66CF" w:rsidR="001B66CF" w:rsidP="001B66CF" w:rsidRDefault="001B66CF" w14:paraId="5845BF70" w14:textId="77777777">
            <w:pPr>
              <w:autoSpaceDE w:val="0"/>
              <w:autoSpaceDN w:val="0"/>
              <w:adjustRightInd w:val="0"/>
              <w:spacing w:after="0" w:line="240" w:lineRule="auto"/>
              <w:jc w:val="right"/>
              <w:rPr>
                <w:rFonts w:ascii="Times New Roman" w:hAnsi="Times New Roman" w:eastAsia="Times New Roman" w:cs="Times New Roman"/>
                <w:sz w:val="26"/>
                <w:szCs w:val="26"/>
              </w:rPr>
            </w:pPr>
          </w:p>
        </w:tc>
        <w:tc>
          <w:tcPr>
            <w:tcW w:w="3985" w:type="dxa"/>
            <w:shd w:val="clear" w:color="auto" w:fill="auto"/>
            <w:vAlign w:val="center"/>
          </w:tcPr>
          <w:p w:rsidRPr="001B66CF" w:rsidR="001B66CF" w:rsidP="001B66CF" w:rsidRDefault="001B66CF" w14:paraId="06CE19E9" w14:textId="77777777">
            <w:pPr>
              <w:autoSpaceDE w:val="0"/>
              <w:autoSpaceDN w:val="0"/>
              <w:adjustRightInd w:val="0"/>
              <w:spacing w:after="0" w:line="240" w:lineRule="auto"/>
              <w:jc w:val="right"/>
              <w:rPr>
                <w:rFonts w:ascii="Times New Roman" w:hAnsi="Times New Roman" w:eastAsia="Times New Roman" w:cs="Times New Roman"/>
                <w:sz w:val="26"/>
                <w:szCs w:val="26"/>
              </w:rPr>
            </w:pPr>
            <w:r w:rsidRPr="001B66CF">
              <w:rPr>
                <w:rFonts w:ascii="Times New Roman" w:hAnsi="Times New Roman" w:eastAsia="Times New Roman" w:cs="Times New Roman"/>
                <w:sz w:val="26"/>
                <w:szCs w:val="26"/>
              </w:rPr>
              <w:t>$6,475</w:t>
            </w:r>
          </w:p>
        </w:tc>
      </w:tr>
      <w:tr w:rsidRPr="001B66CF" w:rsidR="001B66CF" w:rsidTr="007C5EB4" w14:paraId="6B8F4D89" w14:textId="77777777">
        <w:tc>
          <w:tcPr>
            <w:tcW w:w="3182" w:type="dxa"/>
            <w:shd w:val="clear" w:color="auto" w:fill="auto"/>
          </w:tcPr>
          <w:p w:rsidRPr="001B66CF" w:rsidR="001B66CF" w:rsidP="001B66CF" w:rsidRDefault="001B66CF" w14:paraId="35351122" w14:textId="77777777">
            <w:pPr>
              <w:autoSpaceDE w:val="0"/>
              <w:autoSpaceDN w:val="0"/>
              <w:adjustRightInd w:val="0"/>
              <w:spacing w:after="0" w:line="240" w:lineRule="auto"/>
              <w:rPr>
                <w:rFonts w:ascii="Times New Roman" w:hAnsi="Times New Roman" w:eastAsia="Times New Roman" w:cs="Times New Roman"/>
                <w:b/>
                <w:sz w:val="26"/>
                <w:szCs w:val="26"/>
              </w:rPr>
            </w:pPr>
            <w:r w:rsidRPr="001B66CF">
              <w:rPr>
                <w:rFonts w:ascii="Times New Roman" w:hAnsi="Times New Roman" w:eastAsia="Times New Roman" w:cs="Times New Roman"/>
                <w:b/>
                <w:sz w:val="26"/>
                <w:szCs w:val="26"/>
              </w:rPr>
              <w:t>FERC Total</w:t>
            </w:r>
          </w:p>
        </w:tc>
        <w:tc>
          <w:tcPr>
            <w:tcW w:w="3201" w:type="dxa"/>
            <w:shd w:val="clear" w:color="auto" w:fill="auto"/>
            <w:vAlign w:val="center"/>
          </w:tcPr>
          <w:p w:rsidRPr="001B66CF" w:rsidR="001B66CF" w:rsidP="001B66CF" w:rsidRDefault="001B66CF" w14:paraId="4FDF0664" w14:textId="77777777">
            <w:pPr>
              <w:autoSpaceDE w:val="0"/>
              <w:autoSpaceDN w:val="0"/>
              <w:adjustRightInd w:val="0"/>
              <w:spacing w:after="0" w:line="240" w:lineRule="auto"/>
              <w:jc w:val="right"/>
              <w:rPr>
                <w:rFonts w:ascii="Times New Roman" w:hAnsi="Times New Roman" w:eastAsia="Times New Roman" w:cs="Times New Roman"/>
                <w:sz w:val="26"/>
                <w:szCs w:val="26"/>
              </w:rPr>
            </w:pPr>
          </w:p>
        </w:tc>
        <w:tc>
          <w:tcPr>
            <w:tcW w:w="3985" w:type="dxa"/>
            <w:shd w:val="clear" w:color="auto" w:fill="auto"/>
            <w:vAlign w:val="center"/>
          </w:tcPr>
          <w:p w:rsidRPr="001B66CF" w:rsidR="001B66CF" w:rsidP="001B66CF" w:rsidRDefault="001B66CF" w14:paraId="3A04F748" w14:textId="0BDA7684">
            <w:pPr>
              <w:autoSpaceDE w:val="0"/>
              <w:autoSpaceDN w:val="0"/>
              <w:adjustRightInd w:val="0"/>
              <w:spacing w:after="0" w:line="240" w:lineRule="auto"/>
              <w:jc w:val="right"/>
              <w:rPr>
                <w:rFonts w:ascii="Times New Roman" w:hAnsi="Times New Roman" w:eastAsia="Times New Roman" w:cs="Times New Roman"/>
                <w:sz w:val="26"/>
                <w:szCs w:val="26"/>
                <w:highlight w:val="yellow"/>
              </w:rPr>
            </w:pPr>
            <w:r w:rsidRPr="001B66CF">
              <w:rPr>
                <w:rFonts w:ascii="Times New Roman" w:hAnsi="Times New Roman" w:eastAsia="Times New Roman" w:cs="Times New Roman"/>
                <w:sz w:val="26"/>
                <w:szCs w:val="26"/>
              </w:rPr>
              <w:t>$</w:t>
            </w:r>
            <w:r>
              <w:rPr>
                <w:rFonts w:ascii="Times New Roman" w:hAnsi="Times New Roman" w:eastAsia="Times New Roman" w:cs="Times New Roman"/>
                <w:sz w:val="26"/>
                <w:szCs w:val="26"/>
              </w:rPr>
              <w:t>6,475</w:t>
            </w:r>
          </w:p>
        </w:tc>
      </w:tr>
    </w:tbl>
    <w:p w:rsidRPr="001B66CF" w:rsidR="001B66CF" w:rsidP="001B66CF" w:rsidRDefault="001B66CF" w14:paraId="739E6C70" w14:textId="77777777">
      <w:pPr>
        <w:autoSpaceDE w:val="0"/>
        <w:autoSpaceDN w:val="0"/>
        <w:adjustRightInd w:val="0"/>
        <w:spacing w:after="0" w:line="240" w:lineRule="auto"/>
        <w:rPr>
          <w:rFonts w:ascii="Times New Roman" w:hAnsi="Times New Roman" w:eastAsia="Times New Roman" w:cs="Times New Roman"/>
          <w:sz w:val="26"/>
          <w:szCs w:val="26"/>
        </w:rPr>
      </w:pPr>
    </w:p>
    <w:p w:rsidR="00A276F5" w:rsidP="0092596C" w:rsidRDefault="00A276F5" w14:paraId="73EF5D58" w14:textId="16C7EEC3">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REASONS FOR CHANGES IN BURDEN INCLUDING THE NEED FOR ANY INCREASE</w:t>
      </w:r>
    </w:p>
    <w:p w:rsidR="007F1AC1" w:rsidP="007F1AC1" w:rsidRDefault="007F1AC1" w14:paraId="0F1F5B93" w14:textId="008EE442">
      <w:pPr>
        <w:spacing w:after="0" w:line="240" w:lineRule="auto"/>
        <w:rPr>
          <w:rFonts w:ascii="Times New Roman" w:hAnsi="Times New Roman" w:cs="Times New Roman"/>
          <w:b/>
          <w:sz w:val="24"/>
          <w:szCs w:val="24"/>
        </w:rPr>
      </w:pPr>
    </w:p>
    <w:p w:rsidRPr="007F1AC1" w:rsidR="007F1AC1" w:rsidP="007F1AC1" w:rsidRDefault="007F1AC1" w14:paraId="04D771FA" w14:textId="280DDBDB">
      <w:pPr>
        <w:spacing w:after="0" w:line="240" w:lineRule="auto"/>
        <w:rPr>
          <w:rFonts w:ascii="Times New Roman" w:hAnsi="Times New Roman" w:cs="Times New Roman"/>
          <w:bCs/>
          <w:sz w:val="24"/>
          <w:szCs w:val="24"/>
        </w:rPr>
      </w:pPr>
      <w:r w:rsidRPr="007F1AC1">
        <w:rPr>
          <w:rFonts w:ascii="Times New Roman" w:hAnsi="Times New Roman" w:cs="Times New Roman"/>
          <w:bCs/>
          <w:sz w:val="24"/>
          <w:szCs w:val="24"/>
        </w:rPr>
        <w:t xml:space="preserve">The net changes for RD21-4, </w:t>
      </w:r>
      <w:r>
        <w:rPr>
          <w:rFonts w:ascii="Times New Roman" w:hAnsi="Times New Roman" w:cs="Times New Roman"/>
          <w:bCs/>
          <w:sz w:val="24"/>
          <w:szCs w:val="24"/>
        </w:rPr>
        <w:t xml:space="preserve">retirement of Ry7 created a reduction in </w:t>
      </w:r>
      <w:r w:rsidRPr="007F1AC1">
        <w:rPr>
          <w:rFonts w:ascii="Times New Roman" w:hAnsi="Times New Roman" w:cs="Times New Roman"/>
          <w:bCs/>
          <w:sz w:val="24"/>
          <w:szCs w:val="24"/>
        </w:rPr>
        <w:t xml:space="preserve">the </w:t>
      </w:r>
      <w:r>
        <w:rPr>
          <w:rFonts w:ascii="Times New Roman" w:hAnsi="Times New Roman" w:cs="Times New Roman"/>
          <w:bCs/>
          <w:sz w:val="24"/>
          <w:szCs w:val="24"/>
        </w:rPr>
        <w:t>(</w:t>
      </w:r>
      <w:r w:rsidRPr="007F1AC1">
        <w:rPr>
          <w:rFonts w:ascii="Times New Roman" w:hAnsi="Times New Roman" w:cs="Times New Roman"/>
          <w:bCs/>
          <w:sz w:val="24"/>
          <w:szCs w:val="24"/>
        </w:rPr>
        <w:t>-10,030</w:t>
      </w:r>
      <w:r>
        <w:rPr>
          <w:rFonts w:ascii="Times New Roman" w:hAnsi="Times New Roman" w:cs="Times New Roman"/>
          <w:bCs/>
          <w:sz w:val="24"/>
          <w:szCs w:val="24"/>
        </w:rPr>
        <w:t>)</w:t>
      </w:r>
      <w:r w:rsidRPr="007F1AC1">
        <w:rPr>
          <w:rFonts w:ascii="Times New Roman" w:hAnsi="Times New Roman" w:cs="Times New Roman"/>
          <w:bCs/>
          <w:sz w:val="24"/>
          <w:szCs w:val="24"/>
        </w:rPr>
        <w:t xml:space="preserve"> hours</w:t>
      </w:r>
      <w:r>
        <w:rPr>
          <w:rFonts w:ascii="Times New Roman" w:hAnsi="Times New Roman" w:cs="Times New Roman"/>
          <w:bCs/>
          <w:sz w:val="24"/>
          <w:szCs w:val="24"/>
        </w:rPr>
        <w:t xml:space="preserve"> and</w:t>
      </w:r>
      <w:r w:rsidRPr="007F1AC1">
        <w:rPr>
          <w:rFonts w:ascii="Times New Roman" w:hAnsi="Times New Roman" w:cs="Times New Roman"/>
          <w:bCs/>
          <w:sz w:val="24"/>
          <w:szCs w:val="24"/>
        </w:rPr>
        <w:t xml:space="preserve"> will affect the totals for the row </w:t>
      </w:r>
      <w:r w:rsidRPr="007F1AC1" w:rsidR="00C754A4">
        <w:rPr>
          <w:rFonts w:ascii="Times New Roman" w:hAnsi="Times New Roman" w:cs="Times New Roman"/>
          <w:bCs/>
          <w:sz w:val="24"/>
          <w:szCs w:val="24"/>
        </w:rPr>
        <w:t>stated,</w:t>
      </w:r>
      <w:r w:rsidRPr="007F1AC1">
        <w:rPr>
          <w:rFonts w:ascii="Times New Roman" w:hAnsi="Times New Roman" w:cs="Times New Roman"/>
          <w:bCs/>
          <w:sz w:val="24"/>
          <w:szCs w:val="24"/>
        </w:rPr>
        <w:t xml:space="preserve"> “Mandatory Reliability Standards for Bulk Power System”.     </w:t>
      </w:r>
      <w:r w:rsidR="00C754A4">
        <w:rPr>
          <w:rFonts w:ascii="Times New Roman" w:hAnsi="Times New Roman" w:cs="Times New Roman"/>
          <w:bCs/>
          <w:sz w:val="24"/>
          <w:szCs w:val="24"/>
        </w:rPr>
        <w:t>Any further adjustments in the total are due to fluctuations in industry and corrections of the estimates.</w:t>
      </w:r>
      <w:bookmarkStart w:name="_GoBack" w:id="0"/>
      <w:bookmarkEnd w:id="0"/>
      <w:r w:rsidR="00C754A4">
        <w:rPr>
          <w:rFonts w:ascii="Times New Roman" w:hAnsi="Times New Roman" w:cs="Times New Roman"/>
          <w:bCs/>
          <w:sz w:val="24"/>
          <w:szCs w:val="24"/>
        </w:rPr>
        <w:t xml:space="preserve"> </w:t>
      </w:r>
    </w:p>
    <w:p w:rsidRPr="007F1AC1" w:rsidR="0092596C" w:rsidP="0092596C" w:rsidRDefault="0092596C" w14:paraId="4AE01BB6" w14:textId="77777777">
      <w:pPr>
        <w:spacing w:after="0" w:line="240" w:lineRule="auto"/>
        <w:rPr>
          <w:rFonts w:ascii="Times New Roman" w:hAnsi="Times New Roman" w:cs="Times New Roman"/>
          <w:bCs/>
          <w:sz w:val="24"/>
          <w:szCs w:val="24"/>
        </w:rPr>
      </w:pPr>
    </w:p>
    <w:tbl>
      <w:tblPr>
        <w:tblW w:w="936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79"/>
        <w:gridCol w:w="1461"/>
        <w:gridCol w:w="1620"/>
        <w:gridCol w:w="1800"/>
        <w:gridCol w:w="1800"/>
      </w:tblGrid>
      <w:tr w:rsidRPr="00BD0FD5" w:rsidR="0092596C" w:rsidTr="0092596C" w14:paraId="674047A8" w14:textId="77777777">
        <w:trPr>
          <w:trHeight w:val="870"/>
        </w:trPr>
        <w:tc>
          <w:tcPr>
            <w:tcW w:w="2679" w:type="dxa"/>
            <w:shd w:val="clear" w:color="auto" w:fill="D9D9D9"/>
            <w:vAlign w:val="bottom"/>
          </w:tcPr>
          <w:p w:rsidRPr="00BD0FD5" w:rsidR="0092596C" w:rsidP="00776623" w:rsidRDefault="0092596C" w14:paraId="1293FBB2" w14:textId="77777777">
            <w:pPr>
              <w:spacing w:after="0" w:line="240" w:lineRule="auto"/>
              <w:jc w:val="center"/>
              <w:rPr>
                <w:rFonts w:ascii="Times New Roman" w:hAnsi="Times New Roman"/>
                <w:b/>
                <w:sz w:val="24"/>
                <w:szCs w:val="24"/>
              </w:rPr>
            </w:pPr>
            <w:r w:rsidRPr="007D1EDB">
              <w:rPr>
                <w:rFonts w:ascii="Times New Roman" w:hAnsi="Times New Roman"/>
                <w:b/>
                <w:sz w:val="24"/>
                <w:szCs w:val="24"/>
              </w:rPr>
              <w:lastRenderedPageBreak/>
              <w:t>FERC-725</w:t>
            </w:r>
            <w:r w:rsidRPr="007D1EDB" w:rsidR="007D1EDB">
              <w:rPr>
                <w:rFonts w:ascii="Times New Roman" w:hAnsi="Times New Roman"/>
                <w:b/>
                <w:sz w:val="24"/>
                <w:szCs w:val="24"/>
              </w:rPr>
              <w:t>A</w:t>
            </w:r>
          </w:p>
        </w:tc>
        <w:tc>
          <w:tcPr>
            <w:tcW w:w="1461" w:type="dxa"/>
            <w:shd w:val="clear" w:color="auto" w:fill="D9D9D9"/>
            <w:vAlign w:val="bottom"/>
          </w:tcPr>
          <w:p w:rsidRPr="00BD0FD5" w:rsidR="0092596C" w:rsidP="0092596C" w:rsidRDefault="0092596C" w14:paraId="522BA8B1" w14:textId="77777777">
            <w:pPr>
              <w:spacing w:after="0" w:line="240" w:lineRule="auto"/>
              <w:jc w:val="center"/>
              <w:rPr>
                <w:rFonts w:ascii="Times New Roman" w:hAnsi="Times New Roman"/>
                <w:b/>
                <w:sz w:val="24"/>
                <w:szCs w:val="24"/>
              </w:rPr>
            </w:pPr>
            <w:r w:rsidRPr="00BD0FD5">
              <w:rPr>
                <w:rFonts w:ascii="Times New Roman" w:hAnsi="Times New Roman"/>
                <w:b/>
                <w:sz w:val="24"/>
                <w:szCs w:val="24"/>
              </w:rPr>
              <w:t>Total Request</w:t>
            </w:r>
          </w:p>
        </w:tc>
        <w:tc>
          <w:tcPr>
            <w:tcW w:w="1620" w:type="dxa"/>
            <w:shd w:val="clear" w:color="auto" w:fill="D9D9D9"/>
            <w:vAlign w:val="bottom"/>
          </w:tcPr>
          <w:p w:rsidRPr="00BD0FD5" w:rsidR="0092596C" w:rsidP="0092596C" w:rsidRDefault="0092596C" w14:paraId="6FF35DA6" w14:textId="77777777">
            <w:pPr>
              <w:spacing w:after="0" w:line="240" w:lineRule="auto"/>
              <w:jc w:val="center"/>
              <w:rPr>
                <w:rFonts w:ascii="Times New Roman" w:hAnsi="Times New Roman"/>
                <w:b/>
                <w:sz w:val="24"/>
                <w:szCs w:val="24"/>
              </w:rPr>
            </w:pPr>
            <w:r w:rsidRPr="00BD0FD5">
              <w:rPr>
                <w:rFonts w:ascii="Times New Roman" w:hAnsi="Times New Roman"/>
                <w:b/>
                <w:sz w:val="24"/>
                <w:szCs w:val="24"/>
              </w:rPr>
              <w:t>Previously Approved</w:t>
            </w:r>
          </w:p>
        </w:tc>
        <w:tc>
          <w:tcPr>
            <w:tcW w:w="1800" w:type="dxa"/>
            <w:shd w:val="clear" w:color="auto" w:fill="D9D9D9"/>
            <w:vAlign w:val="bottom"/>
          </w:tcPr>
          <w:p w:rsidRPr="00BD0FD5" w:rsidR="0092596C" w:rsidP="0092596C" w:rsidRDefault="0092596C" w14:paraId="665C90DB" w14:textId="77777777">
            <w:pPr>
              <w:spacing w:after="0" w:line="240" w:lineRule="auto"/>
              <w:jc w:val="center"/>
              <w:rPr>
                <w:rFonts w:ascii="Times New Roman" w:hAnsi="Times New Roman"/>
                <w:b/>
                <w:sz w:val="24"/>
                <w:szCs w:val="24"/>
              </w:rPr>
            </w:pPr>
            <w:r w:rsidRPr="00BD0FD5">
              <w:rPr>
                <w:rFonts w:ascii="Times New Roman" w:hAnsi="Times New Roman"/>
                <w:b/>
                <w:sz w:val="24"/>
                <w:szCs w:val="24"/>
              </w:rPr>
              <w:t>Change due to Adjustment in Estimate</w:t>
            </w:r>
          </w:p>
        </w:tc>
        <w:tc>
          <w:tcPr>
            <w:tcW w:w="1800" w:type="dxa"/>
            <w:shd w:val="clear" w:color="auto" w:fill="D9D9D9"/>
            <w:vAlign w:val="bottom"/>
          </w:tcPr>
          <w:p w:rsidRPr="00BD0FD5" w:rsidR="0092596C" w:rsidP="0092596C" w:rsidRDefault="0092596C" w14:paraId="082DFC9A" w14:textId="77777777">
            <w:pPr>
              <w:spacing w:after="0" w:line="240" w:lineRule="auto"/>
              <w:jc w:val="center"/>
              <w:rPr>
                <w:rFonts w:ascii="Times New Roman" w:hAnsi="Times New Roman"/>
                <w:b/>
                <w:sz w:val="24"/>
                <w:szCs w:val="24"/>
              </w:rPr>
            </w:pPr>
            <w:r w:rsidRPr="00BD0FD5">
              <w:rPr>
                <w:rFonts w:ascii="Times New Roman" w:hAnsi="Times New Roman"/>
                <w:b/>
                <w:sz w:val="24"/>
                <w:szCs w:val="24"/>
              </w:rPr>
              <w:t>Change Due to Agency Discretion</w:t>
            </w:r>
          </w:p>
        </w:tc>
      </w:tr>
      <w:tr w:rsidRPr="00BD0FD5" w:rsidR="0092596C" w:rsidTr="0092596C" w14:paraId="7045158B" w14:textId="77777777">
        <w:trPr>
          <w:trHeight w:val="591"/>
        </w:trPr>
        <w:tc>
          <w:tcPr>
            <w:tcW w:w="2679" w:type="dxa"/>
          </w:tcPr>
          <w:p w:rsidRPr="00BD0FD5" w:rsidR="0092596C" w:rsidP="0092596C" w:rsidRDefault="0092596C" w14:paraId="2809DC36" w14:textId="77777777">
            <w:pPr>
              <w:spacing w:after="0" w:line="240" w:lineRule="auto"/>
              <w:jc w:val="center"/>
              <w:rPr>
                <w:rFonts w:ascii="Times New Roman" w:hAnsi="Times New Roman"/>
                <w:sz w:val="24"/>
                <w:szCs w:val="24"/>
              </w:rPr>
            </w:pPr>
            <w:r w:rsidRPr="00BD0FD5">
              <w:rPr>
                <w:rFonts w:ascii="Times New Roman" w:hAnsi="Times New Roman"/>
                <w:sz w:val="24"/>
                <w:szCs w:val="24"/>
              </w:rPr>
              <w:t>Annual Number of Responses</w:t>
            </w:r>
          </w:p>
        </w:tc>
        <w:tc>
          <w:tcPr>
            <w:tcW w:w="1461" w:type="dxa"/>
            <w:vAlign w:val="center"/>
          </w:tcPr>
          <w:p w:rsidRPr="00BD0FD5" w:rsidR="0004709E" w:rsidP="0092596C" w:rsidRDefault="001D0D91" w14:paraId="1D51D7D7" w14:textId="6F493AEB">
            <w:pPr>
              <w:spacing w:after="0" w:line="240" w:lineRule="auto"/>
              <w:jc w:val="right"/>
              <w:rPr>
                <w:rFonts w:ascii="Times New Roman" w:hAnsi="Times New Roman"/>
                <w:sz w:val="24"/>
                <w:szCs w:val="24"/>
              </w:rPr>
            </w:pPr>
            <w:r>
              <w:rPr>
                <w:rFonts w:ascii="Times New Roman" w:hAnsi="Times New Roman"/>
                <w:sz w:val="24"/>
                <w:szCs w:val="24"/>
              </w:rPr>
              <w:t>3,420</w:t>
            </w:r>
          </w:p>
        </w:tc>
        <w:tc>
          <w:tcPr>
            <w:tcW w:w="1620" w:type="dxa"/>
            <w:vAlign w:val="center"/>
          </w:tcPr>
          <w:p w:rsidRPr="00BD0FD5" w:rsidR="0092596C" w:rsidP="0092596C" w:rsidRDefault="00BA57C6" w14:paraId="67D20CE0" w14:textId="67664EAB">
            <w:pPr>
              <w:spacing w:after="0" w:line="240" w:lineRule="auto"/>
              <w:jc w:val="right"/>
              <w:rPr>
                <w:rFonts w:ascii="Times New Roman" w:hAnsi="Times New Roman"/>
                <w:sz w:val="24"/>
                <w:szCs w:val="24"/>
              </w:rPr>
            </w:pPr>
            <w:r>
              <w:rPr>
                <w:rFonts w:ascii="Times New Roman" w:hAnsi="Times New Roman"/>
                <w:sz w:val="24"/>
                <w:szCs w:val="24"/>
              </w:rPr>
              <w:t>2</w:t>
            </w:r>
            <w:r w:rsidR="009234F6">
              <w:rPr>
                <w:rFonts w:ascii="Times New Roman" w:hAnsi="Times New Roman"/>
                <w:sz w:val="24"/>
                <w:szCs w:val="24"/>
              </w:rPr>
              <w:t>,466</w:t>
            </w:r>
          </w:p>
        </w:tc>
        <w:tc>
          <w:tcPr>
            <w:tcW w:w="1800" w:type="dxa"/>
            <w:vAlign w:val="center"/>
          </w:tcPr>
          <w:p w:rsidRPr="00BD0FD5" w:rsidR="0092596C" w:rsidP="0092596C" w:rsidRDefault="007D4C3D" w14:paraId="0044C8F1" w14:textId="22349E27">
            <w:pPr>
              <w:spacing w:after="0" w:line="240" w:lineRule="auto"/>
              <w:jc w:val="right"/>
              <w:rPr>
                <w:rFonts w:ascii="Times New Roman" w:hAnsi="Times New Roman"/>
                <w:sz w:val="24"/>
                <w:szCs w:val="24"/>
              </w:rPr>
            </w:pPr>
            <w:r>
              <w:rPr>
                <w:rFonts w:ascii="Times New Roman" w:hAnsi="Times New Roman"/>
                <w:sz w:val="24"/>
                <w:szCs w:val="24"/>
              </w:rPr>
              <w:t>954</w:t>
            </w:r>
          </w:p>
        </w:tc>
        <w:tc>
          <w:tcPr>
            <w:tcW w:w="1800" w:type="dxa"/>
            <w:vAlign w:val="center"/>
          </w:tcPr>
          <w:p w:rsidRPr="00BD0FD5" w:rsidR="0004709E" w:rsidP="00107834" w:rsidRDefault="007D4C3D" w14:paraId="69DD77AD" w14:textId="38D61E4B">
            <w:pPr>
              <w:spacing w:after="0" w:line="240" w:lineRule="auto"/>
              <w:jc w:val="right"/>
              <w:rPr>
                <w:rFonts w:ascii="Times New Roman" w:hAnsi="Times New Roman"/>
                <w:sz w:val="24"/>
                <w:szCs w:val="24"/>
              </w:rPr>
            </w:pPr>
            <w:r>
              <w:rPr>
                <w:rFonts w:ascii="Times New Roman" w:hAnsi="Times New Roman"/>
                <w:sz w:val="24"/>
                <w:szCs w:val="24"/>
              </w:rPr>
              <w:t>0</w:t>
            </w:r>
          </w:p>
        </w:tc>
      </w:tr>
      <w:tr w:rsidRPr="00BD0FD5" w:rsidR="0092596C" w:rsidTr="0092596C" w14:paraId="102D20C6" w14:textId="77777777">
        <w:trPr>
          <w:trHeight w:val="575"/>
        </w:trPr>
        <w:tc>
          <w:tcPr>
            <w:tcW w:w="2679" w:type="dxa"/>
          </w:tcPr>
          <w:p w:rsidRPr="00BD0FD5" w:rsidR="0092596C" w:rsidP="0092596C" w:rsidRDefault="0092596C" w14:paraId="25585ABA" w14:textId="065743C6">
            <w:pPr>
              <w:spacing w:after="0" w:line="240" w:lineRule="auto"/>
              <w:jc w:val="center"/>
              <w:rPr>
                <w:rFonts w:ascii="Times New Roman" w:hAnsi="Times New Roman"/>
                <w:sz w:val="24"/>
                <w:szCs w:val="24"/>
              </w:rPr>
            </w:pPr>
            <w:r w:rsidRPr="00BD0FD5">
              <w:rPr>
                <w:rFonts w:ascii="Times New Roman" w:hAnsi="Times New Roman"/>
                <w:sz w:val="24"/>
                <w:szCs w:val="24"/>
              </w:rPr>
              <w:t>Annual Time Burden (</w:t>
            </w:r>
            <w:r w:rsidRPr="00BD0FD5" w:rsidR="00896DEA">
              <w:rPr>
                <w:rFonts w:ascii="Times New Roman" w:hAnsi="Times New Roman"/>
                <w:sz w:val="24"/>
                <w:szCs w:val="24"/>
              </w:rPr>
              <w:t>Hr.</w:t>
            </w:r>
            <w:r w:rsidRPr="00BD0FD5">
              <w:rPr>
                <w:rFonts w:ascii="Times New Roman" w:hAnsi="Times New Roman"/>
                <w:sz w:val="24"/>
                <w:szCs w:val="24"/>
              </w:rPr>
              <w:t>)</w:t>
            </w:r>
          </w:p>
        </w:tc>
        <w:tc>
          <w:tcPr>
            <w:tcW w:w="1461" w:type="dxa"/>
            <w:vAlign w:val="center"/>
          </w:tcPr>
          <w:p w:rsidRPr="00BD0FD5" w:rsidR="0004709E" w:rsidP="00107834" w:rsidRDefault="00836ACB" w14:paraId="499D5455" w14:textId="3C560A01">
            <w:pPr>
              <w:spacing w:after="0" w:line="240" w:lineRule="auto"/>
              <w:jc w:val="right"/>
              <w:rPr>
                <w:rFonts w:ascii="Times New Roman" w:hAnsi="Times New Roman"/>
                <w:sz w:val="24"/>
                <w:szCs w:val="24"/>
              </w:rPr>
            </w:pPr>
            <w:r>
              <w:rPr>
                <w:rFonts w:ascii="Times New Roman" w:hAnsi="Times New Roman"/>
                <w:sz w:val="24"/>
                <w:szCs w:val="24"/>
              </w:rPr>
              <w:t>1,456,686</w:t>
            </w:r>
          </w:p>
        </w:tc>
        <w:tc>
          <w:tcPr>
            <w:tcW w:w="1620" w:type="dxa"/>
            <w:vAlign w:val="center"/>
          </w:tcPr>
          <w:p w:rsidRPr="00BD0FD5" w:rsidR="0092596C" w:rsidP="0092596C" w:rsidRDefault="00BA57C6" w14:paraId="33B914A6" w14:textId="4BCAA31A">
            <w:pPr>
              <w:spacing w:after="0" w:line="240" w:lineRule="auto"/>
              <w:jc w:val="right"/>
              <w:rPr>
                <w:rFonts w:ascii="Times New Roman" w:hAnsi="Times New Roman"/>
                <w:sz w:val="24"/>
                <w:szCs w:val="24"/>
              </w:rPr>
            </w:pPr>
            <w:r>
              <w:rPr>
                <w:rFonts w:ascii="Times New Roman" w:hAnsi="Times New Roman"/>
                <w:sz w:val="24"/>
                <w:szCs w:val="24"/>
              </w:rPr>
              <w:t>1,</w:t>
            </w:r>
            <w:r w:rsidR="009234F6">
              <w:rPr>
                <w:rFonts w:ascii="Times New Roman" w:hAnsi="Times New Roman"/>
                <w:sz w:val="24"/>
                <w:szCs w:val="24"/>
              </w:rPr>
              <w:t>466,716</w:t>
            </w:r>
          </w:p>
        </w:tc>
        <w:tc>
          <w:tcPr>
            <w:tcW w:w="1800" w:type="dxa"/>
            <w:vAlign w:val="center"/>
          </w:tcPr>
          <w:p w:rsidRPr="00BD0FD5" w:rsidR="0092596C" w:rsidP="0092596C" w:rsidRDefault="005F2922" w14:paraId="5E5A00FD" w14:textId="66D8614D">
            <w:pPr>
              <w:spacing w:after="0" w:line="240" w:lineRule="auto"/>
              <w:jc w:val="right"/>
              <w:rPr>
                <w:rFonts w:ascii="Times New Roman" w:hAnsi="Times New Roman"/>
                <w:sz w:val="24"/>
                <w:szCs w:val="24"/>
              </w:rPr>
            </w:pPr>
            <w:r>
              <w:rPr>
                <w:rFonts w:ascii="Times New Roman" w:hAnsi="Times New Roman"/>
                <w:sz w:val="24"/>
                <w:szCs w:val="24"/>
              </w:rPr>
              <w:t>0</w:t>
            </w:r>
          </w:p>
        </w:tc>
        <w:tc>
          <w:tcPr>
            <w:tcW w:w="1800" w:type="dxa"/>
            <w:vAlign w:val="center"/>
          </w:tcPr>
          <w:p w:rsidRPr="00BD0FD5" w:rsidR="0004709E" w:rsidP="00107834" w:rsidRDefault="007D4C3D" w14:paraId="3DE4DE33" w14:textId="19FD88FC">
            <w:pPr>
              <w:spacing w:after="0" w:line="240" w:lineRule="auto"/>
              <w:jc w:val="right"/>
              <w:rPr>
                <w:rFonts w:ascii="Times New Roman" w:hAnsi="Times New Roman"/>
                <w:sz w:val="24"/>
                <w:szCs w:val="24"/>
              </w:rPr>
            </w:pPr>
            <w:r>
              <w:rPr>
                <w:rFonts w:ascii="Times New Roman" w:hAnsi="Times New Roman"/>
                <w:sz w:val="24"/>
                <w:szCs w:val="24"/>
              </w:rPr>
              <w:t>-10,030</w:t>
            </w:r>
          </w:p>
        </w:tc>
      </w:tr>
      <w:tr w:rsidRPr="00BD0FD5" w:rsidR="0092596C" w:rsidTr="0092596C" w14:paraId="26B9EE03" w14:textId="77777777">
        <w:trPr>
          <w:trHeight w:val="295"/>
        </w:trPr>
        <w:tc>
          <w:tcPr>
            <w:tcW w:w="2679" w:type="dxa"/>
          </w:tcPr>
          <w:p w:rsidRPr="00BD0FD5" w:rsidR="0092596C" w:rsidP="0092596C" w:rsidRDefault="0092596C" w14:paraId="2E4F0208" w14:textId="77777777">
            <w:pPr>
              <w:spacing w:after="0" w:line="240" w:lineRule="auto"/>
              <w:jc w:val="center"/>
              <w:rPr>
                <w:rFonts w:ascii="Times New Roman" w:hAnsi="Times New Roman"/>
                <w:sz w:val="24"/>
                <w:szCs w:val="24"/>
              </w:rPr>
            </w:pPr>
            <w:r w:rsidRPr="00BD0FD5">
              <w:rPr>
                <w:rFonts w:ascii="Times New Roman" w:hAnsi="Times New Roman"/>
                <w:sz w:val="24"/>
                <w:szCs w:val="24"/>
              </w:rPr>
              <w:t>Annual Cost Burden ($)</w:t>
            </w:r>
          </w:p>
        </w:tc>
        <w:tc>
          <w:tcPr>
            <w:tcW w:w="1461" w:type="dxa"/>
            <w:vAlign w:val="center"/>
          </w:tcPr>
          <w:p w:rsidRPr="00BD0FD5" w:rsidR="0004709E" w:rsidP="00107834" w:rsidRDefault="00847190" w14:paraId="280DA5EE" w14:textId="2AC54D8D">
            <w:pPr>
              <w:spacing w:after="0" w:line="240" w:lineRule="auto"/>
              <w:jc w:val="right"/>
              <w:rPr>
                <w:rFonts w:ascii="Times New Roman" w:hAnsi="Times New Roman"/>
                <w:sz w:val="24"/>
                <w:szCs w:val="24"/>
              </w:rPr>
            </w:pPr>
            <w:r>
              <w:rPr>
                <w:rFonts w:ascii="Times New Roman" w:hAnsi="Times New Roman"/>
                <w:sz w:val="24"/>
                <w:szCs w:val="24"/>
              </w:rPr>
              <w:t>156,953</w:t>
            </w:r>
          </w:p>
        </w:tc>
        <w:tc>
          <w:tcPr>
            <w:tcW w:w="1620" w:type="dxa"/>
            <w:vAlign w:val="center"/>
          </w:tcPr>
          <w:p w:rsidRPr="00BD0FD5" w:rsidR="0092596C" w:rsidP="0092596C" w:rsidRDefault="00BA57C6" w14:paraId="2EA357B4" w14:textId="77777777">
            <w:pPr>
              <w:spacing w:after="0" w:line="240" w:lineRule="auto"/>
              <w:jc w:val="right"/>
              <w:rPr>
                <w:rFonts w:ascii="Times New Roman" w:hAnsi="Times New Roman"/>
                <w:sz w:val="24"/>
                <w:szCs w:val="24"/>
              </w:rPr>
            </w:pPr>
            <w:r>
              <w:rPr>
                <w:rFonts w:ascii="Times New Roman" w:hAnsi="Times New Roman"/>
                <w:sz w:val="24"/>
                <w:szCs w:val="24"/>
              </w:rPr>
              <w:t>126,725</w:t>
            </w:r>
          </w:p>
        </w:tc>
        <w:tc>
          <w:tcPr>
            <w:tcW w:w="1800" w:type="dxa"/>
            <w:vAlign w:val="center"/>
          </w:tcPr>
          <w:p w:rsidRPr="00BD0FD5" w:rsidR="0092596C" w:rsidP="0092596C" w:rsidRDefault="00847190" w14:paraId="4B686FBA" w14:textId="68CA1126">
            <w:pPr>
              <w:spacing w:after="0" w:line="240" w:lineRule="auto"/>
              <w:jc w:val="right"/>
              <w:rPr>
                <w:rFonts w:ascii="Times New Roman" w:hAnsi="Times New Roman"/>
                <w:sz w:val="24"/>
                <w:szCs w:val="24"/>
              </w:rPr>
            </w:pPr>
            <w:r>
              <w:rPr>
                <w:rFonts w:ascii="Times New Roman" w:hAnsi="Times New Roman"/>
                <w:sz w:val="24"/>
                <w:szCs w:val="24"/>
              </w:rPr>
              <w:t>30,228</w:t>
            </w:r>
          </w:p>
        </w:tc>
        <w:tc>
          <w:tcPr>
            <w:tcW w:w="1800" w:type="dxa"/>
            <w:vAlign w:val="center"/>
          </w:tcPr>
          <w:p w:rsidRPr="00BD0FD5" w:rsidR="0092596C" w:rsidP="0092596C" w:rsidRDefault="00847190" w14:paraId="00931C86" w14:textId="59B1F5D5">
            <w:pPr>
              <w:spacing w:after="0" w:line="240" w:lineRule="auto"/>
              <w:jc w:val="right"/>
              <w:rPr>
                <w:rFonts w:ascii="Times New Roman" w:hAnsi="Times New Roman"/>
                <w:sz w:val="24"/>
                <w:szCs w:val="24"/>
              </w:rPr>
            </w:pPr>
            <w:r>
              <w:rPr>
                <w:rFonts w:ascii="Times New Roman" w:hAnsi="Times New Roman"/>
                <w:sz w:val="24"/>
                <w:szCs w:val="24"/>
              </w:rPr>
              <w:t>0</w:t>
            </w:r>
          </w:p>
        </w:tc>
      </w:tr>
    </w:tbl>
    <w:p w:rsidRPr="00BD0FD5" w:rsidR="00970FE4" w:rsidP="0092596C" w:rsidRDefault="00970FE4" w14:paraId="45ECBECF" w14:textId="77777777">
      <w:pPr>
        <w:spacing w:after="0" w:line="240" w:lineRule="auto"/>
        <w:rPr>
          <w:rFonts w:ascii="Times New Roman" w:hAnsi="Times New Roman" w:cs="Times New Roman"/>
          <w:sz w:val="24"/>
          <w:szCs w:val="24"/>
        </w:rPr>
      </w:pPr>
    </w:p>
    <w:p w:rsidRPr="00BD0FD5" w:rsidR="00A276F5" w:rsidP="0092596C" w:rsidRDefault="00414F32" w14:paraId="2660E8C0"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TIME SCHEDULE FOR PUBLICATION OF DATA</w:t>
      </w:r>
    </w:p>
    <w:p w:rsidRPr="00BD0FD5" w:rsidR="00826750" w:rsidP="0092596C" w:rsidRDefault="00826750" w14:paraId="6ECDCBF0" w14:textId="77777777">
      <w:pPr>
        <w:spacing w:after="0" w:line="240" w:lineRule="auto"/>
        <w:rPr>
          <w:rFonts w:ascii="Times New Roman" w:hAnsi="Times New Roman" w:cs="Times New Roman"/>
          <w:sz w:val="24"/>
          <w:szCs w:val="24"/>
        </w:rPr>
      </w:pPr>
    </w:p>
    <w:p w:rsidRPr="00BD0FD5" w:rsidR="00414F32" w:rsidP="0092596C" w:rsidRDefault="00826750" w14:paraId="6815AD3F" w14:textId="7777777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There are no data publications as part of this collection</w:t>
      </w:r>
    </w:p>
    <w:p w:rsidRPr="00BD0FD5" w:rsidR="00414F32" w:rsidP="0092596C" w:rsidRDefault="00414F32" w14:paraId="22A43BDB" w14:textId="77777777">
      <w:pPr>
        <w:spacing w:after="0" w:line="240" w:lineRule="auto"/>
        <w:rPr>
          <w:rFonts w:ascii="Times New Roman" w:hAnsi="Times New Roman" w:cs="Times New Roman"/>
          <w:sz w:val="24"/>
          <w:szCs w:val="24"/>
        </w:rPr>
      </w:pPr>
    </w:p>
    <w:p w:rsidRPr="00BD0FD5" w:rsidR="00414F32" w:rsidP="0092596C" w:rsidRDefault="00414F32" w14:paraId="1198FE9A"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DISPLAY OF EXPIRATION DATE</w:t>
      </w:r>
    </w:p>
    <w:p w:rsidRPr="00BD0FD5" w:rsidR="00414F32" w:rsidP="0092596C" w:rsidRDefault="00414F32" w14:paraId="356C1CB5" w14:textId="77777777">
      <w:pPr>
        <w:spacing w:after="0" w:line="240" w:lineRule="auto"/>
        <w:rPr>
          <w:rFonts w:ascii="Times New Roman" w:hAnsi="Times New Roman" w:cs="Times New Roman"/>
          <w:sz w:val="24"/>
          <w:szCs w:val="24"/>
        </w:rPr>
      </w:pPr>
    </w:p>
    <w:p w:rsidRPr="00BD0FD5" w:rsidR="00B16372" w:rsidP="0092596C" w:rsidRDefault="00B16372" w14:paraId="0F961F87" w14:textId="77777777">
      <w:pPr>
        <w:spacing w:after="0" w:line="240" w:lineRule="auto"/>
        <w:rPr>
          <w:rFonts w:ascii="Times New Roman" w:hAnsi="Times New Roman" w:cs="Times New Roman"/>
          <w:sz w:val="24"/>
          <w:szCs w:val="24"/>
        </w:rPr>
      </w:pPr>
      <w:r w:rsidRPr="00BD0FD5">
        <w:rPr>
          <w:rFonts w:ascii="Times New Roman" w:hAnsi="Times New Roman" w:cs="Times New Roman"/>
          <w:sz w:val="24"/>
          <w:szCs w:val="24"/>
        </w:rPr>
        <w:t>It is not appropriate to display the expiration date because the information is not collected on a preformatted form</w:t>
      </w:r>
      <w:r w:rsidR="003F119D">
        <w:rPr>
          <w:rFonts w:ascii="Times New Roman" w:hAnsi="Times New Roman" w:cs="Times New Roman"/>
          <w:sz w:val="24"/>
          <w:szCs w:val="24"/>
        </w:rPr>
        <w:t xml:space="preserve"> or is part of a Reliability Standard, which do not display OMB expiration dates.</w:t>
      </w:r>
    </w:p>
    <w:p w:rsidRPr="00BD0FD5" w:rsidR="00414F32" w:rsidP="0092596C" w:rsidRDefault="00414F32" w14:paraId="0D44345F" w14:textId="77777777">
      <w:pPr>
        <w:spacing w:after="0" w:line="240" w:lineRule="auto"/>
        <w:rPr>
          <w:rFonts w:ascii="Times New Roman" w:hAnsi="Times New Roman" w:cs="Times New Roman"/>
          <w:sz w:val="24"/>
          <w:szCs w:val="24"/>
        </w:rPr>
      </w:pPr>
    </w:p>
    <w:p w:rsidRPr="00BD0FD5" w:rsidR="00414F32" w:rsidP="0092596C" w:rsidRDefault="00414F32" w14:paraId="0C99C814" w14:textId="77777777">
      <w:pPr>
        <w:pStyle w:val="ListParagraph"/>
        <w:numPr>
          <w:ilvl w:val="0"/>
          <w:numId w:val="1"/>
        </w:numPr>
        <w:spacing w:after="0" w:line="240" w:lineRule="auto"/>
        <w:ind w:left="360"/>
        <w:rPr>
          <w:rFonts w:ascii="Times New Roman" w:hAnsi="Times New Roman" w:cs="Times New Roman"/>
          <w:b/>
          <w:sz w:val="24"/>
          <w:szCs w:val="24"/>
        </w:rPr>
      </w:pPr>
      <w:r w:rsidRPr="00BD0FD5">
        <w:rPr>
          <w:rFonts w:ascii="Times New Roman" w:hAnsi="Times New Roman" w:cs="Times New Roman"/>
          <w:b/>
          <w:sz w:val="24"/>
          <w:szCs w:val="24"/>
        </w:rPr>
        <w:t>EXCEPTIONS TO THE CERTIFICATION STATEMENT</w:t>
      </w:r>
    </w:p>
    <w:p w:rsidRPr="00BD0FD5" w:rsidR="0057700F" w:rsidP="0092596C" w:rsidRDefault="0057700F" w14:paraId="029D5726" w14:textId="77777777">
      <w:pPr>
        <w:spacing w:after="0" w:line="240" w:lineRule="auto"/>
        <w:rPr>
          <w:rFonts w:ascii="Times New Roman" w:hAnsi="Times New Roman" w:cs="Times New Roman"/>
          <w:b/>
          <w:sz w:val="24"/>
          <w:szCs w:val="24"/>
        </w:rPr>
      </w:pPr>
    </w:p>
    <w:p w:rsidRPr="00BD0FD5" w:rsidR="00B16372" w:rsidP="0092596C" w:rsidRDefault="00B16372" w14:paraId="692502E7" w14:textId="77777777">
      <w:pPr>
        <w:spacing w:after="0" w:line="240" w:lineRule="auto"/>
        <w:rPr>
          <w:rFonts w:ascii="Times New Roman" w:hAnsi="Times New Roman" w:cs="Times New Roman"/>
          <w:b/>
          <w:sz w:val="24"/>
          <w:szCs w:val="24"/>
        </w:rPr>
      </w:pPr>
      <w:r w:rsidRPr="00BD0FD5">
        <w:rPr>
          <w:rFonts w:ascii="Times New Roman" w:hAnsi="Times New Roman" w:eastAsia="Calibri" w:cs="Times New Roman"/>
          <w:sz w:val="24"/>
          <w:szCs w:val="24"/>
        </w:rPr>
        <w:t>The Commission does not use statistical methods for this collection.  Therefore</w:t>
      </w:r>
      <w:r w:rsidRPr="00BD0FD5" w:rsidR="003D69FC">
        <w:rPr>
          <w:rFonts w:ascii="Times New Roman" w:hAnsi="Times New Roman" w:eastAsia="Calibri" w:cs="Times New Roman"/>
          <w:sz w:val="24"/>
          <w:szCs w:val="24"/>
        </w:rPr>
        <w:t>,</w:t>
      </w:r>
      <w:r w:rsidRPr="00BD0FD5">
        <w:rPr>
          <w:rFonts w:ascii="Times New Roman" w:hAnsi="Times New Roman" w:eastAsia="Calibri" w:cs="Times New Roman"/>
          <w:sz w:val="24"/>
          <w:szCs w:val="24"/>
        </w:rPr>
        <w:t xml:space="preserve"> the Commission does not certify that the collection uses statistical methods.</w:t>
      </w:r>
    </w:p>
    <w:p w:rsidRPr="00BD0FD5" w:rsidR="00970FE4" w:rsidP="0092596C" w:rsidRDefault="00970FE4" w14:paraId="4BED374E" w14:textId="77777777">
      <w:pPr>
        <w:spacing w:after="0" w:line="240" w:lineRule="auto"/>
        <w:rPr>
          <w:rFonts w:ascii="Times New Roman" w:hAnsi="Times New Roman" w:cs="Times New Roman"/>
          <w:sz w:val="24"/>
          <w:szCs w:val="24"/>
        </w:rPr>
      </w:pPr>
    </w:p>
    <w:p w:rsidRPr="00BD0FD5" w:rsidR="00414F32" w:rsidP="0092596C" w:rsidRDefault="00414F32" w14:paraId="666F7E94" w14:textId="77777777">
      <w:pPr>
        <w:spacing w:after="0" w:line="240" w:lineRule="auto"/>
        <w:rPr>
          <w:rFonts w:ascii="Times New Roman" w:hAnsi="Times New Roman" w:cs="Times New Roman"/>
          <w:sz w:val="24"/>
          <w:szCs w:val="24"/>
        </w:rPr>
      </w:pPr>
    </w:p>
    <w:sectPr w:rsidRPr="00BD0FD5" w:rsidR="00414F3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A573E" w14:textId="77777777" w:rsidR="00615C10" w:rsidRDefault="00615C10" w:rsidP="00FD66F1">
      <w:pPr>
        <w:spacing w:after="0" w:line="240" w:lineRule="auto"/>
      </w:pPr>
      <w:r>
        <w:separator/>
      </w:r>
    </w:p>
  </w:endnote>
  <w:endnote w:type="continuationSeparator" w:id="0">
    <w:p w14:paraId="005E0CB9" w14:textId="77777777" w:rsidR="00615C10" w:rsidRDefault="00615C10" w:rsidP="00FD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411206"/>
      <w:docPartObj>
        <w:docPartGallery w:val="Page Numbers (Bottom of Page)"/>
        <w:docPartUnique/>
      </w:docPartObj>
    </w:sdtPr>
    <w:sdtEndPr>
      <w:rPr>
        <w:noProof/>
      </w:rPr>
    </w:sdtEndPr>
    <w:sdtContent>
      <w:p w14:paraId="60067388" w14:textId="77777777" w:rsidR="007C5EB4" w:rsidRDefault="007C5EB4">
        <w:pPr>
          <w:pStyle w:val="Footer"/>
          <w:jc w:val="right"/>
        </w:pPr>
        <w:r w:rsidRPr="00781137">
          <w:rPr>
            <w:rFonts w:ascii="Times New Roman" w:hAnsi="Times New Roman" w:cs="Times New Roman"/>
          </w:rPr>
          <w:fldChar w:fldCharType="begin"/>
        </w:r>
        <w:r w:rsidRPr="00781137">
          <w:rPr>
            <w:rFonts w:ascii="Times New Roman" w:hAnsi="Times New Roman" w:cs="Times New Roman"/>
          </w:rPr>
          <w:instrText xml:space="preserve"> PAGE   \* MERGEFORMAT </w:instrText>
        </w:r>
        <w:r w:rsidRPr="00781137">
          <w:rPr>
            <w:rFonts w:ascii="Times New Roman" w:hAnsi="Times New Roman" w:cs="Times New Roman"/>
          </w:rPr>
          <w:fldChar w:fldCharType="separate"/>
        </w:r>
        <w:r>
          <w:rPr>
            <w:rFonts w:ascii="Times New Roman" w:hAnsi="Times New Roman" w:cs="Times New Roman"/>
            <w:noProof/>
          </w:rPr>
          <w:t>1</w:t>
        </w:r>
        <w:r w:rsidRPr="00781137">
          <w:rPr>
            <w:rFonts w:ascii="Times New Roman" w:hAnsi="Times New Roman" w:cs="Times New Roman"/>
            <w:noProof/>
          </w:rPr>
          <w:fldChar w:fldCharType="end"/>
        </w:r>
      </w:p>
    </w:sdtContent>
  </w:sdt>
  <w:p w14:paraId="728B0517" w14:textId="77777777" w:rsidR="007C5EB4" w:rsidRDefault="007C5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49B4B" w14:textId="77777777" w:rsidR="00615C10" w:rsidRDefault="00615C10" w:rsidP="00FD66F1">
      <w:pPr>
        <w:spacing w:after="0" w:line="240" w:lineRule="auto"/>
      </w:pPr>
      <w:r>
        <w:separator/>
      </w:r>
    </w:p>
  </w:footnote>
  <w:footnote w:type="continuationSeparator" w:id="0">
    <w:p w14:paraId="3B191F14" w14:textId="77777777" w:rsidR="00615C10" w:rsidRDefault="00615C10" w:rsidP="00FD66F1">
      <w:pPr>
        <w:spacing w:after="0" w:line="240" w:lineRule="auto"/>
      </w:pPr>
      <w:r>
        <w:continuationSeparator/>
      </w:r>
    </w:p>
  </w:footnote>
  <w:footnote w:id="1">
    <w:p w14:paraId="78A9B43F" w14:textId="77777777" w:rsidR="007C5EB4" w:rsidRPr="008A757A" w:rsidRDefault="007C5EB4" w:rsidP="007F0136">
      <w:pPr>
        <w:pStyle w:val="FootnoteText"/>
        <w:rPr>
          <w:sz w:val="26"/>
          <w:szCs w:val="26"/>
        </w:rPr>
      </w:pPr>
      <w:r w:rsidRPr="00375A46">
        <w:rPr>
          <w:rStyle w:val="FootnoteReference"/>
          <w:sz w:val="26"/>
          <w:szCs w:val="26"/>
          <w:vertAlign w:val="superscript"/>
        </w:rPr>
        <w:footnoteRef/>
      </w:r>
      <w:r w:rsidRPr="00AE205C">
        <w:rPr>
          <w:sz w:val="26"/>
          <w:szCs w:val="26"/>
          <w:vertAlign w:val="superscript"/>
        </w:rPr>
        <w:t xml:space="preserve"> </w:t>
      </w:r>
      <w:r w:rsidRPr="008A757A">
        <w:rPr>
          <w:sz w:val="26"/>
          <w:szCs w:val="26"/>
        </w:rPr>
        <w:t>Details of the current ERO Reliability Standard processes are available on the NERC website</w:t>
      </w:r>
      <w:r>
        <w:rPr>
          <w:sz w:val="26"/>
          <w:szCs w:val="26"/>
        </w:rPr>
        <w:t xml:space="preserve"> at </w:t>
      </w:r>
      <w:hyperlink r:id="rId1" w:history="1">
        <w:r w:rsidRPr="008A757A">
          <w:rPr>
            <w:rStyle w:val="Hyperlink"/>
            <w:sz w:val="26"/>
            <w:szCs w:val="26"/>
          </w:rPr>
          <w:t>http://www.nerc.com/FilingsOrders/us/RuleOfProcedureDL/Appendix_3A_StandardProcessesManual_20130626.pdf</w:t>
        </w:r>
      </w:hyperlink>
      <w:r w:rsidRPr="008A757A">
        <w:rPr>
          <w:sz w:val="26"/>
          <w:szCs w:val="26"/>
        </w:rPr>
        <w:t>.</w:t>
      </w:r>
    </w:p>
  </w:footnote>
  <w:footnote w:id="2">
    <w:p w14:paraId="4D036DF4" w14:textId="24A0A1C9" w:rsidR="007C5EB4" w:rsidRPr="00B15921" w:rsidRDefault="007C5EB4" w:rsidP="0000315F">
      <w:pPr>
        <w:pStyle w:val="FootnoteText"/>
      </w:pPr>
      <w:r w:rsidRPr="00A317FB">
        <w:rPr>
          <w:b/>
          <w:bCs/>
        </w:rPr>
        <w:footnoteRef/>
      </w:r>
      <w:r w:rsidRPr="00A317FB">
        <w:rPr>
          <w:b/>
          <w:bCs/>
        </w:rPr>
        <w:t xml:space="preserve"> </w:t>
      </w:r>
      <w:r w:rsidRPr="00B15921">
        <w:t>8</w:t>
      </w:r>
      <w:r>
        <w:t>6</w:t>
      </w:r>
      <w:r w:rsidRPr="00B15921">
        <w:t xml:space="preserve"> FR </w:t>
      </w:r>
      <w:r>
        <w:t>23954</w:t>
      </w:r>
      <w:r w:rsidRPr="00B15921">
        <w:t xml:space="preserve">, </w:t>
      </w:r>
      <w:r>
        <w:t>May 5, 2021</w:t>
      </w:r>
    </w:p>
  </w:footnote>
  <w:footnote w:id="3">
    <w:p w14:paraId="179DFE03" w14:textId="7F11F6AF" w:rsidR="007C5EB4" w:rsidRPr="00A317FB" w:rsidRDefault="007C5EB4" w:rsidP="0000315F">
      <w:pPr>
        <w:pStyle w:val="FootnoteText"/>
      </w:pPr>
      <w:r w:rsidRPr="00A317FB">
        <w:rPr>
          <w:rStyle w:val="FootnoteReference"/>
        </w:rPr>
        <w:footnoteRef/>
      </w:r>
      <w:r w:rsidRPr="00A317FB">
        <w:t xml:space="preserve"> </w:t>
      </w:r>
      <w:r>
        <w:t xml:space="preserve">86 FR </w:t>
      </w:r>
      <w:r w:rsidR="00572435" w:rsidRPr="00572435">
        <w:t>44014</w:t>
      </w:r>
      <w:r w:rsidRPr="00572435">
        <w:t>,</w:t>
      </w:r>
      <w:r>
        <w:t xml:space="preserve"> August 1</w:t>
      </w:r>
      <w:r w:rsidR="00572435">
        <w:t>1</w:t>
      </w:r>
      <w:r>
        <w:t>, 2021</w:t>
      </w:r>
    </w:p>
  </w:footnote>
  <w:footnote w:id="4">
    <w:p w14:paraId="12E27009" w14:textId="77777777" w:rsidR="007C5EB4" w:rsidRPr="00923906" w:rsidRDefault="007C5EB4" w:rsidP="009234F6">
      <w:pPr>
        <w:pStyle w:val="FootnoteText"/>
        <w:rPr>
          <w:szCs w:val="22"/>
        </w:rPr>
      </w:pPr>
      <w:r w:rsidRPr="00375A46">
        <w:rPr>
          <w:rStyle w:val="FootnoteReference"/>
          <w:sz w:val="22"/>
          <w:szCs w:val="22"/>
          <w:vertAlign w:val="superscript"/>
        </w:rPr>
        <w:footnoteRef/>
      </w:r>
      <w:r w:rsidRPr="00923906">
        <w:rPr>
          <w:szCs w:val="22"/>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 to 5 CFR Part 1320.</w:t>
      </w:r>
    </w:p>
  </w:footnote>
  <w:footnote w:id="5">
    <w:p w14:paraId="13F0B3C2" w14:textId="77777777" w:rsidR="007C5EB4" w:rsidRDefault="007C5EB4" w:rsidP="009234F6">
      <w:pPr>
        <w:pStyle w:val="FootnoteText"/>
        <w:rPr>
          <w:rFonts w:asciiTheme="minorHAnsi" w:hAnsiTheme="minorHAnsi" w:cstheme="minorBidi"/>
        </w:rPr>
      </w:pPr>
      <w:r w:rsidRPr="00375A46">
        <w:rPr>
          <w:rStyle w:val="FootnoteReference"/>
          <w:sz w:val="22"/>
          <w:szCs w:val="22"/>
          <w:vertAlign w:val="superscript"/>
        </w:rPr>
        <w:footnoteRef/>
      </w:r>
      <w:r w:rsidRPr="00375A46">
        <w:rPr>
          <w:szCs w:val="22"/>
          <w:vertAlign w:val="superscript"/>
        </w:rPr>
        <w:t xml:space="preserve"> </w:t>
      </w:r>
      <w:r w:rsidRPr="00923906">
        <w:rPr>
          <w:szCs w:val="22"/>
        </w:rPr>
        <w:t>The Commission staff thinks that the average respondent for this collection is similarly situated to the Commission, in terms of salary plus benefits.  Based on FERC’s 2020 annual average of $172,329 (for salary plus benefits), the average hourly cost is $83/hour.</w:t>
      </w:r>
    </w:p>
  </w:footnote>
  <w:footnote w:id="6">
    <w:p w14:paraId="095BABEC" w14:textId="77777777" w:rsidR="007C5EB4" w:rsidRDefault="007C5EB4" w:rsidP="009234F6">
      <w:pPr>
        <w:pStyle w:val="FootnoteText"/>
      </w:pPr>
      <w:r w:rsidRPr="00375A46">
        <w:rPr>
          <w:rStyle w:val="FootnoteReference"/>
          <w:vertAlign w:val="superscript"/>
        </w:rPr>
        <w:footnoteRef/>
      </w:r>
      <w:r>
        <w:t xml:space="preserve"> The type of entity effect is the NERC registered GO = Generator Owners (1,003).  This reduction for 725A represent a decrease in burden but the GOs still have other obligations, so the 1,003 is included for information purpose but does not affect the overall number of entities in 725A.</w:t>
      </w:r>
    </w:p>
  </w:footnote>
  <w:footnote w:id="7">
    <w:p w14:paraId="1CDF3336" w14:textId="77777777" w:rsidR="007C5EB4" w:rsidRDefault="007C5EB4" w:rsidP="009234F6">
      <w:pPr>
        <w:pStyle w:val="FootnoteText"/>
      </w:pPr>
      <w:r w:rsidRPr="00375A46">
        <w:rPr>
          <w:rStyle w:val="FootnoteReference"/>
          <w:sz w:val="24"/>
          <w:vertAlign w:val="superscript"/>
        </w:rPr>
        <w:footnoteRef/>
      </w:r>
      <w:r w:rsidRPr="00375A46">
        <w:rPr>
          <w:vertAlign w:val="superscript"/>
        </w:rPr>
        <w:t xml:space="preserve"> </w:t>
      </w:r>
      <w:r>
        <w:t>This is a list of NERC registered entities who under 725A need to follow the NERC Standards.  BA=Balancing Authority (99); DP = Distribution Provider (373); GP = Generator Owner (1,003); Generator Operator (937); PA/PC Planning Authority/Planning Coordinator (65); RC=Reliability Coordinator (11); RP = Resource Planner (160); RSG = Reserve Sharing Group (11); FRSG = Frequency Response Sharing Group (1); TO = Transmission Owner (321); TOP = Transmission Operator (167); TP = Transmission Provided (201); TSP = Transmission Service Provider (71); for a sum total of (3,420).  The same entity may have multiple registration obligation to follow under 725A so an individual entity’s obligation increases based on registration functions.  These values were derived from the NERC Compliance data of February 5, 2021 using only unique United States registered entities.</w:t>
      </w:r>
    </w:p>
  </w:footnote>
  <w:footnote w:id="8">
    <w:p w14:paraId="1FB305A4" w14:textId="77777777" w:rsidR="007C5EB4" w:rsidRPr="00B15921" w:rsidRDefault="007C5EB4" w:rsidP="001B66CF">
      <w:pPr>
        <w:pStyle w:val="FootnoteText"/>
      </w:pPr>
      <w:r w:rsidRPr="00B15921">
        <w:footnoteRef/>
      </w:r>
      <w:r w:rsidRPr="00B15921">
        <w:rPr>
          <w:vertAlign w:val="superscript"/>
        </w:rPr>
        <w:t xml:space="preserve"> </w:t>
      </w:r>
      <w:r w:rsidRPr="00B15921">
        <w:t>The estimate uses the FERC’s FY 20</w:t>
      </w:r>
      <w:r>
        <w:t>20</w:t>
      </w:r>
      <w:r w:rsidRPr="00B15921">
        <w:t xml:space="preserve"> average annual salary plus benefits of one FERC FTE (full-time equivalent [$1</w:t>
      </w:r>
      <w:r>
        <w:t>72,329</w:t>
      </w:r>
      <w:r w:rsidRPr="00B15921">
        <w:t xml:space="preserve"> per year or $</w:t>
      </w:r>
      <w:r>
        <w:t>83</w:t>
      </w:r>
      <w:r w:rsidRPr="00B15921">
        <w:t xml:space="preserve">.00 per hour]).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CD62C" w14:textId="682D14FB" w:rsidR="007C5EB4" w:rsidRDefault="007C5EB4" w:rsidP="00B3407F">
    <w:pPr>
      <w:pStyle w:val="Head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0" allowOverlap="1" wp14:anchorId="248ACAFC" wp14:editId="4EACFFA0">
              <wp:simplePos x="0" y="0"/>
              <wp:positionH relativeFrom="page">
                <wp:posOffset>0</wp:posOffset>
              </wp:positionH>
              <wp:positionV relativeFrom="page">
                <wp:posOffset>190500</wp:posOffset>
              </wp:positionV>
              <wp:extent cx="7772400" cy="266700"/>
              <wp:effectExtent l="0" t="0" r="0" b="0"/>
              <wp:wrapNone/>
              <wp:docPr id="1" name="MSIPCMf70f475ebf99fd655febb68a" descr="{&quot;HashCode&quot;:179594650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6F59EF" w14:textId="12791A74" w:rsidR="007C5EB4" w:rsidRPr="00841DE0" w:rsidRDefault="007C5EB4" w:rsidP="00841DE0">
                          <w:pPr>
                            <w:spacing w:after="0"/>
                            <w:jc w:val="center"/>
                            <w:rPr>
                              <w:rFonts w:ascii="Times New Roman" w:hAnsi="Times New Roman" w:cs="Times New Roman"/>
                              <w:color w:val="FF0000"/>
                              <w:sz w:val="26"/>
                            </w:rPr>
                          </w:pPr>
                          <w:r w:rsidRPr="00841DE0">
                            <w:rPr>
                              <w:rFonts w:ascii="Times New Roman" w:hAnsi="Times New Roman" w:cs="Times New Roman"/>
                              <w:color w:val="FF0000"/>
                              <w:sz w:val="26"/>
                            </w:rPr>
                            <w:t>CUI</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8ACAFC" id="_x0000_t202" coordsize="21600,21600" o:spt="202" path="m,l,21600r21600,l21600,xe">
              <v:stroke joinstyle="miter"/>
              <v:path gradientshapeok="t" o:connecttype="rect"/>
            </v:shapetype>
            <v:shape id="MSIPCMf70f475ebf99fd655febb68a" o:spid="_x0000_s1026" type="#_x0000_t202" alt="{&quot;HashCode&quot;:1795946508,&quot;Height&quot;:792.0,&quot;Width&quot;:612.0,&quot;Placement&quot;:&quot;Header&quot;,&quot;Index&quot;:&quot;Primary&quot;,&quot;Section&quot;:1,&quot;Top&quot;:0.0,&quot;Left&quot;:0.0}" style="position:absolute;margin-left:0;margin-top:15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6WqwIAAEYFAAAOAAAAZHJzL2Uyb0RvYy54bWysVMFu2zAMvQ/YPwg67LTFTpbYjVenyFJ0&#10;K5C2AdKhZ0WWYgG2pEpK7WzYv4+y5bTrdhp2sSmSeiQfSZ1ftHWFnpixQskcj0cxRkxSVQi5z/G3&#10;+6sPZxhZR2RBKiVZjo/M4ovF2zfnjc7YRJWqKphBACJt1ugcl87pLIosLVlN7EhpJsHIlamJg6PZ&#10;R4UhDaDXVTSJ4yRqlCm0UZRZC9rL3ogXHT7njLo7zi1zqMox5Oa6r+m+O/+NFuck2xuiS0FDGuQf&#10;sqiJkBD0BHVJHEEHI/6AqgU1yiruRlTVkeJcUNbVANWM41fVbEuiWVcLkGP1iSb7/2Dp7dPGIFFA&#10;7zCSpIYW3WyvN6sbnsZ8ms7Yjs/nvEhmM852u+SMYFQwS4HBH+8eD8p9+kpsuVIF60/ZOJ3P5tNk&#10;Fp+9D3Ym9qUL1nQ+GcXB8CAKVwZ9Mn7WbypCWc3kcGeAITAovRwArmXB2gDQ/zZG1MQcf/PawgjA&#10;bAa/cbh7r3TQxKeE1owPMUH5049Go20GDG01cOTaz6r1NAW9BaXveMtN7f/QSwR2GLLjabBY6xAF&#10;ZZqmk2kMJgq2SZKkIANM9HxbG+u+MFUjL+TYQNbdPJGntXW96+Dig0l1JaoK9CSrJGpynHycxd2F&#10;kwXAKwkxfA19rl5y7a4NBexUcYS6jOqXwmp6JSD4mli3IQa2APKFzXZ38OGVgiAqSBiVynz/m977&#10;w3CCFaMGtirH9vFADMOoupYwtvPxdOrXsDuAYF5qd4NWHuqVgoWFkYSsOtH7umoQuVH1Ayz+0kcD&#10;E5EUYubYDeLKwQkM8HBQtlx2MiycJm4tt5p6aM+dp/S+fSBGB94ddOxWDXtHslf09759A5YHp7jo&#10;euOJ7dkMfMOydt0ND4t/DV6eO6/n52/xCwAA//8DAFBLAwQUAAYACAAAACEAaDuVdtsAAAAHAQAA&#10;DwAAAGRycy9kb3ducmV2LnhtbEyPwU7DMAyG70i8Q2QkbiyhIMq6phMC7YKERMcu3LLGtBWJUzVZ&#10;W94e7wQn2/qtz5/L7eKdmHCMfSANtysFAqkJtqdWw+Fjd/MIIiZD1rhAqOEHI2yry4vSFDbMVOO0&#10;T61gCMXCaOhSGgopY9OhN3EVBiTOvsLoTeJxbKUdzcxw72Sm1IP0pie+0JkBnztsvvcnz5T1y+uS&#10;3vL3EF29myf/ecjrQevrq+VpAyLhkv6W4azP6lCx0zGcyEbhNPAjScOd4npOs+yeu6OGPFMgq1L+&#10;969+AQAA//8DAFBLAQItABQABgAIAAAAIQC2gziS/gAAAOEBAAATAAAAAAAAAAAAAAAAAAAAAABb&#10;Q29udGVudF9UeXBlc10ueG1sUEsBAi0AFAAGAAgAAAAhADj9If/WAAAAlAEAAAsAAAAAAAAAAAAA&#10;AAAALwEAAF9yZWxzLy5yZWxzUEsBAi0AFAAGAAgAAAAhADVKTparAgAARgUAAA4AAAAAAAAAAAAA&#10;AAAALgIAAGRycy9lMm9Eb2MueG1sUEsBAi0AFAAGAAgAAAAhAGg7lXbbAAAABwEAAA8AAAAAAAAA&#10;AAAAAAAABQUAAGRycy9kb3ducmV2LnhtbFBLBQYAAAAABAAEAPMAAAANBgAAAAA=&#10;" o:allowincell="f" filled="f" stroked="f" strokeweight=".5pt">
              <v:textbox inset=",0,,0">
                <w:txbxContent>
                  <w:p w14:paraId="3E6F59EF" w14:textId="12791A74" w:rsidR="007C5EB4" w:rsidRPr="00841DE0" w:rsidRDefault="007C5EB4" w:rsidP="00841DE0">
                    <w:pPr>
                      <w:spacing w:after="0"/>
                      <w:jc w:val="center"/>
                      <w:rPr>
                        <w:rFonts w:ascii="Times New Roman" w:hAnsi="Times New Roman" w:cs="Times New Roman"/>
                        <w:color w:val="FF0000"/>
                        <w:sz w:val="26"/>
                      </w:rPr>
                    </w:pPr>
                    <w:r w:rsidRPr="00841DE0">
                      <w:rPr>
                        <w:rFonts w:ascii="Times New Roman" w:hAnsi="Times New Roman" w:cs="Times New Roman"/>
                        <w:color w:val="FF0000"/>
                        <w:sz w:val="26"/>
                      </w:rPr>
                      <w:t>CUI</w:t>
                    </w:r>
                  </w:p>
                </w:txbxContent>
              </v:textbox>
              <w10:wrap anchorx="page" anchory="page"/>
            </v:shape>
          </w:pict>
        </mc:Fallback>
      </mc:AlternateContent>
    </w:r>
    <w:r>
      <w:rPr>
        <w:rFonts w:ascii="Times New Roman" w:hAnsi="Times New Roman"/>
        <w:sz w:val="24"/>
        <w:szCs w:val="24"/>
      </w:rPr>
      <w:t xml:space="preserve">FERC-725A (OMB Control No.:1902-0244) </w:t>
    </w:r>
  </w:p>
  <w:p w14:paraId="76411885" w14:textId="180FBF95" w:rsidR="007C5EB4" w:rsidRDefault="007C5EB4" w:rsidP="00B3407F">
    <w:pPr>
      <w:pStyle w:val="Header"/>
      <w:rPr>
        <w:rFonts w:ascii="Times New Roman" w:hAnsi="Times New Roman"/>
        <w:sz w:val="24"/>
        <w:szCs w:val="24"/>
      </w:rPr>
    </w:pPr>
    <w:r>
      <w:rPr>
        <w:rFonts w:ascii="Times New Roman" w:hAnsi="Times New Roman"/>
        <w:sz w:val="24"/>
        <w:szCs w:val="24"/>
      </w:rPr>
      <w:t xml:space="preserve">Order in Docket No. RD21-4-000, </w:t>
    </w:r>
    <w:r w:rsidRPr="008A0CCC">
      <w:rPr>
        <w:rFonts w:ascii="Times New Roman" w:hAnsi="Times New Roman"/>
        <w:sz w:val="24"/>
        <w:szCs w:val="24"/>
      </w:rPr>
      <w:t>issued 4/07/2021</w:t>
    </w:r>
  </w:p>
  <w:p w14:paraId="3A568B8C" w14:textId="77777777" w:rsidR="007C5EB4" w:rsidRDefault="007C5EB4" w:rsidP="00B34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E65B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E44C7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D86120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CC05C6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26633C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4A59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BA11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B2FB5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6899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C679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616BCF"/>
    <w:multiLevelType w:val="hybridMultilevel"/>
    <w:tmpl w:val="D5E440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56264B"/>
    <w:multiLevelType w:val="hybridMultilevel"/>
    <w:tmpl w:val="64D22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E80CF9"/>
    <w:multiLevelType w:val="hybridMultilevel"/>
    <w:tmpl w:val="C65E7E40"/>
    <w:lvl w:ilvl="0" w:tplc="04090001">
      <w:start w:val="1"/>
      <w:numFmt w:val="bullet"/>
      <w:lvlText w:val=""/>
      <w:lvlJc w:val="left"/>
      <w:pPr>
        <w:tabs>
          <w:tab w:val="num" w:pos="490"/>
        </w:tabs>
        <w:ind w:left="490" w:hanging="360"/>
      </w:pPr>
      <w:rPr>
        <w:rFonts w:ascii="Symbol" w:hAnsi="Symbol" w:hint="default"/>
      </w:rPr>
    </w:lvl>
    <w:lvl w:ilvl="1" w:tplc="04090003" w:tentative="1">
      <w:start w:val="1"/>
      <w:numFmt w:val="bullet"/>
      <w:lvlText w:val="o"/>
      <w:lvlJc w:val="left"/>
      <w:pPr>
        <w:tabs>
          <w:tab w:val="num" w:pos="1210"/>
        </w:tabs>
        <w:ind w:left="1210" w:hanging="360"/>
      </w:pPr>
      <w:rPr>
        <w:rFonts w:ascii="Courier New" w:hAnsi="Courier New" w:hint="default"/>
      </w:rPr>
    </w:lvl>
    <w:lvl w:ilvl="2" w:tplc="04090005" w:tentative="1">
      <w:start w:val="1"/>
      <w:numFmt w:val="bullet"/>
      <w:lvlText w:val=""/>
      <w:lvlJc w:val="left"/>
      <w:pPr>
        <w:tabs>
          <w:tab w:val="num" w:pos="1930"/>
        </w:tabs>
        <w:ind w:left="1930" w:hanging="360"/>
      </w:pPr>
      <w:rPr>
        <w:rFonts w:ascii="Wingdings" w:hAnsi="Wingdings" w:hint="default"/>
      </w:rPr>
    </w:lvl>
    <w:lvl w:ilvl="3" w:tplc="04090001" w:tentative="1">
      <w:start w:val="1"/>
      <w:numFmt w:val="bullet"/>
      <w:lvlText w:val=""/>
      <w:lvlJc w:val="left"/>
      <w:pPr>
        <w:tabs>
          <w:tab w:val="num" w:pos="2650"/>
        </w:tabs>
        <w:ind w:left="2650" w:hanging="360"/>
      </w:pPr>
      <w:rPr>
        <w:rFonts w:ascii="Symbol" w:hAnsi="Symbol" w:hint="default"/>
      </w:rPr>
    </w:lvl>
    <w:lvl w:ilvl="4" w:tplc="04090003" w:tentative="1">
      <w:start w:val="1"/>
      <w:numFmt w:val="bullet"/>
      <w:lvlText w:val="o"/>
      <w:lvlJc w:val="left"/>
      <w:pPr>
        <w:tabs>
          <w:tab w:val="num" w:pos="3370"/>
        </w:tabs>
        <w:ind w:left="3370" w:hanging="360"/>
      </w:pPr>
      <w:rPr>
        <w:rFonts w:ascii="Courier New" w:hAnsi="Courier New" w:hint="default"/>
      </w:rPr>
    </w:lvl>
    <w:lvl w:ilvl="5" w:tplc="04090005" w:tentative="1">
      <w:start w:val="1"/>
      <w:numFmt w:val="bullet"/>
      <w:lvlText w:val=""/>
      <w:lvlJc w:val="left"/>
      <w:pPr>
        <w:tabs>
          <w:tab w:val="num" w:pos="4090"/>
        </w:tabs>
        <w:ind w:left="4090" w:hanging="360"/>
      </w:pPr>
      <w:rPr>
        <w:rFonts w:ascii="Wingdings" w:hAnsi="Wingdings" w:hint="default"/>
      </w:rPr>
    </w:lvl>
    <w:lvl w:ilvl="6" w:tplc="04090001" w:tentative="1">
      <w:start w:val="1"/>
      <w:numFmt w:val="bullet"/>
      <w:lvlText w:val=""/>
      <w:lvlJc w:val="left"/>
      <w:pPr>
        <w:tabs>
          <w:tab w:val="num" w:pos="4810"/>
        </w:tabs>
        <w:ind w:left="4810" w:hanging="360"/>
      </w:pPr>
      <w:rPr>
        <w:rFonts w:ascii="Symbol" w:hAnsi="Symbol" w:hint="default"/>
      </w:rPr>
    </w:lvl>
    <w:lvl w:ilvl="7" w:tplc="04090003" w:tentative="1">
      <w:start w:val="1"/>
      <w:numFmt w:val="bullet"/>
      <w:lvlText w:val="o"/>
      <w:lvlJc w:val="left"/>
      <w:pPr>
        <w:tabs>
          <w:tab w:val="num" w:pos="5530"/>
        </w:tabs>
        <w:ind w:left="5530" w:hanging="360"/>
      </w:pPr>
      <w:rPr>
        <w:rFonts w:ascii="Courier New" w:hAnsi="Courier New" w:hint="default"/>
      </w:rPr>
    </w:lvl>
    <w:lvl w:ilvl="8" w:tplc="04090005" w:tentative="1">
      <w:start w:val="1"/>
      <w:numFmt w:val="bullet"/>
      <w:lvlText w:val=""/>
      <w:lvlJc w:val="left"/>
      <w:pPr>
        <w:tabs>
          <w:tab w:val="num" w:pos="6250"/>
        </w:tabs>
        <w:ind w:left="6250" w:hanging="360"/>
      </w:pPr>
      <w:rPr>
        <w:rFonts w:ascii="Wingdings" w:hAnsi="Wingdings" w:hint="default"/>
      </w:rPr>
    </w:lvl>
  </w:abstractNum>
  <w:abstractNum w:abstractNumId="13" w15:restartNumberingAfterBreak="0">
    <w:nsid w:val="1821664C"/>
    <w:multiLevelType w:val="hybridMultilevel"/>
    <w:tmpl w:val="A91056FC"/>
    <w:lvl w:ilvl="0" w:tplc="653C10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1B4D7D"/>
    <w:multiLevelType w:val="hybridMultilevel"/>
    <w:tmpl w:val="66D473C4"/>
    <w:lvl w:ilvl="0" w:tplc="34368BE6">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1E334585"/>
    <w:multiLevelType w:val="hybridMultilevel"/>
    <w:tmpl w:val="70EC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951C5"/>
    <w:multiLevelType w:val="hybridMultilevel"/>
    <w:tmpl w:val="CC068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 w15:restartNumberingAfterBreak="0">
    <w:nsid w:val="3D3844F1"/>
    <w:multiLevelType w:val="hybridMultilevel"/>
    <w:tmpl w:val="213A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30F52"/>
    <w:multiLevelType w:val="hybridMultilevel"/>
    <w:tmpl w:val="D004E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CC1895"/>
    <w:multiLevelType w:val="hybridMultilevel"/>
    <w:tmpl w:val="632C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7425B"/>
    <w:multiLevelType w:val="hybridMultilevel"/>
    <w:tmpl w:val="825A398A"/>
    <w:lvl w:ilvl="0" w:tplc="34368B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55789"/>
    <w:multiLevelType w:val="hybridMultilevel"/>
    <w:tmpl w:val="F5E053C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568B5F24"/>
    <w:multiLevelType w:val="hybridMultilevel"/>
    <w:tmpl w:val="60E21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260868"/>
    <w:multiLevelType w:val="hybridMultilevel"/>
    <w:tmpl w:val="FF063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0E7BFE"/>
    <w:multiLevelType w:val="hybridMultilevel"/>
    <w:tmpl w:val="23A860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2835CA"/>
    <w:multiLevelType w:val="hybridMultilevel"/>
    <w:tmpl w:val="6334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C03409"/>
    <w:multiLevelType w:val="hybridMultilevel"/>
    <w:tmpl w:val="0F2EB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5975AC"/>
    <w:multiLevelType w:val="hybridMultilevel"/>
    <w:tmpl w:val="2FFAF80A"/>
    <w:lvl w:ilvl="0" w:tplc="653C10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893EE1"/>
    <w:multiLevelType w:val="hybridMultilevel"/>
    <w:tmpl w:val="FEB892DE"/>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0" w15:restartNumberingAfterBreak="0">
    <w:nsid w:val="73D16E82"/>
    <w:multiLevelType w:val="hybridMultilevel"/>
    <w:tmpl w:val="9D22A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60736"/>
    <w:multiLevelType w:val="hybridMultilevel"/>
    <w:tmpl w:val="804A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4E4DD3"/>
    <w:multiLevelType w:val="hybridMultilevel"/>
    <w:tmpl w:val="F68E5210"/>
    <w:lvl w:ilvl="0" w:tplc="BF7A64A2">
      <w:start w:val="1"/>
      <w:numFmt w:val="decimal"/>
      <w:pStyle w:val="FERCparanumber"/>
      <w:lvlText w:val="%1."/>
      <w:lvlJc w:val="left"/>
      <w:pPr>
        <w:tabs>
          <w:tab w:val="num" w:pos="720"/>
        </w:tabs>
      </w:pPr>
      <w:rPr>
        <w:rFonts w:ascii="Times New Roman" w:hAnsi="Times New Roman" w:cs="Times New Roman" w:hint="default"/>
        <w:b w:val="0"/>
        <w:i w:val="0"/>
        <w:sz w:val="26"/>
        <w:szCs w:val="26"/>
      </w:rPr>
    </w:lvl>
    <w:lvl w:ilvl="1" w:tplc="04090019">
      <w:start w:val="1"/>
      <w:numFmt w:val="upperLetter"/>
      <w:lvlText w:val="%2."/>
      <w:lvlJc w:val="left"/>
      <w:pPr>
        <w:tabs>
          <w:tab w:val="num" w:pos="1440"/>
        </w:tabs>
        <w:ind w:left="1440" w:hanging="360"/>
      </w:pPr>
      <w:rPr>
        <w:rFonts w:cs="Times New Roman" w:hint="default"/>
        <w:u w:val="none"/>
      </w:rPr>
    </w:lvl>
    <w:lvl w:ilvl="2" w:tplc="0409001B">
      <w:start w:val="1"/>
      <w:numFmt w:val="bullet"/>
      <w:lvlText w:val=""/>
      <w:lvlJc w:val="left"/>
      <w:pPr>
        <w:tabs>
          <w:tab w:val="num" w:pos="2340"/>
        </w:tabs>
        <w:ind w:left="2340" w:hanging="360"/>
      </w:pPr>
      <w:rPr>
        <w:rFonts w:ascii="Symbol" w:hAnsi="Symbol" w:hint="default"/>
        <w:b w:val="0"/>
      </w:rPr>
    </w:lvl>
    <w:lvl w:ilvl="3" w:tplc="0409000F">
      <w:start w:val="1"/>
      <w:numFmt w:val="decimal"/>
      <w:lvlText w:val="(%4)"/>
      <w:lvlJc w:val="left"/>
      <w:pPr>
        <w:tabs>
          <w:tab w:val="num" w:pos="2880"/>
        </w:tabs>
        <w:ind w:left="2880" w:hanging="360"/>
      </w:pPr>
      <w:rPr>
        <w:rFonts w:cs="Times New Roman" w:hint="default"/>
        <w:b w:val="0"/>
      </w:rPr>
    </w:lvl>
    <w:lvl w:ilvl="4" w:tplc="04090019">
      <w:start w:val="4"/>
      <w:numFmt w:val="lowerLetter"/>
      <w:lvlText w:val="%5."/>
      <w:lvlJc w:val="left"/>
      <w:pPr>
        <w:tabs>
          <w:tab w:val="num" w:pos="3600"/>
        </w:tabs>
        <w:ind w:left="3600" w:hanging="360"/>
      </w:pPr>
      <w:rPr>
        <w:rFonts w:cs="Times New Roman" w:hint="default"/>
        <w:b/>
        <w:u w:val="single"/>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17"/>
  </w:num>
  <w:num w:numId="3">
    <w:abstractNumId w:val="24"/>
  </w:num>
  <w:num w:numId="4">
    <w:abstractNumId w:val="26"/>
  </w:num>
  <w:num w:numId="5">
    <w:abstractNumId w:val="32"/>
  </w:num>
  <w:num w:numId="6">
    <w:abstractNumId w:val="29"/>
  </w:num>
  <w:num w:numId="7">
    <w:abstractNumId w:val="12"/>
  </w:num>
  <w:num w:numId="8">
    <w:abstractNumId w:val="2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7"/>
  </w:num>
  <w:num w:numId="20">
    <w:abstractNumId w:val="16"/>
  </w:num>
  <w:num w:numId="21">
    <w:abstractNumId w:val="10"/>
  </w:num>
  <w:num w:numId="22">
    <w:abstractNumId w:val="31"/>
  </w:num>
  <w:num w:numId="23">
    <w:abstractNumId w:val="18"/>
  </w:num>
  <w:num w:numId="24">
    <w:abstractNumId w:val="19"/>
  </w:num>
  <w:num w:numId="25">
    <w:abstractNumId w:val="30"/>
  </w:num>
  <w:num w:numId="26">
    <w:abstractNumId w:val="13"/>
  </w:num>
  <w:num w:numId="27">
    <w:abstractNumId w:val="28"/>
  </w:num>
  <w:num w:numId="28">
    <w:abstractNumId w:val="11"/>
  </w:num>
  <w:num w:numId="29">
    <w:abstractNumId w:val="14"/>
  </w:num>
  <w:num w:numId="30">
    <w:abstractNumId w:val="22"/>
  </w:num>
  <w:num w:numId="31">
    <w:abstractNumId w:val="23"/>
  </w:num>
  <w:num w:numId="32">
    <w:abstractNumId w:val="15"/>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F1"/>
    <w:rsid w:val="00001EC7"/>
    <w:rsid w:val="0000315F"/>
    <w:rsid w:val="000042C0"/>
    <w:rsid w:val="00004303"/>
    <w:rsid w:val="00004D85"/>
    <w:rsid w:val="00011946"/>
    <w:rsid w:val="0002242D"/>
    <w:rsid w:val="00032AB7"/>
    <w:rsid w:val="00035845"/>
    <w:rsid w:val="0004709E"/>
    <w:rsid w:val="000541C7"/>
    <w:rsid w:val="00071443"/>
    <w:rsid w:val="00071E8E"/>
    <w:rsid w:val="000A441A"/>
    <w:rsid w:val="000B0C37"/>
    <w:rsid w:val="000E4604"/>
    <w:rsid w:val="000F532B"/>
    <w:rsid w:val="00107834"/>
    <w:rsid w:val="00143103"/>
    <w:rsid w:val="001513C0"/>
    <w:rsid w:val="0017787C"/>
    <w:rsid w:val="00181727"/>
    <w:rsid w:val="00182858"/>
    <w:rsid w:val="00185730"/>
    <w:rsid w:val="00190012"/>
    <w:rsid w:val="001B66CF"/>
    <w:rsid w:val="001C300E"/>
    <w:rsid w:val="001D0D91"/>
    <w:rsid w:val="001F1AD2"/>
    <w:rsid w:val="001F4608"/>
    <w:rsid w:val="002051EB"/>
    <w:rsid w:val="00210748"/>
    <w:rsid w:val="00210902"/>
    <w:rsid w:val="00212FCA"/>
    <w:rsid w:val="002249B4"/>
    <w:rsid w:val="00231EBD"/>
    <w:rsid w:val="0026674D"/>
    <w:rsid w:val="00270229"/>
    <w:rsid w:val="00275E54"/>
    <w:rsid w:val="002800F3"/>
    <w:rsid w:val="00293DD1"/>
    <w:rsid w:val="002B13E2"/>
    <w:rsid w:val="002B502D"/>
    <w:rsid w:val="002C7345"/>
    <w:rsid w:val="002E48FF"/>
    <w:rsid w:val="002E6793"/>
    <w:rsid w:val="002E73DC"/>
    <w:rsid w:val="002E7D81"/>
    <w:rsid w:val="0030268B"/>
    <w:rsid w:val="00312AD1"/>
    <w:rsid w:val="00324D7D"/>
    <w:rsid w:val="00330A2A"/>
    <w:rsid w:val="00333EE2"/>
    <w:rsid w:val="00375A46"/>
    <w:rsid w:val="003A2655"/>
    <w:rsid w:val="003B25DD"/>
    <w:rsid w:val="003C0A4F"/>
    <w:rsid w:val="003D69FC"/>
    <w:rsid w:val="003F119D"/>
    <w:rsid w:val="00414F32"/>
    <w:rsid w:val="00415C53"/>
    <w:rsid w:val="004552E9"/>
    <w:rsid w:val="00471EC4"/>
    <w:rsid w:val="004779B9"/>
    <w:rsid w:val="004951E2"/>
    <w:rsid w:val="004B01EE"/>
    <w:rsid w:val="004B502E"/>
    <w:rsid w:val="004C4C89"/>
    <w:rsid w:val="004F6977"/>
    <w:rsid w:val="004F7A4D"/>
    <w:rsid w:val="00504E92"/>
    <w:rsid w:val="00522F69"/>
    <w:rsid w:val="00530462"/>
    <w:rsid w:val="0053287C"/>
    <w:rsid w:val="005335A7"/>
    <w:rsid w:val="0056728B"/>
    <w:rsid w:val="00571C5E"/>
    <w:rsid w:val="00572435"/>
    <w:rsid w:val="0057700F"/>
    <w:rsid w:val="00577CC7"/>
    <w:rsid w:val="00580974"/>
    <w:rsid w:val="00583863"/>
    <w:rsid w:val="005A2792"/>
    <w:rsid w:val="005B4642"/>
    <w:rsid w:val="005B74EF"/>
    <w:rsid w:val="005B77CE"/>
    <w:rsid w:val="005E7290"/>
    <w:rsid w:val="005F1C3C"/>
    <w:rsid w:val="005F2922"/>
    <w:rsid w:val="00615C10"/>
    <w:rsid w:val="006166FA"/>
    <w:rsid w:val="00653BD5"/>
    <w:rsid w:val="00656F55"/>
    <w:rsid w:val="00664BC0"/>
    <w:rsid w:val="006835EB"/>
    <w:rsid w:val="00690136"/>
    <w:rsid w:val="006A5231"/>
    <w:rsid w:val="006D67DF"/>
    <w:rsid w:val="006D74D9"/>
    <w:rsid w:val="006D7EBE"/>
    <w:rsid w:val="006E33D4"/>
    <w:rsid w:val="006E6BF1"/>
    <w:rsid w:val="00705F66"/>
    <w:rsid w:val="007165A2"/>
    <w:rsid w:val="0072126E"/>
    <w:rsid w:val="00730307"/>
    <w:rsid w:val="0073424E"/>
    <w:rsid w:val="00734692"/>
    <w:rsid w:val="00763EAE"/>
    <w:rsid w:val="00764D4D"/>
    <w:rsid w:val="007666A8"/>
    <w:rsid w:val="00773039"/>
    <w:rsid w:val="00773AEB"/>
    <w:rsid w:val="00776623"/>
    <w:rsid w:val="00781137"/>
    <w:rsid w:val="00787670"/>
    <w:rsid w:val="00787FED"/>
    <w:rsid w:val="007A2F92"/>
    <w:rsid w:val="007A7A19"/>
    <w:rsid w:val="007B3E16"/>
    <w:rsid w:val="007C31D6"/>
    <w:rsid w:val="007C5EB4"/>
    <w:rsid w:val="007D1EDB"/>
    <w:rsid w:val="007D4C3D"/>
    <w:rsid w:val="007E08EF"/>
    <w:rsid w:val="007E12BA"/>
    <w:rsid w:val="007E7C0F"/>
    <w:rsid w:val="007F0136"/>
    <w:rsid w:val="007F1AC1"/>
    <w:rsid w:val="007F2CD9"/>
    <w:rsid w:val="007F58DE"/>
    <w:rsid w:val="007F7801"/>
    <w:rsid w:val="00804051"/>
    <w:rsid w:val="0081469B"/>
    <w:rsid w:val="00824B30"/>
    <w:rsid w:val="00826750"/>
    <w:rsid w:val="00836ACB"/>
    <w:rsid w:val="00841DE0"/>
    <w:rsid w:val="00845C73"/>
    <w:rsid w:val="00847190"/>
    <w:rsid w:val="00847B85"/>
    <w:rsid w:val="008619E1"/>
    <w:rsid w:val="00876F75"/>
    <w:rsid w:val="008838BF"/>
    <w:rsid w:val="00883F19"/>
    <w:rsid w:val="00896DEA"/>
    <w:rsid w:val="008A0CCC"/>
    <w:rsid w:val="008A21A4"/>
    <w:rsid w:val="008B0A37"/>
    <w:rsid w:val="008B703B"/>
    <w:rsid w:val="008C288D"/>
    <w:rsid w:val="008C4831"/>
    <w:rsid w:val="008E70CD"/>
    <w:rsid w:val="008F16EE"/>
    <w:rsid w:val="008F3AD3"/>
    <w:rsid w:val="00913A8B"/>
    <w:rsid w:val="009234F6"/>
    <w:rsid w:val="00924C11"/>
    <w:rsid w:val="0092596C"/>
    <w:rsid w:val="00954E34"/>
    <w:rsid w:val="00970FE4"/>
    <w:rsid w:val="00973D7D"/>
    <w:rsid w:val="0098144A"/>
    <w:rsid w:val="009A2394"/>
    <w:rsid w:val="009A6041"/>
    <w:rsid w:val="009A6326"/>
    <w:rsid w:val="009C7ADC"/>
    <w:rsid w:val="009D4D24"/>
    <w:rsid w:val="009E1190"/>
    <w:rsid w:val="009E68B7"/>
    <w:rsid w:val="009F358B"/>
    <w:rsid w:val="009F534F"/>
    <w:rsid w:val="00A03A01"/>
    <w:rsid w:val="00A124D2"/>
    <w:rsid w:val="00A25080"/>
    <w:rsid w:val="00A276F5"/>
    <w:rsid w:val="00A32B85"/>
    <w:rsid w:val="00A4336A"/>
    <w:rsid w:val="00A548BE"/>
    <w:rsid w:val="00A72E7B"/>
    <w:rsid w:val="00A968FB"/>
    <w:rsid w:val="00A96B65"/>
    <w:rsid w:val="00AC488E"/>
    <w:rsid w:val="00AC5B54"/>
    <w:rsid w:val="00AD3DE5"/>
    <w:rsid w:val="00AD4CC5"/>
    <w:rsid w:val="00AD5F1C"/>
    <w:rsid w:val="00AD7868"/>
    <w:rsid w:val="00AE205C"/>
    <w:rsid w:val="00AF32F2"/>
    <w:rsid w:val="00B06088"/>
    <w:rsid w:val="00B1381C"/>
    <w:rsid w:val="00B16372"/>
    <w:rsid w:val="00B3407F"/>
    <w:rsid w:val="00B44058"/>
    <w:rsid w:val="00B5301A"/>
    <w:rsid w:val="00B62DC2"/>
    <w:rsid w:val="00B82D54"/>
    <w:rsid w:val="00B86284"/>
    <w:rsid w:val="00B862DA"/>
    <w:rsid w:val="00BA1C7D"/>
    <w:rsid w:val="00BA5743"/>
    <w:rsid w:val="00BA57C6"/>
    <w:rsid w:val="00BA7C56"/>
    <w:rsid w:val="00BC2D1E"/>
    <w:rsid w:val="00BC302C"/>
    <w:rsid w:val="00BD0FD5"/>
    <w:rsid w:val="00C00D70"/>
    <w:rsid w:val="00C01698"/>
    <w:rsid w:val="00C3435C"/>
    <w:rsid w:val="00C510DD"/>
    <w:rsid w:val="00C57485"/>
    <w:rsid w:val="00C60EDC"/>
    <w:rsid w:val="00C754A4"/>
    <w:rsid w:val="00C867EB"/>
    <w:rsid w:val="00CA495F"/>
    <w:rsid w:val="00CA4F8C"/>
    <w:rsid w:val="00CA59C3"/>
    <w:rsid w:val="00CA6D5C"/>
    <w:rsid w:val="00CB5C60"/>
    <w:rsid w:val="00CC086F"/>
    <w:rsid w:val="00CD061C"/>
    <w:rsid w:val="00CD7DBB"/>
    <w:rsid w:val="00CE34E4"/>
    <w:rsid w:val="00CF734E"/>
    <w:rsid w:val="00D037AB"/>
    <w:rsid w:val="00D05648"/>
    <w:rsid w:val="00D05A7F"/>
    <w:rsid w:val="00D119C3"/>
    <w:rsid w:val="00D20588"/>
    <w:rsid w:val="00D31FF3"/>
    <w:rsid w:val="00D53C96"/>
    <w:rsid w:val="00D60B08"/>
    <w:rsid w:val="00D734E6"/>
    <w:rsid w:val="00D80FBD"/>
    <w:rsid w:val="00DB14A2"/>
    <w:rsid w:val="00DC3363"/>
    <w:rsid w:val="00DC4E36"/>
    <w:rsid w:val="00DD0209"/>
    <w:rsid w:val="00DD1F76"/>
    <w:rsid w:val="00DD2B39"/>
    <w:rsid w:val="00DF401D"/>
    <w:rsid w:val="00DF56DA"/>
    <w:rsid w:val="00DF739D"/>
    <w:rsid w:val="00E05FA3"/>
    <w:rsid w:val="00E11CA6"/>
    <w:rsid w:val="00E14565"/>
    <w:rsid w:val="00E20612"/>
    <w:rsid w:val="00E32FBE"/>
    <w:rsid w:val="00E57AAC"/>
    <w:rsid w:val="00E636D7"/>
    <w:rsid w:val="00E77D58"/>
    <w:rsid w:val="00E87A4F"/>
    <w:rsid w:val="00E920BC"/>
    <w:rsid w:val="00EA5DC5"/>
    <w:rsid w:val="00EB1FF5"/>
    <w:rsid w:val="00EB3E6F"/>
    <w:rsid w:val="00EC0232"/>
    <w:rsid w:val="00ED5560"/>
    <w:rsid w:val="00EE4C15"/>
    <w:rsid w:val="00EF0B6E"/>
    <w:rsid w:val="00F12DC2"/>
    <w:rsid w:val="00F152DF"/>
    <w:rsid w:val="00F21C1A"/>
    <w:rsid w:val="00F35839"/>
    <w:rsid w:val="00F55597"/>
    <w:rsid w:val="00F61AF6"/>
    <w:rsid w:val="00F63BAB"/>
    <w:rsid w:val="00FA0AF5"/>
    <w:rsid w:val="00FB0397"/>
    <w:rsid w:val="00FB16E6"/>
    <w:rsid w:val="00FB482A"/>
    <w:rsid w:val="00FC1142"/>
    <w:rsid w:val="00FD66F1"/>
    <w:rsid w:val="00FF0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E9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30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C30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C30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30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C30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C302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C30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C302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C302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o,fr,Style 17,o1,fr1,o2,fr2,o3,fr3,Style 13,Style 12,Style 15,Style 9,Style 18,(NECG) Footnote Reference,Style 20,Style 7,Style 8,Style 19,Style 28,Styl,Style 11,Style 16,Footnote Reference (EIS),fnr,Footnote reference (EA),Style 30"/>
    <w:qFormat/>
    <w:rsid w:val="00E636D7"/>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Footnote Text MRP"/>
    <w:basedOn w:val="Normal"/>
    <w:link w:val="FootnoteTextChar1"/>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1 Char2,Footnote Text Char Char Char1,Footnote Text Char1 Char Char1,Footnote Text Char Char Char Char,Footnote Text MRP Char,fn1 Char,Footnote Text Char3 Char,Footnote Text Char Char Char Char1 Char"/>
    <w:basedOn w:val="DefaultParagraphFont"/>
    <w:uiPriority w:val="99"/>
    <w:rsid w:val="00E636D7"/>
    <w:rPr>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
    <w:link w:val="FootnoteText"/>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paragraph" w:customStyle="1" w:styleId="FERCparanumber">
    <w:name w:val="FERC paranumber"/>
    <w:basedOn w:val="Normal"/>
    <w:link w:val="FERCparanumberChar"/>
    <w:rsid w:val="00DF401D"/>
    <w:pPr>
      <w:widowControl w:val="0"/>
      <w:numPr>
        <w:numId w:val="5"/>
      </w:numPr>
      <w:autoSpaceDE w:val="0"/>
      <w:autoSpaceDN w:val="0"/>
      <w:adjustRightInd w:val="0"/>
      <w:spacing w:after="0" w:line="480" w:lineRule="auto"/>
    </w:pPr>
    <w:rPr>
      <w:rFonts w:ascii="Times New Roman" w:eastAsia="Times New Roman" w:hAnsi="Times New Roman" w:cs="Times New Roman"/>
      <w:sz w:val="26"/>
      <w:szCs w:val="24"/>
    </w:rPr>
  </w:style>
  <w:style w:type="character" w:customStyle="1" w:styleId="FERCparanumberChar">
    <w:name w:val="FERC paranumber Char"/>
    <w:link w:val="FERCparanumber"/>
    <w:uiPriority w:val="99"/>
    <w:locked/>
    <w:rsid w:val="00DF401D"/>
    <w:rPr>
      <w:rFonts w:ascii="Times New Roman" w:eastAsia="Times New Roman" w:hAnsi="Times New Roman" w:cs="Times New Roman"/>
      <w:sz w:val="26"/>
      <w:szCs w:val="24"/>
    </w:rPr>
  </w:style>
  <w:style w:type="character" w:styleId="Hyperlink">
    <w:name w:val="Hyperlink"/>
    <w:basedOn w:val="DefaultParagraphFont"/>
    <w:uiPriority w:val="99"/>
    <w:rsid w:val="0072126E"/>
    <w:rPr>
      <w:rFonts w:cs="Times New Roman"/>
      <w:color w:val="0000FF"/>
      <w:u w:val="single"/>
    </w:rPr>
  </w:style>
  <w:style w:type="character" w:styleId="FollowedHyperlink">
    <w:name w:val="FollowedHyperlink"/>
    <w:basedOn w:val="DefaultParagraphFont"/>
    <w:uiPriority w:val="99"/>
    <w:semiHidden/>
    <w:unhideWhenUsed/>
    <w:rsid w:val="0072126E"/>
    <w:rPr>
      <w:color w:val="800080" w:themeColor="followedHyperlink"/>
      <w:u w:val="single"/>
    </w:rPr>
  </w:style>
  <w:style w:type="paragraph" w:styleId="Bibliography">
    <w:name w:val="Bibliography"/>
    <w:basedOn w:val="Normal"/>
    <w:next w:val="Normal"/>
    <w:uiPriority w:val="37"/>
    <w:semiHidden/>
    <w:unhideWhenUsed/>
    <w:rsid w:val="00BC302C"/>
  </w:style>
  <w:style w:type="paragraph" w:styleId="BlockText">
    <w:name w:val="Block Text"/>
    <w:basedOn w:val="Normal"/>
    <w:uiPriority w:val="99"/>
    <w:semiHidden/>
    <w:unhideWhenUsed/>
    <w:rsid w:val="00BC302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BC302C"/>
    <w:pPr>
      <w:spacing w:after="120"/>
    </w:pPr>
  </w:style>
  <w:style w:type="character" w:customStyle="1" w:styleId="BodyTextChar">
    <w:name w:val="Body Text Char"/>
    <w:basedOn w:val="DefaultParagraphFont"/>
    <w:link w:val="BodyText"/>
    <w:uiPriority w:val="99"/>
    <w:semiHidden/>
    <w:rsid w:val="00BC302C"/>
  </w:style>
  <w:style w:type="paragraph" w:styleId="BodyText2">
    <w:name w:val="Body Text 2"/>
    <w:basedOn w:val="Normal"/>
    <w:link w:val="BodyText2Char"/>
    <w:uiPriority w:val="99"/>
    <w:semiHidden/>
    <w:unhideWhenUsed/>
    <w:rsid w:val="00BC302C"/>
    <w:pPr>
      <w:spacing w:after="120" w:line="480" w:lineRule="auto"/>
    </w:pPr>
  </w:style>
  <w:style w:type="character" w:customStyle="1" w:styleId="BodyText2Char">
    <w:name w:val="Body Text 2 Char"/>
    <w:basedOn w:val="DefaultParagraphFont"/>
    <w:link w:val="BodyText2"/>
    <w:uiPriority w:val="99"/>
    <w:semiHidden/>
    <w:rsid w:val="00BC302C"/>
  </w:style>
  <w:style w:type="paragraph" w:styleId="BodyText3">
    <w:name w:val="Body Text 3"/>
    <w:basedOn w:val="Normal"/>
    <w:link w:val="BodyText3Char"/>
    <w:uiPriority w:val="99"/>
    <w:semiHidden/>
    <w:unhideWhenUsed/>
    <w:rsid w:val="00BC302C"/>
    <w:pPr>
      <w:spacing w:after="120"/>
    </w:pPr>
    <w:rPr>
      <w:sz w:val="16"/>
      <w:szCs w:val="16"/>
    </w:rPr>
  </w:style>
  <w:style w:type="character" w:customStyle="1" w:styleId="BodyText3Char">
    <w:name w:val="Body Text 3 Char"/>
    <w:basedOn w:val="DefaultParagraphFont"/>
    <w:link w:val="BodyText3"/>
    <w:uiPriority w:val="99"/>
    <w:semiHidden/>
    <w:rsid w:val="00BC302C"/>
    <w:rPr>
      <w:sz w:val="16"/>
      <w:szCs w:val="16"/>
    </w:rPr>
  </w:style>
  <w:style w:type="paragraph" w:styleId="BodyTextFirstIndent">
    <w:name w:val="Body Text First Indent"/>
    <w:basedOn w:val="BodyText"/>
    <w:link w:val="BodyTextFirstIndentChar"/>
    <w:uiPriority w:val="99"/>
    <w:semiHidden/>
    <w:unhideWhenUsed/>
    <w:rsid w:val="00BC302C"/>
    <w:pPr>
      <w:spacing w:after="200"/>
      <w:ind w:firstLine="360"/>
    </w:pPr>
  </w:style>
  <w:style w:type="character" w:customStyle="1" w:styleId="BodyTextFirstIndentChar">
    <w:name w:val="Body Text First Indent Char"/>
    <w:basedOn w:val="BodyTextChar"/>
    <w:link w:val="BodyTextFirstIndent"/>
    <w:uiPriority w:val="99"/>
    <w:semiHidden/>
    <w:rsid w:val="00BC302C"/>
  </w:style>
  <w:style w:type="paragraph" w:styleId="BodyTextIndent">
    <w:name w:val="Body Text Indent"/>
    <w:basedOn w:val="Normal"/>
    <w:link w:val="BodyTextIndentChar"/>
    <w:uiPriority w:val="99"/>
    <w:semiHidden/>
    <w:unhideWhenUsed/>
    <w:rsid w:val="00BC302C"/>
    <w:pPr>
      <w:spacing w:after="120"/>
      <w:ind w:left="360"/>
    </w:pPr>
  </w:style>
  <w:style w:type="character" w:customStyle="1" w:styleId="BodyTextIndentChar">
    <w:name w:val="Body Text Indent Char"/>
    <w:basedOn w:val="DefaultParagraphFont"/>
    <w:link w:val="BodyTextIndent"/>
    <w:uiPriority w:val="99"/>
    <w:semiHidden/>
    <w:rsid w:val="00BC302C"/>
  </w:style>
  <w:style w:type="paragraph" w:styleId="BodyTextFirstIndent2">
    <w:name w:val="Body Text First Indent 2"/>
    <w:basedOn w:val="BodyTextIndent"/>
    <w:link w:val="BodyTextFirstIndent2Char"/>
    <w:uiPriority w:val="99"/>
    <w:semiHidden/>
    <w:unhideWhenUsed/>
    <w:rsid w:val="00BC302C"/>
    <w:pPr>
      <w:spacing w:after="200"/>
      <w:ind w:firstLine="360"/>
    </w:pPr>
  </w:style>
  <w:style w:type="character" w:customStyle="1" w:styleId="BodyTextFirstIndent2Char">
    <w:name w:val="Body Text First Indent 2 Char"/>
    <w:basedOn w:val="BodyTextIndentChar"/>
    <w:link w:val="BodyTextFirstIndent2"/>
    <w:uiPriority w:val="99"/>
    <w:semiHidden/>
    <w:rsid w:val="00BC302C"/>
  </w:style>
  <w:style w:type="paragraph" w:styleId="BodyTextIndent2">
    <w:name w:val="Body Text Indent 2"/>
    <w:basedOn w:val="Normal"/>
    <w:link w:val="BodyTextIndent2Char"/>
    <w:uiPriority w:val="99"/>
    <w:semiHidden/>
    <w:unhideWhenUsed/>
    <w:rsid w:val="00BC302C"/>
    <w:pPr>
      <w:spacing w:after="120" w:line="480" w:lineRule="auto"/>
      <w:ind w:left="360"/>
    </w:pPr>
  </w:style>
  <w:style w:type="character" w:customStyle="1" w:styleId="BodyTextIndent2Char">
    <w:name w:val="Body Text Indent 2 Char"/>
    <w:basedOn w:val="DefaultParagraphFont"/>
    <w:link w:val="BodyTextIndent2"/>
    <w:uiPriority w:val="99"/>
    <w:semiHidden/>
    <w:rsid w:val="00BC302C"/>
  </w:style>
  <w:style w:type="paragraph" w:styleId="BodyTextIndent3">
    <w:name w:val="Body Text Indent 3"/>
    <w:basedOn w:val="Normal"/>
    <w:link w:val="BodyTextIndent3Char"/>
    <w:uiPriority w:val="99"/>
    <w:semiHidden/>
    <w:unhideWhenUsed/>
    <w:rsid w:val="00BC30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302C"/>
    <w:rPr>
      <w:sz w:val="16"/>
      <w:szCs w:val="16"/>
    </w:rPr>
  </w:style>
  <w:style w:type="paragraph" w:styleId="Caption">
    <w:name w:val="caption"/>
    <w:basedOn w:val="Normal"/>
    <w:next w:val="Normal"/>
    <w:uiPriority w:val="35"/>
    <w:semiHidden/>
    <w:unhideWhenUsed/>
    <w:qFormat/>
    <w:rsid w:val="00BC302C"/>
    <w:pPr>
      <w:spacing w:line="240" w:lineRule="auto"/>
    </w:pPr>
    <w:rPr>
      <w:b/>
      <w:bCs/>
      <w:color w:val="4F81BD" w:themeColor="accent1"/>
      <w:sz w:val="18"/>
      <w:szCs w:val="18"/>
    </w:rPr>
  </w:style>
  <w:style w:type="paragraph" w:styleId="Closing">
    <w:name w:val="Closing"/>
    <w:basedOn w:val="Normal"/>
    <w:link w:val="ClosingChar"/>
    <w:uiPriority w:val="99"/>
    <w:semiHidden/>
    <w:unhideWhenUsed/>
    <w:rsid w:val="00BC302C"/>
    <w:pPr>
      <w:spacing w:after="0" w:line="240" w:lineRule="auto"/>
      <w:ind w:left="4320"/>
    </w:pPr>
  </w:style>
  <w:style w:type="character" w:customStyle="1" w:styleId="ClosingChar">
    <w:name w:val="Closing Char"/>
    <w:basedOn w:val="DefaultParagraphFont"/>
    <w:link w:val="Closing"/>
    <w:uiPriority w:val="99"/>
    <w:semiHidden/>
    <w:rsid w:val="00BC302C"/>
  </w:style>
  <w:style w:type="paragraph" w:styleId="Date">
    <w:name w:val="Date"/>
    <w:basedOn w:val="Normal"/>
    <w:next w:val="Normal"/>
    <w:link w:val="DateChar"/>
    <w:uiPriority w:val="99"/>
    <w:semiHidden/>
    <w:unhideWhenUsed/>
    <w:rsid w:val="00BC302C"/>
  </w:style>
  <w:style w:type="character" w:customStyle="1" w:styleId="DateChar">
    <w:name w:val="Date Char"/>
    <w:basedOn w:val="DefaultParagraphFont"/>
    <w:link w:val="Date"/>
    <w:uiPriority w:val="99"/>
    <w:semiHidden/>
    <w:rsid w:val="00BC302C"/>
  </w:style>
  <w:style w:type="paragraph" w:styleId="DocumentMap">
    <w:name w:val="Document Map"/>
    <w:basedOn w:val="Normal"/>
    <w:link w:val="DocumentMapChar"/>
    <w:uiPriority w:val="99"/>
    <w:semiHidden/>
    <w:unhideWhenUsed/>
    <w:rsid w:val="00BC302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C302C"/>
    <w:rPr>
      <w:rFonts w:ascii="Tahoma" w:hAnsi="Tahoma" w:cs="Tahoma"/>
      <w:sz w:val="16"/>
      <w:szCs w:val="16"/>
    </w:rPr>
  </w:style>
  <w:style w:type="paragraph" w:styleId="E-mailSignature">
    <w:name w:val="E-mail Signature"/>
    <w:basedOn w:val="Normal"/>
    <w:link w:val="E-mailSignatureChar"/>
    <w:uiPriority w:val="99"/>
    <w:semiHidden/>
    <w:unhideWhenUsed/>
    <w:rsid w:val="00BC302C"/>
    <w:pPr>
      <w:spacing w:after="0" w:line="240" w:lineRule="auto"/>
    </w:pPr>
  </w:style>
  <w:style w:type="character" w:customStyle="1" w:styleId="E-mailSignatureChar">
    <w:name w:val="E-mail Signature Char"/>
    <w:basedOn w:val="DefaultParagraphFont"/>
    <w:link w:val="E-mailSignature"/>
    <w:uiPriority w:val="99"/>
    <w:semiHidden/>
    <w:rsid w:val="00BC302C"/>
  </w:style>
  <w:style w:type="paragraph" w:styleId="EndnoteText">
    <w:name w:val="endnote text"/>
    <w:basedOn w:val="Normal"/>
    <w:link w:val="EndnoteTextChar"/>
    <w:uiPriority w:val="99"/>
    <w:semiHidden/>
    <w:unhideWhenUsed/>
    <w:rsid w:val="00BC30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302C"/>
    <w:rPr>
      <w:sz w:val="20"/>
      <w:szCs w:val="20"/>
    </w:rPr>
  </w:style>
  <w:style w:type="paragraph" w:styleId="EnvelopeAddress">
    <w:name w:val="envelope address"/>
    <w:basedOn w:val="Normal"/>
    <w:uiPriority w:val="99"/>
    <w:semiHidden/>
    <w:unhideWhenUsed/>
    <w:rsid w:val="00BC30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302C"/>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BC30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C30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C30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C30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C302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C302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C30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C30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C302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BC302C"/>
    <w:pPr>
      <w:spacing w:after="0" w:line="240" w:lineRule="auto"/>
    </w:pPr>
    <w:rPr>
      <w:i/>
      <w:iCs/>
    </w:rPr>
  </w:style>
  <w:style w:type="character" w:customStyle="1" w:styleId="HTMLAddressChar">
    <w:name w:val="HTML Address Char"/>
    <w:basedOn w:val="DefaultParagraphFont"/>
    <w:link w:val="HTMLAddress"/>
    <w:uiPriority w:val="99"/>
    <w:semiHidden/>
    <w:rsid w:val="00BC302C"/>
    <w:rPr>
      <w:i/>
      <w:iCs/>
    </w:rPr>
  </w:style>
  <w:style w:type="paragraph" w:styleId="HTMLPreformatted">
    <w:name w:val="HTML Preformatted"/>
    <w:basedOn w:val="Normal"/>
    <w:link w:val="HTMLPreformattedChar"/>
    <w:uiPriority w:val="99"/>
    <w:semiHidden/>
    <w:unhideWhenUsed/>
    <w:rsid w:val="00BC302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302C"/>
    <w:rPr>
      <w:rFonts w:ascii="Consolas" w:hAnsi="Consolas"/>
      <w:sz w:val="20"/>
      <w:szCs w:val="20"/>
    </w:rPr>
  </w:style>
  <w:style w:type="paragraph" w:styleId="Index1">
    <w:name w:val="index 1"/>
    <w:basedOn w:val="Normal"/>
    <w:next w:val="Normal"/>
    <w:uiPriority w:val="99"/>
    <w:semiHidden/>
    <w:unhideWhenUsed/>
    <w:rsid w:val="00BC302C"/>
    <w:pPr>
      <w:spacing w:after="0" w:line="240" w:lineRule="auto"/>
      <w:ind w:left="220" w:hanging="220"/>
    </w:pPr>
  </w:style>
  <w:style w:type="paragraph" w:styleId="Index2">
    <w:name w:val="index 2"/>
    <w:basedOn w:val="Normal"/>
    <w:next w:val="Normal"/>
    <w:uiPriority w:val="99"/>
    <w:semiHidden/>
    <w:unhideWhenUsed/>
    <w:rsid w:val="00BC302C"/>
    <w:pPr>
      <w:spacing w:after="0" w:line="240" w:lineRule="auto"/>
      <w:ind w:left="440" w:hanging="220"/>
    </w:pPr>
  </w:style>
  <w:style w:type="paragraph" w:styleId="Index3">
    <w:name w:val="index 3"/>
    <w:basedOn w:val="Normal"/>
    <w:next w:val="Normal"/>
    <w:uiPriority w:val="99"/>
    <w:semiHidden/>
    <w:unhideWhenUsed/>
    <w:rsid w:val="00BC302C"/>
    <w:pPr>
      <w:spacing w:after="0" w:line="240" w:lineRule="auto"/>
      <w:ind w:left="660" w:hanging="220"/>
    </w:pPr>
  </w:style>
  <w:style w:type="paragraph" w:styleId="Index4">
    <w:name w:val="index 4"/>
    <w:basedOn w:val="Normal"/>
    <w:next w:val="Normal"/>
    <w:uiPriority w:val="99"/>
    <w:semiHidden/>
    <w:unhideWhenUsed/>
    <w:rsid w:val="00BC302C"/>
    <w:pPr>
      <w:spacing w:after="0" w:line="240" w:lineRule="auto"/>
      <w:ind w:left="880" w:hanging="220"/>
    </w:pPr>
  </w:style>
  <w:style w:type="paragraph" w:styleId="Index5">
    <w:name w:val="index 5"/>
    <w:basedOn w:val="Normal"/>
    <w:next w:val="Normal"/>
    <w:uiPriority w:val="99"/>
    <w:semiHidden/>
    <w:unhideWhenUsed/>
    <w:rsid w:val="00BC302C"/>
    <w:pPr>
      <w:spacing w:after="0" w:line="240" w:lineRule="auto"/>
      <w:ind w:left="1100" w:hanging="220"/>
    </w:pPr>
  </w:style>
  <w:style w:type="paragraph" w:styleId="Index6">
    <w:name w:val="index 6"/>
    <w:basedOn w:val="Normal"/>
    <w:next w:val="Normal"/>
    <w:uiPriority w:val="99"/>
    <w:semiHidden/>
    <w:unhideWhenUsed/>
    <w:rsid w:val="00BC302C"/>
    <w:pPr>
      <w:spacing w:after="0" w:line="240" w:lineRule="auto"/>
      <w:ind w:left="1320" w:hanging="220"/>
    </w:pPr>
  </w:style>
  <w:style w:type="paragraph" w:styleId="Index7">
    <w:name w:val="index 7"/>
    <w:basedOn w:val="Normal"/>
    <w:next w:val="Normal"/>
    <w:uiPriority w:val="99"/>
    <w:semiHidden/>
    <w:unhideWhenUsed/>
    <w:rsid w:val="00BC302C"/>
    <w:pPr>
      <w:spacing w:after="0" w:line="240" w:lineRule="auto"/>
      <w:ind w:left="1540" w:hanging="220"/>
    </w:pPr>
  </w:style>
  <w:style w:type="paragraph" w:styleId="Index8">
    <w:name w:val="index 8"/>
    <w:basedOn w:val="Normal"/>
    <w:next w:val="Normal"/>
    <w:uiPriority w:val="99"/>
    <w:semiHidden/>
    <w:unhideWhenUsed/>
    <w:rsid w:val="00BC302C"/>
    <w:pPr>
      <w:spacing w:after="0" w:line="240" w:lineRule="auto"/>
      <w:ind w:left="1760" w:hanging="220"/>
    </w:pPr>
  </w:style>
  <w:style w:type="paragraph" w:styleId="Index9">
    <w:name w:val="index 9"/>
    <w:basedOn w:val="Normal"/>
    <w:next w:val="Normal"/>
    <w:uiPriority w:val="99"/>
    <w:semiHidden/>
    <w:unhideWhenUsed/>
    <w:rsid w:val="00BC302C"/>
    <w:pPr>
      <w:spacing w:after="0" w:line="240" w:lineRule="auto"/>
      <w:ind w:left="1980" w:hanging="220"/>
    </w:pPr>
  </w:style>
  <w:style w:type="paragraph" w:styleId="IndexHeading">
    <w:name w:val="index heading"/>
    <w:basedOn w:val="Normal"/>
    <w:next w:val="Index1"/>
    <w:uiPriority w:val="99"/>
    <w:semiHidden/>
    <w:unhideWhenUsed/>
    <w:rsid w:val="00BC30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C30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C302C"/>
    <w:rPr>
      <w:b/>
      <w:bCs/>
      <w:i/>
      <w:iCs/>
      <w:color w:val="4F81BD" w:themeColor="accent1"/>
    </w:rPr>
  </w:style>
  <w:style w:type="paragraph" w:styleId="List">
    <w:name w:val="List"/>
    <w:basedOn w:val="Normal"/>
    <w:uiPriority w:val="99"/>
    <w:semiHidden/>
    <w:unhideWhenUsed/>
    <w:rsid w:val="00BC302C"/>
    <w:pPr>
      <w:ind w:left="360" w:hanging="360"/>
      <w:contextualSpacing/>
    </w:pPr>
  </w:style>
  <w:style w:type="paragraph" w:styleId="List2">
    <w:name w:val="List 2"/>
    <w:basedOn w:val="Normal"/>
    <w:uiPriority w:val="99"/>
    <w:semiHidden/>
    <w:unhideWhenUsed/>
    <w:rsid w:val="00BC302C"/>
    <w:pPr>
      <w:ind w:left="720" w:hanging="360"/>
      <w:contextualSpacing/>
    </w:pPr>
  </w:style>
  <w:style w:type="paragraph" w:styleId="List3">
    <w:name w:val="List 3"/>
    <w:basedOn w:val="Normal"/>
    <w:uiPriority w:val="99"/>
    <w:semiHidden/>
    <w:unhideWhenUsed/>
    <w:rsid w:val="00BC302C"/>
    <w:pPr>
      <w:ind w:left="1080" w:hanging="360"/>
      <w:contextualSpacing/>
    </w:pPr>
  </w:style>
  <w:style w:type="paragraph" w:styleId="List4">
    <w:name w:val="List 4"/>
    <w:basedOn w:val="Normal"/>
    <w:uiPriority w:val="99"/>
    <w:semiHidden/>
    <w:unhideWhenUsed/>
    <w:rsid w:val="00BC302C"/>
    <w:pPr>
      <w:ind w:left="1440" w:hanging="360"/>
      <w:contextualSpacing/>
    </w:pPr>
  </w:style>
  <w:style w:type="paragraph" w:styleId="List5">
    <w:name w:val="List 5"/>
    <w:basedOn w:val="Normal"/>
    <w:uiPriority w:val="99"/>
    <w:semiHidden/>
    <w:unhideWhenUsed/>
    <w:rsid w:val="00BC302C"/>
    <w:pPr>
      <w:ind w:left="1800" w:hanging="360"/>
      <w:contextualSpacing/>
    </w:pPr>
  </w:style>
  <w:style w:type="paragraph" w:styleId="ListBullet">
    <w:name w:val="List Bullet"/>
    <w:basedOn w:val="Normal"/>
    <w:uiPriority w:val="99"/>
    <w:semiHidden/>
    <w:unhideWhenUsed/>
    <w:rsid w:val="00BC302C"/>
    <w:pPr>
      <w:numPr>
        <w:numId w:val="9"/>
      </w:numPr>
      <w:contextualSpacing/>
    </w:pPr>
  </w:style>
  <w:style w:type="paragraph" w:styleId="ListBullet2">
    <w:name w:val="List Bullet 2"/>
    <w:basedOn w:val="Normal"/>
    <w:uiPriority w:val="99"/>
    <w:semiHidden/>
    <w:unhideWhenUsed/>
    <w:rsid w:val="00BC302C"/>
    <w:pPr>
      <w:numPr>
        <w:numId w:val="10"/>
      </w:numPr>
      <w:contextualSpacing/>
    </w:pPr>
  </w:style>
  <w:style w:type="paragraph" w:styleId="ListBullet3">
    <w:name w:val="List Bullet 3"/>
    <w:basedOn w:val="Normal"/>
    <w:uiPriority w:val="99"/>
    <w:semiHidden/>
    <w:unhideWhenUsed/>
    <w:rsid w:val="00BC302C"/>
    <w:pPr>
      <w:numPr>
        <w:numId w:val="11"/>
      </w:numPr>
      <w:contextualSpacing/>
    </w:pPr>
  </w:style>
  <w:style w:type="paragraph" w:styleId="ListBullet4">
    <w:name w:val="List Bullet 4"/>
    <w:basedOn w:val="Normal"/>
    <w:uiPriority w:val="99"/>
    <w:semiHidden/>
    <w:unhideWhenUsed/>
    <w:rsid w:val="00BC302C"/>
    <w:pPr>
      <w:numPr>
        <w:numId w:val="12"/>
      </w:numPr>
      <w:contextualSpacing/>
    </w:pPr>
  </w:style>
  <w:style w:type="paragraph" w:styleId="ListBullet5">
    <w:name w:val="List Bullet 5"/>
    <w:basedOn w:val="Normal"/>
    <w:uiPriority w:val="99"/>
    <w:semiHidden/>
    <w:unhideWhenUsed/>
    <w:rsid w:val="00BC302C"/>
    <w:pPr>
      <w:numPr>
        <w:numId w:val="13"/>
      </w:numPr>
      <w:contextualSpacing/>
    </w:pPr>
  </w:style>
  <w:style w:type="paragraph" w:styleId="ListContinue2">
    <w:name w:val="List Continue 2"/>
    <w:basedOn w:val="Normal"/>
    <w:uiPriority w:val="99"/>
    <w:semiHidden/>
    <w:unhideWhenUsed/>
    <w:rsid w:val="00BC302C"/>
    <w:pPr>
      <w:spacing w:after="120"/>
      <w:ind w:left="720"/>
      <w:contextualSpacing/>
    </w:pPr>
  </w:style>
  <w:style w:type="paragraph" w:styleId="ListContinue3">
    <w:name w:val="List Continue 3"/>
    <w:basedOn w:val="Normal"/>
    <w:uiPriority w:val="99"/>
    <w:semiHidden/>
    <w:unhideWhenUsed/>
    <w:rsid w:val="00BC302C"/>
    <w:pPr>
      <w:spacing w:after="120"/>
      <w:ind w:left="1080"/>
      <w:contextualSpacing/>
    </w:pPr>
  </w:style>
  <w:style w:type="paragraph" w:styleId="ListContinue4">
    <w:name w:val="List Continue 4"/>
    <w:basedOn w:val="Normal"/>
    <w:uiPriority w:val="99"/>
    <w:semiHidden/>
    <w:unhideWhenUsed/>
    <w:rsid w:val="00BC302C"/>
    <w:pPr>
      <w:spacing w:after="120"/>
      <w:ind w:left="1440"/>
      <w:contextualSpacing/>
    </w:pPr>
  </w:style>
  <w:style w:type="paragraph" w:styleId="ListContinue5">
    <w:name w:val="List Continue 5"/>
    <w:basedOn w:val="Normal"/>
    <w:uiPriority w:val="99"/>
    <w:semiHidden/>
    <w:unhideWhenUsed/>
    <w:rsid w:val="00BC302C"/>
    <w:pPr>
      <w:spacing w:after="120"/>
      <w:ind w:left="1800"/>
      <w:contextualSpacing/>
    </w:pPr>
  </w:style>
  <w:style w:type="paragraph" w:styleId="ListNumber">
    <w:name w:val="List Number"/>
    <w:basedOn w:val="Normal"/>
    <w:uiPriority w:val="99"/>
    <w:semiHidden/>
    <w:unhideWhenUsed/>
    <w:rsid w:val="00BC302C"/>
    <w:pPr>
      <w:numPr>
        <w:numId w:val="14"/>
      </w:numPr>
      <w:contextualSpacing/>
    </w:pPr>
  </w:style>
  <w:style w:type="paragraph" w:styleId="ListNumber2">
    <w:name w:val="List Number 2"/>
    <w:basedOn w:val="Normal"/>
    <w:uiPriority w:val="99"/>
    <w:semiHidden/>
    <w:unhideWhenUsed/>
    <w:rsid w:val="00BC302C"/>
    <w:pPr>
      <w:numPr>
        <w:numId w:val="15"/>
      </w:numPr>
      <w:contextualSpacing/>
    </w:pPr>
  </w:style>
  <w:style w:type="paragraph" w:styleId="ListNumber3">
    <w:name w:val="List Number 3"/>
    <w:basedOn w:val="Normal"/>
    <w:uiPriority w:val="99"/>
    <w:semiHidden/>
    <w:unhideWhenUsed/>
    <w:rsid w:val="00BC302C"/>
    <w:pPr>
      <w:numPr>
        <w:numId w:val="16"/>
      </w:numPr>
      <w:contextualSpacing/>
    </w:pPr>
  </w:style>
  <w:style w:type="paragraph" w:styleId="ListNumber4">
    <w:name w:val="List Number 4"/>
    <w:basedOn w:val="Normal"/>
    <w:uiPriority w:val="99"/>
    <w:semiHidden/>
    <w:unhideWhenUsed/>
    <w:rsid w:val="00BC302C"/>
    <w:pPr>
      <w:numPr>
        <w:numId w:val="17"/>
      </w:numPr>
      <w:contextualSpacing/>
    </w:pPr>
  </w:style>
  <w:style w:type="paragraph" w:styleId="ListNumber5">
    <w:name w:val="List Number 5"/>
    <w:basedOn w:val="Normal"/>
    <w:uiPriority w:val="99"/>
    <w:semiHidden/>
    <w:unhideWhenUsed/>
    <w:rsid w:val="00BC302C"/>
    <w:pPr>
      <w:numPr>
        <w:numId w:val="18"/>
      </w:numPr>
      <w:contextualSpacing/>
    </w:pPr>
  </w:style>
  <w:style w:type="paragraph" w:styleId="MacroText">
    <w:name w:val="macro"/>
    <w:link w:val="MacroTextChar"/>
    <w:uiPriority w:val="99"/>
    <w:semiHidden/>
    <w:unhideWhenUsed/>
    <w:rsid w:val="00BC30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C302C"/>
    <w:rPr>
      <w:rFonts w:ascii="Consolas" w:hAnsi="Consolas"/>
      <w:sz w:val="20"/>
      <w:szCs w:val="20"/>
    </w:rPr>
  </w:style>
  <w:style w:type="paragraph" w:styleId="MessageHeader">
    <w:name w:val="Message Header"/>
    <w:basedOn w:val="Normal"/>
    <w:link w:val="MessageHeaderChar"/>
    <w:uiPriority w:val="99"/>
    <w:semiHidden/>
    <w:unhideWhenUsed/>
    <w:rsid w:val="00BC302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C302C"/>
    <w:rPr>
      <w:rFonts w:asciiTheme="majorHAnsi" w:eastAsiaTheme="majorEastAsia" w:hAnsiTheme="majorHAnsi" w:cstheme="majorBidi"/>
      <w:sz w:val="24"/>
      <w:szCs w:val="24"/>
      <w:shd w:val="pct20" w:color="auto" w:fill="auto"/>
    </w:rPr>
  </w:style>
  <w:style w:type="paragraph" w:styleId="NoSpacing">
    <w:name w:val="No Spacing"/>
    <w:uiPriority w:val="1"/>
    <w:qFormat/>
    <w:rsid w:val="00BC302C"/>
    <w:pPr>
      <w:spacing w:after="0" w:line="240" w:lineRule="auto"/>
    </w:pPr>
  </w:style>
  <w:style w:type="paragraph" w:styleId="NormalWeb">
    <w:name w:val="Normal (Web)"/>
    <w:basedOn w:val="Normal"/>
    <w:uiPriority w:val="99"/>
    <w:semiHidden/>
    <w:unhideWhenUsed/>
    <w:rsid w:val="00BC302C"/>
    <w:rPr>
      <w:rFonts w:ascii="Times New Roman" w:hAnsi="Times New Roman" w:cs="Times New Roman"/>
      <w:sz w:val="24"/>
      <w:szCs w:val="24"/>
    </w:rPr>
  </w:style>
  <w:style w:type="paragraph" w:styleId="NormalIndent">
    <w:name w:val="Normal Indent"/>
    <w:basedOn w:val="Normal"/>
    <w:uiPriority w:val="99"/>
    <w:semiHidden/>
    <w:unhideWhenUsed/>
    <w:rsid w:val="00BC302C"/>
    <w:pPr>
      <w:ind w:left="720"/>
    </w:pPr>
  </w:style>
  <w:style w:type="paragraph" w:styleId="NoteHeading">
    <w:name w:val="Note Heading"/>
    <w:basedOn w:val="Normal"/>
    <w:next w:val="Normal"/>
    <w:link w:val="NoteHeadingChar"/>
    <w:uiPriority w:val="99"/>
    <w:semiHidden/>
    <w:unhideWhenUsed/>
    <w:rsid w:val="00BC302C"/>
    <w:pPr>
      <w:spacing w:after="0" w:line="240" w:lineRule="auto"/>
    </w:pPr>
  </w:style>
  <w:style w:type="character" w:customStyle="1" w:styleId="NoteHeadingChar">
    <w:name w:val="Note Heading Char"/>
    <w:basedOn w:val="DefaultParagraphFont"/>
    <w:link w:val="NoteHeading"/>
    <w:uiPriority w:val="99"/>
    <w:semiHidden/>
    <w:rsid w:val="00BC302C"/>
  </w:style>
  <w:style w:type="paragraph" w:styleId="PlainText">
    <w:name w:val="Plain Text"/>
    <w:basedOn w:val="Normal"/>
    <w:link w:val="PlainTextChar"/>
    <w:uiPriority w:val="99"/>
    <w:semiHidden/>
    <w:unhideWhenUsed/>
    <w:rsid w:val="00BC302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302C"/>
    <w:rPr>
      <w:rFonts w:ascii="Consolas" w:hAnsi="Consolas"/>
      <w:sz w:val="21"/>
      <w:szCs w:val="21"/>
    </w:rPr>
  </w:style>
  <w:style w:type="paragraph" w:styleId="Quote">
    <w:name w:val="Quote"/>
    <w:basedOn w:val="Normal"/>
    <w:next w:val="Normal"/>
    <w:link w:val="QuoteChar"/>
    <w:uiPriority w:val="29"/>
    <w:qFormat/>
    <w:rsid w:val="00BC302C"/>
    <w:rPr>
      <w:i/>
      <w:iCs/>
      <w:color w:val="000000" w:themeColor="text1"/>
    </w:rPr>
  </w:style>
  <w:style w:type="character" w:customStyle="1" w:styleId="QuoteChar">
    <w:name w:val="Quote Char"/>
    <w:basedOn w:val="DefaultParagraphFont"/>
    <w:link w:val="Quote"/>
    <w:uiPriority w:val="29"/>
    <w:rsid w:val="00BC302C"/>
    <w:rPr>
      <w:i/>
      <w:iCs/>
      <w:color w:val="000000" w:themeColor="text1"/>
    </w:rPr>
  </w:style>
  <w:style w:type="paragraph" w:styleId="Salutation">
    <w:name w:val="Salutation"/>
    <w:basedOn w:val="Normal"/>
    <w:next w:val="Normal"/>
    <w:link w:val="SalutationChar"/>
    <w:uiPriority w:val="99"/>
    <w:semiHidden/>
    <w:unhideWhenUsed/>
    <w:rsid w:val="00BC302C"/>
  </w:style>
  <w:style w:type="character" w:customStyle="1" w:styleId="SalutationChar">
    <w:name w:val="Salutation Char"/>
    <w:basedOn w:val="DefaultParagraphFont"/>
    <w:link w:val="Salutation"/>
    <w:uiPriority w:val="99"/>
    <w:semiHidden/>
    <w:rsid w:val="00BC302C"/>
  </w:style>
  <w:style w:type="paragraph" w:styleId="Signature">
    <w:name w:val="Signature"/>
    <w:basedOn w:val="Normal"/>
    <w:link w:val="SignatureChar"/>
    <w:uiPriority w:val="99"/>
    <w:semiHidden/>
    <w:unhideWhenUsed/>
    <w:rsid w:val="00BC302C"/>
    <w:pPr>
      <w:spacing w:after="0" w:line="240" w:lineRule="auto"/>
      <w:ind w:left="4320"/>
    </w:pPr>
  </w:style>
  <w:style w:type="character" w:customStyle="1" w:styleId="SignatureChar">
    <w:name w:val="Signature Char"/>
    <w:basedOn w:val="DefaultParagraphFont"/>
    <w:link w:val="Signature"/>
    <w:uiPriority w:val="99"/>
    <w:semiHidden/>
    <w:rsid w:val="00BC302C"/>
  </w:style>
  <w:style w:type="paragraph" w:styleId="Subtitle">
    <w:name w:val="Subtitle"/>
    <w:basedOn w:val="Normal"/>
    <w:next w:val="Normal"/>
    <w:link w:val="SubtitleChar"/>
    <w:uiPriority w:val="11"/>
    <w:qFormat/>
    <w:rsid w:val="00BC30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C302C"/>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BC302C"/>
    <w:pPr>
      <w:spacing w:after="0"/>
      <w:ind w:left="220" w:hanging="220"/>
    </w:pPr>
  </w:style>
  <w:style w:type="paragraph" w:styleId="TableofFigures">
    <w:name w:val="table of figures"/>
    <w:basedOn w:val="Normal"/>
    <w:next w:val="Normal"/>
    <w:uiPriority w:val="99"/>
    <w:semiHidden/>
    <w:unhideWhenUsed/>
    <w:rsid w:val="00BC302C"/>
    <w:pPr>
      <w:spacing w:after="0"/>
    </w:pPr>
  </w:style>
  <w:style w:type="paragraph" w:styleId="Title">
    <w:name w:val="Title"/>
    <w:basedOn w:val="Normal"/>
    <w:next w:val="Normal"/>
    <w:link w:val="TitleChar"/>
    <w:uiPriority w:val="10"/>
    <w:qFormat/>
    <w:rsid w:val="00BC30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C302C"/>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C302C"/>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C302C"/>
    <w:pPr>
      <w:spacing w:after="100"/>
    </w:pPr>
  </w:style>
  <w:style w:type="paragraph" w:styleId="TOC2">
    <w:name w:val="toc 2"/>
    <w:basedOn w:val="Normal"/>
    <w:next w:val="Normal"/>
    <w:uiPriority w:val="39"/>
    <w:semiHidden/>
    <w:unhideWhenUsed/>
    <w:rsid w:val="00BC302C"/>
    <w:pPr>
      <w:spacing w:after="100"/>
      <w:ind w:left="220"/>
    </w:pPr>
  </w:style>
  <w:style w:type="paragraph" w:styleId="TOC3">
    <w:name w:val="toc 3"/>
    <w:basedOn w:val="Normal"/>
    <w:next w:val="Normal"/>
    <w:uiPriority w:val="39"/>
    <w:semiHidden/>
    <w:unhideWhenUsed/>
    <w:rsid w:val="00BC302C"/>
    <w:pPr>
      <w:spacing w:after="100"/>
      <w:ind w:left="440"/>
    </w:pPr>
  </w:style>
  <w:style w:type="paragraph" w:styleId="TOC4">
    <w:name w:val="toc 4"/>
    <w:basedOn w:val="Normal"/>
    <w:next w:val="Normal"/>
    <w:uiPriority w:val="39"/>
    <w:semiHidden/>
    <w:unhideWhenUsed/>
    <w:rsid w:val="00BC302C"/>
    <w:pPr>
      <w:spacing w:after="100"/>
      <w:ind w:left="660"/>
    </w:pPr>
  </w:style>
  <w:style w:type="paragraph" w:styleId="TOC5">
    <w:name w:val="toc 5"/>
    <w:basedOn w:val="Normal"/>
    <w:next w:val="Normal"/>
    <w:uiPriority w:val="39"/>
    <w:semiHidden/>
    <w:unhideWhenUsed/>
    <w:rsid w:val="00BC302C"/>
    <w:pPr>
      <w:spacing w:after="100"/>
      <w:ind w:left="880"/>
    </w:pPr>
  </w:style>
  <w:style w:type="paragraph" w:styleId="TOC6">
    <w:name w:val="toc 6"/>
    <w:basedOn w:val="Normal"/>
    <w:next w:val="Normal"/>
    <w:uiPriority w:val="39"/>
    <w:semiHidden/>
    <w:unhideWhenUsed/>
    <w:rsid w:val="00BC302C"/>
    <w:pPr>
      <w:spacing w:after="100"/>
      <w:ind w:left="1100"/>
    </w:pPr>
  </w:style>
  <w:style w:type="paragraph" w:styleId="TOC7">
    <w:name w:val="toc 7"/>
    <w:basedOn w:val="Normal"/>
    <w:next w:val="Normal"/>
    <w:uiPriority w:val="39"/>
    <w:semiHidden/>
    <w:unhideWhenUsed/>
    <w:rsid w:val="00BC302C"/>
    <w:pPr>
      <w:spacing w:after="100"/>
      <w:ind w:left="1320"/>
    </w:pPr>
  </w:style>
  <w:style w:type="paragraph" w:styleId="TOC8">
    <w:name w:val="toc 8"/>
    <w:basedOn w:val="Normal"/>
    <w:next w:val="Normal"/>
    <w:uiPriority w:val="39"/>
    <w:semiHidden/>
    <w:unhideWhenUsed/>
    <w:rsid w:val="00BC302C"/>
    <w:pPr>
      <w:spacing w:after="100"/>
      <w:ind w:left="1540"/>
    </w:pPr>
  </w:style>
  <w:style w:type="paragraph" w:styleId="TOC9">
    <w:name w:val="toc 9"/>
    <w:basedOn w:val="Normal"/>
    <w:next w:val="Normal"/>
    <w:uiPriority w:val="39"/>
    <w:semiHidden/>
    <w:unhideWhenUsed/>
    <w:rsid w:val="00BC302C"/>
    <w:pPr>
      <w:spacing w:after="100"/>
      <w:ind w:left="1760"/>
    </w:pPr>
  </w:style>
  <w:style w:type="paragraph" w:styleId="TOCHeading">
    <w:name w:val="TOC Heading"/>
    <w:basedOn w:val="Heading1"/>
    <w:next w:val="Normal"/>
    <w:uiPriority w:val="39"/>
    <w:semiHidden/>
    <w:unhideWhenUsed/>
    <w:qFormat/>
    <w:rsid w:val="00BC302C"/>
    <w:pPr>
      <w:outlineLvl w:val="9"/>
    </w:pPr>
  </w:style>
  <w:style w:type="character" w:customStyle="1" w:styleId="FERCparanumberChar1">
    <w:name w:val="FERC paranumber Char1"/>
    <w:rsid w:val="007B3E16"/>
    <w:rPr>
      <w:sz w:val="26"/>
      <w:szCs w:val="24"/>
    </w:rPr>
  </w:style>
  <w:style w:type="numbering" w:customStyle="1" w:styleId="NoList1">
    <w:name w:val="No List1"/>
    <w:next w:val="NoList"/>
    <w:uiPriority w:val="99"/>
    <w:semiHidden/>
    <w:unhideWhenUsed/>
    <w:rsid w:val="00FB482A"/>
  </w:style>
  <w:style w:type="table" w:styleId="TableGrid">
    <w:name w:val="Table Grid"/>
    <w:basedOn w:val="TableNormal"/>
    <w:uiPriority w:val="39"/>
    <w:rsid w:val="009234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6062">
      <w:bodyDiv w:val="1"/>
      <w:marLeft w:val="0"/>
      <w:marRight w:val="0"/>
      <w:marTop w:val="0"/>
      <w:marBottom w:val="0"/>
      <w:divBdr>
        <w:top w:val="none" w:sz="0" w:space="0" w:color="auto"/>
        <w:left w:val="none" w:sz="0" w:space="0" w:color="auto"/>
        <w:bottom w:val="none" w:sz="0" w:space="0" w:color="auto"/>
        <w:right w:val="none" w:sz="0" w:space="0" w:color="auto"/>
      </w:divBdr>
    </w:div>
    <w:div w:id="202983013">
      <w:bodyDiv w:val="1"/>
      <w:marLeft w:val="0"/>
      <w:marRight w:val="0"/>
      <w:marTop w:val="0"/>
      <w:marBottom w:val="0"/>
      <w:divBdr>
        <w:top w:val="none" w:sz="0" w:space="0" w:color="auto"/>
        <w:left w:val="none" w:sz="0" w:space="0" w:color="auto"/>
        <w:bottom w:val="none" w:sz="0" w:space="0" w:color="auto"/>
        <w:right w:val="none" w:sz="0" w:space="0" w:color="auto"/>
      </w:divBdr>
    </w:div>
    <w:div w:id="436288447">
      <w:bodyDiv w:val="1"/>
      <w:marLeft w:val="0"/>
      <w:marRight w:val="0"/>
      <w:marTop w:val="0"/>
      <w:marBottom w:val="0"/>
      <w:divBdr>
        <w:top w:val="none" w:sz="0" w:space="0" w:color="auto"/>
        <w:left w:val="none" w:sz="0" w:space="0" w:color="auto"/>
        <w:bottom w:val="none" w:sz="0" w:space="0" w:color="auto"/>
        <w:right w:val="none" w:sz="0" w:space="0" w:color="auto"/>
      </w:divBdr>
    </w:div>
    <w:div w:id="524827324">
      <w:bodyDiv w:val="1"/>
      <w:marLeft w:val="0"/>
      <w:marRight w:val="0"/>
      <w:marTop w:val="0"/>
      <w:marBottom w:val="0"/>
      <w:divBdr>
        <w:top w:val="none" w:sz="0" w:space="0" w:color="auto"/>
        <w:left w:val="none" w:sz="0" w:space="0" w:color="auto"/>
        <w:bottom w:val="none" w:sz="0" w:space="0" w:color="auto"/>
        <w:right w:val="none" w:sz="0" w:space="0" w:color="auto"/>
      </w:divBdr>
    </w:div>
    <w:div w:id="609314428">
      <w:bodyDiv w:val="1"/>
      <w:marLeft w:val="0"/>
      <w:marRight w:val="0"/>
      <w:marTop w:val="0"/>
      <w:marBottom w:val="0"/>
      <w:divBdr>
        <w:top w:val="none" w:sz="0" w:space="0" w:color="auto"/>
        <w:left w:val="none" w:sz="0" w:space="0" w:color="auto"/>
        <w:bottom w:val="none" w:sz="0" w:space="0" w:color="auto"/>
        <w:right w:val="none" w:sz="0" w:space="0" w:color="auto"/>
      </w:divBdr>
    </w:div>
    <w:div w:id="960111956">
      <w:bodyDiv w:val="1"/>
      <w:marLeft w:val="0"/>
      <w:marRight w:val="0"/>
      <w:marTop w:val="0"/>
      <w:marBottom w:val="0"/>
      <w:divBdr>
        <w:top w:val="none" w:sz="0" w:space="0" w:color="auto"/>
        <w:left w:val="none" w:sz="0" w:space="0" w:color="auto"/>
        <w:bottom w:val="none" w:sz="0" w:space="0" w:color="auto"/>
        <w:right w:val="none" w:sz="0" w:space="0" w:color="auto"/>
      </w:divBdr>
    </w:div>
    <w:div w:id="1128401192">
      <w:bodyDiv w:val="1"/>
      <w:marLeft w:val="0"/>
      <w:marRight w:val="0"/>
      <w:marTop w:val="0"/>
      <w:marBottom w:val="0"/>
      <w:divBdr>
        <w:top w:val="none" w:sz="0" w:space="0" w:color="auto"/>
        <w:left w:val="none" w:sz="0" w:space="0" w:color="auto"/>
        <w:bottom w:val="none" w:sz="0" w:space="0" w:color="auto"/>
        <w:right w:val="none" w:sz="0" w:space="0" w:color="auto"/>
      </w:divBdr>
    </w:div>
    <w:div w:id="1716660428">
      <w:bodyDiv w:val="1"/>
      <w:marLeft w:val="0"/>
      <w:marRight w:val="0"/>
      <w:marTop w:val="0"/>
      <w:marBottom w:val="0"/>
      <w:divBdr>
        <w:top w:val="none" w:sz="0" w:space="0" w:color="auto"/>
        <w:left w:val="none" w:sz="0" w:space="0" w:color="auto"/>
        <w:bottom w:val="none" w:sz="0" w:space="0" w:color="auto"/>
        <w:right w:val="none" w:sz="0" w:space="0" w:color="auto"/>
      </w:divBdr>
    </w:div>
    <w:div w:id="1852405742">
      <w:bodyDiv w:val="1"/>
      <w:marLeft w:val="0"/>
      <w:marRight w:val="0"/>
      <w:marTop w:val="0"/>
      <w:marBottom w:val="0"/>
      <w:divBdr>
        <w:top w:val="none" w:sz="0" w:space="0" w:color="auto"/>
        <w:left w:val="none" w:sz="0" w:space="0" w:color="auto"/>
        <w:bottom w:val="none" w:sz="0" w:space="0" w:color="auto"/>
        <w:right w:val="none" w:sz="0" w:space="0" w:color="auto"/>
      </w:divBdr>
    </w:div>
    <w:div w:id="2010138141">
      <w:bodyDiv w:val="1"/>
      <w:marLeft w:val="0"/>
      <w:marRight w:val="0"/>
      <w:marTop w:val="0"/>
      <w:marBottom w:val="0"/>
      <w:divBdr>
        <w:top w:val="none" w:sz="0" w:space="0" w:color="auto"/>
        <w:left w:val="none" w:sz="0" w:space="0" w:color="auto"/>
        <w:bottom w:val="none" w:sz="0" w:space="0" w:color="auto"/>
        <w:right w:val="none" w:sz="0" w:space="0" w:color="auto"/>
      </w:divBdr>
    </w:div>
    <w:div w:id="206602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nerc.com/FilingsOrders/us/RuleOfProcedureDL/Appendix_3A_StandardProcessesManual_201306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BDE1C-C4B9-4219-B768-DB6E44FC0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13446</Words>
  <Characters>76648</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2021-08-09T19:47:00Z</dcterms:created>
  <dcterms:modified xsi:type="dcterms:W3CDTF">2021-08-11T20:12:00Z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120c11f-7d21-4fdf-9d04-b34a9c1c3979_Enabled">
    <vt:lpwstr>True</vt:lpwstr>
  </property>
  <property fmtid="{D5CDD505-2E9C-101B-9397-08002B2CF9AE}" pid="4" name="MSIP_Label_e120c11f-7d21-4fdf-9d04-b34a9c1c3979_SiteId">
    <vt:lpwstr>19caa9e9-04ff-43fa-885f-d77fac387903</vt:lpwstr>
  </property>
  <property fmtid="{D5CDD505-2E9C-101B-9397-08002B2CF9AE}" pid="5" name="MSIP_Label_e120c11f-7d21-4fdf-9d04-b34a9c1c3979_Owner">
    <vt:lpwstr>David.OConnor@ferc.gov</vt:lpwstr>
  </property>
  <property fmtid="{D5CDD505-2E9C-101B-9397-08002B2CF9AE}" pid="6" name="MSIP_Label_e120c11f-7d21-4fdf-9d04-b34a9c1c3979_SetDate">
    <vt:lpwstr>2021-08-06T03:24:42.9533147Z</vt:lpwstr>
  </property>
  <property fmtid="{D5CDD505-2E9C-101B-9397-08002B2CF9AE}" pid="7" name="MSIP_Label_e120c11f-7d21-4fdf-9d04-b34a9c1c3979_Name">
    <vt:lpwstr>CUI</vt:lpwstr>
  </property>
  <property fmtid="{D5CDD505-2E9C-101B-9397-08002B2CF9AE}" pid="8" name="MSIP_Label_e120c11f-7d21-4fdf-9d04-b34a9c1c3979_Application">
    <vt:lpwstr>Microsoft Azure Information Protection</vt:lpwstr>
  </property>
  <property fmtid="{D5CDD505-2E9C-101B-9397-08002B2CF9AE}" pid="9" name="MSIP_Label_e120c11f-7d21-4fdf-9d04-b34a9c1c3979_ActionId">
    <vt:lpwstr>1a7e0165-fbf3-4753-80eb-6f62511cded2</vt:lpwstr>
  </property>
  <property fmtid="{D5CDD505-2E9C-101B-9397-08002B2CF9AE}" pid="10" name="MSIP_Label_e120c11f-7d21-4fdf-9d04-b34a9c1c3979_Extended_MSFT_Method">
    <vt:lpwstr>Manual</vt:lpwstr>
  </property>
  <property fmtid="{D5CDD505-2E9C-101B-9397-08002B2CF9AE}" pid="11" name="Sensitivity">
    <vt:lpwstr>CUI</vt:lpwstr>
  </property>
</Properties>
</file>