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0C6A" w:rsidR="00766DBA" w:rsidP="00766DBA" w:rsidRDefault="00766DBA">
      <w:pPr>
        <w:tabs>
          <w:tab w:val="left" w:pos="3320"/>
        </w:tabs>
        <w:spacing w:after="0" w:line="240" w:lineRule="auto"/>
        <w:jc w:val="center"/>
        <w:rPr>
          <w:rFonts w:ascii="Times New Roman" w:hAnsi="Times New Roman" w:eastAsia="Calibri" w:cs="Times New Roman"/>
          <w:sz w:val="24"/>
          <w:szCs w:val="24"/>
        </w:rPr>
      </w:pPr>
      <w:r w:rsidRPr="00430C6A">
        <w:rPr>
          <w:rFonts w:ascii="Times New Roman" w:hAnsi="Times New Roman" w:eastAsia="Calibri" w:cs="Times New Roman"/>
          <w:sz w:val="24"/>
          <w:szCs w:val="24"/>
        </w:rPr>
        <w:t>Supporting Statement for</w:t>
      </w:r>
    </w:p>
    <w:p w:rsidRPr="00086A63" w:rsidR="00445D6A" w:rsidP="00086A63" w:rsidRDefault="00766DBA">
      <w:pPr>
        <w:spacing w:after="0" w:line="240" w:lineRule="auto"/>
        <w:jc w:val="center"/>
        <w:rPr>
          <w:rFonts w:ascii="Times New Roman" w:hAnsi="Times New Roman" w:eastAsia="Calibri" w:cs="Times New Roman"/>
          <w:b/>
          <w:sz w:val="24"/>
          <w:szCs w:val="24"/>
        </w:rPr>
      </w:pPr>
      <w:bookmarkStart w:name="_Hlk73611243" w:id="0"/>
      <w:r w:rsidRPr="00430C6A">
        <w:rPr>
          <w:rFonts w:ascii="Times New Roman" w:hAnsi="Times New Roman" w:eastAsia="Calibri" w:cs="Times New Roman"/>
          <w:b/>
          <w:sz w:val="24"/>
          <w:szCs w:val="24"/>
        </w:rPr>
        <w:t xml:space="preserve">FERC-576, Report of Service Interruptions or Damage to Facilities </w:t>
      </w:r>
      <w:bookmarkEnd w:id="0"/>
      <w:r w:rsidRPr="00430C6A">
        <w:rPr>
          <w:rFonts w:ascii="Times New Roman" w:hAnsi="Times New Roman" w:eastAsia="Calibri" w:cs="Times New Roman"/>
          <w:b/>
          <w:sz w:val="24"/>
          <w:szCs w:val="24"/>
        </w:rPr>
        <w:t xml:space="preserve"> </w:t>
      </w:r>
    </w:p>
    <w:p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The Federal Energy Regulatory Commission (Commission or FERC) requests that the Office of Management and Budget (OMB) review and extend its approval to information collection requirements in FERC-576 (Report of Service Interruptions or Damage to Facilities, OMB Control No. 1902-0004) for three years.</w:t>
      </w:r>
    </w:p>
    <w:p w:rsidRPr="00086A63" w:rsidR="00086A63" w:rsidP="00086A63" w:rsidRDefault="00086A63">
      <w:pPr>
        <w:numPr>
          <w:ilvl w:val="0"/>
          <w:numId w:val="1"/>
        </w:numPr>
        <w:rPr>
          <w:rFonts w:ascii="Times New Roman" w:hAnsi="Times New Roman" w:cs="Times New Roman"/>
          <w:b/>
          <w:bCs/>
          <w:sz w:val="24"/>
          <w:szCs w:val="24"/>
        </w:rPr>
      </w:pPr>
      <w:r w:rsidRPr="00086A63">
        <w:rPr>
          <w:rFonts w:ascii="Times New Roman" w:hAnsi="Times New Roman" w:cs="Times New Roman"/>
          <w:b/>
          <w:bCs/>
          <w:sz w:val="24"/>
          <w:szCs w:val="24"/>
        </w:rPr>
        <w:t>CIRCUMSTANCES THAT MAKE THE COLLECTION OF INFORMATION NECESSARY</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As stated above, a natural gas company must obtain Commission authorization to engage in the transportation, sale, or exchange of natural gas in interstate commerce under the NGA.  The NGA also empowers the Commission to oversee continuity of service in the transportation of natural gas in interstate commerce.  The information collected under FERC-576 notifies the Commission of actual or potential problems, which create the potential for serious delivery problems on the pipeline’s own system or the pipeline grid.  These problems include:</w:t>
      </w:r>
    </w:p>
    <w:p w:rsidRPr="00086A63" w:rsidR="00086A63" w:rsidP="00086A63" w:rsidRDefault="00086A63">
      <w:pPr>
        <w:numPr>
          <w:ilvl w:val="0"/>
          <w:numId w:val="4"/>
        </w:numPr>
        <w:rPr>
          <w:rFonts w:ascii="Times New Roman" w:hAnsi="Times New Roman" w:cs="Times New Roman"/>
          <w:sz w:val="24"/>
          <w:szCs w:val="24"/>
        </w:rPr>
      </w:pPr>
      <w:r w:rsidRPr="00086A63">
        <w:rPr>
          <w:rFonts w:ascii="Times New Roman" w:hAnsi="Times New Roman" w:cs="Times New Roman"/>
          <w:sz w:val="24"/>
          <w:szCs w:val="24"/>
        </w:rPr>
        <w:t>damage to jurisdictional natural gas facilities due to natural disaster (e.g., hurricane, earthquake, or other natural disaster) or terrorist activity; and</w:t>
      </w:r>
    </w:p>
    <w:p w:rsidRPr="00086A63" w:rsidR="00086A63" w:rsidP="00086A63" w:rsidRDefault="00086A63">
      <w:pPr>
        <w:numPr>
          <w:ilvl w:val="0"/>
          <w:numId w:val="4"/>
        </w:numPr>
        <w:rPr>
          <w:rFonts w:ascii="Times New Roman" w:hAnsi="Times New Roman" w:cs="Times New Roman"/>
          <w:sz w:val="24"/>
          <w:szCs w:val="24"/>
        </w:rPr>
      </w:pPr>
      <w:r w:rsidRPr="00086A63">
        <w:rPr>
          <w:rFonts w:ascii="Times New Roman" w:hAnsi="Times New Roman" w:cs="Times New Roman"/>
          <w:sz w:val="24"/>
          <w:szCs w:val="24"/>
        </w:rPr>
        <w:t>serious interruptions to service.</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In cases of emergency and pending the determination of any application on file with the Commission for a certificate of public convenience and necessity pursuant to section 7 of the NGA, application may be made for a temporary certificate authorizing the construction and operation of extensions of existing facilities, interconnections of pipeline systems, or sales of natural gas that may be required to assure maintenance of adequate service, or to service particular customers.</w:t>
      </w:r>
      <w:r w:rsidRPr="00086A63">
        <w:rPr>
          <w:rFonts w:ascii="Times New Roman" w:hAnsi="Times New Roman" w:cs="Times New Roman"/>
          <w:sz w:val="24"/>
          <w:szCs w:val="24"/>
          <w:vertAlign w:val="superscript"/>
        </w:rPr>
        <w:footnoteReference w:id="1"/>
      </w:r>
    </w:p>
    <w:p w:rsidRPr="00086A63" w:rsidR="00086A63" w:rsidP="00086A63" w:rsidRDefault="00086A63">
      <w:pPr>
        <w:numPr>
          <w:ilvl w:val="0"/>
          <w:numId w:val="1"/>
        </w:numPr>
        <w:rPr>
          <w:rFonts w:ascii="Times New Roman" w:hAnsi="Times New Roman" w:cs="Times New Roman"/>
          <w:b/>
          <w:bCs/>
          <w:sz w:val="24"/>
          <w:szCs w:val="24"/>
        </w:rPr>
      </w:pPr>
      <w:r w:rsidRPr="00086A63">
        <w:rPr>
          <w:rFonts w:ascii="Times New Roman" w:hAnsi="Times New Roman" w:cs="Times New Roman"/>
          <w:b/>
          <w:bCs/>
          <w:sz w:val="24"/>
          <w:szCs w:val="24"/>
        </w:rPr>
        <w:t>HOW, BY WHOM, AND FOR WHAT PURPOSE THE INFORMATION IS TO BE USED AND THE CONSEQUENCES OF NOT COLLECTING THE INFORMATION</w:t>
      </w:r>
    </w:p>
    <w:p w:rsidRPr="00086A63" w:rsidR="00086A63" w:rsidP="00086A63" w:rsidRDefault="00086A63">
      <w:pPr>
        <w:rPr>
          <w:rFonts w:ascii="Times New Roman" w:hAnsi="Times New Roman" w:cs="Times New Roman"/>
          <w:bCs/>
          <w:sz w:val="24"/>
          <w:szCs w:val="24"/>
        </w:rPr>
      </w:pPr>
      <w:r w:rsidRPr="00086A63">
        <w:rPr>
          <w:rFonts w:ascii="Times New Roman" w:hAnsi="Times New Roman" w:cs="Times New Roman"/>
          <w:bCs/>
          <w:sz w:val="24"/>
          <w:szCs w:val="24"/>
        </w:rPr>
        <w:t>Filings (in accordance with the provisions of section 4(d) of the NGA)</w:t>
      </w:r>
      <w:r w:rsidRPr="00086A63">
        <w:rPr>
          <w:rFonts w:ascii="Times New Roman" w:hAnsi="Times New Roman" w:cs="Times New Roman"/>
          <w:b/>
          <w:bCs/>
          <w:sz w:val="24"/>
          <w:szCs w:val="24"/>
          <w:vertAlign w:val="superscript"/>
        </w:rPr>
        <w:footnoteReference w:id="2"/>
      </w:r>
      <w:r w:rsidRPr="00086A63">
        <w:rPr>
          <w:rFonts w:ascii="Times New Roman" w:hAnsi="Times New Roman" w:cs="Times New Roman"/>
          <w:bCs/>
          <w:sz w:val="24"/>
          <w:szCs w:val="24"/>
        </w:rPr>
        <w:t xml:space="preserve"> must contain information necessary to advise the Commission when an impact</w:t>
      </w:r>
      <w:r>
        <w:rPr>
          <w:rFonts w:ascii="Times New Roman" w:hAnsi="Times New Roman" w:cs="Times New Roman"/>
          <w:bCs/>
          <w:sz w:val="24"/>
          <w:szCs w:val="24"/>
        </w:rPr>
        <w:t xml:space="preserve"> </w:t>
      </w:r>
      <w:r w:rsidRPr="00086A63">
        <w:rPr>
          <w:rFonts w:ascii="Times New Roman" w:hAnsi="Times New Roman" w:cs="Times New Roman"/>
          <w:bCs/>
          <w:sz w:val="24"/>
          <w:szCs w:val="24"/>
        </w:rPr>
        <w:t>to service has occurred.  Per 18 CFR 260.9, natural gas pipeline companies must report (i) damage to any jurisdictional natural gas facilities other than liquefied natural gas facilities caused by a hurricane, earthquake or other natural disaster or terrorist activity that results in a loss of or reduction in pipeline throughput or storage deliverability; and (ii) serious interruptions of service to any shipper involving jurisdictional natural gas facilities other than liquefied natural gas facilities.</w:t>
      </w:r>
    </w:p>
    <w:p w:rsidRPr="00086A63" w:rsidR="00086A63" w:rsidP="00086A63" w:rsidRDefault="00086A63">
      <w:pPr>
        <w:rPr>
          <w:rFonts w:ascii="Times New Roman" w:hAnsi="Times New Roman" w:cs="Times New Roman"/>
          <w:bCs/>
          <w:sz w:val="24"/>
          <w:szCs w:val="24"/>
        </w:rPr>
      </w:pPr>
      <w:r w:rsidRPr="00086A63">
        <w:rPr>
          <w:rFonts w:ascii="Times New Roman" w:hAnsi="Times New Roman" w:cs="Times New Roman"/>
          <w:bCs/>
          <w:sz w:val="24"/>
          <w:szCs w:val="24"/>
        </w:rPr>
        <w:t xml:space="preserve"> </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bCs/>
          <w:sz w:val="24"/>
          <w:szCs w:val="24"/>
        </w:rPr>
        <w:lastRenderedPageBreak/>
        <w:t xml:space="preserve">Respondents to the FERC-576 must submit the </w:t>
      </w:r>
      <w:r w:rsidRPr="00086A63">
        <w:rPr>
          <w:rFonts w:ascii="Times New Roman" w:hAnsi="Times New Roman" w:cs="Times New Roman"/>
          <w:sz w:val="24"/>
          <w:szCs w:val="24"/>
        </w:rPr>
        <w:t>notifications</w:t>
      </w:r>
      <w:r w:rsidRPr="00086A63">
        <w:rPr>
          <w:rFonts w:ascii="Times New Roman" w:hAnsi="Times New Roman" w:cs="Times New Roman"/>
          <w:sz w:val="24"/>
          <w:szCs w:val="24"/>
          <w:vertAlign w:val="superscript"/>
        </w:rPr>
        <w:footnoteReference w:id="3"/>
      </w:r>
      <w:r w:rsidRPr="00086A63">
        <w:rPr>
          <w:rFonts w:ascii="Times New Roman" w:hAnsi="Times New Roman" w:cs="Times New Roman"/>
          <w:sz w:val="24"/>
          <w:szCs w:val="24"/>
        </w:rPr>
        <w:t>, made to the Director, Division of Pipeline Certificates via email or fax as soon as feasibly possible</w:t>
      </w:r>
      <w:r w:rsidRPr="00086A63">
        <w:rPr>
          <w:rFonts w:ascii="Times New Roman" w:hAnsi="Times New Roman" w:cs="Times New Roman"/>
          <w:sz w:val="24"/>
          <w:szCs w:val="24"/>
          <w:vertAlign w:val="superscript"/>
        </w:rPr>
        <w:footnoteReference w:id="4"/>
      </w:r>
      <w:r w:rsidRPr="00086A63">
        <w:rPr>
          <w:rFonts w:ascii="Times New Roman" w:hAnsi="Times New Roman" w:cs="Times New Roman"/>
          <w:sz w:val="24"/>
          <w:szCs w:val="24"/>
        </w:rPr>
        <w:t xml:space="preserve">, and must state:  </w:t>
      </w:r>
    </w:p>
    <w:p w:rsidRPr="00086A63" w:rsidR="00086A63" w:rsidP="00086A63" w:rsidRDefault="00086A63">
      <w:pPr>
        <w:numPr>
          <w:ilvl w:val="0"/>
          <w:numId w:val="2"/>
        </w:numPr>
        <w:rPr>
          <w:rFonts w:ascii="Times New Roman" w:hAnsi="Times New Roman" w:cs="Times New Roman"/>
          <w:bCs/>
          <w:sz w:val="24"/>
          <w:szCs w:val="24"/>
        </w:rPr>
      </w:pPr>
      <w:r w:rsidRPr="00086A63">
        <w:rPr>
          <w:rFonts w:ascii="Times New Roman" w:hAnsi="Times New Roman" w:cs="Times New Roman"/>
          <w:sz w:val="24"/>
          <w:szCs w:val="24"/>
        </w:rPr>
        <w:t>The location of the service interruption or damage to natural gas pipeline or storage facilities;</w:t>
      </w:r>
    </w:p>
    <w:p w:rsidRPr="00086A63" w:rsidR="00086A63" w:rsidP="00086A63" w:rsidRDefault="00086A63">
      <w:pPr>
        <w:numPr>
          <w:ilvl w:val="0"/>
          <w:numId w:val="2"/>
        </w:numPr>
        <w:rPr>
          <w:rFonts w:ascii="Times New Roman" w:hAnsi="Times New Roman" w:cs="Times New Roman"/>
          <w:bCs/>
          <w:sz w:val="24"/>
          <w:szCs w:val="24"/>
        </w:rPr>
      </w:pPr>
      <w:r w:rsidRPr="00086A63">
        <w:rPr>
          <w:rFonts w:ascii="Times New Roman" w:hAnsi="Times New Roman" w:cs="Times New Roman"/>
          <w:sz w:val="24"/>
          <w:szCs w:val="24"/>
        </w:rPr>
        <w:t xml:space="preserve">The nature of any damage to pipeline or storage facilities; </w:t>
      </w:r>
    </w:p>
    <w:p w:rsidRPr="00086A63" w:rsidR="00086A63" w:rsidP="00086A63" w:rsidRDefault="00086A63">
      <w:pPr>
        <w:numPr>
          <w:ilvl w:val="0"/>
          <w:numId w:val="2"/>
        </w:numPr>
        <w:rPr>
          <w:rFonts w:ascii="Times New Roman" w:hAnsi="Times New Roman" w:cs="Times New Roman"/>
          <w:bCs/>
          <w:sz w:val="24"/>
          <w:szCs w:val="24"/>
        </w:rPr>
      </w:pPr>
      <w:r w:rsidRPr="00086A63">
        <w:rPr>
          <w:rFonts w:ascii="Times New Roman" w:hAnsi="Times New Roman" w:cs="Times New Roman"/>
          <w:sz w:val="24"/>
          <w:szCs w:val="24"/>
        </w:rPr>
        <w:t xml:space="preserve">Specific identification of the facilities damaged; </w:t>
      </w:r>
    </w:p>
    <w:p w:rsidRPr="00086A63" w:rsidR="00086A63" w:rsidP="00086A63" w:rsidRDefault="00086A63">
      <w:pPr>
        <w:numPr>
          <w:ilvl w:val="0"/>
          <w:numId w:val="2"/>
        </w:numPr>
        <w:rPr>
          <w:rFonts w:ascii="Times New Roman" w:hAnsi="Times New Roman" w:cs="Times New Roman"/>
          <w:bCs/>
          <w:sz w:val="24"/>
          <w:szCs w:val="24"/>
        </w:rPr>
      </w:pPr>
      <w:r w:rsidRPr="00086A63">
        <w:rPr>
          <w:rFonts w:ascii="Times New Roman" w:hAnsi="Times New Roman" w:cs="Times New Roman"/>
          <w:sz w:val="24"/>
          <w:szCs w:val="24"/>
        </w:rPr>
        <w:t xml:space="preserve">The time the service interruption or damage to the facilities occurred; </w:t>
      </w:r>
    </w:p>
    <w:p w:rsidRPr="00086A63" w:rsidR="00086A63" w:rsidP="00086A63" w:rsidRDefault="00086A63">
      <w:pPr>
        <w:numPr>
          <w:ilvl w:val="0"/>
          <w:numId w:val="2"/>
        </w:numPr>
        <w:rPr>
          <w:rFonts w:ascii="Times New Roman" w:hAnsi="Times New Roman" w:cs="Times New Roman"/>
          <w:bCs/>
          <w:sz w:val="24"/>
          <w:szCs w:val="24"/>
        </w:rPr>
      </w:pPr>
      <w:r w:rsidRPr="00086A63">
        <w:rPr>
          <w:rFonts w:ascii="Times New Roman" w:hAnsi="Times New Roman" w:cs="Times New Roman"/>
          <w:sz w:val="24"/>
          <w:szCs w:val="24"/>
        </w:rPr>
        <w:t xml:space="preserve">The customers affected by the service interruption or damage to the facilities; </w:t>
      </w:r>
    </w:p>
    <w:p w:rsidRPr="00086A63" w:rsidR="00086A63" w:rsidP="00086A63" w:rsidRDefault="00086A63">
      <w:pPr>
        <w:numPr>
          <w:ilvl w:val="0"/>
          <w:numId w:val="2"/>
        </w:numPr>
        <w:rPr>
          <w:rFonts w:ascii="Times New Roman" w:hAnsi="Times New Roman" w:cs="Times New Roman"/>
          <w:bCs/>
          <w:sz w:val="24"/>
          <w:szCs w:val="24"/>
        </w:rPr>
      </w:pPr>
      <w:r w:rsidRPr="00086A63">
        <w:rPr>
          <w:rFonts w:ascii="Times New Roman" w:hAnsi="Times New Roman" w:cs="Times New Roman"/>
          <w:sz w:val="24"/>
          <w:szCs w:val="24"/>
        </w:rPr>
        <w:t xml:space="preserve">Emergency actions taken to maintain service; and </w:t>
      </w:r>
    </w:p>
    <w:p w:rsidRPr="00086A63" w:rsidR="00086A63" w:rsidP="00086A63" w:rsidRDefault="00086A63">
      <w:pPr>
        <w:numPr>
          <w:ilvl w:val="0"/>
          <w:numId w:val="2"/>
        </w:numPr>
        <w:rPr>
          <w:rFonts w:ascii="Times New Roman" w:hAnsi="Times New Roman" w:cs="Times New Roman"/>
          <w:bCs/>
          <w:sz w:val="24"/>
          <w:szCs w:val="24"/>
        </w:rPr>
      </w:pPr>
      <w:r w:rsidRPr="00086A63">
        <w:rPr>
          <w:rFonts w:ascii="Times New Roman" w:hAnsi="Times New Roman" w:cs="Times New Roman"/>
          <w:sz w:val="24"/>
          <w:szCs w:val="24"/>
        </w:rPr>
        <w:t xml:space="preserve">Company contact and telephone number. </w:t>
      </w:r>
    </w:p>
    <w:p w:rsidRPr="00086A63" w:rsidR="00086A63" w:rsidP="00086A63" w:rsidRDefault="00086A63">
      <w:pPr>
        <w:rPr>
          <w:rFonts w:ascii="Times New Roman" w:hAnsi="Times New Roman" w:cs="Times New Roman"/>
          <w:bCs/>
          <w:sz w:val="24"/>
          <w:szCs w:val="24"/>
        </w:rPr>
      </w:pPr>
      <w:r w:rsidRPr="00086A63">
        <w:rPr>
          <w:rFonts w:ascii="Times New Roman" w:hAnsi="Times New Roman" w:cs="Times New Roman"/>
          <w:sz w:val="24"/>
          <w:szCs w:val="24"/>
        </w:rPr>
        <w:t xml:space="preserve">The information provided by these notifications are kept by the Commission and are not made part of the public record. </w:t>
      </w:r>
    </w:p>
    <w:p w:rsidRPr="00086A63" w:rsidR="00086A63" w:rsidP="00086A63" w:rsidRDefault="00086A63">
      <w:pPr>
        <w:numPr>
          <w:ilvl w:val="0"/>
          <w:numId w:val="1"/>
        </w:numPr>
        <w:rPr>
          <w:rFonts w:ascii="Times New Roman" w:hAnsi="Times New Roman" w:cs="Times New Roman"/>
          <w:b/>
          <w:bCs/>
          <w:sz w:val="24"/>
          <w:szCs w:val="24"/>
        </w:rPr>
      </w:pPr>
      <w:r w:rsidRPr="00086A63">
        <w:rPr>
          <w:rFonts w:ascii="Times New Roman" w:hAnsi="Times New Roman" w:cs="Times New Roman"/>
          <w:b/>
          <w:bCs/>
          <w:sz w:val="24"/>
          <w:szCs w:val="24"/>
        </w:rPr>
        <w:t>DESCRIBE ANY CONSIDERATION OF THE USE OF IMPROVED TECHNOLOGY TO REDUCE BURDEN AND TECHNICAL OR LEGAL OBSTACLES TO REDUCING BURDEN.</w:t>
      </w:r>
    </w:p>
    <w:p w:rsidRPr="00086A63" w:rsidR="00086A63" w:rsidP="00086A63" w:rsidRDefault="00086A63">
      <w:pPr>
        <w:rPr>
          <w:rFonts w:ascii="Times New Roman" w:hAnsi="Times New Roman" w:cs="Times New Roman"/>
          <w:sz w:val="24"/>
          <w:szCs w:val="24"/>
        </w:rPr>
      </w:pPr>
      <w:r w:rsidRPr="00086A63">
        <w:rPr>
          <w:rFonts w:ascii="Times New Roman" w:hAnsi="Times New Roman" w:eastAsia="Calibri" w:cs="Times New Roman"/>
          <w:sz w:val="24"/>
          <w:szCs w:val="24"/>
        </w:rPr>
        <w:t xml:space="preserve">The FERC-576 filings must be emailed to </w:t>
      </w:r>
      <w:hyperlink w:history="1" r:id="rId8">
        <w:r w:rsidRPr="00086A63">
          <w:rPr>
            <w:rStyle w:val="Hyperlink"/>
            <w:rFonts w:ascii="Times New Roman" w:hAnsi="Times New Roman" w:eastAsia="Calibri" w:cs="Times New Roman"/>
            <w:sz w:val="24"/>
            <w:szCs w:val="24"/>
          </w:rPr>
          <w:t>pipeline.outage@ferc.gov</w:t>
        </w:r>
      </w:hyperlink>
      <w:r w:rsidRPr="00086A63">
        <w:rPr>
          <w:rFonts w:ascii="Times New Roman" w:hAnsi="Times New Roman" w:eastAsia="Calibri" w:cs="Times New Roman"/>
          <w:sz w:val="24"/>
          <w:szCs w:val="24"/>
        </w:rPr>
        <w:t xml:space="preserve"> or faxed to (202)-208-2853</w:t>
      </w:r>
      <w:r w:rsidRPr="00086A63">
        <w:rPr>
          <w:rFonts w:ascii="Times New Roman" w:hAnsi="Times New Roman" w:cs="Times New Roman"/>
          <w:sz w:val="24"/>
          <w:szCs w:val="24"/>
        </w:rPr>
        <w:t xml:space="preserve"> </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 xml:space="preserve">The Commission continues to expand the list of filing types that may be submitted electronically to reduce burden on entities.  To see a full list of submission guidelines click here: </w:t>
      </w:r>
      <w:hyperlink w:history="1" r:id="rId9">
        <w:r w:rsidRPr="00086A63">
          <w:rPr>
            <w:rStyle w:val="Hyperlink"/>
            <w:rFonts w:ascii="Times New Roman" w:hAnsi="Times New Roman" w:cs="Times New Roman"/>
            <w:sz w:val="24"/>
            <w:szCs w:val="24"/>
          </w:rPr>
          <w:t>https://www.ferc.gov/sites/default/files/2020-05/filing.pdf</w:t>
        </w:r>
      </w:hyperlink>
      <w:r w:rsidRPr="00086A63">
        <w:rPr>
          <w:rFonts w:ascii="Times New Roman" w:hAnsi="Times New Roman" w:cs="Times New Roman"/>
          <w:sz w:val="24"/>
          <w:szCs w:val="24"/>
        </w:rPr>
        <w:t xml:space="preserve">.  </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 xml:space="preserve">Filing requirements are periodically reviewed as information collection expiration dates arise or as the Commission may deem necessary in carrying out its regulatory responsibilities under the NGA </w:t>
      </w:r>
      <w:proofErr w:type="gramStart"/>
      <w:r w:rsidRPr="00086A63">
        <w:rPr>
          <w:rFonts w:ascii="Times New Roman" w:hAnsi="Times New Roman" w:cs="Times New Roman"/>
          <w:sz w:val="24"/>
          <w:szCs w:val="24"/>
        </w:rPr>
        <w:t>in an effort to</w:t>
      </w:r>
      <w:proofErr w:type="gramEnd"/>
      <w:r w:rsidRPr="00086A63">
        <w:rPr>
          <w:rFonts w:ascii="Times New Roman" w:hAnsi="Times New Roman" w:cs="Times New Roman"/>
          <w:sz w:val="24"/>
          <w:szCs w:val="24"/>
        </w:rPr>
        <w:t xml:space="preserve"> alleviate duplication.  All Commission information collections are subject to analysis by Commission staff and are examined for redundancy. Similarly, the filing of FERC-576 (required by 18 CFR 260.9(a)(1)(i)) describe a </w:t>
      </w:r>
      <w:proofErr w:type="gramStart"/>
      <w:r w:rsidRPr="00086A63">
        <w:rPr>
          <w:rFonts w:ascii="Times New Roman" w:hAnsi="Times New Roman" w:cs="Times New Roman"/>
          <w:sz w:val="24"/>
          <w:szCs w:val="24"/>
        </w:rPr>
        <w:t>particular incident</w:t>
      </w:r>
      <w:proofErr w:type="gramEnd"/>
      <w:r w:rsidRPr="00086A63">
        <w:rPr>
          <w:rFonts w:ascii="Times New Roman" w:hAnsi="Times New Roman" w:cs="Times New Roman"/>
          <w:sz w:val="24"/>
          <w:szCs w:val="24"/>
        </w:rPr>
        <w:t xml:space="preserve">, location, and time.  No similar information can be used or modified.  The Commission is unaware of any other source of information </w:t>
      </w:r>
      <w:proofErr w:type="gramStart"/>
      <w:r w:rsidRPr="00086A63">
        <w:rPr>
          <w:rFonts w:ascii="Times New Roman" w:hAnsi="Times New Roman" w:cs="Times New Roman"/>
          <w:sz w:val="24"/>
          <w:szCs w:val="24"/>
        </w:rPr>
        <w:t>similar to</w:t>
      </w:r>
      <w:proofErr w:type="gramEnd"/>
      <w:r w:rsidRPr="00086A63">
        <w:rPr>
          <w:rFonts w:ascii="Times New Roman" w:hAnsi="Times New Roman" w:cs="Times New Roman"/>
          <w:sz w:val="24"/>
          <w:szCs w:val="24"/>
        </w:rPr>
        <w:t xml:space="preserve"> the additional requirements.</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lastRenderedPageBreak/>
        <w:t>METHODS USED TO MINIMIZE BURDEN IN COLLECTION OF INFORMATION INVOLVING SMALL ENTITIES</w:t>
      </w:r>
    </w:p>
    <w:p w:rsidRPr="00086A63" w:rsidR="00086A63" w:rsidP="00086A63" w:rsidRDefault="00086A63">
      <w:pPr>
        <w:rPr>
          <w:rFonts w:ascii="Times New Roman" w:hAnsi="Times New Roman" w:cs="Times New Roman"/>
          <w:bCs/>
          <w:sz w:val="24"/>
          <w:szCs w:val="24"/>
        </w:rPr>
      </w:pPr>
      <w:r w:rsidRPr="00086A63">
        <w:rPr>
          <w:rFonts w:ascii="Times New Roman" w:hAnsi="Times New Roman" w:cs="Times New Roman"/>
          <w:bCs/>
          <w:sz w:val="24"/>
          <w:szCs w:val="24"/>
        </w:rPr>
        <w:t xml:space="preserve">For FERC-576, the required information in this filing applies for all entities regardless of the size of the entity.  </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sz w:val="24"/>
          <w:szCs w:val="24"/>
        </w:rPr>
        <w:t>CONSEQUENCE TO FEDERAL PROGRAM IF COLLECTION WERE CONDUCTED LESS FREQUENTLY</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The consequence of not collecting or collecting the information of</w:t>
      </w:r>
      <w:r>
        <w:rPr>
          <w:rFonts w:ascii="Times New Roman" w:hAnsi="Times New Roman" w:cs="Times New Roman"/>
          <w:sz w:val="24"/>
          <w:szCs w:val="24"/>
        </w:rPr>
        <w:t xml:space="preserve"> </w:t>
      </w:r>
      <w:r w:rsidRPr="00086A63">
        <w:rPr>
          <w:rFonts w:ascii="Times New Roman" w:hAnsi="Times New Roman" w:cs="Times New Roman"/>
          <w:sz w:val="24"/>
          <w:szCs w:val="24"/>
        </w:rPr>
        <w:t>FERC-576 less frequently would be the Commission’s inability to fulfill its statutory mandates under the NGA and its Rules of Practice and Procedure.</w:t>
      </w:r>
      <w:r>
        <w:rPr>
          <w:rFonts w:ascii="Times New Roman" w:hAnsi="Times New Roman" w:cs="Times New Roman"/>
          <w:sz w:val="24"/>
          <w:szCs w:val="24"/>
        </w:rPr>
        <w:t xml:space="preserve">  </w:t>
      </w:r>
      <w:r w:rsidRPr="00086A63">
        <w:rPr>
          <w:rFonts w:ascii="Times New Roman" w:hAnsi="Times New Roman" w:cs="Times New Roman"/>
          <w:sz w:val="24"/>
          <w:szCs w:val="24"/>
        </w:rPr>
        <w:t>Further, if the Commission did not collect this information under FERC-576, it would lose a data point that assists in the monitoring of transactions, operations, and reliability of interstate pipelines</w:t>
      </w:r>
      <w:r w:rsidR="00E70336">
        <w:rPr>
          <w:rFonts w:ascii="Times New Roman" w:hAnsi="Times New Roman" w:cs="Times New Roman"/>
          <w:sz w:val="24"/>
          <w:szCs w:val="24"/>
        </w:rPr>
        <w:t>.</w:t>
      </w:r>
      <w:r w:rsidRPr="00086A63" w:rsidDel="005D2901">
        <w:rPr>
          <w:rFonts w:ascii="Times New Roman" w:hAnsi="Times New Roman" w:cs="Times New Roman"/>
          <w:sz w:val="24"/>
          <w:szCs w:val="24"/>
        </w:rPr>
        <w:t xml:space="preserve"> </w:t>
      </w:r>
      <w:r w:rsidR="00E70336">
        <w:rPr>
          <w:rFonts w:ascii="Times New Roman" w:hAnsi="Times New Roman" w:cs="Times New Roman"/>
          <w:sz w:val="24"/>
          <w:szCs w:val="24"/>
        </w:rPr>
        <w:t xml:space="preserve"> </w:t>
      </w:r>
      <w:r w:rsidRPr="00086A63">
        <w:rPr>
          <w:rFonts w:ascii="Times New Roman" w:hAnsi="Times New Roman" w:cs="Times New Roman"/>
          <w:sz w:val="24"/>
          <w:szCs w:val="24"/>
        </w:rPr>
        <w:t xml:space="preserve">Finally, the Commission cannot collect these data less frequently due to statutory and/or regulatory requirements to monitor emergency situations.  The information collection cannot be discontinued due to statutory requirements.  The Commission must review reports concerning any disruptions in service of the transportation of natural gas in wholesale markets.  The timing and frequency of data filed with the Commission under FERC-576 is determined by the respondent and when an interruption of service occurs.  </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 xml:space="preserve">EXPLAIN ANY SPECIAL CIRCUMSTANCES RELATING TO THE INFORMATION COLLECTION </w:t>
      </w:r>
    </w:p>
    <w:p w:rsidRPr="00086A63" w:rsidR="00086A63" w:rsidP="00086A63" w:rsidRDefault="00086A63">
      <w:pPr>
        <w:rPr>
          <w:rFonts w:ascii="Times New Roman" w:hAnsi="Times New Roman" w:cs="Times New Roman"/>
          <w:b/>
          <w:bCs/>
          <w:sz w:val="24"/>
          <w:szCs w:val="24"/>
        </w:rPr>
      </w:pPr>
      <w:r w:rsidRPr="00086A63">
        <w:rPr>
          <w:rFonts w:ascii="Times New Roman" w:hAnsi="Times New Roman" w:cs="Times New Roman"/>
          <w:sz w:val="24"/>
          <w:szCs w:val="24"/>
        </w:rPr>
        <w:t xml:space="preserve">There are no special circumstances related to FERC-576.  All FERC-576 filings must be emailed to </w:t>
      </w:r>
      <w:hyperlink w:history="1" r:id="rId10">
        <w:r w:rsidRPr="00086A63">
          <w:rPr>
            <w:rStyle w:val="Hyperlink"/>
            <w:rFonts w:ascii="Times New Roman" w:hAnsi="Times New Roman" w:cs="Times New Roman"/>
            <w:sz w:val="24"/>
            <w:szCs w:val="24"/>
          </w:rPr>
          <w:t>pipeline.outage@ferc.gov</w:t>
        </w:r>
      </w:hyperlink>
      <w:r w:rsidRPr="00086A63">
        <w:rPr>
          <w:rFonts w:ascii="Times New Roman" w:hAnsi="Times New Roman" w:cs="Times New Roman"/>
          <w:sz w:val="24"/>
          <w:szCs w:val="24"/>
        </w:rPr>
        <w:t xml:space="preserve"> or faxed to (202)-208-2853</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DESCRIBE EFFORTS TO CONSULT OUTSIDE THE AGENCY: SUMMARIZE PUBLIC COMMENTS AND THE AGENCY'S RESPONSE TO THESE COMMENTS</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In accordance with OMB requirements</w:t>
      </w:r>
      <w:r w:rsidRPr="00086A63">
        <w:rPr>
          <w:rFonts w:ascii="Times New Roman" w:hAnsi="Times New Roman" w:cs="Times New Roman"/>
          <w:sz w:val="24"/>
          <w:szCs w:val="24"/>
          <w:vertAlign w:val="superscript"/>
        </w:rPr>
        <w:footnoteReference w:id="5"/>
      </w:r>
      <w:r w:rsidRPr="00086A63">
        <w:rPr>
          <w:rFonts w:ascii="Times New Roman" w:hAnsi="Times New Roman" w:cs="Times New Roman"/>
          <w:sz w:val="24"/>
          <w:szCs w:val="24"/>
        </w:rPr>
        <w:t xml:space="preserve">,  each FERC activity that results in the revision of an information collection is published in the Federal Register thereby providing the public, state commissions, Federal agencies, and other interested parties an opportunity to submit data, views, comments, and/or suggestions concerning the approved collections of data.  The Commission published a consolidated 60-day notice for FERC-567 and FERC-576 (86 FR 25852) and a 30-day notice </w:t>
      </w:r>
      <w:r w:rsidR="004F1E39">
        <w:rPr>
          <w:rFonts w:ascii="Times New Roman" w:hAnsi="Times New Roman" w:cs="Times New Roman"/>
          <w:sz w:val="24"/>
          <w:szCs w:val="24"/>
        </w:rPr>
        <w:t xml:space="preserve">(86 FR </w:t>
      </w:r>
      <w:r w:rsidRPr="004F1E39" w:rsidR="004F1E39">
        <w:rPr>
          <w:rFonts w:ascii="Times New Roman" w:hAnsi="Times New Roman" w:cs="Times New Roman"/>
          <w:sz w:val="24"/>
          <w:szCs w:val="24"/>
        </w:rPr>
        <w:t>38335</w:t>
      </w:r>
      <w:r w:rsidR="004F1E39">
        <w:rPr>
          <w:rFonts w:ascii="Times New Roman" w:hAnsi="Times New Roman" w:cs="Times New Roman"/>
          <w:sz w:val="24"/>
          <w:szCs w:val="24"/>
        </w:rPr>
        <w:t xml:space="preserve">) </w:t>
      </w:r>
      <w:r w:rsidRPr="00086A63">
        <w:rPr>
          <w:rFonts w:ascii="Times New Roman" w:hAnsi="Times New Roman" w:cs="Times New Roman"/>
          <w:sz w:val="24"/>
          <w:szCs w:val="24"/>
        </w:rPr>
        <w:t xml:space="preserve">to the public regarding this information collection on 5/11/2021 and </w:t>
      </w:r>
      <w:r w:rsidR="004F1E39">
        <w:rPr>
          <w:rFonts w:ascii="Times New Roman" w:hAnsi="Times New Roman" w:cs="Times New Roman"/>
          <w:sz w:val="24"/>
          <w:szCs w:val="24"/>
        </w:rPr>
        <w:t>7/20/2021</w:t>
      </w:r>
      <w:r w:rsidRPr="00086A63">
        <w:rPr>
          <w:rFonts w:ascii="Times New Roman" w:hAnsi="Times New Roman" w:cs="Times New Roman"/>
          <w:sz w:val="24"/>
          <w:szCs w:val="24"/>
        </w:rPr>
        <w:t xml:space="preserve"> respectively.  Within the public notices, the Commission noted that it would be requesting a three-year extension of the public reporting burden.  </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The Commission received no comments from the public in response to the 60-day notice regarding FERC-576</w:t>
      </w:r>
      <w:r w:rsidR="00ED4869">
        <w:rPr>
          <w:rFonts w:ascii="Times New Roman" w:hAnsi="Times New Roman" w:cs="Times New Roman"/>
          <w:sz w:val="24"/>
          <w:szCs w:val="24"/>
        </w:rPr>
        <w:t>.</w:t>
      </w:r>
      <w:r w:rsidRPr="00086A63">
        <w:rPr>
          <w:rFonts w:ascii="Times New Roman" w:hAnsi="Times New Roman" w:cs="Times New Roman"/>
          <w:sz w:val="24"/>
          <w:szCs w:val="24"/>
        </w:rPr>
        <w:t xml:space="preserve"> </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EXPLAIN ANY PAYMENT OR GIFTS TO RESPONDENTS</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lastRenderedPageBreak/>
        <w:t>The Commission makes no payments or gifts to respondents associated with FERC-576.</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DESCRIBE ANY ASSURANCE OF CONFIDENTIALITY PROVIDED TO RESPONDENTS</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 xml:space="preserve">The Commission does consider the information collected in FERC-576 (filed under 18 CFR 260.9) reports to be non-public.  Due to the nature of the information collected in FERC-576, the reports are not submitted through the normal </w:t>
      </w:r>
      <w:proofErr w:type="spellStart"/>
      <w:r w:rsidRPr="00086A63">
        <w:rPr>
          <w:rFonts w:ascii="Times New Roman" w:hAnsi="Times New Roman" w:cs="Times New Roman"/>
          <w:sz w:val="24"/>
          <w:szCs w:val="24"/>
        </w:rPr>
        <w:t>eFiling</w:t>
      </w:r>
      <w:proofErr w:type="spellEnd"/>
      <w:r w:rsidRPr="00086A63">
        <w:rPr>
          <w:rFonts w:ascii="Times New Roman" w:hAnsi="Times New Roman" w:cs="Times New Roman"/>
          <w:sz w:val="24"/>
          <w:szCs w:val="24"/>
        </w:rPr>
        <w:t xml:space="preserve"> process and are not made available through </w:t>
      </w:r>
      <w:proofErr w:type="spellStart"/>
      <w:r w:rsidRPr="00086A63">
        <w:rPr>
          <w:rFonts w:ascii="Times New Roman" w:hAnsi="Times New Roman" w:cs="Times New Roman"/>
          <w:sz w:val="24"/>
          <w:szCs w:val="24"/>
        </w:rPr>
        <w:t>eLibrary</w:t>
      </w:r>
      <w:proofErr w:type="spellEnd"/>
      <w:r w:rsidRPr="00086A63">
        <w:rPr>
          <w:rFonts w:ascii="Times New Roman" w:hAnsi="Times New Roman" w:cs="Times New Roman"/>
          <w:sz w:val="24"/>
          <w:szCs w:val="24"/>
        </w:rPr>
        <w:t>.  The Commission considers requests for information submitted in accordance with 18 CFR 260.9 under the Freedom of Information Act (FOIA) on a case by case basis of analysis.</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FERC-576 does not include any questions of a sensitive nature.</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ESTIMATED BURDEN OF COLLECTION OF INFORMATION</w:t>
      </w:r>
    </w:p>
    <w:p w:rsidRPr="00086A63" w:rsidR="00086A63" w:rsidP="00086A63" w:rsidRDefault="00086A63">
      <w:pPr>
        <w:rPr>
          <w:rFonts w:ascii="Times New Roman" w:hAnsi="Times New Roman" w:cs="Times New Roman"/>
          <w:sz w:val="24"/>
          <w:szCs w:val="24"/>
        </w:rPr>
      </w:pP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The following table provide</w:t>
      </w:r>
      <w:r w:rsidR="00ED4869">
        <w:rPr>
          <w:rFonts w:ascii="Times New Roman" w:hAnsi="Times New Roman" w:cs="Times New Roman"/>
          <w:sz w:val="24"/>
          <w:szCs w:val="24"/>
        </w:rPr>
        <w:t>s</w:t>
      </w:r>
      <w:r w:rsidRPr="00086A63">
        <w:rPr>
          <w:rFonts w:ascii="Times New Roman" w:hAnsi="Times New Roman" w:cs="Times New Roman"/>
          <w:sz w:val="24"/>
          <w:szCs w:val="24"/>
        </w:rPr>
        <w:t xml:space="preserve"> the estimated annual burden</w:t>
      </w:r>
      <w:r w:rsidRPr="00086A63">
        <w:rPr>
          <w:rFonts w:ascii="Times New Roman" w:hAnsi="Times New Roman" w:cs="Times New Roman"/>
          <w:sz w:val="24"/>
          <w:szCs w:val="24"/>
          <w:vertAlign w:val="superscript"/>
        </w:rPr>
        <w:footnoteReference w:id="6"/>
      </w:r>
      <w:r w:rsidRPr="00086A63">
        <w:rPr>
          <w:rFonts w:ascii="Times New Roman" w:hAnsi="Times New Roman" w:cs="Times New Roman"/>
          <w:sz w:val="24"/>
          <w:szCs w:val="24"/>
        </w:rPr>
        <w:t xml:space="preserve"> and cost related to information collection requirements for FERC-</w:t>
      </w:r>
      <w:r w:rsidR="00EE2637">
        <w:rPr>
          <w:rFonts w:ascii="Times New Roman" w:hAnsi="Times New Roman" w:cs="Times New Roman"/>
          <w:sz w:val="24"/>
          <w:szCs w:val="24"/>
        </w:rPr>
        <w:t>576</w:t>
      </w:r>
      <w:r w:rsidRPr="00086A63">
        <w:rPr>
          <w:rFonts w:ascii="Times New Roman" w:hAnsi="Times New Roman" w:cs="Times New Roman"/>
          <w:sz w:val="24"/>
          <w:szCs w:val="24"/>
        </w:rPr>
        <w:t xml:space="preserve">.  Please note that the cost figures in the Table for FERC-576 has been rounded (columns 4) for display purposes only.  The calculations for the ‘cost per response’ are based on the number of hours </w:t>
      </w:r>
      <w:r w:rsidRPr="00086A63" w:rsidR="00ED4869">
        <w:rPr>
          <w:rFonts w:ascii="Times New Roman" w:hAnsi="Times New Roman" w:cs="Times New Roman"/>
          <w:sz w:val="24"/>
          <w:szCs w:val="24"/>
        </w:rPr>
        <w:t>multiplied</w:t>
      </w:r>
      <w:r w:rsidRPr="00086A63">
        <w:rPr>
          <w:rFonts w:ascii="Times New Roman" w:hAnsi="Times New Roman" w:cs="Times New Roman"/>
          <w:sz w:val="24"/>
          <w:szCs w:val="24"/>
        </w:rPr>
        <w:t xml:space="preserve"> by the total weight hourly cost.</w:t>
      </w:r>
    </w:p>
    <w:p w:rsidRPr="00086A63" w:rsidR="00086A63" w:rsidP="00086A63" w:rsidRDefault="00086A63">
      <w:pPr>
        <w:rPr>
          <w:rFonts w:ascii="Times New Roman" w:hAnsi="Times New Roman" w:cs="Times New Roman"/>
          <w:sz w:val="24"/>
          <w:szCs w:val="24"/>
        </w:rPr>
      </w:pPr>
    </w:p>
    <w:tbl>
      <w:tblPr>
        <w:tblW w:w="515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079"/>
        <w:gridCol w:w="1441"/>
        <w:gridCol w:w="1377"/>
        <w:gridCol w:w="1233"/>
        <w:gridCol w:w="1620"/>
        <w:gridCol w:w="1441"/>
      </w:tblGrid>
      <w:tr w:rsidRPr="00086A63" w:rsidR="00086A63" w:rsidTr="00D23616">
        <w:trPr>
          <w:cantSplit/>
          <w:trHeight w:val="257"/>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FERC-576, Report of Service Interruptions or Damage to Facilities</w:t>
            </w:r>
          </w:p>
        </w:tc>
      </w:tr>
      <w:tr w:rsidRPr="00086A63" w:rsidR="00086A63" w:rsidTr="00D23616">
        <w:trPr>
          <w:cantSplit/>
          <w:trHeight w:val="1836"/>
        </w:trPr>
        <w:tc>
          <w:tcPr>
            <w:tcW w:w="748" w:type="pct"/>
            <w:tcBorders>
              <w:top w:val="single" w:color="auto" w:sz="4" w:space="0"/>
              <w:left w:val="single" w:color="auto" w:sz="4" w:space="0"/>
              <w:bottom w:val="single" w:color="auto" w:sz="4" w:space="0"/>
              <w:right w:val="single" w:color="auto" w:sz="4" w:space="0"/>
            </w:tcBorders>
            <w:shd w:val="clear" w:color="auto" w:fill="D9D9D9"/>
          </w:tcPr>
          <w:p w:rsidRPr="00086A63" w:rsidR="00086A63" w:rsidP="00086A63" w:rsidRDefault="00086A63">
            <w:pPr>
              <w:rPr>
                <w:rFonts w:ascii="Times New Roman" w:hAnsi="Times New Roman" w:cs="Times New Roman"/>
                <w:b/>
                <w:sz w:val="24"/>
                <w:szCs w:val="24"/>
              </w:rPr>
            </w:pPr>
          </w:p>
        </w:tc>
        <w:tc>
          <w:tcPr>
            <w:tcW w:w="56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Number of Respondents</w:t>
            </w:r>
            <w:r w:rsidRPr="00086A63">
              <w:rPr>
                <w:rFonts w:ascii="Times New Roman" w:hAnsi="Times New Roman" w:cs="Times New Roman"/>
                <w:sz w:val="24"/>
                <w:szCs w:val="24"/>
                <w:vertAlign w:val="superscript"/>
              </w:rPr>
              <w:footnoteReference w:id="7"/>
            </w:r>
          </w:p>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(1)</w:t>
            </w:r>
          </w:p>
        </w:tc>
        <w:tc>
          <w:tcPr>
            <w:tcW w:w="7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Annual Number of Responses per Respondent</w:t>
            </w:r>
          </w:p>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(2)</w:t>
            </w:r>
          </w:p>
        </w:tc>
        <w:tc>
          <w:tcPr>
            <w:tcW w:w="71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Total Number of Responses (</w:t>
            </w:r>
            <w:proofErr w:type="gramStart"/>
            <w:r w:rsidRPr="00086A63">
              <w:rPr>
                <w:rFonts w:ascii="Times New Roman" w:hAnsi="Times New Roman" w:cs="Times New Roman"/>
                <w:b/>
                <w:sz w:val="24"/>
                <w:szCs w:val="24"/>
              </w:rPr>
              <w:t>1)*</w:t>
            </w:r>
            <w:proofErr w:type="gramEnd"/>
            <w:r w:rsidRPr="00086A63">
              <w:rPr>
                <w:rFonts w:ascii="Times New Roman" w:hAnsi="Times New Roman" w:cs="Times New Roman"/>
                <w:b/>
                <w:sz w:val="24"/>
                <w:szCs w:val="24"/>
              </w:rPr>
              <w:t>(2)=(3)</w:t>
            </w:r>
          </w:p>
        </w:tc>
        <w:tc>
          <w:tcPr>
            <w:tcW w:w="6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Average Annual Burden Hrs. &amp; Cost ($) Per Response</w:t>
            </w:r>
            <w:r w:rsidRPr="00086A63">
              <w:rPr>
                <w:rFonts w:ascii="Times New Roman" w:hAnsi="Times New Roman" w:cs="Times New Roman"/>
                <w:bCs/>
                <w:sz w:val="24"/>
                <w:szCs w:val="24"/>
                <w:vertAlign w:val="superscript"/>
              </w:rPr>
              <w:footnoteReference w:id="8"/>
            </w:r>
          </w:p>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(4)</w:t>
            </w:r>
          </w:p>
        </w:tc>
        <w:tc>
          <w:tcPr>
            <w:tcW w:w="8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Total Annual Burden Hrs. &amp; Total Annual Cost</w:t>
            </w:r>
          </w:p>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w:t>
            </w:r>
            <w:proofErr w:type="gramStart"/>
            <w:r w:rsidRPr="00086A63">
              <w:rPr>
                <w:rFonts w:ascii="Times New Roman" w:hAnsi="Times New Roman" w:cs="Times New Roman"/>
                <w:b/>
                <w:sz w:val="24"/>
                <w:szCs w:val="24"/>
              </w:rPr>
              <w:t>3)*</w:t>
            </w:r>
            <w:proofErr w:type="gramEnd"/>
            <w:r w:rsidRPr="00086A63">
              <w:rPr>
                <w:rFonts w:ascii="Times New Roman" w:hAnsi="Times New Roman" w:cs="Times New Roman"/>
                <w:b/>
                <w:sz w:val="24"/>
                <w:szCs w:val="24"/>
              </w:rPr>
              <w:t>(4)=(5)</w:t>
            </w:r>
          </w:p>
          <w:p w:rsidRPr="00086A63" w:rsidR="00086A63" w:rsidP="00086A63" w:rsidRDefault="00086A63">
            <w:pPr>
              <w:rPr>
                <w:rFonts w:ascii="Times New Roman" w:hAnsi="Times New Roman" w:cs="Times New Roman"/>
                <w:b/>
                <w:sz w:val="24"/>
                <w:szCs w:val="24"/>
              </w:rPr>
            </w:pPr>
          </w:p>
        </w:tc>
        <w:tc>
          <w:tcPr>
            <w:tcW w:w="7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Average Annual Cost per Respondent ($)</w:t>
            </w:r>
          </w:p>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w:t>
            </w:r>
            <w:proofErr w:type="gramStart"/>
            <w:r w:rsidRPr="00086A63">
              <w:rPr>
                <w:rFonts w:ascii="Times New Roman" w:hAnsi="Times New Roman" w:cs="Times New Roman"/>
                <w:b/>
                <w:sz w:val="24"/>
                <w:szCs w:val="24"/>
              </w:rPr>
              <w:t>5)÷</w:t>
            </w:r>
            <w:proofErr w:type="gramEnd"/>
            <w:r w:rsidRPr="00086A63">
              <w:rPr>
                <w:rFonts w:ascii="Times New Roman" w:hAnsi="Times New Roman" w:cs="Times New Roman"/>
                <w:b/>
                <w:sz w:val="24"/>
                <w:szCs w:val="24"/>
              </w:rPr>
              <w:t>(1)</w:t>
            </w:r>
          </w:p>
        </w:tc>
      </w:tr>
      <w:tr w:rsidRPr="00086A63" w:rsidR="00086A63" w:rsidTr="00D23616">
        <w:trPr>
          <w:cantSplit/>
          <w:trHeight w:val="1038"/>
        </w:trPr>
        <w:tc>
          <w:tcPr>
            <w:tcW w:w="748" w:type="pct"/>
            <w:tcBorders>
              <w:top w:val="single" w:color="auto" w:sz="4" w:space="0"/>
              <w:left w:val="single" w:color="auto" w:sz="4" w:space="0"/>
              <w:bottom w:val="single" w:color="auto" w:sz="4" w:space="0"/>
              <w:right w:val="single" w:color="auto" w:sz="4" w:space="0"/>
            </w:tcBorders>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Notification of Incident – Service Interruption</w:t>
            </w:r>
          </w:p>
        </w:tc>
        <w:tc>
          <w:tcPr>
            <w:tcW w:w="560"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50</w:t>
            </w:r>
          </w:p>
        </w:tc>
        <w:tc>
          <w:tcPr>
            <w:tcW w:w="748"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w:t>
            </w:r>
          </w:p>
        </w:tc>
        <w:tc>
          <w:tcPr>
            <w:tcW w:w="715"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50</w:t>
            </w:r>
          </w:p>
        </w:tc>
        <w:tc>
          <w:tcPr>
            <w:tcW w:w="640"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 hr.; $133.38</w:t>
            </w:r>
          </w:p>
        </w:tc>
        <w:tc>
          <w:tcPr>
            <w:tcW w:w="841"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 xml:space="preserve">50 hrs.; </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$6,669</w:t>
            </w:r>
          </w:p>
        </w:tc>
        <w:tc>
          <w:tcPr>
            <w:tcW w:w="748"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$133.38</w:t>
            </w:r>
          </w:p>
        </w:tc>
      </w:tr>
      <w:tr w:rsidRPr="00086A63" w:rsidR="00086A63" w:rsidTr="00D23616">
        <w:trPr>
          <w:cantSplit/>
          <w:trHeight w:val="789"/>
        </w:trPr>
        <w:tc>
          <w:tcPr>
            <w:tcW w:w="748" w:type="pct"/>
            <w:tcBorders>
              <w:top w:val="single" w:color="auto" w:sz="4" w:space="0"/>
              <w:left w:val="single" w:color="auto" w:sz="4" w:space="0"/>
              <w:bottom w:val="single" w:color="auto" w:sz="4" w:space="0"/>
              <w:right w:val="single" w:color="auto" w:sz="4" w:space="0"/>
            </w:tcBorders>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Notification of Incident – Damage</w:t>
            </w:r>
          </w:p>
        </w:tc>
        <w:tc>
          <w:tcPr>
            <w:tcW w:w="560"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 xml:space="preserve">22 </w:t>
            </w:r>
          </w:p>
        </w:tc>
        <w:tc>
          <w:tcPr>
            <w:tcW w:w="748"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w:t>
            </w:r>
          </w:p>
        </w:tc>
        <w:tc>
          <w:tcPr>
            <w:tcW w:w="715"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22</w:t>
            </w:r>
          </w:p>
        </w:tc>
        <w:tc>
          <w:tcPr>
            <w:tcW w:w="640"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0.25 hrs.; $33.35</w:t>
            </w:r>
          </w:p>
        </w:tc>
        <w:tc>
          <w:tcPr>
            <w:tcW w:w="841"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5.5 hrs.;</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$733.59</w:t>
            </w:r>
          </w:p>
        </w:tc>
        <w:tc>
          <w:tcPr>
            <w:tcW w:w="748"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$33.35</w:t>
            </w:r>
          </w:p>
        </w:tc>
      </w:tr>
      <w:tr w:rsidRPr="00086A63" w:rsidR="00086A63" w:rsidTr="00D23616">
        <w:trPr>
          <w:cantSplit/>
          <w:trHeight w:val="780"/>
        </w:trPr>
        <w:tc>
          <w:tcPr>
            <w:tcW w:w="748" w:type="pct"/>
            <w:tcBorders>
              <w:top w:val="single" w:color="auto" w:sz="4" w:space="0"/>
              <w:left w:val="single" w:color="auto" w:sz="4" w:space="0"/>
              <w:bottom w:val="single" w:color="auto" w:sz="4" w:space="0"/>
              <w:right w:val="single" w:color="auto" w:sz="4" w:space="0"/>
            </w:tcBorders>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Submittal of DOT Incident Report</w:t>
            </w:r>
          </w:p>
        </w:tc>
        <w:tc>
          <w:tcPr>
            <w:tcW w:w="560"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10</w:t>
            </w:r>
          </w:p>
        </w:tc>
        <w:tc>
          <w:tcPr>
            <w:tcW w:w="748"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w:t>
            </w:r>
          </w:p>
        </w:tc>
        <w:tc>
          <w:tcPr>
            <w:tcW w:w="715"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10</w:t>
            </w:r>
          </w:p>
        </w:tc>
        <w:tc>
          <w:tcPr>
            <w:tcW w:w="640"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0.25 hrs.; $33.35</w:t>
            </w:r>
          </w:p>
        </w:tc>
        <w:tc>
          <w:tcPr>
            <w:tcW w:w="841"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2.5 hrs.;</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$333.45</w:t>
            </w:r>
          </w:p>
        </w:tc>
        <w:tc>
          <w:tcPr>
            <w:tcW w:w="748"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$33.35</w:t>
            </w:r>
          </w:p>
        </w:tc>
      </w:tr>
      <w:tr w:rsidRPr="00086A63" w:rsidR="00086A63" w:rsidTr="00D23616">
        <w:trPr>
          <w:cantSplit/>
          <w:trHeight w:val="430"/>
        </w:trPr>
        <w:tc>
          <w:tcPr>
            <w:tcW w:w="748" w:type="pct"/>
            <w:tcBorders>
              <w:top w:val="single" w:color="auto" w:sz="4" w:space="0"/>
              <w:left w:val="single" w:color="auto" w:sz="4" w:space="0"/>
              <w:bottom w:val="single" w:color="auto" w:sz="4" w:space="0"/>
              <w:right w:val="single" w:color="auto" w:sz="4" w:space="0"/>
            </w:tcBorders>
            <w:hideMark/>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TOTAL</w:t>
            </w:r>
          </w:p>
        </w:tc>
        <w:tc>
          <w:tcPr>
            <w:tcW w:w="560" w:type="pct"/>
            <w:tcBorders>
              <w:top w:val="single" w:color="auto" w:sz="4" w:space="0"/>
              <w:left w:val="single" w:color="auto" w:sz="4" w:space="0"/>
              <w:bottom w:val="single" w:color="auto" w:sz="4" w:space="0"/>
              <w:right w:val="single" w:color="auto" w:sz="4" w:space="0"/>
            </w:tcBorders>
            <w:shd w:val="clear" w:color="auto" w:fill="auto"/>
            <w:vAlign w:val="bottom"/>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82</w:t>
            </w:r>
          </w:p>
        </w:tc>
        <w:tc>
          <w:tcPr>
            <w:tcW w:w="2103" w:type="pct"/>
            <w:gridSpan w:val="3"/>
            <w:tcBorders>
              <w:top w:val="single" w:color="auto" w:sz="4" w:space="0"/>
              <w:left w:val="single" w:color="auto" w:sz="4" w:space="0"/>
              <w:bottom w:val="single" w:color="auto" w:sz="4" w:space="0"/>
              <w:right w:val="single" w:color="auto" w:sz="4" w:space="0"/>
            </w:tcBorders>
            <w:shd w:val="clear" w:color="auto" w:fill="D9D9D9"/>
            <w:vAlign w:val="bottom"/>
          </w:tcPr>
          <w:p w:rsidRPr="00086A63" w:rsidR="00086A63" w:rsidP="00086A63" w:rsidRDefault="00086A63">
            <w:pPr>
              <w:rPr>
                <w:rFonts w:ascii="Times New Roman" w:hAnsi="Times New Roman" w:cs="Times New Roman"/>
                <w:sz w:val="24"/>
                <w:szCs w:val="24"/>
              </w:rPr>
            </w:pPr>
          </w:p>
        </w:tc>
        <w:tc>
          <w:tcPr>
            <w:tcW w:w="841" w:type="pct"/>
            <w:tcBorders>
              <w:top w:val="single" w:color="auto" w:sz="4" w:space="0"/>
              <w:left w:val="single" w:color="auto" w:sz="4" w:space="0"/>
              <w:bottom w:val="single" w:color="auto" w:sz="4" w:space="0"/>
              <w:right w:val="single" w:color="auto" w:sz="4" w:space="0"/>
            </w:tcBorders>
            <w:vAlign w:val="bottom"/>
            <w:hideMark/>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58 hrs.; $7,736.04</w:t>
            </w:r>
          </w:p>
        </w:tc>
        <w:tc>
          <w:tcPr>
            <w:tcW w:w="748" w:type="pct"/>
            <w:tcBorders>
              <w:top w:val="single" w:color="auto" w:sz="4" w:space="0"/>
              <w:left w:val="single" w:color="auto" w:sz="4" w:space="0"/>
              <w:bottom w:val="single" w:color="auto" w:sz="4" w:space="0"/>
              <w:right w:val="single" w:color="auto" w:sz="4" w:space="0"/>
            </w:tcBorders>
            <w:shd w:val="clear" w:color="auto" w:fill="D9D9D9"/>
            <w:vAlign w:val="bottom"/>
          </w:tcPr>
          <w:p w:rsidRPr="00086A63" w:rsidR="00086A63" w:rsidP="00086A63" w:rsidRDefault="00086A63">
            <w:pPr>
              <w:rPr>
                <w:rFonts w:ascii="Times New Roman" w:hAnsi="Times New Roman" w:cs="Times New Roman"/>
                <w:sz w:val="24"/>
                <w:szCs w:val="24"/>
              </w:rPr>
            </w:pPr>
          </w:p>
        </w:tc>
      </w:tr>
    </w:tbl>
    <w:p w:rsidRPr="00086A63" w:rsidR="00086A63" w:rsidP="00086A63" w:rsidRDefault="00086A63">
      <w:pPr>
        <w:rPr>
          <w:rFonts w:ascii="Times New Roman" w:hAnsi="Times New Roman" w:cs="Times New Roman"/>
          <w:sz w:val="24"/>
          <w:szCs w:val="24"/>
        </w:rPr>
      </w:pP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ESTIMATE OF THE TOTAL ANNUAL COST BURDEN TO RESPONDENT</w:t>
      </w:r>
      <w:r w:rsidRPr="00086A63">
        <w:rPr>
          <w:rFonts w:ascii="Times New Roman" w:hAnsi="Times New Roman" w:cs="Times New Roman"/>
          <w:b/>
          <w:sz w:val="24"/>
          <w:szCs w:val="24"/>
        </w:rPr>
        <w:t>S</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There are no non-labor costs currently associated with FERC-576.</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lastRenderedPageBreak/>
        <w:t>All costs are associated with burden hours (labor) for both information collections and are addressed in Question #12 and Question #15.</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ESTIMATED ANNUALIZED COST TO FEDERAL GOVERNMENT</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bCs/>
          <w:sz w:val="24"/>
          <w:szCs w:val="24"/>
        </w:rPr>
        <w:t>The estimated annualized cost to the Federal Government for FERC-576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0"/>
        <w:gridCol w:w="3118"/>
        <w:gridCol w:w="3102"/>
      </w:tblGrid>
      <w:tr w:rsidRPr="00086A63" w:rsidR="00086A63" w:rsidTr="00D23616">
        <w:trPr>
          <w:tblHeader/>
        </w:trPr>
        <w:tc>
          <w:tcPr>
            <w:tcW w:w="3130" w:type="dxa"/>
            <w:shd w:val="clear" w:color="auto" w:fill="CCCCCC"/>
          </w:tcPr>
          <w:p w:rsidRPr="00086A63" w:rsidR="00086A63" w:rsidP="00086A63" w:rsidRDefault="00086A63">
            <w:pPr>
              <w:rPr>
                <w:rFonts w:ascii="Times New Roman" w:hAnsi="Times New Roman" w:cs="Times New Roman"/>
                <w:sz w:val="24"/>
                <w:szCs w:val="24"/>
              </w:rPr>
            </w:pPr>
          </w:p>
        </w:tc>
        <w:tc>
          <w:tcPr>
            <w:tcW w:w="3118" w:type="dxa"/>
            <w:shd w:val="clear" w:color="auto" w:fill="CCCCCC"/>
            <w:vAlign w:val="bottom"/>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Number of FTE’s</w:t>
            </w:r>
          </w:p>
        </w:tc>
        <w:tc>
          <w:tcPr>
            <w:tcW w:w="3102" w:type="dxa"/>
            <w:shd w:val="clear" w:color="auto" w:fill="CCCCCC"/>
            <w:vAlign w:val="bottom"/>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Estimated Annual Federal Cost ($)</w:t>
            </w:r>
          </w:p>
        </w:tc>
      </w:tr>
      <w:tr w:rsidRPr="00086A63" w:rsidR="00086A63" w:rsidTr="00D23616">
        <w:trPr>
          <w:tblHeader/>
        </w:trPr>
        <w:tc>
          <w:tcPr>
            <w:tcW w:w="3130" w:type="dxa"/>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PRA</w:t>
            </w:r>
            <w:r w:rsidRPr="009A5517" w:rsidR="00ED4869">
              <w:rPr>
                <w:rStyle w:val="FootnoteReference"/>
                <w:rFonts w:ascii="Times New Roman" w:hAnsi="Times New Roman" w:cs="Times New Roman"/>
                <w:sz w:val="24"/>
                <w:szCs w:val="24"/>
                <w:vertAlign w:val="superscript"/>
              </w:rPr>
              <w:footnoteReference w:id="9"/>
            </w:r>
            <w:r w:rsidRPr="00086A63">
              <w:rPr>
                <w:rFonts w:ascii="Times New Roman" w:hAnsi="Times New Roman" w:cs="Times New Roman"/>
                <w:b/>
                <w:i/>
                <w:iCs/>
                <w:sz w:val="24"/>
                <w:szCs w:val="24"/>
              </w:rPr>
              <w:t xml:space="preserve"> </w:t>
            </w:r>
            <w:r w:rsidRPr="00086A63">
              <w:rPr>
                <w:rFonts w:ascii="Times New Roman" w:hAnsi="Times New Roman" w:cs="Times New Roman"/>
                <w:sz w:val="24"/>
                <w:szCs w:val="24"/>
              </w:rPr>
              <w:t>Administration Cost</w:t>
            </w:r>
          </w:p>
        </w:tc>
        <w:tc>
          <w:tcPr>
            <w:tcW w:w="3118" w:type="dxa"/>
            <w:shd w:val="clear" w:color="auto" w:fill="FFFFFF"/>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w:t>
            </w:r>
          </w:p>
        </w:tc>
        <w:tc>
          <w:tcPr>
            <w:tcW w:w="3102"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$6,475.00</w:t>
            </w:r>
          </w:p>
        </w:tc>
      </w:tr>
      <w:tr w:rsidRPr="00086A63" w:rsidR="00086A63" w:rsidTr="00D23616">
        <w:trPr>
          <w:tblHeader/>
        </w:trPr>
        <w:tc>
          <w:tcPr>
            <w:tcW w:w="3130" w:type="dxa"/>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Data Processing and Analysis for FERC-576</w:t>
            </w:r>
            <w:r w:rsidRPr="009A5517" w:rsidR="009A5517">
              <w:rPr>
                <w:rStyle w:val="FootnoteReference"/>
                <w:rFonts w:ascii="Times New Roman" w:hAnsi="Times New Roman" w:cs="Times New Roman"/>
                <w:sz w:val="24"/>
                <w:szCs w:val="24"/>
                <w:vertAlign w:val="superscript"/>
              </w:rPr>
              <w:footnoteReference w:id="10"/>
            </w:r>
          </w:p>
        </w:tc>
        <w:tc>
          <w:tcPr>
            <w:tcW w:w="3118"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0.04</w:t>
            </w:r>
          </w:p>
        </w:tc>
        <w:tc>
          <w:tcPr>
            <w:tcW w:w="3102"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$6,893.16</w:t>
            </w:r>
          </w:p>
        </w:tc>
      </w:tr>
      <w:tr w:rsidRPr="00086A63" w:rsidR="00086A63" w:rsidTr="00D23616">
        <w:trPr>
          <w:tblHeader/>
        </w:trPr>
        <w:tc>
          <w:tcPr>
            <w:tcW w:w="3130" w:type="dxa"/>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FERC Total</w:t>
            </w:r>
          </w:p>
        </w:tc>
        <w:tc>
          <w:tcPr>
            <w:tcW w:w="3118" w:type="dxa"/>
            <w:vAlign w:val="center"/>
          </w:tcPr>
          <w:p w:rsidRPr="00086A63" w:rsidR="00086A63" w:rsidP="00086A63" w:rsidRDefault="00086A63">
            <w:pPr>
              <w:rPr>
                <w:rFonts w:ascii="Times New Roman" w:hAnsi="Times New Roman" w:cs="Times New Roman"/>
                <w:sz w:val="24"/>
                <w:szCs w:val="24"/>
              </w:rPr>
            </w:pPr>
          </w:p>
        </w:tc>
        <w:tc>
          <w:tcPr>
            <w:tcW w:w="3102"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$13,368.16</w:t>
            </w:r>
          </w:p>
        </w:tc>
      </w:tr>
    </w:tbl>
    <w:p w:rsidR="00ED4869" w:rsidP="00086A63" w:rsidRDefault="00ED4869">
      <w:pPr>
        <w:rPr>
          <w:rFonts w:ascii="Times New Roman" w:hAnsi="Times New Roman" w:cs="Times New Roman"/>
          <w:sz w:val="24"/>
          <w:szCs w:val="24"/>
        </w:rPr>
      </w:pPr>
      <w:bookmarkStart w:name="_Hlk76033842" w:id="2"/>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bookmarkEnd w:id="2"/>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REASONS FOR CHANGES IN BURDEN INCLUDING THE NEED FOR ANY INCREASE</w:t>
      </w:r>
    </w:p>
    <w:p w:rsidRPr="00086A63" w:rsidR="00086A63" w:rsidP="00086A63" w:rsidRDefault="00086A63">
      <w:pPr>
        <w:rPr>
          <w:rFonts w:ascii="Times New Roman" w:hAnsi="Times New Roman" w:cs="Times New Roman"/>
          <w:bCs/>
          <w:sz w:val="24"/>
          <w:szCs w:val="24"/>
        </w:rPr>
      </w:pPr>
      <w:r w:rsidRPr="00086A63">
        <w:rPr>
          <w:rFonts w:ascii="Times New Roman" w:hAnsi="Times New Roman" w:cs="Times New Roman"/>
          <w:sz w:val="24"/>
          <w:szCs w:val="24"/>
        </w:rPr>
        <w:t>For FERC-576, there is a decrease from 147 respondents to 82 respondents</w:t>
      </w:r>
      <w:r w:rsidR="004F1E39">
        <w:rPr>
          <w:rFonts w:ascii="Times New Roman" w:hAnsi="Times New Roman" w:cs="Times New Roman"/>
          <w:sz w:val="24"/>
          <w:szCs w:val="24"/>
        </w:rPr>
        <w:t xml:space="preserve">.  </w:t>
      </w:r>
      <w:bookmarkStart w:name="_GoBack" w:id="3"/>
      <w:bookmarkEnd w:id="3"/>
      <w:r w:rsidRPr="00086A63">
        <w:rPr>
          <w:rFonts w:ascii="Times New Roman" w:hAnsi="Times New Roman" w:cs="Times New Roman"/>
          <w:bCs/>
          <w:sz w:val="24"/>
          <w:szCs w:val="24"/>
        </w:rPr>
        <w:t xml:space="preserve">The change in burden hours and number responses for </w:t>
      </w:r>
      <w:r w:rsidR="009A5517">
        <w:rPr>
          <w:rFonts w:ascii="Times New Roman" w:hAnsi="Times New Roman" w:cs="Times New Roman"/>
          <w:bCs/>
          <w:sz w:val="24"/>
          <w:szCs w:val="24"/>
        </w:rPr>
        <w:t>FERC</w:t>
      </w:r>
      <w:r w:rsidRPr="00086A63">
        <w:rPr>
          <w:rFonts w:ascii="Times New Roman" w:hAnsi="Times New Roman" w:cs="Times New Roman"/>
          <w:bCs/>
          <w:sz w:val="24"/>
          <w:szCs w:val="24"/>
        </w:rPr>
        <w:t xml:space="preserve">-576 </w:t>
      </w:r>
      <w:r w:rsidR="009A5517">
        <w:rPr>
          <w:rFonts w:ascii="Times New Roman" w:hAnsi="Times New Roman" w:cs="Times New Roman"/>
          <w:bCs/>
          <w:sz w:val="24"/>
          <w:szCs w:val="24"/>
        </w:rPr>
        <w:t>is</w:t>
      </w:r>
      <w:r w:rsidRPr="00086A63">
        <w:rPr>
          <w:rFonts w:ascii="Times New Roman" w:hAnsi="Times New Roman" w:cs="Times New Roman"/>
          <w:bCs/>
          <w:sz w:val="24"/>
          <w:szCs w:val="24"/>
        </w:rPr>
        <w:t xml:space="preserve"> based on the average number of respondents over the past three years which provides a more accurate estimate based on agency adjustment. As this is based on historical data, the agency could revise these burdens up or down in subsequent reporting.</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The Commission estimates the annual public reporting burden for FERC-576 is:</w:t>
      </w: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086A63" w:rsidR="00086A63" w:rsidTr="00D23616">
        <w:trPr>
          <w:trHeight w:val="870"/>
        </w:trPr>
        <w:tc>
          <w:tcPr>
            <w:tcW w:w="2589" w:type="dxa"/>
            <w:shd w:val="clear" w:color="auto" w:fill="D9D9D9"/>
            <w:vAlign w:val="bottom"/>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FERC-576</w:t>
            </w:r>
          </w:p>
        </w:tc>
        <w:tc>
          <w:tcPr>
            <w:tcW w:w="1779" w:type="dxa"/>
            <w:shd w:val="clear" w:color="auto" w:fill="D9D9D9"/>
            <w:vAlign w:val="bottom"/>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Total Request</w:t>
            </w:r>
          </w:p>
        </w:tc>
        <w:tc>
          <w:tcPr>
            <w:tcW w:w="1959" w:type="dxa"/>
            <w:shd w:val="clear" w:color="auto" w:fill="D9D9D9"/>
            <w:vAlign w:val="bottom"/>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Previously Approved</w:t>
            </w:r>
          </w:p>
        </w:tc>
        <w:tc>
          <w:tcPr>
            <w:tcW w:w="1683" w:type="dxa"/>
            <w:shd w:val="clear" w:color="auto" w:fill="D9D9D9"/>
            <w:vAlign w:val="bottom"/>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Change due to Adjustment in Estimate</w:t>
            </w:r>
          </w:p>
        </w:tc>
        <w:tc>
          <w:tcPr>
            <w:tcW w:w="1357" w:type="dxa"/>
            <w:shd w:val="clear" w:color="auto" w:fill="D9D9D9"/>
            <w:vAlign w:val="bottom"/>
          </w:tcPr>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b/>
                <w:sz w:val="24"/>
                <w:szCs w:val="24"/>
              </w:rPr>
              <w:t>Change Due to Agency Discretion</w:t>
            </w:r>
          </w:p>
        </w:tc>
      </w:tr>
      <w:tr w:rsidRPr="00086A63" w:rsidR="00086A63" w:rsidTr="00D23616">
        <w:trPr>
          <w:trHeight w:val="591"/>
        </w:trPr>
        <w:tc>
          <w:tcPr>
            <w:tcW w:w="2589" w:type="dxa"/>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lastRenderedPageBreak/>
              <w:t>Annual Number of Responses</w:t>
            </w:r>
          </w:p>
        </w:tc>
        <w:tc>
          <w:tcPr>
            <w:tcW w:w="1779"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82</w:t>
            </w:r>
          </w:p>
        </w:tc>
        <w:tc>
          <w:tcPr>
            <w:tcW w:w="1959"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147</w:t>
            </w:r>
          </w:p>
        </w:tc>
        <w:tc>
          <w:tcPr>
            <w:tcW w:w="1683"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-65</w:t>
            </w:r>
          </w:p>
        </w:tc>
        <w:tc>
          <w:tcPr>
            <w:tcW w:w="1357"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w:t>
            </w:r>
          </w:p>
        </w:tc>
      </w:tr>
      <w:tr w:rsidRPr="00086A63" w:rsidR="00086A63" w:rsidTr="00D23616">
        <w:trPr>
          <w:trHeight w:val="575"/>
        </w:trPr>
        <w:tc>
          <w:tcPr>
            <w:tcW w:w="2589" w:type="dxa"/>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Annual Time Burden (</w:t>
            </w:r>
            <w:proofErr w:type="spellStart"/>
            <w:r w:rsidRPr="00086A63">
              <w:rPr>
                <w:rFonts w:ascii="Times New Roman" w:hAnsi="Times New Roman" w:cs="Times New Roman"/>
                <w:sz w:val="24"/>
                <w:szCs w:val="24"/>
              </w:rPr>
              <w:t>Hr</w:t>
            </w:r>
            <w:proofErr w:type="spellEnd"/>
            <w:r w:rsidRPr="00086A63">
              <w:rPr>
                <w:rFonts w:ascii="Times New Roman" w:hAnsi="Times New Roman" w:cs="Times New Roman"/>
                <w:sz w:val="24"/>
                <w:szCs w:val="24"/>
              </w:rPr>
              <w:t>)</w:t>
            </w:r>
          </w:p>
        </w:tc>
        <w:tc>
          <w:tcPr>
            <w:tcW w:w="1779"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58</w:t>
            </w:r>
          </w:p>
        </w:tc>
        <w:tc>
          <w:tcPr>
            <w:tcW w:w="1959"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84</w:t>
            </w:r>
          </w:p>
        </w:tc>
        <w:tc>
          <w:tcPr>
            <w:tcW w:w="1683"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-26</w:t>
            </w:r>
          </w:p>
        </w:tc>
        <w:tc>
          <w:tcPr>
            <w:tcW w:w="1357"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w:t>
            </w:r>
          </w:p>
        </w:tc>
      </w:tr>
      <w:tr w:rsidRPr="00086A63" w:rsidR="00086A63" w:rsidTr="00D23616">
        <w:trPr>
          <w:trHeight w:val="295"/>
        </w:trPr>
        <w:tc>
          <w:tcPr>
            <w:tcW w:w="2589" w:type="dxa"/>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Annual Cost Burden ($)</w:t>
            </w:r>
          </w:p>
        </w:tc>
        <w:tc>
          <w:tcPr>
            <w:tcW w:w="1779"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w:t>
            </w:r>
          </w:p>
        </w:tc>
        <w:tc>
          <w:tcPr>
            <w:tcW w:w="1959"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w:t>
            </w:r>
          </w:p>
        </w:tc>
        <w:tc>
          <w:tcPr>
            <w:tcW w:w="1683"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w:t>
            </w:r>
          </w:p>
        </w:tc>
        <w:tc>
          <w:tcPr>
            <w:tcW w:w="1357" w:type="dxa"/>
            <w:vAlign w:val="center"/>
          </w:tcPr>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$0</w:t>
            </w:r>
          </w:p>
        </w:tc>
      </w:tr>
    </w:tbl>
    <w:p w:rsidRPr="00086A63" w:rsidR="00086A63" w:rsidP="00086A63" w:rsidRDefault="00086A63">
      <w:pPr>
        <w:rPr>
          <w:rFonts w:ascii="Times New Roman" w:hAnsi="Times New Roman" w:cs="Times New Roman"/>
          <w:b/>
          <w:bCs/>
          <w:sz w:val="24"/>
          <w:szCs w:val="24"/>
        </w:rPr>
      </w:pP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TIME SCHEDULE FOR THE PUBLICATION OF DATA</w:t>
      </w:r>
    </w:p>
    <w:p w:rsidRPr="00086A63" w:rsidR="00086A63" w:rsidP="00086A63" w:rsidRDefault="00086A63">
      <w:pPr>
        <w:rPr>
          <w:rFonts w:ascii="Times New Roman" w:hAnsi="Times New Roman" w:cs="Times New Roman"/>
          <w:bCs/>
          <w:sz w:val="24"/>
          <w:szCs w:val="24"/>
        </w:rPr>
      </w:pPr>
      <w:r w:rsidRPr="00086A63">
        <w:rPr>
          <w:rFonts w:ascii="Times New Roman" w:hAnsi="Times New Roman" w:cs="Times New Roman"/>
          <w:bCs/>
          <w:sz w:val="24"/>
          <w:szCs w:val="24"/>
        </w:rPr>
        <w:t>There is no publication of data associated with FERC-5</w:t>
      </w:r>
      <w:r w:rsidR="00EE2637">
        <w:rPr>
          <w:rFonts w:ascii="Times New Roman" w:hAnsi="Times New Roman" w:cs="Times New Roman"/>
          <w:bCs/>
          <w:sz w:val="24"/>
          <w:szCs w:val="24"/>
        </w:rPr>
        <w:t>76</w:t>
      </w:r>
      <w:r w:rsidRPr="00086A63">
        <w:rPr>
          <w:rFonts w:ascii="Times New Roman" w:hAnsi="Times New Roman" w:cs="Times New Roman"/>
          <w:bCs/>
          <w:sz w:val="24"/>
          <w:szCs w:val="24"/>
        </w:rPr>
        <w:t xml:space="preserve"> information collection</w:t>
      </w:r>
      <w:r w:rsidR="009A5517">
        <w:rPr>
          <w:rFonts w:ascii="Times New Roman" w:hAnsi="Times New Roman" w:cs="Times New Roman"/>
          <w:bCs/>
          <w:sz w:val="24"/>
          <w:szCs w:val="24"/>
        </w:rPr>
        <w:t>.</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DISPLAY OF THE EXPIRATION DATE</w:t>
      </w:r>
    </w:p>
    <w:p w:rsidRPr="00086A63" w:rsidR="00086A63" w:rsidP="00086A63" w:rsidRDefault="00086A63">
      <w:pPr>
        <w:rPr>
          <w:rFonts w:ascii="Times New Roman" w:hAnsi="Times New Roman" w:cs="Times New Roman"/>
          <w:sz w:val="24"/>
          <w:szCs w:val="24"/>
        </w:rPr>
      </w:pPr>
      <w:r w:rsidRPr="00086A63">
        <w:rPr>
          <w:rFonts w:ascii="Times New Roman" w:hAnsi="Times New Roman" w:cs="Times New Roman"/>
          <w:sz w:val="24"/>
          <w:szCs w:val="24"/>
        </w:rPr>
        <w:t xml:space="preserve">The OMB expiration dates are displayed at </w:t>
      </w:r>
      <w:hyperlink w:history="1" r:id="rId11">
        <w:r w:rsidRPr="00086A63">
          <w:rPr>
            <w:rStyle w:val="Hyperlink"/>
            <w:rFonts w:ascii="Times New Roman" w:hAnsi="Times New Roman" w:cs="Times New Roman"/>
            <w:sz w:val="24"/>
            <w:szCs w:val="24"/>
          </w:rPr>
          <w:t>https://www.ferc.gov/enforcement-legal/legal/information-collections</w:t>
        </w:r>
      </w:hyperlink>
      <w:r w:rsidRPr="00086A63">
        <w:rPr>
          <w:rFonts w:ascii="Times New Roman" w:hAnsi="Times New Roman" w:cs="Times New Roman"/>
          <w:sz w:val="24"/>
          <w:szCs w:val="24"/>
        </w:rPr>
        <w:t xml:space="preserve"> </w:t>
      </w:r>
    </w:p>
    <w:p w:rsidRPr="00086A63" w:rsidR="00086A63" w:rsidP="00086A63" w:rsidRDefault="00086A63">
      <w:pPr>
        <w:numPr>
          <w:ilvl w:val="0"/>
          <w:numId w:val="1"/>
        </w:numPr>
        <w:rPr>
          <w:rFonts w:ascii="Times New Roman" w:hAnsi="Times New Roman" w:cs="Times New Roman"/>
          <w:sz w:val="24"/>
          <w:szCs w:val="24"/>
        </w:rPr>
      </w:pPr>
      <w:r w:rsidRPr="00086A63">
        <w:rPr>
          <w:rFonts w:ascii="Times New Roman" w:hAnsi="Times New Roman" w:cs="Times New Roman"/>
          <w:b/>
          <w:bCs/>
          <w:sz w:val="24"/>
          <w:szCs w:val="24"/>
        </w:rPr>
        <w:t>EXCEPTIONS TO THE CERTIFICATION STATEMENT</w:t>
      </w:r>
    </w:p>
    <w:p w:rsidRPr="00086A63" w:rsidR="00086A63" w:rsidP="00086A63" w:rsidRDefault="00086A63">
      <w:pPr>
        <w:rPr>
          <w:rFonts w:ascii="Times New Roman" w:hAnsi="Times New Roman" w:cs="Times New Roman"/>
          <w:b/>
          <w:sz w:val="24"/>
          <w:szCs w:val="24"/>
        </w:rPr>
      </w:pPr>
      <w:r w:rsidRPr="00086A63">
        <w:rPr>
          <w:rFonts w:ascii="Times New Roman" w:hAnsi="Times New Roman" w:cs="Times New Roman"/>
          <w:sz w:val="24"/>
          <w:szCs w:val="24"/>
        </w:rPr>
        <w:t>There are no exceptions.</w:t>
      </w:r>
    </w:p>
    <w:p w:rsidRPr="00086A63" w:rsidR="00086A63" w:rsidP="00086A63" w:rsidRDefault="00086A63">
      <w:pPr>
        <w:rPr>
          <w:rFonts w:ascii="Times New Roman" w:hAnsi="Times New Roman" w:cs="Times New Roman"/>
          <w:sz w:val="24"/>
          <w:szCs w:val="24"/>
        </w:rPr>
      </w:pPr>
    </w:p>
    <w:p w:rsidRPr="00086A63" w:rsidR="00086A63" w:rsidP="00086A63" w:rsidRDefault="00086A63">
      <w:pPr>
        <w:rPr>
          <w:rFonts w:ascii="Times New Roman" w:hAnsi="Times New Roman" w:cs="Times New Roman"/>
          <w:sz w:val="24"/>
          <w:szCs w:val="24"/>
        </w:rPr>
      </w:pPr>
    </w:p>
    <w:sectPr w:rsidRPr="00086A63" w:rsidR="00086A6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E16" w:rsidRDefault="00313E16" w:rsidP="00766DBA">
      <w:pPr>
        <w:spacing w:after="0" w:line="240" w:lineRule="auto"/>
      </w:pPr>
      <w:r>
        <w:separator/>
      </w:r>
    </w:p>
  </w:endnote>
  <w:endnote w:type="continuationSeparator" w:id="0">
    <w:p w:rsidR="00313E16" w:rsidRDefault="00313E16" w:rsidP="0076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E16" w:rsidRDefault="00313E16" w:rsidP="00766DBA">
      <w:pPr>
        <w:spacing w:after="0" w:line="240" w:lineRule="auto"/>
      </w:pPr>
      <w:r>
        <w:separator/>
      </w:r>
    </w:p>
  </w:footnote>
  <w:footnote w:type="continuationSeparator" w:id="0">
    <w:p w:rsidR="00313E16" w:rsidRDefault="00313E16" w:rsidP="00766DBA">
      <w:pPr>
        <w:spacing w:after="0" w:line="240" w:lineRule="auto"/>
      </w:pPr>
      <w:r>
        <w:continuationSeparator/>
      </w:r>
    </w:p>
  </w:footnote>
  <w:footnote w:id="1">
    <w:p w:rsidR="00086A63" w:rsidRPr="009500D7" w:rsidRDefault="00086A63" w:rsidP="00086A63">
      <w:pPr>
        <w:pStyle w:val="FootnoteText"/>
        <w:rPr>
          <w:rFonts w:ascii="Times New Roman" w:hAnsi="Times New Roman" w:cs="Times New Roman"/>
          <w:sz w:val="24"/>
          <w:szCs w:val="24"/>
        </w:rPr>
      </w:pPr>
      <w:r w:rsidRPr="009500D7">
        <w:rPr>
          <w:rStyle w:val="FootnoteReference"/>
          <w:rFonts w:ascii="Times New Roman" w:hAnsi="Times New Roman" w:cs="Times New Roman"/>
          <w:sz w:val="24"/>
          <w:szCs w:val="24"/>
          <w:vertAlign w:val="superscript"/>
        </w:rPr>
        <w:footnoteRef/>
      </w:r>
      <w:r w:rsidRPr="009500D7">
        <w:rPr>
          <w:rFonts w:ascii="Times New Roman" w:hAnsi="Times New Roman" w:cs="Times New Roman"/>
          <w:sz w:val="24"/>
          <w:szCs w:val="24"/>
        </w:rPr>
        <w:t xml:space="preserve"> 18 CFR 157.17</w:t>
      </w:r>
    </w:p>
  </w:footnote>
  <w:footnote w:id="2">
    <w:p w:rsidR="00086A63" w:rsidRPr="00F07C6E" w:rsidRDefault="00086A63" w:rsidP="00086A63">
      <w:pPr>
        <w:pStyle w:val="FootnoteText"/>
        <w:rPr>
          <w:rFonts w:ascii="Times New Roman" w:hAnsi="Times New Roman" w:cs="Times New Roman"/>
          <w:sz w:val="22"/>
          <w:szCs w:val="22"/>
          <w:lang w:val="fr-FR"/>
        </w:rPr>
      </w:pPr>
      <w:r w:rsidRPr="009500D7">
        <w:rPr>
          <w:rStyle w:val="FootnoteReference"/>
          <w:rFonts w:ascii="Times New Roman" w:hAnsi="Times New Roman" w:cs="Times New Roman"/>
          <w:sz w:val="24"/>
          <w:szCs w:val="24"/>
          <w:vertAlign w:val="superscript"/>
        </w:rPr>
        <w:footnoteRef/>
      </w:r>
      <w:r w:rsidRPr="009500D7">
        <w:rPr>
          <w:rFonts w:ascii="Times New Roman" w:hAnsi="Times New Roman" w:cs="Times New Roman"/>
          <w:sz w:val="24"/>
          <w:szCs w:val="24"/>
          <w:vertAlign w:val="superscript"/>
          <w:lang w:val="fr-FR"/>
        </w:rPr>
        <w:t xml:space="preserve"> </w:t>
      </w:r>
      <w:r w:rsidRPr="009500D7">
        <w:rPr>
          <w:rFonts w:ascii="Times New Roman" w:hAnsi="Times New Roman" w:cs="Times New Roman"/>
          <w:sz w:val="24"/>
          <w:szCs w:val="24"/>
          <w:lang w:val="fr-FR"/>
        </w:rPr>
        <w:t>15 USC 717f(c)</w:t>
      </w:r>
    </w:p>
  </w:footnote>
  <w:footnote w:id="3">
    <w:p w:rsidR="00086A63" w:rsidRPr="009500D7" w:rsidRDefault="00086A63" w:rsidP="00086A63">
      <w:pPr>
        <w:pStyle w:val="FootnoteText"/>
        <w:rPr>
          <w:rFonts w:ascii="Times New Roman" w:hAnsi="Times New Roman" w:cs="Times New Roman"/>
          <w:sz w:val="24"/>
          <w:szCs w:val="24"/>
        </w:rPr>
      </w:pPr>
      <w:r w:rsidRPr="009500D7">
        <w:rPr>
          <w:rStyle w:val="FootnoteReference"/>
          <w:rFonts w:ascii="Times New Roman" w:hAnsi="Times New Roman" w:cs="Times New Roman"/>
          <w:sz w:val="24"/>
          <w:szCs w:val="24"/>
          <w:vertAlign w:val="superscript"/>
        </w:rPr>
        <w:footnoteRef/>
      </w:r>
      <w:r w:rsidRPr="009500D7">
        <w:rPr>
          <w:rFonts w:ascii="Times New Roman" w:hAnsi="Times New Roman" w:cs="Times New Roman"/>
          <w:sz w:val="24"/>
          <w:szCs w:val="24"/>
          <w:vertAlign w:val="superscript"/>
        </w:rPr>
        <w:t xml:space="preserve"> </w:t>
      </w:r>
      <w:r w:rsidRPr="009500D7">
        <w:rPr>
          <w:rFonts w:ascii="Times New Roman" w:hAnsi="Times New Roman" w:cs="Times New Roman"/>
          <w:sz w:val="24"/>
          <w:szCs w:val="24"/>
        </w:rPr>
        <w:t>18 CFR 260.9(a)(1)(i)</w:t>
      </w:r>
    </w:p>
  </w:footnote>
  <w:footnote w:id="4">
    <w:p w:rsidR="00086A63" w:rsidRDefault="00086A63" w:rsidP="00086A63">
      <w:pPr>
        <w:pStyle w:val="FootnoteText"/>
      </w:pPr>
      <w:r w:rsidRPr="009500D7">
        <w:rPr>
          <w:rStyle w:val="FootnoteReference"/>
          <w:rFonts w:ascii="Times New Roman" w:hAnsi="Times New Roman" w:cs="Times New Roman"/>
          <w:sz w:val="24"/>
          <w:szCs w:val="24"/>
          <w:vertAlign w:val="superscript"/>
        </w:rPr>
        <w:footnoteRef/>
      </w:r>
      <w:r w:rsidRPr="009500D7">
        <w:rPr>
          <w:rFonts w:ascii="Times New Roman" w:hAnsi="Times New Roman" w:cs="Times New Roman"/>
          <w:sz w:val="24"/>
          <w:szCs w:val="24"/>
          <w:vertAlign w:val="superscript"/>
        </w:rPr>
        <w:t xml:space="preserve"> </w:t>
      </w:r>
      <w:r w:rsidRPr="009500D7">
        <w:rPr>
          <w:rFonts w:ascii="Times New Roman" w:hAnsi="Times New Roman" w:cs="Times New Roman"/>
          <w:sz w:val="24"/>
          <w:szCs w:val="24"/>
        </w:rPr>
        <w:t>In any instance in which an incident or damage report involving jurisdictional natural gas facilities is required by the Department of Transportation (DOT) reporting requirements under the Natural Gas Pipeline Safety Act of 1968 a copy of such report shall be submitted to the Director within 30 days of the reportable incident.</w:t>
      </w:r>
      <w:r>
        <w:t xml:space="preserve"> </w:t>
      </w:r>
    </w:p>
  </w:footnote>
  <w:footnote w:id="5">
    <w:p w:rsidR="00086A63" w:rsidRPr="00782282" w:rsidRDefault="00086A63" w:rsidP="00086A63">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5 CFR 1320.8(d)</w:t>
      </w:r>
    </w:p>
  </w:footnote>
  <w:footnote w:id="6">
    <w:p w:rsidR="00086A63" w:rsidRPr="00782282" w:rsidRDefault="00086A63" w:rsidP="00086A63">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Burden is defined as the total time, effort, or financial resources expended by persons to generate, maintain, retain, or disclose or provide information to or for a federal agency.  Refer to 5 CFR 1320.3 for additional information.</w:t>
      </w:r>
    </w:p>
  </w:footnote>
  <w:footnote w:id="7">
    <w:p w:rsidR="00086A63" w:rsidRPr="00782282" w:rsidRDefault="00086A63" w:rsidP="00086A63">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The total number of respondents in the currently approved OMB inventory for FERC-576 is 147. Changes to the estimate were based on average number of respondents over the past three years.</w:t>
      </w:r>
    </w:p>
  </w:footnote>
  <w:footnote w:id="8">
    <w:p w:rsidR="00086A63" w:rsidRPr="00782282" w:rsidRDefault="00086A63" w:rsidP="00086A63">
      <w:pPr>
        <w:pStyle w:val="FootnoteText"/>
        <w:rPr>
          <w:rFonts w:ascii="Times New Roman" w:hAnsi="Times New Roman" w:cs="Times New Roman"/>
          <w:sz w:val="24"/>
          <w:szCs w:val="24"/>
        </w:rPr>
      </w:pPr>
      <w:r w:rsidRPr="00782282">
        <w:rPr>
          <w:rStyle w:val="FootnoteReference"/>
          <w:rFonts w:ascii="Times New Roman" w:hAnsi="Times New Roman" w:cs="Times New Roman"/>
          <w:sz w:val="24"/>
          <w:szCs w:val="24"/>
          <w:vertAlign w:val="superscript"/>
        </w:rPr>
        <w:footnoteRef/>
      </w:r>
      <w:r w:rsidRPr="00782282">
        <w:rPr>
          <w:rFonts w:ascii="Times New Roman" w:hAnsi="Times New Roman" w:cs="Times New Roman"/>
          <w:sz w:val="24"/>
          <w:szCs w:val="24"/>
          <w:vertAlign w:val="superscript"/>
        </w:rPr>
        <w:t xml:space="preserve"> </w:t>
      </w:r>
      <w:r w:rsidRPr="00782282">
        <w:rPr>
          <w:rFonts w:ascii="Times New Roman" w:hAnsi="Times New Roman" w:cs="Times New Roman"/>
          <w:sz w:val="24"/>
          <w:szCs w:val="24"/>
        </w:rPr>
        <w:t xml:space="preserve">Costs (for wages and benefits) are based on wage figures from the Bureau of Labor Statistics (BLS) at </w:t>
      </w:r>
      <w:bookmarkStart w:id="1" w:name="_Hlk76053027"/>
      <w:r w:rsidRPr="00782282">
        <w:rPr>
          <w:rFonts w:ascii="Times New Roman" w:hAnsi="Times New Roman" w:cs="Times New Roman"/>
          <w:sz w:val="24"/>
          <w:szCs w:val="24"/>
        </w:rPr>
        <w:t>http://bls.gov/oes/current/naics3_221000.htm, as of June 2021. In the 60-day notice, the costs incorrectly reflected 2020 figures rather than the actual 2021 cost estimates.  The corrected costs are listed above and</w:t>
      </w:r>
      <w:r w:rsidRPr="00CF7DCC">
        <w:rPr>
          <w:rFonts w:ascii="Times New Roman" w:hAnsi="Times New Roman" w:cs="Times New Roman"/>
          <w:sz w:val="22"/>
          <w:szCs w:val="22"/>
        </w:rPr>
        <w:t xml:space="preserve"> </w:t>
      </w:r>
      <w:r w:rsidRPr="00782282">
        <w:rPr>
          <w:rFonts w:ascii="Times New Roman" w:hAnsi="Times New Roman" w:cs="Times New Roman"/>
          <w:sz w:val="24"/>
          <w:szCs w:val="24"/>
        </w:rPr>
        <w:t xml:space="preserve">does not impact the renewal notice for FERC-567.  </w:t>
      </w:r>
      <w:bookmarkEnd w:id="1"/>
      <w:r w:rsidRPr="00782282">
        <w:rPr>
          <w:rFonts w:ascii="Times New Roman" w:hAnsi="Times New Roman" w:cs="Times New Roman"/>
          <w:sz w:val="24"/>
          <w:szCs w:val="24"/>
        </w:rPr>
        <w:t xml:space="preserve">Commission staff estimates that 20% of the work is performed by a manager, and 80% is performed by legal staff. The hourly costs for wages plus benefits are:  </w:t>
      </w:r>
    </w:p>
    <w:p w:rsidR="00086A63" w:rsidRPr="00782282" w:rsidRDefault="00086A63" w:rsidP="00086A63">
      <w:pPr>
        <w:pStyle w:val="FootnoteText"/>
        <w:numPr>
          <w:ilvl w:val="0"/>
          <w:numId w:val="5"/>
        </w:numPr>
        <w:rPr>
          <w:rFonts w:ascii="Times New Roman" w:hAnsi="Times New Roman" w:cs="Times New Roman"/>
          <w:sz w:val="24"/>
          <w:szCs w:val="24"/>
        </w:rPr>
      </w:pPr>
      <w:r w:rsidRPr="00782282">
        <w:rPr>
          <w:rFonts w:ascii="Times New Roman" w:hAnsi="Times New Roman" w:cs="Times New Roman"/>
          <w:sz w:val="24"/>
          <w:szCs w:val="24"/>
        </w:rPr>
        <w:t>Management (Occupational Code: 11-0000) is $97.89</w:t>
      </w:r>
    </w:p>
    <w:p w:rsidR="00086A63" w:rsidRPr="00782282" w:rsidRDefault="00086A63" w:rsidP="00086A63">
      <w:pPr>
        <w:pStyle w:val="FootnoteText"/>
        <w:numPr>
          <w:ilvl w:val="0"/>
          <w:numId w:val="5"/>
        </w:numPr>
        <w:rPr>
          <w:rFonts w:ascii="Times New Roman" w:hAnsi="Times New Roman" w:cs="Times New Roman"/>
          <w:sz w:val="24"/>
          <w:szCs w:val="24"/>
        </w:rPr>
      </w:pPr>
      <w:r w:rsidRPr="00782282">
        <w:rPr>
          <w:rFonts w:ascii="Times New Roman" w:hAnsi="Times New Roman" w:cs="Times New Roman"/>
          <w:sz w:val="24"/>
          <w:szCs w:val="24"/>
        </w:rPr>
        <w:t>Legal (Occupational Code: 23-0000) is $142.25.</w:t>
      </w:r>
    </w:p>
    <w:p w:rsidR="00086A63" w:rsidRPr="00782282" w:rsidRDefault="00086A63" w:rsidP="00086A63">
      <w:pPr>
        <w:pStyle w:val="FootnoteText"/>
        <w:rPr>
          <w:sz w:val="24"/>
          <w:szCs w:val="24"/>
        </w:rPr>
      </w:pPr>
      <w:r w:rsidRPr="00782282">
        <w:rPr>
          <w:rFonts w:ascii="Times New Roman" w:hAnsi="Times New Roman" w:cs="Times New Roman"/>
          <w:sz w:val="24"/>
          <w:szCs w:val="24"/>
        </w:rPr>
        <w:t>Therefore, the weighted hourly cost (for wages plus benefits) is $133.38 [(0.20 * $97.89) + (0.80 * $142.25)].</w:t>
      </w:r>
    </w:p>
  </w:footnote>
  <w:footnote w:id="9">
    <w:p w:rsidR="00ED4869" w:rsidRPr="009A5517" w:rsidRDefault="00ED4869">
      <w:pPr>
        <w:pStyle w:val="FootnoteText"/>
        <w:rPr>
          <w:rFonts w:ascii="Times New Roman" w:hAnsi="Times New Roman" w:cs="Times New Roman"/>
          <w:sz w:val="24"/>
          <w:szCs w:val="24"/>
        </w:rPr>
      </w:pPr>
      <w:r w:rsidRPr="009A5517">
        <w:rPr>
          <w:rStyle w:val="FootnoteReference"/>
          <w:rFonts w:ascii="Times New Roman" w:hAnsi="Times New Roman" w:cs="Times New Roman"/>
          <w:sz w:val="24"/>
          <w:szCs w:val="24"/>
          <w:vertAlign w:val="superscript"/>
        </w:rPr>
        <w:footnoteRef/>
      </w:r>
      <w:r w:rsidRPr="009A5517">
        <w:rPr>
          <w:rFonts w:ascii="Times New Roman" w:hAnsi="Times New Roman" w:cs="Times New Roman"/>
          <w:sz w:val="24"/>
          <w:szCs w:val="24"/>
          <w:vertAlign w:val="superscript"/>
        </w:rPr>
        <w:t xml:space="preserve"> </w:t>
      </w:r>
      <w:r w:rsidRPr="009A5517">
        <w:rPr>
          <w:rFonts w:ascii="Times New Roman" w:hAnsi="Times New Roman" w:cs="Times New Roman"/>
          <w:sz w:val="24"/>
          <w:szCs w:val="24"/>
        </w:rPr>
        <w:t>Paperwork Reduction Act of 1995 (PRA).</w:t>
      </w:r>
    </w:p>
  </w:footnote>
  <w:footnote w:id="10">
    <w:p w:rsidR="009A5517" w:rsidRDefault="009A5517">
      <w:pPr>
        <w:pStyle w:val="FootnoteText"/>
      </w:pPr>
      <w:r w:rsidRPr="009A5517">
        <w:rPr>
          <w:rStyle w:val="FootnoteReference"/>
          <w:rFonts w:ascii="Times New Roman" w:hAnsi="Times New Roman" w:cs="Times New Roman"/>
          <w:sz w:val="24"/>
          <w:szCs w:val="24"/>
          <w:vertAlign w:val="superscript"/>
        </w:rPr>
        <w:footnoteRef/>
      </w:r>
      <w:r w:rsidRPr="009A5517">
        <w:rPr>
          <w:rFonts w:ascii="Times New Roman" w:hAnsi="Times New Roman" w:cs="Times New Roman"/>
          <w:sz w:val="24"/>
          <w:szCs w:val="24"/>
          <w:vertAlign w:val="superscript"/>
        </w:rPr>
        <w:t xml:space="preserve"> </w:t>
      </w:r>
      <w:r w:rsidRPr="009A5517">
        <w:rPr>
          <w:rFonts w:ascii="Times New Roman" w:hAnsi="Times New Roman" w:cs="Times New Roman"/>
          <w:sz w:val="24"/>
          <w:szCs w:val="24"/>
        </w:rPr>
        <w:t>Based on 2020 cost (salary plus benefits) per FTE of $172,329 (for salary plus benefits), the average hourly cost is $83/hour.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DBA" w:rsidRDefault="00766DBA" w:rsidP="00766DBA">
    <w:pPr>
      <w:tabs>
        <w:tab w:val="right" w:pos="10080"/>
      </w:tabs>
      <w:spacing w:after="0" w:line="240" w:lineRule="auto"/>
      <w:rPr>
        <w:rFonts w:ascii="Times New Roman" w:hAnsi="Times New Roman" w:cs="Times New Roman"/>
        <w:sz w:val="26"/>
        <w:szCs w:val="26"/>
      </w:rPr>
    </w:pPr>
    <w:r>
      <w:rPr>
        <w:rFonts w:ascii="Times New Roman" w:hAnsi="Times New Roman" w:cs="Times New Roman"/>
        <w:sz w:val="26"/>
        <w:szCs w:val="26"/>
      </w:rPr>
      <w:t>FERC-576 (OMB Control No. 1902-0004)</w:t>
    </w:r>
  </w:p>
  <w:p w:rsidR="00766DBA" w:rsidRPr="00766DBA" w:rsidRDefault="00766DBA" w:rsidP="00766DBA">
    <w:pPr>
      <w:tabs>
        <w:tab w:val="right" w:pos="10080"/>
      </w:tabs>
      <w:spacing w:after="0" w:line="240" w:lineRule="auto"/>
      <w:rPr>
        <w:rFonts w:ascii="Times New Roman" w:eastAsia="Calibri" w:hAnsi="Times New Roman" w:cs="Times New Roman"/>
        <w:sz w:val="26"/>
        <w:szCs w:val="26"/>
      </w:rPr>
    </w:pPr>
    <w:r w:rsidRPr="00766DBA">
      <w:rPr>
        <w:rFonts w:ascii="Times New Roman" w:eastAsia="Calibri" w:hAnsi="Times New Roman" w:cs="Times New Roman"/>
        <w:sz w:val="26"/>
        <w:szCs w:val="26"/>
      </w:rPr>
      <w:t>Docket No. IC21-27-000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F65"/>
    <w:multiLevelType w:val="hybridMultilevel"/>
    <w:tmpl w:val="91CCAC04"/>
    <w:lvl w:ilvl="0" w:tplc="81FC4286">
      <w:start w:val="1"/>
      <w:numFmt w:val="decimal"/>
      <w:lvlText w:val="%1."/>
      <w:lvlJc w:val="left"/>
      <w:pPr>
        <w:tabs>
          <w:tab w:val="num" w:pos="450"/>
        </w:tabs>
        <w:ind w:left="450" w:hanging="360"/>
      </w:pPr>
      <w:rPr>
        <w:b/>
        <w:bCs/>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21DF21AD"/>
    <w:multiLevelType w:val="hybridMultilevel"/>
    <w:tmpl w:val="2BDA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F0209"/>
    <w:multiLevelType w:val="hybridMultilevel"/>
    <w:tmpl w:val="CE981BE6"/>
    <w:lvl w:ilvl="0" w:tplc="7E4C92B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67974"/>
    <w:multiLevelType w:val="hybridMultilevel"/>
    <w:tmpl w:val="38B4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BA"/>
    <w:rsid w:val="00086A63"/>
    <w:rsid w:val="00195F8E"/>
    <w:rsid w:val="002C26CD"/>
    <w:rsid w:val="00313E16"/>
    <w:rsid w:val="00445D6A"/>
    <w:rsid w:val="004F1E39"/>
    <w:rsid w:val="00766DBA"/>
    <w:rsid w:val="009A5517"/>
    <w:rsid w:val="00B75280"/>
    <w:rsid w:val="00E70336"/>
    <w:rsid w:val="00ED4869"/>
    <w:rsid w:val="00EE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763D"/>
  <w15:chartTrackingRefBased/>
  <w15:docId w15:val="{2F63848D-092B-4A41-9AC3-552D5042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DBA"/>
    <w:rPr>
      <w:rFonts w:ascii="Segoe UI" w:hAnsi="Segoe UI" w:cs="Segoe UI"/>
      <w:sz w:val="18"/>
      <w:szCs w:val="18"/>
    </w:rPr>
  </w:style>
  <w:style w:type="paragraph" w:styleId="Header">
    <w:name w:val="header"/>
    <w:basedOn w:val="Normal"/>
    <w:link w:val="HeaderChar"/>
    <w:uiPriority w:val="99"/>
    <w:unhideWhenUsed/>
    <w:rsid w:val="00766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DBA"/>
  </w:style>
  <w:style w:type="paragraph" w:styleId="Footer">
    <w:name w:val="footer"/>
    <w:basedOn w:val="Normal"/>
    <w:link w:val="FooterChar"/>
    <w:uiPriority w:val="99"/>
    <w:unhideWhenUsed/>
    <w:rsid w:val="00766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DBA"/>
  </w:style>
  <w:style w:type="paragraph" w:styleId="FootnoteText">
    <w:name w:val="footnote text"/>
    <w:aliases w:val="fn,Footnote Text Char Char,Footnote Text Char1 Char,Footnote Text Char Char Char,Char,Footnote Text Char Char1,Footnote Text Char1 Char Char Char1,Footnote Text Char Char Char Char Char1,ft,fn1"/>
    <w:basedOn w:val="Normal"/>
    <w:link w:val="FootnoteTextChar"/>
    <w:uiPriority w:val="99"/>
    <w:semiHidden/>
    <w:unhideWhenUsed/>
    <w:rsid w:val="00086A63"/>
    <w:pPr>
      <w:spacing w:after="0" w:line="240" w:lineRule="auto"/>
    </w:pPr>
    <w:rPr>
      <w:sz w:val="20"/>
      <w:szCs w:val="20"/>
    </w:rPr>
  </w:style>
  <w:style w:type="character" w:customStyle="1" w:styleId="FootnoteTextChar">
    <w:name w:val="Footnote Text Char"/>
    <w:aliases w:val="fn Char,Footnote Text Char Char Char1,Footnote Text Char1 Char Char,Footnote Text Char Char Char Char,Char Char,Footnote Text Char Char1 Char,Footnote Text Char1 Char Char Char1 Char,Footnote Text Char Char Char Char Char1 Char"/>
    <w:basedOn w:val="DefaultParagraphFont"/>
    <w:link w:val="FootnoteText"/>
    <w:uiPriority w:val="99"/>
    <w:semiHidden/>
    <w:rsid w:val="00086A63"/>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86A63"/>
  </w:style>
  <w:style w:type="character" w:styleId="Hyperlink">
    <w:name w:val="Hyperlink"/>
    <w:basedOn w:val="DefaultParagraphFont"/>
    <w:uiPriority w:val="99"/>
    <w:unhideWhenUsed/>
    <w:rsid w:val="00086A63"/>
    <w:rPr>
      <w:color w:val="0563C1" w:themeColor="hyperlink"/>
      <w:u w:val="single"/>
    </w:rPr>
  </w:style>
  <w:style w:type="character" w:styleId="UnresolvedMention">
    <w:name w:val="Unresolved Mention"/>
    <w:basedOn w:val="DefaultParagraphFont"/>
    <w:uiPriority w:val="99"/>
    <w:semiHidden/>
    <w:unhideWhenUsed/>
    <w:rsid w:val="00086A63"/>
    <w:rPr>
      <w:color w:val="605E5C"/>
      <w:shd w:val="clear" w:color="auto" w:fill="E1DFDD"/>
    </w:rPr>
  </w:style>
  <w:style w:type="paragraph" w:styleId="ListParagraph">
    <w:name w:val="List Paragraph"/>
    <w:basedOn w:val="Normal"/>
    <w:uiPriority w:val="34"/>
    <w:qFormat/>
    <w:rsid w:val="00086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peline.outage@fer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c.gov/enforcement-legal/legal/information-collections" TargetMode="External"/><Relationship Id="rId5" Type="http://schemas.openxmlformats.org/officeDocument/2006/relationships/webSettings" Target="webSettings.xml"/><Relationship Id="rId10" Type="http://schemas.openxmlformats.org/officeDocument/2006/relationships/hyperlink" Target="mailto:pipeline.outage@ferc.gov" TargetMode="External"/><Relationship Id="rId4" Type="http://schemas.openxmlformats.org/officeDocument/2006/relationships/settings" Target="settings.xml"/><Relationship Id="rId9" Type="http://schemas.openxmlformats.org/officeDocument/2006/relationships/hyperlink" Target="https://www.ferc.gov/sites/default/files/2020-05/fil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8C63-8F52-428B-8077-70FA348C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3</cp:revision>
  <dcterms:created xsi:type="dcterms:W3CDTF">2021-07-15T18:12:00Z</dcterms:created>
  <dcterms:modified xsi:type="dcterms:W3CDTF">2021-07-21T20:08:00Z</dcterms:modified>
</cp:coreProperties>
</file>