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2FEE0F8D">
      <w:pPr>
        <w:jc w:val="center"/>
      </w:pPr>
      <w:r w:rsidRPr="00AC750B">
        <w:t>[</w:t>
      </w:r>
      <w:r w:rsidR="004E4EAD">
        <w:t xml:space="preserve">Docket No. </w:t>
      </w:r>
      <w:r w:rsidR="003062C2">
        <w:t>IC21-2</w:t>
      </w:r>
      <w:r w:rsidR="005A7903">
        <w:t>0</w:t>
      </w:r>
      <w:r w:rsidR="004E4EAD">
        <w:t>-000</w:t>
      </w:r>
      <w:r w:rsidRPr="00AC750B">
        <w:t>]</w:t>
      </w:r>
    </w:p>
    <w:p w:rsidR="00A2604E" w:rsidP="00A2604E" w:rsidRDefault="00A2604E" w14:paraId="37A99FB4" w14:textId="77777777"/>
    <w:p w:rsidRPr="00466D3F" w:rsidR="005A7903" w:rsidP="005A7903" w:rsidRDefault="005A7903" w14:paraId="465B32C7" w14:textId="2CB5FE03">
      <w:pPr>
        <w:jc w:val="center"/>
      </w:pPr>
      <w:r w:rsidRPr="00466D3F">
        <w:t>COMMISSION INFORMATION COLLECTION ACTIVITIES (FERC-5</w:t>
      </w:r>
      <w:r>
        <w:t>67, FERC-576</w:t>
      </w:r>
      <w:r w:rsidRPr="00466D3F">
        <w:t>);</w:t>
      </w:r>
      <w:r>
        <w:t xml:space="preserve"> CONSOLIDATED </w:t>
      </w:r>
      <w:r w:rsidRPr="00466D3F">
        <w:t>COMMENT REQUEST; EXTENSION</w:t>
      </w:r>
    </w:p>
    <w:p w:rsidR="00810D18" w:rsidP="00810D18" w:rsidRDefault="00810D18" w14:paraId="6FC67CE5" w14:textId="1157AFF8"/>
    <w:p w:rsidR="007356B8" w:rsidP="00A94A9C" w:rsidRDefault="00A94A9C" w14:paraId="1C382AA4" w14:textId="604F7D51">
      <w:pPr>
        <w:jc w:val="center"/>
      </w:pPr>
      <w:r w:rsidRPr="00A94A9C">
        <w:t>(July 13, 2021)</w:t>
      </w:r>
    </w:p>
    <w:p w:rsidRPr="00A94A9C" w:rsidR="00A94A9C" w:rsidP="00A94A9C" w:rsidRDefault="00A94A9C" w14:paraId="79B50263"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3D42B030">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collections, FERC-567 (Gas Pipeline Certificates: Annual Reports of System Flow Diagrams) and FERC-576 (Report of Service Interruptions or Damage to Facilities) which will be submitted to the Office of Management and Budget (OMB) for a review of the information collection requirements.</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10E636CF">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3062C2">
        <w:rPr>
          <w:iCs/>
          <w:szCs w:val="26"/>
        </w:rPr>
        <w:t>5</w:t>
      </w:r>
      <w:r w:rsidR="005A7903">
        <w:rPr>
          <w:iCs/>
          <w:szCs w:val="26"/>
        </w:rPr>
        <w:t>67 and/or FERC-576</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Pr="005A7903" w:rsidR="005A7903">
        <w:rPr>
          <w:iCs/>
          <w:szCs w:val="26"/>
        </w:rPr>
        <w:t>1902-0005</w:t>
      </w:r>
      <w:r w:rsidR="005A7903">
        <w:rPr>
          <w:iCs/>
          <w:szCs w:val="26"/>
        </w:rPr>
        <w:t xml:space="preserve"> and/or 1902-0004</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7B531C17">
      <w:pPr>
        <w:spacing w:line="480" w:lineRule="auto"/>
      </w:pPr>
      <w:r>
        <w:t xml:space="preserve">Please submit copies of your comments </w:t>
      </w:r>
      <w:r w:rsidR="00D65D56">
        <w:t xml:space="preserve">(identified by Docket No. </w:t>
      </w:r>
      <w:r w:rsidR="00BE3392">
        <w:t>IC21-2</w:t>
      </w:r>
      <w:r w:rsidR="005A7903">
        <w:t>0</w:t>
      </w:r>
      <w:r w:rsidR="00D65D56">
        <w:t xml:space="preserve">-000)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lastRenderedPageBreak/>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t>For user assistance, contact FERC Online Support by e-mail at ferconlinesupport@ferc.gov, or by phone at</w:t>
      </w:r>
      <w:proofErr w:type="gramStart"/>
      <w:r>
        <w:t>:  (</w:t>
      </w:r>
      <w:proofErr w:type="gramEnd"/>
      <w:r>
        <w:t>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00B33F1C">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167797" w:rsidR="00167797" w:rsidP="00A2604E" w:rsidRDefault="00167797" w14:paraId="7788CA11" w14:textId="1E372C4E">
      <w:pPr>
        <w:spacing w:line="480" w:lineRule="auto"/>
        <w:rPr>
          <w:szCs w:val="26"/>
        </w:rPr>
      </w:pPr>
      <w:r w:rsidRPr="00167797">
        <w:rPr>
          <w:szCs w:val="26"/>
        </w:rPr>
        <w:lastRenderedPageBreak/>
        <w:t xml:space="preserve">The </w:t>
      </w:r>
      <w:r w:rsidR="002B69FD">
        <w:rPr>
          <w:szCs w:val="26"/>
        </w:rPr>
        <w:t xml:space="preserve">Commission published a </w:t>
      </w:r>
      <w:r w:rsidRPr="00167797">
        <w:rPr>
          <w:szCs w:val="26"/>
        </w:rPr>
        <w:t xml:space="preserve">60-day </w:t>
      </w:r>
      <w:r w:rsidR="002B69FD">
        <w:rPr>
          <w:szCs w:val="26"/>
        </w:rPr>
        <w:t>Paperwork Reduction Act</w:t>
      </w:r>
      <w:r w:rsidRPr="00167797">
        <w:rPr>
          <w:szCs w:val="26"/>
        </w:rPr>
        <w:t xml:space="preserve"> Notice</w:t>
      </w:r>
      <w:r w:rsidRPr="00167797">
        <w:rPr>
          <w:b/>
          <w:szCs w:val="26"/>
          <w:vertAlign w:val="superscript"/>
        </w:rPr>
        <w:footnoteReference w:id="2"/>
      </w:r>
      <w:r w:rsidRPr="00167797">
        <w:rPr>
          <w:szCs w:val="26"/>
        </w:rPr>
        <w:t xml:space="preserve"> </w:t>
      </w:r>
      <w:r w:rsidR="002B69FD">
        <w:rPr>
          <w:szCs w:val="26"/>
        </w:rPr>
        <w:t>in the Federal Register on</w:t>
      </w:r>
      <w:r w:rsidRPr="00167797">
        <w:rPr>
          <w:szCs w:val="26"/>
        </w:rPr>
        <w:t xml:space="preserve"> May </w:t>
      </w:r>
      <w:r>
        <w:rPr>
          <w:szCs w:val="26"/>
        </w:rPr>
        <w:t>11</w:t>
      </w:r>
      <w:r w:rsidRPr="00167797">
        <w:rPr>
          <w:szCs w:val="26"/>
        </w:rPr>
        <w:t xml:space="preserve">, 2021 and no comments were received </w:t>
      </w:r>
      <w:r w:rsidR="002B69FD">
        <w:rPr>
          <w:szCs w:val="26"/>
        </w:rPr>
        <w:t>on</w:t>
      </w:r>
      <w:r w:rsidRPr="00167797">
        <w:rPr>
          <w:szCs w:val="26"/>
        </w:rPr>
        <w:t xml:space="preserve"> the</w:t>
      </w:r>
      <w:r w:rsidR="002B69FD">
        <w:rPr>
          <w:szCs w:val="26"/>
        </w:rPr>
        <w:t xml:space="preserve"> renewal of</w:t>
      </w:r>
      <w:r w:rsidRPr="00167797">
        <w:rPr>
          <w:szCs w:val="26"/>
        </w:rPr>
        <w:t xml:space="preserve"> FERC-</w:t>
      </w:r>
      <w:r>
        <w:rPr>
          <w:szCs w:val="26"/>
        </w:rPr>
        <w:t>567</w:t>
      </w:r>
      <w:r w:rsidRPr="00167797">
        <w:rPr>
          <w:szCs w:val="26"/>
        </w:rPr>
        <w:t xml:space="preserve"> and FERC-</w:t>
      </w:r>
      <w:r>
        <w:rPr>
          <w:szCs w:val="26"/>
        </w:rPr>
        <w:t>576</w:t>
      </w:r>
      <w:r w:rsidRPr="00167797">
        <w:rPr>
          <w:szCs w:val="26"/>
        </w:rPr>
        <w:t xml:space="preserve"> information collections.  </w:t>
      </w:r>
      <w:proofErr w:type="spellStart"/>
      <w:r>
        <w:rPr>
          <w:szCs w:val="26"/>
        </w:rPr>
        <w:t>Inadvetently</w:t>
      </w:r>
      <w:proofErr w:type="spellEnd"/>
      <w:r>
        <w:rPr>
          <w:szCs w:val="26"/>
        </w:rPr>
        <w:t xml:space="preserve">, the cost </w:t>
      </w:r>
      <w:proofErr w:type="spellStart"/>
      <w:r>
        <w:rPr>
          <w:szCs w:val="26"/>
        </w:rPr>
        <w:t>caluations</w:t>
      </w:r>
      <w:proofErr w:type="spellEnd"/>
      <w:r>
        <w:rPr>
          <w:szCs w:val="26"/>
        </w:rPr>
        <w:t xml:space="preserve"> for FERC-576 indicated that it used </w:t>
      </w:r>
      <w:r w:rsidR="002B69FD">
        <w:rPr>
          <w:szCs w:val="26"/>
        </w:rPr>
        <w:t xml:space="preserve">the 2020 </w:t>
      </w:r>
      <w:r>
        <w:rPr>
          <w:szCs w:val="26"/>
        </w:rPr>
        <w:t xml:space="preserve">Bureau of Labor Statistics (BLS) costs </w:t>
      </w:r>
      <w:r w:rsidR="002B69FD">
        <w:rPr>
          <w:szCs w:val="26"/>
        </w:rPr>
        <w:t xml:space="preserve">estimates when in fact it used </w:t>
      </w:r>
      <w:r>
        <w:rPr>
          <w:szCs w:val="26"/>
        </w:rPr>
        <w:t xml:space="preserve">the 2021 costs </w:t>
      </w:r>
      <w:r w:rsidR="002B69FD">
        <w:rPr>
          <w:szCs w:val="26"/>
        </w:rPr>
        <w:t>figures</w:t>
      </w:r>
      <w:r>
        <w:rPr>
          <w:szCs w:val="26"/>
        </w:rPr>
        <w:t xml:space="preserve">. The correct cost estimated are reflected below. This does not </w:t>
      </w:r>
      <w:proofErr w:type="spellStart"/>
      <w:proofErr w:type="gramStart"/>
      <w:r>
        <w:rPr>
          <w:szCs w:val="26"/>
        </w:rPr>
        <w:t>effect</w:t>
      </w:r>
      <w:proofErr w:type="spellEnd"/>
      <w:proofErr w:type="gramEnd"/>
      <w:r>
        <w:rPr>
          <w:szCs w:val="26"/>
        </w:rPr>
        <w:t xml:space="preserve"> any information related to the collection of FERC-567.</w:t>
      </w:r>
    </w:p>
    <w:p w:rsidR="005A7903" w:rsidP="005A7903" w:rsidRDefault="005A7903" w14:paraId="2ABC280E" w14:textId="77777777">
      <w:pPr>
        <w:spacing w:line="480" w:lineRule="auto"/>
      </w:pPr>
      <w:r w:rsidRPr="005A7903">
        <w:rPr>
          <w:i/>
          <w:iCs/>
        </w:rPr>
        <w:t>Comments:</w:t>
      </w:r>
      <w:r>
        <w:t xml:space="preserve">  Comments are invited on:  (1) whether the collections of information is necessary for the proper performance of the functions of the Commission, including whether the information will have practical utility; (2) the accuracy of the agency’s estimate of the burden  and cost of the collections of information, including the validity of the methodology and assumptions used; (3) ways to enhance the quality, utility and clarity of the information collections; and (4) ways to minimize the burden of the </w:t>
      </w:r>
    </w:p>
    <w:p w:rsidR="005A7903" w:rsidP="005A7903" w:rsidRDefault="005A7903" w14:paraId="7B0BAE07" w14:textId="0F597948">
      <w:pPr>
        <w:spacing w:line="480" w:lineRule="auto"/>
      </w:pPr>
      <w:r>
        <w:t xml:space="preserve">collections of information on those who are to respond, including the use of automated collection techniques or other forms of information technology.  </w:t>
      </w:r>
    </w:p>
    <w:p w:rsidRPr="00466D3F" w:rsidR="005A7903" w:rsidP="005A7903" w:rsidRDefault="005A7903" w14:paraId="7A4BB460" w14:textId="77777777">
      <w:pPr>
        <w:spacing w:line="480" w:lineRule="auto"/>
      </w:pPr>
      <w:r w:rsidRPr="00466D3F">
        <w:rPr>
          <w:b/>
        </w:rPr>
        <w:t>SUPPLEMENTARY INFORMATION:</w:t>
      </w:r>
      <w:r w:rsidRPr="00466D3F">
        <w:t xml:space="preserve">  </w:t>
      </w:r>
    </w:p>
    <w:p w:rsidRPr="00A94A9C" w:rsidR="005A7903" w:rsidP="005A7903" w:rsidRDefault="005A7903" w14:paraId="4553AE5A" w14:textId="77777777">
      <w:pPr>
        <w:spacing w:line="480" w:lineRule="auto"/>
        <w:rPr>
          <w:b/>
          <w:bCs/>
          <w:i/>
          <w:iCs/>
          <w:szCs w:val="26"/>
        </w:rPr>
      </w:pPr>
      <w:r w:rsidRPr="00A94A9C">
        <w:rPr>
          <w:b/>
          <w:bCs/>
          <w:i/>
          <w:iCs/>
          <w:szCs w:val="26"/>
        </w:rPr>
        <w:t>The following information pertains to FERC-567 only.</w:t>
      </w:r>
    </w:p>
    <w:p w:rsidRPr="00C3463E" w:rsidR="005A7903" w:rsidP="005A7903" w:rsidRDefault="005A7903" w14:paraId="365486B1" w14:textId="77777777">
      <w:pPr>
        <w:spacing w:line="480" w:lineRule="auto"/>
        <w:rPr>
          <w:szCs w:val="26"/>
        </w:rPr>
      </w:pPr>
      <w:r w:rsidRPr="00C3463E">
        <w:rPr>
          <w:i/>
          <w:szCs w:val="26"/>
        </w:rPr>
        <w:t xml:space="preserve">Title: </w:t>
      </w:r>
      <w:r w:rsidRPr="00C3463E">
        <w:rPr>
          <w:szCs w:val="26"/>
        </w:rPr>
        <w:t>FERC-567, Gas Pipeline Certificates: Annual Reports of System Flow Diagrams</w:t>
      </w:r>
    </w:p>
    <w:p w:rsidRPr="00C3463E" w:rsidR="005A7903" w:rsidP="005A7903" w:rsidRDefault="005A7903" w14:paraId="63BFFF87" w14:textId="77777777">
      <w:pPr>
        <w:spacing w:line="480" w:lineRule="auto"/>
        <w:rPr>
          <w:szCs w:val="26"/>
        </w:rPr>
      </w:pPr>
      <w:r w:rsidRPr="00C3463E">
        <w:rPr>
          <w:i/>
          <w:szCs w:val="26"/>
        </w:rPr>
        <w:t>OMB Control No.:</w:t>
      </w:r>
      <w:r w:rsidRPr="00C3463E">
        <w:rPr>
          <w:szCs w:val="26"/>
        </w:rPr>
        <w:t xml:space="preserve"> 1902-0005</w:t>
      </w:r>
    </w:p>
    <w:p w:rsidRPr="00C3463E" w:rsidR="005A7903" w:rsidP="005A7903" w:rsidRDefault="005A7903" w14:paraId="57BAC5F8" w14:textId="77777777">
      <w:pPr>
        <w:spacing w:line="480" w:lineRule="auto"/>
        <w:rPr>
          <w:szCs w:val="26"/>
        </w:rPr>
      </w:pPr>
      <w:r w:rsidRPr="00C3463E">
        <w:rPr>
          <w:i/>
          <w:szCs w:val="26"/>
        </w:rPr>
        <w:t>Type of Request:</w:t>
      </w:r>
      <w:r w:rsidRPr="00C3463E">
        <w:rPr>
          <w:szCs w:val="26"/>
        </w:rPr>
        <w:t xml:space="preserve"> Three-year extension of the FERC-567 information collection requirements with no changes to the current reporting requirements. </w:t>
      </w:r>
    </w:p>
    <w:p w:rsidRPr="00C3463E" w:rsidR="005A7903" w:rsidP="005A7903" w:rsidRDefault="005A7903" w14:paraId="33499276" w14:textId="77777777">
      <w:pPr>
        <w:spacing w:line="480" w:lineRule="auto"/>
        <w:rPr>
          <w:szCs w:val="26"/>
        </w:rPr>
      </w:pPr>
      <w:r w:rsidRPr="00C3463E">
        <w:rPr>
          <w:i/>
          <w:szCs w:val="26"/>
        </w:rPr>
        <w:lastRenderedPageBreak/>
        <w:t>Abstract</w:t>
      </w:r>
      <w:r>
        <w:rPr>
          <w:i/>
          <w:szCs w:val="26"/>
        </w:rPr>
        <w:t xml:space="preserve">: </w:t>
      </w:r>
      <w:r w:rsidRPr="00C3463E">
        <w:rPr>
          <w:szCs w:val="26"/>
        </w:rPr>
        <w:t xml:space="preserve">Per 18 Code of Federal Regulations (CFR) 260.8(a), each major </w:t>
      </w:r>
      <w:r>
        <w:rPr>
          <w:szCs w:val="26"/>
        </w:rPr>
        <w:t xml:space="preserve">interstate </w:t>
      </w:r>
      <w:r w:rsidRPr="00C3463E">
        <w:rPr>
          <w:szCs w:val="26"/>
        </w:rPr>
        <w:t>natural gas pipeline with a system delivery capacity exceeding 100,000 Mcf</w:t>
      </w:r>
      <w:r w:rsidRPr="00D65B4A">
        <w:rPr>
          <w:rStyle w:val="FootnoteReference"/>
        </w:rPr>
        <w:footnoteReference w:id="3"/>
      </w:r>
      <w:r w:rsidRPr="00C3463E">
        <w:rPr>
          <w:szCs w:val="26"/>
        </w:rPr>
        <w:t xml:space="preserve"> per day is required to submit</w:t>
      </w:r>
      <w:r>
        <w:rPr>
          <w:szCs w:val="26"/>
        </w:rPr>
        <w:t>,</w:t>
      </w:r>
      <w:r w:rsidRPr="00C3463E">
        <w:rPr>
          <w:szCs w:val="26"/>
        </w:rPr>
        <w:t xml:space="preserve"> by June 1 of each year, diagrams reflecting operating conditions on the pipeline’s main transmission system during the previous 12 months ending on December 31.</w:t>
      </w:r>
      <w:r>
        <w:rPr>
          <w:szCs w:val="26"/>
        </w:rPr>
        <w:t xml:space="preserve"> </w:t>
      </w:r>
      <w:r w:rsidRPr="00C3463E">
        <w:rPr>
          <w:szCs w:val="26"/>
        </w:rPr>
        <w:t xml:space="preserve"> The submitted information</w:t>
      </w:r>
      <w:r>
        <w:rPr>
          <w:szCs w:val="26"/>
        </w:rPr>
        <w:t xml:space="preserve"> </w:t>
      </w:r>
      <w:r w:rsidRPr="00C3463E">
        <w:rPr>
          <w:szCs w:val="26"/>
        </w:rPr>
        <w:t xml:space="preserve">must include </w:t>
      </w:r>
      <w:r>
        <w:rPr>
          <w:szCs w:val="26"/>
        </w:rPr>
        <w:t>(</w:t>
      </w:r>
      <w:r w:rsidRPr="00C3463E">
        <w:rPr>
          <w:szCs w:val="26"/>
        </w:rPr>
        <w:t>i</w:t>
      </w:r>
      <w:r>
        <w:rPr>
          <w:szCs w:val="26"/>
        </w:rPr>
        <w:t>)</w:t>
      </w:r>
      <w:r w:rsidRPr="00C3463E">
        <w:rPr>
          <w:szCs w:val="26"/>
        </w:rPr>
        <w:t xml:space="preserve"> configuration and location of installed pipeline facilities; </w:t>
      </w:r>
      <w:r>
        <w:rPr>
          <w:szCs w:val="26"/>
        </w:rPr>
        <w:t>(</w:t>
      </w:r>
      <w:r w:rsidRPr="00C3463E">
        <w:rPr>
          <w:szCs w:val="26"/>
        </w:rPr>
        <w:t>ii</w:t>
      </w:r>
      <w:r>
        <w:rPr>
          <w:szCs w:val="26"/>
        </w:rPr>
        <w:t>)</w:t>
      </w:r>
      <w:r w:rsidRPr="00C3463E">
        <w:rPr>
          <w:szCs w:val="26"/>
        </w:rPr>
        <w:t xml:space="preserve"> receipt and delivery points between shippers, and pipeline companies; </w:t>
      </w:r>
      <w:r>
        <w:rPr>
          <w:szCs w:val="26"/>
        </w:rPr>
        <w:t>(</w:t>
      </w:r>
      <w:r w:rsidRPr="00C3463E">
        <w:rPr>
          <w:szCs w:val="26"/>
        </w:rPr>
        <w:t>iii</w:t>
      </w:r>
      <w:r>
        <w:rPr>
          <w:szCs w:val="26"/>
        </w:rPr>
        <w:t>)</w:t>
      </w:r>
      <w:r w:rsidRPr="00C3463E">
        <w:rPr>
          <w:szCs w:val="26"/>
        </w:rPr>
        <w:t xml:space="preserve"> location of compressor stations on a pipeline system; </w:t>
      </w:r>
      <w:r>
        <w:rPr>
          <w:szCs w:val="26"/>
        </w:rPr>
        <w:t>(</w:t>
      </w:r>
      <w:r w:rsidRPr="00C3463E">
        <w:rPr>
          <w:szCs w:val="26"/>
        </w:rPr>
        <w:t>iv</w:t>
      </w:r>
      <w:r>
        <w:rPr>
          <w:szCs w:val="26"/>
        </w:rPr>
        <w:t>)</w:t>
      </w:r>
      <w:r w:rsidRPr="00C3463E">
        <w:rPr>
          <w:szCs w:val="26"/>
        </w:rPr>
        <w:t xml:space="preserve"> pipeline diameters; </w:t>
      </w:r>
      <w:r>
        <w:rPr>
          <w:szCs w:val="26"/>
        </w:rPr>
        <w:t>(</w:t>
      </w:r>
      <w:r w:rsidRPr="00C3463E">
        <w:rPr>
          <w:szCs w:val="26"/>
        </w:rPr>
        <w:t>v</w:t>
      </w:r>
      <w:r>
        <w:rPr>
          <w:szCs w:val="26"/>
        </w:rPr>
        <w:t>)</w:t>
      </w:r>
      <w:r w:rsidRPr="00C3463E">
        <w:rPr>
          <w:szCs w:val="26"/>
        </w:rPr>
        <w:t xml:space="preserve"> maximum allowable operating pressures; </w:t>
      </w:r>
      <w:r>
        <w:rPr>
          <w:szCs w:val="26"/>
        </w:rPr>
        <w:t>(</w:t>
      </w:r>
      <w:r w:rsidRPr="00C3463E">
        <w:rPr>
          <w:szCs w:val="26"/>
        </w:rPr>
        <w:t>vi</w:t>
      </w:r>
      <w:r>
        <w:rPr>
          <w:szCs w:val="26"/>
        </w:rPr>
        <w:t>)</w:t>
      </w:r>
      <w:r w:rsidRPr="00C3463E">
        <w:rPr>
          <w:szCs w:val="26"/>
        </w:rPr>
        <w:t xml:space="preserve"> suction and discharge pressures at compressor stations; </w:t>
      </w:r>
      <w:r>
        <w:rPr>
          <w:szCs w:val="26"/>
        </w:rPr>
        <w:t>(</w:t>
      </w:r>
      <w:r w:rsidRPr="00C3463E">
        <w:rPr>
          <w:szCs w:val="26"/>
        </w:rPr>
        <w:t>vii</w:t>
      </w:r>
      <w:r>
        <w:rPr>
          <w:szCs w:val="26"/>
        </w:rPr>
        <w:t>)</w:t>
      </w:r>
      <w:r w:rsidRPr="00C3463E">
        <w:rPr>
          <w:szCs w:val="26"/>
        </w:rPr>
        <w:t xml:space="preserve"> installed horsepower and volumes compressed at each compressor station; </w:t>
      </w:r>
      <w:r>
        <w:rPr>
          <w:szCs w:val="26"/>
        </w:rPr>
        <w:t>(</w:t>
      </w:r>
      <w:r w:rsidRPr="00C3463E">
        <w:rPr>
          <w:szCs w:val="26"/>
        </w:rPr>
        <w:t>viii</w:t>
      </w:r>
      <w:r>
        <w:rPr>
          <w:szCs w:val="26"/>
        </w:rPr>
        <w:t>)</w:t>
      </w:r>
      <w:r w:rsidRPr="00C3463E">
        <w:rPr>
          <w:szCs w:val="26"/>
        </w:rPr>
        <w:t xml:space="preserve"> existing shippers currently nominating service under firm contracts on each pipeline company; and </w:t>
      </w:r>
      <w:r>
        <w:rPr>
          <w:szCs w:val="26"/>
        </w:rPr>
        <w:t>(</w:t>
      </w:r>
      <w:r w:rsidRPr="00C3463E">
        <w:rPr>
          <w:szCs w:val="26"/>
        </w:rPr>
        <w:t>ix</w:t>
      </w:r>
      <w:r>
        <w:rPr>
          <w:szCs w:val="26"/>
        </w:rPr>
        <w:t>)</w:t>
      </w:r>
      <w:r w:rsidRPr="00C3463E">
        <w:rPr>
          <w:szCs w:val="26"/>
        </w:rPr>
        <w:t xml:space="preserve"> peak capacity on the system.  The data is </w:t>
      </w:r>
      <w:r>
        <w:rPr>
          <w:szCs w:val="26"/>
        </w:rPr>
        <w:t>collected</w:t>
      </w:r>
      <w:r w:rsidRPr="00C3463E">
        <w:rPr>
          <w:szCs w:val="26"/>
        </w:rPr>
        <w:t xml:space="preserve"> so that it’s available in the event the Commission needs to confirm pipeline facility data</w:t>
      </w:r>
      <w:r>
        <w:rPr>
          <w:szCs w:val="26"/>
        </w:rPr>
        <w:t>.</w:t>
      </w:r>
      <w:r w:rsidRPr="00C3463E">
        <w:rPr>
          <w:szCs w:val="26"/>
        </w:rPr>
        <w:t xml:space="preserve">  </w:t>
      </w:r>
    </w:p>
    <w:p w:rsidR="005A7903" w:rsidP="005A7903" w:rsidRDefault="005A7903" w14:paraId="28848AC4" w14:textId="23E4EB58">
      <w:pPr>
        <w:spacing w:line="480" w:lineRule="auto"/>
        <w:rPr>
          <w:szCs w:val="26"/>
        </w:rPr>
      </w:pPr>
      <w:r w:rsidRPr="00C3463E">
        <w:rPr>
          <w:i/>
          <w:szCs w:val="26"/>
        </w:rPr>
        <w:t xml:space="preserve">Type of Respondents: </w:t>
      </w:r>
      <w:r w:rsidRPr="00C3463E">
        <w:rPr>
          <w:szCs w:val="26"/>
        </w:rPr>
        <w:t xml:space="preserve">Natural gas pipeline companies with a system delivery capacity in excess of 100,000 Mcf per day. </w:t>
      </w:r>
    </w:p>
    <w:p w:rsidRPr="00C3463E" w:rsidR="005A7903" w:rsidP="005A7903" w:rsidRDefault="005A7903" w14:paraId="7FCC4921" w14:textId="77777777">
      <w:pPr>
        <w:spacing w:line="480" w:lineRule="auto"/>
        <w:rPr>
          <w:szCs w:val="26"/>
        </w:rPr>
      </w:pPr>
      <w:r w:rsidRPr="00C3463E">
        <w:rPr>
          <w:i/>
          <w:szCs w:val="26"/>
        </w:rPr>
        <w:t xml:space="preserve">Estimate of Annual Burden: </w:t>
      </w:r>
      <w:r w:rsidRPr="00C3463E">
        <w:rPr>
          <w:szCs w:val="26"/>
        </w:rPr>
        <w:t>The Commission estimates the annual public reporting burden for the information collection as:</w:t>
      </w:r>
    </w:p>
    <w:tbl>
      <w:tblPr>
        <w:tblW w:w="5218" w:type="pct"/>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07"/>
        <w:gridCol w:w="1522"/>
        <w:gridCol w:w="1602"/>
        <w:gridCol w:w="1313"/>
        <w:gridCol w:w="1257"/>
        <w:gridCol w:w="1626"/>
        <w:gridCol w:w="1431"/>
      </w:tblGrid>
      <w:tr w:rsidRPr="00A231C9" w:rsidR="005A7903" w:rsidTr="00EB20B6" w14:paraId="3CF74BB8"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A231C9" w:rsidR="005A7903" w:rsidP="00EB20B6" w:rsidRDefault="005A7903" w14:paraId="5B1E8593" w14:textId="77777777">
            <w:pPr>
              <w:jc w:val="center"/>
              <w:rPr>
                <w:b/>
                <w:sz w:val="24"/>
              </w:rPr>
            </w:pPr>
            <w:r w:rsidRPr="00A231C9">
              <w:rPr>
                <w:b/>
                <w:sz w:val="24"/>
              </w:rPr>
              <w:t xml:space="preserve">FERC-567: Gas Pipeline Certificates: Annual Reports of System Flow </w:t>
            </w:r>
            <w:r>
              <w:rPr>
                <w:b/>
                <w:sz w:val="24"/>
              </w:rPr>
              <w:t xml:space="preserve">Diagrams </w:t>
            </w:r>
          </w:p>
        </w:tc>
      </w:tr>
      <w:tr w:rsidRPr="00A231C9" w:rsidR="005A7903" w:rsidTr="00EB20B6" w14:paraId="48CFF8C5" w14:textId="77777777">
        <w:trPr>
          <w:cantSplit/>
        </w:trPr>
        <w:tc>
          <w:tcPr>
            <w:tcW w:w="516" w:type="pct"/>
            <w:tcBorders>
              <w:top w:val="single" w:color="auto" w:sz="4" w:space="0"/>
              <w:left w:val="single" w:color="auto" w:sz="4" w:space="0"/>
              <w:bottom w:val="single" w:color="auto" w:sz="4" w:space="0"/>
              <w:right w:val="single" w:color="auto" w:sz="4" w:space="0"/>
            </w:tcBorders>
            <w:shd w:val="clear" w:color="auto" w:fill="D9D9D9"/>
            <w:vAlign w:val="bottom"/>
          </w:tcPr>
          <w:p w:rsidRPr="00A231C9" w:rsidR="005A7903" w:rsidP="00EB20B6" w:rsidRDefault="005A7903" w14:paraId="76209A39" w14:textId="77777777">
            <w:pPr>
              <w:rPr>
                <w:b/>
                <w:sz w:val="24"/>
              </w:rPr>
            </w:pPr>
            <w:r>
              <w:rPr>
                <w:b/>
                <w:sz w:val="24"/>
              </w:rPr>
              <w:lastRenderedPageBreak/>
              <w:t xml:space="preserve">Respondents </w:t>
            </w: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A231C9" w:rsidR="005A7903" w:rsidP="00EB20B6" w:rsidRDefault="005A7903" w14:paraId="5BC96861" w14:textId="77777777">
            <w:pPr>
              <w:rPr>
                <w:b/>
                <w:sz w:val="24"/>
              </w:rPr>
            </w:pPr>
            <w:r w:rsidRPr="00A231C9">
              <w:rPr>
                <w:b/>
                <w:sz w:val="24"/>
              </w:rPr>
              <w:t>Number of Respondents</w:t>
            </w:r>
            <w:r>
              <w:rPr>
                <w:rStyle w:val="FootnoteReference"/>
              </w:rPr>
              <w:footnoteReference w:id="4"/>
            </w:r>
            <w:r w:rsidRPr="00A231C9">
              <w:rPr>
                <w:b/>
                <w:sz w:val="24"/>
              </w:rPr>
              <w:br/>
              <w:t>(1)</w:t>
            </w:r>
          </w:p>
        </w:tc>
        <w:tc>
          <w:tcPr>
            <w:tcW w:w="82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A231C9" w:rsidR="005A7903" w:rsidP="00EB20B6" w:rsidRDefault="005A7903" w14:paraId="58B62BD3" w14:textId="77777777">
            <w:pPr>
              <w:rPr>
                <w:b/>
                <w:sz w:val="24"/>
              </w:rPr>
            </w:pPr>
            <w:r w:rsidRPr="00A231C9">
              <w:rPr>
                <w:b/>
                <w:sz w:val="24"/>
              </w:rPr>
              <w:t>Annual Number of Responses per Respondent</w:t>
            </w:r>
          </w:p>
          <w:p w:rsidRPr="00A231C9" w:rsidR="005A7903" w:rsidP="00EB20B6" w:rsidRDefault="005A7903" w14:paraId="5FBC2EA5" w14:textId="77777777">
            <w:pPr>
              <w:rPr>
                <w:b/>
                <w:sz w:val="24"/>
              </w:rPr>
            </w:pPr>
            <w:r w:rsidRPr="00A231C9">
              <w:rPr>
                <w:b/>
                <w:sz w:val="24"/>
              </w:rPr>
              <w:t>(2)</w:t>
            </w:r>
          </w:p>
        </w:tc>
        <w:tc>
          <w:tcPr>
            <w:tcW w:w="67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A231C9" w:rsidR="005A7903" w:rsidP="00EB20B6" w:rsidRDefault="005A7903" w14:paraId="5156467C" w14:textId="77777777">
            <w:pPr>
              <w:rPr>
                <w:b/>
                <w:sz w:val="24"/>
              </w:rPr>
            </w:pPr>
            <w:r w:rsidRPr="00A231C9">
              <w:rPr>
                <w:b/>
                <w:sz w:val="24"/>
              </w:rPr>
              <w:t>Total Number of Responses (</w:t>
            </w:r>
            <w:proofErr w:type="gramStart"/>
            <w:r w:rsidRPr="00A231C9">
              <w:rPr>
                <w:b/>
                <w:sz w:val="24"/>
              </w:rPr>
              <w:t>1)*</w:t>
            </w:r>
            <w:proofErr w:type="gramEnd"/>
            <w:r w:rsidRPr="00A231C9">
              <w:rPr>
                <w:b/>
                <w:sz w:val="24"/>
              </w:rPr>
              <w:t>(2)=(3)</w:t>
            </w:r>
          </w:p>
        </w:tc>
        <w:tc>
          <w:tcPr>
            <w:tcW w:w="64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A231C9" w:rsidR="005A7903" w:rsidP="00EB20B6" w:rsidRDefault="005A7903" w14:paraId="75DAD504" w14:textId="5556C9E8">
            <w:pPr>
              <w:rPr>
                <w:b/>
                <w:sz w:val="24"/>
              </w:rPr>
            </w:pPr>
            <w:r w:rsidRPr="00A231C9">
              <w:rPr>
                <w:b/>
                <w:sz w:val="24"/>
              </w:rPr>
              <w:t>Average</w:t>
            </w:r>
            <w:r w:rsidR="00167797">
              <w:rPr>
                <w:b/>
                <w:sz w:val="24"/>
              </w:rPr>
              <w:t xml:space="preserve"> </w:t>
            </w:r>
            <w:proofErr w:type="gramStart"/>
            <w:r w:rsidR="00167797">
              <w:rPr>
                <w:b/>
                <w:sz w:val="24"/>
              </w:rPr>
              <w:t xml:space="preserve">Annual </w:t>
            </w:r>
            <w:r w:rsidRPr="00A231C9">
              <w:rPr>
                <w:b/>
                <w:sz w:val="24"/>
              </w:rPr>
              <w:t xml:space="preserve"> Burden</w:t>
            </w:r>
            <w:proofErr w:type="gramEnd"/>
            <w:r w:rsidRPr="00A231C9">
              <w:rPr>
                <w:b/>
                <w:sz w:val="24"/>
              </w:rPr>
              <w:t xml:space="preserve"> &amp; Cost Per Response</w:t>
            </w:r>
            <w:r w:rsidRPr="00A231C9">
              <w:rPr>
                <w:b/>
                <w:sz w:val="24"/>
                <w:vertAlign w:val="superscript"/>
              </w:rPr>
              <w:footnoteReference w:id="5"/>
            </w:r>
          </w:p>
          <w:p w:rsidRPr="00A231C9" w:rsidR="005A7903" w:rsidP="00EB20B6" w:rsidRDefault="005A7903" w14:paraId="672AEFB7" w14:textId="77777777">
            <w:pPr>
              <w:rPr>
                <w:b/>
                <w:sz w:val="24"/>
              </w:rPr>
            </w:pPr>
            <w:r w:rsidRPr="00A231C9">
              <w:rPr>
                <w:b/>
                <w:sz w:val="24"/>
              </w:rPr>
              <w:t>(4)</w:t>
            </w:r>
          </w:p>
        </w:tc>
        <w:tc>
          <w:tcPr>
            <w:tcW w:w="83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A231C9" w:rsidR="005A7903" w:rsidP="00EB20B6" w:rsidRDefault="005A7903" w14:paraId="753B23A8" w14:textId="77777777">
            <w:pPr>
              <w:rPr>
                <w:b/>
                <w:sz w:val="24"/>
              </w:rPr>
            </w:pPr>
            <w:r w:rsidRPr="00A231C9">
              <w:rPr>
                <w:b/>
                <w:sz w:val="24"/>
              </w:rPr>
              <w:t>Total Annual Burden Hours &amp; Total Annual Cost</w:t>
            </w:r>
          </w:p>
          <w:p w:rsidRPr="00A231C9" w:rsidR="005A7903" w:rsidP="00EB20B6" w:rsidRDefault="005A7903" w14:paraId="78D3DE9C" w14:textId="77777777">
            <w:pPr>
              <w:rPr>
                <w:b/>
                <w:sz w:val="24"/>
              </w:rPr>
            </w:pPr>
            <w:r w:rsidRPr="00A231C9">
              <w:rPr>
                <w:b/>
                <w:sz w:val="24"/>
              </w:rPr>
              <w:t>(</w:t>
            </w:r>
            <w:proofErr w:type="gramStart"/>
            <w:r w:rsidRPr="00A231C9">
              <w:rPr>
                <w:b/>
                <w:sz w:val="24"/>
              </w:rPr>
              <w:t>3)*</w:t>
            </w:r>
            <w:proofErr w:type="gramEnd"/>
            <w:r w:rsidRPr="00A231C9">
              <w:rPr>
                <w:b/>
                <w:sz w:val="24"/>
              </w:rPr>
              <w:t>(4)=(5)</w:t>
            </w:r>
          </w:p>
        </w:tc>
        <w:tc>
          <w:tcPr>
            <w:tcW w:w="73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A231C9" w:rsidR="005A7903" w:rsidP="00EB20B6" w:rsidRDefault="00167797" w14:paraId="73100D2A" w14:textId="703C5123">
            <w:pPr>
              <w:rPr>
                <w:b/>
                <w:sz w:val="24"/>
              </w:rPr>
            </w:pPr>
            <w:r>
              <w:rPr>
                <w:b/>
                <w:sz w:val="24"/>
              </w:rPr>
              <w:t xml:space="preserve">Average Annual </w:t>
            </w:r>
            <w:r w:rsidRPr="00A231C9" w:rsidR="005A7903">
              <w:rPr>
                <w:b/>
                <w:sz w:val="24"/>
              </w:rPr>
              <w:t>Cost per Respondent</w:t>
            </w:r>
          </w:p>
          <w:p w:rsidRPr="00A231C9" w:rsidR="005A7903" w:rsidP="00EB20B6" w:rsidRDefault="005A7903" w14:paraId="49D60642" w14:textId="77777777">
            <w:pPr>
              <w:rPr>
                <w:b/>
                <w:sz w:val="24"/>
              </w:rPr>
            </w:pPr>
            <w:r w:rsidRPr="00A231C9">
              <w:rPr>
                <w:b/>
                <w:sz w:val="24"/>
              </w:rPr>
              <w:t>($)</w:t>
            </w:r>
          </w:p>
          <w:p w:rsidRPr="00A231C9" w:rsidR="005A7903" w:rsidP="00EB20B6" w:rsidRDefault="005A7903" w14:paraId="32BAF183" w14:textId="77777777">
            <w:pPr>
              <w:rPr>
                <w:b/>
                <w:sz w:val="24"/>
              </w:rPr>
            </w:pPr>
            <w:r w:rsidRPr="00A231C9">
              <w:rPr>
                <w:b/>
                <w:sz w:val="24"/>
              </w:rPr>
              <w:t>(</w:t>
            </w:r>
            <w:proofErr w:type="gramStart"/>
            <w:r w:rsidRPr="00A231C9">
              <w:rPr>
                <w:b/>
                <w:sz w:val="24"/>
              </w:rPr>
              <w:t>5)÷</w:t>
            </w:r>
            <w:proofErr w:type="gramEnd"/>
            <w:r w:rsidRPr="00A231C9">
              <w:rPr>
                <w:b/>
                <w:sz w:val="24"/>
              </w:rPr>
              <w:t>(1)</w:t>
            </w:r>
          </w:p>
        </w:tc>
      </w:tr>
      <w:tr w:rsidRPr="00A231C9" w:rsidR="005A7903" w:rsidTr="00EB20B6" w14:paraId="5CB1EE90" w14:textId="77777777">
        <w:trPr>
          <w:cantSplit/>
        </w:trPr>
        <w:tc>
          <w:tcPr>
            <w:tcW w:w="516" w:type="pct"/>
            <w:tcBorders>
              <w:top w:val="single" w:color="auto" w:sz="4" w:space="0"/>
              <w:left w:val="single" w:color="auto" w:sz="4" w:space="0"/>
              <w:bottom w:val="single" w:color="auto" w:sz="4" w:space="0"/>
              <w:right w:val="single" w:color="auto" w:sz="4" w:space="0"/>
            </w:tcBorders>
            <w:hideMark/>
          </w:tcPr>
          <w:p w:rsidRPr="00A231C9" w:rsidR="005A7903" w:rsidP="00EB20B6" w:rsidRDefault="005A7903" w14:paraId="6D8770A9" w14:textId="77777777">
            <w:pPr>
              <w:rPr>
                <w:sz w:val="24"/>
              </w:rPr>
            </w:pPr>
            <w:r w:rsidRPr="00A231C9">
              <w:rPr>
                <w:sz w:val="24"/>
              </w:rPr>
              <w:t>Natural Gas Pipelines</w:t>
            </w:r>
          </w:p>
        </w:tc>
        <w:tc>
          <w:tcPr>
            <w:tcW w:w="780" w:type="pct"/>
            <w:tcBorders>
              <w:top w:val="single" w:color="auto" w:sz="4" w:space="0"/>
              <w:left w:val="single" w:color="auto" w:sz="4" w:space="0"/>
              <w:bottom w:val="single" w:color="auto" w:sz="4" w:space="0"/>
              <w:right w:val="single" w:color="auto" w:sz="4" w:space="0"/>
            </w:tcBorders>
            <w:vAlign w:val="bottom"/>
          </w:tcPr>
          <w:p w:rsidRPr="00A231C9" w:rsidR="005A7903" w:rsidP="00EB20B6" w:rsidRDefault="005A7903" w14:paraId="7FF9EE17" w14:textId="77777777">
            <w:pPr>
              <w:jc w:val="right"/>
              <w:rPr>
                <w:sz w:val="24"/>
              </w:rPr>
            </w:pPr>
            <w:r>
              <w:rPr>
                <w:sz w:val="24"/>
              </w:rPr>
              <w:t>124</w:t>
            </w:r>
          </w:p>
        </w:tc>
        <w:tc>
          <w:tcPr>
            <w:tcW w:w="821" w:type="pct"/>
            <w:tcBorders>
              <w:top w:val="single" w:color="auto" w:sz="4" w:space="0"/>
              <w:left w:val="single" w:color="auto" w:sz="4" w:space="0"/>
              <w:bottom w:val="single" w:color="auto" w:sz="4" w:space="0"/>
              <w:right w:val="single" w:color="auto" w:sz="4" w:space="0"/>
            </w:tcBorders>
            <w:vAlign w:val="bottom"/>
            <w:hideMark/>
          </w:tcPr>
          <w:p w:rsidRPr="00A231C9" w:rsidR="005A7903" w:rsidP="00EB20B6" w:rsidRDefault="005A7903" w14:paraId="322FDB5F" w14:textId="77777777">
            <w:pPr>
              <w:jc w:val="right"/>
              <w:rPr>
                <w:sz w:val="24"/>
              </w:rPr>
            </w:pPr>
            <w:r w:rsidRPr="00A231C9">
              <w:rPr>
                <w:sz w:val="24"/>
              </w:rPr>
              <w:t>1</w:t>
            </w:r>
          </w:p>
        </w:tc>
        <w:tc>
          <w:tcPr>
            <w:tcW w:w="673" w:type="pct"/>
            <w:tcBorders>
              <w:top w:val="single" w:color="auto" w:sz="4" w:space="0"/>
              <w:left w:val="single" w:color="auto" w:sz="4" w:space="0"/>
              <w:bottom w:val="single" w:color="auto" w:sz="4" w:space="0"/>
              <w:right w:val="single" w:color="auto" w:sz="4" w:space="0"/>
            </w:tcBorders>
            <w:vAlign w:val="bottom"/>
            <w:hideMark/>
          </w:tcPr>
          <w:p w:rsidRPr="00A231C9" w:rsidR="005A7903" w:rsidP="00EB20B6" w:rsidRDefault="005A7903" w14:paraId="70FF9E74" w14:textId="77777777">
            <w:pPr>
              <w:jc w:val="right"/>
              <w:rPr>
                <w:sz w:val="24"/>
              </w:rPr>
            </w:pPr>
            <w:r>
              <w:rPr>
                <w:sz w:val="24"/>
              </w:rPr>
              <w:t>124</w:t>
            </w:r>
          </w:p>
        </w:tc>
        <w:tc>
          <w:tcPr>
            <w:tcW w:w="644" w:type="pct"/>
            <w:tcBorders>
              <w:top w:val="single" w:color="auto" w:sz="4" w:space="0"/>
              <w:left w:val="single" w:color="auto" w:sz="4" w:space="0"/>
              <w:bottom w:val="single" w:color="auto" w:sz="4" w:space="0"/>
              <w:right w:val="single" w:color="auto" w:sz="4" w:space="0"/>
            </w:tcBorders>
            <w:vAlign w:val="bottom"/>
            <w:hideMark/>
          </w:tcPr>
          <w:p w:rsidRPr="00A231C9" w:rsidR="005A7903" w:rsidP="00EB20B6" w:rsidRDefault="005A7903" w14:paraId="196ECB45" w14:textId="77777777">
            <w:pPr>
              <w:jc w:val="right"/>
              <w:rPr>
                <w:sz w:val="24"/>
              </w:rPr>
            </w:pPr>
            <w:r>
              <w:rPr>
                <w:sz w:val="24"/>
              </w:rPr>
              <w:t>4 hrs.;</w:t>
            </w:r>
          </w:p>
          <w:p w:rsidRPr="00A231C9" w:rsidR="005A7903" w:rsidP="00EB20B6" w:rsidRDefault="005A7903" w14:paraId="4A78C4BF" w14:textId="77777777">
            <w:pPr>
              <w:jc w:val="right"/>
              <w:rPr>
                <w:sz w:val="24"/>
              </w:rPr>
            </w:pPr>
            <w:r w:rsidRPr="00A231C9">
              <w:rPr>
                <w:sz w:val="24"/>
              </w:rPr>
              <w:t>$</w:t>
            </w:r>
            <w:r>
              <w:rPr>
                <w:sz w:val="24"/>
              </w:rPr>
              <w:t>332</w:t>
            </w:r>
          </w:p>
        </w:tc>
        <w:tc>
          <w:tcPr>
            <w:tcW w:w="833" w:type="pct"/>
            <w:tcBorders>
              <w:top w:val="single" w:color="auto" w:sz="4" w:space="0"/>
              <w:left w:val="single" w:color="auto" w:sz="4" w:space="0"/>
              <w:bottom w:val="single" w:color="auto" w:sz="4" w:space="0"/>
              <w:right w:val="single" w:color="auto" w:sz="4" w:space="0"/>
            </w:tcBorders>
            <w:vAlign w:val="bottom"/>
            <w:hideMark/>
          </w:tcPr>
          <w:p w:rsidRPr="00A231C9" w:rsidR="005A7903" w:rsidP="00EB20B6" w:rsidRDefault="005A7903" w14:paraId="1620B373" w14:textId="77777777">
            <w:pPr>
              <w:jc w:val="right"/>
              <w:rPr>
                <w:sz w:val="24"/>
              </w:rPr>
            </w:pPr>
            <w:r w:rsidRPr="00A231C9">
              <w:rPr>
                <w:sz w:val="24"/>
              </w:rPr>
              <w:t xml:space="preserve"> </w:t>
            </w:r>
            <w:r>
              <w:rPr>
                <w:sz w:val="24"/>
              </w:rPr>
              <w:t>496 hrs.;</w:t>
            </w:r>
          </w:p>
          <w:p w:rsidRPr="00A231C9" w:rsidR="005A7903" w:rsidP="00EB20B6" w:rsidRDefault="005A7903" w14:paraId="7F90F101" w14:textId="77777777">
            <w:pPr>
              <w:jc w:val="right"/>
              <w:rPr>
                <w:sz w:val="24"/>
              </w:rPr>
            </w:pPr>
            <w:r w:rsidRPr="00A231C9">
              <w:rPr>
                <w:sz w:val="24"/>
              </w:rPr>
              <w:t>$</w:t>
            </w:r>
            <w:r w:rsidRPr="008B5F9E">
              <w:rPr>
                <w:sz w:val="24"/>
              </w:rPr>
              <w:t>41,168</w:t>
            </w:r>
          </w:p>
        </w:tc>
        <w:tc>
          <w:tcPr>
            <w:tcW w:w="733" w:type="pct"/>
            <w:tcBorders>
              <w:top w:val="single" w:color="auto" w:sz="4" w:space="0"/>
              <w:left w:val="single" w:color="auto" w:sz="4" w:space="0"/>
              <w:bottom w:val="single" w:color="auto" w:sz="4" w:space="0"/>
              <w:right w:val="single" w:color="auto" w:sz="4" w:space="0"/>
            </w:tcBorders>
            <w:vAlign w:val="bottom"/>
          </w:tcPr>
          <w:p w:rsidRPr="00A231C9" w:rsidR="005A7903" w:rsidP="00EB20B6" w:rsidRDefault="005A7903" w14:paraId="767AB656" w14:textId="77777777">
            <w:pPr>
              <w:jc w:val="right"/>
              <w:rPr>
                <w:sz w:val="24"/>
              </w:rPr>
            </w:pPr>
            <w:r>
              <w:rPr>
                <w:sz w:val="24"/>
              </w:rPr>
              <w:t>$332</w:t>
            </w:r>
            <w:r w:rsidRPr="00A231C9">
              <w:rPr>
                <w:sz w:val="24"/>
              </w:rPr>
              <w:t xml:space="preserve"> </w:t>
            </w:r>
          </w:p>
        </w:tc>
      </w:tr>
    </w:tbl>
    <w:p w:rsidR="005A7903" w:rsidP="005A7903" w:rsidRDefault="005A7903" w14:paraId="3119E4C1" w14:textId="77777777">
      <w:pPr>
        <w:pBdr>
          <w:bottom w:val="single" w:color="auto" w:sz="6" w:space="1"/>
        </w:pBdr>
        <w:spacing w:line="480" w:lineRule="auto"/>
        <w:rPr>
          <w:sz w:val="24"/>
        </w:rPr>
      </w:pPr>
      <w:r>
        <w:rPr>
          <w:sz w:val="24"/>
        </w:rPr>
        <w:softHyphen/>
      </w:r>
    </w:p>
    <w:p w:rsidR="005A7903" w:rsidP="005A7903" w:rsidRDefault="005A7903" w14:paraId="49697CCE" w14:textId="77777777">
      <w:pPr>
        <w:spacing w:line="480" w:lineRule="auto"/>
        <w:rPr>
          <w:b/>
          <w:bCs/>
          <w:i/>
          <w:iCs/>
          <w:sz w:val="24"/>
        </w:rPr>
      </w:pPr>
      <w:r w:rsidRPr="00A231C9">
        <w:rPr>
          <w:b/>
          <w:bCs/>
          <w:i/>
          <w:iCs/>
          <w:sz w:val="24"/>
        </w:rPr>
        <w:t>The following information pertains to FERC-57</w:t>
      </w:r>
      <w:r>
        <w:rPr>
          <w:b/>
          <w:bCs/>
          <w:i/>
          <w:iCs/>
          <w:sz w:val="24"/>
        </w:rPr>
        <w:t>6</w:t>
      </w:r>
      <w:r w:rsidRPr="00A231C9">
        <w:rPr>
          <w:b/>
          <w:bCs/>
          <w:i/>
          <w:iCs/>
          <w:sz w:val="24"/>
        </w:rPr>
        <w:t xml:space="preserve"> only.</w:t>
      </w:r>
    </w:p>
    <w:p w:rsidRPr="00C123B1" w:rsidR="005A7903" w:rsidP="005A7903" w:rsidRDefault="005A7903" w14:paraId="6EE5C99E" w14:textId="77777777">
      <w:pPr>
        <w:spacing w:line="480" w:lineRule="auto"/>
        <w:rPr>
          <w:i/>
        </w:rPr>
      </w:pPr>
      <w:r w:rsidRPr="00C123B1">
        <w:rPr>
          <w:i/>
        </w:rPr>
        <w:t xml:space="preserve">Title: </w:t>
      </w:r>
      <w:r w:rsidRPr="00C123B1">
        <w:t>FERC–576, Report of Service Interruption</w:t>
      </w:r>
      <w:r>
        <w:t>s or Damage to Facilities.</w:t>
      </w:r>
    </w:p>
    <w:p w:rsidRPr="00C123B1" w:rsidR="005A7903" w:rsidP="005A7903" w:rsidRDefault="005A7903" w14:paraId="0074A9FD" w14:textId="77777777">
      <w:pPr>
        <w:spacing w:line="480" w:lineRule="auto"/>
      </w:pPr>
      <w:r w:rsidRPr="00C123B1">
        <w:rPr>
          <w:i/>
        </w:rPr>
        <w:t>OMB Control No.:</w:t>
      </w:r>
      <w:r w:rsidRPr="00C123B1">
        <w:t xml:space="preserve"> 1902-0004</w:t>
      </w:r>
    </w:p>
    <w:p w:rsidRPr="00C123B1" w:rsidR="005A7903" w:rsidP="005A7903" w:rsidRDefault="005A7903" w14:paraId="16A9FE7E" w14:textId="77777777">
      <w:pPr>
        <w:spacing w:line="480" w:lineRule="auto"/>
      </w:pPr>
      <w:r w:rsidRPr="008A1BF9">
        <w:rPr>
          <w:i/>
        </w:rPr>
        <w:t>Type of Request:</w:t>
      </w:r>
      <w:r w:rsidRPr="008A1BF9">
        <w:t xml:space="preserve"> Three-year</w:t>
      </w:r>
      <w:r w:rsidRPr="00C123B1">
        <w:t xml:space="preserve"> extension of the FERC-576 information collection requirements with no changes to the current reporting requirements. </w:t>
      </w:r>
    </w:p>
    <w:p w:rsidR="005A7903" w:rsidP="005A7903" w:rsidRDefault="005A7903" w14:paraId="1294E85E" w14:textId="77777777">
      <w:pPr>
        <w:spacing w:line="480" w:lineRule="auto"/>
      </w:pPr>
      <w:r w:rsidRPr="00C123B1">
        <w:rPr>
          <w:i/>
        </w:rPr>
        <w:t xml:space="preserve">Abstract: </w:t>
      </w:r>
      <w:r>
        <w:t xml:space="preserve">Per </w:t>
      </w:r>
      <w:r w:rsidRPr="00C123B1">
        <w:t>18 CFR 260.9</w:t>
      </w:r>
      <w:r>
        <w:t>, natural gas pipeline companies must report</w:t>
      </w:r>
      <w:r w:rsidRPr="00C123B1">
        <w:t xml:space="preserve"> </w:t>
      </w:r>
      <w:r w:rsidRPr="003A0D6B">
        <w:t xml:space="preserve">(i) </w:t>
      </w:r>
      <w:r>
        <w:t>d</w:t>
      </w:r>
      <w:r w:rsidRPr="003A0D6B">
        <w:t>amage to any jurisdictional natural</w:t>
      </w:r>
      <w:r>
        <w:t xml:space="preserve"> </w:t>
      </w:r>
      <w:r w:rsidRPr="003A0D6B">
        <w:t>gas facilities other than liquefied</w:t>
      </w:r>
      <w:r>
        <w:t xml:space="preserve"> </w:t>
      </w:r>
      <w:r w:rsidRPr="003A0D6B">
        <w:t>natural gas facilities caused by a hurricane,</w:t>
      </w:r>
      <w:r>
        <w:t xml:space="preserve"> </w:t>
      </w:r>
      <w:r w:rsidRPr="003A0D6B">
        <w:t>earthquake or other natural disaster</w:t>
      </w:r>
      <w:r>
        <w:t xml:space="preserve"> </w:t>
      </w:r>
      <w:r w:rsidRPr="003A0D6B">
        <w:t>or terrorist activity that results</w:t>
      </w:r>
      <w:r>
        <w:t xml:space="preserve"> </w:t>
      </w:r>
      <w:r w:rsidRPr="003A0D6B">
        <w:t>in a loss of or reduction in pipeline</w:t>
      </w:r>
      <w:r>
        <w:t xml:space="preserve"> </w:t>
      </w:r>
      <w:r w:rsidRPr="003A0D6B">
        <w:t>throughput or storage deliverability;</w:t>
      </w:r>
      <w:r>
        <w:t xml:space="preserve"> </w:t>
      </w:r>
      <w:r w:rsidRPr="003A0D6B">
        <w:t>and</w:t>
      </w:r>
      <w:r>
        <w:t xml:space="preserve"> </w:t>
      </w:r>
      <w:r w:rsidRPr="003A0D6B">
        <w:t xml:space="preserve">(ii) </w:t>
      </w:r>
      <w:r>
        <w:t>s</w:t>
      </w:r>
      <w:r w:rsidRPr="003A0D6B">
        <w:t>erious interruptions of service</w:t>
      </w:r>
      <w:r>
        <w:t xml:space="preserve"> </w:t>
      </w:r>
      <w:r w:rsidRPr="003A0D6B">
        <w:t>to any shipper involving jurisdictional</w:t>
      </w:r>
      <w:r>
        <w:t xml:space="preserve"> </w:t>
      </w:r>
      <w:r w:rsidRPr="003A0D6B">
        <w:t>natural gas facilities other than liquefied</w:t>
      </w:r>
      <w:r>
        <w:t xml:space="preserve"> </w:t>
      </w:r>
      <w:r w:rsidRPr="003A0D6B">
        <w:t>natural gas facilities.</w:t>
      </w:r>
      <w:r>
        <w:t xml:space="preserve">  </w:t>
      </w:r>
    </w:p>
    <w:p w:rsidR="005A7903" w:rsidP="005A7903" w:rsidRDefault="005A7903" w14:paraId="75A30CCA" w14:textId="77777777">
      <w:pPr>
        <w:spacing w:line="480" w:lineRule="auto"/>
        <w:ind w:firstLine="720"/>
      </w:pPr>
      <w:r>
        <w:lastRenderedPageBreak/>
        <w:t xml:space="preserve">The notifications, made to the Director, Division of Pipeline Certificates via email or fax as soon as feasibly possible, must state: </w:t>
      </w:r>
      <w:r w:rsidRPr="00C123B1">
        <w:t xml:space="preserve"> (1) The location of the service interruption or damage to natural gas pipeline or storage facilities; (2) The nature of any damage to pipeline or storage facilities; (3) Specific identification of the facilities damaged; (4) The time the service interruption or damage to the facilities occurred; (5) The customers affected by the service interruption or damage to the facilities; (6) Emergency actions taken to maintain service; and (7) Company contact and telephone number.  The</w:t>
      </w:r>
      <w:r>
        <w:t xml:space="preserve"> information provided by these notifications are </w:t>
      </w:r>
      <w:r w:rsidRPr="00C123B1">
        <w:t xml:space="preserve">kept by the Commission </w:t>
      </w:r>
      <w:r>
        <w:t xml:space="preserve">and </w:t>
      </w:r>
      <w:r w:rsidRPr="00C123B1">
        <w:t>are not made part of the public record.</w:t>
      </w:r>
    </w:p>
    <w:p w:rsidRPr="00C123B1" w:rsidR="005A7903" w:rsidP="005A7903" w:rsidRDefault="005A7903" w14:paraId="0B2E9124" w14:textId="77777777">
      <w:pPr>
        <w:spacing w:line="480" w:lineRule="auto"/>
        <w:ind w:firstLine="720"/>
      </w:pPr>
      <w:r w:rsidRPr="005F055D">
        <w:t xml:space="preserve">In addition, </w:t>
      </w:r>
      <w:r>
        <w:t xml:space="preserve">if an incident requires reporting of the incident to the Department of Transportation under the Natural Gas Pipeline Safety Act of 1968, </w:t>
      </w:r>
      <w:r w:rsidRPr="005F055D">
        <w:t>a copy of such report shall be submitted to the Director of the Commission’s Division of Pipeline Certificates, within 30 days of the reportable incident.</w:t>
      </w:r>
      <w:r w:rsidRPr="00C123B1">
        <w:t xml:space="preserve"> </w:t>
      </w:r>
      <w:r>
        <w:t xml:space="preserve"> Natural gas companies must also send a copy of submitted reports to each state commission for the state(s) in which the reported service interruption occurred.  </w:t>
      </w:r>
      <w:r w:rsidRPr="00C123B1">
        <w:t xml:space="preserve">If the Commission </w:t>
      </w:r>
      <w:r>
        <w:t xml:space="preserve">did not </w:t>
      </w:r>
      <w:r w:rsidRPr="00C123B1">
        <w:t>collect th</w:t>
      </w:r>
      <w:r>
        <w:t>is</w:t>
      </w:r>
      <w:r w:rsidRPr="00C123B1">
        <w:t xml:space="preserve"> </w:t>
      </w:r>
      <w:r>
        <w:t>information</w:t>
      </w:r>
      <w:r w:rsidRPr="00C123B1">
        <w:t xml:space="preserve">, it would lose </w:t>
      </w:r>
      <w:r>
        <w:t xml:space="preserve">a data point that assists in the </w:t>
      </w:r>
      <w:r w:rsidRPr="00C123B1">
        <w:t>monitor</w:t>
      </w:r>
      <w:r>
        <w:t xml:space="preserve">ing of </w:t>
      </w:r>
      <w:r w:rsidRPr="00C123B1">
        <w:t>transactions, operations, and reliability of interstate pipelines</w:t>
      </w:r>
      <w:r>
        <w:t>.</w:t>
      </w:r>
      <w:r w:rsidRPr="00C123B1">
        <w:t xml:space="preserve">  </w:t>
      </w:r>
    </w:p>
    <w:p w:rsidRPr="00C123B1" w:rsidR="005A7903" w:rsidP="005A7903" w:rsidRDefault="005A7903" w14:paraId="1482D597" w14:textId="77777777">
      <w:pPr>
        <w:spacing w:line="480" w:lineRule="auto"/>
      </w:pPr>
      <w:r w:rsidRPr="00C123B1">
        <w:rPr>
          <w:i/>
        </w:rPr>
        <w:t xml:space="preserve">Type of Respondents: </w:t>
      </w:r>
      <w:r w:rsidRPr="00C123B1">
        <w:t>Natural gas companies</w:t>
      </w:r>
      <w:r>
        <w:t xml:space="preserve"> experiencing service interruptions or damage to facilities.</w:t>
      </w:r>
      <w:r w:rsidRPr="00C123B1">
        <w:t xml:space="preserve"> </w:t>
      </w:r>
    </w:p>
    <w:p w:rsidRPr="00167797" w:rsidR="00167797" w:rsidP="00167797" w:rsidRDefault="005A7903" w14:paraId="6BC2D41C" w14:textId="65B0370B">
      <w:pPr>
        <w:spacing w:line="480" w:lineRule="auto"/>
      </w:pPr>
      <w:r w:rsidRPr="00C123B1">
        <w:rPr>
          <w:i/>
        </w:rPr>
        <w:lastRenderedPageBreak/>
        <w:t xml:space="preserve">Estimate of Annual Burden: </w:t>
      </w:r>
      <w:r w:rsidRPr="00C123B1">
        <w:t>The Commission estimates the average annual burden and cost</w:t>
      </w:r>
      <w:r w:rsidRPr="00C123B1">
        <w:rPr>
          <w:szCs w:val="26"/>
          <w:vertAlign w:val="superscript"/>
        </w:rPr>
        <w:footnoteReference w:id="6"/>
      </w:r>
      <w:r w:rsidRPr="00C123B1">
        <w:t xml:space="preserve"> for this information collection as follows.</w:t>
      </w:r>
      <w:r w:rsidR="00167797">
        <w:t xml:space="preserve">  </w:t>
      </w:r>
      <w:r w:rsidRPr="00167797" w:rsidR="00167797">
        <w:t xml:space="preserve">Please note that the cost figures in the Table for FERC-576 has been rounded (columns </w:t>
      </w:r>
      <w:r w:rsidR="00E32B08">
        <w:t>4</w:t>
      </w:r>
      <w:r w:rsidRPr="00167797" w:rsidR="00167797">
        <w:t xml:space="preserve">) for display purposes only. </w:t>
      </w:r>
      <w:r w:rsidR="00167797">
        <w:t xml:space="preserve"> </w:t>
      </w:r>
      <w:r w:rsidRPr="00167797" w:rsidR="00167797">
        <w:t xml:space="preserve">The calculations for the ‘cost per response’ are based on the number of hours </w:t>
      </w:r>
      <w:proofErr w:type="spellStart"/>
      <w:r w:rsidRPr="00167797" w:rsidR="00167797">
        <w:t>mutplied</w:t>
      </w:r>
      <w:proofErr w:type="spellEnd"/>
      <w:r w:rsidRPr="00167797" w:rsidR="00167797">
        <w:t xml:space="preserve"> by the total weight hourly cost.</w:t>
      </w:r>
    </w:p>
    <w:tbl>
      <w:tblPr>
        <w:tblW w:w="4935" w:type="pct"/>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1122"/>
        <w:gridCol w:w="1342"/>
        <w:gridCol w:w="1200"/>
        <w:gridCol w:w="1082"/>
        <w:gridCol w:w="1681"/>
        <w:gridCol w:w="1312"/>
      </w:tblGrid>
      <w:tr w:rsidRPr="00C123B1" w:rsidR="005A7903" w:rsidTr="00EB20B6" w14:paraId="24E712D8" w14:textId="77777777">
        <w:trPr>
          <w:cantSplit/>
          <w:trHeight w:val="257"/>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F01907" w:rsidR="005A7903" w:rsidP="00EB20B6" w:rsidRDefault="005A7903" w14:paraId="562A03F8" w14:textId="77777777">
            <w:pPr>
              <w:spacing w:line="256" w:lineRule="auto"/>
              <w:jc w:val="center"/>
              <w:rPr>
                <w:rFonts w:eastAsia="Calibri"/>
                <w:b/>
                <w:sz w:val="24"/>
              </w:rPr>
            </w:pPr>
            <w:r w:rsidRPr="00F01907">
              <w:rPr>
                <w:rFonts w:eastAsia="Calibri"/>
                <w:b/>
                <w:sz w:val="24"/>
              </w:rPr>
              <w:t xml:space="preserve">FERC-576, </w:t>
            </w:r>
            <w:bookmarkStart w:name="_Hlk76053392" w:id="3"/>
            <w:r w:rsidRPr="00F01907">
              <w:rPr>
                <w:rFonts w:eastAsia="Calibri"/>
                <w:b/>
                <w:sz w:val="24"/>
              </w:rPr>
              <w:t xml:space="preserve">Report of Service Interruptions </w:t>
            </w:r>
            <w:r w:rsidRPr="00F01907">
              <w:rPr>
                <w:b/>
                <w:sz w:val="24"/>
              </w:rPr>
              <w:t>or Damage to Facilities</w:t>
            </w:r>
            <w:bookmarkEnd w:id="3"/>
          </w:p>
        </w:tc>
      </w:tr>
      <w:tr w:rsidRPr="00C123B1" w:rsidR="005A7903" w:rsidTr="00EB20B6" w14:paraId="76AFA453" w14:textId="77777777">
        <w:trPr>
          <w:cantSplit/>
          <w:trHeight w:val="1836"/>
        </w:trPr>
        <w:tc>
          <w:tcPr>
            <w:tcW w:w="807" w:type="pct"/>
            <w:tcBorders>
              <w:top w:val="single" w:color="auto" w:sz="4" w:space="0"/>
              <w:left w:val="single" w:color="auto" w:sz="4" w:space="0"/>
              <w:bottom w:val="single" w:color="auto" w:sz="4" w:space="0"/>
              <w:right w:val="single" w:color="auto" w:sz="4" w:space="0"/>
            </w:tcBorders>
            <w:shd w:val="clear" w:color="auto" w:fill="D9D9D9"/>
          </w:tcPr>
          <w:p w:rsidRPr="00C123B1" w:rsidR="005A7903" w:rsidP="00EB20B6" w:rsidRDefault="005A7903" w14:paraId="4FCAA276" w14:textId="77777777">
            <w:pPr>
              <w:spacing w:line="256" w:lineRule="auto"/>
              <w:jc w:val="center"/>
              <w:rPr>
                <w:rFonts w:eastAsia="Calibri"/>
                <w:b/>
                <w:sz w:val="24"/>
              </w:rPr>
            </w:pPr>
          </w:p>
        </w:tc>
        <w:tc>
          <w:tcPr>
            <w:tcW w:w="60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23B1" w:rsidR="005A7903" w:rsidP="00EB20B6" w:rsidRDefault="005A7903" w14:paraId="2BC77956" w14:textId="77777777">
            <w:pPr>
              <w:spacing w:line="256" w:lineRule="auto"/>
              <w:jc w:val="center"/>
              <w:rPr>
                <w:rFonts w:eastAsia="Calibri"/>
                <w:b/>
                <w:sz w:val="24"/>
              </w:rPr>
            </w:pPr>
            <w:r w:rsidRPr="00C123B1">
              <w:rPr>
                <w:rFonts w:eastAsia="Calibri"/>
                <w:b/>
                <w:sz w:val="24"/>
              </w:rPr>
              <w:t>Number of Respondents</w:t>
            </w:r>
            <w:r>
              <w:rPr>
                <w:rStyle w:val="FootnoteReference"/>
                <w:rFonts w:eastAsia="Calibri"/>
              </w:rPr>
              <w:footnoteReference w:id="7"/>
            </w:r>
          </w:p>
          <w:p w:rsidRPr="00C123B1" w:rsidR="005A7903" w:rsidP="00EB20B6" w:rsidRDefault="005A7903" w14:paraId="1E86A45F" w14:textId="77777777">
            <w:pPr>
              <w:spacing w:line="256" w:lineRule="auto"/>
              <w:jc w:val="center"/>
              <w:rPr>
                <w:rFonts w:eastAsia="Calibri"/>
                <w:b/>
                <w:sz w:val="24"/>
              </w:rPr>
            </w:pPr>
            <w:r w:rsidRPr="00C123B1">
              <w:rPr>
                <w:rFonts w:eastAsia="Calibri"/>
                <w:b/>
                <w:sz w:val="24"/>
              </w:rPr>
              <w:t>(1)</w:t>
            </w:r>
          </w:p>
        </w:tc>
        <w:tc>
          <w:tcPr>
            <w:tcW w:w="72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23B1" w:rsidR="005A7903" w:rsidP="00EB20B6" w:rsidRDefault="005A7903" w14:paraId="2E5C98F8" w14:textId="77777777">
            <w:pPr>
              <w:spacing w:line="256" w:lineRule="auto"/>
              <w:jc w:val="center"/>
              <w:rPr>
                <w:rFonts w:eastAsia="Calibri"/>
                <w:b/>
                <w:sz w:val="24"/>
              </w:rPr>
            </w:pPr>
            <w:r w:rsidRPr="00C123B1">
              <w:rPr>
                <w:rFonts w:eastAsia="Calibri"/>
                <w:b/>
                <w:sz w:val="24"/>
              </w:rPr>
              <w:t>Annual Number of Responses per Respondent</w:t>
            </w:r>
          </w:p>
          <w:p w:rsidRPr="00C123B1" w:rsidR="005A7903" w:rsidP="00EB20B6" w:rsidRDefault="005A7903" w14:paraId="31652E5F" w14:textId="77777777">
            <w:pPr>
              <w:spacing w:line="256" w:lineRule="auto"/>
              <w:jc w:val="center"/>
              <w:rPr>
                <w:rFonts w:eastAsia="Calibri"/>
                <w:b/>
                <w:sz w:val="24"/>
              </w:rPr>
            </w:pPr>
            <w:r w:rsidRPr="00C123B1">
              <w:rPr>
                <w:rFonts w:eastAsia="Calibri"/>
                <w:b/>
                <w:sz w:val="24"/>
              </w:rPr>
              <w:t>(2)</w:t>
            </w:r>
          </w:p>
        </w:tc>
        <w:tc>
          <w:tcPr>
            <w:tcW w:w="65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23B1" w:rsidR="005A7903" w:rsidP="00EB20B6" w:rsidRDefault="005A7903" w14:paraId="11B0C8E8" w14:textId="77777777">
            <w:pPr>
              <w:spacing w:line="256" w:lineRule="auto"/>
              <w:jc w:val="center"/>
              <w:rPr>
                <w:rFonts w:eastAsia="Calibri"/>
                <w:b/>
                <w:sz w:val="24"/>
              </w:rPr>
            </w:pPr>
            <w:r w:rsidRPr="00C123B1">
              <w:rPr>
                <w:rFonts w:eastAsia="Calibri"/>
                <w:b/>
                <w:sz w:val="24"/>
              </w:rPr>
              <w:t>Total Number of Responses (</w:t>
            </w:r>
            <w:proofErr w:type="gramStart"/>
            <w:r w:rsidRPr="00C123B1">
              <w:rPr>
                <w:rFonts w:eastAsia="Calibri"/>
                <w:b/>
                <w:sz w:val="24"/>
              </w:rPr>
              <w:t>1)*</w:t>
            </w:r>
            <w:proofErr w:type="gramEnd"/>
            <w:r w:rsidRPr="00C123B1">
              <w:rPr>
                <w:rFonts w:eastAsia="Calibri"/>
                <w:b/>
                <w:sz w:val="24"/>
              </w:rPr>
              <w:t>(2)=(3)</w:t>
            </w:r>
          </w:p>
        </w:tc>
        <w:tc>
          <w:tcPr>
            <w:tcW w:w="58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23B1" w:rsidR="005A7903" w:rsidP="00EB20B6" w:rsidRDefault="005A7903" w14:paraId="46183051" w14:textId="7CD7AFFF">
            <w:pPr>
              <w:spacing w:line="256" w:lineRule="auto"/>
              <w:jc w:val="center"/>
              <w:rPr>
                <w:rFonts w:eastAsia="Calibri"/>
                <w:b/>
                <w:sz w:val="24"/>
              </w:rPr>
            </w:pPr>
            <w:r w:rsidRPr="00C123B1">
              <w:rPr>
                <w:rFonts w:eastAsia="Calibri"/>
                <w:b/>
                <w:sz w:val="24"/>
              </w:rPr>
              <w:t xml:space="preserve">Average </w:t>
            </w:r>
            <w:r w:rsidR="00167797">
              <w:rPr>
                <w:rFonts w:eastAsia="Calibri"/>
                <w:b/>
                <w:sz w:val="24"/>
              </w:rPr>
              <w:t xml:space="preserve">Annual </w:t>
            </w:r>
            <w:r w:rsidRPr="00C123B1">
              <w:rPr>
                <w:rFonts w:eastAsia="Calibri"/>
                <w:b/>
                <w:sz w:val="24"/>
              </w:rPr>
              <w:t>Burden Hrs. &amp; Cost ($) Per Response</w:t>
            </w:r>
          </w:p>
          <w:p w:rsidRPr="00C123B1" w:rsidR="005A7903" w:rsidP="00EB20B6" w:rsidRDefault="005A7903" w14:paraId="29026A92" w14:textId="77777777">
            <w:pPr>
              <w:spacing w:line="256" w:lineRule="auto"/>
              <w:jc w:val="center"/>
              <w:rPr>
                <w:rFonts w:eastAsia="Calibri"/>
                <w:b/>
                <w:sz w:val="24"/>
              </w:rPr>
            </w:pPr>
            <w:r w:rsidRPr="00C123B1">
              <w:rPr>
                <w:rFonts w:eastAsia="Calibri"/>
                <w:b/>
                <w:sz w:val="24"/>
              </w:rPr>
              <w:t>(4)</w:t>
            </w:r>
          </w:p>
        </w:tc>
        <w:tc>
          <w:tcPr>
            <w:tcW w:w="91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23B1" w:rsidR="005A7903" w:rsidP="00EB20B6" w:rsidRDefault="005A7903" w14:paraId="5CBF2007" w14:textId="77777777">
            <w:pPr>
              <w:spacing w:line="256" w:lineRule="auto"/>
              <w:jc w:val="center"/>
              <w:rPr>
                <w:rFonts w:eastAsia="Calibri"/>
                <w:b/>
                <w:sz w:val="24"/>
              </w:rPr>
            </w:pPr>
            <w:r w:rsidRPr="00C123B1">
              <w:rPr>
                <w:rFonts w:eastAsia="Calibri"/>
                <w:b/>
                <w:sz w:val="24"/>
              </w:rPr>
              <w:t>Total Annual Burden Hrs. &amp; Total Annual Cost</w:t>
            </w:r>
          </w:p>
          <w:p w:rsidRPr="00C123B1" w:rsidR="005A7903" w:rsidP="00EB20B6" w:rsidRDefault="005A7903" w14:paraId="2B3CA734" w14:textId="77777777">
            <w:pPr>
              <w:spacing w:line="256" w:lineRule="auto"/>
              <w:jc w:val="center"/>
              <w:rPr>
                <w:rFonts w:eastAsia="Calibri"/>
                <w:b/>
                <w:sz w:val="24"/>
              </w:rPr>
            </w:pPr>
            <w:r w:rsidRPr="00C123B1">
              <w:rPr>
                <w:rFonts w:eastAsia="Calibri"/>
                <w:b/>
                <w:sz w:val="24"/>
              </w:rPr>
              <w:t>(</w:t>
            </w:r>
            <w:proofErr w:type="gramStart"/>
            <w:r w:rsidRPr="00C123B1">
              <w:rPr>
                <w:rFonts w:eastAsia="Calibri"/>
                <w:b/>
                <w:sz w:val="24"/>
              </w:rPr>
              <w:t>3)*</w:t>
            </w:r>
            <w:proofErr w:type="gramEnd"/>
            <w:r w:rsidRPr="00C123B1">
              <w:rPr>
                <w:rFonts w:eastAsia="Calibri"/>
                <w:b/>
                <w:sz w:val="24"/>
              </w:rPr>
              <w:t>(4)=(5)</w:t>
            </w:r>
          </w:p>
        </w:tc>
        <w:tc>
          <w:tcPr>
            <w:tcW w:w="71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23B1" w:rsidR="005A7903" w:rsidP="00EB20B6" w:rsidRDefault="00167797" w14:paraId="50E736A1" w14:textId="67FA05C3">
            <w:pPr>
              <w:spacing w:line="256" w:lineRule="auto"/>
              <w:jc w:val="center"/>
              <w:rPr>
                <w:rFonts w:eastAsia="Calibri"/>
                <w:b/>
                <w:sz w:val="24"/>
              </w:rPr>
            </w:pPr>
            <w:r>
              <w:rPr>
                <w:rFonts w:eastAsia="Calibri"/>
                <w:b/>
                <w:sz w:val="24"/>
              </w:rPr>
              <w:t xml:space="preserve">Average Annual </w:t>
            </w:r>
            <w:r w:rsidRPr="00C123B1" w:rsidR="005A7903">
              <w:rPr>
                <w:rFonts w:eastAsia="Calibri"/>
                <w:b/>
                <w:sz w:val="24"/>
              </w:rPr>
              <w:t>Cost per Respondent</w:t>
            </w:r>
            <w:bookmarkStart w:name="_GoBack" w:id="4"/>
            <w:bookmarkEnd w:id="4"/>
            <w:r w:rsidRPr="00C123B1" w:rsidR="005A7903">
              <w:rPr>
                <w:rFonts w:eastAsia="Calibri"/>
                <w:b/>
                <w:sz w:val="24"/>
              </w:rPr>
              <w:t xml:space="preserve"> ($)</w:t>
            </w:r>
          </w:p>
          <w:p w:rsidRPr="00C123B1" w:rsidR="005A7903" w:rsidP="00EB20B6" w:rsidRDefault="005A7903" w14:paraId="512795EE" w14:textId="77777777">
            <w:pPr>
              <w:spacing w:line="256" w:lineRule="auto"/>
              <w:jc w:val="center"/>
              <w:rPr>
                <w:rFonts w:eastAsia="Calibri"/>
                <w:b/>
                <w:sz w:val="24"/>
              </w:rPr>
            </w:pPr>
            <w:r w:rsidRPr="00C123B1">
              <w:rPr>
                <w:rFonts w:eastAsia="Calibri"/>
                <w:b/>
                <w:sz w:val="24"/>
              </w:rPr>
              <w:t>(</w:t>
            </w:r>
            <w:proofErr w:type="gramStart"/>
            <w:r w:rsidRPr="00C123B1">
              <w:rPr>
                <w:rFonts w:eastAsia="Calibri"/>
                <w:b/>
                <w:sz w:val="24"/>
              </w:rPr>
              <w:t>5)÷</w:t>
            </w:r>
            <w:proofErr w:type="gramEnd"/>
            <w:r w:rsidRPr="00C123B1">
              <w:rPr>
                <w:rFonts w:eastAsia="Calibri"/>
                <w:b/>
                <w:sz w:val="24"/>
              </w:rPr>
              <w:t>(1)</w:t>
            </w:r>
          </w:p>
        </w:tc>
      </w:tr>
      <w:tr w:rsidRPr="00C123B1" w:rsidR="005A7903" w:rsidTr="00EB20B6" w14:paraId="0C4657C8" w14:textId="77777777">
        <w:trPr>
          <w:cantSplit/>
          <w:trHeight w:val="1038"/>
        </w:trPr>
        <w:tc>
          <w:tcPr>
            <w:tcW w:w="807" w:type="pct"/>
            <w:tcBorders>
              <w:top w:val="single" w:color="auto" w:sz="4" w:space="0"/>
              <w:left w:val="single" w:color="auto" w:sz="4" w:space="0"/>
              <w:bottom w:val="single" w:color="auto" w:sz="4" w:space="0"/>
              <w:right w:val="single" w:color="auto" w:sz="4" w:space="0"/>
            </w:tcBorders>
            <w:hideMark/>
          </w:tcPr>
          <w:p w:rsidRPr="00C123B1" w:rsidR="005A7903" w:rsidP="00EB20B6" w:rsidRDefault="005A7903" w14:paraId="4B3FEE53" w14:textId="77777777">
            <w:pPr>
              <w:spacing w:line="256" w:lineRule="auto"/>
              <w:rPr>
                <w:rFonts w:eastAsia="Calibri"/>
                <w:sz w:val="24"/>
              </w:rPr>
            </w:pPr>
            <w:r>
              <w:rPr>
                <w:rFonts w:eastAsia="Calibri"/>
                <w:sz w:val="24"/>
              </w:rPr>
              <w:t>Notification of Incident – Service Interruption</w:t>
            </w:r>
          </w:p>
        </w:tc>
        <w:tc>
          <w:tcPr>
            <w:tcW w:w="608"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6EA6CED3" w14:textId="77777777">
            <w:pPr>
              <w:spacing w:line="256" w:lineRule="auto"/>
              <w:jc w:val="right"/>
              <w:rPr>
                <w:rFonts w:eastAsia="Calibri"/>
                <w:sz w:val="24"/>
              </w:rPr>
            </w:pPr>
            <w:r>
              <w:rPr>
                <w:rFonts w:eastAsia="Calibri"/>
                <w:sz w:val="24"/>
              </w:rPr>
              <w:t>50</w:t>
            </w:r>
          </w:p>
        </w:tc>
        <w:tc>
          <w:tcPr>
            <w:tcW w:w="727"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10596B58" w14:textId="77777777">
            <w:pPr>
              <w:spacing w:line="256" w:lineRule="auto"/>
              <w:jc w:val="right"/>
              <w:rPr>
                <w:rFonts w:eastAsia="Calibri"/>
                <w:sz w:val="24"/>
              </w:rPr>
            </w:pPr>
            <w:r>
              <w:rPr>
                <w:rFonts w:eastAsia="Calibri"/>
                <w:sz w:val="24"/>
              </w:rPr>
              <w:t>1</w:t>
            </w:r>
          </w:p>
        </w:tc>
        <w:tc>
          <w:tcPr>
            <w:tcW w:w="650"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5177B7A7" w14:textId="77777777">
            <w:pPr>
              <w:spacing w:line="256" w:lineRule="auto"/>
              <w:jc w:val="right"/>
              <w:rPr>
                <w:rFonts w:eastAsia="Calibri"/>
                <w:sz w:val="24"/>
              </w:rPr>
            </w:pPr>
            <w:r>
              <w:rPr>
                <w:rFonts w:eastAsia="Calibri"/>
                <w:sz w:val="24"/>
              </w:rPr>
              <w:t>50</w:t>
            </w:r>
          </w:p>
        </w:tc>
        <w:tc>
          <w:tcPr>
            <w:tcW w:w="586"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78CD73B5" w14:textId="77777777">
            <w:pPr>
              <w:spacing w:line="256" w:lineRule="auto"/>
              <w:jc w:val="right"/>
              <w:rPr>
                <w:rFonts w:eastAsia="Calibri"/>
                <w:sz w:val="24"/>
              </w:rPr>
            </w:pPr>
            <w:r w:rsidRPr="00C123B1">
              <w:rPr>
                <w:rFonts w:eastAsia="Calibri"/>
                <w:sz w:val="24"/>
              </w:rPr>
              <w:t>1 hr.; $133.</w:t>
            </w:r>
            <w:r>
              <w:rPr>
                <w:rFonts w:eastAsia="Calibri"/>
                <w:sz w:val="24"/>
              </w:rPr>
              <w:t>38</w:t>
            </w:r>
          </w:p>
        </w:tc>
        <w:tc>
          <w:tcPr>
            <w:tcW w:w="911" w:type="pct"/>
            <w:tcBorders>
              <w:top w:val="single" w:color="auto" w:sz="4" w:space="0"/>
              <w:left w:val="single" w:color="auto" w:sz="4" w:space="0"/>
              <w:bottom w:val="single" w:color="auto" w:sz="4" w:space="0"/>
              <w:right w:val="single" w:color="auto" w:sz="4" w:space="0"/>
            </w:tcBorders>
            <w:vAlign w:val="bottom"/>
            <w:hideMark/>
          </w:tcPr>
          <w:p w:rsidR="005A7903" w:rsidP="00EB20B6" w:rsidRDefault="005A7903" w14:paraId="7CDCD21F" w14:textId="77777777">
            <w:pPr>
              <w:spacing w:line="256" w:lineRule="auto"/>
              <w:jc w:val="right"/>
              <w:rPr>
                <w:rFonts w:eastAsia="Calibri"/>
                <w:sz w:val="24"/>
              </w:rPr>
            </w:pPr>
            <w:r>
              <w:rPr>
                <w:rFonts w:eastAsia="Calibri"/>
                <w:sz w:val="24"/>
              </w:rPr>
              <w:t>50</w:t>
            </w:r>
            <w:r w:rsidRPr="00C123B1">
              <w:rPr>
                <w:rFonts w:eastAsia="Calibri"/>
                <w:sz w:val="24"/>
              </w:rPr>
              <w:t xml:space="preserve"> hrs.; </w:t>
            </w:r>
          </w:p>
          <w:p w:rsidRPr="00C123B1" w:rsidR="005A7903" w:rsidP="00EB20B6" w:rsidRDefault="005A7903" w14:paraId="3E75FAB4" w14:textId="77777777">
            <w:pPr>
              <w:spacing w:line="256" w:lineRule="auto"/>
              <w:jc w:val="right"/>
              <w:rPr>
                <w:rFonts w:eastAsia="Calibri"/>
                <w:sz w:val="24"/>
              </w:rPr>
            </w:pPr>
            <w:r w:rsidRPr="00C123B1">
              <w:rPr>
                <w:rFonts w:eastAsia="Calibri"/>
                <w:sz w:val="24"/>
              </w:rPr>
              <w:t>$</w:t>
            </w:r>
            <w:r>
              <w:rPr>
                <w:rFonts w:eastAsia="Calibri"/>
                <w:sz w:val="24"/>
              </w:rPr>
              <w:t>6,669</w:t>
            </w:r>
          </w:p>
        </w:tc>
        <w:tc>
          <w:tcPr>
            <w:tcW w:w="711"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4F1FA694" w14:textId="77777777">
            <w:pPr>
              <w:spacing w:line="256" w:lineRule="auto"/>
              <w:jc w:val="right"/>
              <w:rPr>
                <w:rFonts w:eastAsia="Calibri"/>
                <w:sz w:val="24"/>
              </w:rPr>
            </w:pPr>
            <w:r w:rsidRPr="00C123B1">
              <w:rPr>
                <w:rFonts w:eastAsia="Calibri"/>
                <w:sz w:val="24"/>
              </w:rPr>
              <w:t>$133.</w:t>
            </w:r>
            <w:r>
              <w:rPr>
                <w:rFonts w:eastAsia="Calibri"/>
                <w:sz w:val="24"/>
              </w:rPr>
              <w:t>38</w:t>
            </w:r>
          </w:p>
        </w:tc>
      </w:tr>
      <w:tr w:rsidRPr="00C123B1" w:rsidR="005A7903" w:rsidTr="00EB20B6" w14:paraId="29374FD5" w14:textId="77777777">
        <w:trPr>
          <w:cantSplit/>
          <w:trHeight w:val="789"/>
        </w:trPr>
        <w:tc>
          <w:tcPr>
            <w:tcW w:w="807" w:type="pct"/>
            <w:tcBorders>
              <w:top w:val="single" w:color="auto" w:sz="4" w:space="0"/>
              <w:left w:val="single" w:color="auto" w:sz="4" w:space="0"/>
              <w:bottom w:val="single" w:color="auto" w:sz="4" w:space="0"/>
              <w:right w:val="single" w:color="auto" w:sz="4" w:space="0"/>
            </w:tcBorders>
            <w:hideMark/>
          </w:tcPr>
          <w:p w:rsidRPr="00C123B1" w:rsidR="005A7903" w:rsidP="00EB20B6" w:rsidRDefault="005A7903" w14:paraId="01A2493C" w14:textId="77777777">
            <w:pPr>
              <w:spacing w:line="256" w:lineRule="auto"/>
              <w:rPr>
                <w:rFonts w:eastAsia="Calibri"/>
                <w:sz w:val="24"/>
              </w:rPr>
            </w:pPr>
            <w:r>
              <w:rPr>
                <w:rFonts w:eastAsia="Calibri"/>
                <w:sz w:val="24"/>
              </w:rPr>
              <w:t>Notification of Incident – Damage</w:t>
            </w:r>
          </w:p>
        </w:tc>
        <w:tc>
          <w:tcPr>
            <w:tcW w:w="608"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49E03167" w14:textId="77777777">
            <w:pPr>
              <w:spacing w:line="256" w:lineRule="auto"/>
              <w:jc w:val="right"/>
              <w:rPr>
                <w:rFonts w:eastAsia="Calibri"/>
                <w:sz w:val="24"/>
              </w:rPr>
            </w:pPr>
            <w:r>
              <w:rPr>
                <w:rFonts w:eastAsia="Calibri"/>
                <w:sz w:val="24"/>
              </w:rPr>
              <w:t xml:space="preserve">22 </w:t>
            </w:r>
          </w:p>
        </w:tc>
        <w:tc>
          <w:tcPr>
            <w:tcW w:w="727"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38D41582" w14:textId="77777777">
            <w:pPr>
              <w:spacing w:line="256" w:lineRule="auto"/>
              <w:jc w:val="right"/>
              <w:rPr>
                <w:rFonts w:eastAsia="Calibri"/>
                <w:sz w:val="24"/>
              </w:rPr>
            </w:pPr>
            <w:r>
              <w:rPr>
                <w:rFonts w:eastAsia="Calibri"/>
                <w:sz w:val="24"/>
              </w:rPr>
              <w:t>1</w:t>
            </w:r>
          </w:p>
        </w:tc>
        <w:tc>
          <w:tcPr>
            <w:tcW w:w="650"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3B4A0068" w14:textId="77777777">
            <w:pPr>
              <w:spacing w:line="256" w:lineRule="auto"/>
              <w:jc w:val="right"/>
              <w:rPr>
                <w:rFonts w:eastAsia="Calibri"/>
                <w:sz w:val="24"/>
              </w:rPr>
            </w:pPr>
            <w:r>
              <w:rPr>
                <w:rFonts w:eastAsia="Calibri"/>
                <w:sz w:val="24"/>
              </w:rPr>
              <w:t>22</w:t>
            </w:r>
          </w:p>
        </w:tc>
        <w:tc>
          <w:tcPr>
            <w:tcW w:w="586"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20FE6A01" w14:textId="31F700A3">
            <w:pPr>
              <w:spacing w:line="256" w:lineRule="auto"/>
              <w:jc w:val="right"/>
              <w:rPr>
                <w:rFonts w:eastAsia="Calibri"/>
                <w:sz w:val="24"/>
              </w:rPr>
            </w:pPr>
            <w:r w:rsidRPr="00C123B1">
              <w:rPr>
                <w:rFonts w:eastAsia="Calibri"/>
                <w:sz w:val="24"/>
              </w:rPr>
              <w:t>0.25 hrs.; $33.</w:t>
            </w:r>
            <w:r w:rsidR="00167797">
              <w:rPr>
                <w:rFonts w:eastAsia="Calibri"/>
                <w:sz w:val="24"/>
              </w:rPr>
              <w:t>3</w:t>
            </w:r>
            <w:r w:rsidRPr="00C123B1">
              <w:rPr>
                <w:rFonts w:eastAsia="Calibri"/>
                <w:sz w:val="24"/>
              </w:rPr>
              <w:t>5</w:t>
            </w:r>
          </w:p>
        </w:tc>
        <w:tc>
          <w:tcPr>
            <w:tcW w:w="911"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5B356222" w14:textId="77777777">
            <w:pPr>
              <w:spacing w:line="256" w:lineRule="auto"/>
              <w:jc w:val="right"/>
              <w:rPr>
                <w:rFonts w:eastAsia="Calibri"/>
                <w:sz w:val="24"/>
              </w:rPr>
            </w:pPr>
            <w:r>
              <w:rPr>
                <w:rFonts w:eastAsia="Calibri"/>
                <w:sz w:val="24"/>
              </w:rPr>
              <w:t>5.5</w:t>
            </w:r>
            <w:r w:rsidRPr="00C123B1">
              <w:rPr>
                <w:rFonts w:eastAsia="Calibri"/>
                <w:sz w:val="24"/>
              </w:rPr>
              <w:t xml:space="preserve"> hrs.;</w:t>
            </w:r>
          </w:p>
          <w:p w:rsidRPr="00C123B1" w:rsidR="005A7903" w:rsidP="00EB20B6" w:rsidRDefault="005A7903" w14:paraId="2A028DEA" w14:textId="13583530">
            <w:pPr>
              <w:spacing w:line="256" w:lineRule="auto"/>
              <w:jc w:val="right"/>
              <w:rPr>
                <w:rFonts w:eastAsia="Calibri"/>
                <w:sz w:val="24"/>
              </w:rPr>
            </w:pPr>
            <w:r w:rsidRPr="00C123B1">
              <w:rPr>
                <w:rFonts w:eastAsia="Calibri"/>
                <w:sz w:val="24"/>
              </w:rPr>
              <w:t>$</w:t>
            </w:r>
            <w:r>
              <w:rPr>
                <w:rFonts w:eastAsia="Calibri"/>
                <w:sz w:val="24"/>
              </w:rPr>
              <w:t>73</w:t>
            </w:r>
            <w:r w:rsidR="00E32B08">
              <w:rPr>
                <w:rFonts w:eastAsia="Calibri"/>
                <w:sz w:val="24"/>
              </w:rPr>
              <w:t>3</w:t>
            </w:r>
            <w:r>
              <w:rPr>
                <w:rFonts w:eastAsia="Calibri"/>
                <w:sz w:val="24"/>
              </w:rPr>
              <w:t>.</w:t>
            </w:r>
            <w:r w:rsidR="00E32B08">
              <w:rPr>
                <w:rFonts w:eastAsia="Calibri"/>
                <w:sz w:val="24"/>
              </w:rPr>
              <w:t>59</w:t>
            </w:r>
          </w:p>
        </w:tc>
        <w:tc>
          <w:tcPr>
            <w:tcW w:w="711"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3F0B2280" w14:textId="39FD2983">
            <w:pPr>
              <w:spacing w:line="256" w:lineRule="auto"/>
              <w:jc w:val="right"/>
              <w:rPr>
                <w:rFonts w:eastAsia="Calibri"/>
                <w:sz w:val="24"/>
              </w:rPr>
            </w:pPr>
            <w:r w:rsidRPr="00C123B1">
              <w:rPr>
                <w:rFonts w:eastAsia="Calibri"/>
                <w:sz w:val="24"/>
              </w:rPr>
              <w:t>$33.</w:t>
            </w:r>
            <w:r w:rsidR="00E32B08">
              <w:rPr>
                <w:rFonts w:eastAsia="Calibri"/>
                <w:sz w:val="24"/>
              </w:rPr>
              <w:t>3</w:t>
            </w:r>
            <w:r w:rsidRPr="00C123B1">
              <w:rPr>
                <w:rFonts w:eastAsia="Calibri"/>
                <w:sz w:val="24"/>
              </w:rPr>
              <w:t>5</w:t>
            </w:r>
          </w:p>
        </w:tc>
      </w:tr>
      <w:tr w:rsidRPr="00C123B1" w:rsidR="005A7903" w:rsidTr="00EB20B6" w14:paraId="7177B7BA" w14:textId="77777777">
        <w:trPr>
          <w:cantSplit/>
          <w:trHeight w:val="780"/>
        </w:trPr>
        <w:tc>
          <w:tcPr>
            <w:tcW w:w="807" w:type="pct"/>
            <w:tcBorders>
              <w:top w:val="single" w:color="auto" w:sz="4" w:space="0"/>
              <w:left w:val="single" w:color="auto" w:sz="4" w:space="0"/>
              <w:bottom w:val="single" w:color="auto" w:sz="4" w:space="0"/>
              <w:right w:val="single" w:color="auto" w:sz="4" w:space="0"/>
            </w:tcBorders>
            <w:hideMark/>
          </w:tcPr>
          <w:p w:rsidRPr="00C123B1" w:rsidR="005A7903" w:rsidP="00EB20B6" w:rsidRDefault="005A7903" w14:paraId="49FE7538" w14:textId="77777777">
            <w:pPr>
              <w:spacing w:line="256" w:lineRule="auto"/>
              <w:rPr>
                <w:rFonts w:eastAsia="Calibri"/>
                <w:sz w:val="24"/>
              </w:rPr>
            </w:pPr>
            <w:r w:rsidRPr="00C123B1">
              <w:rPr>
                <w:rFonts w:eastAsia="Calibri"/>
                <w:sz w:val="24"/>
              </w:rPr>
              <w:lastRenderedPageBreak/>
              <w:t>Submittal of DOT Incident Report</w:t>
            </w:r>
          </w:p>
        </w:tc>
        <w:tc>
          <w:tcPr>
            <w:tcW w:w="608"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41E3D330" w14:textId="77777777">
            <w:pPr>
              <w:spacing w:line="256" w:lineRule="auto"/>
              <w:jc w:val="right"/>
              <w:rPr>
                <w:rFonts w:eastAsia="Calibri"/>
                <w:sz w:val="24"/>
              </w:rPr>
            </w:pPr>
            <w:r>
              <w:rPr>
                <w:rFonts w:eastAsia="Calibri"/>
                <w:sz w:val="24"/>
              </w:rPr>
              <w:t>10</w:t>
            </w:r>
          </w:p>
        </w:tc>
        <w:tc>
          <w:tcPr>
            <w:tcW w:w="727"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5C29BD37" w14:textId="77777777">
            <w:pPr>
              <w:spacing w:line="256" w:lineRule="auto"/>
              <w:jc w:val="right"/>
              <w:rPr>
                <w:rFonts w:eastAsia="Calibri"/>
                <w:sz w:val="24"/>
              </w:rPr>
            </w:pPr>
            <w:r w:rsidRPr="00C123B1">
              <w:rPr>
                <w:rFonts w:eastAsia="Calibri"/>
                <w:sz w:val="24"/>
              </w:rPr>
              <w:t>1</w:t>
            </w:r>
          </w:p>
        </w:tc>
        <w:tc>
          <w:tcPr>
            <w:tcW w:w="650"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484CCC95" w14:textId="77777777">
            <w:pPr>
              <w:spacing w:line="256" w:lineRule="auto"/>
              <w:jc w:val="right"/>
              <w:rPr>
                <w:rFonts w:eastAsia="Calibri"/>
                <w:sz w:val="24"/>
              </w:rPr>
            </w:pPr>
            <w:r>
              <w:rPr>
                <w:rFonts w:eastAsia="Calibri"/>
                <w:sz w:val="24"/>
              </w:rPr>
              <w:t>10</w:t>
            </w:r>
          </w:p>
        </w:tc>
        <w:tc>
          <w:tcPr>
            <w:tcW w:w="586"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455155A8" w14:textId="402E4D79">
            <w:pPr>
              <w:spacing w:line="256" w:lineRule="auto"/>
              <w:jc w:val="right"/>
              <w:rPr>
                <w:rFonts w:eastAsia="Calibri"/>
                <w:sz w:val="24"/>
              </w:rPr>
            </w:pPr>
            <w:r w:rsidRPr="00C123B1">
              <w:rPr>
                <w:rFonts w:eastAsia="Calibri"/>
                <w:sz w:val="24"/>
              </w:rPr>
              <w:t>0.25 hrs.; $33.</w:t>
            </w:r>
            <w:r w:rsidR="00167797">
              <w:rPr>
                <w:rFonts w:eastAsia="Calibri"/>
                <w:sz w:val="24"/>
              </w:rPr>
              <w:t>3</w:t>
            </w:r>
            <w:r w:rsidRPr="00C123B1">
              <w:rPr>
                <w:rFonts w:eastAsia="Calibri"/>
                <w:sz w:val="24"/>
              </w:rPr>
              <w:t>5</w:t>
            </w:r>
          </w:p>
        </w:tc>
        <w:tc>
          <w:tcPr>
            <w:tcW w:w="911"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5C4FEC97" w14:textId="77777777">
            <w:pPr>
              <w:spacing w:line="256" w:lineRule="auto"/>
              <w:jc w:val="right"/>
              <w:rPr>
                <w:rFonts w:eastAsia="Calibri"/>
                <w:sz w:val="24"/>
              </w:rPr>
            </w:pPr>
            <w:r>
              <w:rPr>
                <w:rFonts w:eastAsia="Calibri"/>
                <w:sz w:val="24"/>
              </w:rPr>
              <w:t>2.5</w:t>
            </w:r>
            <w:r w:rsidRPr="00C123B1">
              <w:rPr>
                <w:rFonts w:eastAsia="Calibri"/>
                <w:sz w:val="24"/>
              </w:rPr>
              <w:t xml:space="preserve"> hrs.;</w:t>
            </w:r>
          </w:p>
          <w:p w:rsidRPr="00C123B1" w:rsidR="005A7903" w:rsidP="00EB20B6" w:rsidRDefault="005A7903" w14:paraId="01343F8A" w14:textId="77777777">
            <w:pPr>
              <w:spacing w:line="256" w:lineRule="auto"/>
              <w:jc w:val="right"/>
              <w:rPr>
                <w:rFonts w:eastAsia="Calibri"/>
                <w:sz w:val="24"/>
              </w:rPr>
            </w:pPr>
            <w:r w:rsidRPr="00C123B1">
              <w:rPr>
                <w:rFonts w:eastAsia="Calibri"/>
                <w:sz w:val="24"/>
              </w:rPr>
              <w:t>$</w:t>
            </w:r>
            <w:r w:rsidRPr="00D94B4E">
              <w:rPr>
                <w:rFonts w:eastAsia="Calibri"/>
                <w:sz w:val="24"/>
              </w:rPr>
              <w:t>333.45</w:t>
            </w:r>
          </w:p>
        </w:tc>
        <w:tc>
          <w:tcPr>
            <w:tcW w:w="711"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5A7903" w14:paraId="4C764D13" w14:textId="4B5EEE5A">
            <w:pPr>
              <w:spacing w:line="256" w:lineRule="auto"/>
              <w:jc w:val="right"/>
              <w:rPr>
                <w:rFonts w:eastAsia="Calibri"/>
                <w:sz w:val="24"/>
              </w:rPr>
            </w:pPr>
            <w:r w:rsidRPr="00C123B1">
              <w:rPr>
                <w:rFonts w:eastAsia="Calibri"/>
                <w:sz w:val="24"/>
              </w:rPr>
              <w:t>$33.</w:t>
            </w:r>
            <w:r w:rsidR="00E32B08">
              <w:rPr>
                <w:rFonts w:eastAsia="Calibri"/>
                <w:sz w:val="24"/>
              </w:rPr>
              <w:t>3</w:t>
            </w:r>
            <w:r w:rsidRPr="00C123B1">
              <w:rPr>
                <w:rFonts w:eastAsia="Calibri"/>
                <w:sz w:val="24"/>
              </w:rPr>
              <w:t>5</w:t>
            </w:r>
          </w:p>
        </w:tc>
      </w:tr>
      <w:tr w:rsidRPr="00C123B1" w:rsidR="005A7903" w:rsidTr="00EB20B6" w14:paraId="567CFA70" w14:textId="77777777">
        <w:trPr>
          <w:cantSplit/>
          <w:trHeight w:val="430"/>
        </w:trPr>
        <w:tc>
          <w:tcPr>
            <w:tcW w:w="807" w:type="pct"/>
            <w:tcBorders>
              <w:top w:val="single" w:color="auto" w:sz="4" w:space="0"/>
              <w:left w:val="single" w:color="auto" w:sz="4" w:space="0"/>
              <w:bottom w:val="single" w:color="auto" w:sz="4" w:space="0"/>
              <w:right w:val="single" w:color="auto" w:sz="4" w:space="0"/>
            </w:tcBorders>
            <w:hideMark/>
          </w:tcPr>
          <w:p w:rsidRPr="00C123B1" w:rsidR="005A7903" w:rsidP="00EB20B6" w:rsidRDefault="005A7903" w14:paraId="18D06078" w14:textId="77777777">
            <w:pPr>
              <w:spacing w:line="256" w:lineRule="auto"/>
              <w:rPr>
                <w:rFonts w:eastAsia="Calibri"/>
                <w:b/>
                <w:sz w:val="24"/>
              </w:rPr>
            </w:pPr>
            <w:r w:rsidRPr="00C123B1">
              <w:rPr>
                <w:rFonts w:eastAsia="Calibri"/>
                <w:b/>
                <w:sz w:val="24"/>
              </w:rPr>
              <w:t>TOTAL</w:t>
            </w:r>
          </w:p>
        </w:tc>
        <w:tc>
          <w:tcPr>
            <w:tcW w:w="608" w:type="pct"/>
            <w:tcBorders>
              <w:top w:val="single" w:color="auto" w:sz="4" w:space="0"/>
              <w:left w:val="single" w:color="auto" w:sz="4" w:space="0"/>
              <w:bottom w:val="single" w:color="auto" w:sz="4" w:space="0"/>
              <w:right w:val="single" w:color="auto" w:sz="4" w:space="0"/>
            </w:tcBorders>
            <w:shd w:val="clear" w:color="auto" w:fill="auto"/>
            <w:vAlign w:val="bottom"/>
          </w:tcPr>
          <w:p w:rsidRPr="00C123B1" w:rsidR="005A7903" w:rsidP="00EB20B6" w:rsidRDefault="005A7903" w14:paraId="0D11A5DA" w14:textId="77777777">
            <w:pPr>
              <w:spacing w:line="256" w:lineRule="auto"/>
              <w:jc w:val="right"/>
              <w:rPr>
                <w:rFonts w:eastAsia="Calibri"/>
                <w:sz w:val="24"/>
              </w:rPr>
            </w:pPr>
            <w:r>
              <w:rPr>
                <w:rFonts w:eastAsia="Calibri"/>
                <w:sz w:val="24"/>
              </w:rPr>
              <w:t>82</w:t>
            </w:r>
          </w:p>
        </w:tc>
        <w:tc>
          <w:tcPr>
            <w:tcW w:w="1963" w:type="pct"/>
            <w:gridSpan w:val="3"/>
            <w:tcBorders>
              <w:top w:val="single" w:color="auto" w:sz="4" w:space="0"/>
              <w:left w:val="single" w:color="auto" w:sz="4" w:space="0"/>
              <w:bottom w:val="single" w:color="auto" w:sz="4" w:space="0"/>
              <w:right w:val="single" w:color="auto" w:sz="4" w:space="0"/>
            </w:tcBorders>
            <w:shd w:val="clear" w:color="auto" w:fill="D9D9D9"/>
            <w:vAlign w:val="bottom"/>
          </w:tcPr>
          <w:p w:rsidRPr="00C123B1" w:rsidR="005A7903" w:rsidP="00EB20B6" w:rsidRDefault="005A7903" w14:paraId="79144FE5" w14:textId="77777777">
            <w:pPr>
              <w:spacing w:line="256" w:lineRule="auto"/>
              <w:jc w:val="right"/>
              <w:rPr>
                <w:rFonts w:eastAsia="Calibri"/>
                <w:sz w:val="24"/>
              </w:rPr>
            </w:pPr>
          </w:p>
        </w:tc>
        <w:tc>
          <w:tcPr>
            <w:tcW w:w="911" w:type="pct"/>
            <w:tcBorders>
              <w:top w:val="single" w:color="auto" w:sz="4" w:space="0"/>
              <w:left w:val="single" w:color="auto" w:sz="4" w:space="0"/>
              <w:bottom w:val="single" w:color="auto" w:sz="4" w:space="0"/>
              <w:right w:val="single" w:color="auto" w:sz="4" w:space="0"/>
            </w:tcBorders>
            <w:vAlign w:val="bottom"/>
            <w:hideMark/>
          </w:tcPr>
          <w:p w:rsidRPr="00C123B1" w:rsidR="005A7903" w:rsidP="00EB20B6" w:rsidRDefault="00E32B08" w14:paraId="1B49EAC5" w14:textId="140222E3">
            <w:pPr>
              <w:spacing w:line="256" w:lineRule="auto"/>
              <w:jc w:val="right"/>
              <w:rPr>
                <w:rFonts w:eastAsia="Calibri"/>
                <w:sz w:val="24"/>
              </w:rPr>
            </w:pPr>
            <w:r>
              <w:rPr>
                <w:rFonts w:eastAsia="Calibri"/>
                <w:sz w:val="24"/>
              </w:rPr>
              <w:t>58</w:t>
            </w:r>
            <w:r w:rsidRPr="00C123B1" w:rsidR="005A7903">
              <w:rPr>
                <w:rFonts w:eastAsia="Calibri"/>
                <w:sz w:val="24"/>
              </w:rPr>
              <w:t xml:space="preserve"> hrs.; $</w:t>
            </w:r>
            <w:r>
              <w:rPr>
                <w:rFonts w:eastAsia="Calibri"/>
                <w:sz w:val="24"/>
              </w:rPr>
              <w:t>7,736.04</w:t>
            </w:r>
          </w:p>
        </w:tc>
        <w:tc>
          <w:tcPr>
            <w:tcW w:w="711" w:type="pct"/>
            <w:tcBorders>
              <w:top w:val="single" w:color="auto" w:sz="4" w:space="0"/>
              <w:left w:val="single" w:color="auto" w:sz="4" w:space="0"/>
              <w:bottom w:val="single" w:color="auto" w:sz="4" w:space="0"/>
              <w:right w:val="single" w:color="auto" w:sz="4" w:space="0"/>
            </w:tcBorders>
            <w:shd w:val="clear" w:color="auto" w:fill="D9D9D9"/>
            <w:vAlign w:val="bottom"/>
          </w:tcPr>
          <w:p w:rsidRPr="00C123B1" w:rsidR="005A7903" w:rsidP="00EB20B6" w:rsidRDefault="005A7903" w14:paraId="7DC054AA" w14:textId="77777777">
            <w:pPr>
              <w:spacing w:line="256" w:lineRule="auto"/>
              <w:jc w:val="right"/>
              <w:rPr>
                <w:rFonts w:eastAsia="Calibri"/>
                <w:sz w:val="24"/>
                <w:highlight w:val="yellow"/>
              </w:rPr>
            </w:pPr>
          </w:p>
        </w:tc>
      </w:tr>
    </w:tbl>
    <w:p w:rsidRPr="00C123B1" w:rsidR="005A7903" w:rsidP="005A7903" w:rsidRDefault="005A7903" w14:paraId="13A07E1F" w14:textId="77777777">
      <w:pPr>
        <w:spacing w:line="480" w:lineRule="auto"/>
        <w:rPr>
          <w:sz w:val="24"/>
        </w:rPr>
      </w:pPr>
    </w:p>
    <w:p w:rsidRPr="00466D3F" w:rsidR="005A7903" w:rsidP="005A7903" w:rsidRDefault="005A7903" w14:paraId="0F13202A" w14:textId="77777777">
      <w:pPr>
        <w:ind w:firstLine="2174"/>
        <w:jc w:val="center"/>
      </w:pPr>
      <w:r w:rsidRPr="00466D3F">
        <w:t>Kimberly D. Bose,</w:t>
      </w:r>
    </w:p>
    <w:p w:rsidRPr="00466D3F" w:rsidR="005A7903" w:rsidP="005A7903" w:rsidRDefault="005A7903" w14:paraId="6BC5A7DF" w14:textId="77777777">
      <w:pPr>
        <w:ind w:firstLine="2174"/>
        <w:jc w:val="center"/>
      </w:pPr>
      <w:r w:rsidRPr="00466D3F">
        <w:t>Secretary.</w:t>
      </w:r>
    </w:p>
    <w:p w:rsidRPr="00466D3F" w:rsidR="005A7903" w:rsidP="005A7903" w:rsidRDefault="005A7903" w14:paraId="18C61432" w14:textId="77777777"/>
    <w:p w:rsidRPr="00466D3F" w:rsidR="005A7903" w:rsidP="005A7903" w:rsidRDefault="005A7903" w14:paraId="02017126" w14:textId="77777777">
      <w:pPr>
        <w:rPr>
          <w:sz w:val="24"/>
        </w:rPr>
      </w:pPr>
    </w:p>
    <w:p w:rsidRPr="00853ABC" w:rsidR="005A7903" w:rsidP="00C1124F" w:rsidRDefault="005A7903" w14:paraId="03E58B77" w14:textId="77777777">
      <w:pPr>
        <w:tabs>
          <w:tab w:val="left" w:pos="7880"/>
        </w:tabs>
        <w:spacing w:line="480" w:lineRule="auto"/>
      </w:pPr>
    </w:p>
    <w:sectPr w:rsidRPr="00853ABC" w:rsidR="005A7903"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2221B" w14:textId="77777777" w:rsidR="007C5D2D" w:rsidRDefault="007C5D2D" w:rsidP="00B01B16">
      <w:r>
        <w:separator/>
      </w:r>
    </w:p>
  </w:endnote>
  <w:endnote w:type="continuationSeparator" w:id="0">
    <w:p w14:paraId="255F98F3" w14:textId="77777777" w:rsidR="007C5D2D" w:rsidRDefault="007C5D2D" w:rsidP="00B01B16">
      <w:r>
        <w:continuationSeparator/>
      </w:r>
    </w:p>
  </w:endnote>
  <w:endnote w:type="continuationNotice" w:id="1">
    <w:p w14:paraId="1B72C952" w14:textId="77777777" w:rsidR="007C5D2D" w:rsidRDefault="007C5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F889D" w14:textId="77777777" w:rsidR="00A94A9C" w:rsidRDefault="00A9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D84B" w14:textId="77777777" w:rsidR="00A94A9C" w:rsidRDefault="00A94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51D0" w14:textId="77777777" w:rsidR="00A94A9C" w:rsidRDefault="00A9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8A605" w14:textId="77777777" w:rsidR="007C5D2D" w:rsidRDefault="007C5D2D" w:rsidP="00B01B16">
      <w:r>
        <w:separator/>
      </w:r>
    </w:p>
  </w:footnote>
  <w:footnote w:type="continuationSeparator" w:id="0">
    <w:p w14:paraId="033E671F" w14:textId="77777777" w:rsidR="007C5D2D" w:rsidRDefault="007C5D2D" w:rsidP="00B01B16">
      <w:r>
        <w:continuationSeparator/>
      </w:r>
    </w:p>
  </w:footnote>
  <w:footnote w:type="continuationNotice" w:id="1">
    <w:p w14:paraId="79A445F0" w14:textId="77777777" w:rsidR="007C5D2D" w:rsidRDefault="007C5D2D"/>
  </w:footnote>
  <w:footnote w:id="2">
    <w:p w14:paraId="4D708CBF" w14:textId="77777777" w:rsidR="00167797" w:rsidRPr="002F6F1A" w:rsidRDefault="00167797" w:rsidP="00167797">
      <w:pPr>
        <w:pStyle w:val="FootnoteText"/>
        <w:rPr>
          <w:sz w:val="24"/>
          <w:szCs w:val="24"/>
        </w:rPr>
      </w:pPr>
      <w:r w:rsidRPr="002F6F1A">
        <w:rPr>
          <w:rStyle w:val="FootnoteReference"/>
          <w:sz w:val="24"/>
          <w:szCs w:val="24"/>
        </w:rPr>
        <w:footnoteRef/>
      </w:r>
      <w:r w:rsidRPr="002F6F1A">
        <w:rPr>
          <w:sz w:val="24"/>
          <w:szCs w:val="24"/>
        </w:rPr>
        <w:t xml:space="preserve"> 86 FR 25852</w:t>
      </w:r>
    </w:p>
  </w:footnote>
  <w:footnote w:id="3">
    <w:p w14:paraId="0C5E6E03" w14:textId="77777777" w:rsidR="005A7903" w:rsidRPr="00DC177A" w:rsidRDefault="005A7903" w:rsidP="005A7903">
      <w:pPr>
        <w:pStyle w:val="FootnoteText"/>
        <w:rPr>
          <w:sz w:val="26"/>
          <w:szCs w:val="26"/>
        </w:rPr>
      </w:pPr>
      <w:r w:rsidRPr="00DC177A">
        <w:rPr>
          <w:rStyle w:val="FootnoteReference"/>
        </w:rPr>
        <w:footnoteRef/>
      </w:r>
      <w:r w:rsidRPr="00DC177A">
        <w:rPr>
          <w:sz w:val="26"/>
          <w:szCs w:val="26"/>
        </w:rPr>
        <w:t xml:space="preserve"> Mcf is a unit of measurement for natural gas that equals 1,000 cubic feet.</w:t>
      </w:r>
    </w:p>
  </w:footnote>
  <w:footnote w:id="4">
    <w:p w14:paraId="1DAF2D34" w14:textId="34EEE824" w:rsidR="005A7903" w:rsidRDefault="005A7903" w:rsidP="005A7903">
      <w:pPr>
        <w:pStyle w:val="FootnoteText"/>
        <w:rPr>
          <w:sz w:val="26"/>
          <w:szCs w:val="26"/>
        </w:rPr>
      </w:pPr>
      <w:r w:rsidRPr="00DC177A">
        <w:rPr>
          <w:rStyle w:val="FootnoteReference"/>
        </w:rPr>
        <w:footnoteRef/>
      </w:r>
      <w:r w:rsidRPr="00DC177A">
        <w:rPr>
          <w:sz w:val="26"/>
          <w:szCs w:val="26"/>
        </w:rPr>
        <w:t xml:space="preserve"> </w:t>
      </w:r>
      <w:bookmarkStart w:id="1" w:name="_Hlk71095478"/>
      <w:r w:rsidRPr="00DC177A">
        <w:rPr>
          <w:sz w:val="26"/>
          <w:szCs w:val="26"/>
        </w:rPr>
        <w:t>The number of respondents in the currently approved OMB inventory for FERC-567 is 197. Changes to the estimate were based on average number of respondents over the past three years.</w:t>
      </w:r>
      <w:bookmarkEnd w:id="1"/>
    </w:p>
    <w:p w14:paraId="4C4C8E69" w14:textId="77777777" w:rsidR="00A94A9C" w:rsidRPr="00DC177A" w:rsidRDefault="00A94A9C" w:rsidP="005A7903">
      <w:pPr>
        <w:pStyle w:val="FootnoteText"/>
        <w:rPr>
          <w:sz w:val="26"/>
          <w:szCs w:val="26"/>
        </w:rPr>
      </w:pPr>
    </w:p>
  </w:footnote>
  <w:footnote w:id="5">
    <w:p w14:paraId="6465F2A1" w14:textId="77777777" w:rsidR="005A7903" w:rsidRDefault="005A7903" w:rsidP="005A7903">
      <w:pPr>
        <w:pStyle w:val="FootnoteText"/>
      </w:pPr>
      <w:r w:rsidRPr="00DC177A">
        <w:rPr>
          <w:rStyle w:val="FootnoteReference"/>
        </w:rPr>
        <w:footnoteRef/>
      </w:r>
      <w:r w:rsidRPr="00DC177A">
        <w:rPr>
          <w:sz w:val="26"/>
          <w:szCs w:val="26"/>
        </w:rPr>
        <w:t xml:space="preserve"> The Commission staff estimates that the average respondent for FERC-567 is similarly situated to the Commission, in terms of salary plus benefits. Based on FERC’s 2020 annual average of $172,329 (for salary plus benefits), the average hourly cost is $83/hour.</w:t>
      </w:r>
      <w:r>
        <w:rPr>
          <w:sz w:val="26"/>
          <w:szCs w:val="26"/>
        </w:rPr>
        <w:t xml:space="preserve"> </w:t>
      </w:r>
    </w:p>
  </w:footnote>
  <w:footnote w:id="6">
    <w:p w14:paraId="3619F7C6" w14:textId="45155ACF" w:rsidR="005A7903" w:rsidRPr="00DC177A" w:rsidRDefault="005A7903" w:rsidP="005A7903">
      <w:pPr>
        <w:pStyle w:val="FootnoteText"/>
        <w:rPr>
          <w:sz w:val="26"/>
          <w:szCs w:val="26"/>
        </w:rPr>
      </w:pPr>
      <w:r w:rsidRPr="00DC177A">
        <w:rPr>
          <w:rStyle w:val="FootnoteReference"/>
        </w:rPr>
        <w:footnoteRef/>
      </w:r>
      <w:r w:rsidRPr="00DC177A">
        <w:rPr>
          <w:b/>
          <w:sz w:val="26"/>
          <w:szCs w:val="26"/>
        </w:rPr>
        <w:t xml:space="preserve"> </w:t>
      </w:r>
      <w:r w:rsidRPr="00DC177A">
        <w:rPr>
          <w:sz w:val="26"/>
          <w:szCs w:val="26"/>
        </w:rPr>
        <w:t xml:space="preserve">Costs (for wages and benefits) are based on wage figures from the Bureau of Labor Statistics (BLS) </w:t>
      </w:r>
      <w:bookmarkStart w:id="2" w:name="_Hlk76052925"/>
      <w:r w:rsidR="00E32B08" w:rsidRPr="00E32B08">
        <w:rPr>
          <w:sz w:val="26"/>
          <w:szCs w:val="26"/>
        </w:rPr>
        <w:t xml:space="preserve">at </w:t>
      </w:r>
      <w:bookmarkEnd w:id="2"/>
      <w:r w:rsidR="00E32B08" w:rsidRPr="00E32B08">
        <w:rPr>
          <w:sz w:val="26"/>
          <w:szCs w:val="26"/>
        </w:rPr>
        <w:t>http://bls.gov/oes/current/naics3_221000.htm, as of June 2021. In the 60-day notice, the cost</w:t>
      </w:r>
      <w:r w:rsidR="00E32B08">
        <w:rPr>
          <w:sz w:val="26"/>
          <w:szCs w:val="26"/>
        </w:rPr>
        <w:t>s</w:t>
      </w:r>
      <w:r w:rsidR="00E32B08" w:rsidRPr="00E32B08">
        <w:rPr>
          <w:sz w:val="26"/>
          <w:szCs w:val="26"/>
        </w:rPr>
        <w:t xml:space="preserve"> incorrectly reflected 2020 figures rather than the actual 2021 cost estimates.  The corrected costs are listed above and does not impact the renewal notice for FERC</w:t>
      </w:r>
      <w:r w:rsidR="002F6F1A">
        <w:rPr>
          <w:sz w:val="26"/>
          <w:szCs w:val="26"/>
        </w:rPr>
        <w:t>-</w:t>
      </w:r>
      <w:r w:rsidR="00E32B08" w:rsidRPr="00E32B08">
        <w:rPr>
          <w:sz w:val="26"/>
          <w:szCs w:val="26"/>
        </w:rPr>
        <w:t xml:space="preserve">567.  </w:t>
      </w:r>
      <w:r w:rsidRPr="00DC177A">
        <w:rPr>
          <w:sz w:val="26"/>
          <w:szCs w:val="26"/>
        </w:rPr>
        <w:t xml:space="preserve">Commission staff estimates that 20% of the work is performed by a manager, and 80% is performed by legal staff. The hourly costs for wages plus benefits are:  </w:t>
      </w:r>
    </w:p>
    <w:p w14:paraId="1D432AAB" w14:textId="77777777" w:rsidR="005A7903" w:rsidRPr="00DC177A" w:rsidRDefault="005A7903" w:rsidP="005A7903">
      <w:pPr>
        <w:pStyle w:val="FootnoteText"/>
        <w:numPr>
          <w:ilvl w:val="0"/>
          <w:numId w:val="8"/>
        </w:numPr>
        <w:rPr>
          <w:sz w:val="26"/>
          <w:szCs w:val="26"/>
        </w:rPr>
      </w:pPr>
      <w:r w:rsidRPr="00DC177A">
        <w:rPr>
          <w:sz w:val="26"/>
          <w:szCs w:val="26"/>
        </w:rPr>
        <w:t>Management (Occupational Code: 11-0000) is $97.89.</w:t>
      </w:r>
    </w:p>
    <w:p w14:paraId="34C89D64" w14:textId="77777777" w:rsidR="005A7903" w:rsidRPr="00DC177A" w:rsidRDefault="005A7903" w:rsidP="005A7903">
      <w:pPr>
        <w:pStyle w:val="FootnoteText"/>
        <w:numPr>
          <w:ilvl w:val="0"/>
          <w:numId w:val="8"/>
        </w:numPr>
        <w:rPr>
          <w:sz w:val="26"/>
          <w:szCs w:val="26"/>
        </w:rPr>
      </w:pPr>
      <w:r w:rsidRPr="00DC177A">
        <w:rPr>
          <w:sz w:val="26"/>
          <w:szCs w:val="26"/>
        </w:rPr>
        <w:t>Legal (Occupational Code: 23-0000) is $142.25.</w:t>
      </w:r>
    </w:p>
    <w:p w14:paraId="0F4AD2CF" w14:textId="77777777" w:rsidR="005A7903" w:rsidRPr="00DC177A" w:rsidRDefault="005A7903" w:rsidP="005A7903">
      <w:pPr>
        <w:pStyle w:val="FootnoteText"/>
        <w:rPr>
          <w:sz w:val="26"/>
          <w:szCs w:val="26"/>
        </w:rPr>
      </w:pPr>
      <w:r w:rsidRPr="00DC177A">
        <w:rPr>
          <w:sz w:val="26"/>
          <w:szCs w:val="26"/>
        </w:rPr>
        <w:t xml:space="preserve">Therefore, the weighted hourly cost (for wages plus benefits) is $133.38 [(0.20 * $97.89) + (0.80 * $142.25)]. </w:t>
      </w:r>
    </w:p>
  </w:footnote>
  <w:footnote w:id="7">
    <w:p w14:paraId="4485FBA2" w14:textId="77777777" w:rsidR="005A7903" w:rsidRPr="00DC177A" w:rsidRDefault="005A7903" w:rsidP="005A7903">
      <w:pPr>
        <w:pStyle w:val="FootnoteText"/>
        <w:rPr>
          <w:sz w:val="26"/>
          <w:szCs w:val="26"/>
        </w:rPr>
      </w:pPr>
      <w:r w:rsidRPr="00DC177A">
        <w:rPr>
          <w:rStyle w:val="FootnoteReference"/>
        </w:rPr>
        <w:footnoteRef/>
      </w:r>
      <w:r w:rsidRPr="00DC177A">
        <w:rPr>
          <w:sz w:val="26"/>
          <w:szCs w:val="26"/>
        </w:rPr>
        <w:t xml:space="preserve"> The total number of respondents in the currently approved OMB inventory for FERC-576 is 147. Changes to the estimate were based on average number of respondents over the past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FEE4" w14:textId="77777777" w:rsidR="00A94A9C" w:rsidRDefault="00A94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5553EA59" w:rsidR="00D43B63" w:rsidRDefault="00D43B63" w:rsidP="00810D18">
    <w:pPr>
      <w:pStyle w:val="Header"/>
    </w:pPr>
    <w:r>
      <w:t xml:space="preserve">Docket No. </w:t>
    </w:r>
    <w:r w:rsidR="00A8344E">
      <w:t>IC2</w:t>
    </w:r>
    <w:r>
      <w:t>1-2</w:t>
    </w:r>
    <w:r w:rsidR="005A7903">
      <w:t>0</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9561" w14:textId="77777777" w:rsidR="00A94A9C" w:rsidRDefault="00A94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34C49"/>
    <w:rsid w:val="000459B6"/>
    <w:rsid w:val="00056C5D"/>
    <w:rsid w:val="00062427"/>
    <w:rsid w:val="000861D3"/>
    <w:rsid w:val="00096CAD"/>
    <w:rsid w:val="000A0250"/>
    <w:rsid w:val="000A7E68"/>
    <w:rsid w:val="000E2568"/>
    <w:rsid w:val="000F0B0E"/>
    <w:rsid w:val="000F712C"/>
    <w:rsid w:val="0010087B"/>
    <w:rsid w:val="001070DE"/>
    <w:rsid w:val="001240C7"/>
    <w:rsid w:val="0015578A"/>
    <w:rsid w:val="00155DE9"/>
    <w:rsid w:val="00156BBB"/>
    <w:rsid w:val="001600DF"/>
    <w:rsid w:val="00167797"/>
    <w:rsid w:val="00171725"/>
    <w:rsid w:val="00181BF7"/>
    <w:rsid w:val="001A6AD6"/>
    <w:rsid w:val="001B78B8"/>
    <w:rsid w:val="001E6510"/>
    <w:rsid w:val="00200437"/>
    <w:rsid w:val="00224BF2"/>
    <w:rsid w:val="00254C99"/>
    <w:rsid w:val="0027045E"/>
    <w:rsid w:val="0027452E"/>
    <w:rsid w:val="00293D56"/>
    <w:rsid w:val="002B531B"/>
    <w:rsid w:val="002B69FD"/>
    <w:rsid w:val="002B7AA8"/>
    <w:rsid w:val="002D5237"/>
    <w:rsid w:val="002E0351"/>
    <w:rsid w:val="002F24E8"/>
    <w:rsid w:val="002F3E94"/>
    <w:rsid w:val="002F697A"/>
    <w:rsid w:val="002F6F1A"/>
    <w:rsid w:val="00303717"/>
    <w:rsid w:val="00303F8B"/>
    <w:rsid w:val="003060F0"/>
    <w:rsid w:val="003062C2"/>
    <w:rsid w:val="00310EFC"/>
    <w:rsid w:val="00311D90"/>
    <w:rsid w:val="003149BC"/>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C3E7A"/>
    <w:rsid w:val="003C5CBE"/>
    <w:rsid w:val="003C7BC3"/>
    <w:rsid w:val="003E44AD"/>
    <w:rsid w:val="003F5968"/>
    <w:rsid w:val="00406999"/>
    <w:rsid w:val="0040718A"/>
    <w:rsid w:val="00426898"/>
    <w:rsid w:val="00443282"/>
    <w:rsid w:val="0044338D"/>
    <w:rsid w:val="0045734B"/>
    <w:rsid w:val="004609EE"/>
    <w:rsid w:val="00465E2B"/>
    <w:rsid w:val="004759C4"/>
    <w:rsid w:val="00485A51"/>
    <w:rsid w:val="004879AA"/>
    <w:rsid w:val="0049480F"/>
    <w:rsid w:val="004B7B57"/>
    <w:rsid w:val="004C70C8"/>
    <w:rsid w:val="004C77EF"/>
    <w:rsid w:val="004D27A2"/>
    <w:rsid w:val="004E4EAD"/>
    <w:rsid w:val="004F26DA"/>
    <w:rsid w:val="00513DA8"/>
    <w:rsid w:val="00514B50"/>
    <w:rsid w:val="00516493"/>
    <w:rsid w:val="0054073B"/>
    <w:rsid w:val="0054746C"/>
    <w:rsid w:val="005648E2"/>
    <w:rsid w:val="00566C57"/>
    <w:rsid w:val="0058081B"/>
    <w:rsid w:val="00585F73"/>
    <w:rsid w:val="005A0148"/>
    <w:rsid w:val="005A2F24"/>
    <w:rsid w:val="005A3F56"/>
    <w:rsid w:val="005A7903"/>
    <w:rsid w:val="005A7C58"/>
    <w:rsid w:val="005B4DA4"/>
    <w:rsid w:val="005C6D4E"/>
    <w:rsid w:val="005D16A1"/>
    <w:rsid w:val="005E6D8A"/>
    <w:rsid w:val="005F3DAA"/>
    <w:rsid w:val="005F726F"/>
    <w:rsid w:val="005F729D"/>
    <w:rsid w:val="006128A5"/>
    <w:rsid w:val="006144F3"/>
    <w:rsid w:val="0062085E"/>
    <w:rsid w:val="00634374"/>
    <w:rsid w:val="0063716C"/>
    <w:rsid w:val="00637F43"/>
    <w:rsid w:val="00642602"/>
    <w:rsid w:val="00644A1B"/>
    <w:rsid w:val="00650FA1"/>
    <w:rsid w:val="006536D8"/>
    <w:rsid w:val="00654BA4"/>
    <w:rsid w:val="00666A01"/>
    <w:rsid w:val="00680D78"/>
    <w:rsid w:val="00692352"/>
    <w:rsid w:val="00695E65"/>
    <w:rsid w:val="006963BC"/>
    <w:rsid w:val="006A34AE"/>
    <w:rsid w:val="006A423E"/>
    <w:rsid w:val="006C6B0C"/>
    <w:rsid w:val="006E10F4"/>
    <w:rsid w:val="006E75AA"/>
    <w:rsid w:val="006E7CBB"/>
    <w:rsid w:val="006F3647"/>
    <w:rsid w:val="00714F57"/>
    <w:rsid w:val="00727594"/>
    <w:rsid w:val="00727C5E"/>
    <w:rsid w:val="007349A2"/>
    <w:rsid w:val="007356B8"/>
    <w:rsid w:val="00741C80"/>
    <w:rsid w:val="0074219E"/>
    <w:rsid w:val="0075009F"/>
    <w:rsid w:val="00754526"/>
    <w:rsid w:val="00777183"/>
    <w:rsid w:val="00782ACA"/>
    <w:rsid w:val="007B588C"/>
    <w:rsid w:val="007C1916"/>
    <w:rsid w:val="007C5D2D"/>
    <w:rsid w:val="007C6AC2"/>
    <w:rsid w:val="007C729C"/>
    <w:rsid w:val="007E2F40"/>
    <w:rsid w:val="007F64F2"/>
    <w:rsid w:val="00803CA2"/>
    <w:rsid w:val="00807CAC"/>
    <w:rsid w:val="00810D18"/>
    <w:rsid w:val="008115BF"/>
    <w:rsid w:val="00812B30"/>
    <w:rsid w:val="00821DAB"/>
    <w:rsid w:val="00824D81"/>
    <w:rsid w:val="00836DF9"/>
    <w:rsid w:val="00847229"/>
    <w:rsid w:val="00853ABC"/>
    <w:rsid w:val="0085755E"/>
    <w:rsid w:val="00872AB9"/>
    <w:rsid w:val="00881405"/>
    <w:rsid w:val="0089069F"/>
    <w:rsid w:val="00895DA2"/>
    <w:rsid w:val="00897359"/>
    <w:rsid w:val="008A020E"/>
    <w:rsid w:val="008A1BF9"/>
    <w:rsid w:val="008B6E06"/>
    <w:rsid w:val="008C572B"/>
    <w:rsid w:val="008D25B7"/>
    <w:rsid w:val="008D300A"/>
    <w:rsid w:val="008D5479"/>
    <w:rsid w:val="008D5932"/>
    <w:rsid w:val="008E0B8C"/>
    <w:rsid w:val="008E0DF5"/>
    <w:rsid w:val="008E3273"/>
    <w:rsid w:val="008E5123"/>
    <w:rsid w:val="008E7400"/>
    <w:rsid w:val="009179E9"/>
    <w:rsid w:val="00937284"/>
    <w:rsid w:val="00940C0F"/>
    <w:rsid w:val="009420A9"/>
    <w:rsid w:val="0095311D"/>
    <w:rsid w:val="00954CCB"/>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1585A"/>
    <w:rsid w:val="00A2199A"/>
    <w:rsid w:val="00A237A2"/>
    <w:rsid w:val="00A2534D"/>
    <w:rsid w:val="00A2604E"/>
    <w:rsid w:val="00A43A4A"/>
    <w:rsid w:val="00A507F0"/>
    <w:rsid w:val="00A664DF"/>
    <w:rsid w:val="00A713D0"/>
    <w:rsid w:val="00A72814"/>
    <w:rsid w:val="00A759B3"/>
    <w:rsid w:val="00A82A29"/>
    <w:rsid w:val="00A8344E"/>
    <w:rsid w:val="00A8690F"/>
    <w:rsid w:val="00A86D9E"/>
    <w:rsid w:val="00A94A9C"/>
    <w:rsid w:val="00AA4050"/>
    <w:rsid w:val="00AA516A"/>
    <w:rsid w:val="00AA5B0E"/>
    <w:rsid w:val="00AC750B"/>
    <w:rsid w:val="00AC77B8"/>
    <w:rsid w:val="00AD4128"/>
    <w:rsid w:val="00AE1F12"/>
    <w:rsid w:val="00AE3A78"/>
    <w:rsid w:val="00AE4155"/>
    <w:rsid w:val="00AE4B7C"/>
    <w:rsid w:val="00AF349B"/>
    <w:rsid w:val="00B01B16"/>
    <w:rsid w:val="00B22DCB"/>
    <w:rsid w:val="00B2382E"/>
    <w:rsid w:val="00B34A0B"/>
    <w:rsid w:val="00B447D7"/>
    <w:rsid w:val="00B46E93"/>
    <w:rsid w:val="00B46F03"/>
    <w:rsid w:val="00B5066A"/>
    <w:rsid w:val="00B55B8C"/>
    <w:rsid w:val="00B56882"/>
    <w:rsid w:val="00B65A09"/>
    <w:rsid w:val="00B76A1F"/>
    <w:rsid w:val="00B82F8C"/>
    <w:rsid w:val="00B961C3"/>
    <w:rsid w:val="00BA0FBC"/>
    <w:rsid w:val="00BA5479"/>
    <w:rsid w:val="00BB179A"/>
    <w:rsid w:val="00BB7D82"/>
    <w:rsid w:val="00BC200B"/>
    <w:rsid w:val="00BD74AE"/>
    <w:rsid w:val="00BE3392"/>
    <w:rsid w:val="00BE3FE7"/>
    <w:rsid w:val="00BF29D8"/>
    <w:rsid w:val="00BF2D74"/>
    <w:rsid w:val="00BF38BC"/>
    <w:rsid w:val="00BF4CC8"/>
    <w:rsid w:val="00BF7AC7"/>
    <w:rsid w:val="00C1124F"/>
    <w:rsid w:val="00C37BFF"/>
    <w:rsid w:val="00C44372"/>
    <w:rsid w:val="00C51458"/>
    <w:rsid w:val="00C53580"/>
    <w:rsid w:val="00C55838"/>
    <w:rsid w:val="00C55F30"/>
    <w:rsid w:val="00C728C5"/>
    <w:rsid w:val="00C77EF7"/>
    <w:rsid w:val="00C81A97"/>
    <w:rsid w:val="00C820F1"/>
    <w:rsid w:val="00C91512"/>
    <w:rsid w:val="00CA6636"/>
    <w:rsid w:val="00CA6D76"/>
    <w:rsid w:val="00CB7448"/>
    <w:rsid w:val="00CC431F"/>
    <w:rsid w:val="00CD37C7"/>
    <w:rsid w:val="00CD57EB"/>
    <w:rsid w:val="00CD5C97"/>
    <w:rsid w:val="00CD786C"/>
    <w:rsid w:val="00CE3598"/>
    <w:rsid w:val="00CF4753"/>
    <w:rsid w:val="00CF71E0"/>
    <w:rsid w:val="00D0083B"/>
    <w:rsid w:val="00D42209"/>
    <w:rsid w:val="00D43B63"/>
    <w:rsid w:val="00D44183"/>
    <w:rsid w:val="00D50830"/>
    <w:rsid w:val="00D65D56"/>
    <w:rsid w:val="00D9761F"/>
    <w:rsid w:val="00DA529F"/>
    <w:rsid w:val="00DC5017"/>
    <w:rsid w:val="00DD18FF"/>
    <w:rsid w:val="00DD2ED3"/>
    <w:rsid w:val="00DD7F1B"/>
    <w:rsid w:val="00DE09FF"/>
    <w:rsid w:val="00E024B6"/>
    <w:rsid w:val="00E13A02"/>
    <w:rsid w:val="00E32B08"/>
    <w:rsid w:val="00E34382"/>
    <w:rsid w:val="00E41DB9"/>
    <w:rsid w:val="00E634BB"/>
    <w:rsid w:val="00E655BE"/>
    <w:rsid w:val="00E75CE9"/>
    <w:rsid w:val="00E762BB"/>
    <w:rsid w:val="00E77B33"/>
    <w:rsid w:val="00E808B6"/>
    <w:rsid w:val="00E8661B"/>
    <w:rsid w:val="00E91FD5"/>
    <w:rsid w:val="00E92E09"/>
    <w:rsid w:val="00EA6337"/>
    <w:rsid w:val="00EA689F"/>
    <w:rsid w:val="00EB119D"/>
    <w:rsid w:val="00EB749E"/>
    <w:rsid w:val="00EF1D00"/>
    <w:rsid w:val="00EF2866"/>
    <w:rsid w:val="00EF33BE"/>
    <w:rsid w:val="00F0383C"/>
    <w:rsid w:val="00F0669A"/>
    <w:rsid w:val="00F11631"/>
    <w:rsid w:val="00F12A43"/>
    <w:rsid w:val="00F24AB0"/>
    <w:rsid w:val="00F309CB"/>
    <w:rsid w:val="00F44A0E"/>
    <w:rsid w:val="00F54E43"/>
    <w:rsid w:val="00F60C79"/>
    <w:rsid w:val="00F62A51"/>
    <w:rsid w:val="00F8646E"/>
    <w:rsid w:val="00F9675E"/>
    <w:rsid w:val="00FC3F00"/>
    <w:rsid w:val="00FE4B8E"/>
    <w:rsid w:val="00FF1D71"/>
    <w:rsid w:val="00FF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17F5AF2D-5D91-4F38-9763-397CBE12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988A66-C4BA-470A-94AD-454ABE85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3</cp:revision>
  <cp:lastPrinted>2016-12-20T13:40:00Z</cp:lastPrinted>
  <dcterms:created xsi:type="dcterms:W3CDTF">2021-07-15T19:20:00Z</dcterms:created>
  <dcterms:modified xsi:type="dcterms:W3CDTF">2021-07-15T20:50:00Z</dcterms:modified>
  <cp:category/>
  <dc:identifier/>
  <cp:contentStatus/>
  <cp:version/>
</cp:coreProperties>
</file>