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0C6A" w:rsidR="006C32B4" w:rsidP="00071460" w:rsidRDefault="006C32B4" w14:paraId="18B189C1" w14:textId="77777777">
      <w:pPr>
        <w:tabs>
          <w:tab w:val="left" w:pos="3320"/>
        </w:tabs>
        <w:spacing w:after="0" w:line="240" w:lineRule="auto"/>
        <w:jc w:val="center"/>
        <w:rPr>
          <w:rFonts w:ascii="Times New Roman" w:hAnsi="Times New Roman" w:eastAsia="Calibri" w:cs="Times New Roman"/>
          <w:sz w:val="24"/>
          <w:szCs w:val="24"/>
        </w:rPr>
      </w:pPr>
      <w:bookmarkStart w:name="_Hlk77251898" w:id="0"/>
      <w:r w:rsidRPr="00430C6A">
        <w:rPr>
          <w:rFonts w:ascii="Times New Roman" w:hAnsi="Times New Roman" w:eastAsia="Calibri" w:cs="Times New Roman"/>
          <w:sz w:val="24"/>
          <w:szCs w:val="24"/>
        </w:rPr>
        <w:t>Supporting Statement for</w:t>
      </w:r>
    </w:p>
    <w:p w:rsidR="00E00230" w:rsidP="00071460" w:rsidRDefault="006C32B4" w14:paraId="1431C285" w14:textId="5D1B689C">
      <w:pPr>
        <w:spacing w:after="0" w:line="240" w:lineRule="auto"/>
        <w:jc w:val="center"/>
        <w:rPr>
          <w:rFonts w:ascii="Times New Roman" w:hAnsi="Times New Roman" w:eastAsia="Calibri" w:cs="Times New Roman"/>
          <w:b/>
          <w:sz w:val="24"/>
          <w:szCs w:val="24"/>
        </w:rPr>
      </w:pPr>
      <w:r w:rsidRPr="00430C6A">
        <w:rPr>
          <w:rFonts w:ascii="Times New Roman" w:hAnsi="Times New Roman" w:eastAsia="Calibri" w:cs="Times New Roman"/>
          <w:b/>
          <w:sz w:val="24"/>
          <w:szCs w:val="24"/>
        </w:rPr>
        <w:t>FERC-567, Gas Pipeline Certificates: Annual Reports of System Flow Diagrams</w:t>
      </w:r>
      <w:r w:rsidRPr="00430C6A" w:rsidR="00E00230">
        <w:rPr>
          <w:rFonts w:ascii="Times New Roman" w:hAnsi="Times New Roman" w:eastAsia="Calibri" w:cs="Times New Roman"/>
          <w:b/>
          <w:sz w:val="24"/>
          <w:szCs w:val="24"/>
        </w:rPr>
        <w:t xml:space="preserve"> </w:t>
      </w:r>
      <w:bookmarkEnd w:id="0"/>
    </w:p>
    <w:p w:rsidRPr="00430C6A" w:rsidR="000F4C91" w:rsidP="00071460" w:rsidRDefault="000F4C91" w14:paraId="3167F308" w14:textId="77777777">
      <w:pPr>
        <w:spacing w:after="0" w:line="240" w:lineRule="auto"/>
        <w:jc w:val="center"/>
        <w:rPr>
          <w:rFonts w:ascii="Times New Roman" w:hAnsi="Times New Roman" w:eastAsia="Calibri" w:cs="Times New Roman"/>
          <w:b/>
          <w:sz w:val="24"/>
          <w:szCs w:val="24"/>
        </w:rPr>
      </w:pPr>
    </w:p>
    <w:p w:rsidRPr="00430C6A" w:rsidR="006C32B4" w:rsidP="00E00230" w:rsidRDefault="006C32B4" w14:paraId="2DB37CF2" w14:textId="18E719DD">
      <w:pPr>
        <w:spacing w:after="200" w:line="240" w:lineRule="auto"/>
        <w:rPr>
          <w:rFonts w:ascii="Times New Roman" w:hAnsi="Times New Roman" w:eastAsia="Calibri" w:cs="Times New Roman"/>
          <w:sz w:val="24"/>
          <w:szCs w:val="24"/>
        </w:rPr>
      </w:pPr>
      <w:bookmarkStart w:name="_Hlk77251991" w:id="1"/>
      <w:r w:rsidRPr="00430C6A">
        <w:rPr>
          <w:rFonts w:ascii="Times New Roman" w:hAnsi="Times New Roman" w:eastAsia="Calibri" w:cs="Times New Roman"/>
          <w:sz w:val="24"/>
          <w:szCs w:val="24"/>
        </w:rPr>
        <w:t xml:space="preserve">The Federal Energy Regulatory Commission (Commission or FERC) requests that the Office of Management and Budget (OMB) review and </w:t>
      </w:r>
      <w:r w:rsidRPr="00430C6A" w:rsidR="00AF2319">
        <w:rPr>
          <w:rFonts w:ascii="Times New Roman" w:hAnsi="Times New Roman" w:eastAsia="Calibri" w:cs="Times New Roman"/>
          <w:sz w:val="24"/>
          <w:szCs w:val="24"/>
        </w:rPr>
        <w:t>extend its approval</w:t>
      </w:r>
      <w:r w:rsidRPr="00430C6A" w:rsidR="004D7DCD">
        <w:rPr>
          <w:rFonts w:ascii="Times New Roman" w:hAnsi="Times New Roman" w:eastAsia="Calibri" w:cs="Times New Roman"/>
          <w:sz w:val="24"/>
          <w:szCs w:val="24"/>
        </w:rPr>
        <w:t xml:space="preserve"> to </w:t>
      </w:r>
      <w:r w:rsidRPr="00430C6A" w:rsidR="00460FD2">
        <w:rPr>
          <w:rFonts w:ascii="Times New Roman" w:hAnsi="Times New Roman" w:eastAsia="Calibri" w:cs="Times New Roman"/>
          <w:sz w:val="24"/>
          <w:szCs w:val="24"/>
        </w:rPr>
        <w:t>information collection requirements in</w:t>
      </w:r>
      <w:r w:rsidRPr="00430C6A">
        <w:rPr>
          <w:rFonts w:ascii="Times New Roman" w:hAnsi="Times New Roman" w:eastAsia="Calibri" w:cs="Times New Roman"/>
          <w:sz w:val="24"/>
          <w:szCs w:val="24"/>
        </w:rPr>
        <w:t xml:space="preserve"> FERC-567 </w:t>
      </w:r>
      <w:r w:rsidRPr="00430C6A" w:rsidR="00AF2319">
        <w:rPr>
          <w:rFonts w:ascii="Times New Roman" w:hAnsi="Times New Roman" w:eastAsia="Calibri" w:cs="Times New Roman"/>
          <w:sz w:val="24"/>
          <w:szCs w:val="24"/>
        </w:rPr>
        <w:t>(</w:t>
      </w:r>
      <w:r w:rsidRPr="00430C6A" w:rsidR="00E00230">
        <w:rPr>
          <w:rFonts w:ascii="Times New Roman" w:hAnsi="Times New Roman" w:eastAsia="Calibri" w:cs="Times New Roman"/>
          <w:sz w:val="24"/>
          <w:szCs w:val="24"/>
        </w:rPr>
        <w:t>Gas Pipeline Certificates: Annual Reports of System Flow Diagrams and System Capacity</w:t>
      </w:r>
      <w:r w:rsidRPr="00430C6A">
        <w:rPr>
          <w:rFonts w:ascii="Times New Roman" w:hAnsi="Times New Roman" w:eastAsia="Calibri" w:cs="Times New Roman"/>
          <w:sz w:val="24"/>
          <w:szCs w:val="24"/>
        </w:rPr>
        <w:t>, OMB Control No. 1902-0005</w:t>
      </w:r>
      <w:r w:rsidRPr="00430C6A" w:rsidR="004D7DCD">
        <w:rPr>
          <w:rFonts w:ascii="Times New Roman" w:hAnsi="Times New Roman" w:eastAsia="Calibri" w:cs="Times New Roman"/>
          <w:sz w:val="24"/>
          <w:szCs w:val="24"/>
        </w:rPr>
        <w:t>)</w:t>
      </w:r>
      <w:r w:rsidRPr="00430C6A" w:rsidR="0081757B">
        <w:rPr>
          <w:rFonts w:ascii="Times New Roman" w:hAnsi="Times New Roman" w:eastAsia="Calibri" w:cs="Times New Roman"/>
          <w:sz w:val="24"/>
          <w:szCs w:val="24"/>
        </w:rPr>
        <w:t xml:space="preserve"> for three years.</w:t>
      </w:r>
    </w:p>
    <w:p w:rsidRPr="00430C6A" w:rsidR="006C32B4" w:rsidP="00071460" w:rsidRDefault="006C32B4" w14:paraId="59CD0BA1"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b/>
          <w:bCs/>
          <w:sz w:val="24"/>
          <w:szCs w:val="24"/>
        </w:rPr>
      </w:pPr>
      <w:bookmarkStart w:name="_Hlk77252054" w:id="2"/>
      <w:bookmarkEnd w:id="1"/>
      <w:r w:rsidRPr="00430C6A">
        <w:rPr>
          <w:rFonts w:ascii="Times New Roman" w:hAnsi="Times New Roman" w:eastAsia="Calibri" w:cs="Times New Roman"/>
          <w:b/>
          <w:bCs/>
          <w:sz w:val="24"/>
          <w:szCs w:val="24"/>
        </w:rPr>
        <w:t>CIRCUMSTANCES THAT MAKE THE COLLECTION OF INFORMATION NECESSARY</w:t>
      </w:r>
    </w:p>
    <w:p w:rsidRPr="00430C6A" w:rsidR="006C32B4" w:rsidP="00071460" w:rsidRDefault="006C32B4" w14:paraId="2A4416C7" w14:textId="77777777">
      <w:pPr>
        <w:widowControl w:val="0"/>
        <w:autoSpaceDE w:val="0"/>
        <w:autoSpaceDN w:val="0"/>
        <w:adjustRightInd w:val="0"/>
        <w:spacing w:after="0" w:line="240" w:lineRule="auto"/>
        <w:ind w:left="360"/>
        <w:rPr>
          <w:rFonts w:ascii="Times New Roman" w:hAnsi="Times New Roman" w:eastAsia="Calibri" w:cs="Times New Roman"/>
          <w:b/>
          <w:bCs/>
          <w:sz w:val="24"/>
          <w:szCs w:val="24"/>
        </w:rPr>
      </w:pPr>
    </w:p>
    <w:p w:rsidRPr="00430C6A" w:rsidR="006C32B4" w:rsidP="00071460" w:rsidRDefault="006C32B4" w14:paraId="112A8A5E" w14:textId="2706A21A">
      <w:pPr>
        <w:tabs>
          <w:tab w:val="left" w:pos="-1440"/>
        </w:tabs>
        <w:spacing w:after="200" w:line="240" w:lineRule="auto"/>
        <w:rPr>
          <w:rFonts w:ascii="Times New Roman" w:hAnsi="Times New Roman" w:eastAsia="Calibri" w:cs="Times New Roman"/>
          <w:strike/>
          <w:sz w:val="24"/>
          <w:szCs w:val="24"/>
        </w:rPr>
      </w:pPr>
      <w:r w:rsidRPr="00430C6A">
        <w:rPr>
          <w:rFonts w:ascii="Times New Roman" w:hAnsi="Times New Roman" w:eastAsia="Calibri" w:cs="Times New Roman"/>
          <w:sz w:val="24"/>
          <w:szCs w:val="24"/>
        </w:rPr>
        <w:t>Under the Natural Gas Act (NGA)</w:t>
      </w:r>
      <w:r w:rsidRPr="00430C6A">
        <w:rPr>
          <w:rFonts w:ascii="Times New Roman" w:hAnsi="Times New Roman" w:eastAsia="Calibri" w:cs="Times New Roman"/>
          <w:sz w:val="24"/>
          <w:szCs w:val="24"/>
          <w:vertAlign w:val="superscript"/>
        </w:rPr>
        <w:footnoteReference w:id="1"/>
      </w:r>
      <w:r w:rsidRPr="00430C6A">
        <w:rPr>
          <w:rFonts w:ascii="Times New Roman" w:hAnsi="Times New Roman" w:eastAsia="Calibri" w:cs="Times New Roman"/>
          <w:sz w:val="24"/>
          <w:szCs w:val="24"/>
        </w:rPr>
        <w:t xml:space="preserve">, </w:t>
      </w:r>
      <w:r w:rsidRPr="00430C6A" w:rsidR="0008220F">
        <w:rPr>
          <w:rFonts w:ascii="Times New Roman" w:hAnsi="Times New Roman" w:eastAsia="Calibri" w:cs="Times New Roman"/>
          <w:sz w:val="24"/>
          <w:szCs w:val="24"/>
        </w:rPr>
        <w:t>a natural gas company must obtain FERC authorization to engage in the</w:t>
      </w:r>
      <w:r w:rsidRPr="00430C6A" w:rsidR="006C27D8">
        <w:rPr>
          <w:rFonts w:ascii="Times New Roman" w:hAnsi="Times New Roman" w:eastAsia="Calibri" w:cs="Times New Roman"/>
          <w:sz w:val="24"/>
          <w:szCs w:val="24"/>
        </w:rPr>
        <w:t xml:space="preserve"> </w:t>
      </w:r>
      <w:r w:rsidRPr="00430C6A" w:rsidR="0008220F">
        <w:rPr>
          <w:rFonts w:ascii="Times New Roman" w:hAnsi="Times New Roman" w:eastAsia="Calibri" w:cs="Times New Roman"/>
          <w:sz w:val="24"/>
          <w:szCs w:val="24"/>
        </w:rPr>
        <w:t>transportation of natural gas in interstate commerce, to undertake the construction or extension of any facilities, or to acquire or operate any such facility.  T</w:t>
      </w:r>
      <w:r w:rsidRPr="00430C6A">
        <w:rPr>
          <w:rFonts w:ascii="Times New Roman" w:hAnsi="Times New Roman" w:eastAsia="Calibri" w:cs="Times New Roman"/>
          <w:sz w:val="24"/>
          <w:szCs w:val="24"/>
        </w:rPr>
        <w:t>he Commission is authorized to make investigations and to collect and record data, to the extent the Commission may deem necessary or useful for the purpose of carrying out the provisions of the NGA.</w:t>
      </w:r>
    </w:p>
    <w:p w:rsidRPr="00430C6A" w:rsidR="006C32B4" w:rsidP="00430C6A" w:rsidRDefault="006C32B4" w14:paraId="280AE2DC" w14:textId="77777777">
      <w:pPr>
        <w:pStyle w:val="ListParagraph"/>
        <w:widowControl w:val="0"/>
        <w:numPr>
          <w:ilvl w:val="0"/>
          <w:numId w:val="10"/>
        </w:numPr>
        <w:tabs>
          <w:tab w:val="left" w:pos="-1440"/>
          <w:tab w:val="left" w:pos="1440"/>
        </w:tabs>
        <w:autoSpaceDE w:val="0"/>
        <w:autoSpaceDN w:val="0"/>
        <w:adjustRightInd w:val="0"/>
        <w:spacing w:after="0" w:line="240" w:lineRule="auto"/>
        <w:rPr>
          <w:rFonts w:ascii="Times New Roman" w:hAnsi="Times New Roman" w:eastAsia="Calibri" w:cs="Times New Roman"/>
          <w:strike/>
          <w:sz w:val="24"/>
          <w:szCs w:val="24"/>
        </w:rPr>
      </w:pPr>
      <w:r w:rsidRPr="00430C6A">
        <w:rPr>
          <w:rFonts w:ascii="Times New Roman" w:hAnsi="Times New Roman" w:eastAsia="Calibri" w:cs="Times New Roman"/>
          <w:sz w:val="24"/>
          <w:szCs w:val="24"/>
        </w:rPr>
        <w:t>Section 7 authorizes the Commission to process certificate applications and to analyze impacts of market expansions of new facilities.</w:t>
      </w:r>
    </w:p>
    <w:p w:rsidRPr="00430C6A" w:rsidR="006C32B4" w:rsidP="00430C6A" w:rsidRDefault="006C32B4" w14:paraId="44ADD9EE" w14:textId="77777777">
      <w:pPr>
        <w:pStyle w:val="ListParagraph"/>
        <w:widowControl w:val="0"/>
        <w:numPr>
          <w:ilvl w:val="0"/>
          <w:numId w:val="10"/>
        </w:numPr>
        <w:tabs>
          <w:tab w:val="left" w:pos="-1440"/>
          <w:tab w:val="left" w:pos="1440"/>
        </w:tabs>
        <w:autoSpaceDE w:val="0"/>
        <w:autoSpaceDN w:val="0"/>
        <w:adjustRightInd w:val="0"/>
        <w:spacing w:after="0" w:line="240" w:lineRule="auto"/>
        <w:rPr>
          <w:rFonts w:ascii="Times New Roman" w:hAnsi="Times New Roman" w:eastAsia="Calibri" w:cs="Times New Roman"/>
          <w:strike/>
          <w:sz w:val="24"/>
          <w:szCs w:val="24"/>
        </w:rPr>
      </w:pPr>
      <w:r w:rsidRPr="00430C6A">
        <w:rPr>
          <w:rFonts w:ascii="Times New Roman" w:hAnsi="Times New Roman" w:eastAsia="Calibri" w:cs="Times New Roman"/>
          <w:sz w:val="24"/>
          <w:szCs w:val="24"/>
        </w:rPr>
        <w:t>Section 10(a) authorizes the Commission to collect special reports from natural gas companies.</w:t>
      </w:r>
    </w:p>
    <w:p w:rsidRPr="00D2141F" w:rsidR="00D2141F" w:rsidP="00D2141F" w:rsidRDefault="006C32B4" w14:paraId="3C0BABE7" w14:textId="61A4FACF">
      <w:pPr>
        <w:pStyle w:val="ListParagraph"/>
        <w:widowControl w:val="0"/>
        <w:numPr>
          <w:ilvl w:val="0"/>
          <w:numId w:val="10"/>
        </w:numPr>
        <w:tabs>
          <w:tab w:val="left" w:pos="-1440"/>
          <w:tab w:val="left" w:pos="1440"/>
        </w:tabs>
        <w:autoSpaceDE w:val="0"/>
        <w:autoSpaceDN w:val="0"/>
        <w:adjustRightInd w:val="0"/>
        <w:spacing w:after="0" w:line="240" w:lineRule="auto"/>
        <w:rPr>
          <w:rFonts w:ascii="Times New Roman" w:hAnsi="Times New Roman" w:eastAsia="Calibri" w:cs="Times New Roman"/>
          <w:strike/>
          <w:sz w:val="24"/>
          <w:szCs w:val="24"/>
        </w:rPr>
      </w:pPr>
      <w:r w:rsidRPr="00430C6A">
        <w:rPr>
          <w:rFonts w:ascii="Times New Roman" w:hAnsi="Times New Roman" w:eastAsia="Calibri" w:cs="Times New Roman"/>
          <w:sz w:val="24"/>
          <w:szCs w:val="24"/>
        </w:rPr>
        <w:t>Section 16 provides the Commission administrative power to establish rules, regulations, and orders.</w:t>
      </w:r>
    </w:p>
    <w:p w:rsidRPr="00D2141F" w:rsidR="00D2141F" w:rsidP="00D2141F" w:rsidRDefault="00D2141F" w14:paraId="1136CE6A" w14:textId="77777777">
      <w:pPr>
        <w:pStyle w:val="ListParagraph"/>
        <w:widowControl w:val="0"/>
        <w:tabs>
          <w:tab w:val="left" w:pos="-1440"/>
          <w:tab w:val="left" w:pos="1440"/>
        </w:tabs>
        <w:autoSpaceDE w:val="0"/>
        <w:autoSpaceDN w:val="0"/>
        <w:adjustRightInd w:val="0"/>
        <w:spacing w:after="0" w:line="240" w:lineRule="auto"/>
        <w:rPr>
          <w:rFonts w:ascii="Times New Roman" w:hAnsi="Times New Roman" w:eastAsia="Calibri" w:cs="Times New Roman"/>
          <w:strike/>
          <w:sz w:val="24"/>
          <w:szCs w:val="24"/>
        </w:rPr>
      </w:pPr>
    </w:p>
    <w:p w:rsidRPr="00430C6A" w:rsidR="006C32B4" w:rsidP="00071460" w:rsidRDefault="006C32B4" w14:paraId="72899E26"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b/>
          <w:bCs/>
          <w:sz w:val="24"/>
          <w:szCs w:val="24"/>
        </w:rPr>
      </w:pPr>
      <w:r w:rsidRPr="009500D7">
        <w:rPr>
          <w:rFonts w:ascii="Times New Roman" w:hAnsi="Times New Roman" w:eastAsia="Calibri" w:cs="Times New Roman"/>
          <w:b/>
          <w:bCs/>
          <w:sz w:val="24"/>
          <w:szCs w:val="24"/>
        </w:rPr>
        <w:t>HOW, BY WHOM, AND</w:t>
      </w:r>
      <w:r w:rsidRPr="00430C6A">
        <w:rPr>
          <w:rFonts w:ascii="Times New Roman" w:hAnsi="Times New Roman" w:eastAsia="Calibri" w:cs="Times New Roman"/>
          <w:b/>
          <w:bCs/>
          <w:sz w:val="24"/>
          <w:szCs w:val="24"/>
        </w:rPr>
        <w:t xml:space="preserve"> FOR WHAT PURPOSE THE INFORMATION IS TO BE USED AND THE CONSEQUENCES OF NOT COLLECTING THE INFORMATION</w:t>
      </w:r>
    </w:p>
    <w:p w:rsidRPr="00430C6A" w:rsidR="006C32B4" w:rsidP="00071460" w:rsidRDefault="006C32B4" w14:paraId="24850414" w14:textId="77777777">
      <w:pPr>
        <w:widowControl w:val="0"/>
        <w:autoSpaceDE w:val="0"/>
        <w:autoSpaceDN w:val="0"/>
        <w:adjustRightInd w:val="0"/>
        <w:spacing w:after="0" w:line="240" w:lineRule="auto"/>
        <w:ind w:left="360"/>
        <w:rPr>
          <w:rFonts w:ascii="Times New Roman" w:hAnsi="Times New Roman" w:eastAsia="Calibri" w:cs="Times New Roman"/>
          <w:b/>
          <w:bCs/>
          <w:sz w:val="24"/>
          <w:szCs w:val="24"/>
        </w:rPr>
      </w:pPr>
    </w:p>
    <w:p w:rsidR="00430C6A" w:rsidP="00071460" w:rsidRDefault="006C32B4" w14:paraId="03778122" w14:textId="78683F51">
      <w:pPr>
        <w:tabs>
          <w:tab w:val="center"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The Commission uses the information collected under the requirements of the FERC-567 to obtain accurate data on pipeline facilities.  More specifically, the Commission utilizes the FERC-567 </w:t>
      </w:r>
      <w:r w:rsidRPr="00430C6A" w:rsidR="00313946">
        <w:rPr>
          <w:rFonts w:ascii="Times New Roman" w:hAnsi="Times New Roman" w:eastAsia="Calibri" w:cs="Times New Roman"/>
          <w:sz w:val="24"/>
          <w:szCs w:val="24"/>
        </w:rPr>
        <w:t xml:space="preserve">data </w:t>
      </w:r>
      <w:r w:rsidRPr="00430C6A">
        <w:rPr>
          <w:rFonts w:ascii="Times New Roman" w:hAnsi="Times New Roman" w:eastAsia="Calibri" w:cs="Times New Roman"/>
          <w:sz w:val="24"/>
          <w:szCs w:val="24"/>
        </w:rPr>
        <w:t xml:space="preserve">to </w:t>
      </w:r>
      <w:r w:rsidR="00977FB3">
        <w:rPr>
          <w:rFonts w:ascii="Times New Roman" w:hAnsi="Times New Roman" w:eastAsia="Calibri" w:cs="Times New Roman"/>
          <w:sz w:val="24"/>
          <w:szCs w:val="24"/>
        </w:rPr>
        <w:t>review a pipeline system as a whole and to inform analyses for new facilities proposed by pipelines in certificate applications</w:t>
      </w:r>
      <w:r w:rsidRPr="00430C6A">
        <w:rPr>
          <w:rFonts w:ascii="Times New Roman" w:hAnsi="Times New Roman" w:eastAsia="Calibri" w:cs="Times New Roman"/>
          <w:sz w:val="24"/>
          <w:szCs w:val="24"/>
        </w:rPr>
        <w:t xml:space="preserve">.  By </w:t>
      </w:r>
      <w:r w:rsidR="00977FB3">
        <w:rPr>
          <w:rFonts w:ascii="Times New Roman" w:hAnsi="Times New Roman" w:eastAsia="Calibri" w:cs="Times New Roman"/>
          <w:sz w:val="24"/>
          <w:szCs w:val="24"/>
        </w:rPr>
        <w:t>reviewing</w:t>
      </w:r>
      <w:r w:rsidRPr="00430C6A" w:rsidR="00977FB3">
        <w:rPr>
          <w:rFonts w:ascii="Times New Roman" w:hAnsi="Times New Roman" w:eastAsia="Calibri" w:cs="Times New Roman"/>
          <w:sz w:val="24"/>
          <w:szCs w:val="24"/>
        </w:rPr>
        <w:t xml:space="preserve"> </w:t>
      </w:r>
      <w:r w:rsidRPr="00430C6A">
        <w:rPr>
          <w:rFonts w:ascii="Times New Roman" w:hAnsi="Times New Roman" w:eastAsia="Calibri" w:cs="Times New Roman"/>
          <w:sz w:val="24"/>
          <w:szCs w:val="24"/>
        </w:rPr>
        <w:t>a pipeline applicant’s system</w:t>
      </w:r>
      <w:r w:rsidR="00977FB3">
        <w:rPr>
          <w:rFonts w:ascii="Times New Roman" w:hAnsi="Times New Roman" w:eastAsia="Calibri" w:cs="Times New Roman"/>
          <w:sz w:val="24"/>
          <w:szCs w:val="24"/>
        </w:rPr>
        <w:t>, as provided in FERC-567,</w:t>
      </w:r>
      <w:r w:rsidRPr="00430C6A">
        <w:rPr>
          <w:rFonts w:ascii="Times New Roman" w:hAnsi="Times New Roman" w:eastAsia="Calibri" w:cs="Times New Roman"/>
          <w:sz w:val="24"/>
          <w:szCs w:val="24"/>
        </w:rPr>
        <w:t xml:space="preserve"> Commission staff utilizes </w:t>
      </w:r>
      <w:r w:rsidR="00977FB3">
        <w:rPr>
          <w:rFonts w:ascii="Times New Roman" w:hAnsi="Times New Roman" w:eastAsia="Calibri" w:cs="Times New Roman"/>
          <w:sz w:val="24"/>
          <w:szCs w:val="24"/>
        </w:rPr>
        <w:t>the</w:t>
      </w:r>
      <w:r w:rsidRPr="00430C6A">
        <w:rPr>
          <w:rFonts w:ascii="Times New Roman" w:hAnsi="Times New Roman" w:eastAsia="Calibri" w:cs="Times New Roman"/>
          <w:sz w:val="24"/>
          <w:szCs w:val="24"/>
        </w:rPr>
        <w:t xml:space="preserve"> data to determine configuration/location of installed pipeline </w:t>
      </w:r>
      <w:proofErr w:type="gramStart"/>
      <w:r w:rsidRPr="00430C6A">
        <w:rPr>
          <w:rFonts w:ascii="Times New Roman" w:hAnsi="Times New Roman" w:eastAsia="Calibri" w:cs="Times New Roman"/>
          <w:sz w:val="24"/>
          <w:szCs w:val="24"/>
        </w:rPr>
        <w:t>facilities, and</w:t>
      </w:r>
      <w:proofErr w:type="gramEnd"/>
      <w:r w:rsidRPr="00430C6A">
        <w:rPr>
          <w:rFonts w:ascii="Times New Roman" w:hAnsi="Times New Roman" w:eastAsia="Calibri" w:cs="Times New Roman"/>
          <w:sz w:val="24"/>
          <w:szCs w:val="24"/>
        </w:rPr>
        <w:t xml:space="preserve"> verify and determine the receipt and delivery points between shippers, producers and pipeline companies.</w:t>
      </w:r>
      <w:r w:rsidRPr="00430C6A" w:rsidR="008A38BB">
        <w:rPr>
          <w:rFonts w:ascii="Times New Roman" w:hAnsi="Times New Roman" w:eastAsia="Calibri" w:cs="Times New Roman"/>
          <w:sz w:val="24"/>
          <w:szCs w:val="24"/>
        </w:rPr>
        <w:t xml:space="preserve">  </w:t>
      </w:r>
    </w:p>
    <w:p w:rsidRPr="00430C6A" w:rsidR="006C32B4" w:rsidP="00071460" w:rsidRDefault="006C32B4" w14:paraId="1DFA38E0" w14:textId="2827370C">
      <w:pPr>
        <w:tabs>
          <w:tab w:val="center"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Additionally, the Commissions uses the FERC-567 to determine the location of receipt and delivery points and emergency interconnections on a pipeline system, determine the location of  pipeline segments, laterals and compressor stations on a pipeline system, verify pipeline segment lengths and pipeline diameters, justify the maximum allowable operating pressures and suction and discharge pressures at compressor stations, verify the installed horsepower and volumes compressed at each compressor station, determine the existing shippers and producers currently using eac</w:t>
      </w:r>
      <w:bookmarkStart w:name="_GoBack" w:id="3"/>
      <w:bookmarkEnd w:id="3"/>
      <w:r w:rsidRPr="00430C6A">
        <w:rPr>
          <w:rFonts w:ascii="Times New Roman" w:hAnsi="Times New Roman" w:eastAsia="Calibri" w:cs="Times New Roman"/>
          <w:sz w:val="24"/>
          <w:szCs w:val="24"/>
        </w:rPr>
        <w:t xml:space="preserve">h pipeline company, and develop and evaluate alternatives to proposed facilities as a means to mitigate environmental impact of new pipeline construction. </w:t>
      </w:r>
    </w:p>
    <w:p w:rsidRPr="00430C6A" w:rsidR="006C32B4" w:rsidP="00071460" w:rsidRDefault="006C32B4" w14:paraId="2364B967" w14:textId="77777777">
      <w:pPr>
        <w:tabs>
          <w:tab w:val="center"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lastRenderedPageBreak/>
        <w:t>18 CFR 260.8 requires each major natural gas</w:t>
      </w:r>
      <w:r w:rsidRPr="00430C6A">
        <w:rPr>
          <w:rFonts w:ascii="Times New Roman" w:hAnsi="Times New Roman" w:eastAsia="Calibri" w:cs="Times New Roman"/>
          <w:sz w:val="24"/>
          <w:szCs w:val="24"/>
          <w:vertAlign w:val="superscript"/>
        </w:rPr>
        <w:footnoteReference w:id="2"/>
      </w:r>
      <w:r w:rsidRPr="00430C6A">
        <w:rPr>
          <w:rFonts w:ascii="Times New Roman" w:hAnsi="Times New Roman" w:eastAsia="Calibri" w:cs="Times New Roman"/>
          <w:sz w:val="24"/>
          <w:szCs w:val="24"/>
        </w:rPr>
        <w:t xml:space="preserve"> pipeline to file five (5) copies of a diagram or diagrams reflecting operating conditions on the pipeline’s main transmission system</w:t>
      </w:r>
      <w:r w:rsidRPr="00430C6A">
        <w:rPr>
          <w:rFonts w:ascii="Times New Roman" w:hAnsi="Times New Roman" w:eastAsia="Calibri" w:cs="Times New Roman"/>
          <w:sz w:val="24"/>
          <w:szCs w:val="24"/>
          <w:vertAlign w:val="superscript"/>
        </w:rPr>
        <w:footnoteReference w:id="3"/>
      </w:r>
      <w:r w:rsidRPr="00430C6A">
        <w:rPr>
          <w:rFonts w:ascii="Times New Roman" w:hAnsi="Times New Roman" w:eastAsia="Calibri" w:cs="Times New Roman"/>
          <w:sz w:val="24"/>
          <w:szCs w:val="24"/>
        </w:rPr>
        <w:t xml:space="preserve"> with the Commission by June 1</w:t>
      </w:r>
      <w:r w:rsidRPr="00430C6A">
        <w:rPr>
          <w:rFonts w:ascii="Times New Roman" w:hAnsi="Times New Roman" w:eastAsia="Calibri" w:cs="Times New Roman"/>
          <w:sz w:val="24"/>
          <w:szCs w:val="24"/>
          <w:vertAlign w:val="superscript"/>
        </w:rPr>
        <w:t>st</w:t>
      </w:r>
      <w:r w:rsidRPr="00430C6A">
        <w:rPr>
          <w:rFonts w:ascii="Times New Roman" w:hAnsi="Times New Roman" w:eastAsia="Calibri" w:cs="Times New Roman"/>
          <w:sz w:val="24"/>
          <w:szCs w:val="24"/>
        </w:rPr>
        <w:t xml:space="preserve"> of each year.  However, these reports may be submitted by </w:t>
      </w:r>
      <w:proofErr w:type="spellStart"/>
      <w:r w:rsidRPr="00430C6A">
        <w:rPr>
          <w:rFonts w:ascii="Times New Roman" w:hAnsi="Times New Roman" w:eastAsia="Calibri" w:cs="Times New Roman"/>
          <w:sz w:val="24"/>
          <w:szCs w:val="24"/>
        </w:rPr>
        <w:t>eFiling</w:t>
      </w:r>
      <w:proofErr w:type="spellEnd"/>
      <w:r w:rsidRPr="00430C6A">
        <w:rPr>
          <w:rFonts w:ascii="Times New Roman" w:hAnsi="Times New Roman" w:eastAsia="Calibri" w:cs="Times New Roman"/>
          <w:sz w:val="24"/>
          <w:szCs w:val="24"/>
        </w:rPr>
        <w:t xml:space="preserve">. If that option is selected by the respondent, there is no requirement for any paper copies.  </w:t>
      </w:r>
    </w:p>
    <w:p w:rsidRPr="00D2141F" w:rsidR="00D20DA6" w:rsidP="00D2141F" w:rsidRDefault="006C32B4" w14:paraId="02B82402" w14:textId="3746FF0C">
      <w:pPr>
        <w:tabs>
          <w:tab w:val="center"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These data are physical/engineering data not included as part of any other data collection requirement</w:t>
      </w:r>
      <w:r w:rsidR="00430C6A">
        <w:rPr>
          <w:rFonts w:ascii="Times New Roman" w:hAnsi="Times New Roman" w:eastAsia="Calibri" w:cs="Times New Roman"/>
          <w:sz w:val="24"/>
          <w:szCs w:val="24"/>
        </w:rPr>
        <w:t>s</w:t>
      </w:r>
      <w:r w:rsidRPr="00430C6A" w:rsidR="008A3BC2">
        <w:rPr>
          <w:rFonts w:ascii="Times New Roman" w:hAnsi="Times New Roman" w:eastAsia="Calibri" w:cs="Times New Roman"/>
          <w:sz w:val="24"/>
          <w:szCs w:val="24"/>
        </w:rPr>
        <w:t>.  The data is collected so that it’s available in the event the Commission needs to confirm pipeline facility data.</w:t>
      </w:r>
      <w:r w:rsidRPr="00430C6A" w:rsidR="00D20DA6">
        <w:rPr>
          <w:rFonts w:ascii="Times New Roman" w:hAnsi="Times New Roman" w:eastAsia="Times New Roman" w:cs="Times New Roman"/>
          <w:bCs/>
          <w:sz w:val="24"/>
          <w:szCs w:val="24"/>
        </w:rPr>
        <w:tab/>
      </w:r>
    </w:p>
    <w:p w:rsidRPr="00430C6A" w:rsidR="006C32B4" w:rsidP="00071460" w:rsidRDefault="006C32B4" w14:paraId="4F123E61"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b/>
          <w:bCs/>
          <w:sz w:val="24"/>
          <w:szCs w:val="24"/>
        </w:rPr>
      </w:pPr>
      <w:r w:rsidRPr="00430C6A">
        <w:rPr>
          <w:rFonts w:ascii="Times New Roman" w:hAnsi="Times New Roman" w:eastAsia="Calibri" w:cs="Times New Roman"/>
          <w:b/>
          <w:bCs/>
          <w:sz w:val="24"/>
          <w:szCs w:val="24"/>
        </w:rPr>
        <w:t>DESCRIBE ANY CONSIDERATION OF THE USE OF IMPROVED TECHNOLOGY TO REDUCE BURDEN AND TECHNICAL OR LEGAL OBSTACLES TO REDUCING BURDEN.</w:t>
      </w:r>
    </w:p>
    <w:p w:rsidRPr="00430C6A" w:rsidR="006C32B4" w:rsidP="00071460" w:rsidRDefault="006C32B4" w14:paraId="09EFF91E" w14:textId="77777777">
      <w:pPr>
        <w:widowControl w:val="0"/>
        <w:autoSpaceDE w:val="0"/>
        <w:autoSpaceDN w:val="0"/>
        <w:adjustRightInd w:val="0"/>
        <w:spacing w:after="0" w:line="240" w:lineRule="auto"/>
        <w:ind w:left="360"/>
        <w:rPr>
          <w:rFonts w:ascii="Times New Roman" w:hAnsi="Times New Roman" w:eastAsia="Calibri" w:cs="Times New Roman"/>
          <w:b/>
          <w:bCs/>
          <w:sz w:val="24"/>
          <w:szCs w:val="24"/>
        </w:rPr>
      </w:pPr>
    </w:p>
    <w:p w:rsidRPr="00430C6A" w:rsidR="00F07C6E" w:rsidP="00F07C6E" w:rsidRDefault="00F07C6E" w14:paraId="6243DD91" w14:textId="0EDB04CB">
      <w:pPr>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FERC-567 (usually with a security level of Critical Energy Infrastructure Information [CEII]) may be submitted electronically through the FERC’s </w:t>
      </w:r>
      <w:proofErr w:type="spellStart"/>
      <w:r w:rsidRPr="00430C6A">
        <w:rPr>
          <w:rFonts w:ascii="Times New Roman" w:hAnsi="Times New Roman" w:eastAsia="Calibri" w:cs="Times New Roman"/>
          <w:sz w:val="24"/>
          <w:szCs w:val="24"/>
        </w:rPr>
        <w:t>eFiling</w:t>
      </w:r>
      <w:proofErr w:type="spellEnd"/>
      <w:r w:rsidRPr="00430C6A">
        <w:rPr>
          <w:rFonts w:ascii="Times New Roman" w:hAnsi="Times New Roman" w:eastAsia="Calibri" w:cs="Times New Roman"/>
          <w:sz w:val="24"/>
          <w:szCs w:val="24"/>
        </w:rPr>
        <w:t xml:space="preserve"> system.  </w:t>
      </w:r>
    </w:p>
    <w:p w:rsidRPr="00430C6A" w:rsidR="00F07C6E" w:rsidP="00F07C6E" w:rsidRDefault="006C32B4" w14:paraId="364B955B" w14:textId="47AB5C86">
      <w:pPr>
        <w:rPr>
          <w:rFonts w:ascii="Times New Roman" w:hAnsi="Times New Roman" w:eastAsia="Calibri" w:cs="Times New Roman"/>
          <w:sz w:val="24"/>
          <w:szCs w:val="24"/>
        </w:rPr>
      </w:pPr>
      <w:r w:rsidRPr="00430C6A">
        <w:rPr>
          <w:rFonts w:ascii="Times New Roman" w:hAnsi="Times New Roman" w:eastAsia="Calibri" w:cs="Times New Roman"/>
          <w:sz w:val="24"/>
          <w:szCs w:val="24"/>
        </w:rPr>
        <w:t>The Commission continues to expand the list of filing types that may be submitted electronically</w:t>
      </w:r>
      <w:r w:rsidR="00C50A52">
        <w:rPr>
          <w:rFonts w:ascii="Times New Roman" w:hAnsi="Times New Roman" w:eastAsia="Calibri" w:cs="Times New Roman"/>
          <w:sz w:val="24"/>
          <w:szCs w:val="24"/>
        </w:rPr>
        <w:t xml:space="preserve"> to reduce burden on entities</w:t>
      </w:r>
      <w:r w:rsidRPr="00430C6A" w:rsidR="00F07C6E">
        <w:rPr>
          <w:rFonts w:ascii="Times New Roman" w:hAnsi="Times New Roman" w:eastAsia="Calibri" w:cs="Times New Roman"/>
          <w:sz w:val="24"/>
          <w:szCs w:val="24"/>
        </w:rPr>
        <w:t>.</w:t>
      </w:r>
      <w:r w:rsidR="00C50A52">
        <w:rPr>
          <w:rFonts w:ascii="Times New Roman" w:hAnsi="Times New Roman" w:eastAsia="Calibri" w:cs="Times New Roman"/>
          <w:sz w:val="24"/>
          <w:szCs w:val="24"/>
        </w:rPr>
        <w:t xml:space="preserve"> </w:t>
      </w:r>
      <w:r w:rsidRPr="00430C6A" w:rsidR="00F07C6E">
        <w:rPr>
          <w:rFonts w:ascii="Times New Roman" w:hAnsi="Times New Roman" w:eastAsia="Calibri" w:cs="Times New Roman"/>
          <w:sz w:val="24"/>
          <w:szCs w:val="24"/>
        </w:rPr>
        <w:t xml:space="preserve"> To see a full list of submission guidelines click here: </w:t>
      </w:r>
      <w:hyperlink w:history="1" r:id="rId13">
        <w:r w:rsidRPr="00430C6A" w:rsidR="008A3BC2">
          <w:rPr>
            <w:rStyle w:val="Hyperlink"/>
            <w:rFonts w:ascii="Times New Roman" w:hAnsi="Times New Roman" w:cs="Times New Roman"/>
            <w:sz w:val="24"/>
            <w:szCs w:val="24"/>
          </w:rPr>
          <w:t>https://www.ferc.gov/sites/default/files/2020-05/filing.pdf</w:t>
        </w:r>
      </w:hyperlink>
      <w:r w:rsidRPr="00430C6A" w:rsidR="008A3BC2">
        <w:rPr>
          <w:rFonts w:ascii="Times New Roman" w:hAnsi="Times New Roman" w:cs="Times New Roman"/>
          <w:sz w:val="24"/>
          <w:szCs w:val="24"/>
        </w:rPr>
        <w:t>.</w:t>
      </w:r>
      <w:r w:rsidRPr="00430C6A" w:rsidR="00D27F94">
        <w:rPr>
          <w:rFonts w:ascii="Times New Roman" w:hAnsi="Times New Roman" w:cs="Times New Roman"/>
          <w:sz w:val="24"/>
          <w:szCs w:val="24"/>
        </w:rPr>
        <w:t xml:space="preserve">  </w:t>
      </w:r>
    </w:p>
    <w:p w:rsidRPr="00C50A52" w:rsidR="006C32B4" w:rsidP="00071460" w:rsidRDefault="006C32B4" w14:paraId="433B7462" w14:textId="2D26B4FB">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DESCRIBE EFFORTS TO IDENTIFY DUPLICATION AND SHOW SPECIFICALLY WHY ANY SIMILAR INFORMATION ALREADY AVAILABLE CANNOT BE USED OR MODIFIED FOR USE FOR THE PURPOSE(S) DESCRIBED IN INSTRUCTION NO. 2</w:t>
      </w:r>
    </w:p>
    <w:p w:rsidRPr="00430C6A" w:rsidR="00C50A52" w:rsidP="00C50A52" w:rsidRDefault="00C50A52" w14:paraId="40F9BBED"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08220F" w14:paraId="44B55A80" w14:textId="0002D98D">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Filing requirements are periodically reviewed as information collection expiration dates arise or as the Commission may deem necessary in carrying out its regulatory responsibilities under the NGA </w:t>
      </w:r>
      <w:proofErr w:type="gramStart"/>
      <w:r w:rsidRPr="00430C6A">
        <w:rPr>
          <w:rFonts w:ascii="Times New Roman" w:hAnsi="Times New Roman" w:eastAsia="Calibri" w:cs="Times New Roman"/>
          <w:sz w:val="24"/>
          <w:szCs w:val="24"/>
        </w:rPr>
        <w:t>in an effort to</w:t>
      </w:r>
      <w:proofErr w:type="gramEnd"/>
      <w:r w:rsidRPr="00430C6A">
        <w:rPr>
          <w:rFonts w:ascii="Times New Roman" w:hAnsi="Times New Roman" w:eastAsia="Calibri" w:cs="Times New Roman"/>
          <w:sz w:val="24"/>
          <w:szCs w:val="24"/>
        </w:rPr>
        <w:t xml:space="preserve"> alleviate duplication.  All Commission information collections are subject to analysis by Commission staff and are examined for redundancy. </w:t>
      </w:r>
      <w:r w:rsidR="00D2141F">
        <w:rPr>
          <w:rFonts w:ascii="Times New Roman" w:hAnsi="Times New Roman" w:eastAsia="Calibri" w:cs="Times New Roman"/>
          <w:sz w:val="24"/>
          <w:szCs w:val="24"/>
        </w:rPr>
        <w:t xml:space="preserve"> </w:t>
      </w:r>
      <w:r w:rsidRPr="00430C6A" w:rsidR="006C32B4">
        <w:rPr>
          <w:rFonts w:ascii="Times New Roman" w:hAnsi="Times New Roman" w:eastAsia="Calibri" w:cs="Times New Roman"/>
          <w:sz w:val="24"/>
          <w:szCs w:val="24"/>
        </w:rPr>
        <w:t xml:space="preserve">The Commission is unaware of any other source of information </w:t>
      </w:r>
      <w:proofErr w:type="gramStart"/>
      <w:r w:rsidRPr="00430C6A" w:rsidR="006C32B4">
        <w:rPr>
          <w:rFonts w:ascii="Times New Roman" w:hAnsi="Times New Roman" w:eastAsia="Calibri" w:cs="Times New Roman"/>
          <w:sz w:val="24"/>
          <w:szCs w:val="24"/>
        </w:rPr>
        <w:t>similar to</w:t>
      </w:r>
      <w:proofErr w:type="gramEnd"/>
      <w:r w:rsidRPr="00430C6A" w:rsidR="006C32B4">
        <w:rPr>
          <w:rFonts w:ascii="Times New Roman" w:hAnsi="Times New Roman" w:eastAsia="Calibri" w:cs="Times New Roman"/>
          <w:sz w:val="24"/>
          <w:szCs w:val="24"/>
        </w:rPr>
        <w:t xml:space="preserve"> the additional requirements.</w:t>
      </w:r>
    </w:p>
    <w:p w:rsidR="008B0ACE" w:rsidP="00D2141F" w:rsidRDefault="006C32B4" w14:paraId="501BDB48" w14:textId="76E55BEB">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METHODS USED TO MINIMIZE BURDEN IN COLLECTION OF INFORMATION INVOLVING SMALL ENTITIES</w:t>
      </w:r>
    </w:p>
    <w:p w:rsidRPr="00D2141F" w:rsidR="00D2141F" w:rsidP="00D2141F" w:rsidRDefault="00D2141F" w14:paraId="58043EC8"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8B0ACE" w14:paraId="3B45B0EC" w14:textId="57D39970">
      <w:pPr>
        <w:spacing w:after="200" w:line="240" w:lineRule="auto"/>
        <w:rPr>
          <w:rFonts w:ascii="Times New Roman" w:hAnsi="Times New Roman" w:eastAsia="Calibri" w:cs="Times New Roman"/>
          <w:bCs/>
          <w:sz w:val="24"/>
          <w:szCs w:val="24"/>
        </w:rPr>
      </w:pPr>
      <w:r w:rsidRPr="00430C6A">
        <w:rPr>
          <w:rFonts w:ascii="Times New Roman" w:hAnsi="Times New Roman" w:eastAsia="Calibri" w:cs="Times New Roman"/>
          <w:sz w:val="24"/>
          <w:szCs w:val="24"/>
        </w:rPr>
        <w:t>For FERC-567, s</w:t>
      </w:r>
      <w:r w:rsidRPr="00430C6A" w:rsidR="0064001B">
        <w:rPr>
          <w:rFonts w:ascii="Times New Roman" w:hAnsi="Times New Roman" w:eastAsia="Calibri" w:cs="Times New Roman"/>
          <w:sz w:val="24"/>
          <w:szCs w:val="24"/>
        </w:rPr>
        <w:t xml:space="preserve">mall </w:t>
      </w:r>
      <w:r w:rsidRPr="00430C6A" w:rsidR="006C32B4">
        <w:rPr>
          <w:rFonts w:ascii="Times New Roman" w:hAnsi="Times New Roman" w:eastAsia="Calibri" w:cs="Times New Roman"/>
          <w:sz w:val="24"/>
          <w:szCs w:val="24"/>
        </w:rPr>
        <w:t xml:space="preserve">entities have the option of filing electronically through the </w:t>
      </w:r>
      <w:proofErr w:type="spellStart"/>
      <w:r w:rsidRPr="00430C6A" w:rsidR="006C32B4">
        <w:rPr>
          <w:rFonts w:ascii="Times New Roman" w:hAnsi="Times New Roman" w:eastAsia="Calibri" w:cs="Times New Roman"/>
          <w:sz w:val="24"/>
          <w:szCs w:val="24"/>
        </w:rPr>
        <w:t>eFiling</w:t>
      </w:r>
      <w:proofErr w:type="spellEnd"/>
      <w:r w:rsidRPr="00430C6A" w:rsidR="006C32B4">
        <w:rPr>
          <w:rFonts w:ascii="Times New Roman" w:hAnsi="Times New Roman" w:eastAsia="Calibri" w:cs="Times New Roman"/>
          <w:sz w:val="24"/>
          <w:szCs w:val="24"/>
        </w:rPr>
        <w:t xml:space="preserve"> interface as a means of reducing their incurred burden.  This is how the Commission attempts to minimize the burden of FERC-567 upon small entities.  However, </w:t>
      </w:r>
      <w:proofErr w:type="spellStart"/>
      <w:r w:rsidRPr="00430C6A" w:rsidR="006C32B4">
        <w:rPr>
          <w:rFonts w:ascii="Times New Roman" w:hAnsi="Times New Roman" w:eastAsia="Calibri" w:cs="Times New Roman"/>
          <w:sz w:val="24"/>
          <w:szCs w:val="24"/>
        </w:rPr>
        <w:t>eFiling</w:t>
      </w:r>
      <w:proofErr w:type="spellEnd"/>
      <w:r w:rsidRPr="00430C6A" w:rsidR="006C32B4">
        <w:rPr>
          <w:rFonts w:ascii="Times New Roman" w:hAnsi="Times New Roman" w:eastAsia="Calibri" w:cs="Times New Roman"/>
          <w:sz w:val="24"/>
          <w:szCs w:val="24"/>
        </w:rPr>
        <w:t xml:space="preserve"> is a means of submission available to all respondents with no regard to size.</w:t>
      </w:r>
      <w:r w:rsidRPr="00430C6A">
        <w:rPr>
          <w:rFonts w:ascii="Times New Roman" w:hAnsi="Times New Roman" w:eastAsia="Calibri" w:cs="Times New Roman"/>
          <w:sz w:val="24"/>
          <w:szCs w:val="24"/>
        </w:rPr>
        <w:t xml:space="preserve">  </w:t>
      </w:r>
      <w:r w:rsidRPr="00430C6A" w:rsidR="006C32B4">
        <w:rPr>
          <w:rFonts w:ascii="Times New Roman" w:hAnsi="Times New Roman" w:eastAsia="Calibri" w:cs="Times New Roman"/>
          <w:bCs/>
          <w:sz w:val="24"/>
          <w:szCs w:val="24"/>
        </w:rPr>
        <w:t>The burden will vary among applicants since the information should be specific for each applicant and site.</w:t>
      </w:r>
    </w:p>
    <w:p w:rsidRPr="00D2141F" w:rsidR="006C32B4" w:rsidP="00071460" w:rsidRDefault="006C32B4" w14:paraId="6EA09948" w14:textId="56530F9B">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sz w:val="24"/>
          <w:szCs w:val="24"/>
        </w:rPr>
        <w:t>CONSEQUENCE TO FEDERAL PROGRAM IF COLLECTION WERE CONDUCTED LESS FREQUENTLY</w:t>
      </w:r>
    </w:p>
    <w:p w:rsidRPr="00430C6A" w:rsidR="006C32B4" w:rsidP="00071460" w:rsidRDefault="006C32B4" w14:paraId="22255060" w14:textId="4B8A9635">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consequence of not collecting or collecting th</w:t>
      </w:r>
      <w:r w:rsidR="00430C6A">
        <w:rPr>
          <w:rFonts w:ascii="Times New Roman" w:hAnsi="Times New Roman" w:eastAsia="Calibri" w:cs="Times New Roman"/>
          <w:sz w:val="24"/>
          <w:szCs w:val="24"/>
        </w:rPr>
        <w:t xml:space="preserve">e </w:t>
      </w:r>
      <w:r w:rsidRPr="00430C6A">
        <w:rPr>
          <w:rFonts w:ascii="Times New Roman" w:hAnsi="Times New Roman" w:eastAsia="Calibri" w:cs="Times New Roman"/>
          <w:sz w:val="24"/>
          <w:szCs w:val="24"/>
        </w:rPr>
        <w:t>information</w:t>
      </w:r>
      <w:r w:rsidR="00430C6A">
        <w:rPr>
          <w:rFonts w:ascii="Times New Roman" w:hAnsi="Times New Roman" w:eastAsia="Calibri" w:cs="Times New Roman"/>
          <w:sz w:val="24"/>
          <w:szCs w:val="24"/>
        </w:rPr>
        <w:t xml:space="preserve"> of FERC-567 </w:t>
      </w:r>
      <w:r w:rsidRPr="00430C6A">
        <w:rPr>
          <w:rFonts w:ascii="Times New Roman" w:hAnsi="Times New Roman" w:eastAsia="Calibri" w:cs="Times New Roman"/>
          <w:sz w:val="24"/>
          <w:szCs w:val="24"/>
        </w:rPr>
        <w:t xml:space="preserve">less frequently would be the Commission’s inability to fulfill its statutory mandates under the NGA and its Rules of Practice and Procedure.  The Commission uses system flow diagrams </w:t>
      </w:r>
      <w:r w:rsidRPr="00430C6A" w:rsidR="008B0ACE">
        <w:rPr>
          <w:rFonts w:ascii="Times New Roman" w:hAnsi="Times New Roman" w:eastAsia="Calibri" w:cs="Times New Roman"/>
          <w:sz w:val="24"/>
          <w:szCs w:val="24"/>
        </w:rPr>
        <w:t xml:space="preserve">of FERC-567 </w:t>
      </w:r>
      <w:r w:rsidRPr="00430C6A">
        <w:rPr>
          <w:rFonts w:ascii="Times New Roman" w:hAnsi="Times New Roman" w:eastAsia="Calibri" w:cs="Times New Roman"/>
          <w:sz w:val="24"/>
          <w:szCs w:val="24"/>
        </w:rPr>
        <w:t xml:space="preserve">for </w:t>
      </w:r>
      <w:r w:rsidRPr="00430C6A">
        <w:rPr>
          <w:rFonts w:ascii="Times New Roman" w:hAnsi="Times New Roman" w:eastAsia="Calibri" w:cs="Times New Roman"/>
          <w:sz w:val="24"/>
          <w:szCs w:val="24"/>
        </w:rPr>
        <w:lastRenderedPageBreak/>
        <w:t>regulatory purposes in connection with processing applications filed by interstate pipelines under Sections 7(a), 7(b), and 7(c) of the NGA.</w:t>
      </w:r>
      <w:r w:rsidRPr="00430C6A" w:rsidR="008B0ACE">
        <w:rPr>
          <w:rFonts w:ascii="Times New Roman" w:hAnsi="Times New Roman" w:eastAsia="Calibri" w:cs="Times New Roman"/>
          <w:sz w:val="24"/>
          <w:szCs w:val="24"/>
        </w:rPr>
        <w:t xml:space="preserve">  </w:t>
      </w:r>
      <w:r w:rsidRPr="00430C6A">
        <w:rPr>
          <w:rFonts w:ascii="Times New Roman" w:hAnsi="Times New Roman" w:eastAsia="Calibri" w:cs="Times New Roman"/>
          <w:sz w:val="24"/>
          <w:szCs w:val="24"/>
        </w:rPr>
        <w:t>Various investigations and pipeline operations use this information in order to show interconnections with other pipelines, locations of gas supply sources, and the flow of gas and interconnections with customers’ facilities.</w:t>
      </w:r>
    </w:p>
    <w:p w:rsidRPr="009500D7" w:rsidR="008B0ACE" w:rsidP="00071460" w:rsidRDefault="008B0ACE" w14:paraId="1746BDC0" w14:textId="1078E69E">
      <w:pPr>
        <w:spacing w:after="200" w:line="240" w:lineRule="auto"/>
        <w:rPr>
          <w:rFonts w:ascii="Times New Roman" w:hAnsi="Times New Roman" w:eastAsia="Calibri" w:cs="Times New Roman"/>
          <w:sz w:val="24"/>
          <w:szCs w:val="24"/>
          <w:highlight w:val="yellow"/>
        </w:rPr>
      </w:pPr>
      <w:r w:rsidRPr="005D2901">
        <w:rPr>
          <w:rFonts w:ascii="Times New Roman" w:hAnsi="Times New Roman" w:eastAsia="Calibri" w:cs="Times New Roman"/>
          <w:sz w:val="24"/>
          <w:szCs w:val="24"/>
        </w:rPr>
        <w:t xml:space="preserve">If </w:t>
      </w:r>
      <w:r w:rsidRPr="009500D7">
        <w:rPr>
          <w:rFonts w:ascii="Times New Roman" w:hAnsi="Times New Roman" w:eastAsia="Calibri" w:cs="Times New Roman"/>
          <w:sz w:val="24"/>
          <w:szCs w:val="24"/>
        </w:rPr>
        <w:t>the Commission failed to collect these data</w:t>
      </w:r>
      <w:r w:rsidRPr="009500D7" w:rsidR="005D2901">
        <w:rPr>
          <w:rFonts w:ascii="Times New Roman" w:hAnsi="Times New Roman" w:eastAsia="Calibri" w:cs="Times New Roman"/>
          <w:sz w:val="24"/>
          <w:szCs w:val="24"/>
        </w:rPr>
        <w:t xml:space="preserve"> under F</w:t>
      </w:r>
      <w:r w:rsidRPr="005D2901" w:rsidR="005D2901">
        <w:rPr>
          <w:rFonts w:ascii="Times New Roman" w:hAnsi="Times New Roman" w:eastAsia="Calibri" w:cs="Times New Roman"/>
          <w:sz w:val="24"/>
          <w:szCs w:val="24"/>
        </w:rPr>
        <w:t>ERC-567</w:t>
      </w:r>
      <w:r w:rsidRPr="009500D7">
        <w:rPr>
          <w:rFonts w:ascii="Times New Roman" w:hAnsi="Times New Roman" w:eastAsia="Calibri" w:cs="Times New Roman"/>
          <w:sz w:val="24"/>
          <w:szCs w:val="24"/>
        </w:rPr>
        <w:t xml:space="preserve">, it would lose the ability to monitor and evaluate transactions, operations, and reliability of interstate pipelines and perform its regulatory functions. </w:t>
      </w:r>
      <w:r w:rsidRPr="009500D7" w:rsidR="005D2901">
        <w:rPr>
          <w:rFonts w:ascii="Times New Roman" w:hAnsi="Times New Roman" w:eastAsia="Calibri" w:cs="Times New Roman"/>
          <w:sz w:val="24"/>
          <w:szCs w:val="24"/>
        </w:rPr>
        <w:t>Finally</w:t>
      </w:r>
      <w:r w:rsidRPr="009500D7">
        <w:rPr>
          <w:rFonts w:ascii="Times New Roman" w:hAnsi="Times New Roman" w:eastAsia="Calibri" w:cs="Times New Roman"/>
          <w:sz w:val="24"/>
          <w:szCs w:val="24"/>
        </w:rPr>
        <w:t>, the Commission cannot collect the</w:t>
      </w:r>
      <w:r w:rsidRPr="009500D7" w:rsidR="005D2901">
        <w:rPr>
          <w:rFonts w:ascii="Times New Roman" w:hAnsi="Times New Roman" w:eastAsia="Calibri" w:cs="Times New Roman"/>
          <w:sz w:val="24"/>
          <w:szCs w:val="24"/>
        </w:rPr>
        <w:t>se</w:t>
      </w:r>
      <w:r w:rsidRPr="009500D7">
        <w:rPr>
          <w:rFonts w:ascii="Times New Roman" w:hAnsi="Times New Roman" w:eastAsia="Calibri" w:cs="Times New Roman"/>
          <w:sz w:val="24"/>
          <w:szCs w:val="24"/>
        </w:rPr>
        <w:t xml:space="preserve"> data less frequently due to statutory</w:t>
      </w:r>
      <w:r w:rsidRPr="005D2901" w:rsidR="005D2901">
        <w:rPr>
          <w:rFonts w:ascii="Times New Roman" w:hAnsi="Times New Roman" w:eastAsia="Calibri" w:cs="Times New Roman"/>
          <w:sz w:val="24"/>
          <w:szCs w:val="24"/>
        </w:rPr>
        <w:t xml:space="preserve"> and/or regulatory</w:t>
      </w:r>
      <w:r w:rsidRPr="009500D7">
        <w:rPr>
          <w:rFonts w:ascii="Times New Roman" w:hAnsi="Times New Roman" w:eastAsia="Calibri" w:cs="Times New Roman"/>
          <w:sz w:val="24"/>
          <w:szCs w:val="24"/>
        </w:rPr>
        <w:t xml:space="preserve"> requirements to monitor emergency situations.  The</w:t>
      </w:r>
      <w:r w:rsidRPr="00430C6A">
        <w:rPr>
          <w:rFonts w:ascii="Times New Roman" w:hAnsi="Times New Roman" w:eastAsia="Calibri" w:cs="Times New Roman"/>
          <w:sz w:val="24"/>
          <w:szCs w:val="24"/>
        </w:rPr>
        <w:t xml:space="preserve"> information collection cannot be discontinued due to statutory requirements.  The Commission must review reports concerning any disruptions in service of the transportation of natural gas in wholesale markets.    </w:t>
      </w:r>
    </w:p>
    <w:p w:rsidRPr="00430C6A" w:rsidR="006C32B4" w:rsidP="00071460" w:rsidRDefault="006C32B4" w14:paraId="0C89380A" w14:textId="54DB52B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EXPLAIN ANY SPECIAL CIRCUMSTANCES RELATING TO THE INFORMATION COLLECTION</w:t>
      </w:r>
      <w:r w:rsidRPr="00430C6A" w:rsidR="008B0ACE">
        <w:rPr>
          <w:rFonts w:ascii="Times New Roman" w:hAnsi="Times New Roman" w:eastAsia="Calibri" w:cs="Times New Roman"/>
          <w:b/>
          <w:bCs/>
          <w:sz w:val="24"/>
          <w:szCs w:val="24"/>
        </w:rPr>
        <w:t xml:space="preserve"> </w:t>
      </w:r>
    </w:p>
    <w:p w:rsidRPr="00430C6A" w:rsidR="006C32B4" w:rsidP="00071460" w:rsidRDefault="006C32B4" w14:paraId="07377DDA"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6C32B4" w14:paraId="76E3B9BB" w14:textId="352BDCDA">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If a FERC-567 respondent opts to respond electronically, the requirements of 5 CFR 1320.5 are met.  However, if an applicant opts not to file electronically, they would have to submit five (5) copies per 18 CFR 260.8.  While the Commission encourages applicants to submit their filings electronically, this is the applicant’s option. </w:t>
      </w:r>
    </w:p>
    <w:p w:rsidRPr="00430C6A" w:rsidR="006C32B4" w:rsidP="00071460" w:rsidRDefault="006C32B4" w14:paraId="19593B37"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DESCRIBE EFFORTS TO CONSULT OUTSIDE THE AGENCY: SUMMARIZE PUBLIC COMMENTS AND THE AGENCY'S RESPONSE TO THESE COMMENTS</w:t>
      </w:r>
    </w:p>
    <w:p w:rsidRPr="00430C6A" w:rsidR="006C32B4" w:rsidP="00071460" w:rsidRDefault="006C32B4" w14:paraId="0F415F43"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9817E3" w:rsidP="00071460" w:rsidRDefault="006C32B4" w14:paraId="081B2CA7" w14:textId="55594ED2">
      <w:pPr>
        <w:tabs>
          <w:tab w:val="left"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In accordance with OMB requirements</w:t>
      </w:r>
      <w:r w:rsidRPr="00430C6A">
        <w:rPr>
          <w:rFonts w:ascii="Times New Roman" w:hAnsi="Times New Roman" w:eastAsia="Calibri" w:cs="Times New Roman"/>
          <w:sz w:val="24"/>
          <w:szCs w:val="24"/>
          <w:vertAlign w:val="superscript"/>
        </w:rPr>
        <w:footnoteReference w:id="4"/>
      </w:r>
      <w:r w:rsidRPr="00430C6A">
        <w:rPr>
          <w:rFonts w:ascii="Times New Roman" w:hAnsi="Times New Roman" w:eastAsia="Calibri" w:cs="Times New Roman"/>
          <w:sz w:val="24"/>
          <w:szCs w:val="24"/>
        </w:rPr>
        <w:t xml:space="preserve">, </w:t>
      </w:r>
      <w:r w:rsidRPr="00430C6A" w:rsidR="004D2983">
        <w:rPr>
          <w:rFonts w:ascii="Times New Roman" w:hAnsi="Times New Roman" w:eastAsia="Calibri" w:cs="Times New Roman"/>
          <w:sz w:val="24"/>
          <w:szCs w:val="24"/>
        </w:rPr>
        <w:t xml:space="preserve"> each FERC</w:t>
      </w:r>
      <w:r w:rsidRPr="00430C6A" w:rsidR="00D27F94">
        <w:rPr>
          <w:rFonts w:ascii="Times New Roman" w:hAnsi="Times New Roman" w:eastAsia="Calibri" w:cs="Times New Roman"/>
          <w:sz w:val="24"/>
          <w:szCs w:val="24"/>
        </w:rPr>
        <w:t xml:space="preserve"> activity</w:t>
      </w:r>
      <w:r w:rsidRPr="00430C6A" w:rsidR="004D2983">
        <w:rPr>
          <w:rFonts w:ascii="Times New Roman" w:hAnsi="Times New Roman" w:eastAsia="Calibri" w:cs="Times New Roman"/>
          <w:sz w:val="24"/>
          <w:szCs w:val="24"/>
        </w:rPr>
        <w:t xml:space="preserve"> that results in the revision of an information collection is published in the Federal Register thereby providing</w:t>
      </w:r>
      <w:r w:rsidRPr="00430C6A" w:rsidR="00D0449E">
        <w:rPr>
          <w:rFonts w:ascii="Times New Roman" w:hAnsi="Times New Roman" w:eastAsia="Calibri" w:cs="Times New Roman"/>
          <w:sz w:val="24"/>
          <w:szCs w:val="24"/>
        </w:rPr>
        <w:t xml:space="preserve"> the</w:t>
      </w:r>
      <w:r w:rsidRPr="00430C6A" w:rsidR="004D2983">
        <w:rPr>
          <w:rFonts w:ascii="Times New Roman" w:hAnsi="Times New Roman" w:eastAsia="Calibri" w:cs="Times New Roman"/>
          <w:sz w:val="24"/>
          <w:szCs w:val="24"/>
        </w:rPr>
        <w:t xml:space="preserve"> public</w:t>
      </w:r>
      <w:r w:rsidRPr="00430C6A" w:rsidR="00D0449E">
        <w:rPr>
          <w:rFonts w:ascii="Times New Roman" w:hAnsi="Times New Roman" w:eastAsia="Calibri" w:cs="Times New Roman"/>
          <w:sz w:val="24"/>
          <w:szCs w:val="24"/>
        </w:rPr>
        <w:t>,</w:t>
      </w:r>
      <w:r w:rsidRPr="00430C6A" w:rsidR="004D2983">
        <w:rPr>
          <w:rFonts w:ascii="Times New Roman" w:hAnsi="Times New Roman" w:eastAsia="Calibri" w:cs="Times New Roman"/>
          <w:sz w:val="24"/>
          <w:szCs w:val="24"/>
        </w:rPr>
        <w:t xml:space="preserve"> state commissions, Federal agencies, and other interested parties an opportunity to submit data, views, comments, and/or suggestions concerning the approved collections of data. </w:t>
      </w:r>
      <w:r w:rsidRPr="00430C6A" w:rsidR="00D27F94">
        <w:rPr>
          <w:rFonts w:ascii="Times New Roman" w:hAnsi="Times New Roman" w:eastAsia="Calibri" w:cs="Times New Roman"/>
          <w:sz w:val="24"/>
          <w:szCs w:val="24"/>
        </w:rPr>
        <w:t xml:space="preserve"> The Commission published a consolidated 60-day notice for FERC-567 and FERC-576 (86 FR 25852) and a 30-day </w:t>
      </w:r>
      <w:r w:rsidRPr="000F4C91" w:rsidR="00D27F94">
        <w:rPr>
          <w:rFonts w:ascii="Times New Roman" w:hAnsi="Times New Roman" w:eastAsia="Calibri" w:cs="Times New Roman"/>
          <w:sz w:val="24"/>
          <w:szCs w:val="24"/>
        </w:rPr>
        <w:t>notice (</w:t>
      </w:r>
      <w:r w:rsidRPr="000F4C91" w:rsidR="000F4C91">
        <w:rPr>
          <w:rFonts w:ascii="Times New Roman" w:hAnsi="Times New Roman" w:eastAsia="Calibri" w:cs="Times New Roman"/>
          <w:sz w:val="24"/>
          <w:szCs w:val="24"/>
        </w:rPr>
        <w:t>86</w:t>
      </w:r>
      <w:r w:rsidR="000F4C91">
        <w:rPr>
          <w:rFonts w:ascii="Times New Roman" w:hAnsi="Times New Roman" w:eastAsia="Calibri" w:cs="Times New Roman"/>
          <w:sz w:val="24"/>
          <w:szCs w:val="24"/>
        </w:rPr>
        <w:t xml:space="preserve"> FR </w:t>
      </w:r>
      <w:r w:rsidRPr="000F4C91" w:rsidR="000F4C91">
        <w:rPr>
          <w:rFonts w:ascii="Times New Roman" w:hAnsi="Times New Roman" w:eastAsia="Calibri" w:cs="Times New Roman"/>
          <w:sz w:val="24"/>
          <w:szCs w:val="24"/>
        </w:rPr>
        <w:t>38335</w:t>
      </w:r>
      <w:r w:rsidRPr="00430C6A" w:rsidR="00D27F94">
        <w:rPr>
          <w:rFonts w:ascii="Times New Roman" w:hAnsi="Times New Roman" w:eastAsia="Calibri" w:cs="Times New Roman"/>
          <w:sz w:val="24"/>
          <w:szCs w:val="24"/>
        </w:rPr>
        <w:t xml:space="preserve">) to the public regarding this information collection on 5/11/2021 and </w:t>
      </w:r>
      <w:r w:rsidR="000F4C91">
        <w:rPr>
          <w:rFonts w:ascii="Times New Roman" w:hAnsi="Times New Roman" w:eastAsia="Calibri" w:cs="Times New Roman"/>
          <w:sz w:val="24"/>
          <w:szCs w:val="24"/>
        </w:rPr>
        <w:t>7/20/2021</w:t>
      </w:r>
      <w:r w:rsidRPr="00430C6A" w:rsidR="00D27F94">
        <w:rPr>
          <w:rFonts w:ascii="Times New Roman" w:hAnsi="Times New Roman" w:eastAsia="Calibri" w:cs="Times New Roman"/>
          <w:sz w:val="24"/>
          <w:szCs w:val="24"/>
        </w:rPr>
        <w:t xml:space="preserve"> respectively.  Within the public notices, the Commission noted that it would be requesting a three-year extension of the public reporting burden.  </w:t>
      </w:r>
    </w:p>
    <w:p w:rsidRPr="00430C6A" w:rsidR="006C32B4" w:rsidP="00071460" w:rsidRDefault="004D2983" w14:paraId="59F03C3E" w14:textId="1151382E">
      <w:pPr>
        <w:tabs>
          <w:tab w:val="left" w:pos="0"/>
        </w:tabs>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Commission received no comments from the public in response to the 60-day notice</w:t>
      </w:r>
      <w:r w:rsidRPr="00430C6A" w:rsidR="00D27F94">
        <w:rPr>
          <w:rFonts w:ascii="Times New Roman" w:hAnsi="Times New Roman" w:eastAsia="Calibri" w:cs="Times New Roman"/>
          <w:sz w:val="24"/>
          <w:szCs w:val="24"/>
        </w:rPr>
        <w:t xml:space="preserve"> regarding FERC-567</w:t>
      </w:r>
      <w:r w:rsidRPr="00430C6A">
        <w:rPr>
          <w:rFonts w:ascii="Times New Roman" w:hAnsi="Times New Roman" w:eastAsia="Calibri" w:cs="Times New Roman"/>
          <w:sz w:val="24"/>
          <w:szCs w:val="24"/>
        </w:rPr>
        <w:t xml:space="preserve">. </w:t>
      </w:r>
    </w:p>
    <w:p w:rsidRPr="00430C6A" w:rsidR="006C32B4" w:rsidP="00071460" w:rsidRDefault="006C32B4" w14:paraId="70440B7C"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EXPLAIN ANY PAYMENT OR GIFTS TO RESPONDENTS</w:t>
      </w:r>
    </w:p>
    <w:p w:rsidRPr="00430C6A" w:rsidR="006C32B4" w:rsidP="00071460" w:rsidRDefault="006C32B4" w14:paraId="7D7982A3"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163E24" w14:paraId="3995AB50" w14:textId="57C29B0F">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Commission makes</w:t>
      </w:r>
      <w:r w:rsidRPr="00430C6A" w:rsidR="000B73C6">
        <w:rPr>
          <w:rFonts w:ascii="Times New Roman" w:hAnsi="Times New Roman" w:eastAsia="Calibri" w:cs="Times New Roman"/>
          <w:sz w:val="24"/>
          <w:szCs w:val="24"/>
        </w:rPr>
        <w:t xml:space="preserve"> n</w:t>
      </w:r>
      <w:r w:rsidRPr="00430C6A" w:rsidR="006C32B4">
        <w:rPr>
          <w:rFonts w:ascii="Times New Roman" w:hAnsi="Times New Roman" w:eastAsia="Calibri" w:cs="Times New Roman"/>
          <w:sz w:val="24"/>
          <w:szCs w:val="24"/>
        </w:rPr>
        <w:t xml:space="preserve">o payments or gifts </w:t>
      </w:r>
      <w:r w:rsidRPr="00430C6A" w:rsidR="000B73C6">
        <w:rPr>
          <w:rFonts w:ascii="Times New Roman" w:hAnsi="Times New Roman" w:eastAsia="Calibri" w:cs="Times New Roman"/>
          <w:sz w:val="24"/>
          <w:szCs w:val="24"/>
        </w:rPr>
        <w:t>to respondents associated with FERC-567</w:t>
      </w:r>
      <w:r w:rsidR="00EF00F9">
        <w:rPr>
          <w:rFonts w:ascii="Times New Roman" w:hAnsi="Times New Roman" w:eastAsia="Calibri" w:cs="Times New Roman"/>
          <w:sz w:val="24"/>
          <w:szCs w:val="24"/>
        </w:rPr>
        <w:t>.</w:t>
      </w:r>
    </w:p>
    <w:p w:rsidRPr="00430C6A" w:rsidR="006C32B4" w:rsidP="00071460" w:rsidRDefault="006C32B4" w14:paraId="3DD9FEE5"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DESCRIBE ANY ASSURANCE OF CONFIDENTIALITY PROVIDED TO RESPONDENTS</w:t>
      </w:r>
    </w:p>
    <w:p w:rsidRPr="00430C6A" w:rsidR="006C32B4" w:rsidP="00071460" w:rsidRDefault="006C32B4" w14:paraId="6F146111"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006C32B4" w:rsidP="00071460" w:rsidRDefault="008505F4" w14:paraId="60B61984" w14:textId="55CF651A">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The Commission classified the FERC-567 data (filed under 18 CFR 260.8) within the definition of CEII and, thus, public access to this data is limited.  </w:t>
      </w:r>
      <w:r w:rsidRPr="00430C6A" w:rsidR="006C32B4">
        <w:rPr>
          <w:rFonts w:ascii="Times New Roman" w:hAnsi="Times New Roman" w:eastAsia="Calibri" w:cs="Times New Roman"/>
          <w:sz w:val="24"/>
          <w:szCs w:val="24"/>
        </w:rPr>
        <w:t xml:space="preserve">Additional information on FERC’s CEII </w:t>
      </w:r>
      <w:r w:rsidRPr="00430C6A" w:rsidR="006C32B4">
        <w:rPr>
          <w:rFonts w:ascii="Times New Roman" w:hAnsi="Times New Roman" w:eastAsia="Calibri" w:cs="Times New Roman"/>
          <w:sz w:val="24"/>
          <w:szCs w:val="24"/>
        </w:rPr>
        <w:lastRenderedPageBreak/>
        <w:t xml:space="preserve">program and related landmark orders is available at </w:t>
      </w:r>
      <w:hyperlink w:history="1" r:id="rId14">
        <w:r w:rsidRPr="00430C6A" w:rsidR="00FA6B2F">
          <w:rPr>
            <w:rStyle w:val="Hyperlink"/>
            <w:rFonts w:ascii="Times New Roman" w:hAnsi="Times New Roman" w:cs="Times New Roman"/>
            <w:sz w:val="24"/>
            <w:szCs w:val="24"/>
          </w:rPr>
          <w:t>https://www.ferc.gov/enforcement-legal/legal/major-orders-regulations/critical-energyelectric-infrastructure-information</w:t>
        </w:r>
      </w:hyperlink>
      <w:r w:rsidRPr="00430C6A" w:rsidR="00FA6B2F">
        <w:rPr>
          <w:rFonts w:ascii="Times New Roman" w:hAnsi="Times New Roman" w:eastAsia="Calibri" w:cs="Times New Roman"/>
          <w:sz w:val="24"/>
          <w:szCs w:val="24"/>
        </w:rPr>
        <w:t xml:space="preserve">. </w:t>
      </w:r>
      <w:r w:rsidRPr="00430C6A" w:rsidR="006C32B4">
        <w:rPr>
          <w:rFonts w:ascii="Times New Roman" w:hAnsi="Times New Roman" w:eastAsia="Calibri" w:cs="Times New Roman"/>
          <w:sz w:val="24"/>
          <w:szCs w:val="24"/>
        </w:rPr>
        <w:t xml:space="preserve">  </w:t>
      </w:r>
    </w:p>
    <w:p w:rsidRPr="00430C6A" w:rsidR="006C32B4" w:rsidP="00071460" w:rsidRDefault="006C32B4" w14:paraId="44FDD583"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PROVIDE ADDITIONAL JUSTIFICATION FOR ANY QUESTIONS OF A SENSITIVE NATURE, SUCH AS SEXUAL BEHAVIOR AND ATTITUDES, RELIGIOUS BELIEFS, AND OTHER MATTERS THAT ARE COMMONLY CONSIDERED PRIVATE</w:t>
      </w:r>
    </w:p>
    <w:p w:rsidRPr="00430C6A" w:rsidR="0027102A" w:rsidP="00071460" w:rsidRDefault="0027102A" w14:paraId="1D3FAD12" w14:textId="77777777">
      <w:pPr>
        <w:spacing w:after="0" w:line="240" w:lineRule="auto"/>
        <w:rPr>
          <w:rFonts w:ascii="Times New Roman" w:hAnsi="Times New Roman" w:eastAsia="Calibri" w:cs="Times New Roman"/>
          <w:sz w:val="24"/>
          <w:szCs w:val="24"/>
        </w:rPr>
      </w:pPr>
    </w:p>
    <w:p w:rsidRPr="00430C6A" w:rsidR="006C32B4" w:rsidP="00071460" w:rsidRDefault="006C32B4" w14:paraId="58F4E665" w14:textId="3D2CEC3F">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Commission does not consider any of the questions within the FERC-567 of a sensitive nature</w:t>
      </w:r>
      <w:r w:rsidRPr="005D2901" w:rsidR="008C5486">
        <w:rPr>
          <w:rFonts w:ascii="Times New Roman" w:hAnsi="Times New Roman" w:eastAsia="Calibri" w:cs="Times New Roman"/>
          <w:sz w:val="24"/>
          <w:szCs w:val="24"/>
        </w:rPr>
        <w:t xml:space="preserve">, </w:t>
      </w:r>
      <w:r w:rsidRPr="009500D7" w:rsidR="008C5486">
        <w:rPr>
          <w:rFonts w:ascii="Times New Roman" w:hAnsi="Times New Roman" w:eastAsia="Calibri" w:cs="Times New Roman"/>
          <w:sz w:val="24"/>
          <w:szCs w:val="24"/>
        </w:rPr>
        <w:t>as described above</w:t>
      </w:r>
      <w:r w:rsidRPr="005D2901">
        <w:rPr>
          <w:rFonts w:ascii="Times New Roman" w:hAnsi="Times New Roman" w:eastAsia="Calibri" w:cs="Times New Roman"/>
          <w:sz w:val="24"/>
          <w:szCs w:val="24"/>
        </w:rPr>
        <w:t>.</w:t>
      </w:r>
      <w:r w:rsidRPr="00430C6A">
        <w:rPr>
          <w:rFonts w:ascii="Times New Roman" w:hAnsi="Times New Roman" w:eastAsia="Calibri" w:cs="Times New Roman"/>
          <w:sz w:val="24"/>
          <w:szCs w:val="24"/>
        </w:rPr>
        <w:t xml:space="preserve">  However, the Commission considers the FERC-567 information as sensitive to the nation’s energy infrastructure because the data contains location and operational data on the nation’s natural gas pipelines. Therefore, the FERC-567 information is classified as CEII (described in greater depth within Question #10).</w:t>
      </w:r>
    </w:p>
    <w:p w:rsidRPr="00430C6A" w:rsidR="006C32B4" w:rsidP="00071460" w:rsidRDefault="006C32B4" w14:paraId="4637886F"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ESTIMATED BURDEN OF COLLECTION OF INFORMATION</w:t>
      </w:r>
    </w:p>
    <w:p w:rsidRPr="00430C6A" w:rsidR="006C32B4" w:rsidP="00071460" w:rsidRDefault="006C32B4" w14:paraId="5B79D8B3"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81757B" w14:paraId="4B3C6A94" w14:textId="22B44C45">
      <w:pPr>
        <w:tabs>
          <w:tab w:val="left" w:pos="720"/>
        </w:tabs>
        <w:autoSpaceDE w:val="0"/>
        <w:autoSpaceDN w:val="0"/>
        <w:adjustRightInd w:val="0"/>
        <w:spacing w:after="0" w:line="240" w:lineRule="auto"/>
        <w:rPr>
          <w:rFonts w:ascii="Times New Roman" w:hAnsi="Times New Roman" w:eastAsia="Calibri" w:cs="Times New Roman"/>
          <w:sz w:val="24"/>
          <w:szCs w:val="24"/>
        </w:rPr>
      </w:pPr>
      <w:r w:rsidRPr="00430C6A">
        <w:rPr>
          <w:rFonts w:ascii="Times New Roman" w:hAnsi="Times New Roman" w:cs="Times New Roman"/>
          <w:sz w:val="24"/>
          <w:szCs w:val="24"/>
        </w:rPr>
        <w:t>The following table provide</w:t>
      </w:r>
      <w:r w:rsidR="00EF00F9">
        <w:rPr>
          <w:rFonts w:ascii="Times New Roman" w:hAnsi="Times New Roman" w:cs="Times New Roman"/>
          <w:sz w:val="24"/>
          <w:szCs w:val="24"/>
        </w:rPr>
        <w:t>s</w:t>
      </w:r>
      <w:r w:rsidRPr="00430C6A">
        <w:rPr>
          <w:rFonts w:ascii="Times New Roman" w:hAnsi="Times New Roman" w:cs="Times New Roman"/>
          <w:sz w:val="24"/>
          <w:szCs w:val="24"/>
        </w:rPr>
        <w:t xml:space="preserve"> the estimated annual burden</w:t>
      </w:r>
      <w:r w:rsidRPr="00430C6A">
        <w:rPr>
          <w:rStyle w:val="FootnoteReference"/>
          <w:rFonts w:ascii="Times New Roman" w:hAnsi="Times New Roman" w:cs="Times New Roman"/>
          <w:sz w:val="24"/>
          <w:szCs w:val="24"/>
          <w:vertAlign w:val="superscript"/>
        </w:rPr>
        <w:footnoteReference w:id="5"/>
      </w:r>
      <w:r w:rsidRPr="00430C6A">
        <w:rPr>
          <w:rFonts w:ascii="Times New Roman" w:hAnsi="Times New Roman" w:cs="Times New Roman"/>
          <w:sz w:val="24"/>
          <w:szCs w:val="24"/>
        </w:rPr>
        <w:t xml:space="preserve"> and cost related to information collection requirements for FERC-567</w:t>
      </w:r>
      <w:r w:rsidR="00DF7F4A">
        <w:rPr>
          <w:rFonts w:ascii="Times New Roman" w:hAnsi="Times New Roman" w:cs="Times New Roman"/>
          <w:sz w:val="24"/>
          <w:szCs w:val="24"/>
        </w:rPr>
        <w:t xml:space="preserve">. </w:t>
      </w:r>
      <w:r w:rsidR="00CF7DCC">
        <w:rPr>
          <w:rFonts w:ascii="Times New Roman" w:hAnsi="Times New Roman" w:cs="Times New Roman"/>
          <w:sz w:val="24"/>
          <w:szCs w:val="24"/>
        </w:rPr>
        <w:t xml:space="preserve"> </w:t>
      </w:r>
    </w:p>
    <w:p w:rsidRPr="00430C6A" w:rsidR="0081757B" w:rsidP="00071460" w:rsidRDefault="0081757B" w14:paraId="4CC1AF11" w14:textId="77777777">
      <w:pPr>
        <w:tabs>
          <w:tab w:val="left" w:pos="720"/>
        </w:tabs>
        <w:autoSpaceDE w:val="0"/>
        <w:autoSpaceDN w:val="0"/>
        <w:adjustRightInd w:val="0"/>
        <w:spacing w:after="0" w:line="240" w:lineRule="auto"/>
        <w:rPr>
          <w:rFonts w:ascii="Times New Roman" w:hAnsi="Times New Roman" w:eastAsia="Calibri" w:cs="Times New Roman"/>
          <w:sz w:val="24"/>
          <w:szCs w:val="24"/>
        </w:rPr>
      </w:pPr>
    </w:p>
    <w:tbl>
      <w:tblPr>
        <w:tblW w:w="51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351"/>
        <w:gridCol w:w="1619"/>
        <w:gridCol w:w="1351"/>
        <w:gridCol w:w="1328"/>
        <w:gridCol w:w="1656"/>
        <w:gridCol w:w="1155"/>
      </w:tblGrid>
      <w:tr w:rsidRPr="00430C6A" w:rsidR="00FA6B2F" w:rsidTr="008505F4" w14:paraId="034CB94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430C6A" w:rsidR="00FA6B2F" w:rsidP="00CE021B" w:rsidRDefault="00FA6B2F" w14:paraId="4B6BD810" w14:textId="72981E7D">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FERC-567</w:t>
            </w:r>
            <w:r w:rsidRPr="00430C6A" w:rsidR="008505F4">
              <w:rPr>
                <w:rFonts w:ascii="Times New Roman" w:hAnsi="Times New Roman" w:cs="Times New Roman"/>
                <w:b/>
                <w:sz w:val="24"/>
                <w:szCs w:val="24"/>
              </w:rPr>
              <w:t>,</w:t>
            </w:r>
            <w:r w:rsidRPr="00430C6A">
              <w:rPr>
                <w:rFonts w:ascii="Times New Roman" w:hAnsi="Times New Roman" w:cs="Times New Roman"/>
                <w:b/>
                <w:sz w:val="24"/>
                <w:szCs w:val="24"/>
              </w:rPr>
              <w:t xml:space="preserve"> Gas Pipeline Certificates: Annual Reports of System Flow Diagrams </w:t>
            </w:r>
          </w:p>
        </w:tc>
      </w:tr>
      <w:tr w:rsidRPr="00430C6A" w:rsidR="008505F4" w:rsidTr="00687611" w14:paraId="1F9D3AC4" w14:textId="77777777">
        <w:trPr>
          <w:cantSplit/>
        </w:trPr>
        <w:tc>
          <w:tcPr>
            <w:tcW w:w="605" w:type="pct"/>
            <w:tcBorders>
              <w:top w:val="single" w:color="auto" w:sz="4" w:space="0"/>
              <w:left w:val="single" w:color="auto" w:sz="4" w:space="0"/>
              <w:bottom w:val="single" w:color="auto" w:sz="4" w:space="0"/>
              <w:right w:val="single" w:color="auto" w:sz="4" w:space="0"/>
            </w:tcBorders>
            <w:shd w:val="clear" w:color="auto" w:fill="D9D9D9"/>
            <w:vAlign w:val="bottom"/>
          </w:tcPr>
          <w:p w:rsidRPr="00430C6A" w:rsidR="00FA6B2F" w:rsidP="00687611" w:rsidRDefault="00FA6B2F" w14:paraId="316D907F" w14:textId="2F930B4C">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Respondents</w:t>
            </w:r>
          </w:p>
        </w:tc>
        <w:tc>
          <w:tcPr>
            <w:tcW w:w="70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FA6B2F" w14:paraId="534D2397"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Number of Respondents</w:t>
            </w:r>
            <w:r w:rsidRPr="009500D7">
              <w:rPr>
                <w:rStyle w:val="FootnoteReference"/>
                <w:rFonts w:ascii="Times New Roman" w:hAnsi="Times New Roman" w:cs="Times New Roman"/>
                <w:sz w:val="24"/>
                <w:szCs w:val="24"/>
                <w:vertAlign w:val="superscript"/>
              </w:rPr>
              <w:footnoteReference w:id="6"/>
            </w:r>
            <w:r w:rsidRPr="00430C6A">
              <w:rPr>
                <w:rFonts w:ascii="Times New Roman" w:hAnsi="Times New Roman" w:cs="Times New Roman"/>
                <w:b/>
                <w:sz w:val="24"/>
                <w:szCs w:val="24"/>
              </w:rPr>
              <w:br/>
              <w:t>(1)</w:t>
            </w:r>
          </w:p>
        </w:tc>
        <w:tc>
          <w:tcPr>
            <w:tcW w:w="8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FA6B2F" w14:paraId="515B4553"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Annual Number of Responses per Respondent</w:t>
            </w:r>
          </w:p>
          <w:p w:rsidRPr="00430C6A" w:rsidR="00FA6B2F" w:rsidP="00687611" w:rsidRDefault="00FA6B2F" w14:paraId="357F6974"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(2)</w:t>
            </w:r>
          </w:p>
        </w:tc>
        <w:tc>
          <w:tcPr>
            <w:tcW w:w="70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FA6B2F" w14:paraId="73FD5AFC"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Total Number of Responses (</w:t>
            </w:r>
            <w:proofErr w:type="gramStart"/>
            <w:r w:rsidRPr="00430C6A">
              <w:rPr>
                <w:rFonts w:ascii="Times New Roman" w:hAnsi="Times New Roman" w:cs="Times New Roman"/>
                <w:b/>
                <w:sz w:val="24"/>
                <w:szCs w:val="24"/>
              </w:rPr>
              <w:t>1)*</w:t>
            </w:r>
            <w:proofErr w:type="gramEnd"/>
            <w:r w:rsidRPr="00430C6A">
              <w:rPr>
                <w:rFonts w:ascii="Times New Roman" w:hAnsi="Times New Roman" w:cs="Times New Roman"/>
                <w:b/>
                <w:sz w:val="24"/>
                <w:szCs w:val="24"/>
              </w:rPr>
              <w:t>(2)=(3)</w:t>
            </w:r>
          </w:p>
        </w:tc>
        <w:tc>
          <w:tcPr>
            <w:tcW w:w="69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FA6B2F" w14:paraId="59985933" w14:textId="74CFBE2E">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Average</w:t>
            </w:r>
            <w:r w:rsidR="00DF7F4A">
              <w:rPr>
                <w:rFonts w:ascii="Times New Roman" w:hAnsi="Times New Roman" w:cs="Times New Roman"/>
                <w:b/>
                <w:sz w:val="24"/>
                <w:szCs w:val="24"/>
              </w:rPr>
              <w:t xml:space="preserve"> Annual</w:t>
            </w:r>
            <w:r w:rsidRPr="00430C6A">
              <w:rPr>
                <w:rFonts w:ascii="Times New Roman" w:hAnsi="Times New Roman" w:cs="Times New Roman"/>
                <w:b/>
                <w:sz w:val="24"/>
                <w:szCs w:val="24"/>
              </w:rPr>
              <w:t xml:space="preserve"> Burden &amp; Cost Per Response</w:t>
            </w:r>
            <w:r w:rsidRPr="00430C6A">
              <w:rPr>
                <w:rFonts w:ascii="Times New Roman" w:hAnsi="Times New Roman" w:cs="Times New Roman"/>
                <w:b/>
                <w:sz w:val="24"/>
                <w:szCs w:val="24"/>
                <w:vertAlign w:val="superscript"/>
              </w:rPr>
              <w:footnoteReference w:id="7"/>
            </w:r>
          </w:p>
          <w:p w:rsidRPr="00430C6A" w:rsidR="00FA6B2F" w:rsidP="00687611" w:rsidRDefault="00FA6B2F" w14:paraId="44A2E9D8"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(4)</w:t>
            </w:r>
          </w:p>
        </w:tc>
        <w:tc>
          <w:tcPr>
            <w:tcW w:w="86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FA6B2F" w14:paraId="38F1E806"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Total Annual Burden Hours &amp; Total Annual Cost</w:t>
            </w:r>
          </w:p>
          <w:p w:rsidRPr="00430C6A" w:rsidR="00FA6B2F" w:rsidP="00687611" w:rsidRDefault="00FA6B2F" w14:paraId="335EFEE1"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w:t>
            </w:r>
            <w:proofErr w:type="gramStart"/>
            <w:r w:rsidRPr="00430C6A">
              <w:rPr>
                <w:rFonts w:ascii="Times New Roman" w:hAnsi="Times New Roman" w:cs="Times New Roman"/>
                <w:b/>
                <w:sz w:val="24"/>
                <w:szCs w:val="24"/>
              </w:rPr>
              <w:t>3)*</w:t>
            </w:r>
            <w:proofErr w:type="gramEnd"/>
            <w:r w:rsidRPr="00430C6A">
              <w:rPr>
                <w:rFonts w:ascii="Times New Roman" w:hAnsi="Times New Roman" w:cs="Times New Roman"/>
                <w:b/>
                <w:sz w:val="24"/>
                <w:szCs w:val="24"/>
              </w:rPr>
              <w:t>(4)=(5)</w:t>
            </w:r>
          </w:p>
        </w:tc>
        <w:tc>
          <w:tcPr>
            <w:tcW w:w="6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30C6A" w:rsidR="00FA6B2F" w:rsidP="00687611" w:rsidRDefault="00DF7F4A" w14:paraId="5E64C944" w14:textId="4A16B4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Average Annual </w:t>
            </w:r>
            <w:r w:rsidRPr="00430C6A" w:rsidR="00FA6B2F">
              <w:rPr>
                <w:rFonts w:ascii="Times New Roman" w:hAnsi="Times New Roman" w:cs="Times New Roman"/>
                <w:b/>
                <w:sz w:val="24"/>
                <w:szCs w:val="24"/>
              </w:rPr>
              <w:t>Cost per Respondent</w:t>
            </w:r>
          </w:p>
          <w:p w:rsidRPr="00430C6A" w:rsidR="00FA6B2F" w:rsidP="00687611" w:rsidRDefault="00FA6B2F" w14:paraId="5B8A1323"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w:t>
            </w:r>
          </w:p>
          <w:p w:rsidRPr="00430C6A" w:rsidR="00FA6B2F" w:rsidP="00687611" w:rsidRDefault="00FA6B2F" w14:paraId="5B0D12F5" w14:textId="77777777">
            <w:pPr>
              <w:spacing w:line="240" w:lineRule="auto"/>
              <w:jc w:val="center"/>
              <w:rPr>
                <w:rFonts w:ascii="Times New Roman" w:hAnsi="Times New Roman" w:cs="Times New Roman"/>
                <w:b/>
                <w:sz w:val="24"/>
                <w:szCs w:val="24"/>
              </w:rPr>
            </w:pPr>
            <w:r w:rsidRPr="00430C6A">
              <w:rPr>
                <w:rFonts w:ascii="Times New Roman" w:hAnsi="Times New Roman" w:cs="Times New Roman"/>
                <w:b/>
                <w:sz w:val="24"/>
                <w:szCs w:val="24"/>
              </w:rPr>
              <w:t>(</w:t>
            </w:r>
            <w:proofErr w:type="gramStart"/>
            <w:r w:rsidRPr="00430C6A">
              <w:rPr>
                <w:rFonts w:ascii="Times New Roman" w:hAnsi="Times New Roman" w:cs="Times New Roman"/>
                <w:b/>
                <w:sz w:val="24"/>
                <w:szCs w:val="24"/>
              </w:rPr>
              <w:t>5)÷</w:t>
            </w:r>
            <w:proofErr w:type="gramEnd"/>
            <w:r w:rsidRPr="00430C6A">
              <w:rPr>
                <w:rFonts w:ascii="Times New Roman" w:hAnsi="Times New Roman" w:cs="Times New Roman"/>
                <w:b/>
                <w:sz w:val="24"/>
                <w:szCs w:val="24"/>
              </w:rPr>
              <w:t>(1)</w:t>
            </w:r>
          </w:p>
        </w:tc>
      </w:tr>
      <w:tr w:rsidRPr="00430C6A" w:rsidR="008505F4" w:rsidTr="008505F4" w14:paraId="4C31EE0E" w14:textId="77777777">
        <w:trPr>
          <w:cantSplit/>
        </w:trPr>
        <w:tc>
          <w:tcPr>
            <w:tcW w:w="605" w:type="pct"/>
            <w:tcBorders>
              <w:top w:val="single" w:color="auto" w:sz="4" w:space="0"/>
              <w:left w:val="single" w:color="auto" w:sz="4" w:space="0"/>
              <w:bottom w:val="single" w:color="auto" w:sz="4" w:space="0"/>
              <w:right w:val="single" w:color="auto" w:sz="4" w:space="0"/>
            </w:tcBorders>
            <w:hideMark/>
          </w:tcPr>
          <w:p w:rsidRPr="00430C6A" w:rsidR="00FA6B2F" w:rsidP="00CE021B" w:rsidRDefault="00FA6B2F" w14:paraId="6DE42B0C" w14:textId="77777777">
            <w:pPr>
              <w:spacing w:after="0" w:line="240" w:lineRule="auto"/>
              <w:rPr>
                <w:rFonts w:ascii="Times New Roman" w:hAnsi="Times New Roman" w:cs="Times New Roman"/>
                <w:sz w:val="24"/>
                <w:szCs w:val="24"/>
              </w:rPr>
            </w:pPr>
            <w:r w:rsidRPr="00430C6A">
              <w:rPr>
                <w:rFonts w:ascii="Times New Roman" w:hAnsi="Times New Roman" w:cs="Times New Roman"/>
                <w:sz w:val="24"/>
                <w:szCs w:val="24"/>
              </w:rPr>
              <w:t>Natural Gas Pipelines</w:t>
            </w:r>
          </w:p>
        </w:tc>
        <w:tc>
          <w:tcPr>
            <w:tcW w:w="702" w:type="pct"/>
            <w:tcBorders>
              <w:top w:val="single" w:color="auto" w:sz="4" w:space="0"/>
              <w:left w:val="single" w:color="auto" w:sz="4" w:space="0"/>
              <w:bottom w:val="single" w:color="auto" w:sz="4" w:space="0"/>
              <w:right w:val="single" w:color="auto" w:sz="4" w:space="0"/>
            </w:tcBorders>
            <w:vAlign w:val="bottom"/>
          </w:tcPr>
          <w:p w:rsidRPr="00430C6A" w:rsidR="00FA6B2F" w:rsidP="00CE021B" w:rsidRDefault="00FA6B2F" w14:paraId="65544DE3"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124</w:t>
            </w:r>
          </w:p>
        </w:tc>
        <w:tc>
          <w:tcPr>
            <w:tcW w:w="841" w:type="pct"/>
            <w:tcBorders>
              <w:top w:val="single" w:color="auto" w:sz="4" w:space="0"/>
              <w:left w:val="single" w:color="auto" w:sz="4" w:space="0"/>
              <w:bottom w:val="single" w:color="auto" w:sz="4" w:space="0"/>
              <w:right w:val="single" w:color="auto" w:sz="4" w:space="0"/>
            </w:tcBorders>
            <w:vAlign w:val="bottom"/>
            <w:hideMark/>
          </w:tcPr>
          <w:p w:rsidRPr="00430C6A" w:rsidR="00FA6B2F" w:rsidP="00CE021B" w:rsidRDefault="00FA6B2F" w14:paraId="6E3CF845"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1</w:t>
            </w:r>
          </w:p>
        </w:tc>
        <w:tc>
          <w:tcPr>
            <w:tcW w:w="702" w:type="pct"/>
            <w:tcBorders>
              <w:top w:val="single" w:color="auto" w:sz="4" w:space="0"/>
              <w:left w:val="single" w:color="auto" w:sz="4" w:space="0"/>
              <w:bottom w:val="single" w:color="auto" w:sz="4" w:space="0"/>
              <w:right w:val="single" w:color="auto" w:sz="4" w:space="0"/>
            </w:tcBorders>
            <w:vAlign w:val="bottom"/>
            <w:hideMark/>
          </w:tcPr>
          <w:p w:rsidRPr="00430C6A" w:rsidR="00FA6B2F" w:rsidP="00CE021B" w:rsidRDefault="00FA6B2F" w14:paraId="340D641B"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124</w:t>
            </w:r>
          </w:p>
        </w:tc>
        <w:tc>
          <w:tcPr>
            <w:tcW w:w="690" w:type="pct"/>
            <w:tcBorders>
              <w:top w:val="single" w:color="auto" w:sz="4" w:space="0"/>
              <w:left w:val="single" w:color="auto" w:sz="4" w:space="0"/>
              <w:bottom w:val="single" w:color="auto" w:sz="4" w:space="0"/>
              <w:right w:val="single" w:color="auto" w:sz="4" w:space="0"/>
            </w:tcBorders>
            <w:vAlign w:val="bottom"/>
            <w:hideMark/>
          </w:tcPr>
          <w:p w:rsidRPr="00430C6A" w:rsidR="00FA6B2F" w:rsidP="00CE021B" w:rsidRDefault="00FA6B2F" w14:paraId="00C62F29"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4 hrs.;</w:t>
            </w:r>
          </w:p>
          <w:p w:rsidRPr="00430C6A" w:rsidR="00FA6B2F" w:rsidP="00CE021B" w:rsidRDefault="00FA6B2F" w14:paraId="4E0BF915"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$332</w:t>
            </w:r>
          </w:p>
        </w:tc>
        <w:tc>
          <w:tcPr>
            <w:tcW w:w="860" w:type="pct"/>
            <w:tcBorders>
              <w:top w:val="single" w:color="auto" w:sz="4" w:space="0"/>
              <w:left w:val="single" w:color="auto" w:sz="4" w:space="0"/>
              <w:bottom w:val="single" w:color="auto" w:sz="4" w:space="0"/>
              <w:right w:val="single" w:color="auto" w:sz="4" w:space="0"/>
            </w:tcBorders>
            <w:vAlign w:val="bottom"/>
            <w:hideMark/>
          </w:tcPr>
          <w:p w:rsidRPr="00430C6A" w:rsidR="00FA6B2F" w:rsidP="00CE021B" w:rsidRDefault="00FA6B2F" w14:paraId="3C5F7585"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 xml:space="preserve"> 496 hrs.;</w:t>
            </w:r>
          </w:p>
          <w:p w:rsidRPr="00430C6A" w:rsidR="00FA6B2F" w:rsidP="00CE021B" w:rsidRDefault="00FA6B2F" w14:paraId="352C3AEC"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$41,168</w:t>
            </w:r>
          </w:p>
        </w:tc>
        <w:tc>
          <w:tcPr>
            <w:tcW w:w="600" w:type="pct"/>
            <w:tcBorders>
              <w:top w:val="single" w:color="auto" w:sz="4" w:space="0"/>
              <w:left w:val="single" w:color="auto" w:sz="4" w:space="0"/>
              <w:bottom w:val="single" w:color="auto" w:sz="4" w:space="0"/>
              <w:right w:val="single" w:color="auto" w:sz="4" w:space="0"/>
            </w:tcBorders>
            <w:vAlign w:val="bottom"/>
          </w:tcPr>
          <w:p w:rsidRPr="00430C6A" w:rsidR="00FA6B2F" w:rsidP="00CE021B" w:rsidRDefault="00FA6B2F" w14:paraId="7CDD2DC6" w14:textId="77777777">
            <w:pPr>
              <w:spacing w:after="0" w:line="240" w:lineRule="auto"/>
              <w:jc w:val="right"/>
              <w:rPr>
                <w:rFonts w:ascii="Times New Roman" w:hAnsi="Times New Roman" w:cs="Times New Roman"/>
                <w:sz w:val="24"/>
                <w:szCs w:val="24"/>
              </w:rPr>
            </w:pPr>
            <w:r w:rsidRPr="00430C6A">
              <w:rPr>
                <w:rFonts w:ascii="Times New Roman" w:hAnsi="Times New Roman" w:cs="Times New Roman"/>
                <w:sz w:val="24"/>
                <w:szCs w:val="24"/>
              </w:rPr>
              <w:t xml:space="preserve">$332 </w:t>
            </w:r>
          </w:p>
        </w:tc>
      </w:tr>
    </w:tbl>
    <w:p w:rsidR="00C50A52" w:rsidP="008505F4" w:rsidRDefault="00C50A52" w14:paraId="70C79CE6" w14:textId="34DB13CC">
      <w:pPr>
        <w:widowControl w:val="0"/>
        <w:autoSpaceDE w:val="0"/>
        <w:autoSpaceDN w:val="0"/>
        <w:adjustRightInd w:val="0"/>
        <w:spacing w:after="0" w:line="240" w:lineRule="auto"/>
        <w:rPr>
          <w:rFonts w:ascii="Times New Roman" w:hAnsi="Times New Roman" w:eastAsia="Calibri" w:cs="Times New Roman"/>
          <w:sz w:val="24"/>
          <w:szCs w:val="24"/>
        </w:rPr>
      </w:pPr>
    </w:p>
    <w:p w:rsidRPr="00430C6A" w:rsidR="008505F4" w:rsidP="008505F4" w:rsidRDefault="008505F4" w14:paraId="1BE66501" w14:textId="77777777">
      <w:pPr>
        <w:widowControl w:val="0"/>
        <w:autoSpaceDE w:val="0"/>
        <w:autoSpaceDN w:val="0"/>
        <w:adjustRightInd w:val="0"/>
        <w:spacing w:after="0" w:line="240" w:lineRule="auto"/>
        <w:rPr>
          <w:rFonts w:ascii="Times New Roman" w:hAnsi="Times New Roman" w:eastAsia="Calibri" w:cs="Times New Roman"/>
          <w:sz w:val="24"/>
          <w:szCs w:val="24"/>
        </w:rPr>
      </w:pPr>
    </w:p>
    <w:p w:rsidRPr="00430C6A" w:rsidR="006C32B4" w:rsidP="00071460" w:rsidRDefault="006C32B4" w14:paraId="4628B6A7" w14:textId="174B8F94">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ESTIMATE OF THE TOTAL ANNUAL COST BURDEN TO RESPONDENT</w:t>
      </w:r>
      <w:r w:rsidRPr="00430C6A">
        <w:rPr>
          <w:rFonts w:ascii="Times New Roman" w:hAnsi="Times New Roman" w:eastAsia="Calibri" w:cs="Times New Roman"/>
          <w:b/>
          <w:sz w:val="24"/>
          <w:szCs w:val="24"/>
        </w:rPr>
        <w:t>S</w:t>
      </w:r>
    </w:p>
    <w:p w:rsidRPr="00430C6A" w:rsidR="006C32B4" w:rsidP="00071460" w:rsidRDefault="006C32B4" w14:paraId="22F3EE1A" w14:textId="77777777">
      <w:pPr>
        <w:widowControl w:val="0"/>
        <w:autoSpaceDE w:val="0"/>
        <w:autoSpaceDN w:val="0"/>
        <w:adjustRightInd w:val="0"/>
        <w:spacing w:after="0" w:line="240" w:lineRule="auto"/>
        <w:rPr>
          <w:rFonts w:ascii="Times New Roman" w:hAnsi="Times New Roman" w:eastAsia="Calibri" w:cs="Times New Roman"/>
          <w:sz w:val="24"/>
          <w:szCs w:val="24"/>
        </w:rPr>
      </w:pPr>
    </w:p>
    <w:p w:rsidRPr="00430C6A" w:rsidR="000B73C6" w:rsidP="00071460" w:rsidRDefault="000B73C6" w14:paraId="03020F3A" w14:textId="35454F57">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There are no non-labor costs currently associated with FERC-567</w:t>
      </w:r>
      <w:r w:rsidR="00EF00F9">
        <w:rPr>
          <w:rFonts w:ascii="Times New Roman" w:hAnsi="Times New Roman" w:eastAsia="Calibri" w:cs="Times New Roman"/>
          <w:sz w:val="24"/>
          <w:szCs w:val="24"/>
        </w:rPr>
        <w:t>.</w:t>
      </w:r>
    </w:p>
    <w:p w:rsidRPr="00430C6A" w:rsidR="006C32B4" w:rsidP="00071460" w:rsidRDefault="006C32B4" w14:paraId="2EA427BD" w14:textId="524B74AE">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lastRenderedPageBreak/>
        <w:t xml:space="preserve">All costs are </w:t>
      </w:r>
      <w:r w:rsidRPr="00430C6A" w:rsidR="000B73C6">
        <w:rPr>
          <w:rFonts w:ascii="Times New Roman" w:hAnsi="Times New Roman" w:eastAsia="Calibri" w:cs="Times New Roman"/>
          <w:sz w:val="24"/>
          <w:szCs w:val="24"/>
        </w:rPr>
        <w:t>associated with</w:t>
      </w:r>
      <w:r w:rsidRPr="00430C6A">
        <w:rPr>
          <w:rFonts w:ascii="Times New Roman" w:hAnsi="Times New Roman" w:eastAsia="Calibri" w:cs="Times New Roman"/>
          <w:sz w:val="24"/>
          <w:szCs w:val="24"/>
        </w:rPr>
        <w:t xml:space="preserve"> burden hours </w:t>
      </w:r>
      <w:r w:rsidRPr="00430C6A" w:rsidR="000B73C6">
        <w:rPr>
          <w:rFonts w:ascii="Times New Roman" w:hAnsi="Times New Roman" w:eastAsia="Calibri" w:cs="Times New Roman"/>
          <w:sz w:val="24"/>
          <w:szCs w:val="24"/>
        </w:rPr>
        <w:t>(labor)</w:t>
      </w:r>
      <w:r w:rsidRPr="00430C6A" w:rsidR="00687611">
        <w:rPr>
          <w:rFonts w:ascii="Times New Roman" w:hAnsi="Times New Roman" w:eastAsia="Calibri" w:cs="Times New Roman"/>
          <w:sz w:val="24"/>
          <w:szCs w:val="24"/>
        </w:rPr>
        <w:t xml:space="preserve"> for both information collections</w:t>
      </w:r>
      <w:r w:rsidRPr="00430C6A" w:rsidR="000B73C6">
        <w:rPr>
          <w:rFonts w:ascii="Times New Roman" w:hAnsi="Times New Roman" w:eastAsia="Calibri" w:cs="Times New Roman"/>
          <w:sz w:val="24"/>
          <w:szCs w:val="24"/>
        </w:rPr>
        <w:t xml:space="preserve"> </w:t>
      </w:r>
      <w:r w:rsidRPr="00430C6A">
        <w:rPr>
          <w:rFonts w:ascii="Times New Roman" w:hAnsi="Times New Roman" w:eastAsia="Calibri" w:cs="Times New Roman"/>
          <w:sz w:val="24"/>
          <w:szCs w:val="24"/>
        </w:rPr>
        <w:t>and are addressed in Question #12 and Question #15.</w:t>
      </w:r>
    </w:p>
    <w:p w:rsidRPr="00430C6A" w:rsidR="006C32B4" w:rsidP="00071460" w:rsidRDefault="006C32B4" w14:paraId="6A953E04" w14:textId="77777777">
      <w:pPr>
        <w:spacing w:after="0" w:line="240" w:lineRule="auto"/>
        <w:rPr>
          <w:rFonts w:ascii="Times New Roman" w:hAnsi="Times New Roman" w:eastAsia="Calibri" w:cs="Times New Roman"/>
          <w:sz w:val="24"/>
          <w:szCs w:val="24"/>
        </w:rPr>
      </w:pPr>
    </w:p>
    <w:p w:rsidRPr="00430C6A" w:rsidR="006C32B4" w:rsidP="00071460" w:rsidRDefault="006C32B4" w14:paraId="7A790DA2"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ESTIMATED ANNUALIZED COST TO FEDERAL GOVERNMENT</w:t>
      </w:r>
    </w:p>
    <w:p w:rsidRPr="00430C6A" w:rsidR="000B73C6" w:rsidP="00071460" w:rsidRDefault="000B73C6" w14:paraId="38806503" w14:textId="77777777">
      <w:pPr>
        <w:spacing w:after="200" w:line="240" w:lineRule="auto"/>
        <w:rPr>
          <w:rFonts w:ascii="Times New Roman" w:hAnsi="Times New Roman" w:eastAsia="Calibri" w:cs="Times New Roman"/>
          <w:bCs/>
          <w:sz w:val="24"/>
          <w:szCs w:val="24"/>
        </w:rPr>
      </w:pPr>
      <w:r w:rsidRPr="00430C6A">
        <w:rPr>
          <w:rFonts w:ascii="Times New Roman" w:hAnsi="Times New Roman" w:eastAsia="Calibri" w:cs="Times New Roman"/>
          <w:bCs/>
          <w:sz w:val="24"/>
          <w:szCs w:val="24"/>
        </w:rPr>
        <w:t xml:space="preserve">The estimated annualized cost to the Federal Government for FERC-567 follows: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0"/>
        <w:gridCol w:w="3118"/>
        <w:gridCol w:w="3102"/>
      </w:tblGrid>
      <w:tr w:rsidRPr="00430C6A" w:rsidR="006C32B4" w:rsidTr="00610F46" w14:paraId="60DC3BF5" w14:textId="77777777">
        <w:trPr>
          <w:tblHeader/>
        </w:trPr>
        <w:tc>
          <w:tcPr>
            <w:tcW w:w="3130" w:type="dxa"/>
            <w:shd w:val="clear" w:color="auto" w:fill="CCCCCC"/>
          </w:tcPr>
          <w:p w:rsidRPr="00430C6A" w:rsidR="006C32B4" w:rsidP="00071460" w:rsidRDefault="006C32B4" w14:paraId="30AFF610" w14:textId="77777777">
            <w:pPr>
              <w:autoSpaceDE w:val="0"/>
              <w:autoSpaceDN w:val="0"/>
              <w:adjustRightInd w:val="0"/>
              <w:spacing w:after="0" w:line="240" w:lineRule="auto"/>
              <w:rPr>
                <w:rFonts w:ascii="Times New Roman" w:hAnsi="Times New Roman" w:eastAsia="Times New Roman" w:cs="Times New Roman"/>
                <w:sz w:val="24"/>
                <w:szCs w:val="24"/>
              </w:rPr>
            </w:pPr>
          </w:p>
        </w:tc>
        <w:tc>
          <w:tcPr>
            <w:tcW w:w="3118" w:type="dxa"/>
            <w:shd w:val="clear" w:color="auto" w:fill="CCCCCC"/>
            <w:vAlign w:val="bottom"/>
          </w:tcPr>
          <w:p w:rsidRPr="00430C6A" w:rsidR="006C32B4" w:rsidP="00071460" w:rsidRDefault="006C32B4" w14:paraId="697F92B6" w14:textId="14D55F4A">
            <w:pPr>
              <w:autoSpaceDE w:val="0"/>
              <w:autoSpaceDN w:val="0"/>
              <w:adjustRightInd w:val="0"/>
              <w:spacing w:after="0" w:line="240" w:lineRule="auto"/>
              <w:jc w:val="center"/>
              <w:rPr>
                <w:rFonts w:ascii="Times New Roman" w:hAnsi="Times New Roman" w:eastAsia="Times New Roman" w:cs="Times New Roman"/>
                <w:b/>
                <w:sz w:val="24"/>
                <w:szCs w:val="24"/>
              </w:rPr>
            </w:pPr>
            <w:r w:rsidRPr="00430C6A">
              <w:rPr>
                <w:rFonts w:ascii="Times New Roman" w:hAnsi="Times New Roman" w:eastAsia="Times New Roman" w:cs="Times New Roman"/>
                <w:b/>
                <w:sz w:val="24"/>
                <w:szCs w:val="24"/>
              </w:rPr>
              <w:t>Number of FTE’s</w:t>
            </w:r>
          </w:p>
        </w:tc>
        <w:tc>
          <w:tcPr>
            <w:tcW w:w="3102" w:type="dxa"/>
            <w:shd w:val="clear" w:color="auto" w:fill="CCCCCC"/>
            <w:vAlign w:val="bottom"/>
          </w:tcPr>
          <w:p w:rsidRPr="00430C6A" w:rsidR="006C32B4" w:rsidP="00071460" w:rsidRDefault="006C32B4" w14:paraId="5E2C3438" w14:textId="09D83E77">
            <w:pPr>
              <w:autoSpaceDE w:val="0"/>
              <w:autoSpaceDN w:val="0"/>
              <w:adjustRightInd w:val="0"/>
              <w:spacing w:after="0" w:line="240" w:lineRule="auto"/>
              <w:jc w:val="center"/>
              <w:rPr>
                <w:rFonts w:ascii="Times New Roman" w:hAnsi="Times New Roman" w:eastAsia="Times New Roman" w:cs="Times New Roman"/>
                <w:b/>
                <w:sz w:val="24"/>
                <w:szCs w:val="24"/>
              </w:rPr>
            </w:pPr>
            <w:r w:rsidRPr="00430C6A">
              <w:rPr>
                <w:rFonts w:ascii="Times New Roman" w:hAnsi="Times New Roman" w:eastAsia="Times New Roman" w:cs="Times New Roman"/>
                <w:b/>
                <w:sz w:val="24"/>
                <w:szCs w:val="24"/>
              </w:rPr>
              <w:t>Estimated Annual Federal Cost ($)</w:t>
            </w:r>
          </w:p>
        </w:tc>
      </w:tr>
      <w:tr w:rsidRPr="00430C6A" w:rsidR="006C32B4" w:rsidTr="00610F46" w14:paraId="735166E0" w14:textId="77777777">
        <w:trPr>
          <w:tblHeader/>
        </w:trPr>
        <w:tc>
          <w:tcPr>
            <w:tcW w:w="3130" w:type="dxa"/>
          </w:tcPr>
          <w:p w:rsidRPr="00430C6A" w:rsidR="006C32B4" w:rsidP="00071460" w:rsidRDefault="006C32B4" w14:paraId="7BF50A41" w14:textId="501813FF">
            <w:pPr>
              <w:autoSpaceDE w:val="0"/>
              <w:autoSpaceDN w:val="0"/>
              <w:adjustRightInd w:val="0"/>
              <w:spacing w:after="0" w:line="240" w:lineRule="auto"/>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PRA</w:t>
            </w:r>
            <w:bookmarkStart w:name="_Ref73690625" w:id="5"/>
            <w:r w:rsidRPr="000A03ED">
              <w:rPr>
                <w:rFonts w:ascii="Times New Roman" w:hAnsi="Times New Roman" w:eastAsia="Times New Roman" w:cs="Times New Roman"/>
                <w:bCs/>
                <w:sz w:val="24"/>
                <w:szCs w:val="24"/>
                <w:vertAlign w:val="superscript"/>
              </w:rPr>
              <w:footnoteReference w:id="8"/>
            </w:r>
            <w:bookmarkEnd w:id="5"/>
            <w:r w:rsidRPr="000A03ED">
              <w:rPr>
                <w:rFonts w:ascii="Times New Roman" w:hAnsi="Times New Roman" w:eastAsia="Times New Roman" w:cs="Times New Roman"/>
                <w:b/>
                <w:i/>
                <w:iCs/>
                <w:sz w:val="24"/>
                <w:szCs w:val="24"/>
              </w:rPr>
              <w:t xml:space="preserve"> </w:t>
            </w:r>
            <w:r w:rsidRPr="00430C6A">
              <w:rPr>
                <w:rFonts w:ascii="Times New Roman" w:hAnsi="Times New Roman" w:eastAsia="Times New Roman" w:cs="Times New Roman"/>
                <w:sz w:val="24"/>
                <w:szCs w:val="24"/>
              </w:rPr>
              <w:t>Administration Cost</w:t>
            </w:r>
          </w:p>
        </w:tc>
        <w:tc>
          <w:tcPr>
            <w:tcW w:w="3118" w:type="dxa"/>
            <w:shd w:val="clear" w:color="auto" w:fill="FFFFFF"/>
            <w:vAlign w:val="center"/>
          </w:tcPr>
          <w:p w:rsidRPr="00430C6A" w:rsidR="006C32B4" w:rsidP="00071460" w:rsidRDefault="00313946" w14:paraId="0297612B" w14:textId="0D4DAE6B">
            <w:pPr>
              <w:autoSpaceDE w:val="0"/>
              <w:autoSpaceDN w:val="0"/>
              <w:adjustRightInd w:val="0"/>
              <w:spacing w:after="0" w:line="240" w:lineRule="auto"/>
              <w:jc w:val="right"/>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1</w:t>
            </w:r>
          </w:p>
        </w:tc>
        <w:tc>
          <w:tcPr>
            <w:tcW w:w="3102" w:type="dxa"/>
            <w:vAlign w:val="center"/>
          </w:tcPr>
          <w:p w:rsidRPr="00430C6A" w:rsidR="006C32B4" w:rsidP="00071460" w:rsidRDefault="006C32B4" w14:paraId="04776459" w14:textId="0F7A7276">
            <w:pPr>
              <w:autoSpaceDE w:val="0"/>
              <w:autoSpaceDN w:val="0"/>
              <w:adjustRightInd w:val="0"/>
              <w:spacing w:after="0" w:line="240" w:lineRule="auto"/>
              <w:jc w:val="right"/>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w:t>
            </w:r>
            <w:r w:rsidRPr="00430C6A" w:rsidR="00FA6B2F">
              <w:rPr>
                <w:rFonts w:ascii="Times New Roman" w:hAnsi="Times New Roman" w:eastAsia="Times New Roman" w:cs="Times New Roman"/>
                <w:sz w:val="24"/>
                <w:szCs w:val="24"/>
              </w:rPr>
              <w:t>6</w:t>
            </w:r>
            <w:r w:rsidRPr="00430C6A" w:rsidR="00313946">
              <w:rPr>
                <w:rFonts w:ascii="Times New Roman" w:hAnsi="Times New Roman" w:eastAsia="Times New Roman" w:cs="Times New Roman"/>
                <w:sz w:val="24"/>
                <w:szCs w:val="24"/>
              </w:rPr>
              <w:t>,</w:t>
            </w:r>
            <w:r w:rsidRPr="00430C6A" w:rsidR="00FA6B2F">
              <w:rPr>
                <w:rFonts w:ascii="Times New Roman" w:hAnsi="Times New Roman" w:eastAsia="Times New Roman" w:cs="Times New Roman"/>
                <w:sz w:val="24"/>
                <w:szCs w:val="24"/>
              </w:rPr>
              <w:t>475</w:t>
            </w:r>
            <w:r w:rsidRPr="00430C6A" w:rsidR="00313946">
              <w:rPr>
                <w:rFonts w:ascii="Times New Roman" w:hAnsi="Times New Roman" w:eastAsia="Times New Roman" w:cs="Times New Roman"/>
                <w:sz w:val="24"/>
                <w:szCs w:val="24"/>
              </w:rPr>
              <w:t>.00</w:t>
            </w:r>
            <w:r w:rsidRPr="00430C6A">
              <w:rPr>
                <w:rFonts w:ascii="Times New Roman" w:hAnsi="Times New Roman" w:eastAsia="Times New Roman" w:cs="Times New Roman"/>
                <w:sz w:val="24"/>
                <w:szCs w:val="24"/>
              </w:rPr>
              <w:t xml:space="preserve"> </w:t>
            </w:r>
          </w:p>
        </w:tc>
      </w:tr>
      <w:tr w:rsidRPr="00430C6A" w:rsidR="006C32B4" w:rsidTr="00610F46" w14:paraId="053309A5" w14:textId="77777777">
        <w:trPr>
          <w:tblHeader/>
        </w:trPr>
        <w:tc>
          <w:tcPr>
            <w:tcW w:w="3130" w:type="dxa"/>
          </w:tcPr>
          <w:p w:rsidRPr="00430C6A" w:rsidR="006C32B4" w:rsidP="00071460" w:rsidRDefault="006C32B4" w14:paraId="14E48738" w14:textId="1C922B45">
            <w:pPr>
              <w:autoSpaceDE w:val="0"/>
              <w:autoSpaceDN w:val="0"/>
              <w:adjustRightInd w:val="0"/>
              <w:spacing w:after="0" w:line="240" w:lineRule="auto"/>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Data Processing and Analysis</w:t>
            </w:r>
            <w:r w:rsidRPr="00430C6A" w:rsidR="00687611">
              <w:rPr>
                <w:rFonts w:ascii="Times New Roman" w:hAnsi="Times New Roman" w:eastAsia="Times New Roman" w:cs="Times New Roman"/>
                <w:sz w:val="24"/>
                <w:szCs w:val="24"/>
              </w:rPr>
              <w:t xml:space="preserve"> for FERC-567</w:t>
            </w:r>
            <w:bookmarkStart w:name="_Ref76466385" w:id="7"/>
            <w:r w:rsidRPr="009500D7" w:rsidR="008C2371">
              <w:rPr>
                <w:rStyle w:val="FootnoteReference"/>
                <w:rFonts w:ascii="Times New Roman" w:hAnsi="Times New Roman" w:eastAsia="Times New Roman" w:cs="Times New Roman"/>
                <w:sz w:val="24"/>
                <w:szCs w:val="24"/>
                <w:vertAlign w:val="superscript"/>
              </w:rPr>
              <w:footnoteReference w:id="9"/>
            </w:r>
            <w:bookmarkEnd w:id="7"/>
          </w:p>
        </w:tc>
        <w:tc>
          <w:tcPr>
            <w:tcW w:w="3118" w:type="dxa"/>
            <w:vAlign w:val="center"/>
          </w:tcPr>
          <w:p w:rsidRPr="00430C6A" w:rsidR="006C32B4" w:rsidP="00071460" w:rsidRDefault="002A0BF0" w14:paraId="1E24309C" w14:textId="2F9FAF44">
            <w:pPr>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r w:rsidRPr="00430C6A" w:rsidR="00313946">
              <w:rPr>
                <w:rFonts w:ascii="Times New Roman" w:hAnsi="Times New Roman" w:eastAsia="Times New Roman" w:cs="Times New Roman"/>
                <w:sz w:val="24"/>
                <w:szCs w:val="24"/>
              </w:rPr>
              <w:t>.</w:t>
            </w:r>
            <w:r w:rsidR="00494060">
              <w:rPr>
                <w:rFonts w:ascii="Times New Roman" w:hAnsi="Times New Roman" w:eastAsia="Times New Roman" w:cs="Times New Roman"/>
                <w:sz w:val="24"/>
                <w:szCs w:val="24"/>
              </w:rPr>
              <w:t>06</w:t>
            </w:r>
          </w:p>
        </w:tc>
        <w:tc>
          <w:tcPr>
            <w:tcW w:w="3102" w:type="dxa"/>
            <w:vAlign w:val="center"/>
          </w:tcPr>
          <w:p w:rsidRPr="00430C6A" w:rsidR="006C32B4" w:rsidP="00071460" w:rsidRDefault="006C32B4" w14:paraId="6D698C2A" w14:textId="36D1F7B4">
            <w:pPr>
              <w:autoSpaceDE w:val="0"/>
              <w:autoSpaceDN w:val="0"/>
              <w:adjustRightInd w:val="0"/>
              <w:spacing w:after="0" w:line="240" w:lineRule="auto"/>
              <w:jc w:val="right"/>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w:t>
            </w:r>
            <w:r w:rsidR="00805FFA">
              <w:rPr>
                <w:rFonts w:ascii="Times New Roman" w:hAnsi="Times New Roman" w:eastAsia="Times New Roman" w:cs="Times New Roman"/>
                <w:sz w:val="24"/>
                <w:szCs w:val="24"/>
              </w:rPr>
              <w:t>10,339.74</w:t>
            </w:r>
          </w:p>
        </w:tc>
      </w:tr>
      <w:tr w:rsidRPr="00430C6A" w:rsidR="006C32B4" w:rsidTr="00610F46" w14:paraId="62F57B73" w14:textId="77777777">
        <w:trPr>
          <w:tblHeader/>
        </w:trPr>
        <w:tc>
          <w:tcPr>
            <w:tcW w:w="3130" w:type="dxa"/>
          </w:tcPr>
          <w:p w:rsidRPr="00430C6A" w:rsidR="006C32B4" w:rsidP="00071460" w:rsidRDefault="006C32B4" w14:paraId="12059F17" w14:textId="77777777">
            <w:pPr>
              <w:autoSpaceDE w:val="0"/>
              <w:autoSpaceDN w:val="0"/>
              <w:adjustRightInd w:val="0"/>
              <w:spacing w:after="0" w:line="240" w:lineRule="auto"/>
              <w:rPr>
                <w:rFonts w:ascii="Times New Roman" w:hAnsi="Times New Roman" w:eastAsia="Times New Roman" w:cs="Times New Roman"/>
                <w:b/>
                <w:sz w:val="24"/>
                <w:szCs w:val="24"/>
              </w:rPr>
            </w:pPr>
            <w:r w:rsidRPr="00430C6A">
              <w:rPr>
                <w:rFonts w:ascii="Times New Roman" w:hAnsi="Times New Roman" w:eastAsia="Times New Roman" w:cs="Times New Roman"/>
                <w:b/>
                <w:sz w:val="24"/>
                <w:szCs w:val="24"/>
              </w:rPr>
              <w:t>FERC Total</w:t>
            </w:r>
          </w:p>
        </w:tc>
        <w:tc>
          <w:tcPr>
            <w:tcW w:w="3118" w:type="dxa"/>
            <w:vAlign w:val="center"/>
          </w:tcPr>
          <w:p w:rsidRPr="00430C6A" w:rsidR="006C32B4" w:rsidP="00071460" w:rsidRDefault="006C32B4" w14:paraId="7CB4E5E8" w14:textId="55E33222">
            <w:pPr>
              <w:autoSpaceDE w:val="0"/>
              <w:autoSpaceDN w:val="0"/>
              <w:adjustRightInd w:val="0"/>
              <w:spacing w:after="0" w:line="240" w:lineRule="auto"/>
              <w:jc w:val="right"/>
              <w:rPr>
                <w:rFonts w:ascii="Times New Roman" w:hAnsi="Times New Roman" w:eastAsia="Times New Roman" w:cs="Times New Roman"/>
                <w:sz w:val="24"/>
                <w:szCs w:val="24"/>
              </w:rPr>
            </w:pPr>
          </w:p>
        </w:tc>
        <w:tc>
          <w:tcPr>
            <w:tcW w:w="3102" w:type="dxa"/>
            <w:vAlign w:val="center"/>
          </w:tcPr>
          <w:p w:rsidRPr="00430C6A" w:rsidR="006C32B4" w:rsidP="00071460" w:rsidRDefault="006C32B4" w14:paraId="42E4EA18" w14:textId="398839EF">
            <w:pPr>
              <w:autoSpaceDE w:val="0"/>
              <w:autoSpaceDN w:val="0"/>
              <w:adjustRightInd w:val="0"/>
              <w:spacing w:after="0" w:line="240" w:lineRule="auto"/>
              <w:jc w:val="right"/>
              <w:rPr>
                <w:rFonts w:ascii="Times New Roman" w:hAnsi="Times New Roman" w:eastAsia="Times New Roman" w:cs="Times New Roman"/>
                <w:sz w:val="24"/>
                <w:szCs w:val="24"/>
              </w:rPr>
            </w:pPr>
            <w:r w:rsidRPr="00430C6A">
              <w:rPr>
                <w:rFonts w:ascii="Times New Roman" w:hAnsi="Times New Roman" w:eastAsia="Times New Roman" w:cs="Times New Roman"/>
                <w:sz w:val="24"/>
                <w:szCs w:val="24"/>
              </w:rPr>
              <w:t>$</w:t>
            </w:r>
            <w:r w:rsidR="00805FFA">
              <w:rPr>
                <w:rFonts w:ascii="Times New Roman" w:hAnsi="Times New Roman" w:eastAsia="Times New Roman" w:cs="Times New Roman"/>
                <w:sz w:val="24"/>
                <w:szCs w:val="24"/>
              </w:rPr>
              <w:t>16,814.74</w:t>
            </w:r>
          </w:p>
        </w:tc>
      </w:tr>
    </w:tbl>
    <w:p w:rsidRPr="00430C6A" w:rsidR="000B73C6" w:rsidP="00071460" w:rsidRDefault="000B73C6" w14:paraId="7E8DD7B8" w14:textId="181CFF1D">
      <w:pPr>
        <w:spacing w:after="0" w:line="240" w:lineRule="auto"/>
        <w:rPr>
          <w:rFonts w:ascii="Times New Roman" w:hAnsi="Times New Roman" w:eastAsia="Calibri" w:cs="Times New Roman"/>
          <w:sz w:val="24"/>
          <w:szCs w:val="24"/>
        </w:rPr>
      </w:pPr>
    </w:p>
    <w:p w:rsidR="00687611" w:rsidP="00071460" w:rsidRDefault="00687611" w14:paraId="2B73C065" w14:textId="68ECA8FD">
      <w:pPr>
        <w:spacing w:after="0" w:line="240" w:lineRule="auto"/>
        <w:rPr>
          <w:rFonts w:ascii="Times New Roman" w:hAnsi="Times New Roman" w:eastAsia="Calibri" w:cs="Times New Roman"/>
          <w:sz w:val="24"/>
          <w:szCs w:val="24"/>
        </w:rPr>
      </w:pPr>
    </w:p>
    <w:p w:rsidRPr="00430C6A" w:rsidR="00FA6B2F" w:rsidP="00FA6B2F" w:rsidRDefault="00FA6B2F" w14:paraId="0BC02959" w14:textId="77777777">
      <w:pPr>
        <w:spacing w:after="0" w:line="240" w:lineRule="auto"/>
        <w:rPr>
          <w:rFonts w:ascii="Times New Roman" w:hAnsi="Times New Roman" w:eastAsia="Calibri" w:cs="Times New Roman"/>
          <w:sz w:val="24"/>
          <w:szCs w:val="24"/>
        </w:rPr>
      </w:pPr>
      <w:bookmarkStart w:name="_Hlk76033842" w:id="9"/>
      <w:r w:rsidRPr="00430C6A">
        <w:rPr>
          <w:rFonts w:ascii="Times New Roman" w:hAnsi="Times New Roman" w:eastAsia="Calibri"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bookmarkEnd w:id="9"/>
    <w:p w:rsidRPr="00430C6A" w:rsidR="00FA6B2F" w:rsidP="00FA6B2F" w:rsidRDefault="00FA6B2F" w14:paraId="65FEE451" w14:textId="77777777">
      <w:pPr>
        <w:spacing w:after="0" w:line="240" w:lineRule="auto"/>
        <w:rPr>
          <w:rFonts w:ascii="Times New Roman" w:hAnsi="Times New Roman" w:eastAsia="Calibri" w:cs="Times New Roman"/>
          <w:sz w:val="24"/>
          <w:szCs w:val="24"/>
        </w:rPr>
      </w:pPr>
    </w:p>
    <w:p w:rsidRPr="00430C6A" w:rsidR="00FA6B2F" w:rsidP="00FA6B2F" w:rsidRDefault="00FA6B2F" w14:paraId="7E89DEF9" w14:textId="0A3BF7B6">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Pr="00430C6A" w:rsidR="006C32B4" w:rsidP="00071460" w:rsidRDefault="006C32B4" w14:paraId="376A56AD" w14:textId="77777777">
      <w:pPr>
        <w:spacing w:after="0" w:line="240" w:lineRule="auto"/>
        <w:rPr>
          <w:rFonts w:ascii="Times New Roman" w:hAnsi="Times New Roman" w:eastAsia="Calibri" w:cs="Times New Roman"/>
          <w:sz w:val="24"/>
          <w:szCs w:val="24"/>
        </w:rPr>
      </w:pPr>
    </w:p>
    <w:p w:rsidRPr="00430C6A" w:rsidR="006C32B4" w:rsidP="00071460" w:rsidRDefault="006C32B4" w14:paraId="058BF8A1"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REASONS FOR CHANGES IN BURDEN INCLUDING THE NEED FOR ANY INCREASE</w:t>
      </w:r>
    </w:p>
    <w:p w:rsidRPr="00430C6A" w:rsidR="00313946" w:rsidP="00071460" w:rsidRDefault="00313946" w14:paraId="0A3E66E8" w14:textId="77777777">
      <w:pPr>
        <w:pStyle w:val="FERCparanumber"/>
        <w:numPr>
          <w:ilvl w:val="0"/>
          <w:numId w:val="0"/>
        </w:numPr>
        <w:spacing w:line="240" w:lineRule="auto"/>
        <w:rPr>
          <w:sz w:val="24"/>
        </w:rPr>
      </w:pPr>
    </w:p>
    <w:p w:rsidRPr="00430C6A" w:rsidR="000B73C6" w:rsidP="00FA6B2F" w:rsidRDefault="00817F23" w14:paraId="5FA46264" w14:textId="3C657400">
      <w:pPr>
        <w:pStyle w:val="FERCparanumber"/>
        <w:numPr>
          <w:ilvl w:val="0"/>
          <w:numId w:val="0"/>
        </w:numPr>
        <w:spacing w:line="240" w:lineRule="auto"/>
        <w:rPr>
          <w:rFonts w:eastAsia="Calibri"/>
          <w:bCs/>
          <w:sz w:val="24"/>
        </w:rPr>
      </w:pPr>
      <w:r>
        <w:rPr>
          <w:sz w:val="24"/>
        </w:rPr>
        <w:t>For FERC-567, t</w:t>
      </w:r>
      <w:r w:rsidRPr="00370D92" w:rsidR="00313946">
        <w:rPr>
          <w:sz w:val="24"/>
        </w:rPr>
        <w:t>here is a</w:t>
      </w:r>
      <w:r>
        <w:rPr>
          <w:sz w:val="24"/>
        </w:rPr>
        <w:t xml:space="preserve"> </w:t>
      </w:r>
      <w:r w:rsidR="00370D92">
        <w:rPr>
          <w:sz w:val="24"/>
        </w:rPr>
        <w:t>d</w:t>
      </w:r>
      <w:r>
        <w:rPr>
          <w:sz w:val="24"/>
        </w:rPr>
        <w:t>e</w:t>
      </w:r>
      <w:r w:rsidR="00370D92">
        <w:rPr>
          <w:sz w:val="24"/>
        </w:rPr>
        <w:t>crease</w:t>
      </w:r>
      <w:r w:rsidRPr="00430C6A" w:rsidR="00E400F8">
        <w:rPr>
          <w:sz w:val="24"/>
        </w:rPr>
        <w:t xml:space="preserve"> from </w:t>
      </w:r>
      <w:r w:rsidRPr="00430C6A" w:rsidR="00FA6B2F">
        <w:rPr>
          <w:sz w:val="24"/>
        </w:rPr>
        <w:t>197</w:t>
      </w:r>
      <w:r w:rsidRPr="00430C6A" w:rsidR="00E400F8">
        <w:rPr>
          <w:sz w:val="24"/>
        </w:rPr>
        <w:t xml:space="preserve"> respon</w:t>
      </w:r>
      <w:r>
        <w:rPr>
          <w:sz w:val="24"/>
        </w:rPr>
        <w:t>dents</w:t>
      </w:r>
      <w:r w:rsidRPr="00430C6A" w:rsidR="00E400F8">
        <w:rPr>
          <w:sz w:val="24"/>
        </w:rPr>
        <w:t xml:space="preserve"> to 1</w:t>
      </w:r>
      <w:r w:rsidRPr="00430C6A" w:rsidR="00FA6B2F">
        <w:rPr>
          <w:sz w:val="24"/>
        </w:rPr>
        <w:t>24</w:t>
      </w:r>
      <w:r w:rsidRPr="00430C6A" w:rsidR="00E400F8">
        <w:rPr>
          <w:sz w:val="24"/>
        </w:rPr>
        <w:t xml:space="preserve"> respondents and </w:t>
      </w:r>
      <w:r>
        <w:rPr>
          <w:sz w:val="24"/>
        </w:rPr>
        <w:t>a</w:t>
      </w:r>
      <w:r w:rsidRPr="00430C6A" w:rsidR="00E400F8">
        <w:rPr>
          <w:sz w:val="24"/>
        </w:rPr>
        <w:t xml:space="preserve"> </w:t>
      </w:r>
      <w:r w:rsidR="00370D92">
        <w:rPr>
          <w:sz w:val="24"/>
        </w:rPr>
        <w:t>decrease</w:t>
      </w:r>
      <w:r w:rsidRPr="00430C6A" w:rsidR="00E400F8">
        <w:rPr>
          <w:sz w:val="24"/>
        </w:rPr>
        <w:t xml:space="preserve"> from </w:t>
      </w:r>
      <w:r w:rsidRPr="00430C6A" w:rsidR="00FA6B2F">
        <w:rPr>
          <w:sz w:val="24"/>
        </w:rPr>
        <w:t>591</w:t>
      </w:r>
      <w:r w:rsidRPr="00430C6A" w:rsidR="00E400F8">
        <w:rPr>
          <w:sz w:val="24"/>
        </w:rPr>
        <w:t xml:space="preserve"> burden hours to</w:t>
      </w:r>
      <w:r w:rsidRPr="00430C6A" w:rsidR="006A5FE2">
        <w:rPr>
          <w:sz w:val="24"/>
        </w:rPr>
        <w:t xml:space="preserve"> 496</w:t>
      </w:r>
      <w:r w:rsidRPr="00430C6A" w:rsidR="00313946">
        <w:rPr>
          <w:sz w:val="24"/>
        </w:rPr>
        <w:t xml:space="preserve"> annual burden hours in this renewal. </w:t>
      </w:r>
      <w:r w:rsidRPr="00430C6A" w:rsidR="00FA6B2F">
        <w:rPr>
          <w:sz w:val="24"/>
        </w:rPr>
        <w:t xml:space="preserve"> </w:t>
      </w:r>
      <w:r w:rsidRPr="00430C6A" w:rsidR="000B73C6">
        <w:rPr>
          <w:rFonts w:eastAsia="Calibri"/>
          <w:bCs/>
          <w:sz w:val="24"/>
        </w:rPr>
        <w:t xml:space="preserve">The </w:t>
      </w:r>
      <w:r w:rsidRPr="00430C6A" w:rsidR="006A5FE2">
        <w:rPr>
          <w:rFonts w:eastAsia="Calibri"/>
          <w:bCs/>
          <w:sz w:val="24"/>
        </w:rPr>
        <w:t xml:space="preserve">change in </w:t>
      </w:r>
      <w:r w:rsidRPr="00430C6A" w:rsidR="000B73C6">
        <w:rPr>
          <w:rFonts w:eastAsia="Calibri"/>
          <w:bCs/>
          <w:sz w:val="24"/>
        </w:rPr>
        <w:t xml:space="preserve">burden </w:t>
      </w:r>
      <w:r w:rsidRPr="00430C6A" w:rsidR="006A5FE2">
        <w:rPr>
          <w:rFonts w:eastAsia="Calibri"/>
          <w:bCs/>
          <w:sz w:val="24"/>
        </w:rPr>
        <w:t xml:space="preserve">hours and number responses </w:t>
      </w:r>
      <w:r w:rsidRPr="00430C6A" w:rsidR="000B73C6">
        <w:rPr>
          <w:rFonts w:eastAsia="Calibri"/>
          <w:bCs/>
          <w:sz w:val="24"/>
        </w:rPr>
        <w:t xml:space="preserve">for FERC-567 </w:t>
      </w:r>
      <w:r w:rsidR="004E2A3E">
        <w:rPr>
          <w:rFonts w:eastAsia="Calibri"/>
          <w:bCs/>
          <w:sz w:val="24"/>
        </w:rPr>
        <w:t>is</w:t>
      </w:r>
      <w:r w:rsidRPr="00430C6A" w:rsidR="006A5FE2">
        <w:rPr>
          <w:rFonts w:eastAsia="Calibri"/>
          <w:bCs/>
          <w:sz w:val="24"/>
        </w:rPr>
        <w:t xml:space="preserve"> based on </w:t>
      </w:r>
      <w:r w:rsidR="00D8784B">
        <w:rPr>
          <w:rFonts w:eastAsia="Calibri"/>
          <w:bCs/>
          <w:sz w:val="24"/>
        </w:rPr>
        <w:t xml:space="preserve">the </w:t>
      </w:r>
      <w:r w:rsidRPr="00430C6A" w:rsidR="006A5FE2">
        <w:rPr>
          <w:rFonts w:eastAsia="Calibri"/>
          <w:bCs/>
          <w:sz w:val="24"/>
        </w:rPr>
        <w:t xml:space="preserve">average number of respondents over the past three years </w:t>
      </w:r>
      <w:r w:rsidR="00EF2342">
        <w:rPr>
          <w:rFonts w:eastAsia="Calibri"/>
          <w:bCs/>
          <w:sz w:val="24"/>
        </w:rPr>
        <w:t>which</w:t>
      </w:r>
      <w:r w:rsidRPr="00430C6A" w:rsidR="006A5FE2">
        <w:rPr>
          <w:rFonts w:eastAsia="Calibri"/>
          <w:bCs/>
          <w:sz w:val="24"/>
        </w:rPr>
        <w:t xml:space="preserve"> provide</w:t>
      </w:r>
      <w:r w:rsidR="00EF2342">
        <w:rPr>
          <w:rFonts w:eastAsia="Calibri"/>
          <w:bCs/>
          <w:sz w:val="24"/>
        </w:rPr>
        <w:t>s a</w:t>
      </w:r>
      <w:r w:rsidRPr="00430C6A" w:rsidR="006A5FE2">
        <w:rPr>
          <w:rFonts w:eastAsia="Calibri"/>
          <w:bCs/>
          <w:sz w:val="24"/>
        </w:rPr>
        <w:t xml:space="preserve"> more accurate </w:t>
      </w:r>
      <w:r w:rsidR="00D8784B">
        <w:rPr>
          <w:rFonts w:eastAsia="Calibri"/>
          <w:bCs/>
          <w:sz w:val="24"/>
        </w:rPr>
        <w:t xml:space="preserve">estimate </w:t>
      </w:r>
      <w:r>
        <w:rPr>
          <w:rFonts w:eastAsia="Calibri"/>
          <w:bCs/>
          <w:sz w:val="24"/>
        </w:rPr>
        <w:t xml:space="preserve">based on agency </w:t>
      </w:r>
      <w:r w:rsidR="00EF2342">
        <w:rPr>
          <w:rFonts w:eastAsia="Calibri"/>
          <w:bCs/>
          <w:sz w:val="24"/>
        </w:rPr>
        <w:t xml:space="preserve">adjustment. </w:t>
      </w:r>
      <w:r w:rsidR="00071E2D">
        <w:rPr>
          <w:rFonts w:eastAsia="Calibri"/>
          <w:bCs/>
          <w:sz w:val="24"/>
        </w:rPr>
        <w:t>As this is based on historical data, the agency could revise these burdens up or down in subsequent reporting.</w:t>
      </w:r>
    </w:p>
    <w:p w:rsidRPr="00430C6A" w:rsidR="00FA6B2F" w:rsidP="00FA6B2F" w:rsidRDefault="00FA6B2F" w14:paraId="3BF329F0" w14:textId="77777777">
      <w:pPr>
        <w:pStyle w:val="FERCparanumber"/>
        <w:numPr>
          <w:ilvl w:val="0"/>
          <w:numId w:val="0"/>
        </w:numPr>
        <w:spacing w:line="240" w:lineRule="auto"/>
        <w:rPr>
          <w:rFonts w:eastAsia="Calibri"/>
          <w:bCs/>
          <w:sz w:val="24"/>
        </w:rPr>
      </w:pPr>
    </w:p>
    <w:p w:rsidRPr="00430C6A" w:rsidR="006C32B4" w:rsidP="00071460" w:rsidRDefault="006C32B4" w14:paraId="405F7FFA" w14:textId="5B61DC22">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 xml:space="preserve">The Commission estimates the annual public reporting burden for </w:t>
      </w:r>
      <w:r w:rsidR="005327C4">
        <w:rPr>
          <w:rFonts w:ascii="Times New Roman" w:hAnsi="Times New Roman" w:eastAsia="Calibri" w:cs="Times New Roman"/>
          <w:sz w:val="24"/>
          <w:szCs w:val="24"/>
        </w:rPr>
        <w:t>FERC-567 is</w:t>
      </w:r>
      <w:r w:rsidRPr="00430C6A">
        <w:rPr>
          <w:rFonts w:ascii="Times New Roman" w:hAnsi="Times New Roman" w:eastAsia="Calibri" w:cs="Times New Roman"/>
          <w:sz w:val="24"/>
          <w:szCs w:val="24"/>
        </w:rPr>
        <w:t>:</w:t>
      </w: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430C6A" w:rsidR="006C32B4" w:rsidTr="00D742F1" w14:paraId="3938FEE3" w14:textId="77777777">
        <w:trPr>
          <w:trHeight w:val="870"/>
        </w:trPr>
        <w:tc>
          <w:tcPr>
            <w:tcW w:w="2589" w:type="dxa"/>
            <w:shd w:val="clear" w:color="auto" w:fill="D9D9D9"/>
            <w:vAlign w:val="bottom"/>
          </w:tcPr>
          <w:p w:rsidRPr="00430C6A" w:rsidR="006C32B4" w:rsidP="00071460" w:rsidRDefault="006C32B4" w14:paraId="57031F39" w14:textId="77777777">
            <w:pPr>
              <w:spacing w:after="0" w:line="240" w:lineRule="auto"/>
              <w:rPr>
                <w:rFonts w:ascii="Times New Roman" w:hAnsi="Times New Roman" w:eastAsia="Calibri" w:cs="Times New Roman"/>
                <w:b/>
                <w:sz w:val="24"/>
                <w:szCs w:val="24"/>
              </w:rPr>
            </w:pPr>
            <w:r w:rsidRPr="00430C6A">
              <w:rPr>
                <w:rFonts w:ascii="Times New Roman" w:hAnsi="Times New Roman" w:eastAsia="Calibri" w:cs="Times New Roman"/>
                <w:b/>
                <w:sz w:val="24"/>
                <w:szCs w:val="24"/>
              </w:rPr>
              <w:t>FERC-567</w:t>
            </w:r>
          </w:p>
        </w:tc>
        <w:tc>
          <w:tcPr>
            <w:tcW w:w="1779" w:type="dxa"/>
            <w:shd w:val="clear" w:color="auto" w:fill="D9D9D9"/>
            <w:vAlign w:val="bottom"/>
          </w:tcPr>
          <w:p w:rsidRPr="00430C6A" w:rsidR="006C32B4" w:rsidP="00071460" w:rsidRDefault="006C32B4" w14:paraId="2DD1B1AA" w14:textId="77777777">
            <w:pPr>
              <w:spacing w:after="0" w:line="240" w:lineRule="auto"/>
              <w:rPr>
                <w:rFonts w:ascii="Times New Roman" w:hAnsi="Times New Roman" w:eastAsia="Calibri" w:cs="Times New Roman"/>
                <w:b/>
                <w:sz w:val="24"/>
                <w:szCs w:val="24"/>
              </w:rPr>
            </w:pPr>
            <w:r w:rsidRPr="00430C6A">
              <w:rPr>
                <w:rFonts w:ascii="Times New Roman" w:hAnsi="Times New Roman" w:eastAsia="Calibri" w:cs="Times New Roman"/>
                <w:b/>
                <w:sz w:val="24"/>
                <w:szCs w:val="24"/>
              </w:rPr>
              <w:t>Total Request</w:t>
            </w:r>
          </w:p>
        </w:tc>
        <w:tc>
          <w:tcPr>
            <w:tcW w:w="1959" w:type="dxa"/>
            <w:shd w:val="clear" w:color="auto" w:fill="D9D9D9"/>
            <w:vAlign w:val="bottom"/>
          </w:tcPr>
          <w:p w:rsidRPr="00430C6A" w:rsidR="006C32B4" w:rsidP="00071460" w:rsidRDefault="006C32B4" w14:paraId="60998612" w14:textId="77777777">
            <w:pPr>
              <w:spacing w:after="0" w:line="240" w:lineRule="auto"/>
              <w:rPr>
                <w:rFonts w:ascii="Times New Roman" w:hAnsi="Times New Roman" w:eastAsia="Calibri" w:cs="Times New Roman"/>
                <w:b/>
                <w:sz w:val="24"/>
                <w:szCs w:val="24"/>
              </w:rPr>
            </w:pPr>
            <w:r w:rsidRPr="00430C6A">
              <w:rPr>
                <w:rFonts w:ascii="Times New Roman" w:hAnsi="Times New Roman" w:eastAsia="Calibri" w:cs="Times New Roman"/>
                <w:b/>
                <w:sz w:val="24"/>
                <w:szCs w:val="24"/>
              </w:rPr>
              <w:t>Previously Approved</w:t>
            </w:r>
          </w:p>
        </w:tc>
        <w:tc>
          <w:tcPr>
            <w:tcW w:w="1683" w:type="dxa"/>
            <w:shd w:val="clear" w:color="auto" w:fill="D9D9D9"/>
            <w:vAlign w:val="bottom"/>
          </w:tcPr>
          <w:p w:rsidRPr="00430C6A" w:rsidR="006C32B4" w:rsidP="00071460" w:rsidRDefault="006C32B4" w14:paraId="7CB94D08" w14:textId="77777777">
            <w:pPr>
              <w:spacing w:after="0" w:line="240" w:lineRule="auto"/>
              <w:rPr>
                <w:rFonts w:ascii="Times New Roman" w:hAnsi="Times New Roman" w:eastAsia="Calibri" w:cs="Times New Roman"/>
                <w:b/>
                <w:sz w:val="24"/>
                <w:szCs w:val="24"/>
              </w:rPr>
            </w:pPr>
            <w:r w:rsidRPr="00430C6A">
              <w:rPr>
                <w:rFonts w:ascii="Times New Roman" w:hAnsi="Times New Roman" w:eastAsia="Calibri" w:cs="Times New Roman"/>
                <w:b/>
                <w:sz w:val="24"/>
                <w:szCs w:val="24"/>
              </w:rPr>
              <w:t>Change due to Adjustment in Estimate</w:t>
            </w:r>
          </w:p>
        </w:tc>
        <w:tc>
          <w:tcPr>
            <w:tcW w:w="1357" w:type="dxa"/>
            <w:shd w:val="clear" w:color="auto" w:fill="D9D9D9"/>
            <w:vAlign w:val="bottom"/>
          </w:tcPr>
          <w:p w:rsidRPr="00430C6A" w:rsidR="006C32B4" w:rsidP="00071460" w:rsidRDefault="006C32B4" w14:paraId="6BCD2CB5" w14:textId="77777777">
            <w:pPr>
              <w:spacing w:after="0" w:line="240" w:lineRule="auto"/>
              <w:rPr>
                <w:rFonts w:ascii="Times New Roman" w:hAnsi="Times New Roman" w:eastAsia="Calibri" w:cs="Times New Roman"/>
                <w:b/>
                <w:sz w:val="24"/>
                <w:szCs w:val="24"/>
              </w:rPr>
            </w:pPr>
            <w:r w:rsidRPr="00430C6A">
              <w:rPr>
                <w:rFonts w:ascii="Times New Roman" w:hAnsi="Times New Roman" w:eastAsia="Calibri" w:cs="Times New Roman"/>
                <w:b/>
                <w:sz w:val="24"/>
                <w:szCs w:val="24"/>
              </w:rPr>
              <w:t>Change Due to Agency Discretion</w:t>
            </w:r>
          </w:p>
        </w:tc>
      </w:tr>
      <w:tr w:rsidRPr="00430C6A" w:rsidR="006A5FE2" w:rsidTr="00D742F1" w14:paraId="16A0440B" w14:textId="77777777">
        <w:trPr>
          <w:trHeight w:val="591"/>
        </w:trPr>
        <w:tc>
          <w:tcPr>
            <w:tcW w:w="2589" w:type="dxa"/>
          </w:tcPr>
          <w:p w:rsidRPr="00430C6A" w:rsidR="006A5FE2" w:rsidP="006A5FE2" w:rsidRDefault="006A5FE2" w14:paraId="5A9709EE" w14:textId="77777777">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Annual Number of Responses</w:t>
            </w:r>
          </w:p>
        </w:tc>
        <w:tc>
          <w:tcPr>
            <w:tcW w:w="1779" w:type="dxa"/>
            <w:vAlign w:val="center"/>
          </w:tcPr>
          <w:p w:rsidRPr="00430C6A" w:rsidR="006A5FE2" w:rsidP="006A5FE2" w:rsidRDefault="006A5FE2" w14:paraId="6F64C387" w14:textId="04442AB7">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124</w:t>
            </w:r>
          </w:p>
        </w:tc>
        <w:tc>
          <w:tcPr>
            <w:tcW w:w="1959" w:type="dxa"/>
            <w:vAlign w:val="center"/>
          </w:tcPr>
          <w:p w:rsidRPr="00430C6A" w:rsidR="006A5FE2" w:rsidP="006A5FE2" w:rsidRDefault="006A5FE2" w14:paraId="07AE0A9B" w14:textId="7B29F4CB">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197</w:t>
            </w:r>
          </w:p>
        </w:tc>
        <w:tc>
          <w:tcPr>
            <w:tcW w:w="1683" w:type="dxa"/>
            <w:vAlign w:val="center"/>
          </w:tcPr>
          <w:p w:rsidRPr="00430C6A" w:rsidR="006A5FE2" w:rsidP="006A5FE2" w:rsidRDefault="006A5FE2" w14:paraId="3AD999D3" w14:textId="6103AB54">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-73</w:t>
            </w:r>
          </w:p>
        </w:tc>
        <w:tc>
          <w:tcPr>
            <w:tcW w:w="1357" w:type="dxa"/>
            <w:vAlign w:val="center"/>
          </w:tcPr>
          <w:p w:rsidRPr="00430C6A" w:rsidR="006A5FE2" w:rsidP="006A5FE2" w:rsidRDefault="006A5FE2" w14:paraId="48EF125D" w14:textId="2FFC942C">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r>
      <w:tr w:rsidRPr="00430C6A" w:rsidR="006A5FE2" w:rsidTr="00D742F1" w14:paraId="16B112E5" w14:textId="77777777">
        <w:trPr>
          <w:trHeight w:val="575"/>
        </w:trPr>
        <w:tc>
          <w:tcPr>
            <w:tcW w:w="2589" w:type="dxa"/>
          </w:tcPr>
          <w:p w:rsidRPr="00430C6A" w:rsidR="006A5FE2" w:rsidP="006A5FE2" w:rsidRDefault="006A5FE2" w14:paraId="1D5F0DB3" w14:textId="77777777">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lastRenderedPageBreak/>
              <w:t>Annual Time Burden (</w:t>
            </w:r>
            <w:proofErr w:type="spellStart"/>
            <w:r w:rsidRPr="00430C6A">
              <w:rPr>
                <w:rFonts w:ascii="Times New Roman" w:hAnsi="Times New Roman" w:eastAsia="Calibri" w:cs="Times New Roman"/>
                <w:sz w:val="24"/>
                <w:szCs w:val="24"/>
              </w:rPr>
              <w:t>Hr</w:t>
            </w:r>
            <w:proofErr w:type="spellEnd"/>
            <w:r w:rsidRPr="00430C6A">
              <w:rPr>
                <w:rFonts w:ascii="Times New Roman" w:hAnsi="Times New Roman" w:eastAsia="Calibri" w:cs="Times New Roman"/>
                <w:sz w:val="24"/>
                <w:szCs w:val="24"/>
              </w:rPr>
              <w:t>)</w:t>
            </w:r>
          </w:p>
        </w:tc>
        <w:tc>
          <w:tcPr>
            <w:tcW w:w="1779" w:type="dxa"/>
            <w:vAlign w:val="center"/>
          </w:tcPr>
          <w:p w:rsidRPr="00430C6A" w:rsidR="006A5FE2" w:rsidP="006A5FE2" w:rsidRDefault="006A5FE2" w14:paraId="629D4C3D" w14:textId="570D8A99">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496</w:t>
            </w:r>
          </w:p>
        </w:tc>
        <w:tc>
          <w:tcPr>
            <w:tcW w:w="1959" w:type="dxa"/>
            <w:vAlign w:val="center"/>
          </w:tcPr>
          <w:p w:rsidRPr="00430C6A" w:rsidR="006A5FE2" w:rsidP="006A5FE2" w:rsidRDefault="006A5FE2" w14:paraId="4782B38D" w14:textId="25EAA3A5">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591</w:t>
            </w:r>
          </w:p>
        </w:tc>
        <w:tc>
          <w:tcPr>
            <w:tcW w:w="1683" w:type="dxa"/>
            <w:vAlign w:val="center"/>
          </w:tcPr>
          <w:p w:rsidRPr="00430C6A" w:rsidR="006A5FE2" w:rsidP="006A5FE2" w:rsidRDefault="006A5FE2" w14:paraId="7C2EF792" w14:textId="11E99138">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-95</w:t>
            </w:r>
          </w:p>
        </w:tc>
        <w:tc>
          <w:tcPr>
            <w:tcW w:w="1357" w:type="dxa"/>
            <w:vAlign w:val="center"/>
          </w:tcPr>
          <w:p w:rsidRPr="00430C6A" w:rsidR="006A5FE2" w:rsidP="006A5FE2" w:rsidRDefault="006A5FE2" w14:paraId="30DC8397" w14:textId="7677F208">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r>
      <w:tr w:rsidRPr="00430C6A" w:rsidR="006A5FE2" w:rsidTr="00D742F1" w14:paraId="7C446519" w14:textId="77777777">
        <w:trPr>
          <w:trHeight w:val="295"/>
        </w:trPr>
        <w:tc>
          <w:tcPr>
            <w:tcW w:w="2589" w:type="dxa"/>
          </w:tcPr>
          <w:p w:rsidRPr="00430C6A" w:rsidR="006A5FE2" w:rsidP="006A5FE2" w:rsidRDefault="006A5FE2" w14:paraId="222EA945" w14:textId="77777777">
            <w:pPr>
              <w:spacing w:after="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Annual Cost Burden ($)</w:t>
            </w:r>
          </w:p>
        </w:tc>
        <w:tc>
          <w:tcPr>
            <w:tcW w:w="1779" w:type="dxa"/>
            <w:vAlign w:val="center"/>
          </w:tcPr>
          <w:p w:rsidRPr="00430C6A" w:rsidR="006A5FE2" w:rsidP="006A5FE2" w:rsidRDefault="006A5FE2" w14:paraId="732079E1" w14:textId="77777777">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c>
          <w:tcPr>
            <w:tcW w:w="1959" w:type="dxa"/>
            <w:vAlign w:val="center"/>
          </w:tcPr>
          <w:p w:rsidRPr="00430C6A" w:rsidR="006A5FE2" w:rsidP="006A5FE2" w:rsidRDefault="006A5FE2" w14:paraId="3FF0A752" w14:textId="26935F15">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c>
          <w:tcPr>
            <w:tcW w:w="1683" w:type="dxa"/>
            <w:vAlign w:val="center"/>
          </w:tcPr>
          <w:p w:rsidRPr="00430C6A" w:rsidR="006A5FE2" w:rsidP="006A5FE2" w:rsidRDefault="006A5FE2" w14:paraId="0E4FD4ED" w14:textId="77777777">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c>
          <w:tcPr>
            <w:tcW w:w="1357" w:type="dxa"/>
            <w:vAlign w:val="center"/>
          </w:tcPr>
          <w:p w:rsidRPr="00430C6A" w:rsidR="006A5FE2" w:rsidP="006A5FE2" w:rsidRDefault="006A5FE2" w14:paraId="27A83D4C" w14:textId="77777777">
            <w:pPr>
              <w:spacing w:after="0" w:line="240" w:lineRule="auto"/>
              <w:jc w:val="right"/>
              <w:rPr>
                <w:rFonts w:ascii="Times New Roman" w:hAnsi="Times New Roman" w:eastAsia="Calibri" w:cs="Times New Roman"/>
                <w:sz w:val="24"/>
                <w:szCs w:val="24"/>
              </w:rPr>
            </w:pPr>
            <w:r w:rsidRPr="00430C6A">
              <w:rPr>
                <w:rFonts w:ascii="Times New Roman" w:hAnsi="Times New Roman" w:eastAsia="Calibri" w:cs="Times New Roman"/>
                <w:sz w:val="24"/>
                <w:szCs w:val="24"/>
              </w:rPr>
              <w:t>$0</w:t>
            </w:r>
          </w:p>
        </w:tc>
      </w:tr>
    </w:tbl>
    <w:p w:rsidR="006C32B4" w:rsidP="00071460" w:rsidRDefault="006C32B4" w14:paraId="66E75DC6" w14:textId="2D3D12B3">
      <w:pPr>
        <w:spacing w:after="200" w:line="240" w:lineRule="auto"/>
        <w:rPr>
          <w:rFonts w:ascii="Times New Roman" w:hAnsi="Times New Roman" w:eastAsia="Calibri" w:cs="Times New Roman"/>
          <w:b/>
          <w:bCs/>
          <w:sz w:val="24"/>
          <w:szCs w:val="24"/>
        </w:rPr>
      </w:pPr>
    </w:p>
    <w:p w:rsidRPr="00430C6A" w:rsidR="006C32B4" w:rsidP="00071460" w:rsidRDefault="006C32B4" w14:paraId="4CF87032"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TIME SCHEDULE FOR THE PUBLICATION OF DATA</w:t>
      </w:r>
    </w:p>
    <w:p w:rsidRPr="00430C6A" w:rsidR="006C32B4" w:rsidP="00071460" w:rsidRDefault="006C32B4" w14:paraId="71F512F1" w14:textId="77777777">
      <w:pPr>
        <w:widowControl w:val="0"/>
        <w:autoSpaceDE w:val="0"/>
        <w:autoSpaceDN w:val="0"/>
        <w:adjustRightInd w:val="0"/>
        <w:spacing w:after="0" w:line="240" w:lineRule="auto"/>
        <w:ind w:left="360"/>
        <w:rPr>
          <w:rFonts w:ascii="Times New Roman" w:hAnsi="Times New Roman" w:eastAsia="Calibri" w:cs="Times New Roman"/>
          <w:sz w:val="24"/>
          <w:szCs w:val="24"/>
        </w:rPr>
      </w:pPr>
    </w:p>
    <w:p w:rsidRPr="00430C6A" w:rsidR="006C32B4" w:rsidP="00071460" w:rsidRDefault="006A5FE2" w14:paraId="61E48D27" w14:textId="66EA4571">
      <w:pPr>
        <w:spacing w:after="200" w:line="240" w:lineRule="auto"/>
        <w:rPr>
          <w:rFonts w:ascii="Times New Roman" w:hAnsi="Times New Roman" w:eastAsia="Calibri" w:cs="Times New Roman"/>
          <w:bCs/>
          <w:sz w:val="24"/>
          <w:szCs w:val="24"/>
        </w:rPr>
      </w:pPr>
      <w:r w:rsidRPr="00430C6A">
        <w:rPr>
          <w:rFonts w:ascii="Times New Roman" w:hAnsi="Times New Roman" w:eastAsia="Calibri" w:cs="Times New Roman"/>
          <w:bCs/>
          <w:sz w:val="24"/>
          <w:szCs w:val="24"/>
        </w:rPr>
        <w:t xml:space="preserve">There is no publication of data associated </w:t>
      </w:r>
      <w:r w:rsidR="00A02D3A">
        <w:rPr>
          <w:rFonts w:ascii="Times New Roman" w:hAnsi="Times New Roman" w:eastAsia="Calibri" w:cs="Times New Roman"/>
          <w:bCs/>
          <w:sz w:val="24"/>
          <w:szCs w:val="24"/>
        </w:rPr>
        <w:t>with FERC-567 information collections.</w:t>
      </w:r>
    </w:p>
    <w:p w:rsidRPr="00430C6A" w:rsidR="006C32B4" w:rsidP="00071460" w:rsidRDefault="006C32B4" w14:paraId="1807F6B3" w14:textId="46310EE9">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DISPLAY OF THE EXPIRATION DATE</w:t>
      </w:r>
    </w:p>
    <w:p w:rsidRPr="00430C6A" w:rsidR="006C32B4" w:rsidP="00071460" w:rsidRDefault="006C32B4" w14:paraId="048FE93A" w14:textId="77777777">
      <w:pPr>
        <w:widowControl w:val="0"/>
        <w:autoSpaceDE w:val="0"/>
        <w:autoSpaceDN w:val="0"/>
        <w:adjustRightInd w:val="0"/>
        <w:spacing w:after="0" w:line="240" w:lineRule="auto"/>
        <w:rPr>
          <w:rFonts w:ascii="Times New Roman" w:hAnsi="Times New Roman" w:eastAsia="Calibri" w:cs="Times New Roman"/>
          <w:sz w:val="24"/>
          <w:szCs w:val="24"/>
        </w:rPr>
      </w:pPr>
    </w:p>
    <w:p w:rsidRPr="00430C6A" w:rsidR="006A5FE2" w:rsidP="006A5FE2" w:rsidRDefault="006A5FE2" w14:paraId="69EECCD2" w14:textId="6556180F">
      <w:pPr>
        <w:spacing w:after="200" w:line="240" w:lineRule="auto"/>
        <w:rPr>
          <w:rFonts w:ascii="Times New Roman" w:hAnsi="Times New Roman" w:eastAsia="Calibri" w:cs="Times New Roman"/>
          <w:sz w:val="24"/>
          <w:szCs w:val="24"/>
        </w:rPr>
      </w:pPr>
      <w:r w:rsidRPr="00430C6A">
        <w:rPr>
          <w:rFonts w:ascii="Times New Roman" w:hAnsi="Times New Roman" w:eastAsia="Calibri" w:cs="Times New Roman"/>
          <w:sz w:val="24"/>
          <w:szCs w:val="24"/>
        </w:rPr>
        <w:t>The OMB expiration date</w:t>
      </w:r>
      <w:r w:rsidR="00A02D3A">
        <w:rPr>
          <w:rFonts w:ascii="Times New Roman" w:hAnsi="Times New Roman" w:eastAsia="Calibri" w:cs="Times New Roman"/>
          <w:sz w:val="24"/>
          <w:szCs w:val="24"/>
        </w:rPr>
        <w:t>s are</w:t>
      </w:r>
      <w:r w:rsidRPr="00430C6A">
        <w:rPr>
          <w:rFonts w:ascii="Times New Roman" w:hAnsi="Times New Roman" w:eastAsia="Calibri" w:cs="Times New Roman"/>
          <w:sz w:val="24"/>
          <w:szCs w:val="24"/>
        </w:rPr>
        <w:t xml:space="preserve"> displayed at </w:t>
      </w:r>
      <w:hyperlink w:history="1" r:id="rId15">
        <w:r w:rsidRPr="00430C6A">
          <w:rPr>
            <w:rStyle w:val="Hyperlink"/>
            <w:rFonts w:ascii="Times New Roman" w:hAnsi="Times New Roman" w:eastAsia="Calibri" w:cs="Times New Roman"/>
            <w:sz w:val="24"/>
            <w:szCs w:val="24"/>
          </w:rPr>
          <w:t>https://www.ferc.gov/enforcement-legal/legal/information-collections</w:t>
        </w:r>
      </w:hyperlink>
      <w:r w:rsidRPr="00430C6A">
        <w:rPr>
          <w:rFonts w:ascii="Times New Roman" w:hAnsi="Times New Roman" w:eastAsia="Calibri" w:cs="Times New Roman"/>
          <w:sz w:val="24"/>
          <w:szCs w:val="24"/>
        </w:rPr>
        <w:t xml:space="preserve"> </w:t>
      </w:r>
    </w:p>
    <w:p w:rsidRPr="00430C6A" w:rsidR="006C32B4" w:rsidP="00071460" w:rsidRDefault="006C32B4" w14:paraId="099C36E6" w14:textId="77777777">
      <w:pPr>
        <w:widowControl w:val="0"/>
        <w:numPr>
          <w:ilvl w:val="0"/>
          <w:numId w:val="1"/>
        </w:numPr>
        <w:autoSpaceDE w:val="0"/>
        <w:autoSpaceDN w:val="0"/>
        <w:adjustRightInd w:val="0"/>
        <w:spacing w:after="0" w:line="240" w:lineRule="auto"/>
        <w:ind w:left="360"/>
        <w:rPr>
          <w:rFonts w:ascii="Times New Roman" w:hAnsi="Times New Roman" w:eastAsia="Calibri" w:cs="Times New Roman"/>
          <w:sz w:val="24"/>
          <w:szCs w:val="24"/>
        </w:rPr>
      </w:pPr>
      <w:r w:rsidRPr="00430C6A">
        <w:rPr>
          <w:rFonts w:ascii="Times New Roman" w:hAnsi="Times New Roman" w:eastAsia="Calibri" w:cs="Times New Roman"/>
          <w:b/>
          <w:bCs/>
          <w:sz w:val="24"/>
          <w:szCs w:val="24"/>
        </w:rPr>
        <w:t>EXCEPTIONS TO THE CERTIFICATION STATEMENT</w:t>
      </w:r>
    </w:p>
    <w:p w:rsidRPr="00430C6A" w:rsidR="006C32B4" w:rsidP="00071460" w:rsidRDefault="006C32B4" w14:paraId="2439B38A" w14:textId="0309E893">
      <w:pPr>
        <w:spacing w:after="200" w:line="240" w:lineRule="auto"/>
        <w:rPr>
          <w:rFonts w:ascii="Times New Roman" w:hAnsi="Times New Roman" w:eastAsia="Calibri" w:cs="Times New Roman"/>
          <w:b/>
          <w:sz w:val="24"/>
          <w:szCs w:val="24"/>
        </w:rPr>
      </w:pPr>
      <w:r w:rsidRPr="00430C6A">
        <w:rPr>
          <w:rFonts w:ascii="Times New Roman" w:hAnsi="Times New Roman" w:eastAsia="Calibri" w:cs="Times New Roman"/>
          <w:sz w:val="24"/>
          <w:szCs w:val="24"/>
        </w:rPr>
        <w:t>There are no exceptions.</w:t>
      </w:r>
    </w:p>
    <w:bookmarkEnd w:id="2"/>
    <w:p w:rsidRPr="00430C6A" w:rsidR="00673C62" w:rsidP="00071460" w:rsidRDefault="00673C62" w14:paraId="54A97293" w14:textId="77777777">
      <w:pPr>
        <w:spacing w:line="240" w:lineRule="auto"/>
        <w:rPr>
          <w:rFonts w:ascii="Times New Roman" w:hAnsi="Times New Roman" w:cs="Times New Roman"/>
          <w:sz w:val="24"/>
          <w:szCs w:val="24"/>
        </w:rPr>
      </w:pPr>
    </w:p>
    <w:sectPr w:rsidRPr="00430C6A" w:rsidR="00673C6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ABFD5" w14:textId="77777777" w:rsidR="001B7A56" w:rsidRDefault="001B7A56" w:rsidP="006C32B4">
      <w:pPr>
        <w:spacing w:after="0" w:line="240" w:lineRule="auto"/>
      </w:pPr>
      <w:r>
        <w:separator/>
      </w:r>
    </w:p>
  </w:endnote>
  <w:endnote w:type="continuationSeparator" w:id="0">
    <w:p w14:paraId="360A4AF3" w14:textId="77777777" w:rsidR="001B7A56" w:rsidRDefault="001B7A56" w:rsidP="006C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56793893"/>
      <w:docPartObj>
        <w:docPartGallery w:val="Page Numbers (Bottom of Page)"/>
        <w:docPartUnique/>
      </w:docPartObj>
    </w:sdtPr>
    <w:sdtEndPr>
      <w:rPr>
        <w:noProof/>
      </w:rPr>
    </w:sdtEndPr>
    <w:sdtContent>
      <w:p w14:paraId="0746FDE3" w14:textId="77777777" w:rsidR="007A6365" w:rsidRPr="00430C6A" w:rsidRDefault="00D6785E">
        <w:pPr>
          <w:pStyle w:val="Footer"/>
          <w:jc w:val="right"/>
          <w:rPr>
            <w:rFonts w:ascii="Times New Roman" w:hAnsi="Times New Roman" w:cs="Times New Roman"/>
          </w:rPr>
        </w:pPr>
        <w:r w:rsidRPr="00430C6A">
          <w:rPr>
            <w:rFonts w:ascii="Times New Roman" w:hAnsi="Times New Roman" w:cs="Times New Roman"/>
          </w:rPr>
          <w:fldChar w:fldCharType="begin"/>
        </w:r>
        <w:r w:rsidRPr="00430C6A">
          <w:rPr>
            <w:rFonts w:ascii="Times New Roman" w:hAnsi="Times New Roman" w:cs="Times New Roman"/>
          </w:rPr>
          <w:instrText xml:space="preserve"> PAGE   \* MERGEFORMAT </w:instrText>
        </w:r>
        <w:r w:rsidRPr="00430C6A">
          <w:rPr>
            <w:rFonts w:ascii="Times New Roman" w:hAnsi="Times New Roman" w:cs="Times New Roman"/>
          </w:rPr>
          <w:fldChar w:fldCharType="separate"/>
        </w:r>
        <w:r w:rsidR="006F5CF6" w:rsidRPr="00430C6A">
          <w:rPr>
            <w:rFonts w:ascii="Times New Roman" w:hAnsi="Times New Roman" w:cs="Times New Roman"/>
            <w:noProof/>
          </w:rPr>
          <w:t>1</w:t>
        </w:r>
        <w:r w:rsidRPr="00430C6A">
          <w:rPr>
            <w:rFonts w:ascii="Times New Roman" w:hAnsi="Times New Roman" w:cs="Times New Roman"/>
            <w:noProof/>
          </w:rPr>
          <w:fldChar w:fldCharType="end"/>
        </w:r>
      </w:p>
    </w:sdtContent>
  </w:sdt>
  <w:p w14:paraId="4986B2EC" w14:textId="77777777" w:rsidR="007A6365" w:rsidRDefault="001B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8767D" w14:textId="77777777" w:rsidR="001B7A56" w:rsidRDefault="001B7A56" w:rsidP="006C32B4">
      <w:pPr>
        <w:spacing w:after="0" w:line="240" w:lineRule="auto"/>
      </w:pPr>
      <w:r>
        <w:separator/>
      </w:r>
    </w:p>
  </w:footnote>
  <w:footnote w:type="continuationSeparator" w:id="0">
    <w:p w14:paraId="5CFD5633" w14:textId="77777777" w:rsidR="001B7A56" w:rsidRDefault="001B7A56" w:rsidP="006C32B4">
      <w:pPr>
        <w:spacing w:after="0" w:line="240" w:lineRule="auto"/>
      </w:pPr>
      <w:r>
        <w:continuationSeparator/>
      </w:r>
    </w:p>
  </w:footnote>
  <w:footnote w:id="1">
    <w:p w14:paraId="7DB8D8F8" w14:textId="77777777" w:rsidR="006C32B4" w:rsidRPr="000F4C91" w:rsidRDefault="006C32B4" w:rsidP="006C32B4">
      <w:pPr>
        <w:pStyle w:val="FootnoteText"/>
        <w:rPr>
          <w:rFonts w:ascii="Times New Roman" w:hAnsi="Times New Roman" w:cs="Times New Roman"/>
          <w:sz w:val="24"/>
          <w:szCs w:val="24"/>
        </w:rPr>
      </w:pPr>
      <w:r w:rsidRPr="000F4C91">
        <w:rPr>
          <w:rStyle w:val="FootnoteReference"/>
          <w:rFonts w:ascii="Times New Roman" w:hAnsi="Times New Roman" w:cs="Times New Roman"/>
          <w:sz w:val="24"/>
          <w:szCs w:val="24"/>
          <w:vertAlign w:val="superscript"/>
        </w:rPr>
        <w:footnoteRef/>
      </w:r>
      <w:r w:rsidRPr="000F4C91">
        <w:rPr>
          <w:rFonts w:ascii="Times New Roman" w:hAnsi="Times New Roman" w:cs="Times New Roman"/>
          <w:sz w:val="24"/>
          <w:szCs w:val="24"/>
        </w:rPr>
        <w:t xml:space="preserve"> Public Law 75-688</w:t>
      </w:r>
    </w:p>
  </w:footnote>
  <w:footnote w:id="2">
    <w:p w14:paraId="37689303" w14:textId="77777777" w:rsidR="006C32B4" w:rsidRPr="009500D7" w:rsidRDefault="006C32B4" w:rsidP="006C32B4">
      <w:pPr>
        <w:pStyle w:val="FootnoteText"/>
        <w:rPr>
          <w:rFonts w:ascii="Times New Roman" w:hAnsi="Times New Roman" w:cs="Times New Roman"/>
          <w:sz w:val="24"/>
          <w:szCs w:val="24"/>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vertAlign w:val="superscript"/>
        </w:rPr>
        <w:t xml:space="preserve"> </w:t>
      </w:r>
      <w:r w:rsidRPr="009500D7">
        <w:rPr>
          <w:rFonts w:ascii="Times New Roman" w:hAnsi="Times New Roman" w:cs="Times New Roman"/>
          <w:sz w:val="24"/>
          <w:szCs w:val="24"/>
        </w:rPr>
        <w:t>A pipeline having a system delivery capacity exceeding 100,000 Mcf per day.</w:t>
      </w:r>
    </w:p>
  </w:footnote>
  <w:footnote w:id="3">
    <w:p w14:paraId="41DCA9BD" w14:textId="7EF0B8A2" w:rsidR="006C32B4" w:rsidRPr="009500D7" w:rsidRDefault="006C32B4" w:rsidP="006C32B4">
      <w:pPr>
        <w:pStyle w:val="FootnoteText"/>
        <w:rPr>
          <w:rFonts w:ascii="Times New Roman" w:hAnsi="Times New Roman" w:cs="Times New Roman"/>
          <w:sz w:val="24"/>
          <w:szCs w:val="24"/>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rPr>
        <w:t xml:space="preserve"> For the prior 12 months ending December 31</w:t>
      </w:r>
      <w:r w:rsidR="00F07C6E" w:rsidRPr="009500D7">
        <w:rPr>
          <w:rFonts w:ascii="Times New Roman" w:hAnsi="Times New Roman" w:cs="Times New Roman"/>
          <w:sz w:val="24"/>
          <w:szCs w:val="24"/>
        </w:rPr>
        <w:t>.</w:t>
      </w:r>
    </w:p>
  </w:footnote>
  <w:footnote w:id="4">
    <w:p w14:paraId="71358BD1" w14:textId="77777777" w:rsidR="006C32B4" w:rsidRPr="00782282" w:rsidRDefault="006C32B4" w:rsidP="006C32B4">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5 CFR 1320.8(d)</w:t>
      </w:r>
    </w:p>
  </w:footnote>
  <w:footnote w:id="5">
    <w:p w14:paraId="0749633B" w14:textId="3217FC41" w:rsidR="0081757B" w:rsidRPr="00782282" w:rsidRDefault="0081757B">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Burden is defined as the total time, effort, or financial resources expended by persons to generate, maintain, retain, or disclose or provide information to or for a federal agency.  Refer to 5 CFR 1320.3 for additional information.</w:t>
      </w:r>
    </w:p>
  </w:footnote>
  <w:footnote w:id="6">
    <w:p w14:paraId="328662EF" w14:textId="77777777" w:rsidR="00FA6B2F" w:rsidRPr="00782282" w:rsidRDefault="00FA6B2F" w:rsidP="00FA6B2F">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bookmarkStart w:id="4" w:name="_Hlk71095478"/>
      <w:r w:rsidRPr="00782282">
        <w:rPr>
          <w:rFonts w:ascii="Times New Roman" w:hAnsi="Times New Roman" w:cs="Times New Roman"/>
          <w:sz w:val="24"/>
          <w:szCs w:val="24"/>
        </w:rPr>
        <w:t>The number of respondents in the currently approved OMB inventory for FERC-567 is 197. Changes to the estimate were based on average number of respondents over the past three years.</w:t>
      </w:r>
      <w:bookmarkEnd w:id="4"/>
    </w:p>
  </w:footnote>
  <w:footnote w:id="7">
    <w:p w14:paraId="688E281D" w14:textId="77777777" w:rsidR="00FA6B2F" w:rsidRPr="00782282" w:rsidRDefault="00FA6B2F" w:rsidP="00FA6B2F">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 xml:space="preserve">The Commission staff estimates that the average respondent for FERC-567 is similarly situated to the Commission, in terms of salary plus benefits. Based on FERC’s 2020 annual average of $172,329 (for salary plus benefits), the average hourly cost is $83/hour. </w:t>
      </w:r>
    </w:p>
  </w:footnote>
  <w:footnote w:id="8">
    <w:p w14:paraId="11434422" w14:textId="77777777" w:rsidR="006C32B4" w:rsidRPr="00782282" w:rsidRDefault="006C32B4" w:rsidP="006C32B4">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rPr>
        <w:t xml:space="preserve"> </w:t>
      </w:r>
      <w:bookmarkStart w:id="6" w:name="_Hlk77253130"/>
      <w:r w:rsidRPr="00782282">
        <w:rPr>
          <w:rFonts w:ascii="Times New Roman" w:hAnsi="Times New Roman" w:cs="Times New Roman"/>
          <w:sz w:val="24"/>
          <w:szCs w:val="24"/>
        </w:rPr>
        <w:t>Paperwork Reduction Act of 1995 (PRA).</w:t>
      </w:r>
      <w:bookmarkEnd w:id="6"/>
    </w:p>
  </w:footnote>
  <w:footnote w:id="9">
    <w:p w14:paraId="2E92B48F" w14:textId="74C86B9F" w:rsidR="008C2371" w:rsidRPr="00782282" w:rsidRDefault="008C2371">
      <w:pPr>
        <w:pStyle w:val="FootnoteText"/>
        <w:rPr>
          <w:rFonts w:ascii="Times New Roman" w:hAnsi="Times New Roman" w:cs="Times New Roman"/>
          <w:sz w:val="22"/>
          <w:szCs w:val="22"/>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bookmarkStart w:id="8" w:name="_Hlk77253213"/>
      <w:r w:rsidRPr="00782282">
        <w:rPr>
          <w:rFonts w:ascii="Times New Roman" w:hAnsi="Times New Roman" w:cs="Times New Roman"/>
          <w:sz w:val="24"/>
          <w:szCs w:val="24"/>
        </w:rPr>
        <w:t>Based on 2020 cost (salary plus benefits) per FTE of $172,329 (for salary plus benefits), the average hourly cost is $83/hour.</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A7E4" w14:textId="63E5014A" w:rsidR="00D350A8" w:rsidRDefault="00D6785E" w:rsidP="00AB659F">
    <w:pPr>
      <w:tabs>
        <w:tab w:val="right" w:pos="10080"/>
      </w:tabs>
      <w:spacing w:after="0" w:line="240" w:lineRule="auto"/>
      <w:rPr>
        <w:rFonts w:ascii="Times New Roman" w:hAnsi="Times New Roman" w:cs="Times New Roman"/>
        <w:sz w:val="26"/>
        <w:szCs w:val="26"/>
      </w:rPr>
    </w:pPr>
    <w:r w:rsidRPr="00C46FFB">
      <w:rPr>
        <w:rFonts w:ascii="Times New Roman" w:hAnsi="Times New Roman" w:cs="Times New Roman"/>
        <w:bCs/>
        <w:sz w:val="26"/>
        <w:szCs w:val="26"/>
      </w:rPr>
      <w:t>FERC-567</w:t>
    </w:r>
    <w:r>
      <w:rPr>
        <w:rFonts w:ascii="Times New Roman" w:hAnsi="Times New Roman" w:cs="Times New Roman"/>
        <w:bCs/>
        <w:sz w:val="26"/>
        <w:szCs w:val="26"/>
      </w:rPr>
      <w:t xml:space="preserve"> (</w:t>
    </w:r>
    <w:r w:rsidRPr="00C46FFB">
      <w:rPr>
        <w:rFonts w:ascii="Times New Roman" w:hAnsi="Times New Roman" w:cs="Times New Roman"/>
        <w:sz w:val="26"/>
        <w:szCs w:val="26"/>
      </w:rPr>
      <w:t>OMB Control No. 1902-0005</w:t>
    </w:r>
    <w:r>
      <w:rPr>
        <w:rFonts w:ascii="Times New Roman" w:hAnsi="Times New Roman" w:cs="Times New Roman"/>
        <w:sz w:val="26"/>
        <w:szCs w:val="26"/>
      </w:rPr>
      <w:t>)</w:t>
    </w:r>
  </w:p>
  <w:p w14:paraId="09148762" w14:textId="0D33066A" w:rsidR="00D350A8" w:rsidRPr="0081757B" w:rsidRDefault="00E00230" w:rsidP="0081757B">
    <w:pPr>
      <w:tabs>
        <w:tab w:val="right" w:pos="10080"/>
      </w:tabs>
      <w:spacing w:after="0" w:line="240" w:lineRule="auto"/>
      <w:rPr>
        <w:rFonts w:ascii="Times New Roman" w:hAnsi="Times New Roman" w:cs="Times New Roman"/>
        <w:sz w:val="26"/>
        <w:szCs w:val="26"/>
      </w:rPr>
    </w:pPr>
    <w:bookmarkStart w:id="10" w:name="_Hlk77250815"/>
    <w:bookmarkStart w:id="11" w:name="_Hlk77250816"/>
    <w:bookmarkStart w:id="12" w:name="_Hlk77250822"/>
    <w:bookmarkStart w:id="13" w:name="_Hlk77250823"/>
    <w:bookmarkStart w:id="14" w:name="_Hlk77250824"/>
    <w:bookmarkStart w:id="15" w:name="_Hlk77250825"/>
    <w:bookmarkStart w:id="16" w:name="_Hlk77250826"/>
    <w:bookmarkStart w:id="17" w:name="_Hlk77250827"/>
    <w:bookmarkStart w:id="18" w:name="_Hlk77250828"/>
    <w:bookmarkStart w:id="19" w:name="_Hlk77250829"/>
    <w:bookmarkStart w:id="20" w:name="_Hlk77250830"/>
    <w:bookmarkStart w:id="21" w:name="_Hlk77250831"/>
    <w:r>
      <w:rPr>
        <w:rFonts w:ascii="Times New Roman" w:hAnsi="Times New Roman" w:cs="Times New Roman"/>
        <w:sz w:val="26"/>
        <w:szCs w:val="26"/>
      </w:rPr>
      <w:t>Docket No. IC21-27-000</w:t>
    </w:r>
    <w:bookmarkEnd w:id="10"/>
    <w:bookmarkEnd w:id="11"/>
    <w:bookmarkEnd w:id="12"/>
    <w:bookmarkEnd w:id="13"/>
    <w:bookmarkEnd w:id="14"/>
    <w:bookmarkEnd w:id="15"/>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91CCAC04"/>
    <w:lvl w:ilvl="0" w:tplc="81FC4286">
      <w:start w:val="1"/>
      <w:numFmt w:val="decimal"/>
      <w:lvlText w:val="%1."/>
      <w:lvlJc w:val="left"/>
      <w:pPr>
        <w:tabs>
          <w:tab w:val="num" w:pos="450"/>
        </w:tabs>
        <w:ind w:left="450" w:hanging="360"/>
      </w:pPr>
      <w:rPr>
        <w:b/>
        <w:bCs/>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2EF13A8"/>
    <w:multiLevelType w:val="hybridMultilevel"/>
    <w:tmpl w:val="A2CCF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F21AD"/>
    <w:multiLevelType w:val="hybridMultilevel"/>
    <w:tmpl w:val="2BDA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D7313"/>
    <w:multiLevelType w:val="hybridMultilevel"/>
    <w:tmpl w:val="D8A49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F0209"/>
    <w:multiLevelType w:val="hybridMultilevel"/>
    <w:tmpl w:val="CE981BE6"/>
    <w:lvl w:ilvl="0" w:tplc="7E4C92B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30BC4"/>
    <w:multiLevelType w:val="hybridMultilevel"/>
    <w:tmpl w:val="F6D60690"/>
    <w:lvl w:ilvl="0" w:tplc="72BCF3A2">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7" w15:restartNumberingAfterBreak="0">
    <w:nsid w:val="5B7C7630"/>
    <w:multiLevelType w:val="hybridMultilevel"/>
    <w:tmpl w:val="1B1A3108"/>
    <w:lvl w:ilvl="0" w:tplc="3642D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67974"/>
    <w:multiLevelType w:val="hybridMultilevel"/>
    <w:tmpl w:val="38B4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A71C9"/>
    <w:multiLevelType w:val="hybridMultilevel"/>
    <w:tmpl w:val="E51C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num>
  <w:num w:numId="5">
    <w:abstractNumId w:val="1"/>
  </w:num>
  <w:num w:numId="6">
    <w:abstractNumId w:val="7"/>
  </w:num>
  <w:num w:numId="7">
    <w:abstractNumId w:val="3"/>
  </w:num>
  <w:num w:numId="8">
    <w:abstractNumId w:val="9"/>
  </w:num>
  <w:num w:numId="9">
    <w:abstractNumId w:val="5"/>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B4"/>
    <w:rsid w:val="00006478"/>
    <w:rsid w:val="0005263A"/>
    <w:rsid w:val="00071460"/>
    <w:rsid w:val="00071E2D"/>
    <w:rsid w:val="0008220F"/>
    <w:rsid w:val="000A03ED"/>
    <w:rsid w:val="000A223E"/>
    <w:rsid w:val="000B73C6"/>
    <w:rsid w:val="000F4C91"/>
    <w:rsid w:val="00163E24"/>
    <w:rsid w:val="001A705F"/>
    <w:rsid w:val="001B7A56"/>
    <w:rsid w:val="002011F7"/>
    <w:rsid w:val="002515C9"/>
    <w:rsid w:val="00254A51"/>
    <w:rsid w:val="00264EE6"/>
    <w:rsid w:val="0027102A"/>
    <w:rsid w:val="002A0BF0"/>
    <w:rsid w:val="002E19E1"/>
    <w:rsid w:val="00313946"/>
    <w:rsid w:val="00370D92"/>
    <w:rsid w:val="0037673B"/>
    <w:rsid w:val="004164E3"/>
    <w:rsid w:val="004221D8"/>
    <w:rsid w:val="00430C6A"/>
    <w:rsid w:val="0043252C"/>
    <w:rsid w:val="00460FD2"/>
    <w:rsid w:val="004648ED"/>
    <w:rsid w:val="00494060"/>
    <w:rsid w:val="004A0718"/>
    <w:rsid w:val="004B7807"/>
    <w:rsid w:val="004D2983"/>
    <w:rsid w:val="004D7DCD"/>
    <w:rsid w:val="004E2A3E"/>
    <w:rsid w:val="004E70A8"/>
    <w:rsid w:val="005327C4"/>
    <w:rsid w:val="00554959"/>
    <w:rsid w:val="005D2901"/>
    <w:rsid w:val="005D2ACA"/>
    <w:rsid w:val="00610F46"/>
    <w:rsid w:val="0064001B"/>
    <w:rsid w:val="00664B7F"/>
    <w:rsid w:val="00673C62"/>
    <w:rsid w:val="00687611"/>
    <w:rsid w:val="006A4A44"/>
    <w:rsid w:val="006A5FE2"/>
    <w:rsid w:val="006B4BAC"/>
    <w:rsid w:val="006C27D8"/>
    <w:rsid w:val="006C32B4"/>
    <w:rsid w:val="006C5B6F"/>
    <w:rsid w:val="006F5CF6"/>
    <w:rsid w:val="00702894"/>
    <w:rsid w:val="0071481F"/>
    <w:rsid w:val="0074156D"/>
    <w:rsid w:val="00746C39"/>
    <w:rsid w:val="0076514F"/>
    <w:rsid w:val="00782282"/>
    <w:rsid w:val="007834C6"/>
    <w:rsid w:val="007D242E"/>
    <w:rsid w:val="008055A2"/>
    <w:rsid w:val="00805FFA"/>
    <w:rsid w:val="0081757B"/>
    <w:rsid w:val="00817F23"/>
    <w:rsid w:val="008505F4"/>
    <w:rsid w:val="00875999"/>
    <w:rsid w:val="008A38BB"/>
    <w:rsid w:val="008A3BC2"/>
    <w:rsid w:val="008B0ACE"/>
    <w:rsid w:val="008C0CC5"/>
    <w:rsid w:val="008C2371"/>
    <w:rsid w:val="008C5486"/>
    <w:rsid w:val="008E1A3C"/>
    <w:rsid w:val="009237DA"/>
    <w:rsid w:val="009468AF"/>
    <w:rsid w:val="00947592"/>
    <w:rsid w:val="009500D7"/>
    <w:rsid w:val="00977FB3"/>
    <w:rsid w:val="009817E3"/>
    <w:rsid w:val="009D75F3"/>
    <w:rsid w:val="009F727E"/>
    <w:rsid w:val="00A02D3A"/>
    <w:rsid w:val="00A17BCA"/>
    <w:rsid w:val="00A66704"/>
    <w:rsid w:val="00A66E33"/>
    <w:rsid w:val="00AB4EAB"/>
    <w:rsid w:val="00AF2319"/>
    <w:rsid w:val="00B11FD5"/>
    <w:rsid w:val="00B303DB"/>
    <w:rsid w:val="00B8207B"/>
    <w:rsid w:val="00BA5F2C"/>
    <w:rsid w:val="00C17EE1"/>
    <w:rsid w:val="00C302E1"/>
    <w:rsid w:val="00C47D9F"/>
    <w:rsid w:val="00C50A52"/>
    <w:rsid w:val="00CF72FE"/>
    <w:rsid w:val="00CF7DCC"/>
    <w:rsid w:val="00D0449E"/>
    <w:rsid w:val="00D04880"/>
    <w:rsid w:val="00D10245"/>
    <w:rsid w:val="00D20DA6"/>
    <w:rsid w:val="00D2141F"/>
    <w:rsid w:val="00D27F94"/>
    <w:rsid w:val="00D31374"/>
    <w:rsid w:val="00D6785E"/>
    <w:rsid w:val="00D8784B"/>
    <w:rsid w:val="00DB4481"/>
    <w:rsid w:val="00DD1A25"/>
    <w:rsid w:val="00DD4A1C"/>
    <w:rsid w:val="00DF7F4A"/>
    <w:rsid w:val="00E00230"/>
    <w:rsid w:val="00E36973"/>
    <w:rsid w:val="00E400F8"/>
    <w:rsid w:val="00EA15A5"/>
    <w:rsid w:val="00EA304A"/>
    <w:rsid w:val="00EB6415"/>
    <w:rsid w:val="00EF00F9"/>
    <w:rsid w:val="00EF2342"/>
    <w:rsid w:val="00F07C6E"/>
    <w:rsid w:val="00F37DAE"/>
    <w:rsid w:val="00FA4C8E"/>
    <w:rsid w:val="00FA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EF694"/>
  <w15:docId w15:val="{1E7D97DE-9A6F-4207-AE79-18D4AF11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1 Char,Footnote Text Char Char Char,Char,Footnote Text Char Char1,Footnote Text Char1 Char Char Char1,Footnote Text Char Char Char Char Char1,ft,fn1"/>
    <w:basedOn w:val="Normal"/>
    <w:link w:val="FootnoteTextChar"/>
    <w:uiPriority w:val="99"/>
    <w:semiHidden/>
    <w:unhideWhenUsed/>
    <w:rsid w:val="006C32B4"/>
    <w:pPr>
      <w:spacing w:after="0" w:line="240" w:lineRule="auto"/>
    </w:pPr>
    <w:rPr>
      <w:sz w:val="20"/>
      <w:szCs w:val="20"/>
    </w:rPr>
  </w:style>
  <w:style w:type="character" w:customStyle="1" w:styleId="FootnoteTextChar">
    <w:name w:val="Footnote Text Char"/>
    <w:aliases w:val="fn Char,Footnote Text Char Char Char1,Footnote Text Char1 Char Char,Footnote Text Char Char Char Char,Char Char,Footnote Text Char Char1 Char,Footnote Text Char1 Char Char Char1 Char,Footnote Text Char Char Char Char Char1 Char"/>
    <w:basedOn w:val="DefaultParagraphFont"/>
    <w:link w:val="FootnoteText"/>
    <w:uiPriority w:val="99"/>
    <w:semiHidden/>
    <w:rsid w:val="006C32B4"/>
    <w:rPr>
      <w:sz w:val="20"/>
      <w:szCs w:val="20"/>
    </w:rPr>
  </w:style>
  <w:style w:type="paragraph" w:styleId="Header">
    <w:name w:val="header"/>
    <w:basedOn w:val="Normal"/>
    <w:link w:val="HeaderChar"/>
    <w:uiPriority w:val="99"/>
    <w:unhideWhenUsed/>
    <w:rsid w:val="006C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B4"/>
  </w:style>
  <w:style w:type="paragraph" w:styleId="Footer">
    <w:name w:val="footer"/>
    <w:basedOn w:val="Normal"/>
    <w:link w:val="FooterChar"/>
    <w:uiPriority w:val="99"/>
    <w:unhideWhenUsed/>
    <w:rsid w:val="006C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B4"/>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6C32B4"/>
  </w:style>
  <w:style w:type="character" w:styleId="Hyperlink">
    <w:name w:val="Hyperlink"/>
    <w:basedOn w:val="DefaultParagraphFont"/>
    <w:unhideWhenUsed/>
    <w:rsid w:val="006C32B4"/>
    <w:rPr>
      <w:color w:val="0000FF"/>
      <w:u w:val="single"/>
    </w:rPr>
  </w:style>
  <w:style w:type="character" w:styleId="CommentReference">
    <w:name w:val="annotation reference"/>
    <w:basedOn w:val="DefaultParagraphFont"/>
    <w:uiPriority w:val="99"/>
    <w:semiHidden/>
    <w:unhideWhenUsed/>
    <w:rsid w:val="00460FD2"/>
    <w:rPr>
      <w:sz w:val="16"/>
      <w:szCs w:val="16"/>
    </w:rPr>
  </w:style>
  <w:style w:type="paragraph" w:styleId="CommentText">
    <w:name w:val="annotation text"/>
    <w:basedOn w:val="Normal"/>
    <w:link w:val="CommentTextChar"/>
    <w:uiPriority w:val="99"/>
    <w:semiHidden/>
    <w:unhideWhenUsed/>
    <w:rsid w:val="00460FD2"/>
    <w:pPr>
      <w:spacing w:line="240" w:lineRule="auto"/>
    </w:pPr>
    <w:rPr>
      <w:sz w:val="20"/>
      <w:szCs w:val="20"/>
    </w:rPr>
  </w:style>
  <w:style w:type="character" w:customStyle="1" w:styleId="CommentTextChar">
    <w:name w:val="Comment Text Char"/>
    <w:basedOn w:val="DefaultParagraphFont"/>
    <w:link w:val="CommentText"/>
    <w:uiPriority w:val="99"/>
    <w:semiHidden/>
    <w:rsid w:val="00460FD2"/>
    <w:rPr>
      <w:sz w:val="20"/>
      <w:szCs w:val="20"/>
    </w:rPr>
  </w:style>
  <w:style w:type="paragraph" w:styleId="CommentSubject">
    <w:name w:val="annotation subject"/>
    <w:basedOn w:val="CommentText"/>
    <w:next w:val="CommentText"/>
    <w:link w:val="CommentSubjectChar"/>
    <w:uiPriority w:val="99"/>
    <w:semiHidden/>
    <w:unhideWhenUsed/>
    <w:rsid w:val="00460FD2"/>
    <w:rPr>
      <w:b/>
      <w:bCs/>
    </w:rPr>
  </w:style>
  <w:style w:type="character" w:customStyle="1" w:styleId="CommentSubjectChar">
    <w:name w:val="Comment Subject Char"/>
    <w:basedOn w:val="CommentTextChar"/>
    <w:link w:val="CommentSubject"/>
    <w:uiPriority w:val="99"/>
    <w:semiHidden/>
    <w:rsid w:val="00460FD2"/>
    <w:rPr>
      <w:b/>
      <w:bCs/>
      <w:sz w:val="20"/>
      <w:szCs w:val="20"/>
    </w:rPr>
  </w:style>
  <w:style w:type="paragraph" w:styleId="BalloonText">
    <w:name w:val="Balloon Text"/>
    <w:basedOn w:val="Normal"/>
    <w:link w:val="BalloonTextChar"/>
    <w:uiPriority w:val="99"/>
    <w:semiHidden/>
    <w:unhideWhenUsed/>
    <w:rsid w:val="00460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D2"/>
    <w:rPr>
      <w:rFonts w:ascii="Segoe UI" w:hAnsi="Segoe UI" w:cs="Segoe UI"/>
      <w:sz w:val="18"/>
      <w:szCs w:val="18"/>
    </w:rPr>
  </w:style>
  <w:style w:type="paragraph" w:customStyle="1" w:styleId="FERCparanumber">
    <w:name w:val="FERC paranumber"/>
    <w:basedOn w:val="Normal"/>
    <w:link w:val="FERCparanumberChar"/>
    <w:qFormat/>
    <w:rsid w:val="0031394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313946"/>
    <w:rPr>
      <w:rFonts w:ascii="Times New Roman" w:eastAsia="Times New Roman" w:hAnsi="Times New Roman" w:cs="Times New Roman"/>
      <w:sz w:val="26"/>
      <w:szCs w:val="24"/>
    </w:rPr>
  </w:style>
  <w:style w:type="paragraph" w:styleId="Revision">
    <w:name w:val="Revision"/>
    <w:hidden/>
    <w:uiPriority w:val="99"/>
    <w:semiHidden/>
    <w:rsid w:val="00071460"/>
    <w:pPr>
      <w:spacing w:after="0" w:line="240" w:lineRule="auto"/>
    </w:pPr>
  </w:style>
  <w:style w:type="paragraph" w:styleId="ListParagraph">
    <w:name w:val="List Paragraph"/>
    <w:basedOn w:val="Normal"/>
    <w:uiPriority w:val="34"/>
    <w:qFormat/>
    <w:rsid w:val="002011F7"/>
    <w:pPr>
      <w:ind w:left="720"/>
      <w:contextualSpacing/>
    </w:pPr>
  </w:style>
  <w:style w:type="character" w:styleId="UnresolvedMention">
    <w:name w:val="Unresolved Mention"/>
    <w:basedOn w:val="DefaultParagraphFont"/>
    <w:uiPriority w:val="99"/>
    <w:semiHidden/>
    <w:unhideWhenUsed/>
    <w:rsid w:val="008A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2082">
      <w:bodyDiv w:val="1"/>
      <w:marLeft w:val="0"/>
      <w:marRight w:val="0"/>
      <w:marTop w:val="0"/>
      <w:marBottom w:val="0"/>
      <w:divBdr>
        <w:top w:val="none" w:sz="0" w:space="0" w:color="auto"/>
        <w:left w:val="none" w:sz="0" w:space="0" w:color="auto"/>
        <w:bottom w:val="none" w:sz="0" w:space="0" w:color="auto"/>
        <w:right w:val="none" w:sz="0" w:space="0" w:color="auto"/>
      </w:divBdr>
    </w:div>
    <w:div w:id="1894804002">
      <w:bodyDiv w:val="1"/>
      <w:marLeft w:val="0"/>
      <w:marRight w:val="0"/>
      <w:marTop w:val="0"/>
      <w:marBottom w:val="0"/>
      <w:divBdr>
        <w:top w:val="none" w:sz="0" w:space="0" w:color="auto"/>
        <w:left w:val="none" w:sz="0" w:space="0" w:color="auto"/>
        <w:bottom w:val="none" w:sz="0" w:space="0" w:color="auto"/>
        <w:right w:val="none" w:sz="0" w:space="0" w:color="auto"/>
      </w:divBdr>
    </w:div>
    <w:div w:id="19768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sites/default/files/2020-05/fil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erc.gov/enforcement-legal/legal/information-collection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enforcement-legal/legal/major-orders-regulations/critical-energyelectric-infrastructur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9F70-4BE1-4C52-820E-597980DBA61F}">
  <ds:schemaRefs>
    <ds:schemaRef ds:uri="http://schemas.microsoft.com/sharepoint/v3/contenttype/forms"/>
  </ds:schemaRefs>
</ds:datastoreItem>
</file>

<file path=customXml/itemProps2.xml><?xml version="1.0" encoding="utf-8"?>
<ds:datastoreItem xmlns:ds="http://schemas.openxmlformats.org/officeDocument/2006/customXml" ds:itemID="{59CCA71E-C5FA-40C5-BFCC-2361434FCA52}">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79BE57F6-76C7-412A-9B2C-0F268C0A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1524B-1887-40F1-96A6-27A915C05A8F}">
  <ds:schemaRefs>
    <ds:schemaRef ds:uri="http://schemas.microsoft.com/office/2006/metadata/customXsn"/>
  </ds:schemaRefs>
</ds:datastoreItem>
</file>

<file path=customXml/itemProps5.xml><?xml version="1.0" encoding="utf-8"?>
<ds:datastoreItem xmlns:ds="http://schemas.openxmlformats.org/officeDocument/2006/customXml" ds:itemID="{D02A43CF-BA8E-4BC8-8E2B-1723AD3716D7}">
  <ds:schemaRefs>
    <ds:schemaRef ds:uri="Microsoft.SharePoint.Taxonomy.ContentTypeSync"/>
  </ds:schemaRefs>
</ds:datastoreItem>
</file>

<file path=customXml/itemProps6.xml><?xml version="1.0" encoding="utf-8"?>
<ds:datastoreItem xmlns:ds="http://schemas.openxmlformats.org/officeDocument/2006/customXml" ds:itemID="{F0D79783-46EB-48DE-B4D8-8F6B22D5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Lena Nour</cp:lastModifiedBy>
  <cp:revision>3</cp:revision>
  <dcterms:created xsi:type="dcterms:W3CDTF">2021-07-15T19:00:00Z</dcterms:created>
  <dcterms:modified xsi:type="dcterms:W3CDTF">2021-07-21T20:00:00Z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Pamela.Boudreau@ferc.gov</vt:lpwstr>
  </property>
  <property fmtid="{D5CDD505-2E9C-101B-9397-08002B2CF9AE}" pid="6" name="MSIP_Label_6155a89b-0f08-4a93-8ea2-8a916d6643b5_SetDate">
    <vt:lpwstr>2021-06-11T10:26:24.7973447Z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0e39ba0f-f79b-478d-8271-950248f570c2</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