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23872DEE">
      <w:pPr>
        <w:jc w:val="center"/>
      </w:pPr>
      <w:bookmarkStart w:name="_GoBack" w:id="0"/>
      <w:bookmarkEnd w:id="0"/>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51926FB6">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8B208A">
        <w:t>5</w:t>
      </w:r>
      <w:r w:rsidRPr="00413FDE" w:rsidR="00613169">
        <w:t>-000</w:t>
      </w:r>
      <w:r w:rsidRPr="00413FDE">
        <w:t>]</w:t>
      </w:r>
    </w:p>
    <w:p w:rsidR="00A2604E" w:rsidP="00A2604E" w:rsidRDefault="00A2604E" w14:paraId="4D16FE54" w14:textId="77777777"/>
    <w:p w:rsidR="00A2604E" w:rsidP="00A2604E" w:rsidRDefault="00A2604E" w14:paraId="0627AE31" w14:textId="4DC334FB">
      <w:pPr>
        <w:jc w:val="center"/>
      </w:pPr>
      <w:r>
        <w:t>COMMISSION INFORMATION COLLECTION ACTIVITIES (FERC-</w:t>
      </w:r>
      <w:r w:rsidR="00B556C9">
        <w:t>5</w:t>
      </w:r>
      <w:r w:rsidR="008B208A">
        <w:t>52</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0945D2" w:rsidRDefault="000945D2" w14:paraId="692D2676" w14:textId="1B6CFD58">
      <w:pPr>
        <w:jc w:val="center"/>
      </w:pPr>
      <w:r w:rsidRPr="000945D2">
        <w:t>(May 6, 2021)</w:t>
      </w:r>
    </w:p>
    <w:p w:rsidRPr="000945D2" w:rsidR="000945D2" w:rsidP="000945D2" w:rsidRDefault="000945D2" w14:paraId="3F3FE146"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Pr="00E3141B" w:rsidR="00B556C9" w:rsidP="00B556C9" w:rsidRDefault="00A2604E" w14:paraId="35DEAE81" w14:textId="034BCB8B">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2"/>
      <w:r w:rsidR="000A3C2F">
        <w:rPr>
          <w:szCs w:val="26"/>
        </w:rPr>
        <w:t>FERC-</w:t>
      </w:r>
      <w:r w:rsidR="00B556C9">
        <w:rPr>
          <w:szCs w:val="26"/>
        </w:rPr>
        <w:t>5</w:t>
      </w:r>
      <w:r w:rsidR="008B208A">
        <w:rPr>
          <w:szCs w:val="26"/>
        </w:rPr>
        <w:t>52</w:t>
      </w:r>
      <w:r w:rsidR="000A3C2F">
        <w:rPr>
          <w:szCs w:val="26"/>
        </w:rPr>
        <w:t xml:space="preserve">, </w:t>
      </w:r>
      <w:bookmarkEnd w:id="2"/>
      <w:r w:rsidRPr="00E3141B" w:rsidR="00B556C9">
        <w:rPr>
          <w:rFonts w:eastAsiaTheme="minorHAnsi"/>
          <w:szCs w:val="26"/>
        </w:rPr>
        <w:t>(</w:t>
      </w:r>
      <w:r w:rsidRPr="00E3141B" w:rsidR="00E3141B">
        <w:rPr>
          <w:rFonts w:eastAsiaTheme="minorHAnsi"/>
          <w:szCs w:val="26"/>
        </w:rPr>
        <w:t>Annual Report of Natural Gas Transactions</w:t>
      </w:r>
      <w:r w:rsidRPr="00E3141B" w:rsidR="00B556C9">
        <w:rPr>
          <w:rFonts w:eastAsiaTheme="minorHAnsi"/>
          <w:szCs w:val="26"/>
        </w:rPr>
        <w:t>)</w:t>
      </w:r>
      <w:r w:rsidR="00473182">
        <w:rPr>
          <w:rFonts w:eastAsiaTheme="minorHAnsi"/>
          <w:szCs w:val="26"/>
        </w:rPr>
        <w:t>.</w:t>
      </w:r>
    </w:p>
    <w:p w:rsidRPr="00524164" w:rsidR="00A2604E" w:rsidP="00A2604E" w:rsidRDefault="00A2604E" w14:paraId="5C5B574A" w14:textId="3F8CCED7">
      <w:pPr>
        <w:spacing w:line="480" w:lineRule="auto"/>
      </w:pPr>
      <w:r w:rsidRPr="00CE64F2">
        <w:rPr>
          <w:b/>
        </w:rPr>
        <w:t>DATES:</w:t>
      </w:r>
      <w:r>
        <w:t xml:space="preserve">  Comments on the collection of information are </w:t>
      </w:r>
      <w:r w:rsidRPr="00B24588">
        <w:t>due [</w:t>
      </w:r>
      <w:r w:rsidR="000945D2">
        <w:rPr>
          <w:b/>
        </w:rPr>
        <w:t>Insert Date</w:t>
      </w:r>
      <w:r w:rsidRPr="00A07154" w:rsidR="000945D2">
        <w:rPr>
          <w:b/>
        </w:rPr>
        <w:t xml:space="preserve"> 60 days after date of publication in the Federal Register</w:t>
      </w:r>
      <w:r w:rsidRPr="00524164">
        <w:t xml:space="preserve">]. </w:t>
      </w:r>
    </w:p>
    <w:p w:rsidRPr="0042765E" w:rsidR="0042765E" w:rsidP="0042765E" w:rsidRDefault="00A2604E" w14:paraId="571559FA" w14:textId="7C7AAB1B">
      <w:pPr>
        <w:spacing w:line="480" w:lineRule="auto"/>
      </w:pPr>
      <w:r w:rsidRPr="00524164">
        <w:rPr>
          <w:b/>
        </w:rPr>
        <w:t>ADDRESSES:</w:t>
      </w:r>
      <w:r w:rsidRPr="00524164">
        <w:t xml:space="preserve">  </w:t>
      </w:r>
      <w:bookmarkStart w:name="OLE_LINK1" w:id="3"/>
      <w:r w:rsidRPr="0042765E" w:rsidR="0042765E">
        <w:t xml:space="preserve">You may submit copies of your comments (identified by Docket No. </w:t>
      </w:r>
      <w:r w:rsidRPr="00413FDE" w:rsidR="0042765E">
        <w:t>IC21-</w:t>
      </w:r>
      <w:r w:rsidR="009949AA">
        <w:t>2</w:t>
      </w:r>
      <w:r w:rsidR="00473182">
        <w:t>5</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3"/>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853ABC" w:rsidR="008B208A" w:rsidP="008B208A" w:rsidRDefault="008B208A" w14:paraId="6C88D4D8" w14:textId="77777777">
      <w:pPr>
        <w:tabs>
          <w:tab w:val="left" w:pos="7880"/>
        </w:tabs>
        <w:spacing w:line="480" w:lineRule="auto"/>
      </w:pPr>
      <w:r w:rsidRPr="001C3703">
        <w:rPr>
          <w:b/>
        </w:rPr>
        <w:t>SUPPLEMENTARY INFORMATION:</w:t>
      </w:r>
      <w:r>
        <w:t xml:space="preserve">  </w:t>
      </w:r>
    </w:p>
    <w:p w:rsidR="008B208A" w:rsidP="008B208A" w:rsidRDefault="008B208A" w14:paraId="585A5D33" w14:textId="77777777">
      <w:pPr>
        <w:spacing w:line="480" w:lineRule="auto"/>
        <w:rPr>
          <w:i/>
        </w:rPr>
      </w:pPr>
      <w:r>
        <w:rPr>
          <w:i/>
        </w:rPr>
        <w:t xml:space="preserve">Title: </w:t>
      </w:r>
      <w:r w:rsidRPr="007926B6">
        <w:t>FERC Form No. 552</w:t>
      </w:r>
      <w:r w:rsidRPr="007C4F41">
        <w:t>,</w:t>
      </w:r>
      <w:r>
        <w:t xml:space="preserve"> </w:t>
      </w:r>
      <w:r w:rsidRPr="00EA3EEB">
        <w:t>Annual Report of Natural Gas Transactions</w:t>
      </w:r>
      <w:r>
        <w:t>.</w:t>
      </w:r>
    </w:p>
    <w:p w:rsidR="008B208A" w:rsidP="008B208A" w:rsidRDefault="008B208A" w14:paraId="1DB65BC0" w14:textId="77777777">
      <w:pPr>
        <w:spacing w:line="480" w:lineRule="auto"/>
      </w:pPr>
      <w:r>
        <w:rPr>
          <w:i/>
        </w:rPr>
        <w:t>OMB Control No.:</w:t>
      </w:r>
      <w:r w:rsidRPr="00F50EDA">
        <w:t xml:space="preserve"> </w:t>
      </w:r>
      <w:r>
        <w:t>1902-0242</w:t>
      </w:r>
    </w:p>
    <w:p w:rsidRPr="00B5364C" w:rsidR="008B208A" w:rsidP="008B208A" w:rsidRDefault="008B208A" w14:paraId="77EA8FA4" w14:textId="77777777">
      <w:pPr>
        <w:spacing w:line="480" w:lineRule="auto"/>
      </w:pPr>
      <w:r>
        <w:rPr>
          <w:i/>
        </w:rPr>
        <w:t>Type of Request:</w:t>
      </w:r>
      <w:r>
        <w:t xml:space="preserve"> Three-year extension of the </w:t>
      </w:r>
      <w:r w:rsidRPr="007926B6">
        <w:t>FERC Form No. 552</w:t>
      </w:r>
      <w:r>
        <w:t xml:space="preserve"> information collection requirements with no changes to the current reporting requirements. </w:t>
      </w:r>
    </w:p>
    <w:p w:rsidR="008B208A" w:rsidP="008B208A" w:rsidRDefault="008B208A" w14:paraId="7C957DEF" w14:textId="77777777">
      <w:pPr>
        <w:spacing w:line="480" w:lineRule="auto"/>
      </w:pPr>
      <w:r>
        <w:rPr>
          <w:i/>
        </w:rPr>
        <w:t xml:space="preserve">Abstract:  </w:t>
      </w:r>
      <w:r>
        <w:t xml:space="preserve">The Commission uses the information collected in the </w:t>
      </w:r>
      <w:r w:rsidRPr="007926B6">
        <w:t>FERC Form No. 552</w:t>
      </w:r>
      <w:r>
        <w:rPr>
          <w:rStyle w:val="FootnoteReference"/>
        </w:rPr>
        <w:footnoteReference w:id="2"/>
      </w:r>
      <w:r>
        <w:t xml:space="preserve"> to provide greater transparency into the size of the physical natural gas market and the use </w:t>
      </w:r>
      <w:r>
        <w:lastRenderedPageBreak/>
        <w:t xml:space="preserve">of physical fixed-price and index-based natural gas transactions.  This information assists the Commission and the public in assessing whether index prices are the result of a robust market of fixed-price transactions. </w:t>
      </w:r>
    </w:p>
    <w:p w:rsidR="008B208A" w:rsidP="008B208A" w:rsidRDefault="008B208A" w14:paraId="0E0D47AB" w14:textId="4A01CB68">
      <w:pPr>
        <w:spacing w:line="480" w:lineRule="auto"/>
      </w:pPr>
      <w:r>
        <w:tab/>
      </w:r>
      <w:r w:rsidRPr="00103DB4">
        <w:t>FERC Form No. 552</w:t>
      </w:r>
      <w:r>
        <w:t xml:space="preserve"> had its genesis in the Energy Policy Act of 2005</w:t>
      </w:r>
      <w:r>
        <w:rPr>
          <w:rStyle w:val="FootnoteReference"/>
        </w:rPr>
        <w:footnoteReference w:id="3"/>
      </w:r>
      <w:r w:rsidR="00473182">
        <w:t>,</w:t>
      </w:r>
      <w:r>
        <w:t xml:space="preserve"> which added section 23 of the Natural Gas Act (NGA).  Section 23 of the NGA, among other things, directs the Commission “to facilitate price transparency in markets for the sale or transportation of physical natural gas in interstate commerce, having due regard for the public interest, the integrity of those markets, and the protection of consumers.”</w:t>
      </w:r>
      <w:r>
        <w:rPr>
          <w:rStyle w:val="FootnoteReference"/>
        </w:rPr>
        <w:footnoteReference w:id="4"/>
      </w:r>
    </w:p>
    <w:p w:rsidRPr="009679E3" w:rsidR="008B208A" w:rsidP="008B208A" w:rsidRDefault="008B208A" w14:paraId="2E8318C1" w14:textId="77777777">
      <w:pPr>
        <w:spacing w:line="480" w:lineRule="auto"/>
      </w:pPr>
      <w:r>
        <w:rPr>
          <w:i/>
        </w:rPr>
        <w:t>Type of Respondents:</w:t>
      </w:r>
      <w:r>
        <w:t xml:space="preserve"> </w:t>
      </w:r>
      <w:r w:rsidRPr="00805CBD">
        <w:t>Wholesale</w:t>
      </w:r>
      <w:r w:rsidRPr="00805CBD">
        <w:rPr>
          <w:i/>
        </w:rPr>
        <w:t xml:space="preserve"> </w:t>
      </w:r>
      <w:r w:rsidRPr="00805CBD">
        <w:t>natural gas market participants</w:t>
      </w:r>
    </w:p>
    <w:p w:rsidR="008B208A" w:rsidP="008B208A" w:rsidRDefault="008B208A" w14:paraId="76596F57" w14:textId="41E51EBC">
      <w:pPr>
        <w:spacing w:line="480" w:lineRule="auto"/>
      </w:pPr>
      <w:r>
        <w:rPr>
          <w:i/>
        </w:rPr>
        <w:t>Estimate of Annual Burden</w:t>
      </w:r>
      <w:r w:rsidRPr="00A759B3">
        <w:rPr>
          <w:rStyle w:val="FootnoteReference"/>
          <w:b w:val="0"/>
        </w:rPr>
        <w:footnoteReference w:id="5"/>
      </w:r>
      <w:r w:rsidR="00473182">
        <w:rPr>
          <w:i/>
        </w:rPr>
        <w:t>:</w:t>
      </w:r>
      <w:r>
        <w:rPr>
          <w:i/>
        </w:rPr>
        <w:t xml:space="preserve">  </w:t>
      </w:r>
      <w:r>
        <w:t>The Commission estimates the average annual burden and cost</w:t>
      </w:r>
      <w:r w:rsidRPr="00A759B3">
        <w:rPr>
          <w:rStyle w:val="FootnoteReference"/>
          <w:b w:val="0"/>
        </w:rPr>
        <w:footnoteReference w:id="6"/>
      </w:r>
      <w:r>
        <w:t xml:space="preserve"> for this information collection as follows.</w:t>
      </w:r>
    </w:p>
    <w:tbl>
      <w:tblPr>
        <w:tblW w:w="526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5"/>
        <w:gridCol w:w="1562"/>
        <w:gridCol w:w="1397"/>
        <w:gridCol w:w="1314"/>
        <w:gridCol w:w="1149"/>
        <w:gridCol w:w="1562"/>
        <w:gridCol w:w="1477"/>
      </w:tblGrid>
      <w:tr w:rsidRPr="009B525A" w:rsidR="008B208A" w:rsidTr="005E3703" w14:paraId="117EECDA" w14:textId="77777777">
        <w:trPr>
          <w:cantSplit/>
          <w:trHeight w:val="293"/>
        </w:trPr>
        <w:tc>
          <w:tcPr>
            <w:tcW w:w="5000" w:type="pct"/>
            <w:gridSpan w:val="7"/>
            <w:shd w:val="clear" w:color="auto" w:fill="D9D9D9"/>
          </w:tcPr>
          <w:p w:rsidRPr="009B525A" w:rsidR="008B208A" w:rsidP="002C5492" w:rsidRDefault="008B208A" w14:paraId="60114488" w14:textId="77777777">
            <w:pPr>
              <w:jc w:val="center"/>
              <w:rPr>
                <w:rFonts w:eastAsia="Calibri"/>
                <w:b/>
                <w:szCs w:val="26"/>
              </w:rPr>
            </w:pPr>
            <w:r w:rsidRPr="007926B6">
              <w:rPr>
                <w:rFonts w:eastAsia="Calibri"/>
                <w:b/>
                <w:szCs w:val="26"/>
              </w:rPr>
              <w:t>FERC Form No. 552</w:t>
            </w:r>
            <w:r>
              <w:rPr>
                <w:rFonts w:eastAsia="Calibri"/>
                <w:b/>
                <w:szCs w:val="26"/>
              </w:rPr>
              <w:t>,</w:t>
            </w:r>
            <w:r w:rsidRPr="00805CBD">
              <w:rPr>
                <w:rFonts w:eastAsia="Calibri"/>
                <w:b/>
                <w:szCs w:val="26"/>
              </w:rPr>
              <w:t xml:space="preserve"> </w:t>
            </w:r>
            <w:bookmarkStart w:name="_Hlk70004128" w:id="4"/>
            <w:r w:rsidRPr="00E3141B">
              <w:rPr>
                <w:rFonts w:eastAsia="Calibri"/>
                <w:b/>
                <w:szCs w:val="26"/>
              </w:rPr>
              <w:t>Annual Report of Natural Gas Transactions</w:t>
            </w:r>
            <w:bookmarkEnd w:id="4"/>
          </w:p>
        </w:tc>
      </w:tr>
      <w:tr w:rsidRPr="009B525A" w:rsidR="008B208A" w:rsidTr="005E3703" w14:paraId="6DFAED89" w14:textId="77777777">
        <w:trPr>
          <w:cantSplit/>
          <w:trHeight w:val="2055"/>
        </w:trPr>
        <w:tc>
          <w:tcPr>
            <w:tcW w:w="699" w:type="pct"/>
            <w:shd w:val="clear" w:color="auto" w:fill="D9D9D9"/>
            <w:vAlign w:val="bottom"/>
          </w:tcPr>
          <w:p w:rsidRPr="009B525A" w:rsidR="008B208A" w:rsidP="002C5492" w:rsidRDefault="008B208A" w14:paraId="4D5119B2" w14:textId="77777777">
            <w:pPr>
              <w:jc w:val="center"/>
              <w:rPr>
                <w:rFonts w:eastAsia="Calibri"/>
                <w:b/>
                <w:szCs w:val="26"/>
              </w:rPr>
            </w:pPr>
            <w:r>
              <w:rPr>
                <w:rFonts w:eastAsia="Calibri"/>
                <w:b/>
                <w:szCs w:val="26"/>
              </w:rPr>
              <w:lastRenderedPageBreak/>
              <w:t>Category</w:t>
            </w:r>
          </w:p>
        </w:tc>
        <w:tc>
          <w:tcPr>
            <w:tcW w:w="794" w:type="pct"/>
            <w:shd w:val="clear" w:color="auto" w:fill="D9D9D9"/>
            <w:vAlign w:val="bottom"/>
          </w:tcPr>
          <w:p w:rsidRPr="009B525A" w:rsidR="008B208A" w:rsidP="002C5492" w:rsidRDefault="008B208A" w14:paraId="3B53ABD7" w14:textId="77777777">
            <w:pPr>
              <w:jc w:val="center"/>
              <w:rPr>
                <w:rFonts w:eastAsia="Calibri"/>
                <w:b/>
                <w:szCs w:val="26"/>
              </w:rPr>
            </w:pPr>
            <w:r w:rsidRPr="009B525A">
              <w:rPr>
                <w:rFonts w:eastAsia="Calibri"/>
                <w:b/>
                <w:szCs w:val="26"/>
              </w:rPr>
              <w:t>Number of Respondents</w:t>
            </w:r>
          </w:p>
          <w:p w:rsidRPr="009B525A" w:rsidR="008B208A" w:rsidP="002C5492" w:rsidRDefault="008B208A" w14:paraId="13F41958" w14:textId="77777777">
            <w:pPr>
              <w:jc w:val="center"/>
              <w:rPr>
                <w:rFonts w:eastAsia="Calibri"/>
                <w:b/>
                <w:szCs w:val="26"/>
              </w:rPr>
            </w:pPr>
            <w:r w:rsidRPr="009B525A">
              <w:rPr>
                <w:rFonts w:eastAsia="Calibri"/>
                <w:b/>
                <w:szCs w:val="26"/>
              </w:rPr>
              <w:t>(1)</w:t>
            </w:r>
          </w:p>
        </w:tc>
        <w:tc>
          <w:tcPr>
            <w:tcW w:w="710" w:type="pct"/>
            <w:shd w:val="clear" w:color="auto" w:fill="D9D9D9"/>
            <w:vAlign w:val="bottom"/>
          </w:tcPr>
          <w:p w:rsidRPr="009B525A" w:rsidR="008B208A" w:rsidP="002C5492" w:rsidRDefault="008B208A" w14:paraId="167D0E54" w14:textId="77777777">
            <w:pPr>
              <w:jc w:val="center"/>
              <w:rPr>
                <w:rFonts w:eastAsia="Calibri"/>
                <w:b/>
                <w:szCs w:val="26"/>
              </w:rPr>
            </w:pPr>
            <w:r w:rsidRPr="009B525A">
              <w:rPr>
                <w:rFonts w:eastAsia="Calibri"/>
                <w:b/>
                <w:szCs w:val="26"/>
              </w:rPr>
              <w:t>Annual Number of Responses per Respondent</w:t>
            </w:r>
          </w:p>
          <w:p w:rsidRPr="009B525A" w:rsidR="008B208A" w:rsidP="002C5492" w:rsidRDefault="008B208A" w14:paraId="569B5952" w14:textId="77777777">
            <w:pPr>
              <w:jc w:val="center"/>
              <w:rPr>
                <w:rFonts w:eastAsia="Calibri"/>
                <w:b/>
                <w:szCs w:val="26"/>
              </w:rPr>
            </w:pPr>
            <w:r w:rsidRPr="009B525A">
              <w:rPr>
                <w:rFonts w:eastAsia="Calibri"/>
                <w:b/>
                <w:szCs w:val="26"/>
              </w:rPr>
              <w:t>(2)</w:t>
            </w:r>
          </w:p>
        </w:tc>
        <w:tc>
          <w:tcPr>
            <w:tcW w:w="668" w:type="pct"/>
            <w:shd w:val="clear" w:color="auto" w:fill="D9D9D9"/>
            <w:vAlign w:val="bottom"/>
          </w:tcPr>
          <w:p w:rsidRPr="009B525A" w:rsidR="008B208A" w:rsidP="002C5492" w:rsidRDefault="008B208A" w14:paraId="20BE9075" w14:textId="77777777">
            <w:pPr>
              <w:jc w:val="center"/>
              <w:rPr>
                <w:rFonts w:eastAsia="Calibri"/>
                <w:b/>
                <w:szCs w:val="26"/>
              </w:rPr>
            </w:pPr>
            <w:r w:rsidRPr="009B525A">
              <w:rPr>
                <w:rFonts w:eastAsia="Calibri"/>
                <w:b/>
                <w:szCs w:val="26"/>
              </w:rPr>
              <w:t>Total Number of Responses</w:t>
            </w:r>
          </w:p>
          <w:p w:rsidRPr="009B525A" w:rsidR="008B208A" w:rsidP="002C5492" w:rsidRDefault="008B208A" w14:paraId="49B8A109" w14:textId="77777777">
            <w:pPr>
              <w:jc w:val="center"/>
              <w:rPr>
                <w:rFonts w:eastAsia="Calibri"/>
                <w:b/>
                <w:szCs w:val="26"/>
              </w:rPr>
            </w:pPr>
            <w:r w:rsidRPr="009B525A">
              <w:rPr>
                <w:rFonts w:eastAsia="Calibri"/>
                <w:b/>
                <w:szCs w:val="26"/>
              </w:rPr>
              <w:t>(</w:t>
            </w:r>
            <w:proofErr w:type="gramStart"/>
            <w:r w:rsidRPr="009B525A">
              <w:rPr>
                <w:rFonts w:eastAsia="Calibri"/>
                <w:b/>
                <w:szCs w:val="26"/>
              </w:rPr>
              <w:t>1)*</w:t>
            </w:r>
            <w:proofErr w:type="gramEnd"/>
            <w:r w:rsidRPr="009B525A">
              <w:rPr>
                <w:rFonts w:eastAsia="Calibri"/>
                <w:b/>
                <w:szCs w:val="26"/>
              </w:rPr>
              <w:t>(2)=(3)</w:t>
            </w:r>
          </w:p>
        </w:tc>
        <w:tc>
          <w:tcPr>
            <w:tcW w:w="584" w:type="pct"/>
            <w:shd w:val="clear" w:color="auto" w:fill="D9D9D9"/>
            <w:vAlign w:val="bottom"/>
          </w:tcPr>
          <w:p w:rsidRPr="00E3141B" w:rsidR="008B208A" w:rsidP="002C5492" w:rsidRDefault="008B208A" w14:paraId="4B06A984" w14:textId="77777777">
            <w:pPr>
              <w:jc w:val="center"/>
              <w:rPr>
                <w:rFonts w:eastAsia="Calibri"/>
                <w:b/>
                <w:szCs w:val="26"/>
              </w:rPr>
            </w:pPr>
            <w:r w:rsidRPr="00E3141B">
              <w:rPr>
                <w:rFonts w:eastAsia="Calibri"/>
                <w:b/>
                <w:szCs w:val="26"/>
              </w:rPr>
              <w:t>Average Burden Hrs. &amp; Cost ($) Per Response</w:t>
            </w:r>
          </w:p>
          <w:p w:rsidRPr="00E3141B" w:rsidR="008B208A" w:rsidP="002C5492" w:rsidRDefault="008B208A" w14:paraId="59A1FF39" w14:textId="77777777">
            <w:pPr>
              <w:jc w:val="center"/>
              <w:rPr>
                <w:rFonts w:eastAsia="Calibri"/>
                <w:b/>
                <w:szCs w:val="26"/>
              </w:rPr>
            </w:pPr>
            <w:r w:rsidRPr="00E3141B">
              <w:rPr>
                <w:rFonts w:eastAsia="Calibri"/>
                <w:b/>
                <w:szCs w:val="26"/>
              </w:rPr>
              <w:t>(4)</w:t>
            </w:r>
          </w:p>
        </w:tc>
        <w:tc>
          <w:tcPr>
            <w:tcW w:w="794" w:type="pct"/>
            <w:shd w:val="clear" w:color="auto" w:fill="D9D9D9"/>
            <w:vAlign w:val="bottom"/>
          </w:tcPr>
          <w:p w:rsidRPr="009B525A" w:rsidR="008B208A" w:rsidP="002C5492" w:rsidRDefault="008B208A" w14:paraId="36C9187B" w14:textId="77777777">
            <w:pPr>
              <w:jc w:val="center"/>
              <w:rPr>
                <w:rFonts w:eastAsia="Calibri"/>
                <w:b/>
                <w:szCs w:val="26"/>
              </w:rPr>
            </w:pPr>
            <w:r>
              <w:rPr>
                <w:rFonts w:eastAsia="Calibri"/>
                <w:b/>
                <w:szCs w:val="26"/>
              </w:rPr>
              <w:t>Total Annual Burden H</w:t>
            </w:r>
            <w:r w:rsidRPr="009B525A">
              <w:rPr>
                <w:rFonts w:eastAsia="Calibri"/>
                <w:b/>
                <w:szCs w:val="26"/>
              </w:rPr>
              <w:t>rs</w:t>
            </w:r>
            <w:r>
              <w:rPr>
                <w:rFonts w:eastAsia="Calibri"/>
                <w:b/>
                <w:szCs w:val="26"/>
              </w:rPr>
              <w:t>.</w:t>
            </w:r>
            <w:r w:rsidRPr="009B525A">
              <w:rPr>
                <w:rFonts w:eastAsia="Calibri"/>
                <w:b/>
                <w:szCs w:val="26"/>
              </w:rPr>
              <w:t xml:space="preserve"> &amp; Cost</w:t>
            </w:r>
            <w:r>
              <w:rPr>
                <w:rFonts w:eastAsia="Calibri"/>
                <w:b/>
                <w:szCs w:val="26"/>
              </w:rPr>
              <w:t xml:space="preserve"> ($)</w:t>
            </w:r>
          </w:p>
          <w:p w:rsidRPr="009B525A" w:rsidR="008B208A" w:rsidP="002C5492" w:rsidRDefault="008B208A" w14:paraId="5BBCFA4D" w14:textId="77777777">
            <w:pPr>
              <w:jc w:val="center"/>
              <w:rPr>
                <w:rFonts w:eastAsia="Calibri"/>
                <w:b/>
                <w:szCs w:val="26"/>
              </w:rPr>
            </w:pPr>
            <w:r w:rsidRPr="009B525A">
              <w:rPr>
                <w:rFonts w:eastAsia="Calibri"/>
                <w:b/>
                <w:szCs w:val="26"/>
              </w:rPr>
              <w:t>(</w:t>
            </w:r>
            <w:proofErr w:type="gramStart"/>
            <w:r w:rsidRPr="009B525A">
              <w:rPr>
                <w:rFonts w:eastAsia="Calibri"/>
                <w:b/>
                <w:szCs w:val="26"/>
              </w:rPr>
              <w:t>3)*</w:t>
            </w:r>
            <w:proofErr w:type="gramEnd"/>
            <w:r w:rsidRPr="009B525A">
              <w:rPr>
                <w:rFonts w:eastAsia="Calibri"/>
                <w:b/>
                <w:szCs w:val="26"/>
              </w:rPr>
              <w:t>(4)=(5)</w:t>
            </w:r>
          </w:p>
        </w:tc>
        <w:tc>
          <w:tcPr>
            <w:tcW w:w="751" w:type="pct"/>
            <w:shd w:val="clear" w:color="auto" w:fill="D9D9D9"/>
            <w:vAlign w:val="bottom"/>
          </w:tcPr>
          <w:p w:rsidRPr="009B525A" w:rsidR="008B208A" w:rsidP="002C5492" w:rsidRDefault="008B208A" w14:paraId="7BDB5115" w14:textId="77777777">
            <w:pPr>
              <w:jc w:val="center"/>
              <w:rPr>
                <w:rFonts w:eastAsia="Calibri"/>
                <w:b/>
                <w:szCs w:val="26"/>
              </w:rPr>
            </w:pPr>
            <w:r w:rsidRPr="009B525A">
              <w:rPr>
                <w:rFonts w:eastAsia="Calibri"/>
                <w:b/>
                <w:szCs w:val="26"/>
              </w:rPr>
              <w:t>Annual Cost per Respondent ($)</w:t>
            </w:r>
            <w:r>
              <w:rPr>
                <w:rFonts w:eastAsia="Calibri"/>
                <w:b/>
                <w:szCs w:val="26"/>
              </w:rPr>
              <w:t xml:space="preserve"> (rounded)</w:t>
            </w:r>
          </w:p>
          <w:p w:rsidRPr="009B525A" w:rsidR="008B208A" w:rsidP="002C5492" w:rsidRDefault="008B208A" w14:paraId="27C28F29" w14:textId="77777777">
            <w:pPr>
              <w:jc w:val="center"/>
              <w:rPr>
                <w:rFonts w:eastAsia="Calibri"/>
                <w:b/>
                <w:szCs w:val="26"/>
              </w:rPr>
            </w:pPr>
            <w:r w:rsidRPr="009B525A">
              <w:rPr>
                <w:rFonts w:eastAsia="Calibri"/>
                <w:b/>
                <w:szCs w:val="26"/>
              </w:rPr>
              <w:t>(</w:t>
            </w:r>
            <w:proofErr w:type="gramStart"/>
            <w:r w:rsidRPr="009B525A">
              <w:rPr>
                <w:rFonts w:eastAsia="Calibri"/>
                <w:b/>
                <w:szCs w:val="26"/>
              </w:rPr>
              <w:t>5)÷</w:t>
            </w:r>
            <w:proofErr w:type="gramEnd"/>
            <w:r w:rsidRPr="009B525A">
              <w:rPr>
                <w:rFonts w:eastAsia="Calibri"/>
                <w:b/>
                <w:szCs w:val="26"/>
              </w:rPr>
              <w:t>(1)</w:t>
            </w:r>
          </w:p>
        </w:tc>
      </w:tr>
      <w:tr w:rsidRPr="009B525A" w:rsidR="008B208A" w:rsidTr="005E3703" w14:paraId="601C07C7" w14:textId="77777777">
        <w:trPr>
          <w:cantSplit/>
          <w:trHeight w:val="1174"/>
        </w:trPr>
        <w:tc>
          <w:tcPr>
            <w:tcW w:w="699" w:type="pct"/>
          </w:tcPr>
          <w:p w:rsidRPr="009B525A" w:rsidR="008B208A" w:rsidP="002C5492" w:rsidRDefault="008B208A" w14:paraId="4E779236" w14:textId="77777777">
            <w:pPr>
              <w:jc w:val="center"/>
              <w:rPr>
                <w:rFonts w:eastAsia="Calibri"/>
                <w:szCs w:val="26"/>
              </w:rPr>
            </w:pPr>
            <w:r w:rsidRPr="00805CBD">
              <w:rPr>
                <w:rFonts w:eastAsia="Calibri"/>
                <w:szCs w:val="26"/>
              </w:rPr>
              <w:t xml:space="preserve">Wholesale natural </w:t>
            </w:r>
            <w:r>
              <w:rPr>
                <w:rFonts w:eastAsia="Calibri"/>
                <w:szCs w:val="26"/>
              </w:rPr>
              <w:t xml:space="preserve">gas </w:t>
            </w:r>
            <w:r w:rsidRPr="00805CBD">
              <w:rPr>
                <w:rFonts w:eastAsia="Calibri"/>
                <w:szCs w:val="26"/>
              </w:rPr>
              <w:t xml:space="preserve">market participants </w:t>
            </w:r>
          </w:p>
        </w:tc>
        <w:tc>
          <w:tcPr>
            <w:tcW w:w="794" w:type="pct"/>
            <w:vAlign w:val="bottom"/>
          </w:tcPr>
          <w:p w:rsidRPr="009B525A" w:rsidR="008B208A" w:rsidP="002C5492" w:rsidRDefault="008B208A" w14:paraId="5C30FBC1" w14:textId="06DD4E97">
            <w:pPr>
              <w:jc w:val="right"/>
              <w:rPr>
                <w:rFonts w:eastAsia="Calibri"/>
                <w:szCs w:val="26"/>
              </w:rPr>
            </w:pPr>
            <w:r>
              <w:rPr>
                <w:rFonts w:eastAsia="Calibri"/>
                <w:szCs w:val="26"/>
              </w:rPr>
              <w:t>6</w:t>
            </w:r>
            <w:r w:rsidR="0037132E">
              <w:rPr>
                <w:rFonts w:eastAsia="Calibri"/>
                <w:szCs w:val="26"/>
              </w:rPr>
              <w:t>88</w:t>
            </w:r>
          </w:p>
        </w:tc>
        <w:tc>
          <w:tcPr>
            <w:tcW w:w="710" w:type="pct"/>
            <w:vAlign w:val="bottom"/>
          </w:tcPr>
          <w:p w:rsidRPr="009B525A" w:rsidR="008B208A" w:rsidP="002C5492" w:rsidRDefault="008B208A" w14:paraId="5E3708A8" w14:textId="77777777">
            <w:pPr>
              <w:jc w:val="right"/>
              <w:rPr>
                <w:rFonts w:eastAsia="Calibri"/>
                <w:szCs w:val="26"/>
              </w:rPr>
            </w:pPr>
            <w:r>
              <w:rPr>
                <w:rFonts w:eastAsia="Calibri"/>
                <w:szCs w:val="26"/>
              </w:rPr>
              <w:t>1</w:t>
            </w:r>
          </w:p>
        </w:tc>
        <w:tc>
          <w:tcPr>
            <w:tcW w:w="668" w:type="pct"/>
            <w:vAlign w:val="bottom"/>
          </w:tcPr>
          <w:p w:rsidRPr="00FC2D75" w:rsidR="008B208A" w:rsidP="002C5492" w:rsidRDefault="008B208A" w14:paraId="0054044E" w14:textId="166C9351">
            <w:pPr>
              <w:jc w:val="right"/>
              <w:rPr>
                <w:rFonts w:eastAsia="Calibri"/>
                <w:szCs w:val="26"/>
              </w:rPr>
            </w:pPr>
            <w:r w:rsidRPr="00FC2D75">
              <w:rPr>
                <w:rFonts w:eastAsia="Calibri"/>
                <w:szCs w:val="26"/>
              </w:rPr>
              <w:t>6</w:t>
            </w:r>
            <w:r w:rsidR="0037132E">
              <w:rPr>
                <w:rFonts w:eastAsia="Calibri"/>
                <w:szCs w:val="26"/>
              </w:rPr>
              <w:t>88</w:t>
            </w:r>
          </w:p>
        </w:tc>
        <w:tc>
          <w:tcPr>
            <w:tcW w:w="584" w:type="pct"/>
            <w:vAlign w:val="bottom"/>
          </w:tcPr>
          <w:p w:rsidRPr="00FC2D75" w:rsidR="008B208A" w:rsidP="002C5492" w:rsidRDefault="008B208A" w14:paraId="3235CDB3" w14:textId="13F9CEEB">
            <w:pPr>
              <w:jc w:val="right"/>
              <w:rPr>
                <w:rFonts w:eastAsia="Calibri"/>
                <w:szCs w:val="26"/>
              </w:rPr>
            </w:pPr>
            <w:r w:rsidRPr="00FC2D75">
              <w:rPr>
                <w:rFonts w:eastAsia="Calibri"/>
                <w:szCs w:val="26"/>
              </w:rPr>
              <w:t>20 hrs.;</w:t>
            </w:r>
          </w:p>
          <w:p w:rsidRPr="00FC2D75" w:rsidR="008B208A" w:rsidP="002C5492" w:rsidRDefault="008B208A" w14:paraId="552109B2" w14:textId="23218A94">
            <w:pPr>
              <w:jc w:val="right"/>
              <w:rPr>
                <w:rFonts w:eastAsia="Calibri"/>
                <w:szCs w:val="26"/>
              </w:rPr>
            </w:pPr>
            <w:r w:rsidRPr="00FC2D75">
              <w:rPr>
                <w:rFonts w:eastAsia="Calibri"/>
                <w:szCs w:val="26"/>
              </w:rPr>
              <w:t>$</w:t>
            </w:r>
            <w:r w:rsidR="00D22259">
              <w:rPr>
                <w:rFonts w:eastAsia="Calibri"/>
                <w:szCs w:val="26"/>
              </w:rPr>
              <w:t>1,702.60</w:t>
            </w:r>
          </w:p>
        </w:tc>
        <w:tc>
          <w:tcPr>
            <w:tcW w:w="794" w:type="pct"/>
            <w:vAlign w:val="bottom"/>
          </w:tcPr>
          <w:p w:rsidRPr="00FC2D75" w:rsidR="008B208A" w:rsidP="002C5492" w:rsidRDefault="008B208A" w14:paraId="6F7DC655" w14:textId="35B6EC1E">
            <w:pPr>
              <w:jc w:val="right"/>
              <w:rPr>
                <w:rFonts w:eastAsia="Calibri"/>
                <w:szCs w:val="26"/>
              </w:rPr>
            </w:pPr>
            <w:r w:rsidRPr="00FC2D75">
              <w:rPr>
                <w:rFonts w:eastAsia="Calibri"/>
                <w:szCs w:val="26"/>
              </w:rPr>
              <w:t>13,</w:t>
            </w:r>
            <w:r w:rsidR="0037132E">
              <w:rPr>
                <w:rFonts w:eastAsia="Calibri"/>
                <w:szCs w:val="26"/>
              </w:rPr>
              <w:t>760</w:t>
            </w:r>
            <w:r w:rsidRPr="00FC2D75">
              <w:rPr>
                <w:rFonts w:eastAsia="Calibri"/>
                <w:szCs w:val="26"/>
              </w:rPr>
              <w:t xml:space="preserve"> hrs.; $1,</w:t>
            </w:r>
            <w:r w:rsidR="00D22259">
              <w:rPr>
                <w:rFonts w:eastAsia="Calibri"/>
                <w:szCs w:val="26"/>
              </w:rPr>
              <w:t>1</w:t>
            </w:r>
            <w:r w:rsidR="0037132E">
              <w:rPr>
                <w:rFonts w:eastAsia="Calibri"/>
                <w:szCs w:val="26"/>
              </w:rPr>
              <w:t>71,388.80</w:t>
            </w:r>
          </w:p>
        </w:tc>
        <w:tc>
          <w:tcPr>
            <w:tcW w:w="751" w:type="pct"/>
            <w:vAlign w:val="bottom"/>
          </w:tcPr>
          <w:p w:rsidRPr="00FC2D75" w:rsidR="008B208A" w:rsidP="002C5492" w:rsidRDefault="008B208A" w14:paraId="472E8E75" w14:textId="757CB71D">
            <w:pPr>
              <w:jc w:val="right"/>
              <w:rPr>
                <w:rFonts w:eastAsia="Calibri"/>
                <w:szCs w:val="26"/>
              </w:rPr>
            </w:pPr>
            <w:r w:rsidRPr="00FC2D75">
              <w:rPr>
                <w:rFonts w:eastAsia="Calibri"/>
                <w:szCs w:val="26"/>
              </w:rPr>
              <w:t>$</w:t>
            </w:r>
            <w:r w:rsidR="00D22259">
              <w:rPr>
                <w:rFonts w:eastAsia="Calibri"/>
                <w:szCs w:val="26"/>
              </w:rPr>
              <w:t>1,702.60</w:t>
            </w:r>
          </w:p>
        </w:tc>
      </w:tr>
    </w:tbl>
    <w:p w:rsidR="008B208A" w:rsidP="002906E5" w:rsidRDefault="008B208A" w14:paraId="17E72153" w14:textId="77777777">
      <w:pPr>
        <w:autoSpaceDE w:val="0"/>
        <w:autoSpaceDN w:val="0"/>
        <w:adjustRightInd w:val="0"/>
        <w:spacing w:line="480" w:lineRule="auto"/>
        <w:rPr>
          <w:i/>
        </w:rPr>
      </w:pPr>
    </w:p>
    <w:p w:rsidR="00881405" w:rsidP="002906E5" w:rsidRDefault="00AE1F12" w14:paraId="40735770" w14:textId="12851E46">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FEFFE" w14:textId="77777777" w:rsidR="000400A8" w:rsidRDefault="000400A8" w:rsidP="00B01B16">
      <w:r>
        <w:separator/>
      </w:r>
    </w:p>
  </w:endnote>
  <w:endnote w:type="continuationSeparator" w:id="0">
    <w:p w14:paraId="7A1B8688" w14:textId="77777777" w:rsidR="000400A8" w:rsidRDefault="000400A8" w:rsidP="00B01B16">
      <w:r>
        <w:continuationSeparator/>
      </w:r>
    </w:p>
  </w:endnote>
  <w:endnote w:type="continuationNotice" w:id="1">
    <w:p w14:paraId="131B491E" w14:textId="77777777" w:rsidR="000400A8" w:rsidRDefault="0004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4306" w14:textId="77777777" w:rsidR="000400A8" w:rsidRDefault="000400A8" w:rsidP="00B01B16">
      <w:r>
        <w:separator/>
      </w:r>
    </w:p>
  </w:footnote>
  <w:footnote w:type="continuationSeparator" w:id="0">
    <w:p w14:paraId="1CA2EFBC" w14:textId="77777777" w:rsidR="000400A8" w:rsidRDefault="000400A8" w:rsidP="00B01B16">
      <w:r>
        <w:continuationSeparator/>
      </w:r>
    </w:p>
  </w:footnote>
  <w:footnote w:type="continuationNotice" w:id="1">
    <w:p w14:paraId="23A04F08" w14:textId="77777777" w:rsidR="000400A8" w:rsidRDefault="000400A8"/>
  </w:footnote>
  <w:footnote w:id="2">
    <w:p w14:paraId="3074B772" w14:textId="70F98E0F" w:rsidR="008B208A" w:rsidRPr="003F68E6" w:rsidRDefault="008B208A" w:rsidP="008B208A">
      <w:pPr>
        <w:pStyle w:val="FootnoteText"/>
        <w:rPr>
          <w:sz w:val="26"/>
          <w:szCs w:val="26"/>
        </w:rPr>
      </w:pPr>
      <w:r w:rsidRPr="003F68E6">
        <w:rPr>
          <w:rStyle w:val="FootnoteReference"/>
          <w:b w:val="0"/>
        </w:rPr>
        <w:footnoteRef/>
      </w:r>
      <w:r w:rsidRPr="003F68E6">
        <w:rPr>
          <w:b/>
        </w:rPr>
        <w:t xml:space="preserve"> </w:t>
      </w:r>
      <w:r w:rsidRPr="00103DB4">
        <w:rPr>
          <w:sz w:val="26"/>
          <w:szCs w:val="26"/>
        </w:rPr>
        <w:t>FERC Form No. 552</w:t>
      </w:r>
      <w:r w:rsidR="00473182">
        <w:rPr>
          <w:sz w:val="26"/>
          <w:szCs w:val="26"/>
        </w:rPr>
        <w:t xml:space="preserve"> </w:t>
      </w:r>
      <w:r>
        <w:rPr>
          <w:sz w:val="26"/>
          <w:szCs w:val="26"/>
        </w:rPr>
        <w:t>is pr</w:t>
      </w:r>
      <w:r w:rsidRPr="00BB4A41">
        <w:rPr>
          <w:sz w:val="26"/>
          <w:szCs w:val="26"/>
        </w:rPr>
        <w:t>escribed in 18 CFR 260.401.</w:t>
      </w:r>
    </w:p>
  </w:footnote>
  <w:footnote w:id="3">
    <w:p w14:paraId="08AE5F18" w14:textId="77777777" w:rsidR="008B208A" w:rsidRDefault="008B208A" w:rsidP="008B208A">
      <w:pPr>
        <w:pStyle w:val="FootnoteText"/>
      </w:pPr>
      <w:r w:rsidRPr="003F68E6">
        <w:rPr>
          <w:rStyle w:val="FootnoteReference"/>
          <w:b w:val="0"/>
        </w:rPr>
        <w:footnoteRef/>
      </w:r>
      <w:r>
        <w:t xml:space="preserve"> </w:t>
      </w:r>
      <w:r w:rsidRPr="007C4F41">
        <w:rPr>
          <w:sz w:val="26"/>
          <w:szCs w:val="26"/>
        </w:rPr>
        <w:t>Energy Policy Act of 2005, Pub. L. No. 109-58, sections 1261 et seq., 119 Stat. 594 (2005).</w:t>
      </w:r>
    </w:p>
  </w:footnote>
  <w:footnote w:id="4">
    <w:p w14:paraId="2482C48F" w14:textId="77777777" w:rsidR="008B208A" w:rsidRDefault="008B208A" w:rsidP="008B208A">
      <w:pPr>
        <w:pStyle w:val="FootnoteText"/>
      </w:pPr>
      <w:r w:rsidRPr="003F68E6">
        <w:rPr>
          <w:rStyle w:val="FootnoteReference"/>
          <w:b w:val="0"/>
        </w:rPr>
        <w:footnoteRef/>
      </w:r>
      <w:r>
        <w:t xml:space="preserve"> </w:t>
      </w:r>
      <w:r w:rsidRPr="00EB108D">
        <w:rPr>
          <w:sz w:val="26"/>
          <w:szCs w:val="26"/>
        </w:rPr>
        <w:t>15 USC 717t-2</w:t>
      </w:r>
      <w:r>
        <w:rPr>
          <w:sz w:val="26"/>
          <w:szCs w:val="26"/>
        </w:rPr>
        <w:t>(a)(</w:t>
      </w:r>
      <w:proofErr w:type="gramStart"/>
      <w:r>
        <w:rPr>
          <w:sz w:val="26"/>
          <w:szCs w:val="26"/>
        </w:rPr>
        <w:t>1)(</w:t>
      </w:r>
      <w:proofErr w:type="gramEnd"/>
      <w:r>
        <w:rPr>
          <w:sz w:val="26"/>
          <w:szCs w:val="26"/>
        </w:rPr>
        <w:t>2006).</w:t>
      </w:r>
    </w:p>
  </w:footnote>
  <w:footnote w:id="5">
    <w:p w14:paraId="47BB5533" w14:textId="77777777" w:rsidR="008B208A" w:rsidRPr="004759C4" w:rsidRDefault="008B208A" w:rsidP="008B208A">
      <w:pPr>
        <w:pStyle w:val="FootnoteText"/>
        <w:rPr>
          <w:sz w:val="26"/>
          <w:szCs w:val="26"/>
        </w:rPr>
      </w:pPr>
      <w:r w:rsidRPr="004759C4">
        <w:rPr>
          <w:rStyle w:val="FootnoteReference"/>
          <w:b w:val="0"/>
        </w:rPr>
        <w:footnoteRef/>
      </w:r>
      <w:r w:rsidRPr="004759C4">
        <w:rPr>
          <w:b/>
          <w:sz w:val="26"/>
          <w:szCs w:val="26"/>
        </w:rPr>
        <w:t xml:space="preserve"> </w:t>
      </w:r>
      <w:r w:rsidRPr="004759C4">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6">
    <w:p w14:paraId="78C068A8" w14:textId="1882FC71" w:rsidR="008B208A" w:rsidRDefault="008B208A" w:rsidP="008B208A">
      <w:pPr>
        <w:pStyle w:val="FootnoteText"/>
      </w:pPr>
      <w:r w:rsidRPr="00A759B3">
        <w:rPr>
          <w:rStyle w:val="FootnoteReference"/>
          <w:b w:val="0"/>
        </w:rPr>
        <w:footnoteRef/>
      </w:r>
      <w:r w:rsidRPr="00A759B3">
        <w:rPr>
          <w:b/>
        </w:rPr>
        <w:t xml:space="preserve"> </w:t>
      </w:r>
      <w:r w:rsidRPr="00FC2D75">
        <w:rPr>
          <w:sz w:val="26"/>
          <w:szCs w:val="26"/>
        </w:rPr>
        <w:t xml:space="preserve">Costs (for wages and benefits) are based on wage figures from the Bureau of Labor Statistics (BLS) for </w:t>
      </w:r>
      <w:r w:rsidRPr="00462142">
        <w:rPr>
          <w:sz w:val="26"/>
          <w:szCs w:val="26"/>
        </w:rPr>
        <w:t>May 2020</w:t>
      </w:r>
      <w:r w:rsidRPr="00FC2D75">
        <w:rPr>
          <w:sz w:val="26"/>
          <w:szCs w:val="26"/>
        </w:rPr>
        <w:t xml:space="preserve"> (at </w:t>
      </w:r>
      <w:hyperlink r:id="rId1" w:history="1">
        <w:r w:rsidRPr="00FC2D75">
          <w:rPr>
            <w:rStyle w:val="Hyperlink"/>
            <w:sz w:val="26"/>
            <w:szCs w:val="26"/>
          </w:rPr>
          <w:t>https://www.bls.gov/oes/current/naics2_22.htm</w:t>
        </w:r>
      </w:hyperlink>
      <w:r w:rsidRPr="00FC2D75">
        <w:rPr>
          <w:sz w:val="26"/>
          <w:szCs w:val="26"/>
        </w:rPr>
        <w:t>) and benefits information (issued March 20</w:t>
      </w:r>
      <w:r>
        <w:rPr>
          <w:sz w:val="26"/>
          <w:szCs w:val="26"/>
        </w:rPr>
        <w:t>20</w:t>
      </w:r>
      <w:r w:rsidRPr="00FC2D75">
        <w:rPr>
          <w:sz w:val="26"/>
          <w:szCs w:val="26"/>
        </w:rPr>
        <w:t>,</w:t>
      </w:r>
      <w:r>
        <w:rPr>
          <w:sz w:val="26"/>
          <w:szCs w:val="26"/>
        </w:rPr>
        <w:t xml:space="preserve"> </w:t>
      </w:r>
      <w:r w:rsidRPr="00FC2D75">
        <w:rPr>
          <w:sz w:val="26"/>
          <w:szCs w:val="26"/>
        </w:rPr>
        <w:t>https://www.bls.gov/news.release/ecec.nr0.htm).  The staff estimates that 75% of the work is done by a financial analyst (code 13-20</w:t>
      </w:r>
      <w:r>
        <w:rPr>
          <w:sz w:val="26"/>
          <w:szCs w:val="26"/>
        </w:rPr>
        <w:t>98</w:t>
      </w:r>
      <w:r w:rsidRPr="00FC2D75">
        <w:rPr>
          <w:sz w:val="26"/>
          <w:szCs w:val="26"/>
        </w:rPr>
        <w:t>) at an hourly cost of $</w:t>
      </w:r>
      <w:r w:rsidR="00D22259">
        <w:rPr>
          <w:sz w:val="26"/>
          <w:szCs w:val="26"/>
        </w:rPr>
        <w:t>66.09</w:t>
      </w:r>
      <w:r w:rsidRPr="00FC2D75">
        <w:rPr>
          <w:sz w:val="26"/>
          <w:szCs w:val="26"/>
        </w:rPr>
        <w:t xml:space="preserve"> (for wages plus benefits), and 25% of the work is done by legal staff members (code 23-0000) at an hourly cost of $14</w:t>
      </w:r>
      <w:r>
        <w:rPr>
          <w:sz w:val="26"/>
          <w:szCs w:val="26"/>
        </w:rPr>
        <w:t>2.25</w:t>
      </w:r>
      <w:r w:rsidRPr="00FC2D75">
        <w:rPr>
          <w:sz w:val="26"/>
          <w:szCs w:val="26"/>
        </w:rPr>
        <w:t xml:space="preserve"> </w:t>
      </w:r>
      <w:r>
        <w:rPr>
          <w:sz w:val="26"/>
          <w:szCs w:val="26"/>
        </w:rPr>
        <w:t>(</w:t>
      </w:r>
      <w:r w:rsidRPr="00FC2D75">
        <w:rPr>
          <w:sz w:val="26"/>
          <w:szCs w:val="26"/>
        </w:rPr>
        <w:t>for wages plus benefits).  Therefor</w:t>
      </w:r>
      <w:r>
        <w:rPr>
          <w:sz w:val="26"/>
          <w:szCs w:val="26"/>
        </w:rPr>
        <w:t>e</w:t>
      </w:r>
      <w:r w:rsidR="008D0EC4">
        <w:rPr>
          <w:sz w:val="26"/>
          <w:szCs w:val="26"/>
        </w:rPr>
        <w:t>,</w:t>
      </w:r>
      <w:r w:rsidRPr="00FC2D75">
        <w:rPr>
          <w:sz w:val="26"/>
          <w:szCs w:val="26"/>
        </w:rPr>
        <w:t xml:space="preserve"> the </w:t>
      </w:r>
      <w:r>
        <w:rPr>
          <w:sz w:val="26"/>
          <w:szCs w:val="26"/>
        </w:rPr>
        <w:t>weighted</w:t>
      </w:r>
      <w:r w:rsidRPr="00FC2D75">
        <w:rPr>
          <w:sz w:val="26"/>
          <w:szCs w:val="26"/>
        </w:rPr>
        <w:t xml:space="preserve"> cost (for wages plus benefits) is </w:t>
      </w:r>
      <w:r>
        <w:rPr>
          <w:sz w:val="26"/>
          <w:szCs w:val="26"/>
        </w:rPr>
        <w:t>calculated</w:t>
      </w:r>
      <w:r w:rsidRPr="00FC2D75">
        <w:rPr>
          <w:sz w:val="26"/>
          <w:szCs w:val="26"/>
        </w:rPr>
        <w:t xml:space="preserve"> </w:t>
      </w:r>
      <w:r w:rsidRPr="009B6859">
        <w:rPr>
          <w:sz w:val="26"/>
          <w:szCs w:val="26"/>
        </w:rPr>
        <w:t xml:space="preserve">to </w:t>
      </w:r>
      <w:r w:rsidRPr="009B6859">
        <w:rPr>
          <w:b/>
          <w:bCs/>
          <w:sz w:val="26"/>
          <w:szCs w:val="26"/>
        </w:rPr>
        <w:t>$</w:t>
      </w:r>
      <w:r w:rsidR="00D22259" w:rsidRPr="009B6859">
        <w:rPr>
          <w:b/>
          <w:bCs/>
          <w:sz w:val="26"/>
          <w:szCs w:val="26"/>
        </w:rPr>
        <w:t>85.13</w:t>
      </w:r>
      <w:r w:rsidRPr="009B6859">
        <w:rPr>
          <w:b/>
          <w:bCs/>
          <w:sz w:val="26"/>
          <w:szCs w:val="26"/>
        </w:rPr>
        <w:t>/hour</w:t>
      </w:r>
      <w:r w:rsidRPr="00FC2D75">
        <w:rPr>
          <w:sz w:val="26"/>
          <w:szCs w:val="26"/>
        </w:rPr>
        <w:t xml:space="preserve"> [or ($</w:t>
      </w:r>
      <w:r w:rsidR="00D22259">
        <w:rPr>
          <w:sz w:val="26"/>
          <w:szCs w:val="26"/>
        </w:rPr>
        <w:t>66.09</w:t>
      </w:r>
      <w:r w:rsidRPr="00FC2D75">
        <w:rPr>
          <w:sz w:val="26"/>
          <w:szCs w:val="26"/>
        </w:rPr>
        <w:t>/hour * 0.75)</w:t>
      </w:r>
      <w:r w:rsidR="008D0EC4">
        <w:rPr>
          <w:sz w:val="26"/>
          <w:szCs w:val="26"/>
        </w:rPr>
        <w:t xml:space="preserve"> </w:t>
      </w:r>
      <w:r w:rsidRPr="00FC2D75">
        <w:rPr>
          <w:sz w:val="26"/>
          <w:szCs w:val="26"/>
        </w:rPr>
        <w:t>+</w:t>
      </w:r>
      <w:r w:rsidR="008D0EC4">
        <w:rPr>
          <w:sz w:val="26"/>
          <w:szCs w:val="26"/>
        </w:rPr>
        <w:t xml:space="preserve"> </w:t>
      </w:r>
      <w:r w:rsidRPr="00FC2D75">
        <w:rPr>
          <w:sz w:val="26"/>
          <w:szCs w:val="26"/>
        </w:rPr>
        <w:t>($14</w:t>
      </w:r>
      <w:r>
        <w:rPr>
          <w:sz w:val="26"/>
          <w:szCs w:val="26"/>
        </w:rPr>
        <w:t>2.25</w:t>
      </w:r>
      <w:r w:rsidRPr="00FC2D75">
        <w:rPr>
          <w:sz w:val="26"/>
          <w:szCs w:val="26"/>
        </w:rPr>
        <w:t>/hour * 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566092"/>
      <w:docPartObj>
        <w:docPartGallery w:val="Page Numbers (Top of Page)"/>
        <w:docPartUnique/>
      </w:docPartObj>
    </w:sdtPr>
    <w:sdtEndPr>
      <w:rPr>
        <w:noProof/>
      </w:rPr>
    </w:sdtEndPr>
    <w:sdtContent>
      <w:p w14:paraId="34DC4BAC" w14:textId="006060FD" w:rsidR="000945D2" w:rsidRDefault="000945D2">
        <w:pPr>
          <w:pStyle w:val="Header"/>
        </w:pPr>
        <w:r w:rsidRPr="000945D2">
          <w:t>Docket No. IC21-25-000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058AB206" w:rsidR="00F82EE1" w:rsidRPr="000945D2" w:rsidRDefault="00F82EE1" w:rsidP="00094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6"/>
  </w:num>
  <w:num w:numId="5">
    <w:abstractNumId w:val="12"/>
  </w:num>
  <w:num w:numId="6">
    <w:abstractNumId w:val="2"/>
  </w:num>
  <w:num w:numId="7">
    <w:abstractNumId w:val="9"/>
  </w:num>
  <w:num w:numId="8">
    <w:abstractNumId w:val="1"/>
  </w:num>
  <w:num w:numId="9">
    <w:abstractNumId w:val="7"/>
  </w:num>
  <w:num w:numId="10">
    <w:abstractNumId w:val="11"/>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00A8"/>
    <w:rsid w:val="00042F33"/>
    <w:rsid w:val="000459B6"/>
    <w:rsid w:val="000578D5"/>
    <w:rsid w:val="00062427"/>
    <w:rsid w:val="00084E3D"/>
    <w:rsid w:val="0008692A"/>
    <w:rsid w:val="000945D2"/>
    <w:rsid w:val="000A0250"/>
    <w:rsid w:val="000A3C2F"/>
    <w:rsid w:val="000A6164"/>
    <w:rsid w:val="000A6F37"/>
    <w:rsid w:val="000A7E68"/>
    <w:rsid w:val="000B5B66"/>
    <w:rsid w:val="000B5C78"/>
    <w:rsid w:val="000D318C"/>
    <w:rsid w:val="000E2568"/>
    <w:rsid w:val="000F606E"/>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31D0"/>
    <w:rsid w:val="00213696"/>
    <w:rsid w:val="00224BF8"/>
    <w:rsid w:val="00237AB9"/>
    <w:rsid w:val="0024309C"/>
    <w:rsid w:val="00253F98"/>
    <w:rsid w:val="00257CC2"/>
    <w:rsid w:val="00266431"/>
    <w:rsid w:val="002906E5"/>
    <w:rsid w:val="00292A4C"/>
    <w:rsid w:val="00297211"/>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65468"/>
    <w:rsid w:val="003658A2"/>
    <w:rsid w:val="003673EC"/>
    <w:rsid w:val="0037132E"/>
    <w:rsid w:val="00373A2E"/>
    <w:rsid w:val="00376525"/>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3F6466"/>
    <w:rsid w:val="00411B62"/>
    <w:rsid w:val="00413FDE"/>
    <w:rsid w:val="004177CD"/>
    <w:rsid w:val="0042688C"/>
    <w:rsid w:val="0042765E"/>
    <w:rsid w:val="00427AE5"/>
    <w:rsid w:val="00443282"/>
    <w:rsid w:val="004562F1"/>
    <w:rsid w:val="00462142"/>
    <w:rsid w:val="004628F2"/>
    <w:rsid w:val="00471921"/>
    <w:rsid w:val="00473182"/>
    <w:rsid w:val="00491543"/>
    <w:rsid w:val="004A5F14"/>
    <w:rsid w:val="004A661D"/>
    <w:rsid w:val="004C0BC3"/>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97970"/>
    <w:rsid w:val="005A2F24"/>
    <w:rsid w:val="005A6119"/>
    <w:rsid w:val="005B4DA4"/>
    <w:rsid w:val="005C180F"/>
    <w:rsid w:val="005C77BE"/>
    <w:rsid w:val="005D0259"/>
    <w:rsid w:val="005D238D"/>
    <w:rsid w:val="005D4628"/>
    <w:rsid w:val="005E0B1A"/>
    <w:rsid w:val="005E3703"/>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B3479"/>
    <w:rsid w:val="006E7CBB"/>
    <w:rsid w:val="006F7028"/>
    <w:rsid w:val="006F749E"/>
    <w:rsid w:val="007024F1"/>
    <w:rsid w:val="00713417"/>
    <w:rsid w:val="00714EDD"/>
    <w:rsid w:val="0071596F"/>
    <w:rsid w:val="00723505"/>
    <w:rsid w:val="007263B9"/>
    <w:rsid w:val="0075009F"/>
    <w:rsid w:val="00761148"/>
    <w:rsid w:val="007633DD"/>
    <w:rsid w:val="00781E6A"/>
    <w:rsid w:val="007B1F57"/>
    <w:rsid w:val="007B4938"/>
    <w:rsid w:val="007E1428"/>
    <w:rsid w:val="007E3706"/>
    <w:rsid w:val="007F4CD3"/>
    <w:rsid w:val="007F61C2"/>
    <w:rsid w:val="008018DB"/>
    <w:rsid w:val="00803CA2"/>
    <w:rsid w:val="00807CAC"/>
    <w:rsid w:val="008115BF"/>
    <w:rsid w:val="00816942"/>
    <w:rsid w:val="008212DA"/>
    <w:rsid w:val="00823681"/>
    <w:rsid w:val="00824D81"/>
    <w:rsid w:val="00835322"/>
    <w:rsid w:val="008507FE"/>
    <w:rsid w:val="00853ABC"/>
    <w:rsid w:val="00871D53"/>
    <w:rsid w:val="00871DCE"/>
    <w:rsid w:val="00881405"/>
    <w:rsid w:val="0089069F"/>
    <w:rsid w:val="00893C9F"/>
    <w:rsid w:val="00895B40"/>
    <w:rsid w:val="00895DA2"/>
    <w:rsid w:val="00897359"/>
    <w:rsid w:val="008A050A"/>
    <w:rsid w:val="008A55FC"/>
    <w:rsid w:val="008A7371"/>
    <w:rsid w:val="008B208A"/>
    <w:rsid w:val="008B7EC5"/>
    <w:rsid w:val="008D0EC4"/>
    <w:rsid w:val="008D25B7"/>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949AA"/>
    <w:rsid w:val="00995921"/>
    <w:rsid w:val="009A1B08"/>
    <w:rsid w:val="009B6859"/>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336B"/>
    <w:rsid w:val="00A57463"/>
    <w:rsid w:val="00A664DF"/>
    <w:rsid w:val="00A71219"/>
    <w:rsid w:val="00A713D0"/>
    <w:rsid w:val="00A722D4"/>
    <w:rsid w:val="00A75AAA"/>
    <w:rsid w:val="00A81BC2"/>
    <w:rsid w:val="00A82A29"/>
    <w:rsid w:val="00A86B6F"/>
    <w:rsid w:val="00AA516A"/>
    <w:rsid w:val="00AA5B0E"/>
    <w:rsid w:val="00AC0504"/>
    <w:rsid w:val="00AC1DB7"/>
    <w:rsid w:val="00AC3A7C"/>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1D16"/>
    <w:rsid w:val="00B24588"/>
    <w:rsid w:val="00B30F2D"/>
    <w:rsid w:val="00B403F1"/>
    <w:rsid w:val="00B447D7"/>
    <w:rsid w:val="00B556C9"/>
    <w:rsid w:val="00B61016"/>
    <w:rsid w:val="00B71BAA"/>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4D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22259"/>
    <w:rsid w:val="00D35B2D"/>
    <w:rsid w:val="00D44183"/>
    <w:rsid w:val="00D44A55"/>
    <w:rsid w:val="00D47B74"/>
    <w:rsid w:val="00D5276C"/>
    <w:rsid w:val="00D6384D"/>
    <w:rsid w:val="00D653F3"/>
    <w:rsid w:val="00D66B24"/>
    <w:rsid w:val="00D85E13"/>
    <w:rsid w:val="00D86288"/>
    <w:rsid w:val="00D872BC"/>
    <w:rsid w:val="00DA529F"/>
    <w:rsid w:val="00DB5AAE"/>
    <w:rsid w:val="00DB6882"/>
    <w:rsid w:val="00DC4B63"/>
    <w:rsid w:val="00DC5017"/>
    <w:rsid w:val="00DC5129"/>
    <w:rsid w:val="00DD7F1B"/>
    <w:rsid w:val="00DE451F"/>
    <w:rsid w:val="00E12A7A"/>
    <w:rsid w:val="00E24E97"/>
    <w:rsid w:val="00E27FD6"/>
    <w:rsid w:val="00E3141B"/>
    <w:rsid w:val="00E36A0F"/>
    <w:rsid w:val="00E41DB9"/>
    <w:rsid w:val="00E71CC0"/>
    <w:rsid w:val="00E731AE"/>
    <w:rsid w:val="00E74310"/>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A31DF"/>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42C8-885A-45EC-8743-02A707CD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2FADF27-A54B-4E54-AC05-4A39578D916F}">
  <ds:schemaRefs>
    <ds:schemaRef ds:uri="Microsoft.SharePoint.Taxonomy.ContentTypeSync"/>
  </ds:schemaRefs>
</ds:datastoreItem>
</file>

<file path=customXml/itemProps5.xml><?xml version="1.0" encoding="utf-8"?>
<ds:datastoreItem xmlns:ds="http://schemas.openxmlformats.org/officeDocument/2006/customXml" ds:itemID="{F96E80F3-AE81-4475-AB32-4CE50596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2021-07-22T15:51:00Z</dcterms:created>
  <dcterms:modified xsi:type="dcterms:W3CDTF">2021-07-22T15:51:00Z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2021-01-13T20:26:44.5748181Z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5c703711-a22e-4b17-814a-56fa80062e04</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