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A4A16" w:rsidP="00BB1941" w:rsidRDefault="004A4A16" w14:paraId="46AD95CF" w14:textId="77777777">
      <w:pPr>
        <w:pStyle w:val="Mainhead"/>
        <w:pBdr>
          <w:bottom w:val="none" w:color="auto" w:sz="0" w:space="0"/>
        </w:pBdr>
        <w:spacing w:before="0" w:after="0"/>
        <w:jc w:val="center"/>
      </w:pPr>
    </w:p>
    <w:p w:rsidR="004A4A16" w:rsidP="00190CE6" w:rsidRDefault="004A4A16" w14:paraId="0C590822" w14:textId="77777777">
      <w:pPr>
        <w:pStyle w:val="Mainhead"/>
        <w:pBdr>
          <w:bottom w:val="none" w:color="auto" w:sz="0" w:space="0"/>
        </w:pBdr>
        <w:spacing w:before="0" w:after="0"/>
        <w:jc w:val="center"/>
        <w:rPr>
          <w:rFonts w:cstheme="minorHAnsi"/>
          <w:color w:val="ECC331"/>
          <w:sz w:val="36"/>
          <w:szCs w:val="36"/>
        </w:rPr>
      </w:pPr>
    </w:p>
    <w:p w:rsidR="004A4A16" w:rsidP="00190CE6" w:rsidRDefault="004A4A16" w14:paraId="4E99C356" w14:textId="77777777">
      <w:pPr>
        <w:pStyle w:val="Mainhead"/>
        <w:pBdr>
          <w:bottom w:val="none" w:color="auto" w:sz="0" w:space="0"/>
        </w:pBdr>
        <w:spacing w:before="0" w:after="0"/>
        <w:jc w:val="center"/>
        <w:rPr>
          <w:rFonts w:cstheme="minorHAnsi"/>
          <w:color w:val="ECC331"/>
          <w:sz w:val="36"/>
          <w:szCs w:val="36"/>
        </w:rPr>
      </w:pPr>
    </w:p>
    <w:p w:rsidR="004A4A16" w:rsidP="00190CE6" w:rsidRDefault="004A4A16" w14:paraId="7BE7A2EA" w14:textId="77777777">
      <w:pPr>
        <w:pStyle w:val="Mainhead"/>
        <w:pBdr>
          <w:bottom w:val="none" w:color="auto" w:sz="0" w:space="0"/>
        </w:pBdr>
        <w:spacing w:before="0" w:after="0"/>
        <w:jc w:val="center"/>
        <w:rPr>
          <w:rFonts w:cstheme="minorHAnsi"/>
          <w:color w:val="ECC331"/>
          <w:sz w:val="36"/>
          <w:szCs w:val="36"/>
        </w:rPr>
      </w:pPr>
    </w:p>
    <w:p w:rsidR="004A4A16" w:rsidP="00190CE6" w:rsidRDefault="004A4A16" w14:paraId="0061E1B3" w14:textId="77777777">
      <w:pPr>
        <w:pStyle w:val="Mainhead"/>
        <w:pBdr>
          <w:bottom w:val="none" w:color="auto" w:sz="0" w:space="0"/>
        </w:pBdr>
        <w:spacing w:before="0" w:after="0"/>
        <w:jc w:val="center"/>
        <w:rPr>
          <w:rFonts w:cstheme="minorHAnsi"/>
          <w:color w:val="ECC331"/>
          <w:sz w:val="36"/>
          <w:szCs w:val="36"/>
        </w:rPr>
      </w:pPr>
    </w:p>
    <w:p w:rsidR="004A4A16" w:rsidP="00190CE6" w:rsidRDefault="004A4A16" w14:paraId="461C38B7" w14:textId="77777777">
      <w:pPr>
        <w:pStyle w:val="Mainhead"/>
        <w:pBdr>
          <w:bottom w:val="none" w:color="auto" w:sz="0" w:space="0"/>
        </w:pBdr>
        <w:spacing w:before="0" w:after="0"/>
        <w:jc w:val="center"/>
        <w:rPr>
          <w:rFonts w:cstheme="minorHAnsi"/>
          <w:color w:val="ECC331"/>
          <w:sz w:val="36"/>
          <w:szCs w:val="36"/>
        </w:rPr>
      </w:pPr>
    </w:p>
    <w:p w:rsidR="004A4A16" w:rsidP="00190CE6" w:rsidRDefault="004A4A16" w14:paraId="43B89029" w14:textId="77777777">
      <w:pPr>
        <w:pStyle w:val="Mainhead"/>
        <w:pBdr>
          <w:bottom w:val="none" w:color="auto" w:sz="0" w:space="0"/>
        </w:pBdr>
        <w:spacing w:before="0" w:after="0"/>
        <w:jc w:val="center"/>
        <w:rPr>
          <w:rFonts w:cstheme="minorHAnsi"/>
          <w:color w:val="ECC331"/>
          <w:sz w:val="36"/>
          <w:szCs w:val="36"/>
        </w:rPr>
      </w:pPr>
    </w:p>
    <w:p w:rsidR="004A4A16" w:rsidP="00190CE6" w:rsidRDefault="004A4A16" w14:paraId="1A7F484B" w14:textId="77777777">
      <w:pPr>
        <w:pStyle w:val="Mainhead"/>
        <w:pBdr>
          <w:bottom w:val="none" w:color="auto" w:sz="0" w:space="0"/>
        </w:pBdr>
        <w:spacing w:before="0" w:after="0"/>
        <w:jc w:val="center"/>
        <w:rPr>
          <w:rFonts w:cstheme="minorHAnsi"/>
          <w:color w:val="ECC331"/>
          <w:sz w:val="36"/>
          <w:szCs w:val="36"/>
        </w:rPr>
      </w:pPr>
    </w:p>
    <w:p w:rsidR="004A4A16" w:rsidP="00190CE6" w:rsidRDefault="004A4A16" w14:paraId="20051F18" w14:textId="77777777">
      <w:pPr>
        <w:pStyle w:val="Mainhead"/>
        <w:pBdr>
          <w:bottom w:val="none" w:color="auto" w:sz="0" w:space="0"/>
        </w:pBdr>
        <w:spacing w:before="0" w:after="0"/>
        <w:jc w:val="center"/>
        <w:rPr>
          <w:rFonts w:cstheme="minorHAnsi"/>
          <w:color w:val="ECC331"/>
          <w:sz w:val="36"/>
          <w:szCs w:val="36"/>
        </w:rPr>
      </w:pPr>
    </w:p>
    <w:p w:rsidR="004A4A16" w:rsidP="00190CE6" w:rsidRDefault="004A4A16" w14:paraId="7F8697E2" w14:textId="77777777">
      <w:pPr>
        <w:pStyle w:val="Mainhead"/>
        <w:pBdr>
          <w:bottom w:val="none" w:color="auto" w:sz="0" w:space="0"/>
        </w:pBdr>
        <w:spacing w:before="0" w:after="0"/>
        <w:jc w:val="center"/>
        <w:rPr>
          <w:rFonts w:cstheme="minorHAnsi"/>
          <w:color w:val="ECC331"/>
          <w:sz w:val="36"/>
          <w:szCs w:val="36"/>
        </w:rPr>
      </w:pPr>
    </w:p>
    <w:p w:rsidR="00597A2A" w:rsidP="00190CE6" w:rsidRDefault="002203EC" w14:paraId="4F4B6693" w14:textId="717B8D62">
      <w:pPr>
        <w:pStyle w:val="Mainhead"/>
        <w:pBdr>
          <w:bottom w:val="none" w:color="auto" w:sz="0" w:space="0"/>
        </w:pBdr>
        <w:spacing w:before="0" w:after="0"/>
        <w:jc w:val="center"/>
        <w:rPr>
          <w:rFonts w:cstheme="minorHAnsi"/>
          <w:color w:val="1F497D" w:themeColor="text2"/>
          <w:sz w:val="48"/>
          <w:szCs w:val="36"/>
        </w:rPr>
      </w:pPr>
      <w:r w:rsidRPr="00B37AB4">
        <w:rPr>
          <w:rFonts w:cstheme="minorHAnsi"/>
          <w:color w:val="1F497D" w:themeColor="text2"/>
          <w:sz w:val="48"/>
          <w:szCs w:val="36"/>
        </w:rPr>
        <w:t>Methane Challenge</w:t>
      </w:r>
      <w:r w:rsidRPr="00B37AB4" w:rsidR="004C4509">
        <w:rPr>
          <w:rFonts w:cstheme="minorHAnsi"/>
          <w:color w:val="1F497D" w:themeColor="text2"/>
          <w:sz w:val="48"/>
          <w:szCs w:val="36"/>
        </w:rPr>
        <w:t xml:space="preserve"> </w:t>
      </w:r>
      <w:r w:rsidRPr="00B37AB4" w:rsidR="00733928">
        <w:rPr>
          <w:rFonts w:cstheme="minorHAnsi"/>
          <w:color w:val="1F497D" w:themeColor="text2"/>
          <w:sz w:val="48"/>
          <w:szCs w:val="36"/>
        </w:rPr>
        <w:t>Program</w:t>
      </w:r>
    </w:p>
    <w:p w:rsidR="009C38E7" w:rsidP="00190CE6" w:rsidRDefault="009C38E7" w14:paraId="1668E09A" w14:textId="7940E649">
      <w:pPr>
        <w:pStyle w:val="Mainhead"/>
        <w:pBdr>
          <w:bottom w:val="none" w:color="auto" w:sz="0" w:space="0"/>
        </w:pBdr>
        <w:spacing w:before="0" w:after="0"/>
        <w:jc w:val="center"/>
        <w:rPr>
          <w:rFonts w:cstheme="minorHAnsi"/>
          <w:color w:val="1F497D" w:themeColor="text2"/>
          <w:sz w:val="48"/>
          <w:szCs w:val="36"/>
        </w:rPr>
      </w:pPr>
    </w:p>
    <w:p w:rsidRPr="00B37AB4" w:rsidR="005C368B" w:rsidP="00D16A53" w:rsidRDefault="00DC3985" w14:paraId="6D7ABF1A" w14:textId="7144752C">
      <w:pPr>
        <w:pStyle w:val="Mainhead"/>
        <w:pBdr>
          <w:bottom w:val="none" w:color="auto" w:sz="0" w:space="0"/>
        </w:pBdr>
        <w:jc w:val="center"/>
        <w:rPr>
          <w:rFonts w:eastAsiaTheme="majorEastAsia" w:cstheme="minorHAnsi"/>
          <w:b w:val="0"/>
          <w:bCs w:val="0"/>
          <w:color w:val="002060"/>
          <w:sz w:val="24"/>
        </w:rPr>
      </w:pPr>
      <w:r w:rsidRPr="00D16A53">
        <w:rPr>
          <w:rFonts w:cstheme="minorHAnsi"/>
          <w:color w:val="1F497D" w:themeColor="text2"/>
        </w:rPr>
        <w:t>BMP Commitment</w:t>
      </w:r>
      <w:r w:rsidRPr="00D16A53" w:rsidR="003E4E30">
        <w:rPr>
          <w:rFonts w:cstheme="minorHAnsi"/>
          <w:color w:val="1F497D" w:themeColor="text2"/>
        </w:rPr>
        <w:t xml:space="preserve"> Option</w:t>
      </w:r>
      <w:r w:rsidRPr="00D16A53" w:rsidR="008F0F69">
        <w:rPr>
          <w:rFonts w:cstheme="minorHAnsi"/>
          <w:color w:val="1F497D" w:themeColor="text2"/>
        </w:rPr>
        <w:t xml:space="preserve"> Technical Document</w:t>
      </w:r>
      <w:r w:rsidRPr="00D16A53" w:rsidR="00FC0EF4">
        <w:rPr>
          <w:rFonts w:cstheme="minorHAnsi"/>
          <w:color w:val="1F497D" w:themeColor="text2"/>
        </w:rPr>
        <w:t xml:space="preserve"> </w:t>
      </w:r>
      <w:r w:rsidRPr="00B37AB4" w:rsidR="005C368B">
        <w:rPr>
          <w:rFonts w:cstheme="minorHAnsi"/>
          <w:color w:val="002060"/>
          <w:sz w:val="24"/>
        </w:rPr>
        <w:br w:type="page"/>
      </w:r>
    </w:p>
    <w:sdt>
      <w:sdtPr>
        <w:rPr>
          <w:rFonts w:eastAsia="Times New Roman" w:cs="Times New Roman" w:asciiTheme="minorHAnsi" w:hAnsiTheme="minorHAnsi"/>
          <w:color w:val="auto"/>
          <w:sz w:val="22"/>
          <w:szCs w:val="24"/>
        </w:rPr>
        <w:id w:val="-1875609141"/>
        <w:docPartObj>
          <w:docPartGallery w:val="Table of Contents"/>
          <w:docPartUnique/>
        </w:docPartObj>
      </w:sdtPr>
      <w:sdtEndPr>
        <w:rPr>
          <w:b/>
          <w:bCs/>
          <w:noProof/>
        </w:rPr>
      </w:sdtEndPr>
      <w:sdtContent>
        <w:p w:rsidRPr="00B37AB4" w:rsidR="005C368B" w:rsidP="00190CE6" w:rsidRDefault="005C368B" w14:paraId="19022FD9" w14:textId="77777777">
          <w:pPr>
            <w:pStyle w:val="TOCHeading"/>
          </w:pPr>
          <w:r w:rsidRPr="00B37AB4">
            <w:t>Contents</w:t>
          </w:r>
        </w:p>
        <w:p w:rsidR="00FC3A99" w:rsidRDefault="00084222" w14:paraId="5B087769" w14:textId="3849BECD">
          <w:pPr>
            <w:pStyle w:val="TOC1"/>
            <w:tabs>
              <w:tab w:val="right" w:leader="dot" w:pos="9350"/>
            </w:tabs>
            <w:rPr>
              <w:rFonts w:eastAsiaTheme="minorEastAsia" w:cstheme="minorBidi"/>
              <w:noProof/>
              <w:szCs w:val="22"/>
            </w:rPr>
          </w:pPr>
          <w:r>
            <w:fldChar w:fldCharType="begin"/>
          </w:r>
          <w:r>
            <w:instrText xml:space="preserve"> TOC \o "1-2" \h \z \u </w:instrText>
          </w:r>
          <w:r>
            <w:fldChar w:fldCharType="separate"/>
          </w:r>
          <w:hyperlink w:history="1" w:anchor="_Toc67322576">
            <w:r w:rsidRPr="00B07AC3" w:rsidR="00FC3A99">
              <w:rPr>
                <w:rStyle w:val="Hyperlink"/>
                <w:noProof/>
              </w:rPr>
              <w:t>Document Version</w:t>
            </w:r>
            <w:r w:rsidR="00FC3A99">
              <w:rPr>
                <w:noProof/>
                <w:webHidden/>
              </w:rPr>
              <w:tab/>
            </w:r>
            <w:r w:rsidR="00FC3A99">
              <w:rPr>
                <w:noProof/>
                <w:webHidden/>
              </w:rPr>
              <w:fldChar w:fldCharType="begin"/>
            </w:r>
            <w:r w:rsidR="00FC3A99">
              <w:rPr>
                <w:noProof/>
                <w:webHidden/>
              </w:rPr>
              <w:instrText xml:space="preserve"> PAGEREF _Toc67322576 \h </w:instrText>
            </w:r>
            <w:r w:rsidR="00FC3A99">
              <w:rPr>
                <w:noProof/>
                <w:webHidden/>
              </w:rPr>
            </w:r>
            <w:r w:rsidR="00FC3A99">
              <w:rPr>
                <w:noProof/>
                <w:webHidden/>
              </w:rPr>
              <w:fldChar w:fldCharType="separate"/>
            </w:r>
            <w:r w:rsidR="00FC3A99">
              <w:rPr>
                <w:noProof/>
                <w:webHidden/>
              </w:rPr>
              <w:t>3</w:t>
            </w:r>
            <w:r w:rsidR="00FC3A99">
              <w:rPr>
                <w:noProof/>
                <w:webHidden/>
              </w:rPr>
              <w:fldChar w:fldCharType="end"/>
            </w:r>
          </w:hyperlink>
        </w:p>
        <w:p w:rsidR="00FC3A99" w:rsidRDefault="00FA3A65" w14:paraId="6ED9D2DB" w14:textId="0B657E5F">
          <w:pPr>
            <w:pStyle w:val="TOC1"/>
            <w:tabs>
              <w:tab w:val="right" w:leader="dot" w:pos="9350"/>
            </w:tabs>
            <w:rPr>
              <w:rFonts w:eastAsiaTheme="minorEastAsia" w:cstheme="minorBidi"/>
              <w:noProof/>
              <w:szCs w:val="22"/>
            </w:rPr>
          </w:pPr>
          <w:hyperlink w:history="1" w:anchor="_Toc67322577">
            <w:r w:rsidRPr="00B07AC3" w:rsidR="00FC3A99">
              <w:rPr>
                <w:rStyle w:val="Hyperlink"/>
                <w:noProof/>
              </w:rPr>
              <w:t>Introduction</w:t>
            </w:r>
            <w:r w:rsidR="00FC3A99">
              <w:rPr>
                <w:noProof/>
                <w:webHidden/>
              </w:rPr>
              <w:tab/>
            </w:r>
            <w:r w:rsidR="00FC3A99">
              <w:rPr>
                <w:noProof/>
                <w:webHidden/>
              </w:rPr>
              <w:fldChar w:fldCharType="begin"/>
            </w:r>
            <w:r w:rsidR="00FC3A99">
              <w:rPr>
                <w:noProof/>
                <w:webHidden/>
              </w:rPr>
              <w:instrText xml:space="preserve"> PAGEREF _Toc67322577 \h </w:instrText>
            </w:r>
            <w:r w:rsidR="00FC3A99">
              <w:rPr>
                <w:noProof/>
                <w:webHidden/>
              </w:rPr>
            </w:r>
            <w:r w:rsidR="00FC3A99">
              <w:rPr>
                <w:noProof/>
                <w:webHidden/>
              </w:rPr>
              <w:fldChar w:fldCharType="separate"/>
            </w:r>
            <w:r w:rsidR="00FC3A99">
              <w:rPr>
                <w:noProof/>
                <w:webHidden/>
              </w:rPr>
              <w:t>4</w:t>
            </w:r>
            <w:r w:rsidR="00FC3A99">
              <w:rPr>
                <w:noProof/>
                <w:webHidden/>
              </w:rPr>
              <w:fldChar w:fldCharType="end"/>
            </w:r>
          </w:hyperlink>
        </w:p>
        <w:p w:rsidR="00FC3A99" w:rsidRDefault="00FA3A65" w14:paraId="357B01FD" w14:textId="2482DA1E">
          <w:pPr>
            <w:pStyle w:val="TOC1"/>
            <w:tabs>
              <w:tab w:val="right" w:leader="dot" w:pos="9350"/>
            </w:tabs>
            <w:rPr>
              <w:rFonts w:eastAsiaTheme="minorEastAsia" w:cstheme="minorBidi"/>
              <w:noProof/>
              <w:szCs w:val="22"/>
            </w:rPr>
          </w:pPr>
          <w:hyperlink w:history="1" w:anchor="_Toc67322578">
            <w:r w:rsidRPr="00B07AC3" w:rsidR="00FC3A99">
              <w:rPr>
                <w:rStyle w:val="Hyperlink"/>
                <w:noProof/>
              </w:rPr>
              <w:t>Methane Challenge Program Reporting</w:t>
            </w:r>
            <w:r w:rsidR="00FC3A99">
              <w:rPr>
                <w:noProof/>
                <w:webHidden/>
              </w:rPr>
              <w:tab/>
            </w:r>
            <w:r w:rsidR="00FC3A99">
              <w:rPr>
                <w:noProof/>
                <w:webHidden/>
              </w:rPr>
              <w:fldChar w:fldCharType="begin"/>
            </w:r>
            <w:r w:rsidR="00FC3A99">
              <w:rPr>
                <w:noProof/>
                <w:webHidden/>
              </w:rPr>
              <w:instrText xml:space="preserve"> PAGEREF _Toc67322578 \h </w:instrText>
            </w:r>
            <w:r w:rsidR="00FC3A99">
              <w:rPr>
                <w:noProof/>
                <w:webHidden/>
              </w:rPr>
            </w:r>
            <w:r w:rsidR="00FC3A99">
              <w:rPr>
                <w:noProof/>
                <w:webHidden/>
              </w:rPr>
              <w:fldChar w:fldCharType="separate"/>
            </w:r>
            <w:r w:rsidR="00FC3A99">
              <w:rPr>
                <w:noProof/>
                <w:webHidden/>
              </w:rPr>
              <w:t>4</w:t>
            </w:r>
            <w:r w:rsidR="00FC3A99">
              <w:rPr>
                <w:noProof/>
                <w:webHidden/>
              </w:rPr>
              <w:fldChar w:fldCharType="end"/>
            </w:r>
          </w:hyperlink>
        </w:p>
        <w:p w:rsidR="00FC3A99" w:rsidRDefault="00FA3A65" w14:paraId="4B080613" w14:textId="648BA186">
          <w:pPr>
            <w:pStyle w:val="TOC1"/>
            <w:tabs>
              <w:tab w:val="right" w:leader="dot" w:pos="9350"/>
            </w:tabs>
            <w:rPr>
              <w:rFonts w:eastAsiaTheme="minorEastAsia" w:cstheme="minorBidi"/>
              <w:noProof/>
              <w:szCs w:val="22"/>
            </w:rPr>
          </w:pPr>
          <w:hyperlink w:history="1" w:anchor="_Toc67322579">
            <w:r w:rsidRPr="00B07AC3" w:rsidR="00FC3A99">
              <w:rPr>
                <w:rStyle w:val="Hyperlink"/>
                <w:noProof/>
              </w:rPr>
              <w:t>Cost Recovery</w:t>
            </w:r>
            <w:r w:rsidR="00FC3A99">
              <w:rPr>
                <w:noProof/>
                <w:webHidden/>
              </w:rPr>
              <w:tab/>
            </w:r>
            <w:r w:rsidR="00FC3A99">
              <w:rPr>
                <w:noProof/>
                <w:webHidden/>
              </w:rPr>
              <w:fldChar w:fldCharType="begin"/>
            </w:r>
            <w:r w:rsidR="00FC3A99">
              <w:rPr>
                <w:noProof/>
                <w:webHidden/>
              </w:rPr>
              <w:instrText xml:space="preserve"> PAGEREF _Toc67322579 \h </w:instrText>
            </w:r>
            <w:r w:rsidR="00FC3A99">
              <w:rPr>
                <w:noProof/>
                <w:webHidden/>
              </w:rPr>
            </w:r>
            <w:r w:rsidR="00FC3A99">
              <w:rPr>
                <w:noProof/>
                <w:webHidden/>
              </w:rPr>
              <w:fldChar w:fldCharType="separate"/>
            </w:r>
            <w:r w:rsidR="00FC3A99">
              <w:rPr>
                <w:noProof/>
                <w:webHidden/>
              </w:rPr>
              <w:t>5</w:t>
            </w:r>
            <w:r w:rsidR="00FC3A99">
              <w:rPr>
                <w:noProof/>
                <w:webHidden/>
              </w:rPr>
              <w:fldChar w:fldCharType="end"/>
            </w:r>
          </w:hyperlink>
        </w:p>
        <w:p w:rsidR="00FC3A99" w:rsidRDefault="00FA3A65" w14:paraId="0DDDE577" w14:textId="77EB2F5E">
          <w:pPr>
            <w:pStyle w:val="TOC1"/>
            <w:tabs>
              <w:tab w:val="right" w:leader="dot" w:pos="9350"/>
            </w:tabs>
            <w:rPr>
              <w:rFonts w:eastAsiaTheme="minorEastAsia" w:cstheme="minorBidi"/>
              <w:noProof/>
              <w:szCs w:val="22"/>
            </w:rPr>
          </w:pPr>
          <w:hyperlink w:history="1" w:anchor="_Toc67322580">
            <w:r w:rsidRPr="00B07AC3" w:rsidR="00FC3A99">
              <w:rPr>
                <w:rStyle w:val="Hyperlink"/>
                <w:noProof/>
              </w:rPr>
              <w:t>Description of Emission Sources</w:t>
            </w:r>
            <w:r w:rsidR="00FC3A99">
              <w:rPr>
                <w:noProof/>
                <w:webHidden/>
              </w:rPr>
              <w:tab/>
            </w:r>
            <w:r w:rsidR="00FC3A99">
              <w:rPr>
                <w:noProof/>
                <w:webHidden/>
              </w:rPr>
              <w:fldChar w:fldCharType="begin"/>
            </w:r>
            <w:r w:rsidR="00FC3A99">
              <w:rPr>
                <w:noProof/>
                <w:webHidden/>
              </w:rPr>
              <w:instrText xml:space="preserve"> PAGEREF _Toc67322580 \h </w:instrText>
            </w:r>
            <w:r w:rsidR="00FC3A99">
              <w:rPr>
                <w:noProof/>
                <w:webHidden/>
              </w:rPr>
            </w:r>
            <w:r w:rsidR="00FC3A99">
              <w:rPr>
                <w:noProof/>
                <w:webHidden/>
              </w:rPr>
              <w:fldChar w:fldCharType="separate"/>
            </w:r>
            <w:r w:rsidR="00FC3A99">
              <w:rPr>
                <w:noProof/>
                <w:webHidden/>
              </w:rPr>
              <w:t>6</w:t>
            </w:r>
            <w:r w:rsidR="00FC3A99">
              <w:rPr>
                <w:noProof/>
                <w:webHidden/>
              </w:rPr>
              <w:fldChar w:fldCharType="end"/>
            </w:r>
          </w:hyperlink>
        </w:p>
        <w:p w:rsidR="00FC3A99" w:rsidRDefault="00FA3A65" w14:paraId="14B8C28D" w14:textId="6F7432BC">
          <w:pPr>
            <w:pStyle w:val="TOC2"/>
            <w:tabs>
              <w:tab w:val="right" w:leader="dot" w:pos="9350"/>
            </w:tabs>
            <w:rPr>
              <w:rFonts w:eastAsiaTheme="minorEastAsia" w:cstheme="minorBidi"/>
              <w:noProof/>
              <w:szCs w:val="22"/>
            </w:rPr>
          </w:pPr>
          <w:hyperlink w:history="1" w:anchor="_Toc67322581">
            <w:r w:rsidRPr="00B07AC3" w:rsidR="00FC3A99">
              <w:rPr>
                <w:rStyle w:val="Hyperlink"/>
                <w:noProof/>
              </w:rPr>
              <w:t>Pneumatic Controllers</w:t>
            </w:r>
            <w:r w:rsidR="00FC3A99">
              <w:rPr>
                <w:noProof/>
                <w:webHidden/>
              </w:rPr>
              <w:tab/>
            </w:r>
            <w:r w:rsidR="00FC3A99">
              <w:rPr>
                <w:noProof/>
                <w:webHidden/>
              </w:rPr>
              <w:fldChar w:fldCharType="begin"/>
            </w:r>
            <w:r w:rsidR="00FC3A99">
              <w:rPr>
                <w:noProof/>
                <w:webHidden/>
              </w:rPr>
              <w:instrText xml:space="preserve"> PAGEREF _Toc67322581 \h </w:instrText>
            </w:r>
            <w:r w:rsidR="00FC3A99">
              <w:rPr>
                <w:noProof/>
                <w:webHidden/>
              </w:rPr>
            </w:r>
            <w:r w:rsidR="00FC3A99">
              <w:rPr>
                <w:noProof/>
                <w:webHidden/>
              </w:rPr>
              <w:fldChar w:fldCharType="separate"/>
            </w:r>
            <w:r w:rsidR="00FC3A99">
              <w:rPr>
                <w:noProof/>
                <w:webHidden/>
              </w:rPr>
              <w:t>6</w:t>
            </w:r>
            <w:r w:rsidR="00FC3A99">
              <w:rPr>
                <w:noProof/>
                <w:webHidden/>
              </w:rPr>
              <w:fldChar w:fldCharType="end"/>
            </w:r>
          </w:hyperlink>
        </w:p>
        <w:p w:rsidR="00FC3A99" w:rsidRDefault="00FA3A65" w14:paraId="0F0C572B" w14:textId="43BD8316">
          <w:pPr>
            <w:pStyle w:val="TOC2"/>
            <w:tabs>
              <w:tab w:val="right" w:leader="dot" w:pos="9350"/>
            </w:tabs>
            <w:rPr>
              <w:rFonts w:eastAsiaTheme="minorEastAsia" w:cstheme="minorBidi"/>
              <w:noProof/>
              <w:szCs w:val="22"/>
            </w:rPr>
          </w:pPr>
          <w:hyperlink w:history="1" w:anchor="_Toc67322582">
            <w:r w:rsidRPr="00B07AC3" w:rsidR="00FC3A99">
              <w:rPr>
                <w:rStyle w:val="Hyperlink"/>
                <w:noProof/>
              </w:rPr>
              <w:t>Fixed Roof, Atmospheric Pressure Hydrocarbon Liquid Storage Tanks</w:t>
            </w:r>
            <w:r w:rsidR="00FC3A99">
              <w:rPr>
                <w:noProof/>
                <w:webHidden/>
              </w:rPr>
              <w:tab/>
            </w:r>
            <w:r w:rsidR="00FC3A99">
              <w:rPr>
                <w:noProof/>
                <w:webHidden/>
              </w:rPr>
              <w:fldChar w:fldCharType="begin"/>
            </w:r>
            <w:r w:rsidR="00FC3A99">
              <w:rPr>
                <w:noProof/>
                <w:webHidden/>
              </w:rPr>
              <w:instrText xml:space="preserve"> PAGEREF _Toc67322582 \h </w:instrText>
            </w:r>
            <w:r w:rsidR="00FC3A99">
              <w:rPr>
                <w:noProof/>
                <w:webHidden/>
              </w:rPr>
            </w:r>
            <w:r w:rsidR="00FC3A99">
              <w:rPr>
                <w:noProof/>
                <w:webHidden/>
              </w:rPr>
              <w:fldChar w:fldCharType="separate"/>
            </w:r>
            <w:r w:rsidR="00FC3A99">
              <w:rPr>
                <w:noProof/>
                <w:webHidden/>
              </w:rPr>
              <w:t>8</w:t>
            </w:r>
            <w:r w:rsidR="00FC3A99">
              <w:rPr>
                <w:noProof/>
                <w:webHidden/>
              </w:rPr>
              <w:fldChar w:fldCharType="end"/>
            </w:r>
          </w:hyperlink>
        </w:p>
        <w:p w:rsidR="00FC3A99" w:rsidRDefault="00FA3A65" w14:paraId="6778CC15" w14:textId="7B19B9EC">
          <w:pPr>
            <w:pStyle w:val="TOC2"/>
            <w:tabs>
              <w:tab w:val="right" w:leader="dot" w:pos="9350"/>
            </w:tabs>
            <w:rPr>
              <w:rFonts w:eastAsiaTheme="minorEastAsia" w:cstheme="minorBidi"/>
              <w:noProof/>
              <w:szCs w:val="22"/>
            </w:rPr>
          </w:pPr>
          <w:hyperlink w:history="1" w:anchor="_Toc67322583">
            <w:r w:rsidRPr="00B07AC3" w:rsidR="00FC3A99">
              <w:rPr>
                <w:rStyle w:val="Hyperlink"/>
                <w:noProof/>
                <w:highlight w:val="yellow"/>
              </w:rPr>
              <w:t>Equipment Leaks/Fugitive Emissions – Compressor Isolation and Blowdown Valves</w:t>
            </w:r>
            <w:r w:rsidR="00FC3A99">
              <w:rPr>
                <w:noProof/>
                <w:webHidden/>
              </w:rPr>
              <w:tab/>
            </w:r>
            <w:r w:rsidR="00FC3A99">
              <w:rPr>
                <w:noProof/>
                <w:webHidden/>
              </w:rPr>
              <w:fldChar w:fldCharType="begin"/>
            </w:r>
            <w:r w:rsidR="00FC3A99">
              <w:rPr>
                <w:noProof/>
                <w:webHidden/>
              </w:rPr>
              <w:instrText xml:space="preserve"> PAGEREF _Toc67322583 \h </w:instrText>
            </w:r>
            <w:r w:rsidR="00FC3A99">
              <w:rPr>
                <w:noProof/>
                <w:webHidden/>
              </w:rPr>
            </w:r>
            <w:r w:rsidR="00FC3A99">
              <w:rPr>
                <w:noProof/>
                <w:webHidden/>
              </w:rPr>
              <w:fldChar w:fldCharType="separate"/>
            </w:r>
            <w:r w:rsidR="00FC3A99">
              <w:rPr>
                <w:noProof/>
                <w:webHidden/>
              </w:rPr>
              <w:t>10</w:t>
            </w:r>
            <w:r w:rsidR="00FC3A99">
              <w:rPr>
                <w:noProof/>
                <w:webHidden/>
              </w:rPr>
              <w:fldChar w:fldCharType="end"/>
            </w:r>
          </w:hyperlink>
        </w:p>
        <w:p w:rsidR="00FC3A99" w:rsidRDefault="00FA3A65" w14:paraId="203A3C10" w14:textId="52698590">
          <w:pPr>
            <w:pStyle w:val="TOC2"/>
            <w:tabs>
              <w:tab w:val="right" w:leader="dot" w:pos="9350"/>
            </w:tabs>
            <w:rPr>
              <w:rFonts w:eastAsiaTheme="minorEastAsia" w:cstheme="minorBidi"/>
              <w:noProof/>
              <w:szCs w:val="22"/>
            </w:rPr>
          </w:pPr>
          <w:hyperlink w:history="1" w:anchor="_Toc67322584">
            <w:r w:rsidRPr="00B07AC3" w:rsidR="00FC3A99">
              <w:rPr>
                <w:rStyle w:val="Hyperlink"/>
                <w:noProof/>
              </w:rPr>
              <w:t>Reciprocating Compressors – Rod Packing Vent</w:t>
            </w:r>
            <w:r w:rsidR="00FC3A99">
              <w:rPr>
                <w:noProof/>
                <w:webHidden/>
              </w:rPr>
              <w:tab/>
            </w:r>
            <w:r w:rsidR="00FC3A99">
              <w:rPr>
                <w:noProof/>
                <w:webHidden/>
              </w:rPr>
              <w:fldChar w:fldCharType="begin"/>
            </w:r>
            <w:r w:rsidR="00FC3A99">
              <w:rPr>
                <w:noProof/>
                <w:webHidden/>
              </w:rPr>
              <w:instrText xml:space="preserve"> PAGEREF _Toc67322584 \h </w:instrText>
            </w:r>
            <w:r w:rsidR="00FC3A99">
              <w:rPr>
                <w:noProof/>
                <w:webHidden/>
              </w:rPr>
            </w:r>
            <w:r w:rsidR="00FC3A99">
              <w:rPr>
                <w:noProof/>
                <w:webHidden/>
              </w:rPr>
              <w:fldChar w:fldCharType="separate"/>
            </w:r>
            <w:r w:rsidR="00FC3A99">
              <w:rPr>
                <w:noProof/>
                <w:webHidden/>
              </w:rPr>
              <w:t>14</w:t>
            </w:r>
            <w:r w:rsidR="00FC3A99">
              <w:rPr>
                <w:noProof/>
                <w:webHidden/>
              </w:rPr>
              <w:fldChar w:fldCharType="end"/>
            </w:r>
          </w:hyperlink>
        </w:p>
        <w:p w:rsidR="00FC3A99" w:rsidRDefault="00FA3A65" w14:paraId="751F0402" w14:textId="5F3088AD">
          <w:pPr>
            <w:pStyle w:val="TOC2"/>
            <w:tabs>
              <w:tab w:val="right" w:leader="dot" w:pos="9350"/>
            </w:tabs>
            <w:rPr>
              <w:rFonts w:eastAsiaTheme="minorEastAsia" w:cstheme="minorBidi"/>
              <w:noProof/>
              <w:szCs w:val="22"/>
            </w:rPr>
          </w:pPr>
          <w:hyperlink w:history="1" w:anchor="_Toc67322585">
            <w:r w:rsidRPr="00B07AC3" w:rsidR="00FC3A99">
              <w:rPr>
                <w:rStyle w:val="Hyperlink"/>
                <w:noProof/>
              </w:rPr>
              <w:t>Centrifugal Compressors – Venting</w:t>
            </w:r>
            <w:r w:rsidR="00FC3A99">
              <w:rPr>
                <w:noProof/>
                <w:webHidden/>
              </w:rPr>
              <w:tab/>
            </w:r>
            <w:r w:rsidR="00FC3A99">
              <w:rPr>
                <w:noProof/>
                <w:webHidden/>
              </w:rPr>
              <w:fldChar w:fldCharType="begin"/>
            </w:r>
            <w:r w:rsidR="00FC3A99">
              <w:rPr>
                <w:noProof/>
                <w:webHidden/>
              </w:rPr>
              <w:instrText xml:space="preserve"> PAGEREF _Toc67322585 \h </w:instrText>
            </w:r>
            <w:r w:rsidR="00FC3A99">
              <w:rPr>
                <w:noProof/>
                <w:webHidden/>
              </w:rPr>
            </w:r>
            <w:r w:rsidR="00FC3A99">
              <w:rPr>
                <w:noProof/>
                <w:webHidden/>
              </w:rPr>
              <w:fldChar w:fldCharType="separate"/>
            </w:r>
            <w:r w:rsidR="00FC3A99">
              <w:rPr>
                <w:noProof/>
                <w:webHidden/>
              </w:rPr>
              <w:t>18</w:t>
            </w:r>
            <w:r w:rsidR="00FC3A99">
              <w:rPr>
                <w:noProof/>
                <w:webHidden/>
              </w:rPr>
              <w:fldChar w:fldCharType="end"/>
            </w:r>
          </w:hyperlink>
        </w:p>
        <w:p w:rsidR="00FC3A99" w:rsidRDefault="00FA3A65" w14:paraId="41E9A488" w14:textId="3D4CBF3E">
          <w:pPr>
            <w:pStyle w:val="TOC2"/>
            <w:tabs>
              <w:tab w:val="right" w:leader="dot" w:pos="9350"/>
            </w:tabs>
            <w:rPr>
              <w:rFonts w:eastAsiaTheme="minorEastAsia" w:cstheme="minorBidi"/>
              <w:noProof/>
              <w:szCs w:val="22"/>
            </w:rPr>
          </w:pPr>
          <w:hyperlink w:history="1" w:anchor="_Toc67322586">
            <w:r w:rsidRPr="00B07AC3" w:rsidR="00FC3A99">
              <w:rPr>
                <w:rStyle w:val="Hyperlink"/>
                <w:noProof/>
              </w:rPr>
              <w:t>Transmission Pipeline Blowdowns between Compressor Stations</w:t>
            </w:r>
            <w:r w:rsidR="00FC3A99">
              <w:rPr>
                <w:noProof/>
                <w:webHidden/>
              </w:rPr>
              <w:tab/>
            </w:r>
            <w:r w:rsidR="00FC3A99">
              <w:rPr>
                <w:noProof/>
                <w:webHidden/>
              </w:rPr>
              <w:fldChar w:fldCharType="begin"/>
            </w:r>
            <w:r w:rsidR="00FC3A99">
              <w:rPr>
                <w:noProof/>
                <w:webHidden/>
              </w:rPr>
              <w:instrText xml:space="preserve"> PAGEREF _Toc67322586 \h </w:instrText>
            </w:r>
            <w:r w:rsidR="00FC3A99">
              <w:rPr>
                <w:noProof/>
                <w:webHidden/>
              </w:rPr>
            </w:r>
            <w:r w:rsidR="00FC3A99">
              <w:rPr>
                <w:noProof/>
                <w:webHidden/>
              </w:rPr>
              <w:fldChar w:fldCharType="separate"/>
            </w:r>
            <w:r w:rsidR="00FC3A99">
              <w:rPr>
                <w:noProof/>
                <w:webHidden/>
              </w:rPr>
              <w:t>21</w:t>
            </w:r>
            <w:r w:rsidR="00FC3A99">
              <w:rPr>
                <w:noProof/>
                <w:webHidden/>
              </w:rPr>
              <w:fldChar w:fldCharType="end"/>
            </w:r>
          </w:hyperlink>
        </w:p>
        <w:p w:rsidR="00FC3A99" w:rsidRDefault="00FA3A65" w14:paraId="3B59CD26" w14:textId="1DBF28ED">
          <w:pPr>
            <w:pStyle w:val="TOC2"/>
            <w:tabs>
              <w:tab w:val="right" w:leader="dot" w:pos="9350"/>
            </w:tabs>
            <w:rPr>
              <w:rFonts w:eastAsiaTheme="minorEastAsia" w:cstheme="minorBidi"/>
              <w:noProof/>
              <w:szCs w:val="22"/>
            </w:rPr>
          </w:pPr>
          <w:hyperlink w:history="1" w:anchor="_Toc67322587">
            <w:r w:rsidRPr="00B07AC3" w:rsidR="00FC3A99">
              <w:rPr>
                <w:rStyle w:val="Hyperlink"/>
                <w:noProof/>
              </w:rPr>
              <w:t>Mains – Cast Iron and Unprotected Steel</w:t>
            </w:r>
            <w:r w:rsidR="00FC3A99">
              <w:rPr>
                <w:noProof/>
                <w:webHidden/>
              </w:rPr>
              <w:tab/>
            </w:r>
            <w:r w:rsidR="00FC3A99">
              <w:rPr>
                <w:noProof/>
                <w:webHidden/>
              </w:rPr>
              <w:fldChar w:fldCharType="begin"/>
            </w:r>
            <w:r w:rsidR="00FC3A99">
              <w:rPr>
                <w:noProof/>
                <w:webHidden/>
              </w:rPr>
              <w:instrText xml:space="preserve"> PAGEREF _Toc67322587 \h </w:instrText>
            </w:r>
            <w:r w:rsidR="00FC3A99">
              <w:rPr>
                <w:noProof/>
                <w:webHidden/>
              </w:rPr>
            </w:r>
            <w:r w:rsidR="00FC3A99">
              <w:rPr>
                <w:noProof/>
                <w:webHidden/>
              </w:rPr>
              <w:fldChar w:fldCharType="separate"/>
            </w:r>
            <w:r w:rsidR="00FC3A99">
              <w:rPr>
                <w:noProof/>
                <w:webHidden/>
              </w:rPr>
              <w:t>24</w:t>
            </w:r>
            <w:r w:rsidR="00FC3A99">
              <w:rPr>
                <w:noProof/>
                <w:webHidden/>
              </w:rPr>
              <w:fldChar w:fldCharType="end"/>
            </w:r>
          </w:hyperlink>
        </w:p>
        <w:p w:rsidR="00FC3A99" w:rsidRDefault="00FA3A65" w14:paraId="7F1FF92D" w14:textId="1FB997F2">
          <w:pPr>
            <w:pStyle w:val="TOC2"/>
            <w:tabs>
              <w:tab w:val="right" w:leader="dot" w:pos="9350"/>
            </w:tabs>
            <w:rPr>
              <w:rFonts w:eastAsiaTheme="minorEastAsia" w:cstheme="minorBidi"/>
              <w:noProof/>
              <w:szCs w:val="22"/>
            </w:rPr>
          </w:pPr>
          <w:hyperlink w:history="1" w:anchor="_Toc67322588">
            <w:r w:rsidRPr="00B07AC3" w:rsidR="00FC3A99">
              <w:rPr>
                <w:rStyle w:val="Hyperlink"/>
                <w:noProof/>
              </w:rPr>
              <w:t>Services – Cast Iron and Unprotected Steel</w:t>
            </w:r>
            <w:r w:rsidR="00FC3A99">
              <w:rPr>
                <w:noProof/>
                <w:webHidden/>
              </w:rPr>
              <w:tab/>
            </w:r>
            <w:r w:rsidR="00FC3A99">
              <w:rPr>
                <w:noProof/>
                <w:webHidden/>
              </w:rPr>
              <w:fldChar w:fldCharType="begin"/>
            </w:r>
            <w:r w:rsidR="00FC3A99">
              <w:rPr>
                <w:noProof/>
                <w:webHidden/>
              </w:rPr>
              <w:instrText xml:space="preserve"> PAGEREF _Toc67322588 \h </w:instrText>
            </w:r>
            <w:r w:rsidR="00FC3A99">
              <w:rPr>
                <w:noProof/>
                <w:webHidden/>
              </w:rPr>
            </w:r>
            <w:r w:rsidR="00FC3A99">
              <w:rPr>
                <w:noProof/>
                <w:webHidden/>
              </w:rPr>
              <w:fldChar w:fldCharType="separate"/>
            </w:r>
            <w:r w:rsidR="00FC3A99">
              <w:rPr>
                <w:noProof/>
                <w:webHidden/>
              </w:rPr>
              <w:t>27</w:t>
            </w:r>
            <w:r w:rsidR="00FC3A99">
              <w:rPr>
                <w:noProof/>
                <w:webHidden/>
              </w:rPr>
              <w:fldChar w:fldCharType="end"/>
            </w:r>
          </w:hyperlink>
        </w:p>
        <w:p w:rsidR="00FC3A99" w:rsidRDefault="00FA3A65" w14:paraId="08A73367" w14:textId="5A9EC080">
          <w:pPr>
            <w:pStyle w:val="TOC2"/>
            <w:tabs>
              <w:tab w:val="right" w:leader="dot" w:pos="9350"/>
            </w:tabs>
            <w:rPr>
              <w:rFonts w:eastAsiaTheme="minorEastAsia" w:cstheme="minorBidi"/>
              <w:noProof/>
              <w:szCs w:val="22"/>
            </w:rPr>
          </w:pPr>
          <w:hyperlink w:history="1" w:anchor="_Toc67322589">
            <w:r w:rsidRPr="00B07AC3" w:rsidR="00FC3A99">
              <w:rPr>
                <w:rStyle w:val="Hyperlink"/>
                <w:noProof/>
              </w:rPr>
              <w:t>Distribution Pipeline Blowdowns</w:t>
            </w:r>
            <w:r w:rsidR="00FC3A99">
              <w:rPr>
                <w:noProof/>
                <w:webHidden/>
              </w:rPr>
              <w:tab/>
            </w:r>
            <w:r w:rsidR="00FC3A99">
              <w:rPr>
                <w:noProof/>
                <w:webHidden/>
              </w:rPr>
              <w:fldChar w:fldCharType="begin"/>
            </w:r>
            <w:r w:rsidR="00FC3A99">
              <w:rPr>
                <w:noProof/>
                <w:webHidden/>
              </w:rPr>
              <w:instrText xml:space="preserve"> PAGEREF _Toc67322589 \h </w:instrText>
            </w:r>
            <w:r w:rsidR="00FC3A99">
              <w:rPr>
                <w:noProof/>
                <w:webHidden/>
              </w:rPr>
            </w:r>
            <w:r w:rsidR="00FC3A99">
              <w:rPr>
                <w:noProof/>
                <w:webHidden/>
              </w:rPr>
              <w:fldChar w:fldCharType="separate"/>
            </w:r>
            <w:r w:rsidR="00FC3A99">
              <w:rPr>
                <w:noProof/>
                <w:webHidden/>
              </w:rPr>
              <w:t>29</w:t>
            </w:r>
            <w:r w:rsidR="00FC3A99">
              <w:rPr>
                <w:noProof/>
                <w:webHidden/>
              </w:rPr>
              <w:fldChar w:fldCharType="end"/>
            </w:r>
          </w:hyperlink>
        </w:p>
        <w:p w:rsidR="00FC3A99" w:rsidRDefault="00FA3A65" w14:paraId="116BBA3B" w14:textId="0E6F8D77">
          <w:pPr>
            <w:pStyle w:val="TOC2"/>
            <w:tabs>
              <w:tab w:val="right" w:leader="dot" w:pos="9350"/>
            </w:tabs>
            <w:rPr>
              <w:rFonts w:eastAsiaTheme="minorEastAsia" w:cstheme="minorBidi"/>
              <w:noProof/>
              <w:szCs w:val="22"/>
            </w:rPr>
          </w:pPr>
          <w:hyperlink w:history="1" w:anchor="_Toc67322590">
            <w:r w:rsidRPr="00B07AC3" w:rsidR="00FC3A99">
              <w:rPr>
                <w:rStyle w:val="Hyperlink"/>
                <w:noProof/>
              </w:rPr>
              <w:t>Excavation Damages</w:t>
            </w:r>
            <w:r w:rsidR="00FC3A99">
              <w:rPr>
                <w:noProof/>
                <w:webHidden/>
              </w:rPr>
              <w:tab/>
            </w:r>
            <w:r w:rsidR="00FC3A99">
              <w:rPr>
                <w:noProof/>
                <w:webHidden/>
              </w:rPr>
              <w:fldChar w:fldCharType="begin"/>
            </w:r>
            <w:r w:rsidR="00FC3A99">
              <w:rPr>
                <w:noProof/>
                <w:webHidden/>
              </w:rPr>
              <w:instrText xml:space="preserve"> PAGEREF _Toc67322590 \h </w:instrText>
            </w:r>
            <w:r w:rsidR="00FC3A99">
              <w:rPr>
                <w:noProof/>
                <w:webHidden/>
              </w:rPr>
            </w:r>
            <w:r w:rsidR="00FC3A99">
              <w:rPr>
                <w:noProof/>
                <w:webHidden/>
              </w:rPr>
              <w:fldChar w:fldCharType="separate"/>
            </w:r>
            <w:r w:rsidR="00FC3A99">
              <w:rPr>
                <w:noProof/>
                <w:webHidden/>
              </w:rPr>
              <w:t>31</w:t>
            </w:r>
            <w:r w:rsidR="00FC3A99">
              <w:rPr>
                <w:noProof/>
                <w:webHidden/>
              </w:rPr>
              <w:fldChar w:fldCharType="end"/>
            </w:r>
          </w:hyperlink>
        </w:p>
        <w:p w:rsidR="00FC3A99" w:rsidRDefault="00FA3A65" w14:paraId="6CD42BAB" w14:textId="10C7681C">
          <w:pPr>
            <w:pStyle w:val="TOC2"/>
            <w:tabs>
              <w:tab w:val="right" w:leader="dot" w:pos="9350"/>
            </w:tabs>
            <w:rPr>
              <w:rFonts w:eastAsiaTheme="minorEastAsia" w:cstheme="minorBidi"/>
              <w:noProof/>
              <w:szCs w:val="22"/>
            </w:rPr>
          </w:pPr>
          <w:hyperlink w:history="1" w:anchor="_Toc67322591">
            <w:r w:rsidRPr="00B07AC3" w:rsidR="00FC3A99">
              <w:rPr>
                <w:rStyle w:val="Hyperlink"/>
                <w:noProof/>
                <w:highlight w:val="yellow"/>
              </w:rPr>
              <w:t>Renewable Natural Gas</w:t>
            </w:r>
            <w:r w:rsidR="00FC3A99">
              <w:rPr>
                <w:noProof/>
                <w:webHidden/>
              </w:rPr>
              <w:tab/>
            </w:r>
            <w:r w:rsidR="00FC3A99">
              <w:rPr>
                <w:noProof/>
                <w:webHidden/>
              </w:rPr>
              <w:fldChar w:fldCharType="begin"/>
            </w:r>
            <w:r w:rsidR="00FC3A99">
              <w:rPr>
                <w:noProof/>
                <w:webHidden/>
              </w:rPr>
              <w:instrText xml:space="preserve"> PAGEREF _Toc67322591 \h </w:instrText>
            </w:r>
            <w:r w:rsidR="00FC3A99">
              <w:rPr>
                <w:noProof/>
                <w:webHidden/>
              </w:rPr>
            </w:r>
            <w:r w:rsidR="00FC3A99">
              <w:rPr>
                <w:noProof/>
                <w:webHidden/>
              </w:rPr>
              <w:fldChar w:fldCharType="separate"/>
            </w:r>
            <w:r w:rsidR="00FC3A99">
              <w:rPr>
                <w:noProof/>
                <w:webHidden/>
              </w:rPr>
              <w:t>33</w:t>
            </w:r>
            <w:r w:rsidR="00FC3A99">
              <w:rPr>
                <w:noProof/>
                <w:webHidden/>
              </w:rPr>
              <w:fldChar w:fldCharType="end"/>
            </w:r>
          </w:hyperlink>
        </w:p>
        <w:p w:rsidR="00FC3A99" w:rsidRDefault="00FA3A65" w14:paraId="229C2ED7" w14:textId="43761752">
          <w:pPr>
            <w:pStyle w:val="TOC2"/>
            <w:tabs>
              <w:tab w:val="right" w:leader="dot" w:pos="9350"/>
            </w:tabs>
            <w:rPr>
              <w:rFonts w:eastAsiaTheme="minorEastAsia" w:cstheme="minorBidi"/>
              <w:noProof/>
              <w:szCs w:val="22"/>
            </w:rPr>
          </w:pPr>
          <w:hyperlink w:history="1" w:anchor="_Toc67322592">
            <w:r w:rsidRPr="00B07AC3" w:rsidR="00FC3A99">
              <w:rPr>
                <w:rStyle w:val="Hyperlink"/>
                <w:noProof/>
                <w:highlight w:val="yellow"/>
              </w:rPr>
              <w:t>Innovative Technologies, Practices, and Approaches</w:t>
            </w:r>
            <w:r w:rsidR="00FC3A99">
              <w:rPr>
                <w:noProof/>
                <w:webHidden/>
              </w:rPr>
              <w:tab/>
            </w:r>
            <w:r w:rsidR="00FC3A99">
              <w:rPr>
                <w:noProof/>
                <w:webHidden/>
              </w:rPr>
              <w:fldChar w:fldCharType="begin"/>
            </w:r>
            <w:r w:rsidR="00FC3A99">
              <w:rPr>
                <w:noProof/>
                <w:webHidden/>
              </w:rPr>
              <w:instrText xml:space="preserve"> PAGEREF _Toc67322592 \h </w:instrText>
            </w:r>
            <w:r w:rsidR="00FC3A99">
              <w:rPr>
                <w:noProof/>
                <w:webHidden/>
              </w:rPr>
            </w:r>
            <w:r w:rsidR="00FC3A99">
              <w:rPr>
                <w:noProof/>
                <w:webHidden/>
              </w:rPr>
              <w:fldChar w:fldCharType="separate"/>
            </w:r>
            <w:r w:rsidR="00FC3A99">
              <w:rPr>
                <w:noProof/>
                <w:webHidden/>
              </w:rPr>
              <w:t>37</w:t>
            </w:r>
            <w:r w:rsidR="00FC3A99">
              <w:rPr>
                <w:noProof/>
                <w:webHidden/>
              </w:rPr>
              <w:fldChar w:fldCharType="end"/>
            </w:r>
          </w:hyperlink>
        </w:p>
        <w:p w:rsidR="00FC3A99" w:rsidRDefault="00FA3A65" w14:paraId="5CBDC159" w14:textId="14F9A38C">
          <w:pPr>
            <w:pStyle w:val="TOC1"/>
            <w:tabs>
              <w:tab w:val="right" w:leader="dot" w:pos="9350"/>
            </w:tabs>
            <w:rPr>
              <w:rFonts w:eastAsiaTheme="minorEastAsia" w:cstheme="minorBidi"/>
              <w:noProof/>
              <w:szCs w:val="22"/>
            </w:rPr>
          </w:pPr>
          <w:hyperlink w:history="1" w:anchor="_Toc67322593">
            <w:r w:rsidRPr="00B07AC3" w:rsidR="00FC3A99">
              <w:rPr>
                <w:rStyle w:val="Hyperlink"/>
                <w:noProof/>
              </w:rPr>
              <w:t>Non-Finalized Emission Sources</w:t>
            </w:r>
            <w:r w:rsidR="00FC3A99">
              <w:rPr>
                <w:noProof/>
                <w:webHidden/>
              </w:rPr>
              <w:tab/>
            </w:r>
            <w:r w:rsidR="00FC3A99">
              <w:rPr>
                <w:noProof/>
                <w:webHidden/>
              </w:rPr>
              <w:fldChar w:fldCharType="begin"/>
            </w:r>
            <w:r w:rsidR="00FC3A99">
              <w:rPr>
                <w:noProof/>
                <w:webHidden/>
              </w:rPr>
              <w:instrText xml:space="preserve"> PAGEREF _Toc67322593 \h </w:instrText>
            </w:r>
            <w:r w:rsidR="00FC3A99">
              <w:rPr>
                <w:noProof/>
                <w:webHidden/>
              </w:rPr>
            </w:r>
            <w:r w:rsidR="00FC3A99">
              <w:rPr>
                <w:noProof/>
                <w:webHidden/>
              </w:rPr>
              <w:fldChar w:fldCharType="separate"/>
            </w:r>
            <w:r w:rsidR="00FC3A99">
              <w:rPr>
                <w:noProof/>
                <w:webHidden/>
              </w:rPr>
              <w:t>38</w:t>
            </w:r>
            <w:r w:rsidR="00FC3A99">
              <w:rPr>
                <w:noProof/>
                <w:webHidden/>
              </w:rPr>
              <w:fldChar w:fldCharType="end"/>
            </w:r>
          </w:hyperlink>
        </w:p>
        <w:p w:rsidR="00FC3A99" w:rsidRDefault="00FA3A65" w14:paraId="76AF6BF7" w14:textId="3EE31FAC">
          <w:pPr>
            <w:pStyle w:val="TOC1"/>
            <w:tabs>
              <w:tab w:val="right" w:leader="dot" w:pos="9350"/>
            </w:tabs>
            <w:rPr>
              <w:rFonts w:eastAsiaTheme="minorEastAsia" w:cstheme="minorBidi"/>
              <w:noProof/>
              <w:szCs w:val="22"/>
            </w:rPr>
          </w:pPr>
          <w:hyperlink w:history="1" w:anchor="_Toc67322594">
            <w:r w:rsidRPr="00B07AC3" w:rsidR="00FC3A99">
              <w:rPr>
                <w:rStyle w:val="Hyperlink"/>
                <w:noProof/>
              </w:rPr>
              <w:t>Appendix A: Segment and Facility Definitions</w:t>
            </w:r>
            <w:r w:rsidR="00FC3A99">
              <w:rPr>
                <w:noProof/>
                <w:webHidden/>
              </w:rPr>
              <w:tab/>
            </w:r>
            <w:r w:rsidR="00FC3A99">
              <w:rPr>
                <w:noProof/>
                <w:webHidden/>
              </w:rPr>
              <w:fldChar w:fldCharType="begin"/>
            </w:r>
            <w:r w:rsidR="00FC3A99">
              <w:rPr>
                <w:noProof/>
                <w:webHidden/>
              </w:rPr>
              <w:instrText xml:space="preserve"> PAGEREF _Toc67322594 \h </w:instrText>
            </w:r>
            <w:r w:rsidR="00FC3A99">
              <w:rPr>
                <w:noProof/>
                <w:webHidden/>
              </w:rPr>
            </w:r>
            <w:r w:rsidR="00FC3A99">
              <w:rPr>
                <w:noProof/>
                <w:webHidden/>
              </w:rPr>
              <w:fldChar w:fldCharType="separate"/>
            </w:r>
            <w:r w:rsidR="00FC3A99">
              <w:rPr>
                <w:noProof/>
                <w:webHidden/>
              </w:rPr>
              <w:t>39</w:t>
            </w:r>
            <w:r w:rsidR="00FC3A99">
              <w:rPr>
                <w:noProof/>
                <w:webHidden/>
              </w:rPr>
              <w:fldChar w:fldCharType="end"/>
            </w:r>
          </w:hyperlink>
        </w:p>
        <w:p w:rsidR="00FC3A99" w:rsidRDefault="00FA3A65" w14:paraId="42CDCD81" w14:textId="7F9B3ABF">
          <w:pPr>
            <w:pStyle w:val="TOC2"/>
            <w:tabs>
              <w:tab w:val="right" w:leader="dot" w:pos="9350"/>
            </w:tabs>
            <w:rPr>
              <w:rFonts w:eastAsiaTheme="minorEastAsia" w:cstheme="minorBidi"/>
              <w:noProof/>
              <w:szCs w:val="22"/>
            </w:rPr>
          </w:pPr>
          <w:hyperlink w:history="1" w:anchor="_Toc67322595">
            <w:r w:rsidRPr="00B07AC3" w:rsidR="00FC3A99">
              <w:rPr>
                <w:rStyle w:val="Hyperlink"/>
                <w:noProof/>
              </w:rPr>
              <w:t>Onshore Production</w:t>
            </w:r>
            <w:r w:rsidR="00FC3A99">
              <w:rPr>
                <w:noProof/>
                <w:webHidden/>
              </w:rPr>
              <w:tab/>
            </w:r>
            <w:r w:rsidR="00FC3A99">
              <w:rPr>
                <w:noProof/>
                <w:webHidden/>
              </w:rPr>
              <w:fldChar w:fldCharType="begin"/>
            </w:r>
            <w:r w:rsidR="00FC3A99">
              <w:rPr>
                <w:noProof/>
                <w:webHidden/>
              </w:rPr>
              <w:instrText xml:space="preserve"> PAGEREF _Toc67322595 \h </w:instrText>
            </w:r>
            <w:r w:rsidR="00FC3A99">
              <w:rPr>
                <w:noProof/>
                <w:webHidden/>
              </w:rPr>
            </w:r>
            <w:r w:rsidR="00FC3A99">
              <w:rPr>
                <w:noProof/>
                <w:webHidden/>
              </w:rPr>
              <w:fldChar w:fldCharType="separate"/>
            </w:r>
            <w:r w:rsidR="00FC3A99">
              <w:rPr>
                <w:noProof/>
                <w:webHidden/>
              </w:rPr>
              <w:t>39</w:t>
            </w:r>
            <w:r w:rsidR="00FC3A99">
              <w:rPr>
                <w:noProof/>
                <w:webHidden/>
              </w:rPr>
              <w:fldChar w:fldCharType="end"/>
            </w:r>
          </w:hyperlink>
        </w:p>
        <w:p w:rsidR="00FC3A99" w:rsidRDefault="00FA3A65" w14:paraId="6C51A18E" w14:textId="3B8F458D">
          <w:pPr>
            <w:pStyle w:val="TOC2"/>
            <w:tabs>
              <w:tab w:val="right" w:leader="dot" w:pos="9350"/>
            </w:tabs>
            <w:rPr>
              <w:rFonts w:eastAsiaTheme="minorEastAsia" w:cstheme="minorBidi"/>
              <w:noProof/>
              <w:szCs w:val="22"/>
            </w:rPr>
          </w:pPr>
          <w:hyperlink w:history="1" w:anchor="_Toc67322596">
            <w:r w:rsidRPr="00B07AC3" w:rsidR="00FC3A99">
              <w:rPr>
                <w:rStyle w:val="Hyperlink"/>
                <w:noProof/>
              </w:rPr>
              <w:t>Gathering and Boosting</w:t>
            </w:r>
            <w:r w:rsidR="00FC3A99">
              <w:rPr>
                <w:noProof/>
                <w:webHidden/>
              </w:rPr>
              <w:tab/>
            </w:r>
            <w:r w:rsidR="00FC3A99">
              <w:rPr>
                <w:noProof/>
                <w:webHidden/>
              </w:rPr>
              <w:fldChar w:fldCharType="begin"/>
            </w:r>
            <w:r w:rsidR="00FC3A99">
              <w:rPr>
                <w:noProof/>
                <w:webHidden/>
              </w:rPr>
              <w:instrText xml:space="preserve"> PAGEREF _Toc67322596 \h </w:instrText>
            </w:r>
            <w:r w:rsidR="00FC3A99">
              <w:rPr>
                <w:noProof/>
                <w:webHidden/>
              </w:rPr>
            </w:r>
            <w:r w:rsidR="00FC3A99">
              <w:rPr>
                <w:noProof/>
                <w:webHidden/>
              </w:rPr>
              <w:fldChar w:fldCharType="separate"/>
            </w:r>
            <w:r w:rsidR="00FC3A99">
              <w:rPr>
                <w:noProof/>
                <w:webHidden/>
              </w:rPr>
              <w:t>39</w:t>
            </w:r>
            <w:r w:rsidR="00FC3A99">
              <w:rPr>
                <w:noProof/>
                <w:webHidden/>
              </w:rPr>
              <w:fldChar w:fldCharType="end"/>
            </w:r>
          </w:hyperlink>
        </w:p>
        <w:p w:rsidR="00FC3A99" w:rsidRDefault="00FA3A65" w14:paraId="12AFC0AC" w14:textId="1C2219AC">
          <w:pPr>
            <w:pStyle w:val="TOC2"/>
            <w:tabs>
              <w:tab w:val="right" w:leader="dot" w:pos="9350"/>
            </w:tabs>
            <w:rPr>
              <w:rFonts w:eastAsiaTheme="minorEastAsia" w:cstheme="minorBidi"/>
              <w:noProof/>
              <w:szCs w:val="22"/>
            </w:rPr>
          </w:pPr>
          <w:hyperlink w:history="1" w:anchor="_Toc67322597">
            <w:r w:rsidRPr="00B07AC3" w:rsidR="00FC3A99">
              <w:rPr>
                <w:rStyle w:val="Hyperlink"/>
                <w:noProof/>
              </w:rPr>
              <w:t>Natural Gas Processing</w:t>
            </w:r>
            <w:r w:rsidR="00FC3A99">
              <w:rPr>
                <w:noProof/>
                <w:webHidden/>
              </w:rPr>
              <w:tab/>
            </w:r>
            <w:r w:rsidR="00FC3A99">
              <w:rPr>
                <w:noProof/>
                <w:webHidden/>
              </w:rPr>
              <w:fldChar w:fldCharType="begin"/>
            </w:r>
            <w:r w:rsidR="00FC3A99">
              <w:rPr>
                <w:noProof/>
                <w:webHidden/>
              </w:rPr>
              <w:instrText xml:space="preserve"> PAGEREF _Toc67322597 \h </w:instrText>
            </w:r>
            <w:r w:rsidR="00FC3A99">
              <w:rPr>
                <w:noProof/>
                <w:webHidden/>
              </w:rPr>
            </w:r>
            <w:r w:rsidR="00FC3A99">
              <w:rPr>
                <w:noProof/>
                <w:webHidden/>
              </w:rPr>
              <w:fldChar w:fldCharType="separate"/>
            </w:r>
            <w:r w:rsidR="00FC3A99">
              <w:rPr>
                <w:noProof/>
                <w:webHidden/>
              </w:rPr>
              <w:t>39</w:t>
            </w:r>
            <w:r w:rsidR="00FC3A99">
              <w:rPr>
                <w:noProof/>
                <w:webHidden/>
              </w:rPr>
              <w:fldChar w:fldCharType="end"/>
            </w:r>
          </w:hyperlink>
        </w:p>
        <w:p w:rsidR="00FC3A99" w:rsidRDefault="00FA3A65" w14:paraId="7B7F322A" w14:textId="144F41D4">
          <w:pPr>
            <w:pStyle w:val="TOC2"/>
            <w:tabs>
              <w:tab w:val="right" w:leader="dot" w:pos="9350"/>
            </w:tabs>
            <w:rPr>
              <w:rFonts w:eastAsiaTheme="minorEastAsia" w:cstheme="minorBidi"/>
              <w:noProof/>
              <w:szCs w:val="22"/>
            </w:rPr>
          </w:pPr>
          <w:hyperlink w:history="1" w:anchor="_Toc67322598">
            <w:r w:rsidRPr="00B07AC3" w:rsidR="00FC3A99">
              <w:rPr>
                <w:rStyle w:val="Hyperlink"/>
                <w:noProof/>
              </w:rPr>
              <w:t>Natural Gas Transmission &amp; Underground Storage</w:t>
            </w:r>
            <w:r w:rsidR="00FC3A99">
              <w:rPr>
                <w:noProof/>
                <w:webHidden/>
              </w:rPr>
              <w:tab/>
            </w:r>
            <w:r w:rsidR="00FC3A99">
              <w:rPr>
                <w:noProof/>
                <w:webHidden/>
              </w:rPr>
              <w:fldChar w:fldCharType="begin"/>
            </w:r>
            <w:r w:rsidR="00FC3A99">
              <w:rPr>
                <w:noProof/>
                <w:webHidden/>
              </w:rPr>
              <w:instrText xml:space="preserve"> PAGEREF _Toc67322598 \h </w:instrText>
            </w:r>
            <w:r w:rsidR="00FC3A99">
              <w:rPr>
                <w:noProof/>
                <w:webHidden/>
              </w:rPr>
            </w:r>
            <w:r w:rsidR="00FC3A99">
              <w:rPr>
                <w:noProof/>
                <w:webHidden/>
              </w:rPr>
              <w:fldChar w:fldCharType="separate"/>
            </w:r>
            <w:r w:rsidR="00FC3A99">
              <w:rPr>
                <w:noProof/>
                <w:webHidden/>
              </w:rPr>
              <w:t>40</w:t>
            </w:r>
            <w:r w:rsidR="00FC3A99">
              <w:rPr>
                <w:noProof/>
                <w:webHidden/>
              </w:rPr>
              <w:fldChar w:fldCharType="end"/>
            </w:r>
          </w:hyperlink>
        </w:p>
        <w:p w:rsidR="00FC3A99" w:rsidRDefault="00FA3A65" w14:paraId="59B4717D" w14:textId="34A26D26">
          <w:pPr>
            <w:pStyle w:val="TOC2"/>
            <w:tabs>
              <w:tab w:val="right" w:leader="dot" w:pos="9350"/>
            </w:tabs>
            <w:rPr>
              <w:rFonts w:eastAsiaTheme="minorEastAsia" w:cstheme="minorBidi"/>
              <w:noProof/>
              <w:szCs w:val="22"/>
            </w:rPr>
          </w:pPr>
          <w:hyperlink w:history="1" w:anchor="_Toc67322599">
            <w:r w:rsidRPr="00B07AC3" w:rsidR="00FC3A99">
              <w:rPr>
                <w:rStyle w:val="Hyperlink"/>
                <w:noProof/>
              </w:rPr>
              <w:t>Natural Gas Distribution</w:t>
            </w:r>
            <w:r w:rsidR="00FC3A99">
              <w:rPr>
                <w:noProof/>
                <w:webHidden/>
              </w:rPr>
              <w:tab/>
            </w:r>
            <w:r w:rsidR="00FC3A99">
              <w:rPr>
                <w:noProof/>
                <w:webHidden/>
              </w:rPr>
              <w:fldChar w:fldCharType="begin"/>
            </w:r>
            <w:r w:rsidR="00FC3A99">
              <w:rPr>
                <w:noProof/>
                <w:webHidden/>
              </w:rPr>
              <w:instrText xml:space="preserve"> PAGEREF _Toc67322599 \h </w:instrText>
            </w:r>
            <w:r w:rsidR="00FC3A99">
              <w:rPr>
                <w:noProof/>
                <w:webHidden/>
              </w:rPr>
            </w:r>
            <w:r w:rsidR="00FC3A99">
              <w:rPr>
                <w:noProof/>
                <w:webHidden/>
              </w:rPr>
              <w:fldChar w:fldCharType="separate"/>
            </w:r>
            <w:r w:rsidR="00FC3A99">
              <w:rPr>
                <w:noProof/>
                <w:webHidden/>
              </w:rPr>
              <w:t>41</w:t>
            </w:r>
            <w:r w:rsidR="00FC3A99">
              <w:rPr>
                <w:noProof/>
                <w:webHidden/>
              </w:rPr>
              <w:fldChar w:fldCharType="end"/>
            </w:r>
          </w:hyperlink>
        </w:p>
        <w:p w:rsidRPr="00B37AB4" w:rsidR="005C368B" w:rsidP="00190CE6" w:rsidRDefault="00084222" w14:paraId="1D4F0557" w14:textId="7A72A88A">
          <w:r>
            <w:fldChar w:fldCharType="end"/>
          </w:r>
        </w:p>
      </w:sdtContent>
    </w:sdt>
    <w:p w:rsidR="00017444" w:rsidP="00190CE6" w:rsidRDefault="00017444" w14:paraId="7B8CA275" w14:textId="625541C3">
      <w:pPr>
        <w:spacing w:after="200" w:line="276" w:lineRule="auto"/>
        <w:rPr>
          <w:rFonts w:eastAsiaTheme="majorEastAsia" w:cstheme="minorHAnsi"/>
          <w:b/>
          <w:bCs/>
          <w:color w:val="002060"/>
          <w:sz w:val="24"/>
        </w:rPr>
      </w:pPr>
      <w:r>
        <w:rPr>
          <w:rFonts w:cstheme="minorHAnsi"/>
          <w:color w:val="002060"/>
          <w:sz w:val="24"/>
        </w:rPr>
        <w:br w:type="page"/>
      </w:r>
    </w:p>
    <w:p w:rsidRPr="00DF3D62" w:rsidR="00AD4954" w:rsidP="00EE601D" w:rsidRDefault="00AD4954" w14:paraId="418E5D09" w14:textId="77777777">
      <w:pPr>
        <w:pStyle w:val="Heading1"/>
      </w:pPr>
      <w:bookmarkStart w:name="_Toc67322576" w:id="0"/>
      <w:bookmarkStart w:name="_Toc431807903" w:id="1"/>
      <w:bookmarkStart w:name="_Toc431980554" w:id="2"/>
      <w:r w:rsidRPr="00DF3D62">
        <w:lastRenderedPageBreak/>
        <w:t>Document Version</w:t>
      </w:r>
      <w:bookmarkEnd w:id="0"/>
    </w:p>
    <w:p w:rsidR="00AD4954" w:rsidP="00AD4954" w:rsidRDefault="00AD4954" w14:paraId="33C9626E" w14:textId="2E271ECC">
      <w:pPr>
        <w:spacing w:after="200" w:line="276" w:lineRule="auto"/>
      </w:pPr>
      <w:r>
        <w:t>This version</w:t>
      </w:r>
      <w:r w:rsidR="000047C8">
        <w:t xml:space="preserve"> of the Technical Document</w:t>
      </w:r>
      <w:r w:rsidR="003700FE">
        <w:t xml:space="preserve"> was developed for the Methane Challenge program’s “Information Collection Request” renewal in 2021. It</w:t>
      </w:r>
      <w:r>
        <w:t xml:space="preserve"> includes the following updates from the previously published version:</w:t>
      </w:r>
    </w:p>
    <w:p w:rsidR="005533C3" w:rsidP="009D3106" w:rsidRDefault="005533C3" w14:paraId="39A3A05D" w14:textId="6BDBD3E1">
      <w:pPr>
        <w:pStyle w:val="ListParagraph"/>
        <w:numPr>
          <w:ilvl w:val="0"/>
          <w:numId w:val="14"/>
        </w:numPr>
      </w:pPr>
      <w:r>
        <w:t>Following their development through the program’s “Continuous Improvement Process”, addition of</w:t>
      </w:r>
      <w:r w:rsidR="00563E55">
        <w:t xml:space="preserve"> commitment details for</w:t>
      </w:r>
      <w:r>
        <w:t xml:space="preserve">: </w:t>
      </w:r>
    </w:p>
    <w:p w:rsidR="00B074A0" w:rsidP="009D3106" w:rsidRDefault="00B074A0" w14:paraId="07631E5F" w14:textId="6A26EA0B">
      <w:pPr>
        <w:pStyle w:val="ListParagraph"/>
        <w:numPr>
          <w:ilvl w:val="1"/>
          <w:numId w:val="14"/>
        </w:numPr>
      </w:pPr>
      <w:r>
        <w:t>Equipment Leaks/Fugitive Emissions</w:t>
      </w:r>
      <w:r w:rsidRPr="00D9022A">
        <w:t xml:space="preserve"> – Compressor Isolation and Blowdown Valves</w:t>
      </w:r>
      <w:r>
        <w:t xml:space="preserve"> (p</w:t>
      </w:r>
      <w:r w:rsidR="00563E55">
        <w:t xml:space="preserve">g </w:t>
      </w:r>
      <w:r w:rsidR="00563E55">
        <w:fldChar w:fldCharType="begin"/>
      </w:r>
      <w:r w:rsidR="00563E55">
        <w:instrText xml:space="preserve"> PAGEREF _Ref67321257 \h </w:instrText>
      </w:r>
      <w:r w:rsidR="00563E55">
        <w:fldChar w:fldCharType="separate"/>
      </w:r>
      <w:r w:rsidR="00563E55">
        <w:rPr>
          <w:noProof/>
        </w:rPr>
        <w:t>10</w:t>
      </w:r>
      <w:r w:rsidR="00563E55">
        <w:fldChar w:fldCharType="end"/>
      </w:r>
      <w:r>
        <w:t>)</w:t>
      </w:r>
    </w:p>
    <w:p w:rsidR="00185500" w:rsidP="009D3106" w:rsidRDefault="00F66E2D" w14:paraId="2F8A5529" w14:textId="29EC5288">
      <w:pPr>
        <w:pStyle w:val="ListParagraph"/>
        <w:numPr>
          <w:ilvl w:val="1"/>
          <w:numId w:val="14"/>
        </w:numPr>
      </w:pPr>
      <w:r>
        <w:t>Renewable Natural Gas</w:t>
      </w:r>
      <w:r w:rsidR="00D16F50">
        <w:t xml:space="preserve"> (</w:t>
      </w:r>
      <w:r w:rsidR="00563E55">
        <w:t xml:space="preserve">pg </w:t>
      </w:r>
      <w:r w:rsidR="00563E55">
        <w:fldChar w:fldCharType="begin"/>
      </w:r>
      <w:r w:rsidR="00563E55">
        <w:instrText xml:space="preserve"> PAGEREF _Ref67321270 \h </w:instrText>
      </w:r>
      <w:r w:rsidR="00563E55">
        <w:fldChar w:fldCharType="separate"/>
      </w:r>
      <w:r w:rsidR="00563E55">
        <w:rPr>
          <w:noProof/>
        </w:rPr>
        <w:t>33</w:t>
      </w:r>
      <w:r w:rsidR="00563E55">
        <w:fldChar w:fldCharType="end"/>
      </w:r>
      <w:r w:rsidR="00D16F50">
        <w:t>)</w:t>
      </w:r>
    </w:p>
    <w:p w:rsidR="003700FE" w:rsidP="009D3106" w:rsidRDefault="003700FE" w14:paraId="5289C091" w14:textId="47336F74">
      <w:pPr>
        <w:pStyle w:val="ListParagraph"/>
        <w:numPr>
          <w:ilvl w:val="0"/>
          <w:numId w:val="14"/>
        </w:numPr>
      </w:pPr>
      <w:r>
        <w:t>Refinement of reporting requirements for the following emission sources to ensure the program can track partner commitment progress accurately</w:t>
      </w:r>
      <w:r w:rsidR="00AA3F8C">
        <w:t xml:space="preserve"> and is not collecting unnecessary data</w:t>
      </w:r>
      <w:r>
        <w:t>. Changes have been indicated with yellow highlighting</w:t>
      </w:r>
      <w:r w:rsidR="00AA3F8C">
        <w:t xml:space="preserve"> throughout the document</w:t>
      </w:r>
      <w:r>
        <w:t>.</w:t>
      </w:r>
    </w:p>
    <w:p w:rsidR="00652FE1" w:rsidP="009D3106" w:rsidRDefault="00652FE1" w14:paraId="6E3297C1" w14:textId="67A004E6">
      <w:pPr>
        <w:pStyle w:val="ListParagraph"/>
        <w:numPr>
          <w:ilvl w:val="1"/>
          <w:numId w:val="14"/>
        </w:numPr>
      </w:pPr>
      <w:r w:rsidRPr="00652FE1">
        <w:t>Pneumatic Controllers</w:t>
      </w:r>
      <w:r w:rsidR="00563E55">
        <w:t xml:space="preserve"> (pg </w:t>
      </w:r>
      <w:r w:rsidR="00563E55">
        <w:fldChar w:fldCharType="begin"/>
      </w:r>
      <w:r w:rsidR="00563E55">
        <w:instrText xml:space="preserve"> PAGEREF _Ref67321247 \h </w:instrText>
      </w:r>
      <w:r w:rsidR="00563E55">
        <w:fldChar w:fldCharType="separate"/>
      </w:r>
      <w:r w:rsidR="00563E55">
        <w:rPr>
          <w:noProof/>
        </w:rPr>
        <w:t>6</w:t>
      </w:r>
      <w:r w:rsidR="00563E55">
        <w:fldChar w:fldCharType="end"/>
      </w:r>
      <w:r w:rsidR="00563E55">
        <w:t>)</w:t>
      </w:r>
    </w:p>
    <w:p w:rsidR="003700FE" w:rsidP="009D3106" w:rsidRDefault="003700FE" w14:paraId="0188C0B3" w14:textId="5ADAFB58">
      <w:pPr>
        <w:pStyle w:val="ListParagraph"/>
        <w:numPr>
          <w:ilvl w:val="1"/>
          <w:numId w:val="14"/>
        </w:numPr>
      </w:pPr>
      <w:r w:rsidRPr="007A580F">
        <w:t>Fixed Roof, Atmospheric Pressure Hydrocarbon Liquid Storage Tanks</w:t>
      </w:r>
      <w:r w:rsidR="00563E55">
        <w:t xml:space="preserve"> (pg </w:t>
      </w:r>
      <w:r w:rsidR="00563E55">
        <w:fldChar w:fldCharType="begin"/>
      </w:r>
      <w:r w:rsidR="00563E55">
        <w:instrText xml:space="preserve"> PAGEREF _Ref67321241 \h </w:instrText>
      </w:r>
      <w:r w:rsidR="00563E55">
        <w:fldChar w:fldCharType="separate"/>
      </w:r>
      <w:r w:rsidR="00563E55">
        <w:rPr>
          <w:noProof/>
        </w:rPr>
        <w:t>8</w:t>
      </w:r>
      <w:r w:rsidR="00563E55">
        <w:fldChar w:fldCharType="end"/>
      </w:r>
      <w:r w:rsidR="00563E55">
        <w:t>)</w:t>
      </w:r>
    </w:p>
    <w:p w:rsidR="003700FE" w:rsidP="009D3106" w:rsidRDefault="003700FE" w14:paraId="693785A8" w14:textId="644EEA68">
      <w:pPr>
        <w:pStyle w:val="ListParagraph"/>
        <w:numPr>
          <w:ilvl w:val="1"/>
          <w:numId w:val="14"/>
        </w:numPr>
      </w:pPr>
      <w:r w:rsidRPr="003700FE">
        <w:t>Reciprocating Compressors – Rod Packing Vent</w:t>
      </w:r>
      <w:r>
        <w:t xml:space="preserve"> – Gathering &amp; Processing Segment</w:t>
      </w:r>
      <w:r w:rsidR="00B663E7">
        <w:t xml:space="preserve"> (pg </w:t>
      </w:r>
      <w:r w:rsidR="00B663E7">
        <w:fldChar w:fldCharType="begin"/>
      </w:r>
      <w:r w:rsidR="00B663E7">
        <w:instrText xml:space="preserve"> PAGEREF _Ref67321339 \h </w:instrText>
      </w:r>
      <w:r w:rsidR="00B663E7">
        <w:fldChar w:fldCharType="separate"/>
      </w:r>
      <w:r w:rsidR="00B663E7">
        <w:rPr>
          <w:noProof/>
        </w:rPr>
        <w:t>14</w:t>
      </w:r>
      <w:r w:rsidR="00B663E7">
        <w:fldChar w:fldCharType="end"/>
      </w:r>
      <w:r w:rsidR="00B663E7">
        <w:t>)</w:t>
      </w:r>
    </w:p>
    <w:p w:rsidR="003700FE" w:rsidP="009D3106" w:rsidRDefault="003700FE" w14:paraId="13240D89" w14:textId="549DBCF0">
      <w:pPr>
        <w:pStyle w:val="ListParagraph"/>
        <w:numPr>
          <w:ilvl w:val="1"/>
          <w:numId w:val="14"/>
        </w:numPr>
      </w:pPr>
      <w:r w:rsidRPr="003700FE">
        <w:t xml:space="preserve">Mains – Cast Iron and Unprotected Steel </w:t>
      </w:r>
      <w:r w:rsidR="00B663E7">
        <w:t xml:space="preserve">(pg </w:t>
      </w:r>
      <w:r w:rsidR="00B663E7">
        <w:fldChar w:fldCharType="begin"/>
      </w:r>
      <w:r w:rsidR="00B663E7">
        <w:instrText xml:space="preserve"> PAGEREF _Ref67321351 \h </w:instrText>
      </w:r>
      <w:r w:rsidR="00B663E7">
        <w:fldChar w:fldCharType="separate"/>
      </w:r>
      <w:r w:rsidR="00B663E7">
        <w:rPr>
          <w:noProof/>
        </w:rPr>
        <w:t>24</w:t>
      </w:r>
      <w:r w:rsidR="00B663E7">
        <w:fldChar w:fldCharType="end"/>
      </w:r>
      <w:r w:rsidR="00B663E7">
        <w:t>)</w:t>
      </w:r>
    </w:p>
    <w:p w:rsidR="003700FE" w:rsidP="009D3106" w:rsidRDefault="003700FE" w14:paraId="4B6522D7" w14:textId="2C0EFD2B">
      <w:pPr>
        <w:pStyle w:val="ListParagraph"/>
        <w:numPr>
          <w:ilvl w:val="1"/>
          <w:numId w:val="14"/>
        </w:numPr>
      </w:pPr>
      <w:r>
        <w:t>Service</w:t>
      </w:r>
      <w:r w:rsidRPr="003700FE">
        <w:t xml:space="preserve">s – Cast Iron and Unprotected Steel </w:t>
      </w:r>
      <w:r w:rsidR="00B663E7">
        <w:t xml:space="preserve">(pg </w:t>
      </w:r>
      <w:r w:rsidR="00B663E7">
        <w:fldChar w:fldCharType="begin"/>
      </w:r>
      <w:r w:rsidR="00B663E7">
        <w:instrText xml:space="preserve"> PAGEREF _Ref67321362 \h </w:instrText>
      </w:r>
      <w:r w:rsidR="00B663E7">
        <w:fldChar w:fldCharType="separate"/>
      </w:r>
      <w:r w:rsidR="00B663E7">
        <w:rPr>
          <w:noProof/>
        </w:rPr>
        <w:t>27</w:t>
      </w:r>
      <w:r w:rsidR="00B663E7">
        <w:fldChar w:fldCharType="end"/>
      </w:r>
      <w:r w:rsidR="00B663E7">
        <w:t>)</w:t>
      </w:r>
    </w:p>
    <w:p w:rsidR="00D038EA" w:rsidP="009D3106" w:rsidRDefault="00D038EA" w14:paraId="6F64117B" w14:textId="3AB2BD2F">
      <w:pPr>
        <w:pStyle w:val="ListParagraph"/>
        <w:numPr>
          <w:ilvl w:val="1"/>
          <w:numId w:val="14"/>
        </w:numPr>
      </w:pPr>
      <w:r>
        <w:t xml:space="preserve">Adding ‘alternate calculation methods’ for certain emission sources for below threshold (i.e., non-Subpart W reporting facilities </w:t>
      </w:r>
      <w:r>
        <w:rPr>
          <w:i/>
          <w:iCs/>
        </w:rPr>
        <w:t>ONLY)</w:t>
      </w:r>
      <w:r>
        <w:t xml:space="preserve"> for consistency with ONE Future reporting methodologies</w:t>
      </w:r>
    </w:p>
    <w:p w:rsidR="00A13F7F" w:rsidP="00A13F7F" w:rsidRDefault="00A13F7F" w14:paraId="76108226" w14:textId="08764345">
      <w:pPr>
        <w:pStyle w:val="ListParagraph"/>
        <w:numPr>
          <w:ilvl w:val="2"/>
          <w:numId w:val="14"/>
        </w:numPr>
      </w:pPr>
      <w:r>
        <w:t>Reciprocating Compressors (Processing and Transmission &amp; Storage)</w:t>
      </w:r>
      <w:r w:rsidR="00084222">
        <w:t xml:space="preserve"> (pg </w:t>
      </w:r>
      <w:r w:rsidR="00A1336D">
        <w:fldChar w:fldCharType="begin"/>
      </w:r>
      <w:r w:rsidR="00A1336D">
        <w:instrText xml:space="preserve"> PAGEREF _Ref67321783 \h </w:instrText>
      </w:r>
      <w:r w:rsidR="00A1336D">
        <w:fldChar w:fldCharType="separate"/>
      </w:r>
      <w:r w:rsidR="00A1336D">
        <w:rPr>
          <w:noProof/>
        </w:rPr>
        <w:t>15</w:t>
      </w:r>
      <w:r w:rsidR="00A1336D">
        <w:fldChar w:fldCharType="end"/>
      </w:r>
      <w:r w:rsidR="00A1336D">
        <w:t>)</w:t>
      </w:r>
    </w:p>
    <w:p w:rsidR="00A13F7F" w:rsidP="00A13F7F" w:rsidRDefault="00A13F7F" w14:paraId="5D067789" w14:textId="745BB366">
      <w:pPr>
        <w:pStyle w:val="ListParagraph"/>
        <w:numPr>
          <w:ilvl w:val="2"/>
          <w:numId w:val="14"/>
        </w:numPr>
      </w:pPr>
      <w:r>
        <w:t>Centrifugal Compressors (Processing and Transmission &amp; Storage)</w:t>
      </w:r>
      <w:r w:rsidR="00A1336D">
        <w:t xml:space="preserve"> (pg </w:t>
      </w:r>
      <w:r w:rsidR="00A1336D">
        <w:fldChar w:fldCharType="begin"/>
      </w:r>
      <w:r w:rsidR="00A1336D">
        <w:instrText xml:space="preserve"> PAGEREF _Ref67321789 \h </w:instrText>
      </w:r>
      <w:r w:rsidR="00A1336D">
        <w:fldChar w:fldCharType="separate"/>
      </w:r>
      <w:r w:rsidR="00A1336D">
        <w:rPr>
          <w:noProof/>
        </w:rPr>
        <w:t>19</w:t>
      </w:r>
      <w:r w:rsidR="00A1336D">
        <w:fldChar w:fldCharType="end"/>
      </w:r>
      <w:r w:rsidR="00A1336D">
        <w:t>)</w:t>
      </w:r>
    </w:p>
    <w:p w:rsidR="00A13F7F" w:rsidP="00CF2279" w:rsidRDefault="00A13F7F" w14:paraId="1FB25EEE" w14:textId="0FDABA47">
      <w:pPr>
        <w:pStyle w:val="ListParagraph"/>
        <w:numPr>
          <w:ilvl w:val="2"/>
          <w:numId w:val="14"/>
        </w:numPr>
      </w:pPr>
      <w:r>
        <w:t>Transmission Pipeline Blowdowns Between Compressor Stations</w:t>
      </w:r>
      <w:r w:rsidR="00A1336D">
        <w:t xml:space="preserve"> (pg </w:t>
      </w:r>
      <w:r w:rsidR="00A1336D">
        <w:fldChar w:fldCharType="begin"/>
      </w:r>
      <w:r w:rsidR="00A1336D">
        <w:instrText xml:space="preserve"> PAGEREF _Ref67321800 \h </w:instrText>
      </w:r>
      <w:r w:rsidR="00A1336D">
        <w:fldChar w:fldCharType="separate"/>
      </w:r>
      <w:r w:rsidR="00A1336D">
        <w:rPr>
          <w:noProof/>
        </w:rPr>
        <w:t>21</w:t>
      </w:r>
      <w:r w:rsidR="00A1336D">
        <w:fldChar w:fldCharType="end"/>
      </w:r>
      <w:r w:rsidR="00A1336D">
        <w:t>)</w:t>
      </w:r>
    </w:p>
    <w:p w:rsidR="00992D72" w:rsidP="00576C86" w:rsidRDefault="00992D72" w14:paraId="53EBC65B" w14:textId="2DDD4CE0">
      <w:pPr>
        <w:pStyle w:val="ListParagraph"/>
        <w:numPr>
          <w:ilvl w:val="0"/>
          <w:numId w:val="14"/>
        </w:numPr>
      </w:pPr>
      <w:r>
        <w:t xml:space="preserve">Addition of optional data elements to report on innovative technologies and practices not covered by </w:t>
      </w:r>
      <w:r w:rsidR="00576C86">
        <w:t>existing Methane Challenge commitments</w:t>
      </w:r>
      <w:r>
        <w:t xml:space="preserve"> (</w:t>
      </w:r>
      <w:r w:rsidR="00A1336D">
        <w:t xml:space="preserve">pg </w:t>
      </w:r>
      <w:r w:rsidR="00A1336D">
        <w:fldChar w:fldCharType="begin"/>
      </w:r>
      <w:r w:rsidR="00A1336D">
        <w:instrText xml:space="preserve"> PAGEREF _Ref67321811 \h </w:instrText>
      </w:r>
      <w:r w:rsidR="00A1336D">
        <w:fldChar w:fldCharType="separate"/>
      </w:r>
      <w:r w:rsidR="00A1336D">
        <w:rPr>
          <w:noProof/>
        </w:rPr>
        <w:t>37</w:t>
      </w:r>
      <w:r w:rsidR="00A1336D">
        <w:fldChar w:fldCharType="end"/>
      </w:r>
      <w:r>
        <w:t xml:space="preserve">) </w:t>
      </w:r>
    </w:p>
    <w:p w:rsidR="00AD4954" w:rsidP="00726256" w:rsidRDefault="00BD1A8F" w14:paraId="774F5958" w14:textId="08A18DE8">
      <w:pPr>
        <w:rPr>
          <w:rFonts w:eastAsiaTheme="majorEastAsia" w:cstheme="minorHAnsi"/>
          <w:b/>
          <w:bCs/>
          <w:color w:val="002060"/>
          <w:sz w:val="24"/>
        </w:rPr>
      </w:pPr>
      <w:r>
        <w:t xml:space="preserve"> </w:t>
      </w:r>
      <w:r w:rsidR="00AD4954">
        <w:br w:type="page"/>
      </w:r>
    </w:p>
    <w:p w:rsidRPr="007B2F7A" w:rsidR="00A0706C" w:rsidP="00190CE6" w:rsidRDefault="00A0706C" w14:paraId="5D416A1F" w14:textId="26005F28">
      <w:pPr>
        <w:pStyle w:val="Heading1"/>
        <w:widowControl/>
      </w:pPr>
      <w:bookmarkStart w:name="_Toc67322577" w:id="3"/>
      <w:r w:rsidRPr="007B2F7A">
        <w:lastRenderedPageBreak/>
        <w:t>Introduction</w:t>
      </w:r>
      <w:bookmarkEnd w:id="1"/>
      <w:bookmarkEnd w:id="2"/>
      <w:bookmarkEnd w:id="3"/>
    </w:p>
    <w:p w:rsidRPr="00A0706C" w:rsidR="001D2EEE" w:rsidP="00D41FB0" w:rsidRDefault="0097697C" w14:paraId="6D3FA298" w14:textId="1B04A00A">
      <w:pPr>
        <w:spacing w:after="160"/>
        <w:rPr>
          <w:rFonts w:cstheme="minorHAnsi"/>
        </w:rPr>
      </w:pPr>
      <w:r w:rsidRPr="0097697C">
        <w:rPr>
          <w:rFonts w:cstheme="minorHAnsi"/>
        </w:rPr>
        <w:t>This document provides additional details to augment the Natural Gas STAR Methane Challenge Program (“Methane Challenge”) Best Management Practices (BMP) Commitment Framework and Partnership Agreement documents released January 21, 2016.</w:t>
      </w:r>
      <w:r w:rsidRPr="0097697C">
        <w:rPr>
          <w:rFonts w:cstheme="minorHAnsi"/>
          <w:vertAlign w:val="superscript"/>
        </w:rPr>
        <w:footnoteReference w:id="2"/>
      </w:r>
      <w:r w:rsidRPr="0097697C">
        <w:rPr>
          <w:rFonts w:cstheme="minorHAnsi"/>
        </w:rPr>
        <w:t xml:space="preserve"> </w:t>
      </w:r>
      <w:r w:rsidRPr="0097697C">
        <w:rPr>
          <w:rFonts w:cstheme="minorHAnsi"/>
          <w:szCs w:val="22"/>
        </w:rPr>
        <w:t xml:space="preserve">This document provides additional information for each of the emission sources, including source descriptions, detail on </w:t>
      </w:r>
      <w:r w:rsidR="00D35467">
        <w:rPr>
          <w:rFonts w:cstheme="minorHAnsi"/>
          <w:szCs w:val="22"/>
        </w:rPr>
        <w:t xml:space="preserve">voluntary </w:t>
      </w:r>
      <w:r w:rsidRPr="0097697C">
        <w:rPr>
          <w:rFonts w:cstheme="minorHAnsi"/>
          <w:szCs w:val="22"/>
        </w:rPr>
        <w:t>mitigation options, and Greenhouse Gas Reporting Program (GHGRP) and voluntary reporting data elements that</w:t>
      </w:r>
      <w:r w:rsidR="00404F87">
        <w:rPr>
          <w:rFonts w:cstheme="minorHAnsi"/>
          <w:szCs w:val="22"/>
        </w:rPr>
        <w:t xml:space="preserve"> partners</w:t>
      </w:r>
      <w:r w:rsidRPr="0097697C">
        <w:rPr>
          <w:rFonts w:cstheme="minorHAnsi"/>
          <w:szCs w:val="22"/>
        </w:rPr>
        <w:t xml:space="preserve"> </w:t>
      </w:r>
      <w:r w:rsidR="00404F87">
        <w:rPr>
          <w:rFonts w:cstheme="minorHAnsi"/>
          <w:szCs w:val="22"/>
        </w:rPr>
        <w:t>sho</w:t>
      </w:r>
      <w:r w:rsidRPr="0097697C">
        <w:rPr>
          <w:rFonts w:cstheme="minorHAnsi"/>
          <w:szCs w:val="22"/>
        </w:rPr>
        <w:t xml:space="preserve">uld report annually to EPA to </w:t>
      </w:r>
      <w:r w:rsidR="00C623F5">
        <w:rPr>
          <w:rFonts w:cstheme="minorHAnsi"/>
          <w:szCs w:val="22"/>
        </w:rPr>
        <w:t xml:space="preserve">track </w:t>
      </w:r>
      <w:r w:rsidR="00404F87">
        <w:rPr>
          <w:rFonts w:cstheme="minorHAnsi"/>
          <w:szCs w:val="22"/>
        </w:rPr>
        <w:t>commitment</w:t>
      </w:r>
      <w:r w:rsidRPr="0097697C">
        <w:rPr>
          <w:rFonts w:cstheme="minorHAnsi"/>
          <w:szCs w:val="22"/>
        </w:rPr>
        <w:t xml:space="preserve"> progress.  Where multiple mitigation options are listed, Partners can choose to implement any combination of these throughout their operations to meet their commitments. </w:t>
      </w:r>
    </w:p>
    <w:p w:rsidRPr="00A0706C" w:rsidR="00A0706C" w:rsidP="007E597F" w:rsidRDefault="00A0706C" w14:paraId="2AE7DDB8" w14:textId="23C02023">
      <w:pPr>
        <w:pStyle w:val="Heading1"/>
        <w:widowControl/>
      </w:pPr>
      <w:bookmarkStart w:name="_Toc431807904" w:id="4"/>
      <w:bookmarkStart w:name="_Toc431980555" w:id="5"/>
      <w:bookmarkStart w:name="_Ref11411485" w:id="6"/>
      <w:bookmarkStart w:name="_Toc67322578" w:id="7"/>
      <w:r w:rsidRPr="00A0706C">
        <w:t>Methane Challenge Program Reporting</w:t>
      </w:r>
      <w:bookmarkEnd w:id="4"/>
      <w:bookmarkEnd w:id="5"/>
      <w:bookmarkEnd w:id="6"/>
      <w:bookmarkEnd w:id="7"/>
    </w:p>
    <w:p w:rsidRPr="00A0706C" w:rsidR="00A0706C" w:rsidP="00740134" w:rsidRDefault="00534A2A" w14:paraId="31D94DDE" w14:textId="251C709B">
      <w:pPr>
        <w:rPr>
          <w:rFonts w:ascii="Calibri" w:hAnsi="Calibri" w:cs="Calibri"/>
          <w:szCs w:val="22"/>
        </w:rPr>
      </w:pPr>
      <w:r>
        <w:rPr>
          <w:rFonts w:ascii="Calibri" w:hAnsi="Calibri" w:cs="Calibri"/>
          <w:szCs w:val="22"/>
        </w:rPr>
        <w:t>T</w:t>
      </w:r>
      <w:r w:rsidRPr="00A0706C">
        <w:rPr>
          <w:rFonts w:ascii="Calibri" w:hAnsi="Calibri" w:cs="Calibri"/>
          <w:szCs w:val="22"/>
        </w:rPr>
        <w:t>o provide co</w:t>
      </w:r>
      <w:r>
        <w:rPr>
          <w:rFonts w:ascii="Calibri" w:hAnsi="Calibri" w:cs="Calibri"/>
          <w:szCs w:val="22"/>
        </w:rPr>
        <w:t>ntext for participation in the P</w:t>
      </w:r>
      <w:r w:rsidRPr="00A0706C">
        <w:rPr>
          <w:rFonts w:ascii="Calibri" w:hAnsi="Calibri" w:cs="Calibri"/>
          <w:szCs w:val="22"/>
        </w:rPr>
        <w:t>rogram and facilitate annual tracking of progress</w:t>
      </w:r>
      <w:r>
        <w:rPr>
          <w:rFonts w:ascii="Calibri" w:hAnsi="Calibri" w:cs="Calibri"/>
          <w:szCs w:val="22"/>
        </w:rPr>
        <w:t xml:space="preserve">, </w:t>
      </w:r>
      <w:r w:rsidRPr="00A0706C" w:rsidR="00A0706C">
        <w:rPr>
          <w:rFonts w:ascii="Calibri" w:hAnsi="Calibri" w:cs="Calibri"/>
          <w:szCs w:val="22"/>
        </w:rPr>
        <w:t>EPA collect</w:t>
      </w:r>
      <w:r w:rsidR="00C8794A">
        <w:rPr>
          <w:rFonts w:ascii="Calibri" w:hAnsi="Calibri" w:cs="Calibri"/>
          <w:szCs w:val="22"/>
        </w:rPr>
        <w:t>s</w:t>
      </w:r>
      <w:r w:rsidRPr="00A0706C" w:rsidR="00A0706C">
        <w:rPr>
          <w:rFonts w:ascii="Calibri" w:hAnsi="Calibri" w:cs="Calibri"/>
          <w:szCs w:val="22"/>
        </w:rPr>
        <w:t xml:space="preserve"> the following information </w:t>
      </w:r>
      <w:r w:rsidR="00A72D2D">
        <w:rPr>
          <w:rFonts w:ascii="Calibri" w:hAnsi="Calibri" w:cs="Calibri"/>
          <w:szCs w:val="22"/>
        </w:rPr>
        <w:t>from</w:t>
      </w:r>
      <w:r w:rsidRPr="00A0706C" w:rsidR="00A0706C">
        <w:rPr>
          <w:rFonts w:ascii="Calibri" w:hAnsi="Calibri" w:cs="Calibri"/>
          <w:szCs w:val="22"/>
        </w:rPr>
        <w:t xml:space="preserve"> partner compan</w:t>
      </w:r>
      <w:r w:rsidR="0097697C">
        <w:rPr>
          <w:rFonts w:ascii="Calibri" w:hAnsi="Calibri" w:cs="Calibri"/>
          <w:szCs w:val="22"/>
        </w:rPr>
        <w:t xml:space="preserve">ies </w:t>
      </w:r>
      <w:r w:rsidR="00A8458D">
        <w:rPr>
          <w:rFonts w:ascii="Calibri" w:hAnsi="Calibri" w:cs="Calibri"/>
          <w:szCs w:val="22"/>
        </w:rPr>
        <w:t xml:space="preserve">during facility registration and management </w:t>
      </w:r>
      <w:r>
        <w:rPr>
          <w:rFonts w:ascii="Calibri" w:hAnsi="Calibri" w:cs="Calibri"/>
          <w:szCs w:val="22"/>
        </w:rPr>
        <w:t>in the Methane Challenge reporting module</w:t>
      </w:r>
      <w:r w:rsidR="007B1B50">
        <w:rPr>
          <w:rFonts w:ascii="Calibri" w:hAnsi="Calibri" w:cs="Calibri"/>
          <w:szCs w:val="22"/>
        </w:rPr>
        <w:t xml:space="preserve"> of</w:t>
      </w:r>
      <w:r w:rsidR="00783D0D">
        <w:rPr>
          <w:rFonts w:ascii="Calibri" w:hAnsi="Calibri" w:cs="Calibri"/>
          <w:szCs w:val="22"/>
        </w:rPr>
        <w:t xml:space="preserve"> the electronic Greenhouse Gas Reporting Tool (</w:t>
      </w:r>
      <w:r w:rsidR="007B1B50">
        <w:rPr>
          <w:rFonts w:ascii="Calibri" w:hAnsi="Calibri" w:cs="Calibri"/>
          <w:szCs w:val="22"/>
        </w:rPr>
        <w:t>e-GGRT</w:t>
      </w:r>
      <w:r w:rsidR="00783D0D">
        <w:rPr>
          <w:rFonts w:ascii="Calibri" w:hAnsi="Calibri" w:cs="Calibri"/>
          <w:szCs w:val="22"/>
        </w:rPr>
        <w:t>)</w:t>
      </w:r>
      <w:r w:rsidRPr="00A0706C" w:rsidR="00A0706C">
        <w:rPr>
          <w:rFonts w:ascii="Calibri" w:hAnsi="Calibri" w:cs="Calibri"/>
          <w:szCs w:val="22"/>
        </w:rPr>
        <w:t>:</w:t>
      </w:r>
    </w:p>
    <w:p w:rsidRPr="00A0706C" w:rsidR="00A0706C" w:rsidP="00932D65" w:rsidRDefault="00A0706C" w14:paraId="5524869A" w14:textId="35844E89">
      <w:pPr>
        <w:numPr>
          <w:ilvl w:val="0"/>
          <w:numId w:val="11"/>
        </w:numPr>
        <w:ind w:left="360"/>
        <w:contextualSpacing/>
        <w:rPr>
          <w:rFonts w:ascii="Calibri" w:hAnsi="Calibri" w:cs="Calibri" w:eastAsiaTheme="minorEastAsia"/>
          <w:szCs w:val="22"/>
        </w:rPr>
      </w:pPr>
      <w:r w:rsidRPr="00A0706C">
        <w:rPr>
          <w:rFonts w:ascii="Calibri" w:hAnsi="Calibri" w:cs="Calibri" w:eastAsiaTheme="minorEastAsia"/>
          <w:szCs w:val="22"/>
        </w:rPr>
        <w:t>List of included facilities that report to Subpart W (</w:t>
      </w:r>
      <w:r w:rsidR="003E4E30">
        <w:rPr>
          <w:rFonts w:ascii="Calibri" w:hAnsi="Calibri" w:cs="Calibri" w:eastAsiaTheme="minorEastAsia"/>
          <w:szCs w:val="22"/>
        </w:rPr>
        <w:t xml:space="preserve">GHGRP </w:t>
      </w:r>
      <w:r w:rsidRPr="00A0706C">
        <w:rPr>
          <w:rFonts w:ascii="Calibri" w:hAnsi="Calibri" w:cs="Calibri" w:eastAsiaTheme="minorEastAsia"/>
          <w:szCs w:val="22"/>
        </w:rPr>
        <w:t>facility ID)</w:t>
      </w:r>
    </w:p>
    <w:p w:rsidRPr="00A0706C" w:rsidR="00A0706C" w:rsidP="00932D65" w:rsidRDefault="00A0706C" w14:paraId="754CA8F8" w14:textId="66313D45">
      <w:pPr>
        <w:numPr>
          <w:ilvl w:val="0"/>
          <w:numId w:val="11"/>
        </w:numPr>
        <w:ind w:left="360"/>
        <w:contextualSpacing/>
        <w:rPr>
          <w:rFonts w:ascii="Calibri" w:hAnsi="Calibri" w:cs="Calibri" w:eastAsiaTheme="minorEastAsia"/>
          <w:szCs w:val="22"/>
        </w:rPr>
      </w:pPr>
      <w:r w:rsidRPr="00A0706C">
        <w:rPr>
          <w:rFonts w:ascii="Calibri" w:hAnsi="Calibri" w:cs="Calibri" w:eastAsiaTheme="minorEastAsia"/>
          <w:szCs w:val="22"/>
        </w:rPr>
        <w:t>List of included facilities not reporting to Subpart W (</w:t>
      </w:r>
      <w:r w:rsidR="003E4E30">
        <w:rPr>
          <w:rFonts w:ascii="Calibri" w:hAnsi="Calibri" w:cs="Calibri" w:eastAsiaTheme="minorEastAsia"/>
          <w:szCs w:val="22"/>
        </w:rPr>
        <w:t>Methane Challenge facility ID</w:t>
      </w:r>
      <w:r w:rsidR="003E4E30">
        <w:rPr>
          <w:rStyle w:val="FootnoteReference"/>
          <w:rFonts w:ascii="Calibri" w:hAnsi="Calibri" w:cs="Calibri" w:eastAsiaTheme="minorEastAsia"/>
          <w:szCs w:val="22"/>
        </w:rPr>
        <w:footnoteReference w:id="3"/>
      </w:r>
      <w:r w:rsidRPr="00A0706C">
        <w:rPr>
          <w:rFonts w:ascii="Calibri" w:hAnsi="Calibri" w:cs="Calibri" w:eastAsiaTheme="minorEastAsia"/>
          <w:szCs w:val="22"/>
        </w:rPr>
        <w:t>)</w:t>
      </w:r>
    </w:p>
    <w:p w:rsidRPr="00A0706C" w:rsidR="00A0706C" w:rsidP="00932D65" w:rsidRDefault="008119A4" w14:paraId="765E0F98" w14:textId="67E82672">
      <w:pPr>
        <w:numPr>
          <w:ilvl w:val="0"/>
          <w:numId w:val="11"/>
        </w:numPr>
        <w:ind w:left="360"/>
        <w:rPr>
          <w:rFonts w:ascii="Calibri" w:hAnsi="Calibri" w:cs="Calibri" w:eastAsiaTheme="minorEastAsia"/>
          <w:szCs w:val="22"/>
        </w:rPr>
      </w:pPr>
      <w:r>
        <w:rPr>
          <w:rFonts w:ascii="Calibri" w:hAnsi="Calibri" w:cs="Calibri" w:eastAsiaTheme="minorEastAsia"/>
          <w:szCs w:val="22"/>
        </w:rPr>
        <w:t xml:space="preserve">List of facilities </w:t>
      </w:r>
      <w:r w:rsidRPr="00A0706C" w:rsidR="00A0706C">
        <w:rPr>
          <w:rFonts w:ascii="Calibri" w:hAnsi="Calibri" w:cs="Calibri" w:eastAsiaTheme="minorEastAsia"/>
          <w:szCs w:val="22"/>
        </w:rPr>
        <w:t>acquired/divested during the reporting year</w:t>
      </w:r>
    </w:p>
    <w:p w:rsidRPr="00A0706C" w:rsidR="00A0706C" w:rsidP="00740134" w:rsidRDefault="00A0706C" w14:paraId="574E41AB" w14:textId="4F18AD5E">
      <w:pPr>
        <w:spacing w:before="120"/>
        <w:rPr>
          <w:rFonts w:ascii="Calibri" w:hAnsi="Calibri" w:eastAsia="Calibri"/>
          <w:szCs w:val="22"/>
        </w:rPr>
      </w:pPr>
      <w:r w:rsidRPr="00A0706C">
        <w:rPr>
          <w:rFonts w:ascii="Calibri" w:hAnsi="Calibri" w:eastAsia="Calibri"/>
          <w:szCs w:val="22"/>
        </w:rPr>
        <w:t xml:space="preserve">In the following sections of this document, for each emission source, the “Reporting” </w:t>
      </w:r>
      <w:r w:rsidR="001F11AC">
        <w:rPr>
          <w:rFonts w:ascii="Calibri" w:hAnsi="Calibri" w:eastAsia="Calibri"/>
          <w:szCs w:val="22"/>
        </w:rPr>
        <w:t>table summarizes the D</w:t>
      </w:r>
      <w:r w:rsidRPr="00A0706C">
        <w:rPr>
          <w:rFonts w:ascii="Calibri" w:hAnsi="Calibri" w:eastAsia="Calibri"/>
          <w:szCs w:val="22"/>
        </w:rPr>
        <w:t xml:space="preserve">ata </w:t>
      </w:r>
      <w:r w:rsidR="001F11AC">
        <w:rPr>
          <w:rFonts w:ascii="Calibri" w:hAnsi="Calibri" w:eastAsia="Calibri"/>
          <w:szCs w:val="22"/>
        </w:rPr>
        <w:t>E</w:t>
      </w:r>
      <w:r w:rsidR="00A72D2D">
        <w:rPr>
          <w:rFonts w:ascii="Calibri" w:hAnsi="Calibri" w:eastAsia="Calibri"/>
          <w:szCs w:val="22"/>
        </w:rPr>
        <w:t>lements the Methane Challenge P</w:t>
      </w:r>
      <w:r w:rsidRPr="00A0706C">
        <w:rPr>
          <w:rFonts w:ascii="Calibri" w:hAnsi="Calibri" w:eastAsia="Calibri"/>
          <w:szCs w:val="22"/>
        </w:rPr>
        <w:t>rogram utilize</w:t>
      </w:r>
      <w:r w:rsidR="00D47540">
        <w:rPr>
          <w:rFonts w:ascii="Calibri" w:hAnsi="Calibri" w:eastAsia="Calibri"/>
          <w:szCs w:val="22"/>
        </w:rPr>
        <w:t>s</w:t>
      </w:r>
      <w:r w:rsidRPr="00A0706C">
        <w:rPr>
          <w:rFonts w:ascii="Calibri" w:hAnsi="Calibri" w:eastAsia="Calibri"/>
          <w:szCs w:val="22"/>
        </w:rPr>
        <w:t xml:space="preserve"> to track partner company progress towards their commitments, including the following information</w:t>
      </w:r>
      <w:r w:rsidR="00730403">
        <w:rPr>
          <w:rFonts w:ascii="Calibri" w:hAnsi="Calibri" w:eastAsia="Calibri"/>
          <w:szCs w:val="22"/>
        </w:rPr>
        <w:t>:</w:t>
      </w:r>
      <w:r w:rsidR="00D51E79">
        <w:rPr>
          <w:rFonts w:ascii="Calibri" w:hAnsi="Calibri" w:eastAsia="Calibri"/>
          <w:szCs w:val="22"/>
        </w:rPr>
        <w:t xml:space="preserve"> </w:t>
      </w:r>
    </w:p>
    <w:p w:rsidRPr="00A0706C" w:rsidR="00A0706C" w:rsidP="00932D65" w:rsidRDefault="00A0706C" w14:paraId="02612C95" w14:textId="2C630B86">
      <w:pPr>
        <w:numPr>
          <w:ilvl w:val="0"/>
          <w:numId w:val="1"/>
        </w:numPr>
        <w:contextualSpacing/>
        <w:rPr>
          <w:rFonts w:ascii="Calibri" w:hAnsi="Calibri" w:eastAsia="Calibri"/>
          <w:szCs w:val="22"/>
        </w:rPr>
      </w:pPr>
      <w:r w:rsidRPr="00A0706C">
        <w:rPr>
          <w:rFonts w:ascii="Calibri" w:hAnsi="Calibri" w:eastAsia="Calibri"/>
          <w:b/>
          <w:szCs w:val="22"/>
        </w:rPr>
        <w:t>Emission Source</w:t>
      </w:r>
      <w:r w:rsidR="001F11AC">
        <w:rPr>
          <w:rFonts w:ascii="Calibri" w:hAnsi="Calibri" w:eastAsia="Calibri"/>
          <w:szCs w:val="22"/>
        </w:rPr>
        <w:t>: For each Emission S</w:t>
      </w:r>
      <w:r w:rsidRPr="00A0706C">
        <w:rPr>
          <w:rFonts w:ascii="Calibri" w:hAnsi="Calibri" w:eastAsia="Calibri"/>
          <w:szCs w:val="22"/>
        </w:rPr>
        <w:t>ource that a company has committed to address</w:t>
      </w:r>
      <w:r w:rsidRPr="00A0706C">
        <w:rPr>
          <w:rFonts w:ascii="Calibri" w:hAnsi="Calibri" w:eastAsia="Calibri"/>
          <w:szCs w:val="22"/>
          <w:vertAlign w:val="superscript"/>
        </w:rPr>
        <w:footnoteReference w:id="4"/>
      </w:r>
      <w:r w:rsidRPr="00A0706C">
        <w:rPr>
          <w:rFonts w:ascii="Calibri" w:hAnsi="Calibri" w:eastAsia="Calibri"/>
          <w:szCs w:val="22"/>
        </w:rPr>
        <w:t xml:space="preserve">, the company </w:t>
      </w:r>
      <w:r w:rsidR="001D46C9">
        <w:rPr>
          <w:rFonts w:ascii="Calibri" w:hAnsi="Calibri" w:eastAsia="Calibri"/>
          <w:szCs w:val="22"/>
        </w:rPr>
        <w:t>will</w:t>
      </w:r>
      <w:r w:rsidRPr="00A0706C" w:rsidR="001D46C9">
        <w:rPr>
          <w:rFonts w:ascii="Calibri" w:hAnsi="Calibri" w:eastAsia="Calibri"/>
          <w:szCs w:val="22"/>
        </w:rPr>
        <w:t xml:space="preserve"> </w:t>
      </w:r>
      <w:r w:rsidRPr="00A0706C">
        <w:rPr>
          <w:rFonts w:ascii="Calibri" w:hAnsi="Calibri" w:eastAsia="Calibri"/>
          <w:szCs w:val="22"/>
        </w:rPr>
        <w:t xml:space="preserve">provide information on all occurrences of that source across company/unit operations.  Data collection </w:t>
      </w:r>
      <w:r w:rsidR="001D46C9">
        <w:rPr>
          <w:rFonts w:ascii="Calibri" w:hAnsi="Calibri" w:eastAsia="Calibri"/>
          <w:szCs w:val="22"/>
        </w:rPr>
        <w:t>will</w:t>
      </w:r>
      <w:r w:rsidRPr="00A0706C" w:rsidR="001D46C9">
        <w:rPr>
          <w:rFonts w:ascii="Calibri" w:hAnsi="Calibri" w:eastAsia="Calibri"/>
          <w:szCs w:val="22"/>
        </w:rPr>
        <w:t xml:space="preserve"> </w:t>
      </w:r>
      <w:r w:rsidRPr="00A0706C">
        <w:rPr>
          <w:rFonts w:ascii="Calibri" w:hAnsi="Calibri" w:eastAsia="Calibri"/>
          <w:szCs w:val="22"/>
        </w:rPr>
        <w:t xml:space="preserve">include both unmitigated sources and sources that have implemented mitigation options (including supplementary information for those sources that have eliminated emissions completely). </w:t>
      </w:r>
    </w:p>
    <w:p w:rsidRPr="00A0706C" w:rsidR="00A0706C" w:rsidP="00932D65" w:rsidRDefault="00A0706C" w14:paraId="64F804A7" w14:textId="266D1BE0">
      <w:pPr>
        <w:numPr>
          <w:ilvl w:val="0"/>
          <w:numId w:val="1"/>
        </w:numPr>
        <w:contextualSpacing/>
        <w:rPr>
          <w:rFonts w:ascii="Calibri" w:hAnsi="Calibri" w:eastAsia="Calibri"/>
          <w:szCs w:val="22"/>
        </w:rPr>
      </w:pPr>
      <w:r w:rsidRPr="00A0706C">
        <w:rPr>
          <w:rFonts w:ascii="Calibri" w:hAnsi="Calibri" w:eastAsia="Calibri"/>
          <w:b/>
          <w:szCs w:val="22"/>
        </w:rPr>
        <w:t>Quantification Method</w:t>
      </w:r>
      <w:r w:rsidRPr="00A0706C">
        <w:rPr>
          <w:rFonts w:ascii="Calibri" w:hAnsi="Calibri" w:eastAsia="Calibri"/>
          <w:szCs w:val="22"/>
        </w:rPr>
        <w:t xml:space="preserve">: For </w:t>
      </w:r>
      <w:r w:rsidR="00FA556C">
        <w:rPr>
          <w:rFonts w:ascii="Calibri" w:hAnsi="Calibri" w:eastAsia="Calibri"/>
          <w:szCs w:val="22"/>
        </w:rPr>
        <w:t>most</w:t>
      </w:r>
      <w:r w:rsidRPr="00A0706C">
        <w:rPr>
          <w:rFonts w:ascii="Calibri" w:hAnsi="Calibri" w:eastAsia="Calibri"/>
          <w:szCs w:val="22"/>
        </w:rPr>
        <w:t xml:space="preserve"> Emission Source</w:t>
      </w:r>
      <w:r w:rsidR="00FA556C">
        <w:rPr>
          <w:rFonts w:ascii="Calibri" w:hAnsi="Calibri" w:eastAsia="Calibri"/>
          <w:szCs w:val="22"/>
        </w:rPr>
        <w:t>s</w:t>
      </w:r>
      <w:r w:rsidRPr="00A0706C">
        <w:rPr>
          <w:rFonts w:ascii="Calibri" w:hAnsi="Calibri" w:eastAsia="Calibri"/>
          <w:szCs w:val="22"/>
        </w:rPr>
        <w:t xml:space="preserve">, there is a corresponding method or methods to quantify methane emissions.  </w:t>
      </w:r>
    </w:p>
    <w:p w:rsidRPr="00A0706C" w:rsidR="00A0706C" w:rsidP="00932D65" w:rsidRDefault="00A0706C" w14:paraId="19D7612D" w14:textId="68BB34D8">
      <w:pPr>
        <w:numPr>
          <w:ilvl w:val="0"/>
          <w:numId w:val="1"/>
        </w:numPr>
        <w:rPr>
          <w:szCs w:val="22"/>
        </w:rPr>
      </w:pPr>
      <w:r w:rsidRPr="00A0706C">
        <w:rPr>
          <w:rFonts w:ascii="Calibri" w:hAnsi="Calibri" w:eastAsia="Calibri"/>
          <w:b/>
          <w:szCs w:val="22"/>
        </w:rPr>
        <w:t>Data Elements Collected via Facility-Level Reporting:</w:t>
      </w:r>
      <w:r w:rsidRPr="00A0706C">
        <w:rPr>
          <w:rFonts w:ascii="Calibri" w:hAnsi="Calibri" w:eastAsia="Calibri"/>
          <w:szCs w:val="22"/>
        </w:rPr>
        <w:t xml:space="preserve"> </w:t>
      </w:r>
      <w:r w:rsidRPr="00730403">
        <w:rPr>
          <w:rFonts w:ascii="Calibri" w:hAnsi="Calibri" w:eastAsia="Calibri"/>
          <w:szCs w:val="22"/>
        </w:rPr>
        <w:t>Th</w:t>
      </w:r>
      <w:r w:rsidR="00534A2A">
        <w:rPr>
          <w:rFonts w:ascii="Calibri" w:hAnsi="Calibri" w:eastAsia="Calibri"/>
          <w:szCs w:val="22"/>
        </w:rPr>
        <w:t xml:space="preserve">is column </w:t>
      </w:r>
      <w:r w:rsidRPr="00730403" w:rsidR="00FA556C">
        <w:rPr>
          <w:rFonts w:ascii="Calibri" w:hAnsi="Calibri" w:eastAsia="Calibri"/>
          <w:szCs w:val="22"/>
        </w:rPr>
        <w:t>lists</w:t>
      </w:r>
      <w:r w:rsidR="00534A2A">
        <w:rPr>
          <w:rFonts w:ascii="Calibri" w:hAnsi="Calibri" w:eastAsia="Calibri"/>
          <w:szCs w:val="22"/>
        </w:rPr>
        <w:t xml:space="preserve"> all</w:t>
      </w:r>
      <w:r w:rsidRPr="00730403" w:rsidR="00FA556C">
        <w:rPr>
          <w:rFonts w:ascii="Calibri" w:hAnsi="Calibri" w:eastAsia="Calibri"/>
          <w:szCs w:val="22"/>
        </w:rPr>
        <w:t xml:space="preserve"> data elements to</w:t>
      </w:r>
      <w:r w:rsidRPr="00730403" w:rsidDel="008128AF" w:rsidR="00FA556C">
        <w:rPr>
          <w:rFonts w:ascii="Calibri" w:hAnsi="Calibri" w:eastAsia="Calibri"/>
          <w:szCs w:val="22"/>
        </w:rPr>
        <w:t xml:space="preserve"> </w:t>
      </w:r>
      <w:r w:rsidRPr="00730403" w:rsidR="00FA556C">
        <w:rPr>
          <w:rFonts w:ascii="Calibri" w:hAnsi="Calibri" w:eastAsia="Calibri"/>
          <w:szCs w:val="22"/>
        </w:rPr>
        <w:t>be reported by Partners and indicates those already collected through</w:t>
      </w:r>
      <w:r w:rsidRPr="00730403">
        <w:rPr>
          <w:rFonts w:ascii="Calibri" w:hAnsi="Calibri" w:eastAsia="Calibri"/>
          <w:szCs w:val="22"/>
        </w:rPr>
        <w:t xml:space="preserve"> G</w:t>
      </w:r>
      <w:r w:rsidRPr="00A0706C">
        <w:rPr>
          <w:rFonts w:ascii="Calibri" w:hAnsi="Calibri" w:eastAsia="Calibri"/>
          <w:szCs w:val="22"/>
        </w:rPr>
        <w:t xml:space="preserve">HGRP Subpart W reporting. </w:t>
      </w:r>
      <w:r w:rsidR="00A8458D">
        <w:rPr>
          <w:rFonts w:ascii="Calibri" w:hAnsi="Calibri" w:eastAsia="Calibri"/>
          <w:szCs w:val="22"/>
        </w:rPr>
        <w:t xml:space="preserve">For facilities that report to Subpart W, the applicable Subpart W data for the reporting year will be automatically pre-populated in their </w:t>
      </w:r>
      <w:r w:rsidR="00E2237A">
        <w:rPr>
          <w:rFonts w:ascii="Calibri" w:hAnsi="Calibri" w:eastAsia="Calibri"/>
          <w:szCs w:val="22"/>
        </w:rPr>
        <w:t xml:space="preserve">Methane Challenge </w:t>
      </w:r>
      <w:r w:rsidR="00A8458D">
        <w:rPr>
          <w:rFonts w:ascii="Calibri" w:hAnsi="Calibri" w:eastAsia="Calibri"/>
          <w:szCs w:val="22"/>
        </w:rPr>
        <w:t>reporting forms by the reporting system.</w:t>
      </w:r>
      <w:r w:rsidR="00534A2A">
        <w:rPr>
          <w:rStyle w:val="FootnoteReference"/>
          <w:rFonts w:ascii="Calibri" w:hAnsi="Calibri" w:eastAsia="Calibri"/>
          <w:szCs w:val="22"/>
        </w:rPr>
        <w:footnoteReference w:id="5"/>
      </w:r>
      <w:r w:rsidR="00A8458D">
        <w:rPr>
          <w:rFonts w:ascii="Calibri" w:hAnsi="Calibri" w:eastAsia="Calibri"/>
          <w:szCs w:val="22"/>
        </w:rPr>
        <w:t xml:space="preserve"> These facilities will only need to fill out the supplementary Methane Challenge data elements. Fa</w:t>
      </w:r>
      <w:r w:rsidRPr="00A0706C">
        <w:rPr>
          <w:rFonts w:ascii="Calibri" w:hAnsi="Calibri" w:eastAsia="Calibri"/>
          <w:szCs w:val="22"/>
        </w:rPr>
        <w:t xml:space="preserve">cilities </w:t>
      </w:r>
      <w:r w:rsidR="00A8458D">
        <w:rPr>
          <w:rFonts w:ascii="Calibri" w:hAnsi="Calibri" w:eastAsia="Calibri"/>
          <w:szCs w:val="22"/>
        </w:rPr>
        <w:t xml:space="preserve">that do not report to </w:t>
      </w:r>
      <w:r w:rsidRPr="00A0706C">
        <w:rPr>
          <w:rFonts w:ascii="Calibri" w:hAnsi="Calibri" w:eastAsia="Calibri"/>
          <w:szCs w:val="22"/>
        </w:rPr>
        <w:t xml:space="preserve">Subpart W </w:t>
      </w:r>
      <w:r w:rsidR="00E2237A">
        <w:rPr>
          <w:rFonts w:ascii="Calibri" w:hAnsi="Calibri" w:eastAsia="Calibri"/>
          <w:szCs w:val="22"/>
        </w:rPr>
        <w:t>will</w:t>
      </w:r>
      <w:r w:rsidRPr="00A0706C">
        <w:rPr>
          <w:rFonts w:ascii="Calibri" w:hAnsi="Calibri" w:eastAsia="Calibri"/>
          <w:szCs w:val="22"/>
        </w:rPr>
        <w:t xml:space="preserve"> </w:t>
      </w:r>
      <w:r w:rsidR="00A8458D">
        <w:rPr>
          <w:rFonts w:ascii="Calibri" w:hAnsi="Calibri" w:eastAsia="Calibri"/>
          <w:szCs w:val="22"/>
        </w:rPr>
        <w:t>fill out</w:t>
      </w:r>
      <w:r w:rsidRPr="00A0706C" w:rsidR="00A8458D">
        <w:rPr>
          <w:rFonts w:ascii="Calibri" w:hAnsi="Calibri" w:eastAsia="Calibri"/>
          <w:szCs w:val="22"/>
        </w:rPr>
        <w:t xml:space="preserve"> </w:t>
      </w:r>
      <w:r w:rsidR="00D35467">
        <w:rPr>
          <w:rFonts w:ascii="Calibri" w:hAnsi="Calibri" w:eastAsia="Calibri"/>
          <w:szCs w:val="22"/>
        </w:rPr>
        <w:t xml:space="preserve">all </w:t>
      </w:r>
      <w:r w:rsidR="00E2237A">
        <w:rPr>
          <w:rFonts w:ascii="Calibri" w:hAnsi="Calibri" w:eastAsia="Calibri"/>
          <w:szCs w:val="22"/>
        </w:rPr>
        <w:t xml:space="preserve">relevant </w:t>
      </w:r>
      <w:r w:rsidR="00D35467">
        <w:rPr>
          <w:rFonts w:ascii="Calibri" w:hAnsi="Calibri" w:eastAsia="Calibri"/>
          <w:szCs w:val="22"/>
        </w:rPr>
        <w:t xml:space="preserve">data elements </w:t>
      </w:r>
      <w:r w:rsidR="00A8458D">
        <w:rPr>
          <w:rFonts w:ascii="Calibri" w:hAnsi="Calibri" w:eastAsia="Calibri"/>
          <w:szCs w:val="22"/>
        </w:rPr>
        <w:t>on their Methane Challenge reporting forms</w:t>
      </w:r>
      <w:r w:rsidRPr="00A0706C">
        <w:rPr>
          <w:rFonts w:ascii="Calibri" w:hAnsi="Calibri" w:eastAsia="Calibri"/>
          <w:szCs w:val="22"/>
        </w:rPr>
        <w:t>.</w:t>
      </w:r>
    </w:p>
    <w:p w:rsidR="0097697C" w:rsidP="00740134" w:rsidRDefault="00E82546" w14:paraId="5FD1D7A5" w14:textId="439982B4">
      <w:pPr>
        <w:rPr>
          <w:rFonts w:ascii="Calibri" w:hAnsi="Calibri" w:eastAsia="Calibri"/>
          <w:szCs w:val="22"/>
        </w:rPr>
      </w:pPr>
      <w:r>
        <w:rPr>
          <w:rFonts w:ascii="Calibri" w:hAnsi="Calibri" w:eastAsia="Calibri"/>
          <w:szCs w:val="22"/>
        </w:rPr>
        <w:lastRenderedPageBreak/>
        <w:t>A</w:t>
      </w:r>
      <w:r w:rsidR="0097697C">
        <w:rPr>
          <w:rFonts w:ascii="Calibri" w:hAnsi="Calibri" w:eastAsia="Calibri"/>
          <w:szCs w:val="22"/>
        </w:rPr>
        <w:t xml:space="preserve">nnual reports </w:t>
      </w:r>
      <w:r>
        <w:rPr>
          <w:rFonts w:ascii="Calibri" w:hAnsi="Calibri" w:eastAsia="Calibri"/>
          <w:szCs w:val="22"/>
        </w:rPr>
        <w:t>also</w:t>
      </w:r>
      <w:r w:rsidR="0097697C">
        <w:rPr>
          <w:rFonts w:ascii="Calibri" w:hAnsi="Calibri" w:eastAsia="Calibri"/>
          <w:szCs w:val="22"/>
        </w:rPr>
        <w:t xml:space="preserve"> provide</w:t>
      </w:r>
      <w:r>
        <w:rPr>
          <w:rFonts w:ascii="Calibri" w:hAnsi="Calibri" w:eastAsia="Calibri"/>
          <w:szCs w:val="22"/>
        </w:rPr>
        <w:t xml:space="preserve"> partners</w:t>
      </w:r>
      <w:r w:rsidR="0097697C">
        <w:rPr>
          <w:rFonts w:ascii="Calibri" w:hAnsi="Calibri" w:eastAsia="Calibri"/>
          <w:szCs w:val="22"/>
        </w:rPr>
        <w:t xml:space="preserve"> an opportunity </w:t>
      </w:r>
      <w:r>
        <w:rPr>
          <w:rFonts w:ascii="Calibri" w:hAnsi="Calibri" w:eastAsia="Calibri"/>
          <w:szCs w:val="22"/>
        </w:rPr>
        <w:t xml:space="preserve">to </w:t>
      </w:r>
      <w:r w:rsidR="0097697C">
        <w:rPr>
          <w:rFonts w:ascii="Calibri" w:hAnsi="Calibri" w:eastAsia="Calibri"/>
          <w:szCs w:val="22"/>
        </w:rPr>
        <w:t xml:space="preserve">report optional, qualitative information to </w:t>
      </w:r>
      <w:r w:rsidR="00D47540">
        <w:rPr>
          <w:rFonts w:ascii="Calibri" w:hAnsi="Calibri" w:eastAsia="Calibri"/>
          <w:szCs w:val="22"/>
        </w:rPr>
        <w:t xml:space="preserve">give </w:t>
      </w:r>
      <w:r w:rsidR="0097697C">
        <w:rPr>
          <w:rFonts w:ascii="Calibri" w:hAnsi="Calibri" w:eastAsia="Calibri"/>
          <w:szCs w:val="22"/>
        </w:rPr>
        <w:t xml:space="preserve">context for their progress each year. </w:t>
      </w:r>
    </w:p>
    <w:p w:rsidR="00A0706C" w:rsidP="00740134" w:rsidRDefault="00A0706C" w14:paraId="003640C4" w14:textId="56298135">
      <w:pPr>
        <w:rPr>
          <w:rFonts w:cstheme="minorHAnsi"/>
          <w:szCs w:val="22"/>
        </w:rPr>
      </w:pPr>
      <w:r w:rsidRPr="001D2EEE">
        <w:rPr>
          <w:rFonts w:ascii="Calibri" w:hAnsi="Calibri" w:cs="Calibri"/>
          <w:szCs w:val="22"/>
        </w:rPr>
        <w:t xml:space="preserve">For reporting purposes, the Methane Challenge Program </w:t>
      </w:r>
      <w:r w:rsidR="00D47540">
        <w:rPr>
          <w:rFonts w:ascii="Calibri" w:hAnsi="Calibri" w:cs="Calibri"/>
          <w:szCs w:val="22"/>
        </w:rPr>
        <w:t>uses</w:t>
      </w:r>
      <w:r w:rsidRPr="001D2EEE">
        <w:rPr>
          <w:rFonts w:ascii="Calibri" w:hAnsi="Calibri" w:cs="Calibri"/>
          <w:szCs w:val="22"/>
        </w:rPr>
        <w:t xml:space="preserve"> the same segment and facility definitions as Subpart W</w:t>
      </w:r>
      <w:r w:rsidR="006956DD">
        <w:rPr>
          <w:rFonts w:ascii="Calibri" w:hAnsi="Calibri" w:cs="Calibri"/>
          <w:szCs w:val="22"/>
        </w:rPr>
        <w:t xml:space="preserve"> (see Appendix A)</w:t>
      </w:r>
      <w:r w:rsidRPr="001D2EEE">
        <w:rPr>
          <w:rFonts w:ascii="Calibri" w:hAnsi="Calibri" w:cs="Calibri"/>
          <w:szCs w:val="22"/>
        </w:rPr>
        <w:t xml:space="preserve">. </w:t>
      </w:r>
      <w:r w:rsidR="006643B0">
        <w:rPr>
          <w:rFonts w:ascii="Calibri" w:hAnsi="Calibri" w:cs="Calibri"/>
          <w:szCs w:val="22"/>
        </w:rPr>
        <w:t>Methane Challenge d</w:t>
      </w:r>
      <w:r w:rsidRPr="001D2EEE">
        <w:rPr>
          <w:rFonts w:ascii="Calibri" w:hAnsi="Calibri" w:cs="Calibri"/>
          <w:szCs w:val="22"/>
        </w:rPr>
        <w:t xml:space="preserve">ata </w:t>
      </w:r>
      <w:r w:rsidR="00D47540">
        <w:rPr>
          <w:rFonts w:ascii="Calibri" w:hAnsi="Calibri" w:cs="Calibri"/>
          <w:szCs w:val="22"/>
        </w:rPr>
        <w:t>are</w:t>
      </w:r>
      <w:r w:rsidRPr="001D2EEE">
        <w:rPr>
          <w:rFonts w:ascii="Calibri" w:hAnsi="Calibri" w:cs="Calibri"/>
          <w:szCs w:val="22"/>
        </w:rPr>
        <w:t xml:space="preserve"> reported at the facility level.</w:t>
      </w:r>
      <w:r w:rsidRPr="00343B81" w:rsidR="00343B81">
        <w:rPr>
          <w:rFonts w:cstheme="minorHAnsi"/>
          <w:szCs w:val="22"/>
        </w:rPr>
        <w:t xml:space="preserve"> A</w:t>
      </w:r>
      <w:r w:rsidRPr="00395AFF" w:rsidR="00343B81">
        <w:rPr>
          <w:rFonts w:cstheme="minorHAnsi"/>
          <w:szCs w:val="22"/>
        </w:rPr>
        <w:t>nnually, EPA compile</w:t>
      </w:r>
      <w:r w:rsidR="006643B0">
        <w:rPr>
          <w:rFonts w:cstheme="minorHAnsi"/>
          <w:szCs w:val="22"/>
        </w:rPr>
        <w:t>s</w:t>
      </w:r>
      <w:r w:rsidRPr="00395AFF" w:rsidR="00343B81">
        <w:rPr>
          <w:rFonts w:cstheme="minorHAnsi"/>
          <w:szCs w:val="22"/>
        </w:rPr>
        <w:t xml:space="preserve"> the data collected</w:t>
      </w:r>
      <w:r w:rsidRPr="00AA6675" w:rsidR="00343B81">
        <w:rPr>
          <w:rFonts w:cstheme="minorHAnsi"/>
          <w:szCs w:val="22"/>
        </w:rPr>
        <w:t xml:space="preserve"> and publicly</w:t>
      </w:r>
      <w:r w:rsidRPr="00AA6675" w:rsidR="00343B81">
        <w:rPr>
          <w:szCs w:val="22"/>
        </w:rPr>
        <w:t xml:space="preserve"> release</w:t>
      </w:r>
      <w:r w:rsidR="006643B0">
        <w:rPr>
          <w:szCs w:val="22"/>
        </w:rPr>
        <w:t>s</w:t>
      </w:r>
      <w:r w:rsidRPr="00AA6675" w:rsidR="00343B81">
        <w:rPr>
          <w:szCs w:val="22"/>
        </w:rPr>
        <w:t xml:space="preserve"> (</w:t>
      </w:r>
      <w:r w:rsidR="006643B0">
        <w:rPr>
          <w:szCs w:val="22"/>
        </w:rPr>
        <w:t xml:space="preserve">i.e., </w:t>
      </w:r>
      <w:r w:rsidRPr="00AA6675" w:rsidR="00343B81">
        <w:rPr>
          <w:rFonts w:cstheme="minorHAnsi"/>
          <w:szCs w:val="22"/>
        </w:rPr>
        <w:t>on the Program website)</w:t>
      </w:r>
      <w:r w:rsidRPr="00AA6675" w:rsidR="00343B81">
        <w:rPr>
          <w:szCs w:val="22"/>
        </w:rPr>
        <w:t xml:space="preserve"> all non-confidential data submitted </w:t>
      </w:r>
      <w:r w:rsidRPr="00A808E0" w:rsidR="00343B81">
        <w:rPr>
          <w:szCs w:val="22"/>
        </w:rPr>
        <w:t>to the Methane Challenge Program</w:t>
      </w:r>
      <w:r w:rsidRPr="00A808E0" w:rsidR="00343B81">
        <w:rPr>
          <w:szCs w:val="22"/>
          <w:vertAlign w:val="superscript"/>
        </w:rPr>
        <w:footnoteReference w:id="6"/>
      </w:r>
      <w:r w:rsidRPr="00A808E0" w:rsidR="00343B81">
        <w:rPr>
          <w:szCs w:val="22"/>
        </w:rPr>
        <w:t xml:space="preserve"> </w:t>
      </w:r>
      <w:r w:rsidRPr="00A808E0" w:rsidR="00343B81">
        <w:rPr>
          <w:rFonts w:cstheme="minorHAnsi"/>
          <w:szCs w:val="22"/>
        </w:rPr>
        <w:t>to track the progress of individual Partner compan</w:t>
      </w:r>
      <w:r w:rsidRPr="00343B81" w:rsidR="00343B81">
        <w:rPr>
          <w:rFonts w:cstheme="minorHAnsi"/>
          <w:szCs w:val="22"/>
        </w:rPr>
        <w:t>ies in meeting their Program commitments.</w:t>
      </w:r>
    </w:p>
    <w:p w:rsidRPr="00C660CF" w:rsidR="00C660CF" w:rsidP="00D41FB0" w:rsidRDefault="00C660CF" w14:paraId="75BF0BBF" w14:textId="52687734">
      <w:pPr>
        <w:spacing w:after="160"/>
        <w:rPr>
          <w:rFonts w:ascii="Calibri" w:hAnsi="Calibri" w:eastAsia="Calibri"/>
          <w:szCs w:val="22"/>
        </w:rPr>
      </w:pPr>
      <w:r w:rsidRPr="00E0170F">
        <w:rPr>
          <w:szCs w:val="22"/>
        </w:rPr>
        <w:t xml:space="preserve">EPA reserves the right to update the contents of this document at any time to maintain alignment with GHGRP or </w:t>
      </w:r>
      <w:r w:rsidR="00783D0D">
        <w:rPr>
          <w:szCs w:val="22"/>
        </w:rPr>
        <w:t>Greenhouse Gas Inventory (</w:t>
      </w:r>
      <w:r w:rsidRPr="00E0170F">
        <w:rPr>
          <w:szCs w:val="22"/>
        </w:rPr>
        <w:t>GHGI</w:t>
      </w:r>
      <w:r w:rsidR="00783D0D">
        <w:rPr>
          <w:szCs w:val="22"/>
        </w:rPr>
        <w:t>)</w:t>
      </w:r>
      <w:r w:rsidRPr="00E0170F">
        <w:rPr>
          <w:szCs w:val="22"/>
        </w:rPr>
        <w:t xml:space="preserve"> definitions and methodologies</w:t>
      </w:r>
      <w:r w:rsidRPr="00803DC0">
        <w:rPr>
          <w:szCs w:val="22"/>
        </w:rPr>
        <w:t>.</w:t>
      </w:r>
      <w:r>
        <w:rPr>
          <w:szCs w:val="22"/>
        </w:rPr>
        <w:t xml:space="preserve"> Beginning in the second full year of reporting for the program, EPA will send the Technical Document and Reporting Form for the upcoming reporting year to all Methane Challenge </w:t>
      </w:r>
      <w:r w:rsidR="00F83251">
        <w:rPr>
          <w:szCs w:val="22"/>
        </w:rPr>
        <w:t>Implementation Managers</w:t>
      </w:r>
      <w:r>
        <w:rPr>
          <w:szCs w:val="22"/>
        </w:rPr>
        <w:t xml:space="preserve"> </w:t>
      </w:r>
      <w:r w:rsidR="006E578C">
        <w:rPr>
          <w:szCs w:val="22"/>
        </w:rPr>
        <w:t>annually</w:t>
      </w:r>
      <w:r w:rsidR="008D3AF9">
        <w:rPr>
          <w:szCs w:val="22"/>
        </w:rPr>
        <w:t xml:space="preserve"> </w:t>
      </w:r>
      <w:r>
        <w:rPr>
          <w:szCs w:val="22"/>
        </w:rPr>
        <w:t>and highlight any changes made.</w:t>
      </w:r>
    </w:p>
    <w:p w:rsidRPr="00B360E6" w:rsidR="006956DD" w:rsidP="006956DD" w:rsidRDefault="006956DD" w14:paraId="7F861706" w14:textId="77777777">
      <w:pPr>
        <w:pStyle w:val="Heading1"/>
        <w:widowControl/>
        <w:spacing w:before="160"/>
      </w:pPr>
      <w:bookmarkStart w:name="_Toc67322579" w:id="9"/>
      <w:bookmarkStart w:name="_Toc431807906" w:id="10"/>
      <w:bookmarkStart w:name="_Toc431980557" w:id="11"/>
      <w:r w:rsidRPr="00B360E6">
        <w:t>Cost Recovery</w:t>
      </w:r>
      <w:bookmarkEnd w:id="9"/>
    </w:p>
    <w:p w:rsidR="006956DD" w:rsidP="006956DD" w:rsidRDefault="006956DD" w14:paraId="562E4833" w14:textId="493D7CB5">
      <w:pPr>
        <w:rPr>
          <w:rFonts w:ascii="Calibri" w:hAnsi="Calibri" w:eastAsia="Calibri"/>
          <w:szCs w:val="22"/>
        </w:rPr>
      </w:pPr>
      <w:r w:rsidRPr="00FC0EF4">
        <w:rPr>
          <w:rFonts w:ascii="Calibri" w:hAnsi="Calibri" w:eastAsia="Calibri"/>
          <w:szCs w:val="22"/>
        </w:rPr>
        <w:t>Distribution companies charge rates that are typically approved by the utility’s governing body (state public utility commission (PUC), city council, utility board, etc.). EPA recognizes that Methane Challenge Program partner commitments may be dependent on obtaining additional approval from regulators, including cost recovery for steps taken to reduce methane emissions and meeting their Program commitments. EPA encourages company efforts, including efforts to seek cost recovery</w:t>
      </w:r>
      <w:r>
        <w:rPr>
          <w:rFonts w:ascii="Calibri" w:hAnsi="Calibri" w:eastAsia="Calibri"/>
          <w:szCs w:val="22"/>
        </w:rPr>
        <w:t xml:space="preserve"> if appropriate</w:t>
      </w:r>
      <w:r w:rsidRPr="00FC0EF4">
        <w:rPr>
          <w:rFonts w:ascii="Calibri" w:hAnsi="Calibri" w:eastAsia="Calibri"/>
          <w:szCs w:val="22"/>
        </w:rPr>
        <w:t>, to make and fulfill Methane Challenge commitments.</w:t>
      </w:r>
    </w:p>
    <w:p w:rsidR="006956DD" w:rsidP="00664CB2" w:rsidRDefault="006956DD" w14:paraId="6CEB089A" w14:textId="77777777"/>
    <w:p w:rsidR="00363227" w:rsidP="00664CB2" w:rsidRDefault="00363227" w14:paraId="099706A8" w14:textId="4043323C">
      <w:pPr>
        <w:rPr>
          <w:rFonts w:eastAsiaTheme="majorEastAsia" w:cstheme="minorHAnsi"/>
          <w:color w:val="002060"/>
          <w:sz w:val="24"/>
        </w:rPr>
      </w:pPr>
      <w:r>
        <w:br w:type="page"/>
      </w:r>
    </w:p>
    <w:p w:rsidRPr="00A0706C" w:rsidR="00A0706C" w:rsidP="007E597F" w:rsidRDefault="00A0706C" w14:paraId="6E601081" w14:textId="6021BE86">
      <w:pPr>
        <w:pStyle w:val="Heading1"/>
        <w:widowControl/>
      </w:pPr>
      <w:bookmarkStart w:name="_Toc67322580" w:id="12"/>
      <w:r w:rsidRPr="00A0706C">
        <w:lastRenderedPageBreak/>
        <w:t>Description of Emission Sources</w:t>
      </w:r>
      <w:bookmarkEnd w:id="10"/>
      <w:bookmarkEnd w:id="11"/>
      <w:bookmarkEnd w:id="12"/>
    </w:p>
    <w:p w:rsidRPr="007A580F" w:rsidR="001F0154" w:rsidP="00084222" w:rsidRDefault="001F0154" w14:paraId="520C7452" w14:textId="5B268F14">
      <w:pPr>
        <w:pStyle w:val="Heading2"/>
      </w:pPr>
      <w:bookmarkStart w:name="_Ref67321247" w:id="13"/>
      <w:bookmarkStart w:name="_Toc67322581" w:id="14"/>
      <w:bookmarkStart w:name="_Toc431980561" w:id="15"/>
      <w:bookmarkStart w:name="_Toc432172221" w:id="16"/>
      <w:bookmarkStart w:name="_Toc445292729" w:id="17"/>
      <w:r w:rsidRPr="007A580F">
        <w:t>Pneumatic Controllers</w:t>
      </w:r>
      <w:bookmarkEnd w:id="13"/>
      <w:bookmarkEnd w:id="14"/>
      <w:r w:rsidRPr="007A580F">
        <w:t xml:space="preserve"> </w:t>
      </w:r>
    </w:p>
    <w:p w:rsidRPr="009B0364" w:rsidR="001F0154" w:rsidP="001F0154" w:rsidRDefault="001F0154" w14:paraId="42D7496D" w14:textId="77777777">
      <w:pPr>
        <w:rPr>
          <w:rFonts w:ascii="Calibri" w:hAnsi="Calibri" w:cs="Calibri"/>
          <w:szCs w:val="22"/>
          <w:u w:val="single"/>
        </w:rPr>
      </w:pPr>
      <w:r>
        <w:rPr>
          <w:rFonts w:ascii="Calibri" w:hAnsi="Calibri" w:cs="Calibri"/>
          <w:szCs w:val="22"/>
          <w:u w:val="single"/>
        </w:rPr>
        <w:t>Applicable Segments:</w:t>
      </w:r>
      <w:r w:rsidRPr="00053AA8">
        <w:rPr>
          <w:rFonts w:ascii="Calibri" w:hAnsi="Calibri" w:cs="Calibri"/>
          <w:szCs w:val="22"/>
        </w:rPr>
        <w:t xml:space="preserve"> </w:t>
      </w:r>
      <w:r>
        <w:rPr>
          <w:rFonts w:ascii="Calibri" w:hAnsi="Calibri" w:cs="Calibri"/>
          <w:szCs w:val="22"/>
        </w:rPr>
        <w:t>Production, Gathering and Boosting, Transmission and Storage</w:t>
      </w:r>
    </w:p>
    <w:p w:rsidRPr="007A580F" w:rsidR="001F0154" w:rsidP="001F0154" w:rsidRDefault="001F0154" w14:paraId="5828BA0E" w14:textId="77777777">
      <w:pPr>
        <w:rPr>
          <w:rFonts w:ascii="Calibri" w:hAnsi="Calibri" w:cs="Calibri"/>
          <w:szCs w:val="22"/>
        </w:rPr>
      </w:pPr>
      <w:r w:rsidRPr="007A580F">
        <w:rPr>
          <w:rFonts w:ascii="Calibri" w:hAnsi="Calibri" w:cs="Calibri"/>
          <w:szCs w:val="22"/>
          <w:u w:val="single"/>
        </w:rPr>
        <w:t>Source Description</w:t>
      </w:r>
      <w:r w:rsidRPr="007A580F">
        <w:rPr>
          <w:rFonts w:ascii="Calibri" w:hAnsi="Calibri" w:cs="Calibri"/>
          <w:szCs w:val="22"/>
        </w:rPr>
        <w:t xml:space="preserve">: Natural gas pneumatic controllers are automated instruments actuated by pressurized natural gas used for maintaining a process condition such as liquid level, pressure, delta-pressure and temperature. Continuous bleed means a continuous flow of pneumatic supply natural gas to the process control device (e.g. level control, temperature control, pressure control) where the supply gas pressure is modulated by the process condition, and then flows to the valve controller where the signal is compared with the process set-point to adjust gas pressure in the valve actuator. Pneumatic controllers in this document are equivalent to pneumatic devices as defined in the GHGRP. </w:t>
      </w:r>
    </w:p>
    <w:p w:rsidRPr="007A580F" w:rsidR="001F0154" w:rsidP="001F0154" w:rsidRDefault="001F0154" w14:paraId="2D7694A9" w14:textId="4C1456A4">
      <w:pPr>
        <w:rPr>
          <w:rFonts w:ascii="Calibri" w:hAnsi="Calibri" w:cs="Calibri"/>
          <w:i/>
          <w:szCs w:val="22"/>
        </w:rPr>
      </w:pPr>
      <w:r w:rsidRPr="007A580F">
        <w:rPr>
          <w:rFonts w:ascii="Calibri" w:hAnsi="Calibri" w:cs="Calibri"/>
          <w:szCs w:val="22"/>
        </w:rPr>
        <w:t>This source focuses on continuous high-bleed controllers (those with natural gas bleed rate greater than 6 stan</w:t>
      </w:r>
      <w:r w:rsidR="0018306E">
        <w:rPr>
          <w:rFonts w:ascii="Calibri" w:hAnsi="Calibri" w:cs="Calibri"/>
          <w:szCs w:val="22"/>
        </w:rPr>
        <w:t xml:space="preserve">dard cubic feet per hour). </w:t>
      </w:r>
      <w:r w:rsidRPr="007A580F">
        <w:rPr>
          <w:rFonts w:ascii="Calibri" w:hAnsi="Calibri" w:cs="Calibri"/>
          <w:szCs w:val="22"/>
        </w:rPr>
        <w:t>This source does not cover operational situations in which pneumatic controllers with a bleed rate greater than 6 standard cubic feet (scf) per hour are required based on functional needs, including but not limited to response time, safety and positive actuation. Partner companies would track and report pneumatic controllers operating under these exceptions.  Intermittent bleed pneumatic controllers are not included in this source category</w:t>
      </w:r>
      <w:r w:rsidR="0001618E">
        <w:rPr>
          <w:rFonts w:ascii="Calibri" w:hAnsi="Calibri" w:cs="Calibri"/>
          <w:szCs w:val="22"/>
        </w:rPr>
        <w:t>, however Partners may provide information on voluntary actions taken to mitigate methane emission from intermittent bleed pneumatic controllers</w:t>
      </w:r>
      <w:r w:rsidRPr="007A580F">
        <w:rPr>
          <w:rFonts w:ascii="Calibri" w:hAnsi="Calibri" w:cs="Calibri"/>
          <w:szCs w:val="22"/>
        </w:rPr>
        <w:t xml:space="preserve">. </w:t>
      </w:r>
    </w:p>
    <w:p w:rsidRPr="007A580F" w:rsidR="001F0154" w:rsidP="001F0154" w:rsidRDefault="001F0154" w14:paraId="3931EE9D" w14:textId="77777777">
      <w:pPr>
        <w:rPr>
          <w:rFonts w:ascii="Calibri" w:hAnsi="Calibri" w:cs="Calibri"/>
          <w:szCs w:val="22"/>
          <w:u w:val="single"/>
        </w:rPr>
      </w:pPr>
      <w:r w:rsidRPr="007A580F">
        <w:rPr>
          <w:rFonts w:ascii="Calibri" w:hAnsi="Calibri" w:cs="Calibri"/>
          <w:szCs w:val="22"/>
          <w:u w:val="single"/>
        </w:rPr>
        <w:t xml:space="preserve">Mitigation Options: </w:t>
      </w:r>
    </w:p>
    <w:p w:rsidRPr="007A580F" w:rsidR="001F0154" w:rsidP="00932D65" w:rsidRDefault="001F0154" w14:paraId="4B9BC0FF" w14:textId="77777777">
      <w:pPr>
        <w:numPr>
          <w:ilvl w:val="0"/>
          <w:numId w:val="7"/>
        </w:numPr>
        <w:spacing w:after="0"/>
        <w:contextualSpacing/>
        <w:rPr>
          <w:rFonts w:ascii="Calibri" w:hAnsi="Calibri" w:cs="Calibri" w:eastAsiaTheme="minorEastAsia"/>
          <w:color w:val="000000"/>
          <w:szCs w:val="22"/>
        </w:rPr>
      </w:pPr>
      <w:r w:rsidRPr="007A580F">
        <w:rPr>
          <w:rFonts w:ascii="Calibri" w:hAnsi="Calibri" w:cs="Calibri" w:eastAsiaTheme="minorEastAsia"/>
          <w:color w:val="000000"/>
          <w:szCs w:val="22"/>
        </w:rPr>
        <w:t>Utilize natural gas-actuated pneumatic controllers with a continuous bleed rate less than or equal to 6 scf of gas per hour, or</w:t>
      </w:r>
    </w:p>
    <w:p w:rsidRPr="007A580F" w:rsidR="001F0154" w:rsidP="00932D65" w:rsidRDefault="001F0154" w14:paraId="3147C6D0" w14:textId="77777777">
      <w:pPr>
        <w:numPr>
          <w:ilvl w:val="0"/>
          <w:numId w:val="7"/>
        </w:numPr>
        <w:spacing w:after="0"/>
        <w:contextualSpacing/>
        <w:rPr>
          <w:rFonts w:ascii="Calibri" w:hAnsi="Calibri" w:cs="Calibri" w:eastAsiaTheme="minorEastAsia"/>
          <w:color w:val="000000"/>
          <w:szCs w:val="22"/>
        </w:rPr>
      </w:pPr>
      <w:r w:rsidRPr="007A580F">
        <w:rPr>
          <w:rFonts w:ascii="Calibri" w:hAnsi="Calibri" w:cs="Calibri" w:eastAsiaTheme="minorEastAsia"/>
          <w:color w:val="000000"/>
          <w:szCs w:val="22"/>
        </w:rPr>
        <w:t>Utilize zero emitting controllers</w:t>
      </w:r>
      <w:r w:rsidRPr="007A580F" w:rsidDel="006330E0">
        <w:rPr>
          <w:rFonts w:ascii="Calibri" w:hAnsi="Calibri" w:cs="Calibri" w:eastAsiaTheme="minorEastAsia"/>
          <w:color w:val="000000"/>
          <w:szCs w:val="22"/>
        </w:rPr>
        <w:t xml:space="preserve"> </w:t>
      </w:r>
      <w:r w:rsidRPr="007A580F">
        <w:rPr>
          <w:rFonts w:ascii="Calibri" w:hAnsi="Calibri" w:cs="Calibri" w:eastAsiaTheme="minorEastAsia"/>
          <w:color w:val="000000"/>
          <w:szCs w:val="22"/>
        </w:rPr>
        <w:t>(e.g. instrument air, solar, electric, or mechanical controllers), or</w:t>
      </w:r>
    </w:p>
    <w:p w:rsidRPr="007A580F" w:rsidR="001F0154" w:rsidP="00932D65" w:rsidRDefault="001F0154" w14:paraId="29A2DAAD" w14:textId="77777777">
      <w:pPr>
        <w:numPr>
          <w:ilvl w:val="0"/>
          <w:numId w:val="7"/>
        </w:numPr>
        <w:rPr>
          <w:rFonts w:ascii="Calibri" w:hAnsi="Calibri" w:cs="Calibri" w:eastAsiaTheme="minorEastAsia"/>
          <w:color w:val="000000"/>
          <w:szCs w:val="22"/>
        </w:rPr>
      </w:pPr>
      <w:r w:rsidRPr="007A580F">
        <w:rPr>
          <w:rFonts w:ascii="Calibri" w:hAnsi="Calibri" w:cs="Calibri" w:eastAsiaTheme="minorEastAsia"/>
          <w:color w:val="000000"/>
          <w:szCs w:val="22"/>
        </w:rPr>
        <w:t>Remove natural gas pneumatics controllers from service with no replacement.</w:t>
      </w:r>
    </w:p>
    <w:p w:rsidRPr="007A580F" w:rsidR="001F0154" w:rsidP="001F0154" w:rsidRDefault="001F0154" w14:paraId="67ABF2C4" w14:textId="77777777">
      <w:pPr>
        <w:rPr>
          <w:rFonts w:ascii="Calibri" w:hAnsi="Calibri" w:cs="Calibri"/>
          <w:szCs w:val="22"/>
        </w:rPr>
      </w:pPr>
      <w:r w:rsidRPr="007A580F">
        <w:rPr>
          <w:rFonts w:ascii="Calibri" w:hAnsi="Calibri" w:cs="Calibri"/>
          <w:szCs w:val="22"/>
          <w:u w:val="single"/>
        </w:rPr>
        <w:t>Commitment Timeframe</w:t>
      </w:r>
      <w:r w:rsidRPr="007A580F">
        <w:rPr>
          <w:rFonts w:ascii="Calibri" w:hAnsi="Calibri" w:cs="Calibri"/>
          <w:szCs w:val="22"/>
        </w:rPr>
        <w:t>: Partners commit to implement the specified mitigation options for all sources included in their commitment (except those specifically exempted) by their designated commitment achievement date, not to exceed five (5) years from the commitment start date.</w:t>
      </w:r>
    </w:p>
    <w:p w:rsidRPr="007A580F" w:rsidR="001F0154" w:rsidP="001F0154" w:rsidRDefault="001F0154" w14:paraId="4A8D33D3" w14:textId="77777777">
      <w:pPr>
        <w:rPr>
          <w:rFonts w:ascii="Calibri" w:hAnsi="Calibri" w:cs="Calibri"/>
          <w:u w:val="single"/>
        </w:rPr>
      </w:pPr>
      <w:r w:rsidRPr="007A580F">
        <w:rPr>
          <w:rFonts w:ascii="Calibri" w:hAnsi="Calibri" w:cs="Calibri"/>
          <w:u w:val="single"/>
        </w:rPr>
        <w:t xml:space="preserve">Reporting: </w:t>
      </w:r>
    </w:p>
    <w:tbl>
      <w:tblPr>
        <w:tblStyle w:val="TableGrid61"/>
        <w:tblW w:w="9360" w:type="dxa"/>
        <w:jc w:val="center"/>
        <w:tblInd w:w="0" w:type="dxa"/>
        <w:tblLayout w:type="fixed"/>
        <w:tblCellMar>
          <w:left w:w="58" w:type="dxa"/>
          <w:right w:w="58" w:type="dxa"/>
        </w:tblCellMar>
        <w:tblLook w:val="04A0" w:firstRow="1" w:lastRow="0" w:firstColumn="1" w:lastColumn="0" w:noHBand="0" w:noVBand="1"/>
        <w:tblDescription w:val="Reporting for Natural Gas Continuous Bleed Pneumatic Controllers"/>
      </w:tblPr>
      <w:tblGrid>
        <w:gridCol w:w="1440"/>
        <w:gridCol w:w="1526"/>
        <w:gridCol w:w="5674"/>
        <w:gridCol w:w="720"/>
      </w:tblGrid>
      <w:tr w:rsidRPr="007A580F" w:rsidR="001F0154" w:rsidTr="00A14F8D" w14:paraId="7DB6053A" w14:textId="77777777">
        <w:trPr>
          <w:trHeight w:val="547"/>
          <w:tblHeader/>
          <w:jc w:val="center"/>
        </w:trPr>
        <w:tc>
          <w:tcPr>
            <w:tcW w:w="1440" w:type="dxa"/>
            <w:tcBorders>
              <w:top w:val="single" w:color="auto" w:sz="4" w:space="0"/>
              <w:left w:val="single" w:color="auto" w:sz="4" w:space="0"/>
              <w:bottom w:val="single" w:color="auto" w:sz="4" w:space="0"/>
              <w:right w:val="single" w:color="auto" w:sz="4" w:space="0"/>
            </w:tcBorders>
            <w:shd w:val="clear" w:color="auto" w:fill="A6A6A6" w:themeFill="background1" w:themeFillShade="A6"/>
            <w:hideMark/>
          </w:tcPr>
          <w:p w:rsidRPr="007A580F" w:rsidR="001F0154" w:rsidP="00A14F8D" w:rsidRDefault="001F0154" w14:paraId="260A11B3" w14:textId="77777777">
            <w:pPr>
              <w:rPr>
                <w:rFonts w:asciiTheme="minorHAnsi" w:hAnsiTheme="minorHAnsi" w:cstheme="minorHAnsi"/>
                <w:b/>
                <w:sz w:val="20"/>
                <w:szCs w:val="21"/>
              </w:rPr>
            </w:pPr>
            <w:r w:rsidRPr="007A580F">
              <w:rPr>
                <w:rFonts w:asciiTheme="minorHAnsi" w:hAnsiTheme="minorHAnsi" w:cstheme="minorHAnsi"/>
                <w:b/>
                <w:sz w:val="20"/>
                <w:szCs w:val="21"/>
              </w:rPr>
              <w:t>Emission Source</w:t>
            </w:r>
          </w:p>
        </w:tc>
        <w:tc>
          <w:tcPr>
            <w:tcW w:w="1526" w:type="dxa"/>
            <w:tcBorders>
              <w:top w:val="single" w:color="auto" w:sz="4" w:space="0"/>
              <w:left w:val="single" w:color="auto" w:sz="4" w:space="0"/>
              <w:bottom w:val="single" w:color="auto" w:sz="4" w:space="0"/>
              <w:right w:val="single" w:color="auto" w:sz="4" w:space="0"/>
            </w:tcBorders>
            <w:shd w:val="clear" w:color="auto" w:fill="A6A6A6" w:themeFill="background1" w:themeFillShade="A6"/>
            <w:hideMark/>
          </w:tcPr>
          <w:p w:rsidRPr="007A580F" w:rsidR="001F0154" w:rsidP="00A14F8D" w:rsidRDefault="001F0154" w14:paraId="6B55D704" w14:textId="77777777">
            <w:pPr>
              <w:rPr>
                <w:rFonts w:asciiTheme="minorHAnsi" w:hAnsiTheme="minorHAnsi" w:cstheme="minorHAnsi"/>
                <w:b/>
                <w:sz w:val="20"/>
                <w:szCs w:val="21"/>
              </w:rPr>
            </w:pPr>
            <w:r w:rsidRPr="007A580F">
              <w:rPr>
                <w:rFonts w:asciiTheme="minorHAnsi" w:hAnsiTheme="minorHAnsi" w:cstheme="minorHAnsi"/>
                <w:b/>
                <w:sz w:val="20"/>
                <w:szCs w:val="21"/>
              </w:rPr>
              <w:t>Quantification Method</w:t>
            </w:r>
          </w:p>
        </w:tc>
        <w:tc>
          <w:tcPr>
            <w:tcW w:w="5674" w:type="dxa"/>
            <w:tcBorders>
              <w:top w:val="single" w:color="auto" w:sz="4" w:space="0"/>
              <w:left w:val="single" w:color="auto" w:sz="4" w:space="0"/>
              <w:bottom w:val="single" w:color="auto" w:sz="4" w:space="0"/>
              <w:right w:val="single" w:color="auto" w:sz="4" w:space="0"/>
            </w:tcBorders>
            <w:shd w:val="clear" w:color="auto" w:fill="A6A6A6" w:themeFill="background1" w:themeFillShade="A6"/>
            <w:hideMark/>
          </w:tcPr>
          <w:p w:rsidRPr="007A580F" w:rsidR="001F0154" w:rsidP="00A14F8D" w:rsidRDefault="001F0154" w14:paraId="5726B03C" w14:textId="77777777">
            <w:pPr>
              <w:rPr>
                <w:rFonts w:asciiTheme="minorHAnsi" w:hAnsiTheme="minorHAnsi" w:cstheme="minorHAnsi"/>
                <w:b/>
                <w:sz w:val="20"/>
                <w:szCs w:val="21"/>
              </w:rPr>
            </w:pPr>
            <w:r w:rsidRPr="007A580F">
              <w:rPr>
                <w:rFonts w:asciiTheme="minorHAnsi" w:hAnsiTheme="minorHAnsi" w:cstheme="minorHAnsi"/>
                <w:b/>
                <w:sz w:val="20"/>
                <w:szCs w:val="21"/>
              </w:rPr>
              <w:t>Data Elements Collected via Facility-Level Reporting</w:t>
            </w:r>
            <w:r w:rsidRPr="007A580F">
              <w:rPr>
                <w:rFonts w:asciiTheme="minorHAnsi" w:hAnsiTheme="minorHAnsi" w:cstheme="minorHAnsi"/>
                <w:b/>
                <w:sz w:val="20"/>
                <w:szCs w:val="21"/>
                <w:vertAlign w:val="superscript"/>
              </w:rPr>
              <w:footnoteReference w:id="7"/>
            </w:r>
          </w:p>
        </w:tc>
        <w:tc>
          <w:tcPr>
            <w:tcW w:w="720" w:type="dxa"/>
            <w:tcBorders>
              <w:top w:val="single" w:color="auto" w:sz="4" w:space="0"/>
              <w:left w:val="single" w:color="auto" w:sz="4" w:space="0"/>
              <w:bottom w:val="single" w:color="auto" w:sz="4" w:space="0"/>
              <w:right w:val="single" w:color="auto" w:sz="4" w:space="0"/>
            </w:tcBorders>
            <w:shd w:val="clear" w:color="auto" w:fill="A6A6A6" w:themeFill="background1" w:themeFillShade="A6"/>
            <w:tcMar>
              <w:left w:w="0" w:type="dxa"/>
              <w:right w:w="0" w:type="dxa"/>
            </w:tcMar>
            <w:hideMark/>
          </w:tcPr>
          <w:p w:rsidRPr="007A580F" w:rsidR="001F0154" w:rsidP="00A14F8D" w:rsidRDefault="001F0154" w14:paraId="0243CA56" w14:textId="77777777">
            <w:pPr>
              <w:rPr>
                <w:rFonts w:asciiTheme="minorHAnsi" w:hAnsiTheme="minorHAnsi" w:cstheme="minorHAnsi"/>
                <w:b/>
                <w:sz w:val="20"/>
                <w:szCs w:val="21"/>
              </w:rPr>
            </w:pPr>
            <w:r w:rsidRPr="007A580F">
              <w:rPr>
                <w:rFonts w:asciiTheme="minorHAnsi" w:hAnsiTheme="minorHAnsi" w:cstheme="minorHAnsi"/>
                <w:b/>
                <w:sz w:val="20"/>
                <w:szCs w:val="21"/>
              </w:rPr>
              <w:t>GHGRP</w:t>
            </w:r>
          </w:p>
        </w:tc>
      </w:tr>
      <w:tr w:rsidRPr="007A580F" w:rsidR="001F0154" w:rsidTr="00A14F8D" w14:paraId="55C9EAB7" w14:textId="77777777">
        <w:trPr>
          <w:trHeight w:val="242"/>
          <w:jc w:val="center"/>
        </w:trPr>
        <w:tc>
          <w:tcPr>
            <w:tcW w:w="1440" w:type="dxa"/>
            <w:vMerge w:val="restart"/>
            <w:tcBorders>
              <w:top w:val="single" w:color="auto" w:sz="4" w:space="0"/>
              <w:left w:val="single" w:color="auto" w:sz="4" w:space="0"/>
              <w:right w:val="single" w:color="auto" w:sz="4" w:space="0"/>
            </w:tcBorders>
            <w:shd w:val="clear" w:color="auto" w:fill="auto"/>
            <w:vAlign w:val="center"/>
            <w:hideMark/>
          </w:tcPr>
          <w:p w:rsidRPr="007A580F" w:rsidR="001F0154" w:rsidP="00A14F8D" w:rsidRDefault="001F0154" w14:paraId="4AF386EC" w14:textId="77777777">
            <w:pPr>
              <w:rPr>
                <w:rFonts w:asciiTheme="minorHAnsi" w:hAnsiTheme="minorHAnsi" w:cstheme="minorHAnsi"/>
                <w:sz w:val="21"/>
                <w:szCs w:val="21"/>
              </w:rPr>
            </w:pPr>
            <w:r w:rsidRPr="007A580F">
              <w:rPr>
                <w:rFonts w:asciiTheme="minorHAnsi" w:hAnsiTheme="minorHAnsi" w:cstheme="minorHAnsi"/>
                <w:sz w:val="21"/>
                <w:szCs w:val="21"/>
              </w:rPr>
              <w:t xml:space="preserve">Natural gas-actuated controllers with a bleed rate greater </w:t>
            </w:r>
            <w:r w:rsidRPr="007A580F">
              <w:rPr>
                <w:rFonts w:asciiTheme="minorHAnsi" w:hAnsiTheme="minorHAnsi" w:cstheme="minorHAnsi"/>
                <w:sz w:val="21"/>
                <w:szCs w:val="21"/>
              </w:rPr>
              <w:lastRenderedPageBreak/>
              <w:t>than 6 scf per hour</w:t>
            </w:r>
          </w:p>
        </w:tc>
        <w:tc>
          <w:tcPr>
            <w:tcW w:w="1526" w:type="dxa"/>
            <w:vMerge w:val="restart"/>
            <w:tcBorders>
              <w:top w:val="single" w:color="auto" w:sz="4" w:space="0"/>
              <w:left w:val="single" w:color="auto" w:sz="4" w:space="0"/>
              <w:right w:val="single" w:color="auto" w:sz="4" w:space="0"/>
            </w:tcBorders>
            <w:shd w:val="clear" w:color="auto" w:fill="auto"/>
            <w:vAlign w:val="center"/>
            <w:hideMark/>
          </w:tcPr>
          <w:p w:rsidRPr="007A580F" w:rsidR="001F0154" w:rsidP="00A14F8D" w:rsidRDefault="001F0154" w14:paraId="7B8BD815" w14:textId="77777777">
            <w:pPr>
              <w:rPr>
                <w:rFonts w:asciiTheme="minorHAnsi" w:hAnsiTheme="minorHAnsi" w:cstheme="minorHAnsi"/>
                <w:sz w:val="21"/>
                <w:szCs w:val="21"/>
              </w:rPr>
            </w:pPr>
            <w:r w:rsidRPr="007A580F">
              <w:rPr>
                <w:rFonts w:asciiTheme="minorHAnsi" w:hAnsiTheme="minorHAnsi" w:cstheme="minorHAnsi"/>
                <w:sz w:val="21"/>
                <w:szCs w:val="21"/>
              </w:rPr>
              <w:lastRenderedPageBreak/>
              <w:t>Subpart W Emission Factor(EF)</w:t>
            </w:r>
            <w:r w:rsidRPr="007A580F">
              <w:rPr>
                <w:rFonts w:asciiTheme="minorHAnsi" w:hAnsiTheme="minorHAnsi" w:cstheme="minorHAnsi"/>
                <w:sz w:val="21"/>
                <w:szCs w:val="21"/>
                <w:vertAlign w:val="superscript"/>
              </w:rPr>
              <w:footnoteReference w:id="8"/>
            </w:r>
          </w:p>
        </w:tc>
        <w:tc>
          <w:tcPr>
            <w:tcW w:w="567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A580F" w:rsidR="001F0154" w:rsidP="00A14F8D" w:rsidRDefault="001F0154" w14:paraId="3EEDA15A" w14:textId="77777777">
            <w:pPr>
              <w:rPr>
                <w:rFonts w:asciiTheme="minorHAnsi" w:hAnsiTheme="minorHAnsi" w:cstheme="minorHAnsi"/>
                <w:sz w:val="21"/>
                <w:szCs w:val="21"/>
              </w:rPr>
            </w:pPr>
            <w:r w:rsidRPr="007A580F">
              <w:rPr>
                <w:rFonts w:asciiTheme="minorHAnsi" w:hAnsiTheme="minorHAnsi" w:cstheme="minorHAnsi"/>
                <w:sz w:val="21"/>
                <w:szCs w:val="21"/>
              </w:rPr>
              <w:t>Actual count of high-bleed pneumatic controllers</w:t>
            </w:r>
            <w:r w:rsidRPr="007A580F">
              <w:rPr>
                <w:rFonts w:asciiTheme="minorHAnsi" w:hAnsiTheme="minorHAnsi" w:cstheme="minorHAnsi"/>
                <w:sz w:val="21"/>
                <w:szCs w:val="21"/>
                <w:vertAlign w:val="superscript"/>
              </w:rPr>
              <w:footnoteReference w:id="9"/>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A580F" w:rsidR="001F0154" w:rsidP="00A14F8D" w:rsidRDefault="001F0154" w14:paraId="3D53E01F" w14:textId="77777777">
            <w:pPr>
              <w:jc w:val="center"/>
              <w:rPr>
                <w:rFonts w:asciiTheme="minorHAnsi" w:hAnsiTheme="minorHAnsi" w:cstheme="minorHAnsi"/>
                <w:sz w:val="21"/>
                <w:szCs w:val="21"/>
              </w:rPr>
            </w:pPr>
            <w:r w:rsidRPr="007A580F">
              <w:rPr>
                <w:rFonts w:asciiTheme="minorHAnsi" w:hAnsiTheme="minorHAnsi" w:cstheme="minorHAnsi"/>
                <w:sz w:val="21"/>
                <w:szCs w:val="21"/>
              </w:rPr>
              <w:t>X</w:t>
            </w:r>
          </w:p>
        </w:tc>
      </w:tr>
      <w:tr w:rsidRPr="007A580F" w:rsidR="001F0154" w:rsidTr="00A14F8D" w14:paraId="1CAFFA72" w14:textId="77777777">
        <w:trPr>
          <w:trHeight w:val="323"/>
          <w:jc w:val="center"/>
        </w:trPr>
        <w:tc>
          <w:tcPr>
            <w:tcW w:w="1440" w:type="dxa"/>
            <w:vMerge/>
            <w:tcBorders>
              <w:left w:val="single" w:color="auto" w:sz="4" w:space="0"/>
              <w:right w:val="single" w:color="auto" w:sz="4" w:space="0"/>
            </w:tcBorders>
            <w:shd w:val="clear" w:color="auto" w:fill="auto"/>
            <w:vAlign w:val="center"/>
          </w:tcPr>
          <w:p w:rsidRPr="007A580F" w:rsidR="001F0154" w:rsidP="00A14F8D" w:rsidRDefault="001F0154" w14:paraId="3E3E4612" w14:textId="77777777">
            <w:pPr>
              <w:rPr>
                <w:rFonts w:asciiTheme="minorHAnsi" w:hAnsiTheme="minorHAnsi" w:cstheme="minorHAnsi"/>
                <w:sz w:val="21"/>
                <w:szCs w:val="21"/>
              </w:rPr>
            </w:pPr>
          </w:p>
        </w:tc>
        <w:tc>
          <w:tcPr>
            <w:tcW w:w="1526" w:type="dxa"/>
            <w:vMerge/>
            <w:tcBorders>
              <w:left w:val="single" w:color="auto" w:sz="4" w:space="0"/>
              <w:right w:val="single" w:color="auto" w:sz="4" w:space="0"/>
            </w:tcBorders>
            <w:shd w:val="clear" w:color="auto" w:fill="auto"/>
            <w:vAlign w:val="center"/>
          </w:tcPr>
          <w:p w:rsidRPr="007A580F" w:rsidR="001F0154" w:rsidP="00A14F8D" w:rsidRDefault="001F0154" w14:paraId="76130756" w14:textId="77777777">
            <w:pPr>
              <w:rPr>
                <w:rFonts w:asciiTheme="minorHAnsi" w:hAnsiTheme="minorHAnsi" w:cstheme="minorHAnsi"/>
                <w:sz w:val="21"/>
                <w:szCs w:val="21"/>
              </w:rPr>
            </w:pPr>
          </w:p>
        </w:tc>
        <w:tc>
          <w:tcPr>
            <w:tcW w:w="5674" w:type="dxa"/>
            <w:tcBorders>
              <w:top w:val="single" w:color="auto" w:sz="4" w:space="0"/>
              <w:left w:val="single" w:color="auto" w:sz="4" w:space="0"/>
              <w:bottom w:val="single" w:color="auto" w:sz="4" w:space="0"/>
              <w:right w:val="single" w:color="auto" w:sz="4" w:space="0"/>
            </w:tcBorders>
            <w:shd w:val="clear" w:color="auto" w:fill="auto"/>
            <w:vAlign w:val="center"/>
          </w:tcPr>
          <w:p w:rsidRPr="007A580F" w:rsidR="001F0154" w:rsidP="00A14F8D" w:rsidRDefault="001F0154" w14:paraId="530D7689" w14:textId="77777777">
            <w:pPr>
              <w:rPr>
                <w:rFonts w:asciiTheme="minorHAnsi" w:hAnsiTheme="minorHAnsi" w:cstheme="minorHAnsi"/>
                <w:sz w:val="21"/>
                <w:szCs w:val="21"/>
              </w:rPr>
            </w:pPr>
            <w:r w:rsidRPr="007A580F">
              <w:rPr>
                <w:rFonts w:asciiTheme="minorHAnsi" w:hAnsiTheme="minorHAnsi" w:cstheme="minorHAnsi"/>
                <w:sz w:val="21"/>
                <w:szCs w:val="21"/>
              </w:rPr>
              <w:t>Average operating hours per high-bleed controller (hr/yr)</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Pr="007A580F" w:rsidR="001F0154" w:rsidP="00A14F8D" w:rsidRDefault="001F0154" w14:paraId="46894F32" w14:textId="77777777">
            <w:pPr>
              <w:jc w:val="center"/>
              <w:rPr>
                <w:rFonts w:asciiTheme="minorHAnsi" w:hAnsiTheme="minorHAnsi" w:cstheme="minorHAnsi"/>
                <w:sz w:val="21"/>
                <w:szCs w:val="21"/>
              </w:rPr>
            </w:pPr>
            <w:r w:rsidRPr="007A580F">
              <w:rPr>
                <w:rFonts w:asciiTheme="minorHAnsi" w:hAnsiTheme="minorHAnsi" w:cstheme="minorHAnsi"/>
                <w:sz w:val="21"/>
                <w:szCs w:val="21"/>
              </w:rPr>
              <w:t>X</w:t>
            </w:r>
          </w:p>
        </w:tc>
      </w:tr>
      <w:tr w:rsidRPr="007A580F" w:rsidR="001F0154" w:rsidTr="00A14F8D" w14:paraId="6FD11E9B" w14:textId="77777777">
        <w:trPr>
          <w:trHeight w:val="323"/>
          <w:jc w:val="center"/>
        </w:trPr>
        <w:tc>
          <w:tcPr>
            <w:tcW w:w="1440" w:type="dxa"/>
            <w:vMerge/>
            <w:tcBorders>
              <w:left w:val="single" w:color="auto" w:sz="4" w:space="0"/>
              <w:right w:val="single" w:color="auto" w:sz="4" w:space="0"/>
            </w:tcBorders>
            <w:shd w:val="clear" w:color="auto" w:fill="auto"/>
            <w:vAlign w:val="center"/>
            <w:hideMark/>
          </w:tcPr>
          <w:p w:rsidRPr="007A580F" w:rsidR="001F0154" w:rsidP="00A14F8D" w:rsidRDefault="001F0154" w14:paraId="2627B39E" w14:textId="77777777">
            <w:pPr>
              <w:rPr>
                <w:rFonts w:asciiTheme="minorHAnsi" w:hAnsiTheme="minorHAnsi" w:cstheme="minorHAnsi"/>
                <w:sz w:val="21"/>
                <w:szCs w:val="21"/>
              </w:rPr>
            </w:pPr>
          </w:p>
        </w:tc>
        <w:tc>
          <w:tcPr>
            <w:tcW w:w="1526" w:type="dxa"/>
            <w:vMerge/>
            <w:tcBorders>
              <w:left w:val="single" w:color="auto" w:sz="4" w:space="0"/>
              <w:right w:val="single" w:color="auto" w:sz="4" w:space="0"/>
            </w:tcBorders>
            <w:shd w:val="clear" w:color="auto" w:fill="auto"/>
            <w:vAlign w:val="center"/>
            <w:hideMark/>
          </w:tcPr>
          <w:p w:rsidRPr="007A580F" w:rsidR="001F0154" w:rsidP="00A14F8D" w:rsidRDefault="001F0154" w14:paraId="5C2283D2" w14:textId="77777777">
            <w:pPr>
              <w:rPr>
                <w:rFonts w:asciiTheme="minorHAnsi" w:hAnsiTheme="minorHAnsi" w:cstheme="minorHAnsi"/>
                <w:sz w:val="21"/>
                <w:szCs w:val="21"/>
              </w:rPr>
            </w:pPr>
          </w:p>
        </w:tc>
        <w:tc>
          <w:tcPr>
            <w:tcW w:w="567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A580F" w:rsidR="001F0154" w:rsidP="00A14F8D" w:rsidRDefault="001F0154" w14:paraId="3327FDCF" w14:textId="77777777">
            <w:pPr>
              <w:rPr>
                <w:rFonts w:asciiTheme="minorHAnsi" w:hAnsiTheme="minorHAnsi" w:cstheme="minorHAnsi"/>
                <w:sz w:val="21"/>
                <w:szCs w:val="21"/>
              </w:rPr>
            </w:pPr>
            <w:r w:rsidRPr="007A580F">
              <w:rPr>
                <w:rFonts w:asciiTheme="minorHAnsi" w:hAnsiTheme="minorHAnsi" w:cstheme="minorHAnsi"/>
                <w:sz w:val="21"/>
                <w:szCs w:val="21"/>
              </w:rPr>
              <w:t xml:space="preserve">Total </w:t>
            </w:r>
            <w:r w:rsidRPr="007A580F">
              <w:rPr>
                <w:rFonts w:cs="Calibri" w:asciiTheme="minorHAnsi" w:hAnsiTheme="minorHAnsi"/>
                <w:sz w:val="21"/>
                <w:szCs w:val="21"/>
              </w:rPr>
              <w:t>CH</w:t>
            </w:r>
            <w:r w:rsidRPr="007A580F">
              <w:rPr>
                <w:rFonts w:cs="Calibri" w:asciiTheme="minorHAnsi" w:hAnsiTheme="minorHAnsi"/>
                <w:sz w:val="21"/>
                <w:szCs w:val="21"/>
                <w:vertAlign w:val="subscript"/>
              </w:rPr>
              <w:t>4</w:t>
            </w:r>
            <w:r w:rsidRPr="007A580F">
              <w:rPr>
                <w:rFonts w:asciiTheme="minorHAnsi" w:hAnsiTheme="minorHAnsi" w:cstheme="minorHAnsi"/>
                <w:sz w:val="21"/>
                <w:szCs w:val="21"/>
              </w:rPr>
              <w:t xml:space="preserve"> emissions from high-bleed controllers (mt CH</w:t>
            </w:r>
            <w:r w:rsidRPr="007A580F">
              <w:rPr>
                <w:rFonts w:asciiTheme="minorHAnsi" w:hAnsiTheme="minorHAnsi" w:cstheme="minorHAnsi"/>
                <w:sz w:val="21"/>
                <w:szCs w:val="21"/>
                <w:vertAlign w:val="subscript"/>
              </w:rPr>
              <w:t>4</w:t>
            </w:r>
            <w:r w:rsidRPr="007A580F">
              <w:rPr>
                <w:rFonts w:asciiTheme="minorHAnsi" w:hAnsiTheme="minorHAnsi" w:cstheme="minorHAnsi"/>
                <w:sz w:val="21"/>
                <w:szCs w:val="21"/>
              </w:rPr>
              <w:t>)</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A580F" w:rsidR="001F0154" w:rsidP="00A14F8D" w:rsidRDefault="001F0154" w14:paraId="2040C4F8" w14:textId="77777777">
            <w:pPr>
              <w:jc w:val="center"/>
              <w:rPr>
                <w:rFonts w:asciiTheme="minorHAnsi" w:hAnsiTheme="minorHAnsi" w:cstheme="minorHAnsi"/>
                <w:sz w:val="21"/>
                <w:szCs w:val="21"/>
              </w:rPr>
            </w:pPr>
            <w:r w:rsidRPr="007A580F">
              <w:rPr>
                <w:rFonts w:asciiTheme="minorHAnsi" w:hAnsiTheme="minorHAnsi" w:cstheme="minorHAnsi"/>
                <w:sz w:val="21"/>
                <w:szCs w:val="21"/>
              </w:rPr>
              <w:t>X</w:t>
            </w:r>
          </w:p>
        </w:tc>
      </w:tr>
      <w:tr w:rsidRPr="007A580F" w:rsidR="001F0154" w:rsidTr="00A14F8D" w14:paraId="238DEAF7" w14:textId="77777777">
        <w:trPr>
          <w:trHeight w:val="305"/>
          <w:jc w:val="center"/>
        </w:trPr>
        <w:tc>
          <w:tcPr>
            <w:tcW w:w="1440" w:type="dxa"/>
            <w:vMerge/>
            <w:tcBorders>
              <w:left w:val="single" w:color="auto" w:sz="4" w:space="0"/>
              <w:right w:val="single" w:color="auto" w:sz="4" w:space="0"/>
            </w:tcBorders>
            <w:shd w:val="clear" w:color="auto" w:fill="auto"/>
            <w:vAlign w:val="center"/>
            <w:hideMark/>
          </w:tcPr>
          <w:p w:rsidRPr="007A580F" w:rsidR="001F0154" w:rsidP="00A14F8D" w:rsidRDefault="001F0154" w14:paraId="44900935" w14:textId="77777777">
            <w:pPr>
              <w:rPr>
                <w:rFonts w:asciiTheme="minorHAnsi" w:hAnsiTheme="minorHAnsi" w:cstheme="minorHAnsi"/>
                <w:sz w:val="21"/>
                <w:szCs w:val="21"/>
              </w:rPr>
            </w:pPr>
          </w:p>
        </w:tc>
        <w:tc>
          <w:tcPr>
            <w:tcW w:w="1526" w:type="dxa"/>
            <w:vMerge/>
            <w:tcBorders>
              <w:left w:val="single" w:color="auto" w:sz="4" w:space="0"/>
              <w:right w:val="single" w:color="auto" w:sz="4" w:space="0"/>
            </w:tcBorders>
            <w:shd w:val="clear" w:color="auto" w:fill="auto"/>
            <w:vAlign w:val="center"/>
            <w:hideMark/>
          </w:tcPr>
          <w:p w:rsidRPr="007A580F" w:rsidR="001F0154" w:rsidP="00A14F8D" w:rsidRDefault="001F0154" w14:paraId="64BE1B7B" w14:textId="77777777">
            <w:pPr>
              <w:rPr>
                <w:rFonts w:asciiTheme="minorHAnsi" w:hAnsiTheme="minorHAnsi" w:cstheme="minorHAnsi"/>
                <w:sz w:val="21"/>
                <w:szCs w:val="21"/>
              </w:rPr>
            </w:pPr>
          </w:p>
        </w:tc>
        <w:tc>
          <w:tcPr>
            <w:tcW w:w="567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A580F" w:rsidR="001F0154" w:rsidP="00A14F8D" w:rsidRDefault="001F0154" w14:paraId="6C3126BB" w14:textId="77777777">
            <w:pPr>
              <w:rPr>
                <w:rFonts w:asciiTheme="minorHAnsi" w:hAnsiTheme="minorHAnsi" w:cstheme="minorHAnsi"/>
                <w:sz w:val="21"/>
                <w:szCs w:val="21"/>
              </w:rPr>
            </w:pPr>
            <w:r w:rsidRPr="007A580F">
              <w:rPr>
                <w:rFonts w:asciiTheme="minorHAnsi" w:hAnsiTheme="minorHAnsi" w:cstheme="minorHAnsi"/>
                <w:sz w:val="21"/>
                <w:szCs w:val="21"/>
              </w:rPr>
              <w:t>Number of high-bleed controllers claiming operational exemptions</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Pr="007A580F" w:rsidR="001F0154" w:rsidP="00A14F8D" w:rsidRDefault="001F0154" w14:paraId="34A7C719" w14:textId="77777777">
            <w:pPr>
              <w:jc w:val="center"/>
              <w:rPr>
                <w:rFonts w:asciiTheme="minorHAnsi" w:hAnsiTheme="minorHAnsi" w:cstheme="minorHAnsi"/>
                <w:sz w:val="21"/>
                <w:szCs w:val="21"/>
              </w:rPr>
            </w:pPr>
          </w:p>
        </w:tc>
      </w:tr>
      <w:tr w:rsidRPr="007A580F" w:rsidR="001F0154" w:rsidTr="00A14F8D" w14:paraId="670DD7B1" w14:textId="77777777">
        <w:trPr>
          <w:trHeight w:val="305"/>
          <w:jc w:val="center"/>
        </w:trPr>
        <w:tc>
          <w:tcPr>
            <w:tcW w:w="1440" w:type="dxa"/>
            <w:vMerge/>
            <w:tcBorders>
              <w:left w:val="single" w:color="auto" w:sz="4" w:space="0"/>
              <w:bottom w:val="single" w:color="auto" w:sz="4" w:space="0"/>
              <w:right w:val="single" w:color="auto" w:sz="4" w:space="0"/>
            </w:tcBorders>
            <w:shd w:val="clear" w:color="auto" w:fill="auto"/>
            <w:vAlign w:val="center"/>
          </w:tcPr>
          <w:p w:rsidRPr="007A580F" w:rsidR="001F0154" w:rsidP="00A14F8D" w:rsidRDefault="001F0154" w14:paraId="167BDA41" w14:textId="77777777">
            <w:pPr>
              <w:rPr>
                <w:rFonts w:cstheme="minorHAnsi"/>
                <w:sz w:val="21"/>
                <w:szCs w:val="21"/>
              </w:rPr>
            </w:pPr>
          </w:p>
        </w:tc>
        <w:tc>
          <w:tcPr>
            <w:tcW w:w="1526" w:type="dxa"/>
            <w:vMerge/>
            <w:tcBorders>
              <w:left w:val="single" w:color="auto" w:sz="4" w:space="0"/>
              <w:bottom w:val="single" w:color="auto" w:sz="4" w:space="0"/>
              <w:right w:val="single" w:color="auto" w:sz="4" w:space="0"/>
            </w:tcBorders>
            <w:shd w:val="clear" w:color="auto" w:fill="auto"/>
            <w:vAlign w:val="center"/>
          </w:tcPr>
          <w:p w:rsidRPr="007A580F" w:rsidR="001F0154" w:rsidP="00A14F8D" w:rsidRDefault="001F0154" w14:paraId="28709EE5" w14:textId="77777777">
            <w:pPr>
              <w:rPr>
                <w:rFonts w:cstheme="minorHAnsi"/>
                <w:sz w:val="21"/>
                <w:szCs w:val="21"/>
              </w:rPr>
            </w:pPr>
          </w:p>
        </w:tc>
        <w:tc>
          <w:tcPr>
            <w:tcW w:w="5674" w:type="dxa"/>
            <w:tcBorders>
              <w:top w:val="single" w:color="auto" w:sz="4" w:space="0"/>
              <w:left w:val="single" w:color="auto" w:sz="4" w:space="0"/>
              <w:bottom w:val="single" w:color="auto" w:sz="4" w:space="0"/>
              <w:right w:val="single" w:color="auto" w:sz="4" w:space="0"/>
            </w:tcBorders>
            <w:shd w:val="clear" w:color="auto" w:fill="auto"/>
            <w:vAlign w:val="center"/>
          </w:tcPr>
          <w:p w:rsidRPr="007A580F" w:rsidR="001F0154" w:rsidP="00A14F8D" w:rsidRDefault="001F0154" w14:paraId="038C8246" w14:textId="77777777">
            <w:pPr>
              <w:rPr>
                <w:rFonts w:cstheme="minorHAnsi"/>
                <w:sz w:val="21"/>
                <w:szCs w:val="21"/>
              </w:rPr>
            </w:pPr>
            <w:r>
              <w:rPr>
                <w:rFonts w:cstheme="minorHAnsi"/>
                <w:sz w:val="21"/>
                <w:szCs w:val="21"/>
              </w:rPr>
              <w:t>Rationale for operational exemption</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Pr="007A580F" w:rsidR="001F0154" w:rsidP="00A14F8D" w:rsidRDefault="001F0154" w14:paraId="406E6B0E" w14:textId="77777777">
            <w:pPr>
              <w:jc w:val="center"/>
              <w:rPr>
                <w:rFonts w:cstheme="minorHAnsi"/>
                <w:sz w:val="21"/>
                <w:szCs w:val="21"/>
              </w:rPr>
            </w:pPr>
          </w:p>
        </w:tc>
      </w:tr>
      <w:tr w:rsidRPr="007A580F" w:rsidR="001F0154" w:rsidTr="00A14F8D" w14:paraId="0E297937" w14:textId="77777777">
        <w:trPr>
          <w:trHeight w:val="260"/>
          <w:jc w:val="center"/>
        </w:trPr>
        <w:tc>
          <w:tcPr>
            <w:tcW w:w="1440" w:type="dxa"/>
            <w:vMerge w:val="restart"/>
            <w:tcBorders>
              <w:top w:val="single" w:color="auto" w:sz="4" w:space="0"/>
              <w:left w:val="single" w:color="auto" w:sz="4" w:space="0"/>
              <w:right w:val="single" w:color="auto" w:sz="4" w:space="0"/>
            </w:tcBorders>
            <w:shd w:val="clear" w:color="auto" w:fill="D9D9D9" w:themeFill="background1" w:themeFillShade="D9"/>
            <w:vAlign w:val="center"/>
          </w:tcPr>
          <w:p w:rsidRPr="007A580F" w:rsidR="001F0154" w:rsidP="00A14F8D" w:rsidRDefault="001F0154" w14:paraId="191898D0" w14:textId="77777777">
            <w:pPr>
              <w:rPr>
                <w:rFonts w:asciiTheme="minorHAnsi" w:hAnsiTheme="minorHAnsi" w:cstheme="minorHAnsi"/>
                <w:sz w:val="21"/>
                <w:szCs w:val="21"/>
              </w:rPr>
            </w:pPr>
            <w:r w:rsidRPr="007A580F">
              <w:rPr>
                <w:rFonts w:asciiTheme="minorHAnsi" w:hAnsiTheme="minorHAnsi" w:cstheme="minorHAnsi"/>
                <w:sz w:val="21"/>
                <w:szCs w:val="21"/>
              </w:rPr>
              <w:t>Natural gas-actuated controllers with a bleed rate less than or equal to 6 scf per hour</w:t>
            </w:r>
          </w:p>
        </w:tc>
        <w:tc>
          <w:tcPr>
            <w:tcW w:w="1526" w:type="dxa"/>
            <w:vMerge w:val="restart"/>
            <w:tcBorders>
              <w:top w:val="single" w:color="auto" w:sz="4" w:space="0"/>
              <w:left w:val="single" w:color="auto" w:sz="4" w:space="0"/>
              <w:right w:val="single" w:color="auto" w:sz="4" w:space="0"/>
            </w:tcBorders>
            <w:shd w:val="clear" w:color="auto" w:fill="D9D9D9" w:themeFill="background1" w:themeFillShade="D9"/>
            <w:vAlign w:val="center"/>
          </w:tcPr>
          <w:p w:rsidRPr="007A580F" w:rsidR="001F0154" w:rsidP="00A14F8D" w:rsidRDefault="001F0154" w14:paraId="5FAB3289" w14:textId="77777777">
            <w:pPr>
              <w:rPr>
                <w:rFonts w:asciiTheme="minorHAnsi" w:hAnsiTheme="minorHAnsi" w:cstheme="minorHAnsi"/>
                <w:sz w:val="21"/>
                <w:szCs w:val="21"/>
              </w:rPr>
            </w:pPr>
            <w:r w:rsidRPr="007A580F">
              <w:rPr>
                <w:rFonts w:asciiTheme="minorHAnsi" w:hAnsiTheme="minorHAnsi" w:cstheme="minorHAnsi"/>
                <w:sz w:val="21"/>
                <w:szCs w:val="21"/>
              </w:rPr>
              <w:t>Subpart W EF</w:t>
            </w:r>
            <w:r w:rsidRPr="007A580F">
              <w:rPr>
                <w:rFonts w:asciiTheme="minorHAnsi" w:hAnsiTheme="minorHAnsi" w:cstheme="minorHAnsi"/>
                <w:sz w:val="21"/>
                <w:szCs w:val="21"/>
                <w:vertAlign w:val="superscript"/>
              </w:rPr>
              <w:footnoteReference w:id="10"/>
            </w:r>
          </w:p>
        </w:tc>
        <w:tc>
          <w:tcPr>
            <w:tcW w:w="567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7A580F" w:rsidR="001F0154" w:rsidP="00A14F8D" w:rsidRDefault="001F0154" w14:paraId="45BE9CD8" w14:textId="77777777">
            <w:pPr>
              <w:rPr>
                <w:rFonts w:asciiTheme="minorHAnsi" w:hAnsiTheme="minorHAnsi" w:cstheme="minorHAnsi"/>
                <w:sz w:val="21"/>
                <w:szCs w:val="21"/>
              </w:rPr>
            </w:pPr>
            <w:r w:rsidRPr="007A580F">
              <w:rPr>
                <w:rFonts w:asciiTheme="minorHAnsi" w:hAnsiTheme="minorHAnsi" w:cstheme="minorHAnsi"/>
                <w:sz w:val="21"/>
                <w:szCs w:val="21"/>
              </w:rPr>
              <w:t>Actual count of low-bleed pneumatic controllers</w:t>
            </w:r>
            <w:r w:rsidRPr="007A580F">
              <w:rPr>
                <w:rFonts w:asciiTheme="minorHAnsi" w:hAnsiTheme="minorHAnsi" w:cstheme="minorHAnsi"/>
                <w:sz w:val="21"/>
                <w:szCs w:val="21"/>
                <w:vertAlign w:val="superscript"/>
              </w:rPr>
              <w:footnoteReference w:id="11"/>
            </w:r>
          </w:p>
        </w:tc>
        <w:tc>
          <w:tcPr>
            <w:tcW w:w="72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7A580F" w:rsidR="001F0154" w:rsidP="00A14F8D" w:rsidRDefault="001F0154" w14:paraId="3C93D399" w14:textId="77777777">
            <w:pPr>
              <w:jc w:val="center"/>
              <w:rPr>
                <w:rFonts w:asciiTheme="minorHAnsi" w:hAnsiTheme="minorHAnsi" w:cstheme="minorHAnsi"/>
                <w:sz w:val="21"/>
                <w:szCs w:val="21"/>
              </w:rPr>
            </w:pPr>
            <w:r w:rsidRPr="007A580F">
              <w:rPr>
                <w:rFonts w:asciiTheme="minorHAnsi" w:hAnsiTheme="minorHAnsi" w:cstheme="minorHAnsi"/>
                <w:sz w:val="21"/>
                <w:szCs w:val="21"/>
              </w:rPr>
              <w:t>X</w:t>
            </w:r>
          </w:p>
        </w:tc>
      </w:tr>
      <w:tr w:rsidRPr="007A580F" w:rsidR="001F0154" w:rsidTr="00A14F8D" w14:paraId="19BC2185" w14:textId="77777777">
        <w:trPr>
          <w:trHeight w:val="260"/>
          <w:jc w:val="center"/>
        </w:trPr>
        <w:tc>
          <w:tcPr>
            <w:tcW w:w="1440" w:type="dxa"/>
            <w:vMerge/>
            <w:tcBorders>
              <w:left w:val="single" w:color="auto" w:sz="4" w:space="0"/>
              <w:right w:val="single" w:color="auto" w:sz="4" w:space="0"/>
            </w:tcBorders>
            <w:shd w:val="clear" w:color="auto" w:fill="D9D9D9" w:themeFill="background1" w:themeFillShade="D9"/>
            <w:vAlign w:val="center"/>
          </w:tcPr>
          <w:p w:rsidRPr="007A580F" w:rsidR="001F0154" w:rsidP="00A14F8D" w:rsidRDefault="001F0154" w14:paraId="681BE448" w14:textId="77777777">
            <w:pPr>
              <w:rPr>
                <w:rFonts w:asciiTheme="minorHAnsi" w:hAnsiTheme="minorHAnsi" w:cstheme="minorHAnsi"/>
                <w:sz w:val="21"/>
                <w:szCs w:val="21"/>
              </w:rPr>
            </w:pPr>
          </w:p>
        </w:tc>
        <w:tc>
          <w:tcPr>
            <w:tcW w:w="1526" w:type="dxa"/>
            <w:vMerge/>
            <w:tcBorders>
              <w:left w:val="single" w:color="auto" w:sz="4" w:space="0"/>
              <w:right w:val="single" w:color="auto" w:sz="4" w:space="0"/>
            </w:tcBorders>
            <w:shd w:val="clear" w:color="auto" w:fill="D9D9D9" w:themeFill="background1" w:themeFillShade="D9"/>
            <w:vAlign w:val="center"/>
          </w:tcPr>
          <w:p w:rsidRPr="007A580F" w:rsidR="001F0154" w:rsidP="00A14F8D" w:rsidRDefault="001F0154" w14:paraId="11118BEE" w14:textId="77777777">
            <w:pPr>
              <w:rPr>
                <w:rFonts w:asciiTheme="minorHAnsi" w:hAnsiTheme="minorHAnsi" w:cstheme="minorHAnsi"/>
                <w:sz w:val="21"/>
                <w:szCs w:val="21"/>
              </w:rPr>
            </w:pPr>
          </w:p>
        </w:tc>
        <w:tc>
          <w:tcPr>
            <w:tcW w:w="567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7A580F" w:rsidR="001F0154" w:rsidP="00A14F8D" w:rsidRDefault="001F0154" w14:paraId="6931E0E8" w14:textId="77777777">
            <w:pPr>
              <w:rPr>
                <w:rFonts w:asciiTheme="minorHAnsi" w:hAnsiTheme="minorHAnsi" w:cstheme="minorHAnsi"/>
                <w:sz w:val="21"/>
                <w:szCs w:val="21"/>
              </w:rPr>
            </w:pPr>
            <w:r w:rsidRPr="007A580F">
              <w:rPr>
                <w:rFonts w:asciiTheme="minorHAnsi" w:hAnsiTheme="minorHAnsi" w:cstheme="minorHAnsi"/>
                <w:sz w:val="21"/>
                <w:szCs w:val="21"/>
              </w:rPr>
              <w:t>Average operating hours per low-bleed controller (hr/yr)</w:t>
            </w:r>
          </w:p>
        </w:tc>
        <w:tc>
          <w:tcPr>
            <w:tcW w:w="72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7A580F" w:rsidR="001F0154" w:rsidP="00A14F8D" w:rsidRDefault="001F0154" w14:paraId="398E0E01" w14:textId="77777777">
            <w:pPr>
              <w:jc w:val="center"/>
              <w:rPr>
                <w:rFonts w:asciiTheme="minorHAnsi" w:hAnsiTheme="minorHAnsi" w:cstheme="minorHAnsi"/>
                <w:sz w:val="21"/>
                <w:szCs w:val="21"/>
              </w:rPr>
            </w:pPr>
            <w:r w:rsidRPr="007A580F">
              <w:rPr>
                <w:rFonts w:asciiTheme="minorHAnsi" w:hAnsiTheme="minorHAnsi" w:cstheme="minorHAnsi"/>
                <w:sz w:val="21"/>
                <w:szCs w:val="21"/>
              </w:rPr>
              <w:t>X</w:t>
            </w:r>
          </w:p>
        </w:tc>
      </w:tr>
      <w:tr w:rsidRPr="007A580F" w:rsidR="001F0154" w:rsidTr="00A14F8D" w14:paraId="50742A2B" w14:textId="77777777">
        <w:trPr>
          <w:trHeight w:val="260"/>
          <w:jc w:val="center"/>
        </w:trPr>
        <w:tc>
          <w:tcPr>
            <w:tcW w:w="1440" w:type="dxa"/>
            <w:vMerge/>
            <w:tcBorders>
              <w:left w:val="single" w:color="auto" w:sz="4" w:space="0"/>
              <w:right w:val="single" w:color="auto" w:sz="4" w:space="0"/>
            </w:tcBorders>
            <w:shd w:val="clear" w:color="auto" w:fill="D9D9D9" w:themeFill="background1" w:themeFillShade="D9"/>
            <w:vAlign w:val="center"/>
            <w:hideMark/>
          </w:tcPr>
          <w:p w:rsidRPr="007A580F" w:rsidR="001F0154" w:rsidP="00A14F8D" w:rsidRDefault="001F0154" w14:paraId="615EA708" w14:textId="77777777">
            <w:pPr>
              <w:rPr>
                <w:rFonts w:asciiTheme="minorHAnsi" w:hAnsiTheme="minorHAnsi" w:cstheme="minorHAnsi"/>
                <w:sz w:val="21"/>
                <w:szCs w:val="21"/>
              </w:rPr>
            </w:pPr>
          </w:p>
        </w:tc>
        <w:tc>
          <w:tcPr>
            <w:tcW w:w="1526" w:type="dxa"/>
            <w:vMerge/>
            <w:tcBorders>
              <w:left w:val="single" w:color="auto" w:sz="4" w:space="0"/>
              <w:right w:val="single" w:color="auto" w:sz="4" w:space="0"/>
            </w:tcBorders>
            <w:shd w:val="clear" w:color="auto" w:fill="D9D9D9" w:themeFill="background1" w:themeFillShade="D9"/>
            <w:vAlign w:val="center"/>
            <w:hideMark/>
          </w:tcPr>
          <w:p w:rsidRPr="007A580F" w:rsidR="001F0154" w:rsidP="00A14F8D" w:rsidRDefault="001F0154" w14:paraId="073AD532" w14:textId="77777777">
            <w:pPr>
              <w:rPr>
                <w:rFonts w:asciiTheme="minorHAnsi" w:hAnsiTheme="minorHAnsi" w:cstheme="minorHAnsi"/>
                <w:sz w:val="21"/>
                <w:szCs w:val="21"/>
              </w:rPr>
            </w:pPr>
          </w:p>
        </w:tc>
        <w:tc>
          <w:tcPr>
            <w:tcW w:w="567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7A580F" w:rsidR="001F0154" w:rsidP="00A14F8D" w:rsidRDefault="001F0154" w14:paraId="7711993B" w14:textId="77777777">
            <w:pPr>
              <w:rPr>
                <w:rFonts w:asciiTheme="minorHAnsi" w:hAnsiTheme="minorHAnsi" w:cstheme="minorHAnsi"/>
                <w:sz w:val="21"/>
                <w:szCs w:val="21"/>
              </w:rPr>
            </w:pPr>
            <w:r w:rsidRPr="007A580F">
              <w:rPr>
                <w:rFonts w:asciiTheme="minorHAnsi" w:hAnsiTheme="minorHAnsi" w:cstheme="minorHAnsi"/>
                <w:sz w:val="21"/>
                <w:szCs w:val="21"/>
              </w:rPr>
              <w:t xml:space="preserve">Total </w:t>
            </w:r>
            <w:r w:rsidRPr="007A580F">
              <w:rPr>
                <w:rFonts w:cs="Calibri" w:asciiTheme="minorHAnsi" w:hAnsiTheme="minorHAnsi"/>
                <w:sz w:val="21"/>
                <w:szCs w:val="21"/>
              </w:rPr>
              <w:t>CH</w:t>
            </w:r>
            <w:r w:rsidRPr="007A580F">
              <w:rPr>
                <w:rFonts w:cs="Calibri" w:asciiTheme="minorHAnsi" w:hAnsiTheme="minorHAnsi"/>
                <w:sz w:val="21"/>
                <w:szCs w:val="21"/>
                <w:vertAlign w:val="subscript"/>
              </w:rPr>
              <w:t>4</w:t>
            </w:r>
            <w:r w:rsidRPr="007A580F">
              <w:rPr>
                <w:rFonts w:asciiTheme="minorHAnsi" w:hAnsiTheme="minorHAnsi" w:cstheme="minorHAnsi"/>
                <w:sz w:val="21"/>
                <w:szCs w:val="21"/>
              </w:rPr>
              <w:t xml:space="preserve"> emissions from low-bleed controllers (mt</w:t>
            </w:r>
            <w:r w:rsidRPr="007A580F">
              <w:rPr>
                <w:rFonts w:cs="Calibri" w:asciiTheme="minorHAnsi" w:hAnsiTheme="minorHAnsi"/>
                <w:sz w:val="21"/>
                <w:szCs w:val="21"/>
              </w:rPr>
              <w:t xml:space="preserve"> CH</w:t>
            </w:r>
            <w:r w:rsidRPr="007A580F">
              <w:rPr>
                <w:rFonts w:cs="Calibri" w:asciiTheme="minorHAnsi" w:hAnsiTheme="minorHAnsi"/>
                <w:sz w:val="21"/>
                <w:szCs w:val="21"/>
                <w:vertAlign w:val="subscript"/>
              </w:rPr>
              <w:t>4</w:t>
            </w:r>
            <w:r w:rsidRPr="007A580F">
              <w:rPr>
                <w:rFonts w:asciiTheme="minorHAnsi" w:hAnsiTheme="minorHAnsi" w:cstheme="minorHAnsi"/>
                <w:sz w:val="21"/>
                <w:szCs w:val="21"/>
              </w:rPr>
              <w:t>)</w:t>
            </w:r>
          </w:p>
        </w:tc>
        <w:tc>
          <w:tcPr>
            <w:tcW w:w="72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7A580F" w:rsidR="001F0154" w:rsidP="00A14F8D" w:rsidRDefault="001F0154" w14:paraId="793063DE" w14:textId="77777777">
            <w:pPr>
              <w:jc w:val="center"/>
              <w:rPr>
                <w:rFonts w:asciiTheme="minorHAnsi" w:hAnsiTheme="minorHAnsi" w:cstheme="minorHAnsi"/>
                <w:sz w:val="21"/>
                <w:szCs w:val="21"/>
              </w:rPr>
            </w:pPr>
            <w:r w:rsidRPr="007A580F">
              <w:rPr>
                <w:rFonts w:asciiTheme="minorHAnsi" w:hAnsiTheme="minorHAnsi" w:cstheme="minorHAnsi"/>
                <w:sz w:val="21"/>
                <w:szCs w:val="21"/>
              </w:rPr>
              <w:t>X</w:t>
            </w:r>
          </w:p>
        </w:tc>
      </w:tr>
      <w:tr w:rsidRPr="007A580F" w:rsidR="001F0154" w:rsidTr="00A14F8D" w14:paraId="05729F47" w14:textId="77777777">
        <w:trPr>
          <w:trHeight w:val="260"/>
          <w:jc w:val="center"/>
        </w:trPr>
        <w:tc>
          <w:tcPr>
            <w:tcW w:w="1440" w:type="dxa"/>
            <w:vMerge w:val="restart"/>
            <w:tcBorders>
              <w:left w:val="single" w:color="auto" w:sz="4" w:space="0"/>
              <w:right w:val="single" w:color="auto" w:sz="4" w:space="0"/>
            </w:tcBorders>
            <w:shd w:val="clear" w:color="auto" w:fill="auto"/>
            <w:vAlign w:val="center"/>
          </w:tcPr>
          <w:p w:rsidRPr="007A580F" w:rsidR="001F0154" w:rsidP="00A14F8D" w:rsidRDefault="001F0154" w14:paraId="13828A77" w14:textId="77777777">
            <w:pPr>
              <w:rPr>
                <w:rFonts w:asciiTheme="minorHAnsi" w:hAnsiTheme="minorHAnsi" w:cstheme="minorHAnsi"/>
                <w:sz w:val="21"/>
                <w:szCs w:val="21"/>
              </w:rPr>
            </w:pPr>
            <w:r w:rsidRPr="007A580F">
              <w:rPr>
                <w:rFonts w:asciiTheme="minorHAnsi" w:hAnsiTheme="minorHAnsi" w:cstheme="minorHAnsi"/>
                <w:sz w:val="21"/>
                <w:szCs w:val="21"/>
              </w:rPr>
              <w:t>Voluntary action to reduce methane emissions during the reporting year</w:t>
            </w:r>
          </w:p>
        </w:tc>
        <w:tc>
          <w:tcPr>
            <w:tcW w:w="1526" w:type="dxa"/>
            <w:vMerge w:val="restart"/>
            <w:tcBorders>
              <w:left w:val="single" w:color="auto" w:sz="4" w:space="0"/>
              <w:right w:val="single" w:color="auto" w:sz="4" w:space="0"/>
            </w:tcBorders>
            <w:shd w:val="clear" w:color="auto" w:fill="auto"/>
            <w:vAlign w:val="center"/>
          </w:tcPr>
          <w:p w:rsidRPr="007A580F" w:rsidR="001F0154" w:rsidP="00A14F8D" w:rsidRDefault="001F0154" w14:paraId="1206BEB7" w14:textId="77777777">
            <w:pPr>
              <w:rPr>
                <w:rFonts w:asciiTheme="minorHAnsi" w:hAnsiTheme="minorHAnsi" w:cstheme="minorHAnsi"/>
                <w:sz w:val="21"/>
                <w:szCs w:val="21"/>
              </w:rPr>
            </w:pPr>
            <w:r w:rsidRPr="007A580F">
              <w:rPr>
                <w:rFonts w:asciiTheme="minorHAnsi" w:hAnsiTheme="minorHAnsi" w:cstheme="minorHAnsi"/>
                <w:sz w:val="21"/>
                <w:szCs w:val="21"/>
              </w:rPr>
              <w:t>Difference in emissions before and after mitigation</w:t>
            </w:r>
            <w:r w:rsidRPr="007A580F">
              <w:rPr>
                <w:rFonts w:asciiTheme="minorHAnsi" w:hAnsiTheme="minorHAnsi" w:cstheme="minorHAnsi"/>
                <w:sz w:val="21"/>
                <w:szCs w:val="21"/>
                <w:vertAlign w:val="superscript"/>
              </w:rPr>
              <w:footnoteReference w:id="12"/>
            </w:r>
            <w:r w:rsidRPr="007A580F">
              <w:rPr>
                <w:rFonts w:asciiTheme="minorHAnsi" w:hAnsiTheme="minorHAnsi" w:cstheme="minorHAnsi"/>
                <w:sz w:val="21"/>
                <w:szCs w:val="21"/>
              </w:rPr>
              <w:t xml:space="preserve"> </w:t>
            </w:r>
          </w:p>
        </w:tc>
        <w:tc>
          <w:tcPr>
            <w:tcW w:w="5674" w:type="dxa"/>
            <w:tcBorders>
              <w:top w:val="single" w:color="auto" w:sz="4" w:space="0"/>
              <w:left w:val="single" w:color="auto" w:sz="4" w:space="0"/>
              <w:bottom w:val="single" w:color="auto" w:sz="4" w:space="0"/>
              <w:right w:val="single" w:color="auto" w:sz="4" w:space="0"/>
            </w:tcBorders>
            <w:shd w:val="clear" w:color="auto" w:fill="auto"/>
            <w:vAlign w:val="center"/>
          </w:tcPr>
          <w:p w:rsidRPr="007A580F" w:rsidR="001F0154" w:rsidP="00A14F8D" w:rsidRDefault="001F0154" w14:paraId="27CF30E6" w14:textId="77777777">
            <w:pPr>
              <w:rPr>
                <w:rFonts w:asciiTheme="minorHAnsi" w:hAnsiTheme="minorHAnsi" w:cstheme="minorHAnsi"/>
                <w:sz w:val="21"/>
                <w:szCs w:val="21"/>
              </w:rPr>
            </w:pPr>
            <w:r w:rsidRPr="007A580F">
              <w:rPr>
                <w:rFonts w:asciiTheme="minorHAnsi" w:hAnsiTheme="minorHAnsi" w:cstheme="minorHAnsi"/>
                <w:sz w:val="21"/>
                <w:szCs w:val="21"/>
              </w:rPr>
              <w:t xml:space="preserve">Number of high-bleed controllers converted to low-bleed </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Pr="007A580F" w:rsidR="001F0154" w:rsidP="00A14F8D" w:rsidRDefault="001F0154" w14:paraId="5293A6CB" w14:textId="77777777">
            <w:pPr>
              <w:jc w:val="center"/>
              <w:rPr>
                <w:rFonts w:asciiTheme="minorHAnsi" w:hAnsiTheme="minorHAnsi" w:cstheme="minorHAnsi"/>
                <w:sz w:val="21"/>
                <w:szCs w:val="21"/>
              </w:rPr>
            </w:pPr>
          </w:p>
        </w:tc>
      </w:tr>
      <w:tr w:rsidRPr="007A580F" w:rsidR="001F0154" w:rsidTr="00A14F8D" w14:paraId="11158448" w14:textId="77777777">
        <w:trPr>
          <w:trHeight w:val="260"/>
          <w:jc w:val="center"/>
        </w:trPr>
        <w:tc>
          <w:tcPr>
            <w:tcW w:w="1440" w:type="dxa"/>
            <w:vMerge/>
            <w:tcBorders>
              <w:left w:val="single" w:color="auto" w:sz="4" w:space="0"/>
              <w:right w:val="single" w:color="auto" w:sz="4" w:space="0"/>
            </w:tcBorders>
            <w:shd w:val="clear" w:color="auto" w:fill="auto"/>
            <w:vAlign w:val="center"/>
          </w:tcPr>
          <w:p w:rsidRPr="007A580F" w:rsidR="001F0154" w:rsidP="00A14F8D" w:rsidRDefault="001F0154" w14:paraId="19551EFE" w14:textId="77777777">
            <w:pPr>
              <w:rPr>
                <w:rFonts w:asciiTheme="minorHAnsi" w:hAnsiTheme="minorHAnsi" w:cstheme="minorHAnsi"/>
                <w:sz w:val="21"/>
                <w:szCs w:val="21"/>
                <w:u w:val="single"/>
              </w:rPr>
            </w:pPr>
          </w:p>
        </w:tc>
        <w:tc>
          <w:tcPr>
            <w:tcW w:w="1526" w:type="dxa"/>
            <w:vMerge/>
            <w:tcBorders>
              <w:left w:val="single" w:color="auto" w:sz="4" w:space="0"/>
              <w:right w:val="single" w:color="auto" w:sz="4" w:space="0"/>
            </w:tcBorders>
            <w:shd w:val="clear" w:color="auto" w:fill="auto"/>
            <w:vAlign w:val="center"/>
          </w:tcPr>
          <w:p w:rsidRPr="007A580F" w:rsidR="001F0154" w:rsidP="00A14F8D" w:rsidRDefault="001F0154" w14:paraId="7192B297" w14:textId="77777777">
            <w:pPr>
              <w:rPr>
                <w:rFonts w:asciiTheme="minorHAnsi" w:hAnsiTheme="minorHAnsi" w:cstheme="minorHAnsi"/>
                <w:sz w:val="21"/>
                <w:szCs w:val="21"/>
              </w:rPr>
            </w:pPr>
          </w:p>
        </w:tc>
        <w:tc>
          <w:tcPr>
            <w:tcW w:w="5674" w:type="dxa"/>
            <w:tcBorders>
              <w:top w:val="single" w:color="auto" w:sz="4" w:space="0"/>
              <w:left w:val="single" w:color="auto" w:sz="4" w:space="0"/>
              <w:bottom w:val="single" w:color="auto" w:sz="4" w:space="0"/>
              <w:right w:val="single" w:color="auto" w:sz="4" w:space="0"/>
            </w:tcBorders>
            <w:shd w:val="clear" w:color="auto" w:fill="auto"/>
            <w:vAlign w:val="center"/>
          </w:tcPr>
          <w:p w:rsidRPr="007A580F" w:rsidR="001F0154" w:rsidP="00A14F8D" w:rsidRDefault="001F0154" w14:paraId="23DA2D2A" w14:textId="77777777">
            <w:pPr>
              <w:rPr>
                <w:rFonts w:asciiTheme="minorHAnsi" w:hAnsiTheme="minorHAnsi" w:cstheme="minorHAnsi"/>
                <w:sz w:val="21"/>
                <w:szCs w:val="21"/>
              </w:rPr>
            </w:pPr>
            <w:r w:rsidRPr="007A580F">
              <w:rPr>
                <w:rFonts w:asciiTheme="minorHAnsi" w:hAnsiTheme="minorHAnsi" w:cstheme="minorHAnsi"/>
                <w:sz w:val="21"/>
                <w:szCs w:val="21"/>
              </w:rPr>
              <w:t>Number of high-bleed controllers converted to zero emitting or removed from service</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Pr="007A580F" w:rsidR="001F0154" w:rsidP="00A14F8D" w:rsidRDefault="001F0154" w14:paraId="040363BA" w14:textId="77777777">
            <w:pPr>
              <w:jc w:val="center"/>
              <w:rPr>
                <w:rFonts w:asciiTheme="minorHAnsi" w:hAnsiTheme="minorHAnsi" w:cstheme="minorHAnsi"/>
                <w:sz w:val="21"/>
                <w:szCs w:val="21"/>
              </w:rPr>
            </w:pPr>
          </w:p>
        </w:tc>
      </w:tr>
      <w:tr w:rsidRPr="007A580F" w:rsidR="004263DF" w:rsidTr="00A14F8D" w14:paraId="446866BE" w14:textId="77777777">
        <w:trPr>
          <w:trHeight w:val="260"/>
          <w:jc w:val="center"/>
        </w:trPr>
        <w:tc>
          <w:tcPr>
            <w:tcW w:w="1440" w:type="dxa"/>
            <w:vMerge/>
            <w:tcBorders>
              <w:left w:val="single" w:color="auto" w:sz="4" w:space="0"/>
              <w:right w:val="single" w:color="auto" w:sz="4" w:space="0"/>
            </w:tcBorders>
            <w:shd w:val="clear" w:color="auto" w:fill="auto"/>
            <w:vAlign w:val="center"/>
          </w:tcPr>
          <w:p w:rsidRPr="007A580F" w:rsidR="004263DF" w:rsidP="00A14F8D" w:rsidRDefault="004263DF" w14:paraId="2D1CD19B" w14:textId="77777777">
            <w:pPr>
              <w:rPr>
                <w:rFonts w:cstheme="minorHAnsi"/>
                <w:sz w:val="21"/>
                <w:szCs w:val="21"/>
                <w:u w:val="single"/>
              </w:rPr>
            </w:pPr>
          </w:p>
        </w:tc>
        <w:tc>
          <w:tcPr>
            <w:tcW w:w="1526" w:type="dxa"/>
            <w:vMerge/>
            <w:tcBorders>
              <w:left w:val="single" w:color="auto" w:sz="4" w:space="0"/>
              <w:right w:val="single" w:color="auto" w:sz="4" w:space="0"/>
            </w:tcBorders>
            <w:shd w:val="clear" w:color="auto" w:fill="auto"/>
            <w:vAlign w:val="center"/>
          </w:tcPr>
          <w:p w:rsidRPr="007A580F" w:rsidR="004263DF" w:rsidP="00A14F8D" w:rsidRDefault="004263DF" w14:paraId="45A1EB7E" w14:textId="77777777">
            <w:pPr>
              <w:rPr>
                <w:rFonts w:cstheme="minorHAnsi"/>
                <w:sz w:val="21"/>
                <w:szCs w:val="21"/>
              </w:rPr>
            </w:pPr>
          </w:p>
        </w:tc>
        <w:tc>
          <w:tcPr>
            <w:tcW w:w="5674" w:type="dxa"/>
            <w:tcBorders>
              <w:top w:val="single" w:color="auto" w:sz="4" w:space="0"/>
              <w:left w:val="single" w:color="auto" w:sz="4" w:space="0"/>
              <w:bottom w:val="single" w:color="auto" w:sz="4" w:space="0"/>
              <w:right w:val="single" w:color="auto" w:sz="4" w:space="0"/>
            </w:tcBorders>
            <w:shd w:val="clear" w:color="auto" w:fill="auto"/>
            <w:vAlign w:val="center"/>
          </w:tcPr>
          <w:p w:rsidRPr="002E09F6" w:rsidR="002E09F6" w:rsidP="00A14F8D" w:rsidRDefault="004263DF" w14:paraId="6FD425D9" w14:textId="6C48F630">
            <w:pPr>
              <w:rPr>
                <w:rFonts w:cstheme="minorHAnsi"/>
                <w:sz w:val="21"/>
                <w:szCs w:val="21"/>
                <w:highlight w:val="yellow"/>
              </w:rPr>
            </w:pPr>
            <w:r w:rsidRPr="002E09F6">
              <w:rPr>
                <w:rFonts w:cstheme="minorHAnsi"/>
                <w:sz w:val="21"/>
                <w:szCs w:val="21"/>
                <w:highlight w:val="yellow"/>
              </w:rPr>
              <w:t>Number of intermittent-bleed controllers converted to zero emitting or removed from service</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Pr="007A580F" w:rsidR="004263DF" w:rsidP="00A14F8D" w:rsidRDefault="004263DF" w14:paraId="38BCF74F" w14:textId="77777777">
            <w:pPr>
              <w:jc w:val="center"/>
              <w:rPr>
                <w:rFonts w:cstheme="minorHAnsi"/>
                <w:sz w:val="21"/>
                <w:szCs w:val="21"/>
              </w:rPr>
            </w:pPr>
          </w:p>
        </w:tc>
      </w:tr>
      <w:tr w:rsidRPr="007A580F" w:rsidR="002E09F6" w:rsidTr="00A14F8D" w14:paraId="2E30ECC3" w14:textId="77777777">
        <w:trPr>
          <w:trHeight w:val="260"/>
          <w:jc w:val="center"/>
        </w:trPr>
        <w:tc>
          <w:tcPr>
            <w:tcW w:w="1440" w:type="dxa"/>
            <w:vMerge/>
            <w:tcBorders>
              <w:left w:val="single" w:color="auto" w:sz="4" w:space="0"/>
              <w:right w:val="single" w:color="auto" w:sz="4" w:space="0"/>
            </w:tcBorders>
            <w:shd w:val="clear" w:color="auto" w:fill="auto"/>
            <w:vAlign w:val="center"/>
          </w:tcPr>
          <w:p w:rsidRPr="007A580F" w:rsidR="002E09F6" w:rsidP="00A14F8D" w:rsidRDefault="002E09F6" w14:paraId="4F1BEB18" w14:textId="77777777">
            <w:pPr>
              <w:rPr>
                <w:rFonts w:cstheme="minorHAnsi"/>
                <w:sz w:val="21"/>
                <w:szCs w:val="21"/>
                <w:u w:val="single"/>
              </w:rPr>
            </w:pPr>
          </w:p>
        </w:tc>
        <w:tc>
          <w:tcPr>
            <w:tcW w:w="1526" w:type="dxa"/>
            <w:vMerge/>
            <w:tcBorders>
              <w:left w:val="single" w:color="auto" w:sz="4" w:space="0"/>
              <w:right w:val="single" w:color="auto" w:sz="4" w:space="0"/>
            </w:tcBorders>
            <w:shd w:val="clear" w:color="auto" w:fill="auto"/>
            <w:vAlign w:val="center"/>
          </w:tcPr>
          <w:p w:rsidRPr="007A580F" w:rsidR="002E09F6" w:rsidP="00A14F8D" w:rsidRDefault="002E09F6" w14:paraId="7D16E9AE" w14:textId="77777777">
            <w:pPr>
              <w:rPr>
                <w:rFonts w:cstheme="minorHAnsi"/>
                <w:sz w:val="21"/>
                <w:szCs w:val="21"/>
              </w:rPr>
            </w:pPr>
          </w:p>
        </w:tc>
        <w:tc>
          <w:tcPr>
            <w:tcW w:w="5674" w:type="dxa"/>
            <w:tcBorders>
              <w:top w:val="single" w:color="auto" w:sz="4" w:space="0"/>
              <w:left w:val="single" w:color="auto" w:sz="4" w:space="0"/>
              <w:bottom w:val="single" w:color="auto" w:sz="4" w:space="0"/>
              <w:right w:val="single" w:color="auto" w:sz="4" w:space="0"/>
            </w:tcBorders>
            <w:shd w:val="clear" w:color="auto" w:fill="auto"/>
            <w:vAlign w:val="center"/>
          </w:tcPr>
          <w:p w:rsidRPr="002E09F6" w:rsidR="002E09F6" w:rsidP="00C76707" w:rsidRDefault="002E09F6" w14:paraId="730FC2FA" w14:textId="28593A3A">
            <w:pPr>
              <w:ind w:left="390"/>
              <w:rPr>
                <w:rFonts w:cstheme="minorHAnsi"/>
                <w:sz w:val="21"/>
                <w:szCs w:val="21"/>
                <w:highlight w:val="yellow"/>
              </w:rPr>
            </w:pPr>
            <w:r w:rsidRPr="002E09F6">
              <w:rPr>
                <w:rFonts w:cstheme="minorHAnsi"/>
                <w:sz w:val="21"/>
                <w:szCs w:val="21"/>
                <w:highlight w:val="yellow"/>
              </w:rPr>
              <w:t xml:space="preserve">If </w:t>
            </w:r>
            <w:r w:rsidR="005649E9">
              <w:rPr>
                <w:rFonts w:cstheme="minorHAnsi"/>
                <w:sz w:val="21"/>
                <w:szCs w:val="21"/>
                <w:highlight w:val="yellow"/>
              </w:rPr>
              <w:t>converting or removing intermittent-bleed controllers</w:t>
            </w:r>
            <w:r w:rsidRPr="002E09F6">
              <w:rPr>
                <w:rFonts w:cstheme="minorHAnsi"/>
                <w:sz w:val="21"/>
                <w:szCs w:val="21"/>
                <w:highlight w:val="yellow"/>
              </w:rPr>
              <w:t xml:space="preserve">, </w:t>
            </w:r>
            <w:r w:rsidR="005649E9">
              <w:rPr>
                <w:rFonts w:cstheme="minorHAnsi"/>
                <w:sz w:val="21"/>
                <w:szCs w:val="21"/>
                <w:highlight w:val="yellow"/>
              </w:rPr>
              <w:t>m</w:t>
            </w:r>
            <w:r w:rsidRPr="002E09F6">
              <w:rPr>
                <w:rFonts w:cstheme="minorHAnsi"/>
                <w:sz w:val="21"/>
                <w:szCs w:val="21"/>
                <w:highlight w:val="yellow"/>
              </w:rPr>
              <w:t>itigation technolog</w:t>
            </w:r>
            <w:r w:rsidR="00FF1CEF">
              <w:rPr>
                <w:rFonts w:cstheme="minorHAnsi"/>
                <w:sz w:val="21"/>
                <w:szCs w:val="21"/>
                <w:highlight w:val="yellow"/>
              </w:rPr>
              <w:t>y</w:t>
            </w:r>
            <w:r w:rsidR="005649E9">
              <w:rPr>
                <w:rFonts w:cstheme="minorHAnsi"/>
                <w:sz w:val="21"/>
                <w:szCs w:val="21"/>
                <w:highlight w:val="yellow"/>
              </w:rPr>
              <w:t>(ies)</w:t>
            </w:r>
            <w:r w:rsidRPr="002E09F6">
              <w:rPr>
                <w:rFonts w:cstheme="minorHAnsi"/>
                <w:sz w:val="21"/>
                <w:szCs w:val="21"/>
                <w:highlight w:val="yellow"/>
              </w:rPr>
              <w:t xml:space="preserve"> used</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Pr="007A580F" w:rsidR="002E09F6" w:rsidP="00A14F8D" w:rsidRDefault="002E09F6" w14:paraId="3EB7D9F2" w14:textId="77777777">
            <w:pPr>
              <w:jc w:val="center"/>
              <w:rPr>
                <w:rFonts w:cstheme="minorHAnsi"/>
                <w:sz w:val="21"/>
                <w:szCs w:val="21"/>
              </w:rPr>
            </w:pPr>
          </w:p>
        </w:tc>
      </w:tr>
      <w:tr w:rsidRPr="007A580F" w:rsidR="001F0154" w:rsidTr="00A14F8D" w14:paraId="1ACB3E89" w14:textId="77777777">
        <w:trPr>
          <w:trHeight w:val="260"/>
          <w:jc w:val="center"/>
        </w:trPr>
        <w:tc>
          <w:tcPr>
            <w:tcW w:w="1440" w:type="dxa"/>
            <w:vMerge/>
            <w:tcBorders>
              <w:left w:val="single" w:color="auto" w:sz="4" w:space="0"/>
              <w:right w:val="single" w:color="auto" w:sz="4" w:space="0"/>
            </w:tcBorders>
            <w:shd w:val="clear" w:color="auto" w:fill="auto"/>
            <w:vAlign w:val="center"/>
          </w:tcPr>
          <w:p w:rsidRPr="007A580F" w:rsidR="001F0154" w:rsidP="00A14F8D" w:rsidRDefault="001F0154" w14:paraId="018069FE" w14:textId="77777777">
            <w:pPr>
              <w:rPr>
                <w:rFonts w:asciiTheme="minorHAnsi" w:hAnsiTheme="minorHAnsi" w:cstheme="minorHAnsi"/>
                <w:sz w:val="21"/>
                <w:szCs w:val="21"/>
                <w:u w:val="single"/>
              </w:rPr>
            </w:pPr>
          </w:p>
        </w:tc>
        <w:tc>
          <w:tcPr>
            <w:tcW w:w="1526" w:type="dxa"/>
            <w:vMerge/>
            <w:tcBorders>
              <w:left w:val="single" w:color="auto" w:sz="4" w:space="0"/>
              <w:right w:val="single" w:color="auto" w:sz="4" w:space="0"/>
            </w:tcBorders>
            <w:shd w:val="clear" w:color="auto" w:fill="auto"/>
            <w:vAlign w:val="center"/>
          </w:tcPr>
          <w:p w:rsidRPr="007A580F" w:rsidR="001F0154" w:rsidP="00A14F8D" w:rsidRDefault="001F0154" w14:paraId="366EF2B7" w14:textId="77777777">
            <w:pPr>
              <w:rPr>
                <w:rFonts w:asciiTheme="minorHAnsi" w:hAnsiTheme="minorHAnsi" w:cstheme="minorHAnsi"/>
                <w:sz w:val="21"/>
                <w:szCs w:val="21"/>
              </w:rPr>
            </w:pPr>
          </w:p>
        </w:tc>
        <w:tc>
          <w:tcPr>
            <w:tcW w:w="5674" w:type="dxa"/>
            <w:tcBorders>
              <w:top w:val="single" w:color="auto" w:sz="4" w:space="0"/>
              <w:left w:val="single" w:color="auto" w:sz="4" w:space="0"/>
              <w:bottom w:val="single" w:color="auto" w:sz="4" w:space="0"/>
              <w:right w:val="single" w:color="auto" w:sz="4" w:space="0"/>
            </w:tcBorders>
            <w:shd w:val="clear" w:color="auto" w:fill="auto"/>
            <w:vAlign w:val="center"/>
          </w:tcPr>
          <w:p w:rsidRPr="007A580F" w:rsidR="001F0154" w:rsidP="00A14F8D" w:rsidRDefault="001F0154" w14:paraId="59622E39" w14:textId="77777777">
            <w:pPr>
              <w:rPr>
                <w:rFonts w:asciiTheme="minorHAnsi" w:hAnsiTheme="minorHAnsi" w:cstheme="minorHAnsi"/>
                <w:sz w:val="21"/>
                <w:szCs w:val="21"/>
              </w:rPr>
            </w:pPr>
            <w:r w:rsidRPr="007A580F">
              <w:rPr>
                <w:rFonts w:asciiTheme="minorHAnsi" w:hAnsiTheme="minorHAnsi" w:cstheme="minorHAnsi"/>
                <w:sz w:val="21"/>
                <w:szCs w:val="21"/>
              </w:rPr>
              <w:t>Number of low bleed controllers converted to zero emitting or removed from service</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Pr="007A580F" w:rsidR="001F0154" w:rsidP="00A14F8D" w:rsidRDefault="001F0154" w14:paraId="26941A8C" w14:textId="77777777">
            <w:pPr>
              <w:jc w:val="center"/>
              <w:rPr>
                <w:rFonts w:asciiTheme="minorHAnsi" w:hAnsiTheme="minorHAnsi" w:cstheme="minorHAnsi"/>
                <w:sz w:val="21"/>
                <w:szCs w:val="21"/>
              </w:rPr>
            </w:pPr>
          </w:p>
        </w:tc>
      </w:tr>
      <w:tr w:rsidRPr="007A580F" w:rsidR="001F0154" w:rsidTr="00A14F8D" w14:paraId="2409D84B" w14:textId="77777777">
        <w:trPr>
          <w:trHeight w:val="260"/>
          <w:jc w:val="center"/>
        </w:trPr>
        <w:tc>
          <w:tcPr>
            <w:tcW w:w="1440" w:type="dxa"/>
            <w:vMerge/>
            <w:tcBorders>
              <w:left w:val="single" w:color="auto" w:sz="4" w:space="0"/>
              <w:bottom w:val="single" w:color="auto" w:sz="4" w:space="0"/>
              <w:right w:val="single" w:color="auto" w:sz="4" w:space="0"/>
            </w:tcBorders>
            <w:shd w:val="clear" w:color="auto" w:fill="auto"/>
            <w:vAlign w:val="center"/>
          </w:tcPr>
          <w:p w:rsidRPr="007A580F" w:rsidR="001F0154" w:rsidP="00A14F8D" w:rsidRDefault="001F0154" w14:paraId="022AC0CD" w14:textId="77777777">
            <w:pPr>
              <w:rPr>
                <w:rFonts w:asciiTheme="minorHAnsi" w:hAnsiTheme="minorHAnsi" w:cstheme="minorHAnsi"/>
                <w:sz w:val="21"/>
                <w:szCs w:val="21"/>
                <w:u w:val="single"/>
              </w:rPr>
            </w:pPr>
          </w:p>
        </w:tc>
        <w:tc>
          <w:tcPr>
            <w:tcW w:w="1526" w:type="dxa"/>
            <w:vMerge/>
            <w:tcBorders>
              <w:left w:val="single" w:color="auto" w:sz="4" w:space="0"/>
              <w:bottom w:val="single" w:color="auto" w:sz="4" w:space="0"/>
              <w:right w:val="single" w:color="auto" w:sz="4" w:space="0"/>
            </w:tcBorders>
            <w:shd w:val="clear" w:color="auto" w:fill="auto"/>
            <w:vAlign w:val="center"/>
          </w:tcPr>
          <w:p w:rsidRPr="007A580F" w:rsidR="001F0154" w:rsidP="00A14F8D" w:rsidRDefault="001F0154" w14:paraId="3D332056" w14:textId="77777777">
            <w:pPr>
              <w:rPr>
                <w:rFonts w:asciiTheme="minorHAnsi" w:hAnsiTheme="minorHAnsi" w:cstheme="minorHAnsi"/>
                <w:sz w:val="21"/>
                <w:szCs w:val="21"/>
              </w:rPr>
            </w:pPr>
          </w:p>
        </w:tc>
        <w:tc>
          <w:tcPr>
            <w:tcW w:w="5674" w:type="dxa"/>
            <w:tcBorders>
              <w:top w:val="single" w:color="auto" w:sz="4" w:space="0"/>
              <w:left w:val="single" w:color="auto" w:sz="4" w:space="0"/>
              <w:bottom w:val="single" w:color="auto" w:sz="4" w:space="0"/>
              <w:right w:val="single" w:color="auto" w:sz="4" w:space="0"/>
            </w:tcBorders>
            <w:shd w:val="clear" w:color="auto" w:fill="auto"/>
            <w:vAlign w:val="center"/>
          </w:tcPr>
          <w:p w:rsidRPr="007A580F" w:rsidR="001F0154" w:rsidP="00A14F8D" w:rsidRDefault="001F0154" w14:paraId="6D6C4EFF" w14:textId="77777777">
            <w:pPr>
              <w:rPr>
                <w:rFonts w:asciiTheme="minorHAnsi" w:hAnsiTheme="minorHAnsi" w:cstheme="minorHAnsi"/>
                <w:sz w:val="21"/>
                <w:szCs w:val="21"/>
              </w:rPr>
            </w:pPr>
            <w:r w:rsidRPr="007A580F">
              <w:rPr>
                <w:rFonts w:asciiTheme="minorHAnsi" w:hAnsiTheme="minorHAnsi" w:cstheme="minorHAnsi"/>
                <w:sz w:val="21"/>
                <w:szCs w:val="21"/>
              </w:rPr>
              <w:t>Emission reductions from voluntary action (mt CH</w:t>
            </w:r>
            <w:r w:rsidRPr="007A580F">
              <w:rPr>
                <w:rFonts w:asciiTheme="minorHAnsi" w:hAnsiTheme="minorHAnsi" w:cstheme="minorHAnsi"/>
                <w:sz w:val="21"/>
                <w:szCs w:val="21"/>
                <w:vertAlign w:val="subscript"/>
              </w:rPr>
              <w:t>4</w:t>
            </w:r>
            <w:r w:rsidRPr="007A580F">
              <w:rPr>
                <w:rFonts w:asciiTheme="minorHAnsi" w:hAnsiTheme="minorHAnsi" w:cstheme="minorHAnsi"/>
                <w:sz w:val="21"/>
                <w:szCs w:val="21"/>
              </w:rPr>
              <w:t>)</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Pr="007A580F" w:rsidR="001F0154" w:rsidP="00A14F8D" w:rsidRDefault="001F0154" w14:paraId="6F1F6F9D" w14:textId="77777777">
            <w:pPr>
              <w:jc w:val="center"/>
              <w:rPr>
                <w:rFonts w:asciiTheme="minorHAnsi" w:hAnsiTheme="minorHAnsi" w:cstheme="minorHAnsi"/>
                <w:sz w:val="21"/>
                <w:szCs w:val="21"/>
              </w:rPr>
            </w:pPr>
          </w:p>
        </w:tc>
      </w:tr>
    </w:tbl>
    <w:p w:rsidRPr="007A580F" w:rsidR="001F0154" w:rsidP="001F0154" w:rsidRDefault="001F0154" w14:paraId="28BB6B45" w14:textId="77777777">
      <w:pPr>
        <w:rPr>
          <w:rFonts w:ascii="Calibri" w:hAnsi="Calibri" w:cs="Calibri"/>
        </w:rPr>
      </w:pPr>
    </w:p>
    <w:p w:rsidR="00131EFF" w:rsidP="00084222" w:rsidRDefault="001F0154" w14:paraId="10EB9C52" w14:textId="373F2151">
      <w:pPr>
        <w:pStyle w:val="Heading2"/>
      </w:pPr>
      <w:r>
        <w:br w:type="page"/>
      </w:r>
    </w:p>
    <w:p w:rsidRPr="007A580F" w:rsidR="001F0154" w:rsidP="00084222" w:rsidRDefault="001F0154" w14:paraId="13DF6BAE" w14:textId="5AD3F85B">
      <w:pPr>
        <w:pStyle w:val="Heading2"/>
      </w:pPr>
      <w:bookmarkStart w:name="_Ref67321241" w:id="18"/>
      <w:bookmarkStart w:name="_Toc67322582" w:id="19"/>
      <w:r w:rsidRPr="007A580F">
        <w:lastRenderedPageBreak/>
        <w:t>Fixed Roof, Atmospheric Pressure Hydrocarbon Liquid Storage Tanks</w:t>
      </w:r>
      <w:bookmarkEnd w:id="18"/>
      <w:bookmarkEnd w:id="19"/>
    </w:p>
    <w:p w:rsidRPr="009B0364" w:rsidR="001F0154" w:rsidP="001F0154" w:rsidRDefault="001F0154" w14:paraId="7D329DF7" w14:textId="77777777">
      <w:pPr>
        <w:rPr>
          <w:rFonts w:ascii="Calibri" w:hAnsi="Calibri" w:cs="Calibri"/>
          <w:szCs w:val="22"/>
          <w:u w:val="single"/>
        </w:rPr>
      </w:pPr>
      <w:r>
        <w:rPr>
          <w:rFonts w:ascii="Calibri" w:hAnsi="Calibri" w:cs="Calibri"/>
          <w:szCs w:val="22"/>
          <w:u w:val="single"/>
        </w:rPr>
        <w:t>Applicable Segments:</w:t>
      </w:r>
      <w:r w:rsidRPr="00053AA8">
        <w:rPr>
          <w:rFonts w:ascii="Calibri" w:hAnsi="Calibri" w:cs="Calibri"/>
          <w:szCs w:val="22"/>
        </w:rPr>
        <w:t xml:space="preserve"> </w:t>
      </w:r>
      <w:r>
        <w:rPr>
          <w:rFonts w:ascii="Calibri" w:hAnsi="Calibri" w:cs="Calibri"/>
          <w:szCs w:val="22"/>
        </w:rPr>
        <w:t>Production, Gathering and Boosting</w:t>
      </w:r>
    </w:p>
    <w:p w:rsidRPr="007A580F" w:rsidR="001F0154" w:rsidP="001F0154" w:rsidRDefault="001F0154" w14:paraId="19E30FEF" w14:textId="77777777">
      <w:pPr>
        <w:rPr>
          <w:rFonts w:ascii="Calibri" w:hAnsi="Calibri" w:cs="Calibri"/>
          <w:szCs w:val="22"/>
        </w:rPr>
      </w:pPr>
      <w:r w:rsidRPr="007A580F">
        <w:rPr>
          <w:rFonts w:ascii="Calibri" w:hAnsi="Calibri" w:cs="Calibri"/>
          <w:szCs w:val="22"/>
          <w:u w:val="single"/>
        </w:rPr>
        <w:t>Source Description</w:t>
      </w:r>
      <w:r w:rsidRPr="007A580F">
        <w:rPr>
          <w:rFonts w:ascii="Calibri" w:hAnsi="Calibri" w:cs="Calibri"/>
          <w:szCs w:val="22"/>
        </w:rPr>
        <w:t xml:space="preserve">: Atmospheric pressure fixed roof storage tanks receiving hydrocarbon produced liquids from onshore petroleum and natural gas production and gathering and boosting facilities. </w:t>
      </w:r>
    </w:p>
    <w:p w:rsidRPr="007A580F" w:rsidR="001F0154" w:rsidP="001F0154" w:rsidRDefault="001F0154" w14:paraId="36E6F966" w14:textId="77777777">
      <w:pPr>
        <w:rPr>
          <w:rFonts w:ascii="Calibri" w:hAnsi="Calibri" w:cs="Calibri"/>
          <w:szCs w:val="22"/>
        </w:rPr>
      </w:pPr>
      <w:r w:rsidRPr="007A580F">
        <w:rPr>
          <w:rFonts w:ascii="Calibri" w:hAnsi="Calibri" w:cs="Calibri"/>
          <w:szCs w:val="22"/>
          <w:u w:val="single"/>
        </w:rPr>
        <w:t>Mitigation Options</w:t>
      </w:r>
      <w:r w:rsidRPr="007A580F">
        <w:rPr>
          <w:rFonts w:ascii="Calibri" w:hAnsi="Calibri" w:cs="Calibri"/>
          <w:szCs w:val="22"/>
        </w:rPr>
        <w:t>:</w:t>
      </w:r>
    </w:p>
    <w:p w:rsidRPr="007A580F" w:rsidR="001F0154" w:rsidP="00932D65" w:rsidRDefault="001F0154" w14:paraId="55FA9306" w14:textId="77777777">
      <w:pPr>
        <w:numPr>
          <w:ilvl w:val="0"/>
          <w:numId w:val="2"/>
        </w:numPr>
        <w:spacing w:after="0"/>
        <w:contextualSpacing/>
        <w:rPr>
          <w:rFonts w:ascii="Calibri" w:hAnsi="Calibri" w:cs="Calibri"/>
          <w:szCs w:val="22"/>
        </w:rPr>
      </w:pPr>
      <w:r w:rsidRPr="007A580F">
        <w:rPr>
          <w:rFonts w:ascii="Calibri" w:hAnsi="Calibri" w:cs="Calibri"/>
          <w:szCs w:val="22"/>
        </w:rPr>
        <w:t>Route gas to a capture system (e.g. a vapor recovery unit or VRU) for beneficial use</w:t>
      </w:r>
      <w:r w:rsidRPr="007A580F">
        <w:rPr>
          <w:rFonts w:cstheme="minorHAnsi"/>
          <w:szCs w:val="22"/>
          <w:vertAlign w:val="superscript"/>
        </w:rPr>
        <w:footnoteReference w:id="13"/>
      </w:r>
      <w:r w:rsidRPr="007A580F">
        <w:rPr>
          <w:rFonts w:ascii="Calibri" w:hAnsi="Calibri" w:cs="Calibri"/>
          <w:szCs w:val="22"/>
        </w:rPr>
        <w:t xml:space="preserve"> to achieve at least a 95% reduction in methane emissions</w:t>
      </w:r>
      <w:r w:rsidRPr="007A580F">
        <w:rPr>
          <w:rFonts w:ascii="Calibri" w:hAnsi="Calibri" w:cs="Calibri"/>
          <w:szCs w:val="22"/>
          <w:vertAlign w:val="superscript"/>
        </w:rPr>
        <w:footnoteReference w:id="14"/>
      </w:r>
      <w:r w:rsidRPr="007A580F">
        <w:rPr>
          <w:rFonts w:ascii="Calibri" w:hAnsi="Calibri" w:cs="Calibri"/>
          <w:szCs w:val="22"/>
        </w:rPr>
        <w:t>, or</w:t>
      </w:r>
    </w:p>
    <w:p w:rsidRPr="007A580F" w:rsidR="001F0154" w:rsidP="00932D65" w:rsidRDefault="001F0154" w14:paraId="08E72646" w14:textId="77777777">
      <w:pPr>
        <w:numPr>
          <w:ilvl w:val="0"/>
          <w:numId w:val="2"/>
        </w:numPr>
        <w:rPr>
          <w:rFonts w:ascii="Calibri" w:hAnsi="Calibri" w:cs="Calibri"/>
          <w:szCs w:val="22"/>
        </w:rPr>
      </w:pPr>
      <w:r w:rsidRPr="007A580F">
        <w:rPr>
          <w:rFonts w:ascii="Calibri" w:hAnsi="Calibri" w:cs="Calibri"/>
          <w:szCs w:val="22"/>
        </w:rPr>
        <w:t>Route gas to a flare or</w:t>
      </w:r>
      <w:r w:rsidRPr="007A580F">
        <w:rPr>
          <w:rFonts w:ascii="Calibri" w:hAnsi="Calibri"/>
          <w:szCs w:val="22"/>
        </w:rPr>
        <w:t xml:space="preserve"> control device</w:t>
      </w:r>
      <w:r w:rsidRPr="007A580F">
        <w:rPr>
          <w:rFonts w:ascii="Calibri" w:hAnsi="Calibri"/>
          <w:szCs w:val="22"/>
          <w:vertAlign w:val="superscript"/>
        </w:rPr>
        <w:footnoteReference w:id="15"/>
      </w:r>
      <w:r w:rsidRPr="007A580F">
        <w:rPr>
          <w:rFonts w:ascii="Calibri" w:hAnsi="Calibri"/>
          <w:szCs w:val="22"/>
        </w:rPr>
        <w:t xml:space="preserve"> </w:t>
      </w:r>
      <w:r w:rsidRPr="007A580F">
        <w:rPr>
          <w:rFonts w:ascii="Calibri" w:hAnsi="Calibri" w:cs="Calibri"/>
          <w:szCs w:val="22"/>
        </w:rPr>
        <w:t>to achieve at least a 95% reduction in methane emissions.</w:t>
      </w:r>
    </w:p>
    <w:p w:rsidRPr="007A580F" w:rsidR="001F0154" w:rsidP="001F0154" w:rsidRDefault="001F0154" w14:paraId="26B3FDC9" w14:textId="77777777">
      <w:pPr>
        <w:rPr>
          <w:rFonts w:ascii="Calibri" w:hAnsi="Calibri" w:cs="Calibri"/>
          <w:szCs w:val="22"/>
        </w:rPr>
      </w:pPr>
      <w:r w:rsidRPr="007A580F">
        <w:rPr>
          <w:rFonts w:ascii="Calibri" w:hAnsi="Calibri" w:cs="Calibri"/>
          <w:szCs w:val="22"/>
          <w:u w:val="single"/>
        </w:rPr>
        <w:t>Commitment Timeframe</w:t>
      </w:r>
      <w:r w:rsidRPr="007A580F">
        <w:rPr>
          <w:rFonts w:ascii="Calibri" w:hAnsi="Calibri" w:cs="Calibri"/>
          <w:szCs w:val="22"/>
        </w:rPr>
        <w:t>: Partners commit to implement the specified mitigation options for all sources included in their commitment by their designated commitment achievement date, not to exceed five (5) years from the commitment start date.</w:t>
      </w:r>
    </w:p>
    <w:p w:rsidRPr="007A580F" w:rsidR="001F0154" w:rsidP="001F0154" w:rsidRDefault="001F0154" w14:paraId="621BBDE4" w14:textId="77777777">
      <w:pPr>
        <w:rPr>
          <w:rFonts w:ascii="Calibri" w:hAnsi="Calibri" w:cs="Calibri"/>
          <w:szCs w:val="22"/>
          <w:u w:val="single"/>
        </w:rPr>
      </w:pPr>
      <w:r w:rsidRPr="007A580F">
        <w:rPr>
          <w:rFonts w:ascii="Calibri" w:hAnsi="Calibri" w:cs="Calibri"/>
          <w:szCs w:val="22"/>
          <w:u w:val="single"/>
        </w:rPr>
        <w:t>Reporting</w:t>
      </w:r>
      <w:r>
        <w:rPr>
          <w:rFonts w:ascii="Calibri" w:hAnsi="Calibri" w:cs="Calibri"/>
          <w:szCs w:val="22"/>
          <w:u w:val="single"/>
        </w:rPr>
        <w:t>:</w:t>
      </w:r>
    </w:p>
    <w:tbl>
      <w:tblPr>
        <w:tblStyle w:val="TableGrid61511"/>
        <w:tblW w:w="9360" w:type="dxa"/>
        <w:jc w:val="center"/>
        <w:tblInd w:w="0" w:type="dxa"/>
        <w:tblLayout w:type="fixed"/>
        <w:tblCellMar>
          <w:left w:w="58" w:type="dxa"/>
          <w:right w:w="58" w:type="dxa"/>
        </w:tblCellMar>
        <w:tblLook w:val="04A0" w:firstRow="1" w:lastRow="0" w:firstColumn="1" w:lastColumn="0" w:noHBand="0" w:noVBand="1"/>
        <w:tblDescription w:val="Reporting for Fixed Roof, Atmospheric Pressure Hydrocarbon Liquid Storage Tanks"/>
      </w:tblPr>
      <w:tblGrid>
        <w:gridCol w:w="2515"/>
        <w:gridCol w:w="1343"/>
        <w:gridCol w:w="4822"/>
        <w:gridCol w:w="680"/>
      </w:tblGrid>
      <w:tr w:rsidRPr="007A580F" w:rsidR="001F0154" w:rsidTr="00A14F8D" w14:paraId="4AD42A96" w14:textId="77777777">
        <w:trPr>
          <w:trHeight w:val="395"/>
          <w:tblHeader/>
          <w:jc w:val="center"/>
        </w:trPr>
        <w:tc>
          <w:tcPr>
            <w:tcW w:w="2515" w:type="dxa"/>
            <w:tcBorders>
              <w:top w:val="single" w:color="auto" w:sz="4" w:space="0"/>
              <w:left w:val="single" w:color="auto" w:sz="4" w:space="0"/>
              <w:bottom w:val="single" w:color="auto" w:sz="4" w:space="0"/>
              <w:right w:val="single" w:color="auto" w:sz="4" w:space="0"/>
            </w:tcBorders>
            <w:shd w:val="clear" w:color="auto" w:fill="A6A6A6" w:themeFill="background1" w:themeFillShade="A6"/>
            <w:hideMark/>
          </w:tcPr>
          <w:p w:rsidRPr="007A580F" w:rsidR="001F0154" w:rsidP="00A14F8D" w:rsidRDefault="001F0154" w14:paraId="5D50C4AB" w14:textId="77777777">
            <w:pPr>
              <w:rPr>
                <w:rFonts w:asciiTheme="minorHAnsi" w:hAnsiTheme="minorHAnsi" w:cstheme="minorHAnsi"/>
                <w:b/>
                <w:sz w:val="20"/>
                <w:szCs w:val="21"/>
              </w:rPr>
            </w:pPr>
            <w:r w:rsidRPr="007A580F">
              <w:rPr>
                <w:rFonts w:asciiTheme="minorHAnsi" w:hAnsiTheme="minorHAnsi" w:cstheme="minorHAnsi"/>
                <w:b/>
                <w:sz w:val="20"/>
                <w:szCs w:val="21"/>
              </w:rPr>
              <w:t>Emission Source</w:t>
            </w:r>
          </w:p>
        </w:tc>
        <w:tc>
          <w:tcPr>
            <w:tcW w:w="1343" w:type="dxa"/>
            <w:tcBorders>
              <w:top w:val="single" w:color="auto" w:sz="4" w:space="0"/>
              <w:left w:val="single" w:color="auto" w:sz="4" w:space="0"/>
              <w:bottom w:val="single" w:color="auto" w:sz="4" w:space="0"/>
              <w:right w:val="single" w:color="auto" w:sz="4" w:space="0"/>
            </w:tcBorders>
            <w:shd w:val="clear" w:color="auto" w:fill="A6A6A6" w:themeFill="background1" w:themeFillShade="A6"/>
            <w:hideMark/>
          </w:tcPr>
          <w:p w:rsidRPr="007A580F" w:rsidR="001F0154" w:rsidP="00A14F8D" w:rsidRDefault="001F0154" w14:paraId="7E95C316" w14:textId="77777777">
            <w:pPr>
              <w:rPr>
                <w:rFonts w:asciiTheme="minorHAnsi" w:hAnsiTheme="minorHAnsi" w:cstheme="minorHAnsi"/>
                <w:b/>
                <w:sz w:val="20"/>
                <w:szCs w:val="21"/>
              </w:rPr>
            </w:pPr>
            <w:r w:rsidRPr="007A580F">
              <w:rPr>
                <w:rFonts w:asciiTheme="minorHAnsi" w:hAnsiTheme="minorHAnsi" w:cstheme="minorHAnsi"/>
                <w:b/>
                <w:sz w:val="20"/>
                <w:szCs w:val="21"/>
              </w:rPr>
              <w:t>Quantification Method</w:t>
            </w:r>
          </w:p>
        </w:tc>
        <w:tc>
          <w:tcPr>
            <w:tcW w:w="4822" w:type="dxa"/>
            <w:tcBorders>
              <w:top w:val="single" w:color="auto" w:sz="4" w:space="0"/>
              <w:left w:val="single" w:color="auto" w:sz="4" w:space="0"/>
              <w:bottom w:val="single" w:color="auto" w:sz="4" w:space="0"/>
              <w:right w:val="single" w:color="auto" w:sz="4" w:space="0"/>
            </w:tcBorders>
            <w:shd w:val="clear" w:color="auto" w:fill="A6A6A6" w:themeFill="background1" w:themeFillShade="A6"/>
            <w:hideMark/>
          </w:tcPr>
          <w:p w:rsidRPr="007A580F" w:rsidR="001F0154" w:rsidP="00A14F8D" w:rsidRDefault="001F0154" w14:paraId="526A2391" w14:textId="77777777">
            <w:pPr>
              <w:rPr>
                <w:rFonts w:asciiTheme="minorHAnsi" w:hAnsiTheme="minorHAnsi" w:cstheme="minorHAnsi"/>
                <w:b/>
                <w:sz w:val="20"/>
                <w:szCs w:val="21"/>
              </w:rPr>
            </w:pPr>
            <w:r w:rsidRPr="007A580F">
              <w:rPr>
                <w:rFonts w:asciiTheme="minorHAnsi" w:hAnsiTheme="minorHAnsi" w:cstheme="minorHAnsi"/>
                <w:b/>
                <w:sz w:val="20"/>
                <w:szCs w:val="21"/>
              </w:rPr>
              <w:t>Data Elements Collected via Facility-Level Reporting</w:t>
            </w:r>
            <w:r w:rsidRPr="007A580F">
              <w:rPr>
                <w:rFonts w:asciiTheme="minorHAnsi" w:hAnsiTheme="minorHAnsi" w:cstheme="minorHAnsi"/>
                <w:b/>
                <w:sz w:val="20"/>
                <w:szCs w:val="21"/>
                <w:vertAlign w:val="superscript"/>
              </w:rPr>
              <w:footnoteReference w:id="16"/>
            </w:r>
          </w:p>
        </w:tc>
        <w:tc>
          <w:tcPr>
            <w:tcW w:w="680" w:type="dxa"/>
            <w:tcBorders>
              <w:top w:val="single" w:color="auto" w:sz="4" w:space="0"/>
              <w:left w:val="single" w:color="auto" w:sz="4" w:space="0"/>
              <w:bottom w:val="single" w:color="auto" w:sz="4" w:space="0"/>
              <w:right w:val="single" w:color="auto" w:sz="4" w:space="0"/>
            </w:tcBorders>
            <w:shd w:val="clear" w:color="auto" w:fill="A6A6A6" w:themeFill="background1" w:themeFillShade="A6"/>
            <w:tcMar>
              <w:left w:w="0" w:type="dxa"/>
              <w:right w:w="0" w:type="dxa"/>
            </w:tcMar>
            <w:hideMark/>
          </w:tcPr>
          <w:p w:rsidRPr="007A580F" w:rsidR="001F0154" w:rsidP="00A14F8D" w:rsidRDefault="001F0154" w14:paraId="4CE36630" w14:textId="77777777">
            <w:pPr>
              <w:rPr>
                <w:rFonts w:asciiTheme="minorHAnsi" w:hAnsiTheme="minorHAnsi" w:cstheme="minorHAnsi"/>
                <w:b/>
                <w:sz w:val="20"/>
                <w:szCs w:val="21"/>
              </w:rPr>
            </w:pPr>
            <w:r w:rsidRPr="007A580F">
              <w:rPr>
                <w:rFonts w:asciiTheme="minorHAnsi" w:hAnsiTheme="minorHAnsi" w:cstheme="minorHAnsi"/>
                <w:b/>
                <w:sz w:val="20"/>
                <w:szCs w:val="21"/>
              </w:rPr>
              <w:t>GHGRP</w:t>
            </w:r>
          </w:p>
        </w:tc>
      </w:tr>
      <w:tr w:rsidRPr="007A580F" w:rsidR="00AC2B97" w:rsidTr="00C76707" w14:paraId="0B43358C" w14:textId="77777777">
        <w:trPr>
          <w:trHeight w:val="152"/>
          <w:jc w:val="center"/>
        </w:trPr>
        <w:tc>
          <w:tcPr>
            <w:tcW w:w="2515" w:type="dxa"/>
            <w:tcBorders>
              <w:top w:val="single" w:color="auto" w:sz="4" w:space="0"/>
              <w:left w:val="single" w:color="auto" w:sz="4" w:space="0"/>
              <w:right w:val="single" w:color="auto" w:sz="4" w:space="0"/>
            </w:tcBorders>
            <w:shd w:val="clear" w:color="auto" w:fill="D9D9D9" w:themeFill="background1" w:themeFillShade="D9"/>
            <w:vAlign w:val="center"/>
          </w:tcPr>
          <w:p w:rsidRPr="007A580F" w:rsidR="00AC2B97" w:rsidP="00A14F8D" w:rsidRDefault="00A73CC1" w14:paraId="146DF4D0" w14:textId="7821C989">
            <w:pPr>
              <w:rPr>
                <w:rFonts w:cstheme="minorHAnsi"/>
                <w:sz w:val="21"/>
                <w:szCs w:val="21"/>
              </w:rPr>
            </w:pPr>
            <w:r w:rsidRPr="00A73CC1">
              <w:rPr>
                <w:rFonts w:cstheme="minorHAnsi"/>
                <w:sz w:val="21"/>
                <w:szCs w:val="21"/>
              </w:rPr>
              <w:t>Fixed Roof, Atmospheric Pressure Hydrocarbon Liquid Storage Tanks</w:t>
            </w:r>
          </w:p>
        </w:tc>
        <w:tc>
          <w:tcPr>
            <w:tcW w:w="1343" w:type="dxa"/>
            <w:tcBorders>
              <w:top w:val="single" w:color="auto" w:sz="4" w:space="0"/>
              <w:left w:val="single" w:color="auto" w:sz="4" w:space="0"/>
              <w:right w:val="single" w:color="auto" w:sz="4" w:space="0"/>
            </w:tcBorders>
            <w:shd w:val="clear" w:color="auto" w:fill="D9D9D9" w:themeFill="background1" w:themeFillShade="D9"/>
            <w:vAlign w:val="center"/>
          </w:tcPr>
          <w:p w:rsidRPr="007A580F" w:rsidR="00AC2B97" w:rsidP="00A14F8D" w:rsidRDefault="00A73CC1" w14:paraId="59558702" w14:textId="7586C2AF">
            <w:pPr>
              <w:rPr>
                <w:rFonts w:cstheme="minorHAnsi"/>
                <w:sz w:val="21"/>
                <w:szCs w:val="21"/>
              </w:rPr>
            </w:pPr>
            <w:r>
              <w:rPr>
                <w:rFonts w:cstheme="minorHAnsi"/>
                <w:sz w:val="21"/>
                <w:szCs w:val="21"/>
              </w:rPr>
              <w:t>N/A</w:t>
            </w:r>
          </w:p>
        </w:tc>
        <w:tc>
          <w:tcPr>
            <w:tcW w:w="4822"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9F270C" w:rsidR="00AC2B97" w:rsidP="00A14F8D" w:rsidRDefault="00A73CC1" w14:paraId="41294173" w14:textId="69B0BC2A">
            <w:pPr>
              <w:rPr>
                <w:rFonts w:cstheme="minorHAnsi"/>
                <w:sz w:val="21"/>
                <w:szCs w:val="21"/>
              </w:rPr>
            </w:pPr>
            <w:r w:rsidRPr="009B1C36">
              <w:rPr>
                <w:rFonts w:cstheme="minorHAnsi"/>
                <w:sz w:val="21"/>
                <w:szCs w:val="21"/>
                <w:highlight w:val="yellow"/>
              </w:rPr>
              <w:t>Basin ID</w:t>
            </w:r>
          </w:p>
        </w:tc>
        <w:tc>
          <w:tcPr>
            <w:tcW w:w="68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00AC2B97" w:rsidP="00A14F8D" w:rsidRDefault="00A73CC1" w14:paraId="66C0BDEE" w14:textId="3C2F894D">
            <w:pPr>
              <w:jc w:val="center"/>
              <w:rPr>
                <w:rFonts w:cstheme="minorHAnsi"/>
                <w:sz w:val="21"/>
                <w:szCs w:val="21"/>
              </w:rPr>
            </w:pPr>
            <w:r>
              <w:rPr>
                <w:rFonts w:cstheme="minorHAnsi"/>
                <w:sz w:val="21"/>
                <w:szCs w:val="21"/>
              </w:rPr>
              <w:t>X</w:t>
            </w:r>
          </w:p>
        </w:tc>
      </w:tr>
      <w:tr w:rsidRPr="007A580F" w:rsidR="002F5E0F" w:rsidTr="00A14F8D" w14:paraId="290B11AD" w14:textId="77777777">
        <w:trPr>
          <w:trHeight w:val="152"/>
          <w:jc w:val="center"/>
        </w:trPr>
        <w:tc>
          <w:tcPr>
            <w:tcW w:w="2515" w:type="dxa"/>
            <w:vMerge w:val="restart"/>
            <w:tcBorders>
              <w:top w:val="single" w:color="auto" w:sz="4" w:space="0"/>
              <w:left w:val="single" w:color="auto" w:sz="4" w:space="0"/>
              <w:right w:val="single" w:color="auto" w:sz="4" w:space="0"/>
            </w:tcBorders>
            <w:shd w:val="clear" w:color="auto" w:fill="auto"/>
            <w:vAlign w:val="center"/>
          </w:tcPr>
          <w:p w:rsidRPr="007A580F" w:rsidR="002F5E0F" w:rsidP="002F5E0F" w:rsidRDefault="002F5E0F" w14:paraId="3D07B861" w14:textId="7B9EE518">
            <w:pPr>
              <w:rPr>
                <w:rFonts w:asciiTheme="minorHAnsi" w:hAnsiTheme="minorHAnsi" w:cstheme="minorHAnsi"/>
                <w:sz w:val="21"/>
                <w:szCs w:val="21"/>
              </w:rPr>
            </w:pPr>
            <w:r w:rsidRPr="007A580F">
              <w:rPr>
                <w:rFonts w:asciiTheme="minorHAnsi" w:hAnsiTheme="minorHAnsi" w:cstheme="minorHAnsi"/>
                <w:sz w:val="21"/>
                <w:szCs w:val="21"/>
              </w:rPr>
              <w:t>For gas-liquid separators or gathering and boosting non-separator equipment (e.g., stabilizers, slug catchers) with annual average daily throughput of oil greater than or equal to 10 barrels per day, and for wells flowing directly to atmospheric storage tanks without passing through a separator with throughput greater than or equal to 10 barrels per day:</w:t>
            </w:r>
          </w:p>
          <w:p w:rsidRPr="007A580F" w:rsidR="002F5E0F" w:rsidP="002F5E0F" w:rsidRDefault="002F5E0F" w14:paraId="6C3934EE" w14:textId="77777777">
            <w:pPr>
              <w:numPr>
                <w:ilvl w:val="0"/>
                <w:numId w:val="3"/>
              </w:numPr>
              <w:spacing w:after="0"/>
              <w:contextualSpacing/>
              <w:rPr>
                <w:rFonts w:asciiTheme="minorHAnsi" w:hAnsiTheme="minorHAnsi" w:cstheme="minorHAnsi"/>
                <w:sz w:val="21"/>
                <w:szCs w:val="21"/>
              </w:rPr>
            </w:pPr>
            <w:r w:rsidRPr="007A580F">
              <w:rPr>
                <w:rFonts w:asciiTheme="minorHAnsi" w:hAnsiTheme="minorHAnsi" w:cstheme="minorHAnsi"/>
                <w:sz w:val="21"/>
                <w:szCs w:val="21"/>
              </w:rPr>
              <w:lastRenderedPageBreak/>
              <w:t>Tanks venting to atmosphere</w:t>
            </w:r>
          </w:p>
          <w:p w:rsidRPr="007A580F" w:rsidR="002F5E0F" w:rsidP="002F5E0F" w:rsidRDefault="002F5E0F" w14:paraId="69B08A8A" w14:textId="77777777">
            <w:pPr>
              <w:numPr>
                <w:ilvl w:val="0"/>
                <w:numId w:val="4"/>
              </w:numPr>
              <w:spacing w:after="0"/>
              <w:contextualSpacing/>
              <w:rPr>
                <w:rFonts w:asciiTheme="minorHAnsi" w:hAnsiTheme="minorHAnsi" w:cstheme="minorHAnsi"/>
                <w:sz w:val="21"/>
                <w:szCs w:val="21"/>
              </w:rPr>
            </w:pPr>
            <w:r w:rsidRPr="007A580F">
              <w:rPr>
                <w:rFonts w:asciiTheme="minorHAnsi" w:hAnsiTheme="minorHAnsi" w:cstheme="minorHAnsi"/>
                <w:sz w:val="21"/>
                <w:szCs w:val="21"/>
              </w:rPr>
              <w:t>Tanks routing gas to a flare</w:t>
            </w:r>
          </w:p>
          <w:p w:rsidRPr="007A580F" w:rsidR="002F5E0F" w:rsidP="002F5E0F" w:rsidRDefault="002F5E0F" w14:paraId="655DA4D2" w14:textId="34BFC88B">
            <w:pPr>
              <w:numPr>
                <w:ilvl w:val="0"/>
                <w:numId w:val="4"/>
              </w:numPr>
              <w:spacing w:after="0"/>
              <w:contextualSpacing/>
              <w:rPr>
                <w:rFonts w:cstheme="minorHAnsi"/>
                <w:sz w:val="21"/>
                <w:szCs w:val="21"/>
              </w:rPr>
            </w:pPr>
            <w:r w:rsidRPr="007A580F">
              <w:rPr>
                <w:rFonts w:asciiTheme="minorHAnsi" w:hAnsiTheme="minorHAnsi" w:cstheme="minorHAnsi"/>
                <w:sz w:val="21"/>
                <w:szCs w:val="21"/>
              </w:rPr>
              <w:t>Tanks routing gas to capture system for beneficial use</w:t>
            </w:r>
          </w:p>
        </w:tc>
        <w:tc>
          <w:tcPr>
            <w:tcW w:w="1343" w:type="dxa"/>
            <w:vMerge w:val="restart"/>
            <w:tcBorders>
              <w:top w:val="single" w:color="auto" w:sz="4" w:space="0"/>
              <w:left w:val="single" w:color="auto" w:sz="4" w:space="0"/>
              <w:right w:val="single" w:color="auto" w:sz="4" w:space="0"/>
            </w:tcBorders>
            <w:shd w:val="clear" w:color="auto" w:fill="auto"/>
            <w:vAlign w:val="center"/>
          </w:tcPr>
          <w:p w:rsidRPr="007A580F" w:rsidR="002F5E0F" w:rsidP="002F5E0F" w:rsidRDefault="002F5E0F" w14:paraId="5488F1BE" w14:textId="5314B0E4">
            <w:pPr>
              <w:rPr>
                <w:rFonts w:cstheme="minorHAnsi"/>
                <w:sz w:val="21"/>
                <w:szCs w:val="21"/>
              </w:rPr>
            </w:pPr>
            <w:r w:rsidRPr="007A580F">
              <w:rPr>
                <w:rFonts w:asciiTheme="minorHAnsi" w:hAnsiTheme="minorHAnsi" w:cstheme="minorHAnsi"/>
                <w:sz w:val="21"/>
                <w:szCs w:val="21"/>
              </w:rPr>
              <w:lastRenderedPageBreak/>
              <w:t>Subpart W calculation methods 1 or 2, adjusted as needed for vents routed to VRU (beneficial use) or flare</w:t>
            </w:r>
            <w:r w:rsidRPr="007A580F">
              <w:rPr>
                <w:rFonts w:asciiTheme="minorHAnsi" w:hAnsiTheme="minorHAnsi" w:cstheme="minorHAnsi"/>
                <w:sz w:val="21"/>
                <w:szCs w:val="21"/>
                <w:vertAlign w:val="superscript"/>
              </w:rPr>
              <w:footnoteReference w:id="17"/>
            </w:r>
            <w:r w:rsidRPr="007A580F">
              <w:rPr>
                <w:rFonts w:asciiTheme="minorHAnsi" w:hAnsiTheme="minorHAnsi" w:cstheme="minorHAnsi"/>
                <w:sz w:val="21"/>
                <w:szCs w:val="21"/>
              </w:rPr>
              <w:t xml:space="preserve"> </w:t>
            </w:r>
          </w:p>
        </w:tc>
        <w:tc>
          <w:tcPr>
            <w:tcW w:w="4822" w:type="dxa"/>
            <w:tcBorders>
              <w:top w:val="single" w:color="auto" w:sz="4" w:space="0"/>
              <w:left w:val="single" w:color="auto" w:sz="4" w:space="0"/>
              <w:bottom w:val="single" w:color="auto" w:sz="4" w:space="0"/>
              <w:right w:val="single" w:color="auto" w:sz="4" w:space="0"/>
            </w:tcBorders>
            <w:shd w:val="clear" w:color="auto" w:fill="auto"/>
            <w:vAlign w:val="center"/>
          </w:tcPr>
          <w:p w:rsidRPr="007A580F" w:rsidR="002F5E0F" w:rsidP="002F5E0F" w:rsidRDefault="002F5E0F" w14:paraId="24AEDD9E" w14:textId="49794179">
            <w:pPr>
              <w:rPr>
                <w:rFonts w:cstheme="minorHAnsi"/>
                <w:sz w:val="21"/>
                <w:szCs w:val="21"/>
              </w:rPr>
            </w:pPr>
            <w:r w:rsidRPr="007A580F">
              <w:rPr>
                <w:rFonts w:asciiTheme="minorHAnsi" w:hAnsiTheme="minorHAnsi" w:cstheme="minorHAnsi"/>
                <w:sz w:val="21"/>
                <w:szCs w:val="21"/>
              </w:rPr>
              <w:t>Sub-Basin ID or county ID, as applicable depending on the industry segment</w:t>
            </w:r>
          </w:p>
        </w:tc>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rsidRPr="007A580F" w:rsidR="002F5E0F" w:rsidP="002F5E0F" w:rsidRDefault="002F5E0F" w14:paraId="6378B6D6" w14:textId="413ECE89">
            <w:pPr>
              <w:jc w:val="center"/>
              <w:rPr>
                <w:rFonts w:cstheme="minorHAnsi"/>
                <w:sz w:val="21"/>
                <w:szCs w:val="21"/>
              </w:rPr>
            </w:pPr>
            <w:r w:rsidRPr="007A580F">
              <w:rPr>
                <w:rFonts w:asciiTheme="minorHAnsi" w:hAnsiTheme="minorHAnsi" w:cstheme="minorHAnsi"/>
                <w:sz w:val="21"/>
                <w:szCs w:val="21"/>
              </w:rPr>
              <w:t>X</w:t>
            </w:r>
          </w:p>
        </w:tc>
      </w:tr>
      <w:tr w:rsidRPr="007A580F" w:rsidR="002F5E0F" w:rsidTr="00A14F8D" w14:paraId="11F12313" w14:textId="77777777">
        <w:trPr>
          <w:trHeight w:val="233"/>
          <w:jc w:val="center"/>
        </w:trPr>
        <w:tc>
          <w:tcPr>
            <w:tcW w:w="2515" w:type="dxa"/>
            <w:vMerge/>
            <w:tcBorders>
              <w:left w:val="single" w:color="auto" w:sz="4" w:space="0"/>
              <w:right w:val="single" w:color="auto" w:sz="4" w:space="0"/>
            </w:tcBorders>
            <w:shd w:val="clear" w:color="auto" w:fill="auto"/>
            <w:vAlign w:val="center"/>
            <w:hideMark/>
          </w:tcPr>
          <w:p w:rsidRPr="007A580F" w:rsidR="002F5E0F" w:rsidP="002F5E0F" w:rsidRDefault="002F5E0F" w14:paraId="1998BA5F" w14:textId="77777777">
            <w:pPr>
              <w:rPr>
                <w:rFonts w:asciiTheme="minorHAnsi" w:hAnsiTheme="minorHAnsi" w:cstheme="minorHAnsi"/>
                <w:sz w:val="21"/>
                <w:szCs w:val="21"/>
              </w:rPr>
            </w:pPr>
          </w:p>
        </w:tc>
        <w:tc>
          <w:tcPr>
            <w:tcW w:w="1343" w:type="dxa"/>
            <w:vMerge/>
            <w:tcBorders>
              <w:left w:val="single" w:color="auto" w:sz="4" w:space="0"/>
              <w:right w:val="single" w:color="auto" w:sz="4" w:space="0"/>
            </w:tcBorders>
            <w:shd w:val="clear" w:color="auto" w:fill="auto"/>
            <w:vAlign w:val="center"/>
            <w:hideMark/>
          </w:tcPr>
          <w:p w:rsidRPr="007A580F" w:rsidR="002F5E0F" w:rsidP="002F5E0F" w:rsidRDefault="002F5E0F" w14:paraId="133295C6" w14:textId="77777777">
            <w:pPr>
              <w:rPr>
                <w:rFonts w:asciiTheme="minorHAnsi" w:hAnsiTheme="minorHAnsi" w:cstheme="minorHAnsi"/>
                <w:sz w:val="21"/>
                <w:szCs w:val="21"/>
              </w:rPr>
            </w:pPr>
          </w:p>
        </w:tc>
        <w:tc>
          <w:tcPr>
            <w:tcW w:w="482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A580F" w:rsidR="002F5E0F" w:rsidP="002F5E0F" w:rsidRDefault="002F5E0F" w14:paraId="16A87671" w14:textId="77777777">
            <w:pPr>
              <w:rPr>
                <w:rFonts w:asciiTheme="minorHAnsi" w:hAnsiTheme="minorHAnsi" w:cstheme="minorHAnsi"/>
                <w:sz w:val="21"/>
                <w:szCs w:val="21"/>
              </w:rPr>
            </w:pPr>
            <w:r w:rsidRPr="007A580F">
              <w:rPr>
                <w:rFonts w:asciiTheme="minorHAnsi" w:hAnsiTheme="minorHAnsi" w:cstheme="minorHAnsi"/>
                <w:sz w:val="21"/>
                <w:szCs w:val="21"/>
              </w:rPr>
              <w:t>Calculation method used</w:t>
            </w:r>
          </w:p>
        </w:tc>
        <w:tc>
          <w:tcPr>
            <w:tcW w:w="6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A580F" w:rsidR="002F5E0F" w:rsidP="002F5E0F" w:rsidRDefault="002F5E0F" w14:paraId="57D498A7" w14:textId="77777777">
            <w:pPr>
              <w:jc w:val="center"/>
              <w:rPr>
                <w:rFonts w:asciiTheme="minorHAnsi" w:hAnsiTheme="minorHAnsi" w:cstheme="minorHAnsi"/>
                <w:sz w:val="21"/>
                <w:szCs w:val="21"/>
              </w:rPr>
            </w:pPr>
            <w:r w:rsidRPr="007A580F">
              <w:rPr>
                <w:rFonts w:asciiTheme="minorHAnsi" w:hAnsiTheme="minorHAnsi" w:cstheme="minorHAnsi"/>
                <w:sz w:val="21"/>
                <w:szCs w:val="21"/>
              </w:rPr>
              <w:t>X</w:t>
            </w:r>
          </w:p>
        </w:tc>
      </w:tr>
      <w:tr w:rsidRPr="007A580F" w:rsidR="002F5E0F" w:rsidTr="00A14F8D" w14:paraId="6ECDAAD0" w14:textId="77777777">
        <w:trPr>
          <w:trHeight w:val="233"/>
          <w:jc w:val="center"/>
        </w:trPr>
        <w:tc>
          <w:tcPr>
            <w:tcW w:w="2515" w:type="dxa"/>
            <w:vMerge/>
            <w:tcBorders>
              <w:left w:val="single" w:color="auto" w:sz="4" w:space="0"/>
              <w:right w:val="single" w:color="auto" w:sz="4" w:space="0"/>
            </w:tcBorders>
            <w:shd w:val="clear" w:color="auto" w:fill="auto"/>
            <w:vAlign w:val="center"/>
            <w:hideMark/>
          </w:tcPr>
          <w:p w:rsidRPr="007A580F" w:rsidR="002F5E0F" w:rsidP="002F5E0F" w:rsidRDefault="002F5E0F" w14:paraId="6ADB52A9" w14:textId="77777777">
            <w:pPr>
              <w:rPr>
                <w:rFonts w:asciiTheme="minorHAnsi" w:hAnsiTheme="minorHAnsi" w:cstheme="minorHAnsi"/>
                <w:sz w:val="21"/>
                <w:szCs w:val="21"/>
              </w:rPr>
            </w:pPr>
          </w:p>
        </w:tc>
        <w:tc>
          <w:tcPr>
            <w:tcW w:w="1343" w:type="dxa"/>
            <w:vMerge/>
            <w:tcBorders>
              <w:left w:val="single" w:color="auto" w:sz="4" w:space="0"/>
              <w:right w:val="single" w:color="auto" w:sz="4" w:space="0"/>
            </w:tcBorders>
            <w:shd w:val="clear" w:color="auto" w:fill="auto"/>
            <w:vAlign w:val="center"/>
            <w:hideMark/>
          </w:tcPr>
          <w:p w:rsidRPr="007A580F" w:rsidR="002F5E0F" w:rsidP="002F5E0F" w:rsidRDefault="002F5E0F" w14:paraId="7AFF1786" w14:textId="77777777">
            <w:pPr>
              <w:rPr>
                <w:rFonts w:asciiTheme="minorHAnsi" w:hAnsiTheme="minorHAnsi" w:cstheme="minorHAnsi"/>
                <w:sz w:val="21"/>
                <w:szCs w:val="21"/>
              </w:rPr>
            </w:pPr>
          </w:p>
        </w:tc>
        <w:tc>
          <w:tcPr>
            <w:tcW w:w="482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A580F" w:rsidR="002F5E0F" w:rsidP="002F5E0F" w:rsidRDefault="002F5E0F" w14:paraId="273672E2" w14:textId="77777777">
            <w:pPr>
              <w:rPr>
                <w:rFonts w:asciiTheme="minorHAnsi" w:hAnsiTheme="minorHAnsi" w:cstheme="minorHAnsi"/>
                <w:sz w:val="21"/>
                <w:szCs w:val="21"/>
              </w:rPr>
            </w:pPr>
            <w:r w:rsidRPr="007A580F">
              <w:rPr>
                <w:rFonts w:asciiTheme="minorHAnsi" w:hAnsiTheme="minorHAnsi" w:cstheme="minorHAnsi"/>
                <w:sz w:val="21"/>
                <w:szCs w:val="21"/>
              </w:rPr>
              <w:t>Count of atmospheric tanks that vent directly to the atmosphere</w:t>
            </w:r>
          </w:p>
        </w:tc>
        <w:tc>
          <w:tcPr>
            <w:tcW w:w="6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A580F" w:rsidR="002F5E0F" w:rsidP="002F5E0F" w:rsidRDefault="002F5E0F" w14:paraId="6EE1FDAC" w14:textId="77777777">
            <w:pPr>
              <w:jc w:val="center"/>
              <w:rPr>
                <w:rFonts w:asciiTheme="minorHAnsi" w:hAnsiTheme="minorHAnsi" w:cstheme="minorHAnsi"/>
                <w:sz w:val="21"/>
                <w:szCs w:val="21"/>
              </w:rPr>
            </w:pPr>
            <w:r w:rsidRPr="007A580F">
              <w:rPr>
                <w:rFonts w:asciiTheme="minorHAnsi" w:hAnsiTheme="minorHAnsi" w:cstheme="minorHAnsi"/>
                <w:sz w:val="21"/>
                <w:szCs w:val="21"/>
              </w:rPr>
              <w:t>X</w:t>
            </w:r>
          </w:p>
        </w:tc>
      </w:tr>
      <w:tr w:rsidRPr="007A580F" w:rsidR="002F5E0F" w:rsidTr="00A14F8D" w14:paraId="4703DCF7" w14:textId="77777777">
        <w:trPr>
          <w:trHeight w:val="422"/>
          <w:jc w:val="center"/>
        </w:trPr>
        <w:tc>
          <w:tcPr>
            <w:tcW w:w="2515" w:type="dxa"/>
            <w:vMerge/>
            <w:tcBorders>
              <w:left w:val="single" w:color="auto" w:sz="4" w:space="0"/>
              <w:right w:val="single" w:color="auto" w:sz="4" w:space="0"/>
            </w:tcBorders>
            <w:shd w:val="clear" w:color="auto" w:fill="auto"/>
            <w:vAlign w:val="center"/>
            <w:hideMark/>
          </w:tcPr>
          <w:p w:rsidRPr="007A580F" w:rsidR="002F5E0F" w:rsidP="002F5E0F" w:rsidRDefault="002F5E0F" w14:paraId="631EED2A" w14:textId="77777777">
            <w:pPr>
              <w:rPr>
                <w:rFonts w:asciiTheme="minorHAnsi" w:hAnsiTheme="minorHAnsi" w:cstheme="minorHAnsi"/>
                <w:sz w:val="21"/>
                <w:szCs w:val="21"/>
              </w:rPr>
            </w:pPr>
          </w:p>
        </w:tc>
        <w:tc>
          <w:tcPr>
            <w:tcW w:w="1343" w:type="dxa"/>
            <w:vMerge/>
            <w:tcBorders>
              <w:left w:val="single" w:color="auto" w:sz="4" w:space="0"/>
              <w:right w:val="single" w:color="auto" w:sz="4" w:space="0"/>
            </w:tcBorders>
            <w:shd w:val="clear" w:color="auto" w:fill="auto"/>
            <w:vAlign w:val="center"/>
            <w:hideMark/>
          </w:tcPr>
          <w:p w:rsidRPr="007A580F" w:rsidR="002F5E0F" w:rsidP="002F5E0F" w:rsidRDefault="002F5E0F" w14:paraId="347D4AFC" w14:textId="77777777">
            <w:pPr>
              <w:rPr>
                <w:rFonts w:asciiTheme="minorHAnsi" w:hAnsiTheme="minorHAnsi" w:cstheme="minorHAnsi"/>
                <w:sz w:val="21"/>
                <w:szCs w:val="21"/>
              </w:rPr>
            </w:pPr>
          </w:p>
        </w:tc>
        <w:tc>
          <w:tcPr>
            <w:tcW w:w="482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A580F" w:rsidR="002F5E0F" w:rsidP="002F5E0F" w:rsidRDefault="002F5E0F" w14:paraId="45B28083" w14:textId="77777777">
            <w:pPr>
              <w:rPr>
                <w:rFonts w:asciiTheme="minorHAnsi" w:hAnsiTheme="minorHAnsi" w:cstheme="minorHAnsi"/>
                <w:sz w:val="21"/>
                <w:szCs w:val="21"/>
              </w:rPr>
            </w:pPr>
            <w:r w:rsidRPr="007A580F">
              <w:rPr>
                <w:rFonts w:asciiTheme="minorHAnsi" w:hAnsiTheme="minorHAnsi" w:cstheme="minorHAnsi"/>
                <w:sz w:val="21"/>
                <w:szCs w:val="21"/>
              </w:rPr>
              <w:t>Count of atmospheric tanks with vapor recovery system emission control measures</w:t>
            </w:r>
          </w:p>
        </w:tc>
        <w:tc>
          <w:tcPr>
            <w:tcW w:w="6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A580F" w:rsidR="002F5E0F" w:rsidP="002F5E0F" w:rsidRDefault="002F5E0F" w14:paraId="6BF8E8B2" w14:textId="77777777">
            <w:pPr>
              <w:jc w:val="center"/>
              <w:rPr>
                <w:rFonts w:asciiTheme="minorHAnsi" w:hAnsiTheme="minorHAnsi" w:cstheme="minorHAnsi"/>
                <w:sz w:val="21"/>
                <w:szCs w:val="21"/>
              </w:rPr>
            </w:pPr>
            <w:r w:rsidRPr="007A580F">
              <w:rPr>
                <w:rFonts w:asciiTheme="minorHAnsi" w:hAnsiTheme="minorHAnsi" w:cstheme="minorHAnsi"/>
                <w:sz w:val="21"/>
                <w:szCs w:val="21"/>
              </w:rPr>
              <w:t>X</w:t>
            </w:r>
          </w:p>
        </w:tc>
      </w:tr>
      <w:tr w:rsidRPr="007A580F" w:rsidR="002F5E0F" w:rsidTr="00A14F8D" w14:paraId="75DC234D" w14:textId="77777777">
        <w:trPr>
          <w:trHeight w:val="503"/>
          <w:jc w:val="center"/>
        </w:trPr>
        <w:tc>
          <w:tcPr>
            <w:tcW w:w="2515" w:type="dxa"/>
            <w:vMerge/>
            <w:tcBorders>
              <w:left w:val="single" w:color="auto" w:sz="4" w:space="0"/>
              <w:right w:val="single" w:color="auto" w:sz="4" w:space="0"/>
            </w:tcBorders>
            <w:shd w:val="clear" w:color="auto" w:fill="auto"/>
            <w:vAlign w:val="center"/>
            <w:hideMark/>
          </w:tcPr>
          <w:p w:rsidRPr="007A580F" w:rsidR="002F5E0F" w:rsidP="002F5E0F" w:rsidRDefault="002F5E0F" w14:paraId="7A40C392" w14:textId="77777777">
            <w:pPr>
              <w:rPr>
                <w:rFonts w:asciiTheme="minorHAnsi" w:hAnsiTheme="minorHAnsi" w:cstheme="minorHAnsi"/>
                <w:sz w:val="21"/>
                <w:szCs w:val="21"/>
              </w:rPr>
            </w:pPr>
          </w:p>
        </w:tc>
        <w:tc>
          <w:tcPr>
            <w:tcW w:w="1343" w:type="dxa"/>
            <w:vMerge/>
            <w:tcBorders>
              <w:left w:val="single" w:color="auto" w:sz="4" w:space="0"/>
              <w:right w:val="single" w:color="auto" w:sz="4" w:space="0"/>
            </w:tcBorders>
            <w:shd w:val="clear" w:color="auto" w:fill="auto"/>
            <w:vAlign w:val="center"/>
            <w:hideMark/>
          </w:tcPr>
          <w:p w:rsidRPr="007A580F" w:rsidR="002F5E0F" w:rsidP="002F5E0F" w:rsidRDefault="002F5E0F" w14:paraId="219BC20F" w14:textId="77777777">
            <w:pPr>
              <w:rPr>
                <w:rFonts w:asciiTheme="minorHAnsi" w:hAnsiTheme="minorHAnsi" w:cstheme="minorHAnsi"/>
                <w:sz w:val="21"/>
                <w:szCs w:val="21"/>
              </w:rPr>
            </w:pPr>
          </w:p>
        </w:tc>
        <w:tc>
          <w:tcPr>
            <w:tcW w:w="482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A580F" w:rsidR="002F5E0F" w:rsidP="002F5E0F" w:rsidRDefault="002F5E0F" w14:paraId="6F708367" w14:textId="77777777">
            <w:pPr>
              <w:rPr>
                <w:rFonts w:asciiTheme="minorHAnsi" w:hAnsiTheme="minorHAnsi" w:cstheme="minorHAnsi"/>
                <w:sz w:val="21"/>
                <w:szCs w:val="21"/>
              </w:rPr>
            </w:pPr>
            <w:r w:rsidRPr="007A580F">
              <w:rPr>
                <w:rFonts w:asciiTheme="minorHAnsi" w:hAnsiTheme="minorHAnsi" w:cstheme="minorHAnsi"/>
                <w:sz w:val="21"/>
                <w:szCs w:val="21"/>
              </w:rPr>
              <w:t>Count of atmospheric tanks with flaring emission control measures</w:t>
            </w:r>
          </w:p>
        </w:tc>
        <w:tc>
          <w:tcPr>
            <w:tcW w:w="6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A580F" w:rsidR="002F5E0F" w:rsidP="002F5E0F" w:rsidRDefault="002F5E0F" w14:paraId="4A6DEAF9" w14:textId="77777777">
            <w:pPr>
              <w:jc w:val="center"/>
              <w:rPr>
                <w:rFonts w:asciiTheme="minorHAnsi" w:hAnsiTheme="minorHAnsi" w:cstheme="minorHAnsi"/>
                <w:sz w:val="21"/>
                <w:szCs w:val="21"/>
              </w:rPr>
            </w:pPr>
            <w:r w:rsidRPr="007A580F">
              <w:rPr>
                <w:rFonts w:asciiTheme="minorHAnsi" w:hAnsiTheme="minorHAnsi" w:cstheme="minorHAnsi"/>
                <w:sz w:val="21"/>
                <w:szCs w:val="21"/>
              </w:rPr>
              <w:t>X</w:t>
            </w:r>
          </w:p>
        </w:tc>
      </w:tr>
      <w:tr w:rsidRPr="007A580F" w:rsidR="002F5E0F" w:rsidTr="00A14F8D" w14:paraId="290A0B00" w14:textId="77777777">
        <w:trPr>
          <w:trHeight w:val="143"/>
          <w:jc w:val="center"/>
        </w:trPr>
        <w:tc>
          <w:tcPr>
            <w:tcW w:w="2515" w:type="dxa"/>
            <w:vMerge/>
            <w:tcBorders>
              <w:left w:val="single" w:color="auto" w:sz="4" w:space="0"/>
              <w:right w:val="single" w:color="auto" w:sz="4" w:space="0"/>
            </w:tcBorders>
            <w:shd w:val="clear" w:color="auto" w:fill="auto"/>
            <w:vAlign w:val="center"/>
            <w:hideMark/>
          </w:tcPr>
          <w:p w:rsidRPr="007A580F" w:rsidR="002F5E0F" w:rsidP="002F5E0F" w:rsidRDefault="002F5E0F" w14:paraId="194340CE" w14:textId="77777777">
            <w:pPr>
              <w:rPr>
                <w:rFonts w:asciiTheme="minorHAnsi" w:hAnsiTheme="minorHAnsi" w:cstheme="minorHAnsi"/>
                <w:sz w:val="21"/>
                <w:szCs w:val="21"/>
              </w:rPr>
            </w:pPr>
          </w:p>
        </w:tc>
        <w:tc>
          <w:tcPr>
            <w:tcW w:w="1343" w:type="dxa"/>
            <w:vMerge/>
            <w:tcBorders>
              <w:left w:val="single" w:color="auto" w:sz="4" w:space="0"/>
              <w:right w:val="single" w:color="auto" w:sz="4" w:space="0"/>
            </w:tcBorders>
            <w:shd w:val="clear" w:color="auto" w:fill="auto"/>
            <w:vAlign w:val="center"/>
            <w:hideMark/>
          </w:tcPr>
          <w:p w:rsidRPr="007A580F" w:rsidR="002F5E0F" w:rsidP="002F5E0F" w:rsidRDefault="002F5E0F" w14:paraId="4419CDD1" w14:textId="77777777">
            <w:pPr>
              <w:rPr>
                <w:rFonts w:asciiTheme="minorHAnsi" w:hAnsiTheme="minorHAnsi" w:cstheme="minorHAnsi"/>
                <w:sz w:val="21"/>
                <w:szCs w:val="21"/>
              </w:rPr>
            </w:pPr>
          </w:p>
        </w:tc>
        <w:tc>
          <w:tcPr>
            <w:tcW w:w="482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A580F" w:rsidR="002F5E0F" w:rsidP="002F5E0F" w:rsidRDefault="002F5E0F" w14:paraId="2CF9A07F" w14:textId="77777777">
            <w:pPr>
              <w:rPr>
                <w:rFonts w:asciiTheme="minorHAnsi" w:hAnsiTheme="minorHAnsi" w:cstheme="minorHAnsi"/>
                <w:sz w:val="21"/>
                <w:szCs w:val="21"/>
              </w:rPr>
            </w:pPr>
            <w:r w:rsidRPr="007A580F">
              <w:rPr>
                <w:rFonts w:asciiTheme="minorHAnsi" w:hAnsiTheme="minorHAnsi" w:cstheme="minorHAnsi"/>
                <w:sz w:val="21"/>
                <w:szCs w:val="21"/>
              </w:rPr>
              <w:t xml:space="preserve">Annual </w:t>
            </w:r>
            <w:r w:rsidRPr="007A580F">
              <w:rPr>
                <w:rFonts w:cs="Calibri" w:asciiTheme="minorHAnsi" w:hAnsiTheme="minorHAnsi"/>
                <w:sz w:val="21"/>
                <w:szCs w:val="21"/>
              </w:rPr>
              <w:t>CH</w:t>
            </w:r>
            <w:r w:rsidRPr="007A580F">
              <w:rPr>
                <w:rFonts w:cs="Calibri" w:asciiTheme="minorHAnsi" w:hAnsiTheme="minorHAnsi"/>
                <w:sz w:val="21"/>
                <w:szCs w:val="21"/>
                <w:vertAlign w:val="subscript"/>
              </w:rPr>
              <w:t>4</w:t>
            </w:r>
            <w:r w:rsidRPr="007A580F">
              <w:rPr>
                <w:rFonts w:asciiTheme="minorHAnsi" w:hAnsiTheme="minorHAnsi" w:cstheme="minorHAnsi"/>
                <w:sz w:val="21"/>
                <w:szCs w:val="21"/>
              </w:rPr>
              <w:t xml:space="preserve"> emissions from flashing in atmospheric tanks venting directly to the atmosphere (mt </w:t>
            </w:r>
            <w:r w:rsidRPr="007A580F">
              <w:rPr>
                <w:rFonts w:cs="Calibri" w:asciiTheme="minorHAnsi" w:hAnsiTheme="minorHAnsi"/>
                <w:sz w:val="21"/>
                <w:szCs w:val="21"/>
              </w:rPr>
              <w:t>CH</w:t>
            </w:r>
            <w:r w:rsidRPr="007A580F">
              <w:rPr>
                <w:rFonts w:cs="Calibri" w:asciiTheme="minorHAnsi" w:hAnsiTheme="minorHAnsi"/>
                <w:sz w:val="21"/>
                <w:szCs w:val="21"/>
                <w:vertAlign w:val="subscript"/>
              </w:rPr>
              <w:t>4</w:t>
            </w:r>
            <w:r w:rsidRPr="007A580F">
              <w:rPr>
                <w:rFonts w:asciiTheme="minorHAnsi" w:hAnsiTheme="minorHAnsi" w:cstheme="minorHAnsi"/>
                <w:sz w:val="21"/>
                <w:szCs w:val="21"/>
              </w:rPr>
              <w:t>)</w:t>
            </w:r>
          </w:p>
        </w:tc>
        <w:tc>
          <w:tcPr>
            <w:tcW w:w="6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A580F" w:rsidR="002F5E0F" w:rsidP="002F5E0F" w:rsidRDefault="002F5E0F" w14:paraId="7F8EEC3E" w14:textId="77777777">
            <w:pPr>
              <w:jc w:val="center"/>
              <w:rPr>
                <w:rFonts w:asciiTheme="minorHAnsi" w:hAnsiTheme="minorHAnsi" w:cstheme="minorHAnsi"/>
                <w:sz w:val="21"/>
                <w:szCs w:val="21"/>
              </w:rPr>
            </w:pPr>
            <w:r w:rsidRPr="007A580F">
              <w:rPr>
                <w:rFonts w:asciiTheme="minorHAnsi" w:hAnsiTheme="minorHAnsi" w:cstheme="minorHAnsi"/>
                <w:sz w:val="21"/>
                <w:szCs w:val="21"/>
              </w:rPr>
              <w:t>X</w:t>
            </w:r>
          </w:p>
        </w:tc>
      </w:tr>
      <w:tr w:rsidRPr="007A580F" w:rsidR="002F5E0F" w:rsidTr="00A14F8D" w14:paraId="257EE90E" w14:textId="77777777">
        <w:trPr>
          <w:trHeight w:val="143"/>
          <w:jc w:val="center"/>
        </w:trPr>
        <w:tc>
          <w:tcPr>
            <w:tcW w:w="2515" w:type="dxa"/>
            <w:vMerge/>
            <w:tcBorders>
              <w:left w:val="single" w:color="auto" w:sz="4" w:space="0"/>
              <w:right w:val="single" w:color="auto" w:sz="4" w:space="0"/>
            </w:tcBorders>
            <w:shd w:val="clear" w:color="auto" w:fill="auto"/>
            <w:vAlign w:val="center"/>
          </w:tcPr>
          <w:p w:rsidRPr="007A580F" w:rsidR="002F5E0F" w:rsidP="002F5E0F" w:rsidRDefault="002F5E0F" w14:paraId="0154B7E0" w14:textId="77777777">
            <w:pPr>
              <w:rPr>
                <w:rFonts w:asciiTheme="minorHAnsi" w:hAnsiTheme="minorHAnsi" w:cstheme="minorHAnsi"/>
                <w:sz w:val="21"/>
                <w:szCs w:val="21"/>
              </w:rPr>
            </w:pPr>
          </w:p>
        </w:tc>
        <w:tc>
          <w:tcPr>
            <w:tcW w:w="1343" w:type="dxa"/>
            <w:vMerge/>
            <w:tcBorders>
              <w:left w:val="single" w:color="auto" w:sz="4" w:space="0"/>
              <w:right w:val="single" w:color="auto" w:sz="4" w:space="0"/>
            </w:tcBorders>
            <w:shd w:val="clear" w:color="auto" w:fill="auto"/>
            <w:vAlign w:val="center"/>
          </w:tcPr>
          <w:p w:rsidRPr="007A580F" w:rsidR="002F5E0F" w:rsidP="002F5E0F" w:rsidRDefault="002F5E0F" w14:paraId="2A1EBAAF" w14:textId="77777777">
            <w:pPr>
              <w:rPr>
                <w:rFonts w:asciiTheme="minorHAnsi" w:hAnsiTheme="minorHAnsi" w:cstheme="minorHAnsi"/>
                <w:sz w:val="21"/>
                <w:szCs w:val="21"/>
              </w:rPr>
            </w:pPr>
          </w:p>
        </w:tc>
        <w:tc>
          <w:tcPr>
            <w:tcW w:w="4822" w:type="dxa"/>
            <w:tcBorders>
              <w:top w:val="single" w:color="auto" w:sz="4" w:space="0"/>
              <w:left w:val="single" w:color="auto" w:sz="4" w:space="0"/>
              <w:bottom w:val="single" w:color="auto" w:sz="4" w:space="0"/>
              <w:right w:val="single" w:color="auto" w:sz="4" w:space="0"/>
            </w:tcBorders>
            <w:shd w:val="clear" w:color="auto" w:fill="auto"/>
            <w:vAlign w:val="center"/>
          </w:tcPr>
          <w:p w:rsidRPr="007A580F" w:rsidR="002F5E0F" w:rsidP="002F5E0F" w:rsidRDefault="002F5E0F" w14:paraId="77EC88CA" w14:textId="77777777">
            <w:pPr>
              <w:rPr>
                <w:rFonts w:asciiTheme="minorHAnsi" w:hAnsiTheme="minorHAnsi" w:cstheme="minorHAnsi"/>
                <w:sz w:val="21"/>
                <w:szCs w:val="21"/>
              </w:rPr>
            </w:pPr>
            <w:r w:rsidRPr="007A580F">
              <w:rPr>
                <w:rFonts w:asciiTheme="minorHAnsi" w:hAnsiTheme="minorHAnsi" w:cstheme="minorHAnsi"/>
                <w:sz w:val="21"/>
                <w:szCs w:val="21"/>
              </w:rPr>
              <w:t xml:space="preserve">Annual </w:t>
            </w:r>
            <w:r w:rsidRPr="007A580F">
              <w:rPr>
                <w:rFonts w:cs="Calibri" w:asciiTheme="minorHAnsi" w:hAnsiTheme="minorHAnsi"/>
                <w:sz w:val="21"/>
                <w:szCs w:val="21"/>
              </w:rPr>
              <w:t>CH</w:t>
            </w:r>
            <w:r w:rsidRPr="007A580F">
              <w:rPr>
                <w:rFonts w:cs="Calibri" w:asciiTheme="minorHAnsi" w:hAnsiTheme="minorHAnsi"/>
                <w:sz w:val="21"/>
                <w:szCs w:val="21"/>
                <w:vertAlign w:val="subscript"/>
              </w:rPr>
              <w:t>4</w:t>
            </w:r>
            <w:r w:rsidRPr="007A580F">
              <w:rPr>
                <w:rFonts w:asciiTheme="minorHAnsi" w:hAnsiTheme="minorHAnsi" w:cstheme="minorHAnsi"/>
                <w:sz w:val="21"/>
                <w:szCs w:val="21"/>
              </w:rPr>
              <w:t xml:space="preserve"> emissions from flashing in atmospheric tanks equipped with vapor recovery systems (mt CH</w:t>
            </w:r>
            <w:r w:rsidRPr="007A580F">
              <w:rPr>
                <w:rFonts w:asciiTheme="minorHAnsi" w:hAnsiTheme="minorHAnsi" w:cstheme="minorHAnsi"/>
                <w:sz w:val="21"/>
                <w:szCs w:val="21"/>
                <w:vertAlign w:val="subscript"/>
              </w:rPr>
              <w:t>4</w:t>
            </w:r>
            <w:r w:rsidRPr="007A580F">
              <w:rPr>
                <w:rFonts w:asciiTheme="minorHAnsi" w:hAnsiTheme="minorHAnsi" w:cstheme="minorHAnsi"/>
                <w:sz w:val="21"/>
                <w:szCs w:val="21"/>
              </w:rPr>
              <w:t>)</w:t>
            </w:r>
          </w:p>
        </w:tc>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rsidRPr="007A580F" w:rsidR="002F5E0F" w:rsidP="002F5E0F" w:rsidRDefault="002F5E0F" w14:paraId="4848A215" w14:textId="77777777">
            <w:pPr>
              <w:jc w:val="center"/>
              <w:rPr>
                <w:rFonts w:asciiTheme="minorHAnsi" w:hAnsiTheme="minorHAnsi" w:cstheme="minorHAnsi"/>
                <w:sz w:val="21"/>
                <w:szCs w:val="21"/>
              </w:rPr>
            </w:pPr>
            <w:r w:rsidRPr="007A580F">
              <w:rPr>
                <w:rFonts w:asciiTheme="minorHAnsi" w:hAnsiTheme="minorHAnsi" w:cstheme="minorHAnsi"/>
                <w:sz w:val="21"/>
                <w:szCs w:val="21"/>
              </w:rPr>
              <w:t>X</w:t>
            </w:r>
          </w:p>
        </w:tc>
      </w:tr>
      <w:tr w:rsidRPr="007A580F" w:rsidR="002F5E0F" w:rsidTr="00A14F8D" w14:paraId="5625C5A3" w14:textId="77777777">
        <w:trPr>
          <w:trHeight w:val="143"/>
          <w:jc w:val="center"/>
        </w:trPr>
        <w:tc>
          <w:tcPr>
            <w:tcW w:w="2515" w:type="dxa"/>
            <w:vMerge/>
            <w:tcBorders>
              <w:left w:val="single" w:color="auto" w:sz="4" w:space="0"/>
              <w:bottom w:val="single" w:color="auto" w:sz="4" w:space="0"/>
              <w:right w:val="single" w:color="auto" w:sz="4" w:space="0"/>
            </w:tcBorders>
            <w:shd w:val="clear" w:color="auto" w:fill="auto"/>
            <w:vAlign w:val="center"/>
            <w:hideMark/>
          </w:tcPr>
          <w:p w:rsidRPr="007A580F" w:rsidR="002F5E0F" w:rsidP="002F5E0F" w:rsidRDefault="002F5E0F" w14:paraId="10BF875E" w14:textId="77777777">
            <w:pPr>
              <w:rPr>
                <w:rFonts w:asciiTheme="minorHAnsi" w:hAnsiTheme="minorHAnsi" w:cstheme="minorHAnsi"/>
                <w:sz w:val="21"/>
                <w:szCs w:val="21"/>
              </w:rPr>
            </w:pPr>
          </w:p>
        </w:tc>
        <w:tc>
          <w:tcPr>
            <w:tcW w:w="1343" w:type="dxa"/>
            <w:vMerge/>
            <w:tcBorders>
              <w:left w:val="single" w:color="auto" w:sz="4" w:space="0"/>
              <w:bottom w:val="single" w:color="auto" w:sz="4" w:space="0"/>
              <w:right w:val="single" w:color="auto" w:sz="4" w:space="0"/>
            </w:tcBorders>
            <w:shd w:val="clear" w:color="auto" w:fill="auto"/>
            <w:vAlign w:val="center"/>
            <w:hideMark/>
          </w:tcPr>
          <w:p w:rsidRPr="007A580F" w:rsidR="002F5E0F" w:rsidP="002F5E0F" w:rsidRDefault="002F5E0F" w14:paraId="1EB8ED5A" w14:textId="77777777">
            <w:pPr>
              <w:rPr>
                <w:rFonts w:asciiTheme="minorHAnsi" w:hAnsiTheme="minorHAnsi" w:cstheme="minorHAnsi"/>
                <w:sz w:val="21"/>
                <w:szCs w:val="21"/>
              </w:rPr>
            </w:pPr>
          </w:p>
        </w:tc>
        <w:tc>
          <w:tcPr>
            <w:tcW w:w="482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A580F" w:rsidR="002F5E0F" w:rsidP="002F5E0F" w:rsidRDefault="002F5E0F" w14:paraId="3776651F" w14:textId="1CF6F1D6">
            <w:pPr>
              <w:rPr>
                <w:rFonts w:asciiTheme="minorHAnsi" w:hAnsiTheme="minorHAnsi" w:cstheme="minorHAnsi"/>
                <w:sz w:val="21"/>
                <w:szCs w:val="21"/>
              </w:rPr>
            </w:pPr>
            <w:r w:rsidRPr="007A580F">
              <w:rPr>
                <w:rFonts w:asciiTheme="minorHAnsi" w:hAnsiTheme="minorHAnsi" w:cstheme="minorHAnsi"/>
                <w:sz w:val="21"/>
                <w:szCs w:val="21"/>
              </w:rPr>
              <w:t xml:space="preserve">Annual </w:t>
            </w:r>
            <w:r w:rsidRPr="007A580F">
              <w:rPr>
                <w:rFonts w:cs="Calibri" w:asciiTheme="minorHAnsi" w:hAnsiTheme="minorHAnsi"/>
                <w:sz w:val="21"/>
                <w:szCs w:val="21"/>
              </w:rPr>
              <w:t>CH</w:t>
            </w:r>
            <w:r w:rsidRPr="007A580F">
              <w:rPr>
                <w:rFonts w:cs="Calibri" w:asciiTheme="minorHAnsi" w:hAnsiTheme="minorHAnsi"/>
                <w:sz w:val="21"/>
                <w:szCs w:val="21"/>
                <w:vertAlign w:val="subscript"/>
              </w:rPr>
              <w:t>4</w:t>
            </w:r>
            <w:r w:rsidRPr="007A580F">
              <w:rPr>
                <w:rFonts w:asciiTheme="minorHAnsi" w:hAnsiTheme="minorHAnsi" w:cstheme="minorHAnsi"/>
                <w:sz w:val="21"/>
                <w:szCs w:val="21"/>
              </w:rPr>
              <w:t xml:space="preserve"> emissions from flashing in atmospheric tanks that control emissions with flaring (mt </w:t>
            </w:r>
            <w:r w:rsidRPr="007A580F">
              <w:rPr>
                <w:rFonts w:cs="Calibri" w:asciiTheme="minorHAnsi" w:hAnsiTheme="minorHAnsi"/>
                <w:sz w:val="21"/>
                <w:szCs w:val="21"/>
              </w:rPr>
              <w:t>CH</w:t>
            </w:r>
            <w:r w:rsidRPr="007A580F">
              <w:rPr>
                <w:rFonts w:cs="Calibri" w:asciiTheme="minorHAnsi" w:hAnsiTheme="minorHAnsi"/>
                <w:sz w:val="21"/>
                <w:szCs w:val="21"/>
                <w:vertAlign w:val="subscript"/>
              </w:rPr>
              <w:t>4</w:t>
            </w:r>
            <w:r w:rsidRPr="007A580F">
              <w:rPr>
                <w:rFonts w:asciiTheme="minorHAnsi" w:hAnsiTheme="minorHAnsi" w:cstheme="minorHAnsi"/>
                <w:sz w:val="21"/>
                <w:szCs w:val="21"/>
              </w:rPr>
              <w:t>)</w:t>
            </w:r>
          </w:p>
        </w:tc>
        <w:tc>
          <w:tcPr>
            <w:tcW w:w="6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A580F" w:rsidR="002F5E0F" w:rsidP="002F5E0F" w:rsidRDefault="002F5E0F" w14:paraId="54121E6B" w14:textId="77777777">
            <w:pPr>
              <w:jc w:val="center"/>
              <w:rPr>
                <w:rFonts w:asciiTheme="minorHAnsi" w:hAnsiTheme="minorHAnsi" w:cstheme="minorHAnsi"/>
                <w:sz w:val="21"/>
                <w:szCs w:val="21"/>
              </w:rPr>
            </w:pPr>
            <w:r w:rsidRPr="007A580F">
              <w:rPr>
                <w:rFonts w:asciiTheme="minorHAnsi" w:hAnsiTheme="minorHAnsi" w:cstheme="minorHAnsi"/>
                <w:sz w:val="21"/>
                <w:szCs w:val="21"/>
              </w:rPr>
              <w:t>X</w:t>
            </w:r>
          </w:p>
        </w:tc>
      </w:tr>
      <w:tr w:rsidRPr="007A580F" w:rsidR="002F5E0F" w:rsidTr="00A14F8D" w14:paraId="59BE443C" w14:textId="77777777">
        <w:trPr>
          <w:trHeight w:val="368"/>
          <w:jc w:val="center"/>
        </w:trPr>
        <w:tc>
          <w:tcPr>
            <w:tcW w:w="2515" w:type="dxa"/>
            <w:vMerge w:val="restart"/>
            <w:tcBorders>
              <w:top w:val="single" w:color="auto" w:sz="4" w:space="0"/>
              <w:left w:val="single" w:color="auto" w:sz="4" w:space="0"/>
              <w:right w:val="single" w:color="auto" w:sz="4" w:space="0"/>
            </w:tcBorders>
            <w:shd w:val="clear" w:color="auto" w:fill="D9D9D9" w:themeFill="background1" w:themeFillShade="D9"/>
            <w:vAlign w:val="center"/>
          </w:tcPr>
          <w:p w:rsidRPr="007A580F" w:rsidR="002F5E0F" w:rsidP="002F5E0F" w:rsidRDefault="002F5E0F" w14:paraId="485447FA" w14:textId="77777777">
            <w:pPr>
              <w:rPr>
                <w:rFonts w:asciiTheme="minorHAnsi" w:hAnsiTheme="minorHAnsi" w:cstheme="minorHAnsi"/>
                <w:sz w:val="21"/>
                <w:szCs w:val="21"/>
              </w:rPr>
            </w:pPr>
            <w:r w:rsidRPr="007A580F">
              <w:rPr>
                <w:rFonts w:asciiTheme="minorHAnsi" w:hAnsiTheme="minorHAnsi" w:cstheme="minorHAnsi"/>
                <w:sz w:val="21"/>
                <w:szCs w:val="21"/>
              </w:rPr>
              <w:t>For hydrocarbon liquids flowing to gas-liquid separators or non-separator equipment or directly to atmospheric storage tanks with throughput of oil less than 10 barrels/day:</w:t>
            </w:r>
          </w:p>
          <w:p w:rsidRPr="007A580F" w:rsidR="002F5E0F" w:rsidP="002F5E0F" w:rsidRDefault="002F5E0F" w14:paraId="645A12BE" w14:textId="77777777">
            <w:pPr>
              <w:numPr>
                <w:ilvl w:val="0"/>
                <w:numId w:val="3"/>
              </w:numPr>
              <w:spacing w:after="0"/>
              <w:contextualSpacing/>
              <w:rPr>
                <w:rFonts w:asciiTheme="minorHAnsi" w:hAnsiTheme="minorHAnsi" w:cstheme="minorHAnsi"/>
                <w:sz w:val="21"/>
                <w:szCs w:val="21"/>
              </w:rPr>
            </w:pPr>
            <w:r w:rsidRPr="007A580F">
              <w:rPr>
                <w:rFonts w:asciiTheme="minorHAnsi" w:hAnsiTheme="minorHAnsi" w:cstheme="minorHAnsi"/>
                <w:sz w:val="21"/>
                <w:szCs w:val="21"/>
              </w:rPr>
              <w:t>Tanks venting to the atmosphere</w:t>
            </w:r>
          </w:p>
          <w:p w:rsidRPr="007A580F" w:rsidR="002F5E0F" w:rsidP="002F5E0F" w:rsidRDefault="002F5E0F" w14:paraId="6E8DE374" w14:textId="77777777">
            <w:pPr>
              <w:numPr>
                <w:ilvl w:val="0"/>
                <w:numId w:val="4"/>
              </w:numPr>
              <w:spacing w:after="0"/>
              <w:contextualSpacing/>
              <w:rPr>
                <w:rFonts w:asciiTheme="minorHAnsi" w:hAnsiTheme="minorHAnsi" w:cstheme="minorHAnsi"/>
                <w:sz w:val="21"/>
                <w:szCs w:val="21"/>
              </w:rPr>
            </w:pPr>
            <w:r w:rsidRPr="007A580F">
              <w:rPr>
                <w:rFonts w:asciiTheme="minorHAnsi" w:hAnsiTheme="minorHAnsi" w:cstheme="minorHAnsi"/>
                <w:sz w:val="21"/>
                <w:szCs w:val="21"/>
              </w:rPr>
              <w:t>Tanks with gas routed to a flare</w:t>
            </w:r>
          </w:p>
          <w:p w:rsidRPr="007A580F" w:rsidR="002F5E0F" w:rsidP="002F5E0F" w:rsidRDefault="002F5E0F" w14:paraId="7E6F1242" w14:textId="545BD093">
            <w:pPr>
              <w:numPr>
                <w:ilvl w:val="0"/>
                <w:numId w:val="4"/>
              </w:numPr>
              <w:spacing w:after="0"/>
              <w:contextualSpacing/>
              <w:rPr>
                <w:rFonts w:cstheme="minorHAnsi"/>
                <w:sz w:val="21"/>
                <w:szCs w:val="21"/>
              </w:rPr>
            </w:pPr>
            <w:r w:rsidRPr="007A580F">
              <w:rPr>
                <w:rFonts w:asciiTheme="minorHAnsi" w:hAnsiTheme="minorHAnsi" w:cstheme="minorHAnsi"/>
                <w:sz w:val="21"/>
                <w:szCs w:val="21"/>
              </w:rPr>
              <w:t>Tanks with gas routed to a capture system for beneficial use</w:t>
            </w:r>
          </w:p>
        </w:tc>
        <w:tc>
          <w:tcPr>
            <w:tcW w:w="1343" w:type="dxa"/>
            <w:vMerge w:val="restart"/>
            <w:tcBorders>
              <w:top w:val="single" w:color="auto" w:sz="4" w:space="0"/>
              <w:left w:val="single" w:color="auto" w:sz="4" w:space="0"/>
              <w:right w:val="single" w:color="auto" w:sz="4" w:space="0"/>
            </w:tcBorders>
            <w:shd w:val="clear" w:color="auto" w:fill="D9D9D9" w:themeFill="background1" w:themeFillShade="D9"/>
            <w:vAlign w:val="center"/>
          </w:tcPr>
          <w:p w:rsidRPr="007A580F" w:rsidR="002F5E0F" w:rsidP="002F5E0F" w:rsidRDefault="002F5E0F" w14:paraId="390900A4" w14:textId="77777777">
            <w:pPr>
              <w:rPr>
                <w:rFonts w:asciiTheme="minorHAnsi" w:hAnsiTheme="minorHAnsi" w:cstheme="minorHAnsi"/>
                <w:sz w:val="21"/>
                <w:szCs w:val="21"/>
              </w:rPr>
            </w:pPr>
            <w:r w:rsidRPr="007A580F">
              <w:rPr>
                <w:rFonts w:asciiTheme="minorHAnsi" w:hAnsiTheme="minorHAnsi" w:cstheme="minorHAnsi"/>
                <w:sz w:val="21"/>
                <w:szCs w:val="21"/>
              </w:rPr>
              <w:t>Subpart W calculation method 3, adjusted as needed for vents routed to VRU (beneficial use) or flare</w:t>
            </w:r>
            <w:r w:rsidRPr="007A580F">
              <w:rPr>
                <w:rFonts w:asciiTheme="minorHAnsi" w:hAnsiTheme="minorHAnsi" w:cstheme="minorHAnsi"/>
                <w:sz w:val="21"/>
                <w:szCs w:val="21"/>
                <w:vertAlign w:val="superscript"/>
              </w:rPr>
              <w:footnoteReference w:id="18"/>
            </w:r>
            <w:r w:rsidRPr="007A580F">
              <w:rPr>
                <w:rFonts w:asciiTheme="minorHAnsi" w:hAnsiTheme="minorHAnsi" w:cstheme="minorHAnsi"/>
                <w:sz w:val="21"/>
                <w:szCs w:val="21"/>
              </w:rPr>
              <w:t xml:space="preserve"> </w:t>
            </w:r>
          </w:p>
          <w:p w:rsidRPr="007A580F" w:rsidR="002F5E0F" w:rsidP="002F5E0F" w:rsidRDefault="002F5E0F" w14:paraId="061C6784" w14:textId="77777777">
            <w:pPr>
              <w:rPr>
                <w:rFonts w:cstheme="minorHAnsi"/>
                <w:sz w:val="21"/>
                <w:szCs w:val="21"/>
              </w:rPr>
            </w:pPr>
          </w:p>
        </w:tc>
        <w:tc>
          <w:tcPr>
            <w:tcW w:w="4822"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7A580F" w:rsidR="002F5E0F" w:rsidP="002F5E0F" w:rsidRDefault="002F5E0F" w14:paraId="0ABBD80C" w14:textId="56D8CD8C">
            <w:pPr>
              <w:rPr>
                <w:rFonts w:eastAsiaTheme="minorEastAsia" w:cstheme="minorHAnsi"/>
                <w:sz w:val="21"/>
                <w:szCs w:val="21"/>
              </w:rPr>
            </w:pPr>
            <w:r w:rsidRPr="007A580F">
              <w:rPr>
                <w:rFonts w:asciiTheme="minorHAnsi" w:hAnsiTheme="minorHAnsi" w:eastAsiaTheme="minorEastAsia" w:cstheme="minorHAnsi"/>
                <w:sz w:val="21"/>
                <w:szCs w:val="21"/>
              </w:rPr>
              <w:t>Sub-Basin ID or county ID, as applicable depending on the industry segment</w:t>
            </w:r>
          </w:p>
        </w:tc>
        <w:tc>
          <w:tcPr>
            <w:tcW w:w="68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7A580F" w:rsidR="002F5E0F" w:rsidP="002F5E0F" w:rsidRDefault="002F5E0F" w14:paraId="635BF476" w14:textId="30478902">
            <w:pPr>
              <w:jc w:val="center"/>
              <w:rPr>
                <w:rFonts w:cstheme="minorHAnsi"/>
                <w:sz w:val="21"/>
                <w:szCs w:val="21"/>
              </w:rPr>
            </w:pPr>
            <w:r w:rsidRPr="007A580F">
              <w:rPr>
                <w:rFonts w:asciiTheme="minorHAnsi" w:hAnsiTheme="minorHAnsi" w:cstheme="minorHAnsi"/>
                <w:sz w:val="21"/>
                <w:szCs w:val="21"/>
              </w:rPr>
              <w:t>X</w:t>
            </w:r>
          </w:p>
        </w:tc>
      </w:tr>
      <w:tr w:rsidRPr="007A580F" w:rsidR="002F5E0F" w:rsidTr="00A14F8D" w14:paraId="3CA51C2B" w14:textId="77777777">
        <w:trPr>
          <w:trHeight w:val="368"/>
          <w:jc w:val="center"/>
        </w:trPr>
        <w:tc>
          <w:tcPr>
            <w:tcW w:w="2515" w:type="dxa"/>
            <w:vMerge/>
            <w:tcBorders>
              <w:left w:val="single" w:color="auto" w:sz="4" w:space="0"/>
              <w:right w:val="single" w:color="auto" w:sz="4" w:space="0"/>
            </w:tcBorders>
            <w:shd w:val="clear" w:color="auto" w:fill="D9D9D9" w:themeFill="background1" w:themeFillShade="D9"/>
            <w:vAlign w:val="center"/>
          </w:tcPr>
          <w:p w:rsidRPr="007A580F" w:rsidR="002F5E0F" w:rsidP="002F5E0F" w:rsidRDefault="002F5E0F" w14:paraId="4B825814" w14:textId="77777777">
            <w:pPr>
              <w:contextualSpacing/>
              <w:rPr>
                <w:rFonts w:asciiTheme="minorHAnsi" w:hAnsiTheme="minorHAnsi" w:eastAsiaTheme="minorEastAsia" w:cstheme="minorHAnsi"/>
                <w:sz w:val="21"/>
                <w:szCs w:val="21"/>
              </w:rPr>
            </w:pPr>
          </w:p>
        </w:tc>
        <w:tc>
          <w:tcPr>
            <w:tcW w:w="1343" w:type="dxa"/>
            <w:vMerge/>
            <w:tcBorders>
              <w:left w:val="single" w:color="auto" w:sz="4" w:space="0"/>
              <w:right w:val="single" w:color="auto" w:sz="4" w:space="0"/>
            </w:tcBorders>
            <w:shd w:val="clear" w:color="auto" w:fill="D9D9D9" w:themeFill="background1" w:themeFillShade="D9"/>
            <w:vAlign w:val="center"/>
          </w:tcPr>
          <w:p w:rsidRPr="007A580F" w:rsidR="002F5E0F" w:rsidP="002F5E0F" w:rsidRDefault="002F5E0F" w14:paraId="6279D23A" w14:textId="77777777">
            <w:pPr>
              <w:rPr>
                <w:rFonts w:asciiTheme="minorHAnsi" w:hAnsiTheme="minorHAnsi" w:cstheme="minorHAnsi"/>
                <w:sz w:val="21"/>
                <w:szCs w:val="21"/>
              </w:rPr>
            </w:pPr>
          </w:p>
        </w:tc>
        <w:tc>
          <w:tcPr>
            <w:tcW w:w="4822"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7A580F" w:rsidR="002F5E0F" w:rsidP="002F5E0F" w:rsidRDefault="002F5E0F" w14:paraId="7682E88A" w14:textId="77777777">
            <w:pPr>
              <w:rPr>
                <w:rFonts w:asciiTheme="minorHAnsi" w:hAnsiTheme="minorHAnsi" w:eastAsiaTheme="minorEastAsia" w:cstheme="minorHAnsi"/>
                <w:sz w:val="21"/>
                <w:szCs w:val="21"/>
              </w:rPr>
            </w:pPr>
            <w:r w:rsidRPr="007A580F">
              <w:rPr>
                <w:rFonts w:asciiTheme="minorHAnsi" w:hAnsiTheme="minorHAnsi" w:eastAsiaTheme="minorEastAsia" w:cstheme="minorHAnsi"/>
                <w:sz w:val="21"/>
                <w:szCs w:val="21"/>
              </w:rPr>
              <w:t>Count of tanks that vent directly to atmosphere</w:t>
            </w:r>
          </w:p>
        </w:tc>
        <w:tc>
          <w:tcPr>
            <w:tcW w:w="68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7A580F" w:rsidR="002F5E0F" w:rsidP="002F5E0F" w:rsidRDefault="002F5E0F" w14:paraId="171FDE70" w14:textId="77777777">
            <w:pPr>
              <w:jc w:val="center"/>
              <w:rPr>
                <w:rFonts w:asciiTheme="minorHAnsi" w:hAnsiTheme="minorHAnsi" w:cstheme="minorHAnsi"/>
                <w:sz w:val="21"/>
                <w:szCs w:val="21"/>
              </w:rPr>
            </w:pPr>
          </w:p>
        </w:tc>
      </w:tr>
      <w:tr w:rsidRPr="007A580F" w:rsidR="002F5E0F" w:rsidTr="00A14F8D" w14:paraId="09EA8560" w14:textId="77777777">
        <w:trPr>
          <w:trHeight w:val="368"/>
          <w:jc w:val="center"/>
        </w:trPr>
        <w:tc>
          <w:tcPr>
            <w:tcW w:w="2515" w:type="dxa"/>
            <w:vMerge/>
            <w:tcBorders>
              <w:left w:val="single" w:color="auto" w:sz="4" w:space="0"/>
              <w:right w:val="single" w:color="auto" w:sz="4" w:space="0"/>
            </w:tcBorders>
            <w:shd w:val="clear" w:color="auto" w:fill="D9D9D9" w:themeFill="background1" w:themeFillShade="D9"/>
            <w:vAlign w:val="center"/>
          </w:tcPr>
          <w:p w:rsidRPr="007A580F" w:rsidR="002F5E0F" w:rsidP="002F5E0F" w:rsidRDefault="002F5E0F" w14:paraId="25368147" w14:textId="77777777">
            <w:pPr>
              <w:contextualSpacing/>
              <w:rPr>
                <w:rFonts w:asciiTheme="minorHAnsi" w:hAnsiTheme="minorHAnsi" w:eastAsiaTheme="minorEastAsia" w:cstheme="minorHAnsi"/>
                <w:sz w:val="21"/>
                <w:szCs w:val="21"/>
              </w:rPr>
            </w:pPr>
          </w:p>
        </w:tc>
        <w:tc>
          <w:tcPr>
            <w:tcW w:w="1343" w:type="dxa"/>
            <w:vMerge/>
            <w:tcBorders>
              <w:left w:val="single" w:color="auto" w:sz="4" w:space="0"/>
              <w:right w:val="single" w:color="auto" w:sz="4" w:space="0"/>
            </w:tcBorders>
            <w:shd w:val="clear" w:color="auto" w:fill="D9D9D9" w:themeFill="background1" w:themeFillShade="D9"/>
            <w:vAlign w:val="center"/>
          </w:tcPr>
          <w:p w:rsidRPr="007A580F" w:rsidR="002F5E0F" w:rsidP="002F5E0F" w:rsidRDefault="002F5E0F" w14:paraId="370A4A99" w14:textId="77777777">
            <w:pPr>
              <w:rPr>
                <w:rFonts w:asciiTheme="minorHAnsi" w:hAnsiTheme="minorHAnsi" w:cstheme="minorHAnsi"/>
                <w:sz w:val="21"/>
                <w:szCs w:val="21"/>
              </w:rPr>
            </w:pPr>
          </w:p>
        </w:tc>
        <w:tc>
          <w:tcPr>
            <w:tcW w:w="4822"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7A580F" w:rsidR="002F5E0F" w:rsidP="002F5E0F" w:rsidRDefault="002F5E0F" w14:paraId="20DCA634" w14:textId="77777777">
            <w:pPr>
              <w:rPr>
                <w:rFonts w:asciiTheme="minorHAnsi" w:hAnsiTheme="minorHAnsi" w:eastAsiaTheme="minorEastAsia" w:cstheme="minorHAnsi"/>
                <w:sz w:val="21"/>
                <w:szCs w:val="21"/>
              </w:rPr>
            </w:pPr>
            <w:r w:rsidRPr="007A580F">
              <w:rPr>
                <w:rFonts w:asciiTheme="minorHAnsi" w:hAnsiTheme="minorHAnsi" w:eastAsiaTheme="minorEastAsia" w:cstheme="minorHAnsi"/>
                <w:sz w:val="21"/>
                <w:szCs w:val="21"/>
              </w:rPr>
              <w:t>Count of tanks equipped with vapor recovery system emission control measures</w:t>
            </w:r>
          </w:p>
        </w:tc>
        <w:tc>
          <w:tcPr>
            <w:tcW w:w="68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7A580F" w:rsidR="002F5E0F" w:rsidP="002F5E0F" w:rsidRDefault="002F5E0F" w14:paraId="4BE0CB78" w14:textId="77777777">
            <w:pPr>
              <w:jc w:val="center"/>
              <w:rPr>
                <w:rFonts w:asciiTheme="minorHAnsi" w:hAnsiTheme="minorHAnsi" w:cstheme="minorHAnsi"/>
                <w:sz w:val="21"/>
                <w:szCs w:val="21"/>
              </w:rPr>
            </w:pPr>
          </w:p>
        </w:tc>
      </w:tr>
      <w:tr w:rsidRPr="007A580F" w:rsidR="002F5E0F" w:rsidTr="00A14F8D" w14:paraId="0AB05B93" w14:textId="77777777">
        <w:trPr>
          <w:trHeight w:val="287"/>
          <w:jc w:val="center"/>
        </w:trPr>
        <w:tc>
          <w:tcPr>
            <w:tcW w:w="2515" w:type="dxa"/>
            <w:vMerge/>
            <w:tcBorders>
              <w:left w:val="single" w:color="auto" w:sz="4" w:space="0"/>
              <w:right w:val="single" w:color="auto" w:sz="4" w:space="0"/>
            </w:tcBorders>
            <w:shd w:val="clear" w:color="auto" w:fill="D9D9D9" w:themeFill="background1" w:themeFillShade="D9"/>
            <w:vAlign w:val="center"/>
          </w:tcPr>
          <w:p w:rsidRPr="007A580F" w:rsidR="002F5E0F" w:rsidP="002F5E0F" w:rsidRDefault="002F5E0F" w14:paraId="050B71FF" w14:textId="77777777">
            <w:pPr>
              <w:contextualSpacing/>
              <w:rPr>
                <w:rFonts w:asciiTheme="minorHAnsi" w:hAnsiTheme="minorHAnsi" w:eastAsiaTheme="minorEastAsia" w:cstheme="minorHAnsi"/>
                <w:sz w:val="21"/>
                <w:szCs w:val="21"/>
              </w:rPr>
            </w:pPr>
          </w:p>
        </w:tc>
        <w:tc>
          <w:tcPr>
            <w:tcW w:w="1343" w:type="dxa"/>
            <w:vMerge/>
            <w:tcBorders>
              <w:left w:val="single" w:color="auto" w:sz="4" w:space="0"/>
              <w:right w:val="single" w:color="auto" w:sz="4" w:space="0"/>
            </w:tcBorders>
            <w:shd w:val="clear" w:color="auto" w:fill="D9D9D9" w:themeFill="background1" w:themeFillShade="D9"/>
            <w:vAlign w:val="center"/>
          </w:tcPr>
          <w:p w:rsidRPr="007A580F" w:rsidR="002F5E0F" w:rsidP="002F5E0F" w:rsidRDefault="002F5E0F" w14:paraId="2320E701" w14:textId="77777777">
            <w:pPr>
              <w:rPr>
                <w:rFonts w:asciiTheme="minorHAnsi" w:hAnsiTheme="minorHAnsi" w:cstheme="minorHAnsi"/>
                <w:sz w:val="21"/>
                <w:szCs w:val="21"/>
              </w:rPr>
            </w:pPr>
          </w:p>
        </w:tc>
        <w:tc>
          <w:tcPr>
            <w:tcW w:w="4822"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7A580F" w:rsidR="002F5E0F" w:rsidP="002F5E0F" w:rsidRDefault="002F5E0F" w14:paraId="404AE103" w14:textId="77777777">
            <w:pPr>
              <w:rPr>
                <w:rFonts w:asciiTheme="minorHAnsi" w:hAnsiTheme="minorHAnsi" w:eastAsiaTheme="minorEastAsia" w:cstheme="minorHAnsi"/>
                <w:sz w:val="21"/>
                <w:szCs w:val="21"/>
              </w:rPr>
            </w:pPr>
            <w:r w:rsidRPr="007A580F">
              <w:rPr>
                <w:rFonts w:asciiTheme="minorHAnsi" w:hAnsiTheme="minorHAnsi" w:eastAsiaTheme="minorEastAsia" w:cstheme="minorHAnsi"/>
                <w:sz w:val="21"/>
                <w:szCs w:val="21"/>
              </w:rPr>
              <w:t>Count of tanks with flaring emission control measures</w:t>
            </w:r>
          </w:p>
        </w:tc>
        <w:tc>
          <w:tcPr>
            <w:tcW w:w="68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7A580F" w:rsidR="002F5E0F" w:rsidP="002F5E0F" w:rsidRDefault="002F5E0F" w14:paraId="13A70D27" w14:textId="77777777">
            <w:pPr>
              <w:jc w:val="center"/>
              <w:rPr>
                <w:rFonts w:asciiTheme="minorHAnsi" w:hAnsiTheme="minorHAnsi" w:cstheme="minorHAnsi"/>
                <w:sz w:val="21"/>
                <w:szCs w:val="21"/>
              </w:rPr>
            </w:pPr>
            <w:r w:rsidRPr="007A580F">
              <w:rPr>
                <w:rFonts w:asciiTheme="minorHAnsi" w:hAnsiTheme="minorHAnsi" w:cstheme="minorHAnsi"/>
                <w:sz w:val="21"/>
                <w:szCs w:val="21"/>
              </w:rPr>
              <w:t>X</w:t>
            </w:r>
          </w:p>
        </w:tc>
      </w:tr>
      <w:tr w:rsidRPr="007A580F" w:rsidR="002F5E0F" w:rsidTr="00A14F8D" w14:paraId="4C56A722" w14:textId="77777777">
        <w:trPr>
          <w:trHeight w:val="368"/>
          <w:jc w:val="center"/>
        </w:trPr>
        <w:tc>
          <w:tcPr>
            <w:tcW w:w="2515" w:type="dxa"/>
            <w:vMerge/>
            <w:tcBorders>
              <w:left w:val="single" w:color="auto" w:sz="4" w:space="0"/>
              <w:right w:val="single" w:color="auto" w:sz="4" w:space="0"/>
            </w:tcBorders>
            <w:shd w:val="clear" w:color="auto" w:fill="D9D9D9" w:themeFill="background1" w:themeFillShade="D9"/>
            <w:vAlign w:val="center"/>
          </w:tcPr>
          <w:p w:rsidRPr="007A580F" w:rsidR="002F5E0F" w:rsidP="002F5E0F" w:rsidRDefault="002F5E0F" w14:paraId="2AB5D80B" w14:textId="77777777">
            <w:pPr>
              <w:contextualSpacing/>
              <w:rPr>
                <w:rFonts w:asciiTheme="minorHAnsi" w:hAnsiTheme="minorHAnsi" w:eastAsiaTheme="minorEastAsia" w:cstheme="minorHAnsi"/>
                <w:sz w:val="21"/>
                <w:szCs w:val="21"/>
              </w:rPr>
            </w:pPr>
          </w:p>
        </w:tc>
        <w:tc>
          <w:tcPr>
            <w:tcW w:w="1343" w:type="dxa"/>
            <w:vMerge/>
            <w:tcBorders>
              <w:left w:val="single" w:color="auto" w:sz="4" w:space="0"/>
              <w:right w:val="single" w:color="auto" w:sz="4" w:space="0"/>
            </w:tcBorders>
            <w:shd w:val="clear" w:color="auto" w:fill="D9D9D9" w:themeFill="background1" w:themeFillShade="D9"/>
            <w:vAlign w:val="center"/>
          </w:tcPr>
          <w:p w:rsidRPr="007A580F" w:rsidR="002F5E0F" w:rsidP="002F5E0F" w:rsidRDefault="002F5E0F" w14:paraId="1D2DD5F8" w14:textId="77777777">
            <w:pPr>
              <w:rPr>
                <w:rFonts w:asciiTheme="minorHAnsi" w:hAnsiTheme="minorHAnsi" w:cstheme="minorHAnsi"/>
                <w:sz w:val="21"/>
                <w:szCs w:val="21"/>
              </w:rPr>
            </w:pPr>
          </w:p>
        </w:tc>
        <w:tc>
          <w:tcPr>
            <w:tcW w:w="4822"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7A580F" w:rsidR="002F5E0F" w:rsidP="002F5E0F" w:rsidRDefault="002F5E0F" w14:paraId="027658E0" w14:textId="77777777">
            <w:pPr>
              <w:rPr>
                <w:rFonts w:asciiTheme="minorHAnsi" w:hAnsiTheme="minorHAnsi" w:eastAsiaTheme="minorEastAsia" w:cstheme="minorHAnsi"/>
                <w:sz w:val="21"/>
                <w:szCs w:val="21"/>
              </w:rPr>
            </w:pPr>
            <w:r w:rsidRPr="007A580F">
              <w:rPr>
                <w:rFonts w:asciiTheme="minorHAnsi" w:hAnsiTheme="minorHAnsi" w:eastAsiaTheme="minorEastAsia" w:cstheme="minorHAnsi"/>
                <w:sz w:val="21"/>
                <w:szCs w:val="21"/>
              </w:rPr>
              <w:t xml:space="preserve">Annual </w:t>
            </w:r>
            <w:r w:rsidRPr="007A580F">
              <w:rPr>
                <w:rFonts w:cs="Calibri" w:asciiTheme="minorHAnsi" w:hAnsiTheme="minorHAnsi"/>
                <w:sz w:val="21"/>
                <w:szCs w:val="21"/>
              </w:rPr>
              <w:t>CH</w:t>
            </w:r>
            <w:r w:rsidRPr="007A580F">
              <w:rPr>
                <w:rFonts w:cs="Calibri" w:asciiTheme="minorHAnsi" w:hAnsiTheme="minorHAnsi"/>
                <w:sz w:val="21"/>
                <w:szCs w:val="21"/>
                <w:vertAlign w:val="subscript"/>
              </w:rPr>
              <w:t>4</w:t>
            </w:r>
            <w:r w:rsidRPr="007A580F">
              <w:rPr>
                <w:rFonts w:asciiTheme="minorHAnsi" w:hAnsiTheme="minorHAnsi" w:eastAsiaTheme="minorEastAsia" w:cstheme="minorHAnsi"/>
                <w:sz w:val="21"/>
                <w:szCs w:val="21"/>
              </w:rPr>
              <w:t xml:space="preserve"> emissions from venting direct to atmosphere (mt </w:t>
            </w:r>
            <w:r w:rsidRPr="007A580F">
              <w:rPr>
                <w:rFonts w:cs="Calibri" w:asciiTheme="minorHAnsi" w:hAnsiTheme="minorHAnsi"/>
                <w:sz w:val="21"/>
                <w:szCs w:val="21"/>
              </w:rPr>
              <w:t>CH</w:t>
            </w:r>
            <w:r w:rsidRPr="007A580F">
              <w:rPr>
                <w:rFonts w:cs="Calibri" w:asciiTheme="minorHAnsi" w:hAnsiTheme="minorHAnsi"/>
                <w:sz w:val="21"/>
                <w:szCs w:val="21"/>
                <w:vertAlign w:val="subscript"/>
              </w:rPr>
              <w:t>4</w:t>
            </w:r>
            <w:r w:rsidRPr="007A580F">
              <w:rPr>
                <w:rFonts w:asciiTheme="minorHAnsi" w:hAnsiTheme="minorHAnsi" w:eastAsiaTheme="minorEastAsia" w:cstheme="minorHAnsi"/>
                <w:sz w:val="21"/>
                <w:szCs w:val="21"/>
              </w:rPr>
              <w:t>)</w:t>
            </w:r>
          </w:p>
        </w:tc>
        <w:tc>
          <w:tcPr>
            <w:tcW w:w="68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7A580F" w:rsidR="002F5E0F" w:rsidP="002F5E0F" w:rsidRDefault="002F5E0F" w14:paraId="113C2B52" w14:textId="77777777">
            <w:pPr>
              <w:jc w:val="center"/>
              <w:rPr>
                <w:rFonts w:asciiTheme="minorHAnsi" w:hAnsiTheme="minorHAnsi" w:cstheme="minorHAnsi"/>
                <w:sz w:val="21"/>
                <w:szCs w:val="21"/>
              </w:rPr>
            </w:pPr>
          </w:p>
        </w:tc>
      </w:tr>
      <w:tr w:rsidRPr="007A580F" w:rsidR="002F5E0F" w:rsidTr="00A14F8D" w14:paraId="1352BBAD" w14:textId="77777777">
        <w:trPr>
          <w:trHeight w:val="368"/>
          <w:jc w:val="center"/>
        </w:trPr>
        <w:tc>
          <w:tcPr>
            <w:tcW w:w="2515" w:type="dxa"/>
            <w:vMerge/>
            <w:tcBorders>
              <w:left w:val="single" w:color="auto" w:sz="4" w:space="0"/>
              <w:right w:val="single" w:color="auto" w:sz="4" w:space="0"/>
            </w:tcBorders>
            <w:shd w:val="clear" w:color="auto" w:fill="D9D9D9" w:themeFill="background1" w:themeFillShade="D9"/>
            <w:vAlign w:val="center"/>
          </w:tcPr>
          <w:p w:rsidRPr="007A580F" w:rsidR="002F5E0F" w:rsidP="002F5E0F" w:rsidRDefault="002F5E0F" w14:paraId="335692A0" w14:textId="77777777">
            <w:pPr>
              <w:contextualSpacing/>
              <w:rPr>
                <w:rFonts w:asciiTheme="minorHAnsi" w:hAnsiTheme="minorHAnsi" w:eastAsiaTheme="minorEastAsia" w:cstheme="minorHAnsi"/>
                <w:sz w:val="21"/>
                <w:szCs w:val="21"/>
              </w:rPr>
            </w:pPr>
          </w:p>
        </w:tc>
        <w:tc>
          <w:tcPr>
            <w:tcW w:w="1343" w:type="dxa"/>
            <w:vMerge/>
            <w:tcBorders>
              <w:left w:val="single" w:color="auto" w:sz="4" w:space="0"/>
              <w:right w:val="single" w:color="auto" w:sz="4" w:space="0"/>
            </w:tcBorders>
            <w:shd w:val="clear" w:color="auto" w:fill="D9D9D9" w:themeFill="background1" w:themeFillShade="D9"/>
            <w:vAlign w:val="center"/>
          </w:tcPr>
          <w:p w:rsidRPr="007A580F" w:rsidR="002F5E0F" w:rsidP="002F5E0F" w:rsidRDefault="002F5E0F" w14:paraId="1B43E4B6" w14:textId="77777777">
            <w:pPr>
              <w:rPr>
                <w:rFonts w:asciiTheme="minorHAnsi" w:hAnsiTheme="minorHAnsi" w:cstheme="minorHAnsi"/>
                <w:sz w:val="21"/>
                <w:szCs w:val="21"/>
              </w:rPr>
            </w:pPr>
          </w:p>
        </w:tc>
        <w:tc>
          <w:tcPr>
            <w:tcW w:w="4822"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7A580F" w:rsidR="002F5E0F" w:rsidP="002F5E0F" w:rsidRDefault="002F5E0F" w14:paraId="16A9D2C4" w14:textId="77777777">
            <w:pPr>
              <w:rPr>
                <w:rFonts w:asciiTheme="minorHAnsi" w:hAnsiTheme="minorHAnsi" w:eastAsiaTheme="minorEastAsia" w:cstheme="minorHAnsi"/>
                <w:sz w:val="21"/>
                <w:szCs w:val="21"/>
              </w:rPr>
            </w:pPr>
            <w:r w:rsidRPr="007A580F">
              <w:rPr>
                <w:rFonts w:asciiTheme="minorHAnsi" w:hAnsiTheme="minorHAnsi" w:eastAsiaTheme="minorEastAsia" w:cstheme="minorHAnsi"/>
                <w:sz w:val="21"/>
                <w:szCs w:val="21"/>
              </w:rPr>
              <w:t>Annual CH4 emissions from flashing in tanks equipped with vapor recovery systems (mt CH4)</w:t>
            </w:r>
          </w:p>
        </w:tc>
        <w:tc>
          <w:tcPr>
            <w:tcW w:w="68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7A580F" w:rsidR="002F5E0F" w:rsidP="002F5E0F" w:rsidRDefault="002F5E0F" w14:paraId="0C0768F8" w14:textId="77777777">
            <w:pPr>
              <w:jc w:val="center"/>
              <w:rPr>
                <w:rFonts w:asciiTheme="minorHAnsi" w:hAnsiTheme="minorHAnsi" w:cstheme="minorHAnsi"/>
                <w:sz w:val="21"/>
                <w:szCs w:val="21"/>
              </w:rPr>
            </w:pPr>
          </w:p>
        </w:tc>
      </w:tr>
      <w:tr w:rsidRPr="007A580F" w:rsidR="002F5E0F" w:rsidTr="00A14F8D" w14:paraId="7B8C6E70" w14:textId="77777777">
        <w:trPr>
          <w:trHeight w:val="368"/>
          <w:jc w:val="center"/>
        </w:trPr>
        <w:tc>
          <w:tcPr>
            <w:tcW w:w="2515" w:type="dxa"/>
            <w:vMerge/>
            <w:tcBorders>
              <w:left w:val="single" w:color="auto" w:sz="4" w:space="0"/>
              <w:right w:val="single" w:color="auto" w:sz="4" w:space="0"/>
            </w:tcBorders>
            <w:shd w:val="clear" w:color="auto" w:fill="D9D9D9" w:themeFill="background1" w:themeFillShade="D9"/>
            <w:vAlign w:val="center"/>
          </w:tcPr>
          <w:p w:rsidRPr="007A580F" w:rsidR="002F5E0F" w:rsidP="002F5E0F" w:rsidRDefault="002F5E0F" w14:paraId="67F69D8F" w14:textId="77777777">
            <w:pPr>
              <w:contextualSpacing/>
              <w:rPr>
                <w:rFonts w:asciiTheme="minorHAnsi" w:hAnsiTheme="minorHAnsi" w:eastAsiaTheme="minorEastAsia" w:cstheme="minorHAnsi"/>
                <w:sz w:val="21"/>
                <w:szCs w:val="21"/>
              </w:rPr>
            </w:pPr>
          </w:p>
        </w:tc>
        <w:tc>
          <w:tcPr>
            <w:tcW w:w="1343" w:type="dxa"/>
            <w:vMerge/>
            <w:tcBorders>
              <w:left w:val="single" w:color="auto" w:sz="4" w:space="0"/>
              <w:right w:val="single" w:color="auto" w:sz="4" w:space="0"/>
            </w:tcBorders>
            <w:shd w:val="clear" w:color="auto" w:fill="D9D9D9" w:themeFill="background1" w:themeFillShade="D9"/>
            <w:vAlign w:val="center"/>
          </w:tcPr>
          <w:p w:rsidRPr="007A580F" w:rsidR="002F5E0F" w:rsidP="002F5E0F" w:rsidRDefault="002F5E0F" w14:paraId="7B075C40" w14:textId="77777777">
            <w:pPr>
              <w:rPr>
                <w:rFonts w:asciiTheme="minorHAnsi" w:hAnsiTheme="minorHAnsi" w:cstheme="minorHAnsi"/>
                <w:sz w:val="21"/>
                <w:szCs w:val="21"/>
              </w:rPr>
            </w:pPr>
          </w:p>
        </w:tc>
        <w:tc>
          <w:tcPr>
            <w:tcW w:w="4822"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7A580F" w:rsidR="002F5E0F" w:rsidP="002F5E0F" w:rsidRDefault="002F5E0F" w14:paraId="646AF344" w14:textId="77777777">
            <w:pPr>
              <w:rPr>
                <w:rFonts w:asciiTheme="minorHAnsi" w:hAnsiTheme="minorHAnsi" w:eastAsiaTheme="minorEastAsia" w:cstheme="minorHAnsi"/>
                <w:sz w:val="21"/>
                <w:szCs w:val="21"/>
              </w:rPr>
            </w:pPr>
            <w:r w:rsidRPr="007A580F">
              <w:rPr>
                <w:rFonts w:asciiTheme="minorHAnsi" w:hAnsiTheme="minorHAnsi" w:eastAsiaTheme="minorEastAsia" w:cstheme="minorHAnsi"/>
                <w:sz w:val="21"/>
                <w:szCs w:val="21"/>
              </w:rPr>
              <w:t xml:space="preserve">Annual CH4 emissions from flashing in tanks that control emissions with flaring (mt </w:t>
            </w:r>
            <w:r w:rsidRPr="007A580F">
              <w:rPr>
                <w:rFonts w:cs="Calibri" w:asciiTheme="minorHAnsi" w:hAnsiTheme="minorHAnsi"/>
                <w:sz w:val="21"/>
                <w:szCs w:val="21"/>
              </w:rPr>
              <w:t>CH</w:t>
            </w:r>
            <w:r w:rsidRPr="007A580F">
              <w:rPr>
                <w:rFonts w:cs="Calibri" w:asciiTheme="minorHAnsi" w:hAnsiTheme="minorHAnsi"/>
                <w:sz w:val="21"/>
                <w:szCs w:val="21"/>
                <w:vertAlign w:val="subscript"/>
              </w:rPr>
              <w:t>4</w:t>
            </w:r>
            <w:r w:rsidRPr="007A580F">
              <w:rPr>
                <w:rFonts w:asciiTheme="minorHAnsi" w:hAnsiTheme="minorHAnsi" w:eastAsiaTheme="minorEastAsia" w:cstheme="minorHAnsi"/>
                <w:sz w:val="21"/>
                <w:szCs w:val="21"/>
              </w:rPr>
              <w:t>)</w:t>
            </w:r>
          </w:p>
        </w:tc>
        <w:tc>
          <w:tcPr>
            <w:tcW w:w="68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7A580F" w:rsidR="002F5E0F" w:rsidP="002F5E0F" w:rsidRDefault="002F5E0F" w14:paraId="760366D2" w14:textId="77777777">
            <w:pPr>
              <w:jc w:val="center"/>
              <w:rPr>
                <w:rFonts w:asciiTheme="minorHAnsi" w:hAnsiTheme="minorHAnsi" w:cstheme="minorHAnsi"/>
                <w:sz w:val="21"/>
                <w:szCs w:val="21"/>
              </w:rPr>
            </w:pPr>
            <w:r w:rsidRPr="007A580F">
              <w:rPr>
                <w:rFonts w:asciiTheme="minorHAnsi" w:hAnsiTheme="minorHAnsi" w:cstheme="minorHAnsi"/>
                <w:sz w:val="21"/>
                <w:szCs w:val="21"/>
              </w:rPr>
              <w:t>X</w:t>
            </w:r>
          </w:p>
        </w:tc>
      </w:tr>
      <w:tr w:rsidRPr="007A580F" w:rsidR="002F5E0F" w:rsidTr="00A14F8D" w14:paraId="3BE0C60A" w14:textId="77777777">
        <w:trPr>
          <w:trHeight w:val="368"/>
          <w:jc w:val="center"/>
        </w:trPr>
        <w:tc>
          <w:tcPr>
            <w:tcW w:w="2515" w:type="dxa"/>
            <w:vMerge w:val="restart"/>
            <w:shd w:val="clear" w:color="auto" w:fill="auto"/>
            <w:vAlign w:val="center"/>
          </w:tcPr>
          <w:p w:rsidRPr="007A580F" w:rsidR="002F5E0F" w:rsidP="002F5E0F" w:rsidRDefault="002F5E0F" w14:paraId="3A2BE3A1" w14:textId="15A1A48C">
            <w:pPr>
              <w:contextualSpacing/>
              <w:rPr>
                <w:rFonts w:cstheme="minorHAnsi"/>
                <w:sz w:val="21"/>
                <w:szCs w:val="21"/>
              </w:rPr>
            </w:pPr>
            <w:r w:rsidRPr="007A580F">
              <w:rPr>
                <w:rFonts w:asciiTheme="minorHAnsi" w:hAnsiTheme="minorHAnsi" w:cstheme="minorHAnsi"/>
                <w:sz w:val="21"/>
                <w:szCs w:val="21"/>
              </w:rPr>
              <w:t>Voluntary action to reduce methane emissions during the reporting year</w:t>
            </w:r>
          </w:p>
        </w:tc>
        <w:tc>
          <w:tcPr>
            <w:tcW w:w="1343" w:type="dxa"/>
            <w:vMerge w:val="restart"/>
            <w:shd w:val="clear" w:color="auto" w:fill="auto"/>
            <w:vAlign w:val="center"/>
          </w:tcPr>
          <w:p w:rsidRPr="007A580F" w:rsidR="002F5E0F" w:rsidP="002F5E0F" w:rsidRDefault="002F5E0F" w14:paraId="40C860FE" w14:textId="6B91F825">
            <w:pPr>
              <w:rPr>
                <w:rFonts w:cstheme="minorHAnsi"/>
                <w:sz w:val="21"/>
                <w:szCs w:val="21"/>
              </w:rPr>
            </w:pPr>
            <w:r w:rsidRPr="007A580F">
              <w:rPr>
                <w:rFonts w:asciiTheme="minorHAnsi" w:hAnsiTheme="minorHAnsi" w:cstheme="minorHAnsi"/>
                <w:sz w:val="21"/>
                <w:szCs w:val="21"/>
              </w:rPr>
              <w:t>Difference in emissions before and after mitigation</w:t>
            </w:r>
            <w:r w:rsidRPr="007A580F">
              <w:rPr>
                <w:rFonts w:asciiTheme="minorHAnsi" w:hAnsiTheme="minorHAnsi" w:cstheme="minorHAnsi"/>
                <w:sz w:val="21"/>
                <w:szCs w:val="21"/>
                <w:vertAlign w:val="superscript"/>
              </w:rPr>
              <w:footnoteReference w:id="19"/>
            </w:r>
            <w:r w:rsidRPr="007A580F">
              <w:rPr>
                <w:rFonts w:asciiTheme="minorHAnsi" w:hAnsiTheme="minorHAnsi" w:cstheme="minorHAnsi"/>
                <w:sz w:val="21"/>
                <w:szCs w:val="21"/>
              </w:rPr>
              <w:t xml:space="preserve"> </w:t>
            </w:r>
          </w:p>
        </w:tc>
        <w:tc>
          <w:tcPr>
            <w:tcW w:w="4822" w:type="dxa"/>
            <w:shd w:val="clear" w:color="auto" w:fill="auto"/>
            <w:vAlign w:val="center"/>
          </w:tcPr>
          <w:p w:rsidRPr="009F270C" w:rsidR="002F5E0F" w:rsidP="002F5E0F" w:rsidRDefault="002F5E0F" w14:paraId="623DD161" w14:textId="64CCDA37">
            <w:pPr>
              <w:rPr>
                <w:rFonts w:cstheme="minorHAnsi"/>
                <w:sz w:val="21"/>
                <w:szCs w:val="21"/>
                <w:highlight w:val="yellow"/>
              </w:rPr>
            </w:pPr>
            <w:r w:rsidRPr="009F270C">
              <w:rPr>
                <w:rFonts w:cstheme="minorHAnsi"/>
                <w:sz w:val="21"/>
                <w:szCs w:val="21"/>
                <w:highlight w:val="yellow"/>
              </w:rPr>
              <w:t>Total number of tanks in the basin</w:t>
            </w:r>
          </w:p>
        </w:tc>
        <w:tc>
          <w:tcPr>
            <w:tcW w:w="680" w:type="dxa"/>
            <w:shd w:val="clear" w:color="auto" w:fill="auto"/>
            <w:vAlign w:val="center"/>
          </w:tcPr>
          <w:p w:rsidRPr="007A580F" w:rsidR="002F5E0F" w:rsidP="002F5E0F" w:rsidRDefault="002F5E0F" w14:paraId="78965FA9" w14:textId="7A6FAE76">
            <w:pPr>
              <w:jc w:val="center"/>
              <w:rPr>
                <w:rFonts w:cstheme="minorHAnsi"/>
                <w:sz w:val="21"/>
                <w:szCs w:val="21"/>
              </w:rPr>
            </w:pPr>
            <w:r>
              <w:rPr>
                <w:rFonts w:cstheme="minorHAnsi"/>
                <w:sz w:val="21"/>
                <w:szCs w:val="21"/>
              </w:rPr>
              <w:t>X</w:t>
            </w:r>
          </w:p>
        </w:tc>
      </w:tr>
      <w:tr w:rsidRPr="007A580F" w:rsidR="002F5E0F" w:rsidTr="00A14F8D" w14:paraId="213119A1" w14:textId="77777777">
        <w:trPr>
          <w:trHeight w:val="368"/>
          <w:jc w:val="center"/>
        </w:trPr>
        <w:tc>
          <w:tcPr>
            <w:tcW w:w="2515" w:type="dxa"/>
            <w:vMerge/>
            <w:shd w:val="clear" w:color="auto" w:fill="auto"/>
            <w:vAlign w:val="center"/>
          </w:tcPr>
          <w:p w:rsidRPr="007A580F" w:rsidR="002F5E0F" w:rsidP="002F5E0F" w:rsidRDefault="002F5E0F" w14:paraId="5575AB1C" w14:textId="6EE95703">
            <w:pPr>
              <w:contextualSpacing/>
              <w:rPr>
                <w:rFonts w:cstheme="minorHAnsi"/>
                <w:sz w:val="21"/>
                <w:szCs w:val="21"/>
              </w:rPr>
            </w:pPr>
          </w:p>
        </w:tc>
        <w:tc>
          <w:tcPr>
            <w:tcW w:w="1343" w:type="dxa"/>
            <w:vMerge/>
            <w:shd w:val="clear" w:color="auto" w:fill="auto"/>
            <w:vAlign w:val="center"/>
          </w:tcPr>
          <w:p w:rsidRPr="007A580F" w:rsidR="002F5E0F" w:rsidP="002F5E0F" w:rsidRDefault="002F5E0F" w14:paraId="1E3224B8" w14:textId="430CE40F">
            <w:pPr>
              <w:rPr>
                <w:rFonts w:cstheme="minorHAnsi"/>
                <w:sz w:val="21"/>
                <w:szCs w:val="21"/>
              </w:rPr>
            </w:pPr>
          </w:p>
        </w:tc>
        <w:tc>
          <w:tcPr>
            <w:tcW w:w="4822" w:type="dxa"/>
            <w:shd w:val="clear" w:color="auto" w:fill="auto"/>
            <w:vAlign w:val="center"/>
          </w:tcPr>
          <w:p w:rsidRPr="007A580F" w:rsidR="002F5E0F" w:rsidP="002F5E0F" w:rsidRDefault="002F5E0F" w14:paraId="04B76EA1" w14:textId="77777777">
            <w:pPr>
              <w:rPr>
                <w:rFonts w:cstheme="minorHAnsi"/>
                <w:sz w:val="21"/>
                <w:szCs w:val="21"/>
              </w:rPr>
            </w:pPr>
            <w:r w:rsidRPr="007A580F">
              <w:rPr>
                <w:rFonts w:asciiTheme="minorHAnsi" w:hAnsiTheme="minorHAnsi" w:cstheme="minorHAnsi"/>
                <w:sz w:val="21"/>
                <w:szCs w:val="21"/>
              </w:rPr>
              <w:t>Number of tanks routed to VRU or beneficial use</w:t>
            </w:r>
          </w:p>
        </w:tc>
        <w:tc>
          <w:tcPr>
            <w:tcW w:w="680" w:type="dxa"/>
            <w:shd w:val="clear" w:color="auto" w:fill="auto"/>
            <w:vAlign w:val="center"/>
          </w:tcPr>
          <w:p w:rsidRPr="007A580F" w:rsidR="002F5E0F" w:rsidP="002F5E0F" w:rsidRDefault="002F5E0F" w14:paraId="0C1BCA6B" w14:textId="77777777">
            <w:pPr>
              <w:jc w:val="center"/>
              <w:rPr>
                <w:rFonts w:cstheme="minorHAnsi"/>
                <w:sz w:val="21"/>
                <w:szCs w:val="21"/>
              </w:rPr>
            </w:pPr>
          </w:p>
        </w:tc>
      </w:tr>
      <w:tr w:rsidRPr="007A580F" w:rsidR="002F5E0F" w:rsidTr="00A14F8D" w14:paraId="6EFEC612" w14:textId="77777777">
        <w:trPr>
          <w:trHeight w:val="368"/>
          <w:jc w:val="center"/>
        </w:trPr>
        <w:tc>
          <w:tcPr>
            <w:tcW w:w="2515" w:type="dxa"/>
            <w:vMerge/>
            <w:shd w:val="clear" w:color="auto" w:fill="auto"/>
            <w:vAlign w:val="center"/>
          </w:tcPr>
          <w:p w:rsidRPr="007A580F" w:rsidR="002F5E0F" w:rsidP="002F5E0F" w:rsidRDefault="002F5E0F" w14:paraId="73B0F626" w14:textId="77777777">
            <w:pPr>
              <w:contextualSpacing/>
              <w:rPr>
                <w:rFonts w:eastAsiaTheme="minorEastAsia" w:cstheme="minorHAnsi"/>
                <w:sz w:val="21"/>
                <w:szCs w:val="21"/>
              </w:rPr>
            </w:pPr>
          </w:p>
        </w:tc>
        <w:tc>
          <w:tcPr>
            <w:tcW w:w="1343" w:type="dxa"/>
            <w:vMerge/>
            <w:shd w:val="clear" w:color="auto" w:fill="auto"/>
            <w:vAlign w:val="center"/>
          </w:tcPr>
          <w:p w:rsidRPr="007A580F" w:rsidR="002F5E0F" w:rsidP="002F5E0F" w:rsidRDefault="002F5E0F" w14:paraId="66E006A4" w14:textId="77777777">
            <w:pPr>
              <w:rPr>
                <w:rFonts w:cstheme="minorHAnsi"/>
                <w:sz w:val="21"/>
                <w:szCs w:val="21"/>
              </w:rPr>
            </w:pPr>
          </w:p>
        </w:tc>
        <w:tc>
          <w:tcPr>
            <w:tcW w:w="4822" w:type="dxa"/>
            <w:shd w:val="clear" w:color="auto" w:fill="auto"/>
            <w:vAlign w:val="center"/>
          </w:tcPr>
          <w:p w:rsidRPr="007A580F" w:rsidR="002F5E0F" w:rsidP="002F5E0F" w:rsidRDefault="002F5E0F" w14:paraId="3B6B9EB7" w14:textId="77777777">
            <w:pPr>
              <w:rPr>
                <w:rFonts w:eastAsiaTheme="minorEastAsia" w:cstheme="minorHAnsi"/>
                <w:sz w:val="21"/>
                <w:szCs w:val="21"/>
              </w:rPr>
            </w:pPr>
            <w:r w:rsidRPr="007A580F">
              <w:rPr>
                <w:rFonts w:asciiTheme="minorHAnsi" w:hAnsiTheme="minorHAnsi" w:cstheme="minorHAnsi"/>
                <w:sz w:val="21"/>
                <w:szCs w:val="21"/>
              </w:rPr>
              <w:t>Number of tanks routed to flare or controls device</w:t>
            </w:r>
          </w:p>
        </w:tc>
        <w:tc>
          <w:tcPr>
            <w:tcW w:w="680" w:type="dxa"/>
            <w:shd w:val="clear" w:color="auto" w:fill="auto"/>
            <w:vAlign w:val="center"/>
          </w:tcPr>
          <w:p w:rsidRPr="007A580F" w:rsidR="002F5E0F" w:rsidP="002F5E0F" w:rsidRDefault="002F5E0F" w14:paraId="2AB4A3DB" w14:textId="77777777">
            <w:pPr>
              <w:jc w:val="center"/>
              <w:rPr>
                <w:rFonts w:cstheme="minorHAnsi"/>
                <w:sz w:val="21"/>
                <w:szCs w:val="21"/>
              </w:rPr>
            </w:pPr>
          </w:p>
        </w:tc>
      </w:tr>
      <w:tr w:rsidRPr="007A580F" w:rsidR="002F5E0F" w:rsidTr="00A14F8D" w14:paraId="2DEBAACD" w14:textId="77777777">
        <w:trPr>
          <w:trHeight w:val="368"/>
          <w:jc w:val="center"/>
        </w:trPr>
        <w:tc>
          <w:tcPr>
            <w:tcW w:w="2515" w:type="dxa"/>
            <w:vMerge/>
            <w:shd w:val="clear" w:color="auto" w:fill="auto"/>
            <w:vAlign w:val="center"/>
          </w:tcPr>
          <w:p w:rsidRPr="007A580F" w:rsidR="002F5E0F" w:rsidP="002F5E0F" w:rsidRDefault="002F5E0F" w14:paraId="3F01A59D" w14:textId="77777777">
            <w:pPr>
              <w:contextualSpacing/>
              <w:rPr>
                <w:rFonts w:cstheme="minorHAnsi"/>
                <w:sz w:val="21"/>
                <w:szCs w:val="21"/>
              </w:rPr>
            </w:pPr>
          </w:p>
        </w:tc>
        <w:tc>
          <w:tcPr>
            <w:tcW w:w="1343" w:type="dxa"/>
            <w:vMerge/>
            <w:shd w:val="clear" w:color="auto" w:fill="auto"/>
            <w:vAlign w:val="center"/>
          </w:tcPr>
          <w:p w:rsidRPr="007A580F" w:rsidR="002F5E0F" w:rsidP="002F5E0F" w:rsidRDefault="002F5E0F" w14:paraId="3D3B424A" w14:textId="77777777">
            <w:pPr>
              <w:rPr>
                <w:rFonts w:cstheme="minorHAnsi"/>
                <w:sz w:val="21"/>
                <w:szCs w:val="21"/>
              </w:rPr>
            </w:pPr>
          </w:p>
        </w:tc>
        <w:tc>
          <w:tcPr>
            <w:tcW w:w="4822" w:type="dxa"/>
            <w:shd w:val="clear" w:color="auto" w:fill="auto"/>
            <w:vAlign w:val="center"/>
          </w:tcPr>
          <w:p w:rsidRPr="007A580F" w:rsidR="002F5E0F" w:rsidP="002F5E0F" w:rsidRDefault="002F5E0F" w14:paraId="256AEAF3" w14:textId="77777777">
            <w:pPr>
              <w:rPr>
                <w:rFonts w:cstheme="minorHAnsi"/>
                <w:sz w:val="21"/>
                <w:szCs w:val="21"/>
              </w:rPr>
            </w:pPr>
            <w:r w:rsidRPr="007A580F">
              <w:rPr>
                <w:rFonts w:asciiTheme="minorHAnsi" w:hAnsiTheme="minorHAnsi" w:cstheme="minorHAnsi"/>
                <w:sz w:val="21"/>
                <w:szCs w:val="21"/>
              </w:rPr>
              <w:t>Emission reductions from voluntary action (mt</w:t>
            </w:r>
            <w:r>
              <w:rPr>
                <w:rFonts w:asciiTheme="minorHAnsi" w:hAnsiTheme="minorHAnsi" w:cstheme="minorHAnsi"/>
                <w:sz w:val="21"/>
                <w:szCs w:val="21"/>
              </w:rPr>
              <w:t xml:space="preserve"> CH</w:t>
            </w:r>
            <w:r w:rsidRPr="005D221D">
              <w:rPr>
                <w:rFonts w:asciiTheme="minorHAnsi" w:hAnsiTheme="minorHAnsi" w:cstheme="minorHAnsi"/>
                <w:sz w:val="21"/>
                <w:szCs w:val="21"/>
                <w:vertAlign w:val="subscript"/>
              </w:rPr>
              <w:t>4</w:t>
            </w:r>
            <w:r>
              <w:rPr>
                <w:rFonts w:asciiTheme="minorHAnsi" w:hAnsiTheme="minorHAnsi" w:cstheme="minorHAnsi"/>
                <w:sz w:val="21"/>
                <w:szCs w:val="21"/>
              </w:rPr>
              <w:t>)</w:t>
            </w:r>
          </w:p>
        </w:tc>
        <w:tc>
          <w:tcPr>
            <w:tcW w:w="680" w:type="dxa"/>
            <w:shd w:val="clear" w:color="auto" w:fill="auto"/>
            <w:vAlign w:val="center"/>
          </w:tcPr>
          <w:p w:rsidRPr="007A580F" w:rsidR="002F5E0F" w:rsidP="002F5E0F" w:rsidRDefault="002F5E0F" w14:paraId="11C42C7E" w14:textId="77777777">
            <w:pPr>
              <w:jc w:val="center"/>
              <w:rPr>
                <w:rFonts w:cstheme="minorHAnsi"/>
                <w:sz w:val="21"/>
                <w:szCs w:val="21"/>
              </w:rPr>
            </w:pPr>
          </w:p>
        </w:tc>
      </w:tr>
    </w:tbl>
    <w:p w:rsidR="001F0154" w:rsidP="001F0154" w:rsidRDefault="001F0154" w14:paraId="450449D2" w14:textId="77777777">
      <w:pPr>
        <w:spacing w:after="200" w:line="276" w:lineRule="auto"/>
      </w:pPr>
    </w:p>
    <w:p w:rsidR="001F0154" w:rsidP="005F56CB" w:rsidRDefault="001F0154" w14:paraId="5090E4D7" w14:textId="77777777">
      <w:pPr>
        <w:spacing w:after="0"/>
      </w:pPr>
      <w:r>
        <w:br w:type="page"/>
      </w:r>
    </w:p>
    <w:p w:rsidRPr="00D9022A" w:rsidR="00131EFF" w:rsidP="00084222" w:rsidRDefault="00131EFF" w14:paraId="0BEDFE50" w14:textId="77777777">
      <w:pPr>
        <w:pStyle w:val="Heading2"/>
      </w:pPr>
      <w:bookmarkStart w:name="_Ref67321257" w:id="20"/>
      <w:bookmarkStart w:name="_Toc67322583" w:id="21"/>
      <w:r w:rsidRPr="000957A3">
        <w:rPr>
          <w:highlight w:val="yellow"/>
        </w:rPr>
        <w:lastRenderedPageBreak/>
        <w:t>Equipment Leaks/Fugitive Emissions – Compressor Isolation and Blowdown Valves</w:t>
      </w:r>
      <w:bookmarkEnd w:id="20"/>
      <w:bookmarkEnd w:id="21"/>
    </w:p>
    <w:p w:rsidRPr="009B0364" w:rsidR="00131EFF" w:rsidP="00131EFF" w:rsidRDefault="00131EFF" w14:paraId="44420D64" w14:textId="77777777">
      <w:pPr>
        <w:rPr>
          <w:rFonts w:ascii="Calibri" w:hAnsi="Calibri" w:cs="Calibri"/>
          <w:u w:val="single"/>
        </w:rPr>
      </w:pPr>
      <w:r>
        <w:rPr>
          <w:rFonts w:ascii="Calibri" w:hAnsi="Calibri" w:cs="Calibri"/>
          <w:u w:val="single"/>
        </w:rPr>
        <w:t>Applicable Segments:</w:t>
      </w:r>
      <w:r w:rsidRPr="00053AA8">
        <w:rPr>
          <w:rFonts w:ascii="Calibri" w:hAnsi="Calibri" w:cs="Calibri"/>
        </w:rPr>
        <w:t xml:space="preserve"> </w:t>
      </w:r>
      <w:r>
        <w:rPr>
          <w:rFonts w:ascii="Calibri" w:hAnsi="Calibri" w:cs="Calibri"/>
        </w:rPr>
        <w:t>Transmission &amp; Storage</w:t>
      </w:r>
    </w:p>
    <w:p w:rsidRPr="007A580F" w:rsidR="00131EFF" w:rsidP="00131EFF" w:rsidRDefault="00131EFF" w14:paraId="3508965C" w14:textId="1AA65C5B">
      <w:pPr>
        <w:rPr>
          <w:rFonts w:ascii="Calibri" w:hAnsi="Calibri" w:cs="Calibri"/>
        </w:rPr>
      </w:pPr>
      <w:r w:rsidRPr="007A580F">
        <w:rPr>
          <w:rFonts w:ascii="Calibri" w:hAnsi="Calibri" w:cs="Calibri"/>
          <w:u w:val="single"/>
        </w:rPr>
        <w:t>Source Description</w:t>
      </w:r>
      <w:r w:rsidRPr="007A580F">
        <w:rPr>
          <w:rFonts w:ascii="Calibri" w:hAnsi="Calibri" w:cs="Calibri"/>
        </w:rPr>
        <w:t xml:space="preserve">: </w:t>
      </w:r>
      <w:r>
        <w:t>This commitment option</w:t>
      </w:r>
      <w:r w:rsidRPr="006F20A4">
        <w:t xml:space="preserve"> address</w:t>
      </w:r>
      <w:r>
        <w:t>es</w:t>
      </w:r>
      <w:r w:rsidRPr="006F20A4">
        <w:t xml:space="preserve"> methane emissions at compressor stations from leakage through compressor blowdown and isolation valves.</w:t>
      </w:r>
      <w:r>
        <w:t xml:space="preserve"> </w:t>
      </w:r>
      <w:r w:rsidRPr="00131EFF">
        <w:t xml:space="preserve"> </w:t>
      </w:r>
      <w:r>
        <w:t xml:space="preserve">For additional information on the emission source and mitigation options, please review the Methane Challenge “Continuous Improvement” document for this commitment: </w:t>
      </w:r>
      <w:hyperlink w:history="1" r:id="rId14">
        <w:r w:rsidR="00E2237A">
          <w:rPr>
            <w:rStyle w:val="Hyperlink"/>
          </w:rPr>
          <w:t>https://www.epa.gov/natural-gas-star-program/continuous-improvement-document-equipment-leaks-compressor-valves</w:t>
        </w:r>
      </w:hyperlink>
      <w:r w:rsidR="00E2237A">
        <w:t>.</w:t>
      </w:r>
    </w:p>
    <w:p w:rsidRPr="007A580F" w:rsidR="00131EFF" w:rsidP="00131EFF" w:rsidRDefault="00131EFF" w14:paraId="257D29E1" w14:textId="77777777">
      <w:pPr>
        <w:rPr>
          <w:rFonts w:ascii="Calibri" w:hAnsi="Calibri" w:cs="Calibri"/>
          <w:u w:val="single"/>
        </w:rPr>
      </w:pPr>
      <w:r w:rsidRPr="007A580F">
        <w:rPr>
          <w:rFonts w:ascii="Calibri" w:hAnsi="Calibri" w:cs="Calibri"/>
          <w:u w:val="single"/>
        </w:rPr>
        <w:t xml:space="preserve">Mitigation Options: </w:t>
      </w:r>
    </w:p>
    <w:p w:rsidRPr="00F37EE8" w:rsidR="00131EFF" w:rsidP="00932D65" w:rsidRDefault="00131EFF" w14:paraId="4DBC6A24" w14:textId="77777777">
      <w:pPr>
        <w:pStyle w:val="ListParagraph"/>
        <w:numPr>
          <w:ilvl w:val="0"/>
          <w:numId w:val="7"/>
        </w:numPr>
        <w:autoSpaceDE w:val="0"/>
        <w:autoSpaceDN w:val="0"/>
        <w:adjustRightInd w:val="0"/>
        <w:spacing w:after="120" w:line="240" w:lineRule="auto"/>
      </w:pPr>
      <w:r>
        <w:rPr>
          <w:rFonts w:ascii="Calibri" w:hAnsi="Calibri" w:cs="Calibri"/>
        </w:rPr>
        <w:t>Develop a compressor valve inspection, maintenance, and repair/replacement program</w:t>
      </w:r>
    </w:p>
    <w:p w:rsidRPr="009A0A82" w:rsidR="00131EFF" w:rsidP="00932D65" w:rsidRDefault="00131EFF" w14:paraId="5040B2E8" w14:textId="77777777">
      <w:pPr>
        <w:pStyle w:val="ListParagraph"/>
        <w:numPr>
          <w:ilvl w:val="1"/>
          <w:numId w:val="7"/>
        </w:numPr>
        <w:autoSpaceDE w:val="0"/>
        <w:autoSpaceDN w:val="0"/>
        <w:adjustRightInd w:val="0"/>
        <w:spacing w:after="120" w:line="240" w:lineRule="auto"/>
      </w:pPr>
      <w:r w:rsidRPr="00A808EE">
        <w:rPr>
          <w:rFonts w:ascii="Calibri" w:hAnsi="Calibri" w:cs="Calibri"/>
        </w:rPr>
        <w:t>Implement a</w:t>
      </w:r>
      <w:r w:rsidRPr="00A808EE">
        <w:t>n annual isolation and blowdown valve</w:t>
      </w:r>
      <w:r>
        <w:t xml:space="preserve">-focused </w:t>
      </w:r>
      <w:r w:rsidRPr="00A808EE">
        <w:t>leak survey at all compressor stations</w:t>
      </w:r>
      <w:r>
        <w:t xml:space="preserve">. Partners can measure the compressors as-found but are encouraged to work up to a </w:t>
      </w:r>
      <w:r w:rsidRPr="00BF6B3F">
        <w:t>biannual survey, timing the surveys so both the isolation and blowdown valve can be surveyed on each un</w:t>
      </w:r>
      <w:r w:rsidRPr="009A0A82">
        <w:t>it</w:t>
      </w:r>
      <w:r>
        <w:t>, each year</w:t>
      </w:r>
    </w:p>
    <w:p w:rsidRPr="008C30F1" w:rsidR="00131EFF" w:rsidP="00932D65" w:rsidRDefault="00131EFF" w14:paraId="5D1C413A" w14:textId="77777777">
      <w:pPr>
        <w:pStyle w:val="ListParagraph"/>
        <w:numPr>
          <w:ilvl w:val="1"/>
          <w:numId w:val="7"/>
        </w:numPr>
        <w:autoSpaceDE w:val="0"/>
        <w:autoSpaceDN w:val="0"/>
        <w:adjustRightInd w:val="0"/>
        <w:spacing w:after="0" w:line="240" w:lineRule="auto"/>
      </w:pPr>
      <w:r w:rsidRPr="006B1C4D">
        <w:rPr>
          <w:rFonts w:ascii="Calibri" w:hAnsi="Calibri" w:cs="Calibri"/>
        </w:rPr>
        <w:t>Develop an isolation and blowdown valve</w:t>
      </w:r>
      <w:r>
        <w:rPr>
          <w:rFonts w:ascii="Calibri" w:hAnsi="Calibri" w:cs="Calibri"/>
        </w:rPr>
        <w:t xml:space="preserve"> enhanced</w:t>
      </w:r>
      <w:r w:rsidRPr="006B1C4D">
        <w:rPr>
          <w:rFonts w:ascii="Calibri" w:hAnsi="Calibri" w:cs="Calibri"/>
        </w:rPr>
        <w:t xml:space="preserve"> </w:t>
      </w:r>
      <w:r w:rsidRPr="00345464">
        <w:rPr>
          <w:rFonts w:ascii="Calibri" w:hAnsi="Calibri" w:cs="Calibri"/>
        </w:rPr>
        <w:t>maintenance plan</w:t>
      </w:r>
    </w:p>
    <w:p w:rsidRPr="0039434B" w:rsidR="00131EFF" w:rsidP="00932D65" w:rsidRDefault="00131EFF" w14:paraId="1FFF2AD5" w14:textId="77777777">
      <w:pPr>
        <w:numPr>
          <w:ilvl w:val="1"/>
          <w:numId w:val="7"/>
        </w:numPr>
        <w:spacing w:after="0"/>
        <w:rPr>
          <w:rFonts w:ascii="Calibri" w:hAnsi="Calibri" w:cs="Calibri" w:eastAsiaTheme="minorEastAsia"/>
          <w:color w:val="000000"/>
        </w:rPr>
      </w:pPr>
      <w:r w:rsidRPr="00022AE7">
        <w:t>Mitigat</w:t>
      </w:r>
      <w:r>
        <w:t>e emissions from found leaks by any combination of the following:</w:t>
      </w:r>
    </w:p>
    <w:p w:rsidR="00131EFF" w:rsidP="00932D65" w:rsidRDefault="00131EFF" w14:paraId="1B1B0246" w14:textId="77777777">
      <w:pPr>
        <w:pStyle w:val="ListParagraph"/>
        <w:numPr>
          <w:ilvl w:val="2"/>
          <w:numId w:val="7"/>
        </w:numPr>
        <w:autoSpaceDE w:val="0"/>
        <w:autoSpaceDN w:val="0"/>
        <w:adjustRightInd w:val="0"/>
        <w:spacing w:after="0" w:line="240" w:lineRule="auto"/>
      </w:pPr>
      <w:r>
        <w:t>Implementing activities identified in the enhanced maintenance plan that lead to emissions reductions, or</w:t>
      </w:r>
    </w:p>
    <w:p w:rsidRPr="0039434B" w:rsidR="00131EFF" w:rsidP="00932D65" w:rsidRDefault="00131EFF" w14:paraId="7633098C" w14:textId="77777777">
      <w:pPr>
        <w:numPr>
          <w:ilvl w:val="2"/>
          <w:numId w:val="7"/>
        </w:numPr>
        <w:spacing w:after="0"/>
        <w:rPr>
          <w:rFonts w:ascii="Calibri" w:hAnsi="Calibri" w:cs="Calibri" w:eastAsiaTheme="minorEastAsia"/>
          <w:color w:val="000000"/>
        </w:rPr>
      </w:pPr>
      <w:r w:rsidRPr="00A808EE">
        <w:t>Repair</w:t>
      </w:r>
      <w:r>
        <w:t>ing</w:t>
      </w:r>
      <w:r w:rsidRPr="00A808EE">
        <w:t xml:space="preserve"> or replac</w:t>
      </w:r>
      <w:r>
        <w:t>ing</w:t>
      </w:r>
      <w:r w:rsidRPr="00A808EE">
        <w:t xml:space="preserve"> valves where practical (e.g., considering budgetary constraints, operating requirements and maintenance schedules). Repair/replacement should be targeted as soon as practical, but in no more than </w:t>
      </w:r>
      <w:r w:rsidRPr="00F37EE8">
        <w:t xml:space="preserve">three </w:t>
      </w:r>
      <w:r w:rsidRPr="00A808EE">
        <w:t>years after identifying the leaking component</w:t>
      </w:r>
      <w:r>
        <w:t>, or</w:t>
      </w:r>
    </w:p>
    <w:p w:rsidR="00131EFF" w:rsidP="00932D65" w:rsidRDefault="00131EFF" w14:paraId="1F024310" w14:textId="77777777">
      <w:pPr>
        <w:numPr>
          <w:ilvl w:val="2"/>
          <w:numId w:val="7"/>
        </w:numPr>
        <w:spacing w:after="0"/>
        <w:rPr>
          <w:rFonts w:ascii="Calibri" w:hAnsi="Calibri" w:cs="Calibri" w:eastAsiaTheme="minorEastAsia"/>
          <w:color w:val="000000"/>
        </w:rPr>
      </w:pPr>
      <w:r>
        <w:rPr>
          <w:rFonts w:ascii="Calibri" w:hAnsi="Calibri" w:cs="Calibri" w:eastAsiaTheme="minorEastAsia"/>
          <w:color w:val="000000"/>
        </w:rPr>
        <w:t>Routing isolation and blowdown valve leakage to</w:t>
      </w:r>
      <w:r w:rsidRPr="00A6540C">
        <w:rPr>
          <w:rFonts w:ascii="Calibri" w:hAnsi="Calibri" w:cs="Calibri" w:eastAsiaTheme="minorEastAsia"/>
          <w:color w:val="000000"/>
        </w:rPr>
        <w:t xml:space="preserve"> a capture system for beneficial use to achieve at least a 95% reduction in methane emissions, or</w:t>
      </w:r>
    </w:p>
    <w:p w:rsidRPr="007A580F" w:rsidR="00131EFF" w:rsidP="00932D65" w:rsidRDefault="00131EFF" w14:paraId="34D37263" w14:textId="77777777">
      <w:pPr>
        <w:numPr>
          <w:ilvl w:val="2"/>
          <w:numId w:val="7"/>
        </w:numPr>
        <w:rPr>
          <w:rFonts w:ascii="Calibri" w:hAnsi="Calibri" w:cs="Calibri" w:eastAsiaTheme="minorEastAsia"/>
          <w:color w:val="000000"/>
        </w:rPr>
      </w:pPr>
      <w:r>
        <w:rPr>
          <w:rFonts w:ascii="Calibri" w:hAnsi="Calibri" w:cs="Calibri" w:eastAsiaTheme="minorEastAsia"/>
          <w:color w:val="000000"/>
        </w:rPr>
        <w:t>Routing isolation and blowdown valve leakage to</w:t>
      </w:r>
      <w:r w:rsidRPr="00A6540C">
        <w:rPr>
          <w:rFonts w:ascii="Calibri" w:hAnsi="Calibri" w:cs="Calibri" w:eastAsiaTheme="minorEastAsia"/>
          <w:color w:val="000000"/>
        </w:rPr>
        <w:t xml:space="preserve"> flare </w:t>
      </w:r>
      <w:r w:rsidRPr="00A6540C">
        <w:rPr>
          <w:rFonts w:ascii="Calibri" w:hAnsi="Calibri" w:cs="Calibri" w:eastAsiaTheme="minorEastAsia"/>
        </w:rPr>
        <w:t xml:space="preserve">or </w:t>
      </w:r>
      <w:r w:rsidRPr="00A6540C">
        <w:rPr>
          <w:rFonts w:ascii="Calibri" w:hAnsi="Calibri"/>
        </w:rPr>
        <w:t>control device</w:t>
      </w:r>
      <w:r w:rsidRPr="00A6540C">
        <w:rPr>
          <w:rFonts w:ascii="Calibri" w:hAnsi="Calibri"/>
          <w:vertAlign w:val="superscript"/>
        </w:rPr>
        <w:footnoteReference w:id="20"/>
      </w:r>
      <w:r w:rsidRPr="00A6540C">
        <w:rPr>
          <w:rFonts w:ascii="Calibri" w:hAnsi="Calibri" w:eastAsiaTheme="minorEastAsia"/>
        </w:rPr>
        <w:t xml:space="preserve"> </w:t>
      </w:r>
      <w:r w:rsidRPr="00A6540C">
        <w:rPr>
          <w:rFonts w:ascii="Calibri" w:hAnsi="Calibri" w:cs="Calibri" w:eastAsiaTheme="minorEastAsia"/>
        </w:rPr>
        <w:t>to achieve at least a 95% reduction in methane emissions</w:t>
      </w:r>
    </w:p>
    <w:p w:rsidRPr="007A580F" w:rsidR="00131EFF" w:rsidP="00131EFF" w:rsidRDefault="00131EFF" w14:paraId="2ED814EF" w14:textId="77777777">
      <w:pPr>
        <w:rPr>
          <w:rFonts w:ascii="Calibri" w:hAnsi="Calibri" w:cs="Calibri"/>
        </w:rPr>
      </w:pPr>
      <w:r w:rsidRPr="007A580F">
        <w:rPr>
          <w:rFonts w:ascii="Calibri" w:hAnsi="Calibri" w:cs="Calibri"/>
          <w:u w:val="single"/>
        </w:rPr>
        <w:t>Commitment Timeframe</w:t>
      </w:r>
      <w:r w:rsidRPr="007A580F">
        <w:rPr>
          <w:rFonts w:ascii="Calibri" w:hAnsi="Calibri" w:cs="Calibri"/>
        </w:rPr>
        <w:t xml:space="preserve">: </w:t>
      </w:r>
      <w:r w:rsidRPr="00830034">
        <w:rPr>
          <w:rFonts w:ascii="Calibri" w:hAnsi="Calibri" w:cs="Calibri"/>
        </w:rPr>
        <w:t>Partners commit to implement the specified mitigation options for all sources included in their commitment by their designated commitment achievement date, not to exceed five (5) years from the commitment start date.</w:t>
      </w:r>
    </w:p>
    <w:p w:rsidR="00131EFF" w:rsidP="00131EFF" w:rsidRDefault="00131EFF" w14:paraId="32A7EDEA" w14:textId="77777777">
      <w:pPr>
        <w:rPr>
          <w:rFonts w:ascii="Calibri" w:hAnsi="Calibri" w:cs="Calibri"/>
          <w:u w:val="single"/>
        </w:rPr>
      </w:pPr>
      <w:r>
        <w:rPr>
          <w:rFonts w:ascii="Calibri" w:hAnsi="Calibri" w:cs="Calibri"/>
          <w:u w:val="single"/>
        </w:rPr>
        <w:br w:type="page"/>
      </w:r>
    </w:p>
    <w:p w:rsidRPr="007A580F" w:rsidR="00131EFF" w:rsidP="00131EFF" w:rsidRDefault="00131EFF" w14:paraId="6F5F02B8" w14:textId="77777777">
      <w:pPr>
        <w:rPr>
          <w:rFonts w:ascii="Calibri" w:hAnsi="Calibri" w:cs="Calibri"/>
          <w:u w:val="single"/>
        </w:rPr>
      </w:pPr>
      <w:r>
        <w:rPr>
          <w:rFonts w:ascii="Calibri" w:hAnsi="Calibri" w:cs="Calibri"/>
          <w:u w:val="single"/>
        </w:rPr>
        <w:lastRenderedPageBreak/>
        <w:t xml:space="preserve">Facility-level Annual </w:t>
      </w:r>
      <w:r w:rsidRPr="007A580F">
        <w:rPr>
          <w:rFonts w:ascii="Calibri" w:hAnsi="Calibri" w:cs="Calibri"/>
          <w:u w:val="single"/>
        </w:rPr>
        <w:t xml:space="preserve">Reporting: </w:t>
      </w:r>
    </w:p>
    <w:tbl>
      <w:tblPr>
        <w:tblStyle w:val="TableGrid61"/>
        <w:tblW w:w="9360" w:type="dxa"/>
        <w:jc w:val="center"/>
        <w:tblInd w:w="0" w:type="dxa"/>
        <w:tblLayout w:type="fixed"/>
        <w:tblCellMar>
          <w:left w:w="58" w:type="dxa"/>
          <w:right w:w="58" w:type="dxa"/>
        </w:tblCellMar>
        <w:tblLook w:val="04A0" w:firstRow="1" w:lastRow="0" w:firstColumn="1" w:lastColumn="0" w:noHBand="0" w:noVBand="1"/>
        <w:tblDescription w:val="Reporting for Natural Gas Continuous Bleed Pneumatic Controllers"/>
      </w:tblPr>
      <w:tblGrid>
        <w:gridCol w:w="1440"/>
        <w:gridCol w:w="1526"/>
        <w:gridCol w:w="5674"/>
        <w:gridCol w:w="720"/>
      </w:tblGrid>
      <w:tr w:rsidRPr="007A580F" w:rsidR="00131EFF" w:rsidTr="00317B65" w14:paraId="3AF24582" w14:textId="77777777">
        <w:trPr>
          <w:trHeight w:val="547"/>
          <w:tblHeader/>
          <w:jc w:val="center"/>
        </w:trPr>
        <w:tc>
          <w:tcPr>
            <w:tcW w:w="1440" w:type="dxa"/>
            <w:tcBorders>
              <w:top w:val="single" w:color="auto" w:sz="4" w:space="0"/>
              <w:left w:val="single" w:color="auto" w:sz="4" w:space="0"/>
              <w:bottom w:val="single" w:color="auto" w:sz="4" w:space="0"/>
              <w:right w:val="single" w:color="auto" w:sz="4" w:space="0"/>
            </w:tcBorders>
            <w:shd w:val="clear" w:color="auto" w:fill="A6A6A6" w:themeFill="background1" w:themeFillShade="A6"/>
            <w:hideMark/>
          </w:tcPr>
          <w:p w:rsidRPr="007A580F" w:rsidR="00131EFF" w:rsidP="00317B65" w:rsidRDefault="00131EFF" w14:paraId="2AF84F72" w14:textId="77777777">
            <w:pPr>
              <w:rPr>
                <w:rFonts w:cstheme="minorHAnsi"/>
                <w:b/>
                <w:sz w:val="20"/>
                <w:szCs w:val="21"/>
              </w:rPr>
            </w:pPr>
            <w:r w:rsidRPr="007A580F">
              <w:rPr>
                <w:rFonts w:cstheme="minorHAnsi"/>
                <w:b/>
                <w:sz w:val="20"/>
                <w:szCs w:val="21"/>
              </w:rPr>
              <w:t>Emission Source</w:t>
            </w:r>
          </w:p>
        </w:tc>
        <w:tc>
          <w:tcPr>
            <w:tcW w:w="1526" w:type="dxa"/>
            <w:tcBorders>
              <w:top w:val="single" w:color="auto" w:sz="4" w:space="0"/>
              <w:left w:val="single" w:color="auto" w:sz="4" w:space="0"/>
              <w:bottom w:val="single" w:color="auto" w:sz="4" w:space="0"/>
              <w:right w:val="single" w:color="auto" w:sz="4" w:space="0"/>
            </w:tcBorders>
            <w:shd w:val="clear" w:color="auto" w:fill="A6A6A6" w:themeFill="background1" w:themeFillShade="A6"/>
            <w:hideMark/>
          </w:tcPr>
          <w:p w:rsidRPr="007A580F" w:rsidR="00131EFF" w:rsidP="00317B65" w:rsidRDefault="00131EFF" w14:paraId="130C92F9" w14:textId="77777777">
            <w:pPr>
              <w:rPr>
                <w:rFonts w:cstheme="minorHAnsi"/>
                <w:b/>
                <w:sz w:val="20"/>
                <w:szCs w:val="21"/>
              </w:rPr>
            </w:pPr>
            <w:r w:rsidRPr="007A580F">
              <w:rPr>
                <w:rFonts w:cstheme="minorHAnsi"/>
                <w:b/>
                <w:sz w:val="20"/>
                <w:szCs w:val="21"/>
              </w:rPr>
              <w:t>Quantification Method</w:t>
            </w:r>
          </w:p>
        </w:tc>
        <w:tc>
          <w:tcPr>
            <w:tcW w:w="5674" w:type="dxa"/>
            <w:tcBorders>
              <w:top w:val="single" w:color="auto" w:sz="4" w:space="0"/>
              <w:left w:val="single" w:color="auto" w:sz="4" w:space="0"/>
              <w:bottom w:val="single" w:color="auto" w:sz="4" w:space="0"/>
              <w:right w:val="single" w:color="auto" w:sz="4" w:space="0"/>
            </w:tcBorders>
            <w:shd w:val="clear" w:color="auto" w:fill="A6A6A6" w:themeFill="background1" w:themeFillShade="A6"/>
            <w:hideMark/>
          </w:tcPr>
          <w:p w:rsidRPr="007A580F" w:rsidR="00131EFF" w:rsidP="00317B65" w:rsidRDefault="00131EFF" w14:paraId="646F03AA" w14:textId="77777777">
            <w:pPr>
              <w:rPr>
                <w:rFonts w:cstheme="minorHAnsi"/>
                <w:b/>
                <w:sz w:val="20"/>
                <w:szCs w:val="21"/>
              </w:rPr>
            </w:pPr>
            <w:r w:rsidRPr="007A580F">
              <w:rPr>
                <w:rFonts w:cstheme="minorHAnsi"/>
                <w:b/>
                <w:sz w:val="20"/>
                <w:szCs w:val="21"/>
              </w:rPr>
              <w:t>Data Elements Collected via Facility-Level Reporting</w:t>
            </w:r>
          </w:p>
        </w:tc>
        <w:tc>
          <w:tcPr>
            <w:tcW w:w="720" w:type="dxa"/>
            <w:tcBorders>
              <w:top w:val="single" w:color="auto" w:sz="4" w:space="0"/>
              <w:left w:val="single" w:color="auto" w:sz="4" w:space="0"/>
              <w:bottom w:val="single" w:color="auto" w:sz="4" w:space="0"/>
              <w:right w:val="single" w:color="auto" w:sz="4" w:space="0"/>
            </w:tcBorders>
            <w:shd w:val="clear" w:color="auto" w:fill="A6A6A6" w:themeFill="background1" w:themeFillShade="A6"/>
            <w:tcMar>
              <w:left w:w="0" w:type="dxa"/>
              <w:right w:w="0" w:type="dxa"/>
            </w:tcMar>
            <w:hideMark/>
          </w:tcPr>
          <w:p w:rsidRPr="007A580F" w:rsidR="00131EFF" w:rsidP="00317B65" w:rsidRDefault="00131EFF" w14:paraId="11EC8D38" w14:textId="77777777">
            <w:pPr>
              <w:rPr>
                <w:rFonts w:cstheme="minorHAnsi"/>
                <w:b/>
                <w:sz w:val="20"/>
                <w:szCs w:val="21"/>
              </w:rPr>
            </w:pPr>
            <w:r w:rsidRPr="007A580F">
              <w:rPr>
                <w:rFonts w:cstheme="minorHAnsi"/>
                <w:b/>
                <w:sz w:val="20"/>
                <w:szCs w:val="21"/>
              </w:rPr>
              <w:t>GHGRP</w:t>
            </w:r>
          </w:p>
        </w:tc>
      </w:tr>
      <w:tr w:rsidRPr="007A580F" w:rsidR="00131EFF" w:rsidTr="00317B65" w14:paraId="4C025C54" w14:textId="77777777">
        <w:trPr>
          <w:trHeight w:val="242"/>
          <w:jc w:val="center"/>
        </w:trPr>
        <w:tc>
          <w:tcPr>
            <w:tcW w:w="1440" w:type="dxa"/>
            <w:vMerge w:val="restart"/>
            <w:tcBorders>
              <w:top w:val="single" w:color="auto" w:sz="4" w:space="0"/>
              <w:left w:val="single" w:color="auto" w:sz="4" w:space="0"/>
              <w:right w:val="single" w:color="auto" w:sz="4" w:space="0"/>
            </w:tcBorders>
            <w:shd w:val="clear" w:color="auto" w:fill="auto"/>
            <w:vAlign w:val="center"/>
          </w:tcPr>
          <w:p w:rsidRPr="007A580F" w:rsidR="00131EFF" w:rsidP="00317B65" w:rsidRDefault="00131EFF" w14:paraId="7B614D7C" w14:textId="77777777">
            <w:pPr>
              <w:rPr>
                <w:rFonts w:cstheme="minorHAnsi"/>
                <w:sz w:val="21"/>
                <w:szCs w:val="21"/>
              </w:rPr>
            </w:pPr>
            <w:r>
              <w:rPr>
                <w:rFonts w:cstheme="minorHAnsi"/>
                <w:sz w:val="21"/>
                <w:szCs w:val="21"/>
              </w:rPr>
              <w:t>Individual compressor</w:t>
            </w:r>
          </w:p>
        </w:tc>
        <w:tc>
          <w:tcPr>
            <w:tcW w:w="1526" w:type="dxa"/>
            <w:vMerge w:val="restart"/>
            <w:tcBorders>
              <w:top w:val="single" w:color="auto" w:sz="4" w:space="0"/>
              <w:left w:val="single" w:color="auto" w:sz="4" w:space="0"/>
              <w:right w:val="single" w:color="auto" w:sz="4" w:space="0"/>
            </w:tcBorders>
            <w:shd w:val="clear" w:color="auto" w:fill="auto"/>
            <w:vAlign w:val="center"/>
          </w:tcPr>
          <w:p w:rsidRPr="007A580F" w:rsidR="00131EFF" w:rsidP="00317B65" w:rsidRDefault="00131EFF" w14:paraId="5EE69644" w14:textId="77777777">
            <w:pPr>
              <w:rPr>
                <w:rFonts w:cstheme="minorHAnsi"/>
                <w:sz w:val="21"/>
                <w:szCs w:val="21"/>
              </w:rPr>
            </w:pPr>
            <w:r>
              <w:rPr>
                <w:rFonts w:cstheme="minorHAnsi"/>
                <w:sz w:val="21"/>
                <w:szCs w:val="21"/>
              </w:rPr>
              <w:t>NA</w:t>
            </w:r>
          </w:p>
        </w:tc>
        <w:tc>
          <w:tcPr>
            <w:tcW w:w="5674" w:type="dxa"/>
            <w:tcBorders>
              <w:top w:val="single" w:color="auto" w:sz="4" w:space="0"/>
              <w:left w:val="single" w:color="auto" w:sz="4" w:space="0"/>
              <w:bottom w:val="single" w:color="auto" w:sz="4" w:space="0"/>
              <w:right w:val="single" w:color="auto" w:sz="4" w:space="0"/>
            </w:tcBorders>
            <w:shd w:val="clear" w:color="auto" w:fill="auto"/>
            <w:vAlign w:val="center"/>
          </w:tcPr>
          <w:p w:rsidRPr="007A580F" w:rsidR="00131EFF" w:rsidP="00317B65" w:rsidRDefault="00131EFF" w14:paraId="4F1F913C" w14:textId="77777777">
            <w:pPr>
              <w:rPr>
                <w:rFonts w:cstheme="minorHAnsi"/>
                <w:sz w:val="21"/>
                <w:szCs w:val="21"/>
              </w:rPr>
            </w:pPr>
            <w:r w:rsidRPr="00841662">
              <w:rPr>
                <w:sz w:val="21"/>
                <w:szCs w:val="21"/>
              </w:rPr>
              <w:t>Unique name or ID for the compressor</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Pr="007A580F" w:rsidR="00131EFF" w:rsidP="00317B65" w:rsidRDefault="00131EFF" w14:paraId="09137F2B" w14:textId="77777777">
            <w:pPr>
              <w:jc w:val="center"/>
              <w:rPr>
                <w:rFonts w:cstheme="minorHAnsi"/>
                <w:sz w:val="21"/>
                <w:szCs w:val="21"/>
              </w:rPr>
            </w:pPr>
            <w:r w:rsidRPr="00841662">
              <w:rPr>
                <w:rFonts w:cs="Calibri"/>
                <w:sz w:val="21"/>
                <w:szCs w:val="21"/>
              </w:rPr>
              <w:t>X</w:t>
            </w:r>
          </w:p>
        </w:tc>
      </w:tr>
      <w:tr w:rsidRPr="007A580F" w:rsidR="00131EFF" w:rsidTr="00317B65" w14:paraId="1E43A0E4" w14:textId="77777777">
        <w:trPr>
          <w:trHeight w:val="242"/>
          <w:jc w:val="center"/>
        </w:trPr>
        <w:tc>
          <w:tcPr>
            <w:tcW w:w="1440" w:type="dxa"/>
            <w:vMerge/>
            <w:tcBorders>
              <w:left w:val="single" w:color="auto" w:sz="4" w:space="0"/>
              <w:right w:val="single" w:color="auto" w:sz="4" w:space="0"/>
            </w:tcBorders>
            <w:shd w:val="clear" w:color="auto" w:fill="auto"/>
            <w:vAlign w:val="center"/>
          </w:tcPr>
          <w:p w:rsidR="00131EFF" w:rsidP="00317B65" w:rsidRDefault="00131EFF" w14:paraId="119CD5D7" w14:textId="77777777">
            <w:pPr>
              <w:rPr>
                <w:rFonts w:cstheme="minorHAnsi"/>
                <w:sz w:val="21"/>
                <w:szCs w:val="21"/>
              </w:rPr>
            </w:pPr>
          </w:p>
        </w:tc>
        <w:tc>
          <w:tcPr>
            <w:tcW w:w="1526" w:type="dxa"/>
            <w:vMerge/>
            <w:tcBorders>
              <w:left w:val="single" w:color="auto" w:sz="4" w:space="0"/>
              <w:right w:val="single" w:color="auto" w:sz="4" w:space="0"/>
            </w:tcBorders>
            <w:shd w:val="clear" w:color="auto" w:fill="auto"/>
            <w:vAlign w:val="center"/>
          </w:tcPr>
          <w:p w:rsidRPr="007A580F" w:rsidR="00131EFF" w:rsidP="00317B65" w:rsidRDefault="00131EFF" w14:paraId="48C44BFB" w14:textId="77777777">
            <w:pPr>
              <w:rPr>
                <w:rFonts w:cstheme="minorHAnsi"/>
                <w:sz w:val="21"/>
                <w:szCs w:val="21"/>
              </w:rPr>
            </w:pPr>
          </w:p>
        </w:tc>
        <w:tc>
          <w:tcPr>
            <w:tcW w:w="5674" w:type="dxa"/>
            <w:tcBorders>
              <w:top w:val="single" w:color="auto" w:sz="4" w:space="0"/>
              <w:left w:val="single" w:color="auto" w:sz="4" w:space="0"/>
              <w:bottom w:val="single" w:color="auto" w:sz="4" w:space="0"/>
              <w:right w:val="single" w:color="auto" w:sz="4" w:space="0"/>
            </w:tcBorders>
            <w:shd w:val="clear" w:color="auto" w:fill="auto"/>
            <w:vAlign w:val="center"/>
          </w:tcPr>
          <w:p w:rsidRPr="00841662" w:rsidR="00131EFF" w:rsidP="00317B65" w:rsidRDefault="00131EFF" w14:paraId="2DA3C2D6" w14:textId="77777777">
            <w:pPr>
              <w:rPr>
                <w:sz w:val="21"/>
                <w:szCs w:val="21"/>
              </w:rPr>
            </w:pPr>
            <w:r>
              <w:rPr>
                <w:sz w:val="21"/>
                <w:szCs w:val="21"/>
              </w:rPr>
              <w:t>Compressor type (Reciprocating or Centrifugal)</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Pr="00841662" w:rsidR="00131EFF" w:rsidP="00317B65" w:rsidRDefault="00131EFF" w14:paraId="7E765FBC" w14:textId="77777777">
            <w:pPr>
              <w:jc w:val="center"/>
              <w:rPr>
                <w:rFonts w:cs="Calibri"/>
                <w:sz w:val="21"/>
                <w:szCs w:val="21"/>
              </w:rPr>
            </w:pPr>
            <w:r>
              <w:rPr>
                <w:rFonts w:cs="Calibri"/>
                <w:sz w:val="21"/>
                <w:szCs w:val="21"/>
              </w:rPr>
              <w:t>X</w:t>
            </w:r>
          </w:p>
        </w:tc>
      </w:tr>
      <w:tr w:rsidRPr="007A580F" w:rsidR="00131EFF" w:rsidTr="00317B65" w14:paraId="3A028ED4" w14:textId="77777777">
        <w:trPr>
          <w:trHeight w:val="242"/>
          <w:jc w:val="center"/>
        </w:trPr>
        <w:tc>
          <w:tcPr>
            <w:tcW w:w="1440" w:type="dxa"/>
            <w:vMerge/>
            <w:tcBorders>
              <w:left w:val="single" w:color="auto" w:sz="4" w:space="0"/>
              <w:right w:val="single" w:color="auto" w:sz="4" w:space="0"/>
            </w:tcBorders>
            <w:shd w:val="clear" w:color="auto" w:fill="auto"/>
            <w:vAlign w:val="center"/>
          </w:tcPr>
          <w:p w:rsidR="00131EFF" w:rsidP="00317B65" w:rsidRDefault="00131EFF" w14:paraId="23800C64" w14:textId="77777777">
            <w:pPr>
              <w:rPr>
                <w:rFonts w:cstheme="minorHAnsi"/>
                <w:sz w:val="21"/>
                <w:szCs w:val="21"/>
              </w:rPr>
            </w:pPr>
          </w:p>
        </w:tc>
        <w:tc>
          <w:tcPr>
            <w:tcW w:w="1526" w:type="dxa"/>
            <w:vMerge/>
            <w:tcBorders>
              <w:left w:val="single" w:color="auto" w:sz="4" w:space="0"/>
              <w:right w:val="single" w:color="auto" w:sz="4" w:space="0"/>
            </w:tcBorders>
            <w:shd w:val="clear" w:color="auto" w:fill="auto"/>
            <w:vAlign w:val="center"/>
          </w:tcPr>
          <w:p w:rsidRPr="007A580F" w:rsidR="00131EFF" w:rsidP="00317B65" w:rsidRDefault="00131EFF" w14:paraId="02682FB3" w14:textId="77777777">
            <w:pPr>
              <w:rPr>
                <w:rFonts w:cstheme="minorHAnsi"/>
                <w:sz w:val="21"/>
                <w:szCs w:val="21"/>
              </w:rPr>
            </w:pPr>
          </w:p>
        </w:tc>
        <w:tc>
          <w:tcPr>
            <w:tcW w:w="5674" w:type="dxa"/>
            <w:tcBorders>
              <w:top w:val="single" w:color="auto" w:sz="4" w:space="0"/>
              <w:left w:val="single" w:color="auto" w:sz="4" w:space="0"/>
              <w:bottom w:val="single" w:color="auto" w:sz="4" w:space="0"/>
              <w:right w:val="single" w:color="auto" w:sz="4" w:space="0"/>
            </w:tcBorders>
            <w:shd w:val="clear" w:color="auto" w:fill="auto"/>
            <w:vAlign w:val="center"/>
          </w:tcPr>
          <w:p w:rsidRPr="007A580F" w:rsidR="00131EFF" w:rsidP="00317B65" w:rsidRDefault="00131EFF" w14:paraId="71FA918F" w14:textId="77777777">
            <w:pPr>
              <w:rPr>
                <w:rFonts w:cstheme="minorHAnsi"/>
                <w:sz w:val="21"/>
                <w:szCs w:val="21"/>
              </w:rPr>
            </w:pPr>
            <w:r w:rsidRPr="00841662">
              <w:rPr>
                <w:sz w:val="21"/>
                <w:szCs w:val="21"/>
              </w:rPr>
              <w:t>Hours in operating-mode</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Pr="007A580F" w:rsidR="00131EFF" w:rsidP="00317B65" w:rsidRDefault="00131EFF" w14:paraId="34AF093F" w14:textId="77777777">
            <w:pPr>
              <w:jc w:val="center"/>
              <w:rPr>
                <w:rFonts w:cstheme="minorHAnsi"/>
                <w:sz w:val="21"/>
                <w:szCs w:val="21"/>
              </w:rPr>
            </w:pPr>
            <w:r w:rsidRPr="00841662">
              <w:rPr>
                <w:rFonts w:cs="Calibri"/>
                <w:sz w:val="21"/>
                <w:szCs w:val="21"/>
              </w:rPr>
              <w:t>X</w:t>
            </w:r>
          </w:p>
        </w:tc>
      </w:tr>
      <w:tr w:rsidRPr="007A580F" w:rsidR="00131EFF" w:rsidTr="00317B65" w14:paraId="78E87965" w14:textId="77777777">
        <w:trPr>
          <w:trHeight w:val="242"/>
          <w:jc w:val="center"/>
        </w:trPr>
        <w:tc>
          <w:tcPr>
            <w:tcW w:w="1440" w:type="dxa"/>
            <w:vMerge/>
            <w:tcBorders>
              <w:left w:val="single" w:color="auto" w:sz="4" w:space="0"/>
              <w:right w:val="single" w:color="auto" w:sz="4" w:space="0"/>
            </w:tcBorders>
            <w:shd w:val="clear" w:color="auto" w:fill="auto"/>
            <w:vAlign w:val="center"/>
          </w:tcPr>
          <w:p w:rsidR="00131EFF" w:rsidP="00317B65" w:rsidRDefault="00131EFF" w14:paraId="0F2E25CC" w14:textId="77777777">
            <w:pPr>
              <w:rPr>
                <w:rFonts w:cstheme="minorHAnsi"/>
                <w:sz w:val="21"/>
                <w:szCs w:val="21"/>
              </w:rPr>
            </w:pPr>
          </w:p>
        </w:tc>
        <w:tc>
          <w:tcPr>
            <w:tcW w:w="1526" w:type="dxa"/>
            <w:vMerge/>
            <w:tcBorders>
              <w:left w:val="single" w:color="auto" w:sz="4" w:space="0"/>
              <w:right w:val="single" w:color="auto" w:sz="4" w:space="0"/>
            </w:tcBorders>
            <w:shd w:val="clear" w:color="auto" w:fill="auto"/>
            <w:vAlign w:val="center"/>
          </w:tcPr>
          <w:p w:rsidRPr="007A580F" w:rsidR="00131EFF" w:rsidP="00317B65" w:rsidRDefault="00131EFF" w14:paraId="786CC139" w14:textId="77777777">
            <w:pPr>
              <w:rPr>
                <w:rFonts w:cstheme="minorHAnsi"/>
                <w:sz w:val="21"/>
                <w:szCs w:val="21"/>
              </w:rPr>
            </w:pPr>
          </w:p>
        </w:tc>
        <w:tc>
          <w:tcPr>
            <w:tcW w:w="5674" w:type="dxa"/>
            <w:tcBorders>
              <w:top w:val="single" w:color="auto" w:sz="4" w:space="0"/>
              <w:left w:val="single" w:color="auto" w:sz="4" w:space="0"/>
              <w:bottom w:val="single" w:color="auto" w:sz="4" w:space="0"/>
              <w:right w:val="single" w:color="auto" w:sz="4" w:space="0"/>
            </w:tcBorders>
            <w:shd w:val="clear" w:color="auto" w:fill="auto"/>
            <w:vAlign w:val="center"/>
          </w:tcPr>
          <w:p w:rsidRPr="00841662" w:rsidR="00131EFF" w:rsidP="00317B65" w:rsidRDefault="00131EFF" w14:paraId="7F3D97CC" w14:textId="77777777">
            <w:pPr>
              <w:rPr>
                <w:sz w:val="21"/>
                <w:szCs w:val="21"/>
              </w:rPr>
            </w:pPr>
            <w:r w:rsidRPr="00841662">
              <w:rPr>
                <w:sz w:val="21"/>
                <w:szCs w:val="21"/>
              </w:rPr>
              <w:t>Hours in standby-pressurized-mode</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Pr="00841662" w:rsidR="00131EFF" w:rsidP="00317B65" w:rsidRDefault="00131EFF" w14:paraId="78F5631E" w14:textId="77777777">
            <w:pPr>
              <w:jc w:val="center"/>
              <w:rPr>
                <w:rFonts w:cs="Calibri"/>
                <w:sz w:val="21"/>
                <w:szCs w:val="21"/>
              </w:rPr>
            </w:pPr>
            <w:r w:rsidRPr="00841662">
              <w:rPr>
                <w:rFonts w:cs="Calibri"/>
                <w:sz w:val="21"/>
                <w:szCs w:val="21"/>
              </w:rPr>
              <w:t>X</w:t>
            </w:r>
          </w:p>
        </w:tc>
      </w:tr>
      <w:tr w:rsidRPr="007A580F" w:rsidR="00131EFF" w:rsidTr="00317B65" w14:paraId="5E7ECA45" w14:textId="77777777">
        <w:trPr>
          <w:trHeight w:val="242"/>
          <w:jc w:val="center"/>
        </w:trPr>
        <w:tc>
          <w:tcPr>
            <w:tcW w:w="1440" w:type="dxa"/>
            <w:vMerge/>
            <w:tcBorders>
              <w:left w:val="single" w:color="auto" w:sz="4" w:space="0"/>
              <w:right w:val="single" w:color="auto" w:sz="4" w:space="0"/>
            </w:tcBorders>
            <w:shd w:val="clear" w:color="auto" w:fill="auto"/>
            <w:vAlign w:val="center"/>
          </w:tcPr>
          <w:p w:rsidR="00131EFF" w:rsidP="00317B65" w:rsidRDefault="00131EFF" w14:paraId="09860F81" w14:textId="77777777">
            <w:pPr>
              <w:rPr>
                <w:rFonts w:cstheme="minorHAnsi"/>
                <w:sz w:val="21"/>
                <w:szCs w:val="21"/>
              </w:rPr>
            </w:pPr>
          </w:p>
        </w:tc>
        <w:tc>
          <w:tcPr>
            <w:tcW w:w="1526" w:type="dxa"/>
            <w:vMerge/>
            <w:tcBorders>
              <w:left w:val="single" w:color="auto" w:sz="4" w:space="0"/>
              <w:right w:val="single" w:color="auto" w:sz="4" w:space="0"/>
            </w:tcBorders>
            <w:shd w:val="clear" w:color="auto" w:fill="auto"/>
            <w:vAlign w:val="center"/>
          </w:tcPr>
          <w:p w:rsidRPr="007A580F" w:rsidR="00131EFF" w:rsidP="00317B65" w:rsidRDefault="00131EFF" w14:paraId="770D8C6B" w14:textId="77777777">
            <w:pPr>
              <w:rPr>
                <w:rFonts w:cstheme="minorHAnsi"/>
                <w:sz w:val="21"/>
                <w:szCs w:val="21"/>
              </w:rPr>
            </w:pPr>
          </w:p>
        </w:tc>
        <w:tc>
          <w:tcPr>
            <w:tcW w:w="5674" w:type="dxa"/>
            <w:tcBorders>
              <w:top w:val="single" w:color="auto" w:sz="4" w:space="0"/>
              <w:left w:val="single" w:color="auto" w:sz="4" w:space="0"/>
              <w:bottom w:val="single" w:color="auto" w:sz="4" w:space="0"/>
              <w:right w:val="single" w:color="auto" w:sz="4" w:space="0"/>
            </w:tcBorders>
            <w:shd w:val="clear" w:color="auto" w:fill="auto"/>
            <w:vAlign w:val="center"/>
          </w:tcPr>
          <w:p w:rsidRPr="00841662" w:rsidR="00131EFF" w:rsidP="00317B65" w:rsidRDefault="00131EFF" w14:paraId="5DD0ECCA" w14:textId="77777777">
            <w:pPr>
              <w:rPr>
                <w:sz w:val="21"/>
                <w:szCs w:val="21"/>
              </w:rPr>
            </w:pPr>
            <w:r w:rsidRPr="00841662">
              <w:rPr>
                <w:sz w:val="21"/>
                <w:szCs w:val="21"/>
              </w:rPr>
              <w:t>Hours in not-operating-depressurized-mode</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Pr="00841662" w:rsidR="00131EFF" w:rsidP="00317B65" w:rsidRDefault="00131EFF" w14:paraId="3318EE68" w14:textId="77777777">
            <w:pPr>
              <w:jc w:val="center"/>
              <w:rPr>
                <w:rFonts w:cs="Calibri"/>
                <w:sz w:val="21"/>
                <w:szCs w:val="21"/>
              </w:rPr>
            </w:pPr>
            <w:r w:rsidRPr="00841662">
              <w:rPr>
                <w:rFonts w:cs="Calibri"/>
                <w:sz w:val="21"/>
                <w:szCs w:val="21"/>
              </w:rPr>
              <w:t>X</w:t>
            </w:r>
          </w:p>
        </w:tc>
      </w:tr>
      <w:tr w:rsidRPr="007A580F" w:rsidR="00131EFF" w:rsidTr="00317B65" w14:paraId="03CDAC66" w14:textId="77777777">
        <w:trPr>
          <w:trHeight w:val="242"/>
          <w:jc w:val="center"/>
        </w:trPr>
        <w:tc>
          <w:tcPr>
            <w:tcW w:w="1440" w:type="dxa"/>
            <w:vMerge/>
            <w:tcBorders>
              <w:left w:val="single" w:color="auto" w:sz="4" w:space="0"/>
              <w:right w:val="single" w:color="auto" w:sz="4" w:space="0"/>
            </w:tcBorders>
            <w:shd w:val="clear" w:color="auto" w:fill="auto"/>
            <w:vAlign w:val="center"/>
          </w:tcPr>
          <w:p w:rsidR="00131EFF" w:rsidP="00317B65" w:rsidRDefault="00131EFF" w14:paraId="4122A5A3" w14:textId="77777777">
            <w:pPr>
              <w:rPr>
                <w:rFonts w:cstheme="minorHAnsi"/>
                <w:sz w:val="21"/>
                <w:szCs w:val="21"/>
              </w:rPr>
            </w:pPr>
          </w:p>
        </w:tc>
        <w:tc>
          <w:tcPr>
            <w:tcW w:w="1526" w:type="dxa"/>
            <w:vMerge/>
            <w:tcBorders>
              <w:left w:val="single" w:color="auto" w:sz="4" w:space="0"/>
              <w:right w:val="single" w:color="auto" w:sz="4" w:space="0"/>
            </w:tcBorders>
            <w:shd w:val="clear" w:color="auto" w:fill="auto"/>
            <w:vAlign w:val="center"/>
          </w:tcPr>
          <w:p w:rsidRPr="007A580F" w:rsidR="00131EFF" w:rsidP="00317B65" w:rsidRDefault="00131EFF" w14:paraId="69393F9F" w14:textId="77777777">
            <w:pPr>
              <w:rPr>
                <w:rFonts w:cstheme="minorHAnsi"/>
                <w:sz w:val="21"/>
                <w:szCs w:val="21"/>
              </w:rPr>
            </w:pPr>
          </w:p>
        </w:tc>
        <w:tc>
          <w:tcPr>
            <w:tcW w:w="5674" w:type="dxa"/>
            <w:tcBorders>
              <w:top w:val="single" w:color="auto" w:sz="4" w:space="0"/>
              <w:left w:val="single" w:color="auto" w:sz="4" w:space="0"/>
              <w:bottom w:val="single" w:color="auto" w:sz="4" w:space="0"/>
              <w:right w:val="single" w:color="auto" w:sz="4" w:space="0"/>
            </w:tcBorders>
            <w:shd w:val="clear" w:color="auto" w:fill="auto"/>
            <w:vAlign w:val="center"/>
          </w:tcPr>
          <w:p w:rsidRPr="00C76707" w:rsidR="00131EFF" w:rsidP="00CA28D5" w:rsidRDefault="00315EA5" w14:paraId="4C5DACD3" w14:textId="077C1EF7">
            <w:pPr>
              <w:rPr>
                <w:rFonts w:cs="Calibri"/>
                <w:sz w:val="21"/>
                <w:szCs w:val="21"/>
                <w:highlight w:val="yellow"/>
              </w:rPr>
            </w:pPr>
            <w:r w:rsidRPr="0049096A">
              <w:rPr>
                <w:sz w:val="21"/>
                <w:szCs w:val="21"/>
              </w:rPr>
              <w:t>Is compressor part of a manifolded group of compressor sources? (Y/N)</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Pr="00841662" w:rsidR="00131EFF" w:rsidP="00317B65" w:rsidRDefault="00131EFF" w14:paraId="40BBE85A" w14:textId="77777777">
            <w:pPr>
              <w:jc w:val="center"/>
              <w:rPr>
                <w:rFonts w:cs="Calibri"/>
                <w:sz w:val="21"/>
                <w:szCs w:val="21"/>
              </w:rPr>
            </w:pPr>
            <w:r w:rsidRPr="00841662">
              <w:rPr>
                <w:rFonts w:cs="Calibri"/>
                <w:sz w:val="21"/>
                <w:szCs w:val="21"/>
              </w:rPr>
              <w:t>X</w:t>
            </w:r>
          </w:p>
        </w:tc>
      </w:tr>
      <w:tr w:rsidRPr="007A580F" w:rsidR="00131EFF" w:rsidTr="00317B65" w14:paraId="3F28AF87" w14:textId="77777777">
        <w:trPr>
          <w:trHeight w:val="242"/>
          <w:jc w:val="center"/>
        </w:trPr>
        <w:tc>
          <w:tcPr>
            <w:tcW w:w="1440" w:type="dxa"/>
            <w:vMerge/>
            <w:tcBorders>
              <w:left w:val="single" w:color="auto" w:sz="4" w:space="0"/>
              <w:right w:val="single" w:color="auto" w:sz="4" w:space="0"/>
            </w:tcBorders>
            <w:shd w:val="clear" w:color="auto" w:fill="auto"/>
            <w:vAlign w:val="center"/>
          </w:tcPr>
          <w:p w:rsidR="00131EFF" w:rsidP="00317B65" w:rsidRDefault="00131EFF" w14:paraId="045B8785" w14:textId="77777777">
            <w:pPr>
              <w:rPr>
                <w:rFonts w:cstheme="minorHAnsi"/>
                <w:sz w:val="21"/>
                <w:szCs w:val="21"/>
              </w:rPr>
            </w:pPr>
          </w:p>
        </w:tc>
        <w:tc>
          <w:tcPr>
            <w:tcW w:w="1526" w:type="dxa"/>
            <w:vMerge/>
            <w:tcBorders>
              <w:left w:val="single" w:color="auto" w:sz="4" w:space="0"/>
              <w:right w:val="single" w:color="auto" w:sz="4" w:space="0"/>
            </w:tcBorders>
            <w:shd w:val="clear" w:color="auto" w:fill="auto"/>
            <w:vAlign w:val="center"/>
          </w:tcPr>
          <w:p w:rsidRPr="007A580F" w:rsidR="00131EFF" w:rsidP="00317B65" w:rsidRDefault="00131EFF" w14:paraId="466AB136" w14:textId="77777777">
            <w:pPr>
              <w:rPr>
                <w:rFonts w:cstheme="minorHAnsi"/>
                <w:sz w:val="21"/>
                <w:szCs w:val="21"/>
              </w:rPr>
            </w:pPr>
          </w:p>
        </w:tc>
        <w:tc>
          <w:tcPr>
            <w:tcW w:w="5674" w:type="dxa"/>
            <w:tcBorders>
              <w:top w:val="single" w:color="auto" w:sz="4" w:space="0"/>
              <w:left w:val="single" w:color="auto" w:sz="4" w:space="0"/>
              <w:bottom w:val="single" w:color="auto" w:sz="4" w:space="0"/>
              <w:right w:val="single" w:color="auto" w:sz="4" w:space="0"/>
            </w:tcBorders>
            <w:shd w:val="clear" w:color="auto" w:fill="auto"/>
            <w:vAlign w:val="center"/>
          </w:tcPr>
          <w:p w:rsidRPr="00841662" w:rsidR="00131EFF" w:rsidP="00317B65" w:rsidRDefault="00131EFF" w14:paraId="061D51CB" w14:textId="77777777">
            <w:pPr>
              <w:rPr>
                <w:sz w:val="21"/>
                <w:szCs w:val="21"/>
              </w:rPr>
            </w:pPr>
            <w:r w:rsidRPr="00841662">
              <w:rPr>
                <w:rFonts w:asciiTheme="minorHAnsi" w:hAnsiTheme="minorHAnsi"/>
                <w:sz w:val="21"/>
                <w:szCs w:val="21"/>
              </w:rPr>
              <w:t xml:space="preserve">Indicate all of the following that apply to </w:t>
            </w:r>
            <w:r>
              <w:rPr>
                <w:rFonts w:asciiTheme="minorHAnsi" w:hAnsiTheme="minorHAnsi"/>
                <w:sz w:val="21"/>
                <w:szCs w:val="21"/>
              </w:rPr>
              <w:t>blowdown valve and isolation valve</w:t>
            </w:r>
            <w:r w:rsidRPr="00841662">
              <w:rPr>
                <w:rFonts w:asciiTheme="minorHAnsi" w:hAnsiTheme="minorHAnsi"/>
                <w:sz w:val="21"/>
                <w:szCs w:val="21"/>
              </w:rPr>
              <w:t xml:space="preserve"> emissions from the compressor during the year:</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Pr="00841662" w:rsidR="00131EFF" w:rsidP="00317B65" w:rsidRDefault="00131EFF" w14:paraId="2DD77ED0" w14:textId="77777777">
            <w:pPr>
              <w:jc w:val="center"/>
              <w:rPr>
                <w:rFonts w:cs="Calibri"/>
                <w:sz w:val="21"/>
                <w:szCs w:val="21"/>
              </w:rPr>
            </w:pPr>
          </w:p>
        </w:tc>
      </w:tr>
      <w:tr w:rsidRPr="007A580F" w:rsidR="00131EFF" w:rsidTr="00317B65" w14:paraId="7DE8AE29" w14:textId="77777777">
        <w:trPr>
          <w:trHeight w:val="242"/>
          <w:jc w:val="center"/>
        </w:trPr>
        <w:tc>
          <w:tcPr>
            <w:tcW w:w="1440" w:type="dxa"/>
            <w:vMerge/>
            <w:tcBorders>
              <w:left w:val="single" w:color="auto" w:sz="4" w:space="0"/>
              <w:right w:val="single" w:color="auto" w:sz="4" w:space="0"/>
            </w:tcBorders>
            <w:shd w:val="clear" w:color="auto" w:fill="auto"/>
            <w:vAlign w:val="center"/>
          </w:tcPr>
          <w:p w:rsidR="00131EFF" w:rsidP="00317B65" w:rsidRDefault="00131EFF" w14:paraId="16E2B034" w14:textId="77777777">
            <w:pPr>
              <w:rPr>
                <w:rFonts w:cstheme="minorHAnsi"/>
                <w:sz w:val="21"/>
                <w:szCs w:val="21"/>
              </w:rPr>
            </w:pPr>
          </w:p>
        </w:tc>
        <w:tc>
          <w:tcPr>
            <w:tcW w:w="1526" w:type="dxa"/>
            <w:vMerge/>
            <w:tcBorders>
              <w:left w:val="single" w:color="auto" w:sz="4" w:space="0"/>
              <w:right w:val="single" w:color="auto" w:sz="4" w:space="0"/>
            </w:tcBorders>
            <w:shd w:val="clear" w:color="auto" w:fill="auto"/>
            <w:vAlign w:val="center"/>
          </w:tcPr>
          <w:p w:rsidRPr="007A580F" w:rsidR="00131EFF" w:rsidP="00317B65" w:rsidRDefault="00131EFF" w14:paraId="118E6C6C" w14:textId="77777777">
            <w:pPr>
              <w:rPr>
                <w:rFonts w:cstheme="minorHAnsi"/>
                <w:sz w:val="21"/>
                <w:szCs w:val="21"/>
              </w:rPr>
            </w:pPr>
          </w:p>
        </w:tc>
        <w:tc>
          <w:tcPr>
            <w:tcW w:w="5674" w:type="dxa"/>
            <w:tcBorders>
              <w:top w:val="single" w:color="auto" w:sz="4" w:space="0"/>
              <w:left w:val="single" w:color="auto" w:sz="4" w:space="0"/>
              <w:bottom w:val="single" w:color="auto" w:sz="4" w:space="0"/>
              <w:right w:val="single" w:color="auto" w:sz="4" w:space="0"/>
            </w:tcBorders>
            <w:shd w:val="clear" w:color="auto" w:fill="auto"/>
            <w:vAlign w:val="center"/>
          </w:tcPr>
          <w:p w:rsidRPr="00841662" w:rsidR="00131EFF" w:rsidP="00E97CEE" w:rsidRDefault="00131EFF" w14:paraId="1FE2212F" w14:textId="77777777">
            <w:pPr>
              <w:spacing w:after="0"/>
              <w:ind w:left="300"/>
              <w:rPr>
                <w:sz w:val="21"/>
                <w:szCs w:val="21"/>
              </w:rPr>
            </w:pPr>
            <w:r w:rsidRPr="00841662">
              <w:rPr>
                <w:rFonts w:asciiTheme="minorHAnsi" w:hAnsiTheme="minorHAnsi"/>
                <w:sz w:val="21"/>
                <w:szCs w:val="21"/>
              </w:rPr>
              <w:t>Emissions are vented to the atmosphere</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Pr="00841662" w:rsidR="00131EFF" w:rsidP="00317B65" w:rsidRDefault="00131EFF" w14:paraId="411FD986" w14:textId="77777777">
            <w:pPr>
              <w:jc w:val="center"/>
              <w:rPr>
                <w:rFonts w:cs="Calibri"/>
                <w:sz w:val="21"/>
                <w:szCs w:val="21"/>
              </w:rPr>
            </w:pPr>
            <w:r>
              <w:rPr>
                <w:rFonts w:cs="Calibri" w:asciiTheme="minorHAnsi" w:hAnsiTheme="minorHAnsi"/>
                <w:sz w:val="21"/>
                <w:szCs w:val="21"/>
              </w:rPr>
              <w:t>X</w:t>
            </w:r>
          </w:p>
        </w:tc>
      </w:tr>
      <w:tr w:rsidRPr="007A580F" w:rsidR="00131EFF" w:rsidTr="00317B65" w14:paraId="70487700" w14:textId="77777777">
        <w:trPr>
          <w:trHeight w:val="242"/>
          <w:jc w:val="center"/>
        </w:trPr>
        <w:tc>
          <w:tcPr>
            <w:tcW w:w="1440" w:type="dxa"/>
            <w:vMerge/>
            <w:tcBorders>
              <w:left w:val="single" w:color="auto" w:sz="4" w:space="0"/>
              <w:right w:val="single" w:color="auto" w:sz="4" w:space="0"/>
            </w:tcBorders>
            <w:shd w:val="clear" w:color="auto" w:fill="auto"/>
            <w:vAlign w:val="center"/>
          </w:tcPr>
          <w:p w:rsidR="00131EFF" w:rsidP="00317B65" w:rsidRDefault="00131EFF" w14:paraId="626E5BD8" w14:textId="77777777">
            <w:pPr>
              <w:rPr>
                <w:rFonts w:cstheme="minorHAnsi"/>
                <w:sz w:val="21"/>
                <w:szCs w:val="21"/>
              </w:rPr>
            </w:pPr>
          </w:p>
        </w:tc>
        <w:tc>
          <w:tcPr>
            <w:tcW w:w="1526" w:type="dxa"/>
            <w:vMerge/>
            <w:tcBorders>
              <w:left w:val="single" w:color="auto" w:sz="4" w:space="0"/>
              <w:right w:val="single" w:color="auto" w:sz="4" w:space="0"/>
            </w:tcBorders>
            <w:shd w:val="clear" w:color="auto" w:fill="auto"/>
            <w:vAlign w:val="center"/>
          </w:tcPr>
          <w:p w:rsidRPr="007A580F" w:rsidR="00131EFF" w:rsidP="00317B65" w:rsidRDefault="00131EFF" w14:paraId="3EC65E89" w14:textId="77777777">
            <w:pPr>
              <w:rPr>
                <w:rFonts w:cstheme="minorHAnsi"/>
                <w:sz w:val="21"/>
                <w:szCs w:val="21"/>
              </w:rPr>
            </w:pPr>
          </w:p>
        </w:tc>
        <w:tc>
          <w:tcPr>
            <w:tcW w:w="5674" w:type="dxa"/>
            <w:tcBorders>
              <w:top w:val="single" w:color="auto" w:sz="4" w:space="0"/>
              <w:left w:val="single" w:color="auto" w:sz="4" w:space="0"/>
              <w:bottom w:val="single" w:color="auto" w:sz="4" w:space="0"/>
              <w:right w:val="single" w:color="auto" w:sz="4" w:space="0"/>
            </w:tcBorders>
            <w:shd w:val="clear" w:color="auto" w:fill="auto"/>
            <w:vAlign w:val="center"/>
          </w:tcPr>
          <w:p w:rsidRPr="00841662" w:rsidR="00131EFF" w:rsidP="00E97CEE" w:rsidRDefault="00131EFF" w14:paraId="5B258B47" w14:textId="77777777">
            <w:pPr>
              <w:spacing w:after="0"/>
              <w:ind w:left="300"/>
              <w:rPr>
                <w:sz w:val="21"/>
                <w:szCs w:val="21"/>
              </w:rPr>
            </w:pPr>
            <w:r w:rsidRPr="00841662">
              <w:rPr>
                <w:rFonts w:asciiTheme="minorHAnsi" w:hAnsiTheme="minorHAnsi"/>
                <w:sz w:val="21"/>
                <w:szCs w:val="21"/>
              </w:rPr>
              <w:t>Emissions are routed to vapor recovery</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Pr="00841662" w:rsidR="00131EFF" w:rsidP="00317B65" w:rsidRDefault="00131EFF" w14:paraId="4A5D1702" w14:textId="77777777">
            <w:pPr>
              <w:jc w:val="center"/>
              <w:rPr>
                <w:rFonts w:cs="Calibri"/>
                <w:sz w:val="21"/>
                <w:szCs w:val="21"/>
              </w:rPr>
            </w:pPr>
            <w:r>
              <w:rPr>
                <w:rFonts w:cs="Calibri" w:asciiTheme="minorHAnsi" w:hAnsiTheme="minorHAnsi"/>
                <w:sz w:val="21"/>
                <w:szCs w:val="21"/>
              </w:rPr>
              <w:t>X</w:t>
            </w:r>
          </w:p>
        </w:tc>
      </w:tr>
      <w:tr w:rsidRPr="007A580F" w:rsidR="00131EFF" w:rsidTr="00317B65" w14:paraId="1429DAB7" w14:textId="77777777">
        <w:trPr>
          <w:trHeight w:val="242"/>
          <w:jc w:val="center"/>
        </w:trPr>
        <w:tc>
          <w:tcPr>
            <w:tcW w:w="1440" w:type="dxa"/>
            <w:vMerge/>
            <w:tcBorders>
              <w:left w:val="single" w:color="auto" w:sz="4" w:space="0"/>
              <w:right w:val="single" w:color="auto" w:sz="4" w:space="0"/>
            </w:tcBorders>
            <w:shd w:val="clear" w:color="auto" w:fill="auto"/>
            <w:vAlign w:val="center"/>
          </w:tcPr>
          <w:p w:rsidR="00131EFF" w:rsidP="00317B65" w:rsidRDefault="00131EFF" w14:paraId="270A1B96" w14:textId="77777777">
            <w:pPr>
              <w:rPr>
                <w:rFonts w:cstheme="minorHAnsi"/>
                <w:sz w:val="21"/>
                <w:szCs w:val="21"/>
              </w:rPr>
            </w:pPr>
          </w:p>
        </w:tc>
        <w:tc>
          <w:tcPr>
            <w:tcW w:w="1526" w:type="dxa"/>
            <w:vMerge/>
            <w:tcBorders>
              <w:left w:val="single" w:color="auto" w:sz="4" w:space="0"/>
              <w:right w:val="single" w:color="auto" w:sz="4" w:space="0"/>
            </w:tcBorders>
            <w:shd w:val="clear" w:color="auto" w:fill="auto"/>
            <w:vAlign w:val="center"/>
          </w:tcPr>
          <w:p w:rsidRPr="007A580F" w:rsidR="00131EFF" w:rsidP="00317B65" w:rsidRDefault="00131EFF" w14:paraId="49D10236" w14:textId="77777777">
            <w:pPr>
              <w:rPr>
                <w:rFonts w:cstheme="minorHAnsi"/>
                <w:sz w:val="21"/>
                <w:szCs w:val="21"/>
              </w:rPr>
            </w:pPr>
          </w:p>
        </w:tc>
        <w:tc>
          <w:tcPr>
            <w:tcW w:w="5674" w:type="dxa"/>
            <w:tcBorders>
              <w:top w:val="single" w:color="auto" w:sz="4" w:space="0"/>
              <w:left w:val="single" w:color="auto" w:sz="4" w:space="0"/>
              <w:bottom w:val="single" w:color="auto" w:sz="4" w:space="0"/>
              <w:right w:val="single" w:color="auto" w:sz="4" w:space="0"/>
            </w:tcBorders>
            <w:shd w:val="clear" w:color="auto" w:fill="auto"/>
            <w:vAlign w:val="center"/>
          </w:tcPr>
          <w:p w:rsidRPr="00841662" w:rsidR="00131EFF" w:rsidP="00E97CEE" w:rsidRDefault="00131EFF" w14:paraId="724EBEB6" w14:textId="77777777">
            <w:pPr>
              <w:spacing w:after="0"/>
              <w:ind w:left="300"/>
              <w:rPr>
                <w:sz w:val="21"/>
                <w:szCs w:val="21"/>
              </w:rPr>
            </w:pPr>
            <w:r w:rsidRPr="00841662">
              <w:rPr>
                <w:rFonts w:asciiTheme="minorHAnsi" w:hAnsiTheme="minorHAnsi"/>
                <w:sz w:val="21"/>
                <w:szCs w:val="21"/>
              </w:rPr>
              <w:t xml:space="preserve">Emissions are </w:t>
            </w:r>
            <w:r>
              <w:rPr>
                <w:rFonts w:asciiTheme="minorHAnsi" w:hAnsiTheme="minorHAnsi"/>
                <w:sz w:val="21"/>
                <w:szCs w:val="21"/>
              </w:rPr>
              <w:t>routed</w:t>
            </w:r>
            <w:r w:rsidRPr="00841662">
              <w:rPr>
                <w:rFonts w:asciiTheme="minorHAnsi" w:hAnsiTheme="minorHAnsi"/>
                <w:sz w:val="21"/>
                <w:szCs w:val="21"/>
              </w:rPr>
              <w:t xml:space="preserve"> to flare</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Pr="00841662" w:rsidR="00131EFF" w:rsidP="00317B65" w:rsidRDefault="00131EFF" w14:paraId="51F737F0" w14:textId="77777777">
            <w:pPr>
              <w:jc w:val="center"/>
              <w:rPr>
                <w:rFonts w:cs="Calibri"/>
                <w:sz w:val="21"/>
                <w:szCs w:val="21"/>
              </w:rPr>
            </w:pPr>
            <w:r>
              <w:rPr>
                <w:rFonts w:cs="Calibri" w:asciiTheme="minorHAnsi" w:hAnsiTheme="minorHAnsi"/>
                <w:sz w:val="21"/>
                <w:szCs w:val="21"/>
              </w:rPr>
              <w:t>X</w:t>
            </w:r>
          </w:p>
        </w:tc>
      </w:tr>
      <w:tr w:rsidRPr="007A580F" w:rsidR="00131EFF" w:rsidTr="00317B65" w14:paraId="1BF03526" w14:textId="77777777">
        <w:trPr>
          <w:trHeight w:val="242"/>
          <w:jc w:val="center"/>
        </w:trPr>
        <w:tc>
          <w:tcPr>
            <w:tcW w:w="1440" w:type="dxa"/>
            <w:vMerge/>
            <w:tcBorders>
              <w:left w:val="single" w:color="auto" w:sz="4" w:space="0"/>
              <w:right w:val="single" w:color="auto" w:sz="4" w:space="0"/>
            </w:tcBorders>
            <w:shd w:val="clear" w:color="auto" w:fill="auto"/>
            <w:vAlign w:val="center"/>
          </w:tcPr>
          <w:p w:rsidR="00131EFF" w:rsidP="00317B65" w:rsidRDefault="00131EFF" w14:paraId="24B860DE" w14:textId="77777777">
            <w:pPr>
              <w:rPr>
                <w:rFonts w:cstheme="minorHAnsi"/>
                <w:sz w:val="21"/>
                <w:szCs w:val="21"/>
              </w:rPr>
            </w:pPr>
          </w:p>
        </w:tc>
        <w:tc>
          <w:tcPr>
            <w:tcW w:w="1526" w:type="dxa"/>
            <w:vMerge/>
            <w:tcBorders>
              <w:left w:val="single" w:color="auto" w:sz="4" w:space="0"/>
              <w:right w:val="single" w:color="auto" w:sz="4" w:space="0"/>
            </w:tcBorders>
            <w:shd w:val="clear" w:color="auto" w:fill="auto"/>
            <w:vAlign w:val="center"/>
          </w:tcPr>
          <w:p w:rsidRPr="007A580F" w:rsidR="00131EFF" w:rsidP="00317B65" w:rsidRDefault="00131EFF" w14:paraId="5068FBF0" w14:textId="77777777">
            <w:pPr>
              <w:rPr>
                <w:rFonts w:cstheme="minorHAnsi"/>
                <w:sz w:val="21"/>
                <w:szCs w:val="21"/>
              </w:rPr>
            </w:pPr>
          </w:p>
        </w:tc>
        <w:tc>
          <w:tcPr>
            <w:tcW w:w="5674" w:type="dxa"/>
            <w:tcBorders>
              <w:top w:val="single" w:color="auto" w:sz="4" w:space="0"/>
              <w:left w:val="single" w:color="auto" w:sz="4" w:space="0"/>
              <w:bottom w:val="single" w:color="auto" w:sz="4" w:space="0"/>
              <w:right w:val="single" w:color="auto" w:sz="4" w:space="0"/>
            </w:tcBorders>
            <w:shd w:val="clear" w:color="auto" w:fill="auto"/>
            <w:vAlign w:val="center"/>
          </w:tcPr>
          <w:p w:rsidRPr="00841662" w:rsidR="00131EFF" w:rsidP="00E97CEE" w:rsidRDefault="00131EFF" w14:paraId="6696177A" w14:textId="77777777">
            <w:pPr>
              <w:spacing w:after="0"/>
              <w:ind w:left="300"/>
              <w:rPr>
                <w:sz w:val="21"/>
                <w:szCs w:val="21"/>
              </w:rPr>
            </w:pPr>
            <w:r w:rsidRPr="00841662">
              <w:rPr>
                <w:rFonts w:asciiTheme="minorHAnsi" w:hAnsiTheme="minorHAnsi"/>
                <w:sz w:val="21"/>
                <w:szCs w:val="21"/>
              </w:rPr>
              <w:t>Emissions are captured for fuel use or routed to a thermal oxidizer</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Pr="00841662" w:rsidR="00131EFF" w:rsidP="00317B65" w:rsidRDefault="00131EFF" w14:paraId="270F95BD" w14:textId="77777777">
            <w:pPr>
              <w:jc w:val="center"/>
              <w:rPr>
                <w:rFonts w:cs="Calibri"/>
                <w:sz w:val="21"/>
                <w:szCs w:val="21"/>
              </w:rPr>
            </w:pPr>
            <w:r>
              <w:rPr>
                <w:rFonts w:cs="Calibri" w:asciiTheme="minorHAnsi" w:hAnsiTheme="minorHAnsi"/>
                <w:sz w:val="21"/>
                <w:szCs w:val="21"/>
              </w:rPr>
              <w:t>X</w:t>
            </w:r>
          </w:p>
        </w:tc>
      </w:tr>
      <w:tr w:rsidRPr="007A580F" w:rsidR="00131EFF" w:rsidTr="00317B65" w14:paraId="01823036" w14:textId="77777777">
        <w:trPr>
          <w:trHeight w:val="242"/>
          <w:jc w:val="center"/>
        </w:trPr>
        <w:tc>
          <w:tcPr>
            <w:tcW w:w="1440" w:type="dxa"/>
            <w:vMerge/>
            <w:tcBorders>
              <w:left w:val="single" w:color="auto" w:sz="4" w:space="0"/>
              <w:right w:val="single" w:color="auto" w:sz="4" w:space="0"/>
            </w:tcBorders>
            <w:shd w:val="clear" w:color="auto" w:fill="auto"/>
            <w:vAlign w:val="center"/>
          </w:tcPr>
          <w:p w:rsidR="00131EFF" w:rsidP="00317B65" w:rsidRDefault="00131EFF" w14:paraId="2ADD1FD8" w14:textId="77777777">
            <w:pPr>
              <w:rPr>
                <w:rFonts w:cstheme="minorHAnsi"/>
                <w:sz w:val="21"/>
                <w:szCs w:val="21"/>
              </w:rPr>
            </w:pPr>
          </w:p>
        </w:tc>
        <w:tc>
          <w:tcPr>
            <w:tcW w:w="1526" w:type="dxa"/>
            <w:vMerge/>
            <w:tcBorders>
              <w:left w:val="single" w:color="auto" w:sz="4" w:space="0"/>
              <w:right w:val="single" w:color="auto" w:sz="4" w:space="0"/>
            </w:tcBorders>
            <w:shd w:val="clear" w:color="auto" w:fill="auto"/>
            <w:vAlign w:val="center"/>
          </w:tcPr>
          <w:p w:rsidRPr="007A580F" w:rsidR="00131EFF" w:rsidP="00317B65" w:rsidRDefault="00131EFF" w14:paraId="001B7D69" w14:textId="77777777">
            <w:pPr>
              <w:rPr>
                <w:rFonts w:cstheme="minorHAnsi"/>
                <w:sz w:val="21"/>
                <w:szCs w:val="21"/>
              </w:rPr>
            </w:pPr>
          </w:p>
        </w:tc>
        <w:tc>
          <w:tcPr>
            <w:tcW w:w="5674" w:type="dxa"/>
            <w:tcBorders>
              <w:top w:val="single" w:color="auto" w:sz="4" w:space="0"/>
              <w:left w:val="single" w:color="auto" w:sz="4" w:space="0"/>
              <w:bottom w:val="single" w:color="auto" w:sz="4" w:space="0"/>
              <w:right w:val="single" w:color="auto" w:sz="4" w:space="0"/>
            </w:tcBorders>
            <w:shd w:val="clear" w:color="auto" w:fill="auto"/>
            <w:vAlign w:val="center"/>
          </w:tcPr>
          <w:p w:rsidRPr="00841662" w:rsidR="00131EFF" w:rsidP="00E97CEE" w:rsidRDefault="00131EFF" w14:paraId="39A6D3C0" w14:textId="77777777">
            <w:pPr>
              <w:rPr>
                <w:sz w:val="21"/>
                <w:szCs w:val="21"/>
              </w:rPr>
            </w:pPr>
            <w:r w:rsidRPr="00841662">
              <w:rPr>
                <w:rFonts w:asciiTheme="minorHAnsi" w:hAnsiTheme="minorHAnsi"/>
                <w:sz w:val="21"/>
                <w:szCs w:val="21"/>
              </w:rPr>
              <w:t>Compressor in not-operating-depressurized-mode all year</w:t>
            </w:r>
            <w:r>
              <w:rPr>
                <w:rFonts w:asciiTheme="minorHAnsi" w:hAnsiTheme="minorHAnsi"/>
                <w:sz w:val="21"/>
                <w:szCs w:val="21"/>
              </w:rPr>
              <w:t xml:space="preserve"> (Y/N)</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Pr="00841662" w:rsidR="00131EFF" w:rsidP="00317B65" w:rsidRDefault="00131EFF" w14:paraId="501645D7" w14:textId="77777777">
            <w:pPr>
              <w:jc w:val="center"/>
              <w:rPr>
                <w:rFonts w:cs="Calibri"/>
                <w:sz w:val="21"/>
                <w:szCs w:val="21"/>
              </w:rPr>
            </w:pPr>
            <w:r>
              <w:rPr>
                <w:rFonts w:cs="Calibri" w:asciiTheme="minorHAnsi" w:hAnsiTheme="minorHAnsi"/>
                <w:sz w:val="21"/>
                <w:szCs w:val="21"/>
              </w:rPr>
              <w:t>X</w:t>
            </w:r>
          </w:p>
        </w:tc>
      </w:tr>
      <w:tr w:rsidRPr="007A580F" w:rsidR="00885280" w:rsidTr="00317B65" w14:paraId="6C0BFCCB" w14:textId="77777777">
        <w:trPr>
          <w:trHeight w:val="242"/>
          <w:jc w:val="center"/>
        </w:trPr>
        <w:tc>
          <w:tcPr>
            <w:tcW w:w="1440" w:type="dxa"/>
            <w:vMerge w:val="restart"/>
            <w:tcBorders>
              <w:top w:val="single" w:color="auto" w:sz="4" w:space="0"/>
              <w:left w:val="single" w:color="auto" w:sz="4" w:space="0"/>
              <w:right w:val="single" w:color="auto" w:sz="4" w:space="0"/>
            </w:tcBorders>
            <w:shd w:val="clear" w:color="auto" w:fill="D9D9D9" w:themeFill="background1" w:themeFillShade="D9"/>
            <w:vAlign w:val="center"/>
          </w:tcPr>
          <w:p w:rsidR="00885280" w:rsidP="00317B65" w:rsidRDefault="00885280" w14:paraId="7A8038B1" w14:textId="77777777">
            <w:pPr>
              <w:rPr>
                <w:rFonts w:cstheme="minorHAnsi"/>
                <w:sz w:val="21"/>
                <w:szCs w:val="21"/>
              </w:rPr>
            </w:pPr>
            <w:r>
              <w:rPr>
                <w:rFonts w:cstheme="minorHAnsi"/>
                <w:sz w:val="21"/>
                <w:szCs w:val="21"/>
              </w:rPr>
              <w:t>Individual components on each compressor</w:t>
            </w:r>
          </w:p>
        </w:tc>
        <w:tc>
          <w:tcPr>
            <w:tcW w:w="1526" w:type="dxa"/>
            <w:vMerge w:val="restart"/>
            <w:tcBorders>
              <w:top w:val="single" w:color="auto" w:sz="4" w:space="0"/>
              <w:left w:val="single" w:color="auto" w:sz="4" w:space="0"/>
              <w:right w:val="single" w:color="auto" w:sz="4" w:space="0"/>
            </w:tcBorders>
            <w:shd w:val="clear" w:color="auto" w:fill="D9D9D9" w:themeFill="background1" w:themeFillShade="D9"/>
            <w:vAlign w:val="center"/>
          </w:tcPr>
          <w:p w:rsidRPr="007A580F" w:rsidR="00885280" w:rsidP="00317B65" w:rsidRDefault="00885280" w14:paraId="240BDD88" w14:textId="77777777">
            <w:pPr>
              <w:rPr>
                <w:rFonts w:cstheme="minorHAnsi"/>
                <w:sz w:val="21"/>
                <w:szCs w:val="21"/>
              </w:rPr>
            </w:pPr>
            <w:r>
              <w:rPr>
                <w:rFonts w:cstheme="minorHAnsi"/>
                <w:sz w:val="21"/>
                <w:szCs w:val="21"/>
              </w:rPr>
              <w:t>NA</w:t>
            </w:r>
          </w:p>
        </w:tc>
        <w:tc>
          <w:tcPr>
            <w:tcW w:w="567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841662" w:rsidR="00885280" w:rsidP="00317B65" w:rsidRDefault="00885280" w14:paraId="763E79C1" w14:textId="77777777">
            <w:pPr>
              <w:rPr>
                <w:sz w:val="21"/>
                <w:szCs w:val="21"/>
              </w:rPr>
            </w:pPr>
            <w:r w:rsidRPr="00841662">
              <w:rPr>
                <w:sz w:val="21"/>
                <w:szCs w:val="21"/>
              </w:rPr>
              <w:t>Unique name or ID for the compressor</w:t>
            </w:r>
          </w:p>
        </w:tc>
        <w:tc>
          <w:tcPr>
            <w:tcW w:w="72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00885280" w:rsidP="00317B65" w:rsidRDefault="00885280" w14:paraId="55D1C8AA" w14:textId="77777777">
            <w:pPr>
              <w:jc w:val="center"/>
              <w:rPr>
                <w:rFonts w:cs="Calibri"/>
                <w:sz w:val="21"/>
                <w:szCs w:val="21"/>
              </w:rPr>
            </w:pPr>
            <w:r>
              <w:rPr>
                <w:rFonts w:cs="Calibri"/>
                <w:sz w:val="21"/>
                <w:szCs w:val="21"/>
              </w:rPr>
              <w:t>X</w:t>
            </w:r>
          </w:p>
        </w:tc>
      </w:tr>
      <w:tr w:rsidRPr="007A580F" w:rsidR="00885280" w:rsidTr="00317B65" w14:paraId="19330C8F" w14:textId="77777777">
        <w:trPr>
          <w:trHeight w:val="242"/>
          <w:jc w:val="center"/>
        </w:trPr>
        <w:tc>
          <w:tcPr>
            <w:tcW w:w="1440" w:type="dxa"/>
            <w:vMerge/>
            <w:tcBorders>
              <w:left w:val="single" w:color="auto" w:sz="4" w:space="0"/>
              <w:right w:val="single" w:color="auto" w:sz="4" w:space="0"/>
            </w:tcBorders>
            <w:shd w:val="clear" w:color="auto" w:fill="D9D9D9" w:themeFill="background1" w:themeFillShade="D9"/>
            <w:vAlign w:val="center"/>
          </w:tcPr>
          <w:p w:rsidR="00885280" w:rsidP="00317B65" w:rsidRDefault="00885280" w14:paraId="22EDEC30" w14:textId="77777777">
            <w:pPr>
              <w:rPr>
                <w:rFonts w:cstheme="minorHAnsi"/>
                <w:sz w:val="21"/>
                <w:szCs w:val="21"/>
              </w:rPr>
            </w:pPr>
          </w:p>
        </w:tc>
        <w:tc>
          <w:tcPr>
            <w:tcW w:w="1526" w:type="dxa"/>
            <w:vMerge/>
            <w:tcBorders>
              <w:left w:val="single" w:color="auto" w:sz="4" w:space="0"/>
              <w:right w:val="single" w:color="auto" w:sz="4" w:space="0"/>
            </w:tcBorders>
            <w:shd w:val="clear" w:color="auto" w:fill="D9D9D9" w:themeFill="background1" w:themeFillShade="D9"/>
            <w:vAlign w:val="center"/>
          </w:tcPr>
          <w:p w:rsidRPr="007A580F" w:rsidR="00885280" w:rsidP="00317B65" w:rsidRDefault="00885280" w14:paraId="1C8AAB68" w14:textId="77777777">
            <w:pPr>
              <w:rPr>
                <w:rFonts w:cstheme="minorHAnsi"/>
                <w:sz w:val="21"/>
                <w:szCs w:val="21"/>
              </w:rPr>
            </w:pPr>
          </w:p>
        </w:tc>
        <w:tc>
          <w:tcPr>
            <w:tcW w:w="567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841662" w:rsidR="00885280" w:rsidP="00317B65" w:rsidRDefault="00885280" w14:paraId="0EDE7094" w14:textId="77777777">
            <w:pPr>
              <w:rPr>
                <w:sz w:val="21"/>
                <w:szCs w:val="21"/>
              </w:rPr>
            </w:pPr>
            <w:r w:rsidRPr="00841662">
              <w:rPr>
                <w:sz w:val="21"/>
                <w:szCs w:val="21"/>
              </w:rPr>
              <w:t>Unique name or ID for the individual vent to the atmosphere</w:t>
            </w:r>
          </w:p>
        </w:tc>
        <w:tc>
          <w:tcPr>
            <w:tcW w:w="72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00885280" w:rsidP="00317B65" w:rsidRDefault="00885280" w14:paraId="06918F4C" w14:textId="77777777">
            <w:pPr>
              <w:jc w:val="center"/>
              <w:rPr>
                <w:rFonts w:cs="Calibri"/>
                <w:sz w:val="21"/>
                <w:szCs w:val="21"/>
              </w:rPr>
            </w:pPr>
            <w:r>
              <w:rPr>
                <w:rFonts w:cs="Calibri"/>
                <w:sz w:val="21"/>
                <w:szCs w:val="21"/>
              </w:rPr>
              <w:t>X</w:t>
            </w:r>
          </w:p>
        </w:tc>
      </w:tr>
      <w:tr w:rsidRPr="007A580F" w:rsidR="00885280" w:rsidTr="00317B65" w14:paraId="7329F33A" w14:textId="77777777">
        <w:trPr>
          <w:trHeight w:val="242"/>
          <w:jc w:val="center"/>
        </w:trPr>
        <w:tc>
          <w:tcPr>
            <w:tcW w:w="1440" w:type="dxa"/>
            <w:vMerge/>
            <w:tcBorders>
              <w:left w:val="single" w:color="auto" w:sz="4" w:space="0"/>
              <w:right w:val="single" w:color="auto" w:sz="4" w:space="0"/>
            </w:tcBorders>
            <w:shd w:val="clear" w:color="auto" w:fill="D9D9D9" w:themeFill="background1" w:themeFillShade="D9"/>
            <w:vAlign w:val="center"/>
          </w:tcPr>
          <w:p w:rsidR="00885280" w:rsidP="00317B65" w:rsidRDefault="00885280" w14:paraId="56759B65" w14:textId="77777777">
            <w:pPr>
              <w:rPr>
                <w:rFonts w:cstheme="minorHAnsi"/>
                <w:sz w:val="21"/>
                <w:szCs w:val="21"/>
              </w:rPr>
            </w:pPr>
          </w:p>
        </w:tc>
        <w:tc>
          <w:tcPr>
            <w:tcW w:w="1526" w:type="dxa"/>
            <w:vMerge/>
            <w:tcBorders>
              <w:left w:val="single" w:color="auto" w:sz="4" w:space="0"/>
              <w:right w:val="single" w:color="auto" w:sz="4" w:space="0"/>
            </w:tcBorders>
            <w:shd w:val="clear" w:color="auto" w:fill="D9D9D9" w:themeFill="background1" w:themeFillShade="D9"/>
            <w:vAlign w:val="center"/>
          </w:tcPr>
          <w:p w:rsidRPr="007A580F" w:rsidR="00885280" w:rsidP="00317B65" w:rsidRDefault="00885280" w14:paraId="78D75C89" w14:textId="77777777">
            <w:pPr>
              <w:rPr>
                <w:rFonts w:cstheme="minorHAnsi"/>
                <w:sz w:val="21"/>
                <w:szCs w:val="21"/>
              </w:rPr>
            </w:pPr>
          </w:p>
        </w:tc>
        <w:tc>
          <w:tcPr>
            <w:tcW w:w="567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841662" w:rsidR="00885280" w:rsidP="00317B65" w:rsidRDefault="00885280" w14:paraId="7905F4B8" w14:textId="77777777">
            <w:pPr>
              <w:rPr>
                <w:sz w:val="21"/>
                <w:szCs w:val="21"/>
              </w:rPr>
            </w:pPr>
            <w:r>
              <w:rPr>
                <w:sz w:val="21"/>
                <w:szCs w:val="21"/>
              </w:rPr>
              <w:t>Type of component [Isolation valve; Blowdown valve]</w:t>
            </w:r>
            <w:r>
              <w:rPr>
                <w:rStyle w:val="FootnoteReference"/>
                <w:sz w:val="21"/>
                <w:szCs w:val="21"/>
              </w:rPr>
              <w:footnoteReference w:id="21"/>
            </w:r>
          </w:p>
        </w:tc>
        <w:tc>
          <w:tcPr>
            <w:tcW w:w="72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00885280" w:rsidP="00317B65" w:rsidRDefault="00885280" w14:paraId="748A27E8" w14:textId="77777777">
            <w:pPr>
              <w:jc w:val="center"/>
              <w:rPr>
                <w:rFonts w:cs="Calibri"/>
                <w:sz w:val="21"/>
                <w:szCs w:val="21"/>
              </w:rPr>
            </w:pPr>
            <w:r>
              <w:rPr>
                <w:rFonts w:cs="Calibri"/>
                <w:sz w:val="21"/>
                <w:szCs w:val="21"/>
              </w:rPr>
              <w:t>X</w:t>
            </w:r>
          </w:p>
        </w:tc>
      </w:tr>
      <w:tr w:rsidRPr="007A580F" w:rsidR="00885280" w:rsidTr="00317B65" w14:paraId="373BF3B2" w14:textId="77777777">
        <w:trPr>
          <w:trHeight w:val="242"/>
          <w:jc w:val="center"/>
        </w:trPr>
        <w:tc>
          <w:tcPr>
            <w:tcW w:w="1440" w:type="dxa"/>
            <w:vMerge/>
            <w:tcBorders>
              <w:left w:val="single" w:color="auto" w:sz="4" w:space="0"/>
              <w:right w:val="single" w:color="auto" w:sz="4" w:space="0"/>
            </w:tcBorders>
            <w:shd w:val="clear" w:color="auto" w:fill="D9D9D9" w:themeFill="background1" w:themeFillShade="D9"/>
            <w:vAlign w:val="center"/>
          </w:tcPr>
          <w:p w:rsidR="00885280" w:rsidP="00317B65" w:rsidRDefault="00885280" w14:paraId="2B64F354" w14:textId="77777777">
            <w:pPr>
              <w:rPr>
                <w:rFonts w:cstheme="minorHAnsi"/>
                <w:sz w:val="21"/>
                <w:szCs w:val="21"/>
              </w:rPr>
            </w:pPr>
          </w:p>
        </w:tc>
        <w:tc>
          <w:tcPr>
            <w:tcW w:w="1526" w:type="dxa"/>
            <w:vMerge/>
            <w:tcBorders>
              <w:left w:val="single" w:color="auto" w:sz="4" w:space="0"/>
              <w:right w:val="single" w:color="auto" w:sz="4" w:space="0"/>
            </w:tcBorders>
            <w:shd w:val="clear" w:color="auto" w:fill="D9D9D9" w:themeFill="background1" w:themeFillShade="D9"/>
            <w:vAlign w:val="center"/>
          </w:tcPr>
          <w:p w:rsidRPr="007A580F" w:rsidR="00885280" w:rsidP="00317B65" w:rsidRDefault="00885280" w14:paraId="5AD7AFB6" w14:textId="77777777">
            <w:pPr>
              <w:rPr>
                <w:rFonts w:cstheme="minorHAnsi"/>
                <w:sz w:val="21"/>
                <w:szCs w:val="21"/>
              </w:rPr>
            </w:pPr>
          </w:p>
        </w:tc>
        <w:tc>
          <w:tcPr>
            <w:tcW w:w="567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841662" w:rsidR="00885280" w:rsidP="00317B65" w:rsidRDefault="00885280" w14:paraId="1F7CBCED" w14:textId="77777777">
            <w:pPr>
              <w:rPr>
                <w:sz w:val="21"/>
                <w:szCs w:val="21"/>
              </w:rPr>
            </w:pPr>
            <w:r>
              <w:rPr>
                <w:sz w:val="21"/>
                <w:szCs w:val="21"/>
              </w:rPr>
              <w:t>Did you repair or replace this component during the calendar year? [Repair; Replace; N/A]</w:t>
            </w:r>
          </w:p>
        </w:tc>
        <w:tc>
          <w:tcPr>
            <w:tcW w:w="72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00885280" w:rsidP="00317B65" w:rsidRDefault="00885280" w14:paraId="0F68817B" w14:textId="77777777">
            <w:pPr>
              <w:jc w:val="center"/>
              <w:rPr>
                <w:rFonts w:cs="Calibri"/>
                <w:sz w:val="21"/>
                <w:szCs w:val="21"/>
              </w:rPr>
            </w:pPr>
          </w:p>
        </w:tc>
      </w:tr>
      <w:tr w:rsidRPr="007A580F" w:rsidR="00885280" w:rsidTr="00317B65" w14:paraId="21094D47" w14:textId="77777777">
        <w:trPr>
          <w:trHeight w:val="242"/>
          <w:jc w:val="center"/>
        </w:trPr>
        <w:tc>
          <w:tcPr>
            <w:tcW w:w="1440" w:type="dxa"/>
            <w:vMerge/>
            <w:tcBorders>
              <w:left w:val="single" w:color="auto" w:sz="4" w:space="0"/>
              <w:right w:val="single" w:color="auto" w:sz="4" w:space="0"/>
            </w:tcBorders>
            <w:shd w:val="clear" w:color="auto" w:fill="D9D9D9" w:themeFill="background1" w:themeFillShade="D9"/>
            <w:vAlign w:val="center"/>
          </w:tcPr>
          <w:p w:rsidR="00885280" w:rsidP="00317B65" w:rsidRDefault="00885280" w14:paraId="1200CD5B" w14:textId="77777777">
            <w:pPr>
              <w:rPr>
                <w:rFonts w:cstheme="minorHAnsi"/>
                <w:sz w:val="21"/>
                <w:szCs w:val="21"/>
              </w:rPr>
            </w:pPr>
          </w:p>
        </w:tc>
        <w:tc>
          <w:tcPr>
            <w:tcW w:w="1526" w:type="dxa"/>
            <w:vMerge/>
            <w:tcBorders>
              <w:left w:val="single" w:color="auto" w:sz="4" w:space="0"/>
              <w:right w:val="single" w:color="auto" w:sz="4" w:space="0"/>
            </w:tcBorders>
            <w:shd w:val="clear" w:color="auto" w:fill="D9D9D9" w:themeFill="background1" w:themeFillShade="D9"/>
            <w:vAlign w:val="center"/>
          </w:tcPr>
          <w:p w:rsidRPr="007A580F" w:rsidR="00885280" w:rsidP="00317B65" w:rsidRDefault="00885280" w14:paraId="43D2DFCB" w14:textId="77777777">
            <w:pPr>
              <w:rPr>
                <w:rFonts w:cstheme="minorHAnsi"/>
                <w:sz w:val="21"/>
                <w:szCs w:val="21"/>
              </w:rPr>
            </w:pPr>
          </w:p>
        </w:tc>
        <w:tc>
          <w:tcPr>
            <w:tcW w:w="567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841662" w:rsidR="00885280" w:rsidP="00317B65" w:rsidRDefault="00885280" w14:paraId="0BE05062" w14:textId="77777777">
            <w:pPr>
              <w:rPr>
                <w:sz w:val="21"/>
                <w:szCs w:val="21"/>
              </w:rPr>
            </w:pPr>
            <w:r>
              <w:rPr>
                <w:sz w:val="21"/>
                <w:szCs w:val="21"/>
              </w:rPr>
              <w:t>If yes, date of repair or replacement</w:t>
            </w:r>
          </w:p>
        </w:tc>
        <w:tc>
          <w:tcPr>
            <w:tcW w:w="72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00885280" w:rsidP="00317B65" w:rsidRDefault="00885280" w14:paraId="377866B7" w14:textId="77777777">
            <w:pPr>
              <w:jc w:val="center"/>
              <w:rPr>
                <w:rFonts w:cs="Calibri"/>
                <w:sz w:val="21"/>
                <w:szCs w:val="21"/>
              </w:rPr>
            </w:pPr>
          </w:p>
        </w:tc>
      </w:tr>
      <w:tr w:rsidRPr="007A580F" w:rsidR="00885280" w:rsidTr="00317B65" w14:paraId="4761159B" w14:textId="77777777">
        <w:trPr>
          <w:trHeight w:val="242"/>
          <w:jc w:val="center"/>
        </w:trPr>
        <w:tc>
          <w:tcPr>
            <w:tcW w:w="1440" w:type="dxa"/>
            <w:vMerge/>
            <w:tcBorders>
              <w:left w:val="single" w:color="auto" w:sz="4" w:space="0"/>
              <w:right w:val="single" w:color="auto" w:sz="4" w:space="0"/>
            </w:tcBorders>
            <w:shd w:val="clear" w:color="auto" w:fill="D9D9D9" w:themeFill="background1" w:themeFillShade="D9"/>
            <w:vAlign w:val="center"/>
          </w:tcPr>
          <w:p w:rsidR="00885280" w:rsidP="00317B65" w:rsidRDefault="00885280" w14:paraId="7CE66B9D" w14:textId="77777777">
            <w:pPr>
              <w:rPr>
                <w:rFonts w:cstheme="minorHAnsi"/>
                <w:sz w:val="21"/>
                <w:szCs w:val="21"/>
              </w:rPr>
            </w:pPr>
          </w:p>
        </w:tc>
        <w:tc>
          <w:tcPr>
            <w:tcW w:w="1526" w:type="dxa"/>
            <w:vMerge/>
            <w:tcBorders>
              <w:left w:val="single" w:color="auto" w:sz="4" w:space="0"/>
              <w:right w:val="single" w:color="auto" w:sz="4" w:space="0"/>
            </w:tcBorders>
            <w:shd w:val="clear" w:color="auto" w:fill="D9D9D9" w:themeFill="background1" w:themeFillShade="D9"/>
            <w:vAlign w:val="center"/>
          </w:tcPr>
          <w:p w:rsidRPr="007A580F" w:rsidR="00885280" w:rsidP="00317B65" w:rsidRDefault="00885280" w14:paraId="2EBB6989" w14:textId="77777777">
            <w:pPr>
              <w:rPr>
                <w:rFonts w:cstheme="minorHAnsi"/>
                <w:sz w:val="21"/>
                <w:szCs w:val="21"/>
              </w:rPr>
            </w:pPr>
          </w:p>
        </w:tc>
        <w:tc>
          <w:tcPr>
            <w:tcW w:w="567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00885280" w:rsidP="00317B65" w:rsidRDefault="00885280" w14:paraId="66CC7E37" w14:textId="77777777">
            <w:pPr>
              <w:rPr>
                <w:sz w:val="21"/>
                <w:szCs w:val="21"/>
              </w:rPr>
            </w:pPr>
            <w:r>
              <w:rPr>
                <w:sz w:val="21"/>
                <w:szCs w:val="21"/>
              </w:rPr>
              <w:t>Did you implement an enhanced</w:t>
            </w:r>
            <w:r>
              <w:rPr>
                <w:rStyle w:val="FootnoteReference"/>
                <w:sz w:val="21"/>
                <w:szCs w:val="21"/>
              </w:rPr>
              <w:footnoteReference w:id="22"/>
            </w:r>
            <w:r>
              <w:rPr>
                <w:sz w:val="21"/>
                <w:szCs w:val="21"/>
              </w:rPr>
              <w:t xml:space="preserve"> maintenance program on the valve this year? </w:t>
            </w:r>
          </w:p>
        </w:tc>
        <w:tc>
          <w:tcPr>
            <w:tcW w:w="72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00885280" w:rsidP="00317B65" w:rsidRDefault="00885280" w14:paraId="4E12EED4" w14:textId="77777777">
            <w:pPr>
              <w:jc w:val="center"/>
              <w:rPr>
                <w:rFonts w:cs="Calibri"/>
                <w:sz w:val="21"/>
                <w:szCs w:val="21"/>
              </w:rPr>
            </w:pPr>
          </w:p>
        </w:tc>
      </w:tr>
      <w:tr w:rsidRPr="007A580F" w:rsidR="00885280" w:rsidTr="00317B65" w14:paraId="47AC1EB5" w14:textId="77777777">
        <w:trPr>
          <w:trHeight w:val="242"/>
          <w:jc w:val="center"/>
        </w:trPr>
        <w:tc>
          <w:tcPr>
            <w:tcW w:w="1440" w:type="dxa"/>
            <w:vMerge/>
            <w:tcBorders>
              <w:left w:val="single" w:color="auto" w:sz="4" w:space="0"/>
              <w:right w:val="single" w:color="auto" w:sz="4" w:space="0"/>
            </w:tcBorders>
            <w:shd w:val="clear" w:color="auto" w:fill="D9D9D9" w:themeFill="background1" w:themeFillShade="D9"/>
            <w:vAlign w:val="center"/>
          </w:tcPr>
          <w:p w:rsidR="00885280" w:rsidP="00317B65" w:rsidRDefault="00885280" w14:paraId="7286A5EF" w14:textId="77777777">
            <w:pPr>
              <w:rPr>
                <w:rFonts w:cstheme="minorHAnsi"/>
                <w:sz w:val="21"/>
                <w:szCs w:val="21"/>
              </w:rPr>
            </w:pPr>
          </w:p>
        </w:tc>
        <w:tc>
          <w:tcPr>
            <w:tcW w:w="1526" w:type="dxa"/>
            <w:vMerge/>
            <w:tcBorders>
              <w:left w:val="single" w:color="auto" w:sz="4" w:space="0"/>
              <w:right w:val="single" w:color="auto" w:sz="4" w:space="0"/>
            </w:tcBorders>
            <w:shd w:val="clear" w:color="auto" w:fill="D9D9D9" w:themeFill="background1" w:themeFillShade="D9"/>
            <w:vAlign w:val="center"/>
          </w:tcPr>
          <w:p w:rsidRPr="007A580F" w:rsidR="00885280" w:rsidP="00317B65" w:rsidRDefault="00885280" w14:paraId="3298BEBB" w14:textId="77777777">
            <w:pPr>
              <w:rPr>
                <w:rFonts w:cstheme="minorHAnsi"/>
                <w:sz w:val="21"/>
                <w:szCs w:val="21"/>
              </w:rPr>
            </w:pPr>
          </w:p>
        </w:tc>
        <w:tc>
          <w:tcPr>
            <w:tcW w:w="567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00885280" w:rsidP="00317B65" w:rsidRDefault="00885280" w14:paraId="28D9DDFB" w14:textId="77777777">
            <w:pPr>
              <w:ind w:left="390"/>
              <w:rPr>
                <w:sz w:val="21"/>
                <w:szCs w:val="21"/>
              </w:rPr>
            </w:pPr>
            <w:r>
              <w:rPr>
                <w:sz w:val="21"/>
                <w:szCs w:val="21"/>
              </w:rPr>
              <w:t>If yes, provide pertinent details on the maintenance activity(ies)</w:t>
            </w:r>
          </w:p>
        </w:tc>
        <w:tc>
          <w:tcPr>
            <w:tcW w:w="72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00885280" w:rsidP="00317B65" w:rsidRDefault="00885280" w14:paraId="4925BC0D" w14:textId="77777777">
            <w:pPr>
              <w:jc w:val="center"/>
              <w:rPr>
                <w:rFonts w:cs="Calibri"/>
                <w:sz w:val="21"/>
                <w:szCs w:val="21"/>
              </w:rPr>
            </w:pPr>
          </w:p>
        </w:tc>
      </w:tr>
      <w:tr w:rsidRPr="007A580F" w:rsidR="00885280" w:rsidTr="00317B65" w14:paraId="2B2B7261" w14:textId="77777777">
        <w:trPr>
          <w:trHeight w:val="242"/>
          <w:jc w:val="center"/>
        </w:trPr>
        <w:tc>
          <w:tcPr>
            <w:tcW w:w="1440" w:type="dxa"/>
            <w:vMerge/>
            <w:tcBorders>
              <w:left w:val="single" w:color="auto" w:sz="4" w:space="0"/>
              <w:right w:val="single" w:color="auto" w:sz="4" w:space="0"/>
            </w:tcBorders>
            <w:shd w:val="clear" w:color="auto" w:fill="D9D9D9" w:themeFill="background1" w:themeFillShade="D9"/>
            <w:vAlign w:val="center"/>
          </w:tcPr>
          <w:p w:rsidR="00885280" w:rsidP="00317B65" w:rsidRDefault="00885280" w14:paraId="10D7D8A5" w14:textId="77777777">
            <w:pPr>
              <w:rPr>
                <w:rFonts w:cstheme="minorHAnsi"/>
                <w:sz w:val="21"/>
                <w:szCs w:val="21"/>
              </w:rPr>
            </w:pPr>
          </w:p>
        </w:tc>
        <w:tc>
          <w:tcPr>
            <w:tcW w:w="1526" w:type="dxa"/>
            <w:vMerge/>
            <w:tcBorders>
              <w:left w:val="single" w:color="auto" w:sz="4" w:space="0"/>
              <w:right w:val="single" w:color="auto" w:sz="4" w:space="0"/>
            </w:tcBorders>
            <w:shd w:val="clear" w:color="auto" w:fill="D9D9D9" w:themeFill="background1" w:themeFillShade="D9"/>
            <w:vAlign w:val="center"/>
          </w:tcPr>
          <w:p w:rsidRPr="007A580F" w:rsidR="00885280" w:rsidP="00317B65" w:rsidRDefault="00885280" w14:paraId="439EF29B" w14:textId="77777777">
            <w:pPr>
              <w:rPr>
                <w:rFonts w:cstheme="minorHAnsi"/>
                <w:sz w:val="21"/>
                <w:szCs w:val="21"/>
              </w:rPr>
            </w:pPr>
          </w:p>
        </w:tc>
        <w:tc>
          <w:tcPr>
            <w:tcW w:w="567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913F0C" w:rsidR="00885280" w:rsidP="00360B98" w:rsidRDefault="00885280" w14:paraId="43CDF4C8" w14:textId="66F456DB">
            <w:pPr>
              <w:rPr>
                <w:sz w:val="21"/>
                <w:szCs w:val="21"/>
                <w:highlight w:val="yellow"/>
              </w:rPr>
            </w:pPr>
            <w:r w:rsidRPr="0049096A">
              <w:rPr>
                <w:sz w:val="21"/>
                <w:szCs w:val="21"/>
              </w:rPr>
              <w:t>Emissions Calculation Method (As Found Measurement; Continuous Measurement; Reporter Emission Factor)</w:t>
            </w:r>
          </w:p>
        </w:tc>
        <w:tc>
          <w:tcPr>
            <w:tcW w:w="72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00885280" w:rsidP="00317B65" w:rsidRDefault="00885280" w14:paraId="4F3479A4" w14:textId="77777777">
            <w:pPr>
              <w:jc w:val="center"/>
              <w:rPr>
                <w:rFonts w:cs="Calibri"/>
                <w:sz w:val="21"/>
                <w:szCs w:val="21"/>
              </w:rPr>
            </w:pPr>
          </w:p>
        </w:tc>
      </w:tr>
      <w:tr w:rsidRPr="007A580F" w:rsidR="00131EFF" w:rsidTr="00317B65" w14:paraId="0C59E0A6" w14:textId="77777777">
        <w:trPr>
          <w:trHeight w:val="359"/>
          <w:jc w:val="center"/>
        </w:trPr>
        <w:tc>
          <w:tcPr>
            <w:tcW w:w="1440" w:type="dxa"/>
            <w:vMerge/>
            <w:tcBorders>
              <w:left w:val="single" w:color="auto" w:sz="4" w:space="0"/>
              <w:right w:val="single" w:color="auto" w:sz="4" w:space="0"/>
            </w:tcBorders>
            <w:shd w:val="clear" w:color="auto" w:fill="D9D9D9" w:themeFill="background1" w:themeFillShade="D9"/>
            <w:vAlign w:val="center"/>
          </w:tcPr>
          <w:p w:rsidR="00131EFF" w:rsidP="00317B65" w:rsidRDefault="00131EFF" w14:paraId="3122D361" w14:textId="77777777">
            <w:pPr>
              <w:rPr>
                <w:rFonts w:cstheme="minorHAnsi"/>
                <w:sz w:val="21"/>
                <w:szCs w:val="21"/>
              </w:rPr>
            </w:pPr>
          </w:p>
        </w:tc>
        <w:tc>
          <w:tcPr>
            <w:tcW w:w="1526" w:type="dxa"/>
            <w:vMerge w:val="restart"/>
            <w:tcBorders>
              <w:left w:val="single" w:color="auto" w:sz="4" w:space="0"/>
              <w:right w:val="single" w:color="auto" w:sz="4" w:space="0"/>
            </w:tcBorders>
            <w:shd w:val="clear" w:color="auto" w:fill="D9D9D9" w:themeFill="background1" w:themeFillShade="D9"/>
            <w:vAlign w:val="center"/>
          </w:tcPr>
          <w:p w:rsidRPr="00841662" w:rsidR="00131EFF" w:rsidP="00317B65" w:rsidRDefault="00131EFF" w14:paraId="201410F9" w14:textId="520E2256">
            <w:pPr>
              <w:rPr>
                <w:rFonts w:cs="Calibri"/>
                <w:sz w:val="21"/>
                <w:szCs w:val="21"/>
              </w:rPr>
            </w:pPr>
            <w:r w:rsidRPr="00841662">
              <w:rPr>
                <w:rFonts w:cs="Calibri"/>
                <w:sz w:val="21"/>
                <w:szCs w:val="21"/>
              </w:rPr>
              <w:t>As found measurement</w:t>
            </w:r>
            <w:r w:rsidRPr="00841662" w:rsidR="00AA7438">
              <w:rPr>
                <w:rFonts w:cs="Calibri"/>
                <w:sz w:val="21"/>
                <w:szCs w:val="21"/>
                <w:vertAlign w:val="superscript"/>
              </w:rPr>
              <w:footnoteReference w:id="23"/>
            </w:r>
            <w:r w:rsidRPr="00841662">
              <w:rPr>
                <w:rFonts w:cs="Calibri"/>
                <w:sz w:val="21"/>
                <w:szCs w:val="21"/>
              </w:rPr>
              <w:t>or continuous measurement</w:t>
            </w:r>
            <w:r w:rsidRPr="00841662" w:rsidR="00AA7438">
              <w:rPr>
                <w:rFonts w:cs="Calibri"/>
                <w:sz w:val="21"/>
                <w:szCs w:val="21"/>
                <w:vertAlign w:val="superscript"/>
              </w:rPr>
              <w:footnoteReference w:id="24"/>
            </w:r>
            <w:r w:rsidRPr="00841662">
              <w:rPr>
                <w:rFonts w:cs="Calibri"/>
                <w:sz w:val="21"/>
                <w:szCs w:val="21"/>
              </w:rPr>
              <w:t xml:space="preserve"> of individual compressor</w:t>
            </w:r>
            <w:r>
              <w:rPr>
                <w:rStyle w:val="FootnoteReference"/>
                <w:rFonts w:cs="Calibri"/>
                <w:sz w:val="21"/>
                <w:szCs w:val="21"/>
              </w:rPr>
              <w:footnoteReference w:id="25"/>
            </w:r>
          </w:p>
        </w:tc>
        <w:tc>
          <w:tcPr>
            <w:tcW w:w="567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7F3554" w:rsidR="00131EFF" w:rsidP="00317B65" w:rsidRDefault="00131EFF" w14:paraId="3CDBE70A" w14:textId="77777777">
            <w:pPr>
              <w:rPr>
                <w:sz w:val="21"/>
                <w:szCs w:val="21"/>
              </w:rPr>
            </w:pPr>
            <w:r w:rsidRPr="007F3554">
              <w:rPr>
                <w:rFonts w:eastAsiaTheme="minorEastAsia"/>
                <w:sz w:val="21"/>
                <w:szCs w:val="21"/>
              </w:rPr>
              <w:t>Mode in which the compressor was operating when measured (Operating; Standby-pressurized; Not-operating depressurized)</w:t>
            </w:r>
          </w:p>
        </w:tc>
        <w:tc>
          <w:tcPr>
            <w:tcW w:w="72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00131EFF" w:rsidP="00317B65" w:rsidRDefault="00131EFF" w14:paraId="5B3B4884" w14:textId="77777777">
            <w:pPr>
              <w:jc w:val="center"/>
              <w:rPr>
                <w:rFonts w:cs="Calibri"/>
                <w:sz w:val="21"/>
                <w:szCs w:val="21"/>
              </w:rPr>
            </w:pPr>
          </w:p>
        </w:tc>
      </w:tr>
      <w:tr w:rsidRPr="007A580F" w:rsidR="00131EFF" w:rsidTr="00317B65" w14:paraId="0E096456" w14:textId="77777777">
        <w:trPr>
          <w:trHeight w:val="359"/>
          <w:jc w:val="center"/>
        </w:trPr>
        <w:tc>
          <w:tcPr>
            <w:tcW w:w="1440" w:type="dxa"/>
            <w:vMerge/>
            <w:tcBorders>
              <w:left w:val="single" w:color="auto" w:sz="4" w:space="0"/>
              <w:right w:val="single" w:color="auto" w:sz="4" w:space="0"/>
            </w:tcBorders>
            <w:shd w:val="clear" w:color="auto" w:fill="D9D9D9" w:themeFill="background1" w:themeFillShade="D9"/>
            <w:vAlign w:val="center"/>
          </w:tcPr>
          <w:p w:rsidR="00131EFF" w:rsidP="00317B65" w:rsidRDefault="00131EFF" w14:paraId="6F0BFAF9" w14:textId="77777777">
            <w:pPr>
              <w:rPr>
                <w:rFonts w:cstheme="minorHAnsi"/>
                <w:sz w:val="21"/>
                <w:szCs w:val="21"/>
              </w:rPr>
            </w:pPr>
          </w:p>
        </w:tc>
        <w:tc>
          <w:tcPr>
            <w:tcW w:w="1526" w:type="dxa"/>
            <w:vMerge/>
            <w:tcBorders>
              <w:left w:val="single" w:color="auto" w:sz="4" w:space="0"/>
              <w:right w:val="single" w:color="auto" w:sz="4" w:space="0"/>
            </w:tcBorders>
            <w:shd w:val="clear" w:color="auto" w:fill="D9D9D9" w:themeFill="background1" w:themeFillShade="D9"/>
            <w:vAlign w:val="center"/>
          </w:tcPr>
          <w:p w:rsidRPr="007A580F" w:rsidR="00131EFF" w:rsidP="00317B65" w:rsidRDefault="00131EFF" w14:paraId="39A804EA" w14:textId="77777777">
            <w:pPr>
              <w:rPr>
                <w:rFonts w:cstheme="minorHAnsi"/>
                <w:sz w:val="21"/>
                <w:szCs w:val="21"/>
              </w:rPr>
            </w:pPr>
          </w:p>
        </w:tc>
        <w:tc>
          <w:tcPr>
            <w:tcW w:w="567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7F3554" w:rsidR="00131EFF" w:rsidP="00317B65" w:rsidRDefault="00131EFF" w14:paraId="7DD1528E" w14:textId="77777777">
            <w:pPr>
              <w:rPr>
                <w:sz w:val="21"/>
                <w:szCs w:val="21"/>
              </w:rPr>
            </w:pPr>
            <w:r w:rsidRPr="007F3554">
              <w:rPr>
                <w:sz w:val="21"/>
                <w:szCs w:val="21"/>
              </w:rPr>
              <w:t>The measurement method used</w:t>
            </w:r>
          </w:p>
        </w:tc>
        <w:tc>
          <w:tcPr>
            <w:tcW w:w="72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00131EFF" w:rsidP="00317B65" w:rsidRDefault="00131EFF" w14:paraId="625911B6" w14:textId="77777777">
            <w:pPr>
              <w:jc w:val="center"/>
              <w:rPr>
                <w:rFonts w:cs="Calibri"/>
                <w:sz w:val="21"/>
                <w:szCs w:val="21"/>
              </w:rPr>
            </w:pPr>
            <w:r>
              <w:rPr>
                <w:rFonts w:cs="Calibri"/>
                <w:sz w:val="21"/>
                <w:szCs w:val="21"/>
              </w:rPr>
              <w:t>X</w:t>
            </w:r>
          </w:p>
        </w:tc>
      </w:tr>
      <w:tr w:rsidRPr="007A580F" w:rsidR="00131EFF" w:rsidTr="00317B65" w14:paraId="70A3AAA1" w14:textId="77777777">
        <w:trPr>
          <w:trHeight w:val="359"/>
          <w:jc w:val="center"/>
        </w:trPr>
        <w:tc>
          <w:tcPr>
            <w:tcW w:w="1440" w:type="dxa"/>
            <w:vMerge/>
            <w:tcBorders>
              <w:left w:val="single" w:color="auto" w:sz="4" w:space="0"/>
              <w:right w:val="single" w:color="auto" w:sz="4" w:space="0"/>
            </w:tcBorders>
            <w:shd w:val="clear" w:color="auto" w:fill="D9D9D9" w:themeFill="background1" w:themeFillShade="D9"/>
            <w:vAlign w:val="center"/>
          </w:tcPr>
          <w:p w:rsidR="00131EFF" w:rsidP="00317B65" w:rsidRDefault="00131EFF" w14:paraId="195AFC54" w14:textId="77777777">
            <w:pPr>
              <w:rPr>
                <w:rFonts w:cstheme="minorHAnsi"/>
                <w:sz w:val="21"/>
                <w:szCs w:val="21"/>
              </w:rPr>
            </w:pPr>
          </w:p>
        </w:tc>
        <w:tc>
          <w:tcPr>
            <w:tcW w:w="1526" w:type="dxa"/>
            <w:vMerge/>
            <w:tcBorders>
              <w:left w:val="single" w:color="auto" w:sz="4" w:space="0"/>
              <w:right w:val="single" w:color="auto" w:sz="4" w:space="0"/>
            </w:tcBorders>
            <w:shd w:val="clear" w:color="auto" w:fill="D9D9D9" w:themeFill="background1" w:themeFillShade="D9"/>
            <w:vAlign w:val="center"/>
          </w:tcPr>
          <w:p w:rsidRPr="007A580F" w:rsidR="00131EFF" w:rsidP="00317B65" w:rsidRDefault="00131EFF" w14:paraId="528EE820" w14:textId="77777777">
            <w:pPr>
              <w:rPr>
                <w:rFonts w:cstheme="minorHAnsi"/>
                <w:sz w:val="21"/>
                <w:szCs w:val="21"/>
              </w:rPr>
            </w:pPr>
          </w:p>
        </w:tc>
        <w:tc>
          <w:tcPr>
            <w:tcW w:w="567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7F3554" w:rsidR="00131EFF" w:rsidP="00317B65" w:rsidRDefault="00131EFF" w14:paraId="4F6BE3A6" w14:textId="77777777">
            <w:pPr>
              <w:rPr>
                <w:sz w:val="21"/>
                <w:szCs w:val="21"/>
              </w:rPr>
            </w:pPr>
            <w:r w:rsidRPr="007F3554">
              <w:rPr>
                <w:sz w:val="21"/>
                <w:szCs w:val="21"/>
              </w:rPr>
              <w:t>Measurement date</w:t>
            </w:r>
          </w:p>
        </w:tc>
        <w:tc>
          <w:tcPr>
            <w:tcW w:w="72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00131EFF" w:rsidP="00317B65" w:rsidRDefault="00131EFF" w14:paraId="790930D7" w14:textId="77777777">
            <w:pPr>
              <w:jc w:val="center"/>
              <w:rPr>
                <w:rFonts w:cs="Calibri"/>
                <w:sz w:val="21"/>
                <w:szCs w:val="21"/>
              </w:rPr>
            </w:pPr>
            <w:r>
              <w:rPr>
                <w:rFonts w:cs="Calibri"/>
                <w:sz w:val="21"/>
                <w:szCs w:val="21"/>
              </w:rPr>
              <w:t>X</w:t>
            </w:r>
          </w:p>
        </w:tc>
      </w:tr>
      <w:tr w:rsidRPr="007A580F" w:rsidR="00131EFF" w:rsidTr="00317B65" w14:paraId="1E1AE32F" w14:textId="77777777">
        <w:trPr>
          <w:trHeight w:val="359"/>
          <w:jc w:val="center"/>
        </w:trPr>
        <w:tc>
          <w:tcPr>
            <w:tcW w:w="1440" w:type="dxa"/>
            <w:vMerge/>
            <w:tcBorders>
              <w:left w:val="single" w:color="auto" w:sz="4" w:space="0"/>
              <w:right w:val="single" w:color="auto" w:sz="4" w:space="0"/>
            </w:tcBorders>
            <w:shd w:val="clear" w:color="auto" w:fill="D9D9D9" w:themeFill="background1" w:themeFillShade="D9"/>
            <w:vAlign w:val="center"/>
          </w:tcPr>
          <w:p w:rsidR="00131EFF" w:rsidP="00317B65" w:rsidRDefault="00131EFF" w14:paraId="51D5CC83" w14:textId="77777777">
            <w:pPr>
              <w:rPr>
                <w:rFonts w:cstheme="minorHAnsi"/>
                <w:sz w:val="21"/>
                <w:szCs w:val="21"/>
              </w:rPr>
            </w:pPr>
          </w:p>
        </w:tc>
        <w:tc>
          <w:tcPr>
            <w:tcW w:w="1526" w:type="dxa"/>
            <w:vMerge/>
            <w:tcBorders>
              <w:left w:val="single" w:color="auto" w:sz="4" w:space="0"/>
              <w:right w:val="single" w:color="auto" w:sz="4" w:space="0"/>
            </w:tcBorders>
            <w:shd w:val="clear" w:color="auto" w:fill="D9D9D9" w:themeFill="background1" w:themeFillShade="D9"/>
            <w:vAlign w:val="center"/>
          </w:tcPr>
          <w:p w:rsidRPr="007A580F" w:rsidR="00131EFF" w:rsidP="00317B65" w:rsidRDefault="00131EFF" w14:paraId="12139855" w14:textId="77777777">
            <w:pPr>
              <w:rPr>
                <w:rFonts w:cstheme="minorHAnsi"/>
                <w:sz w:val="21"/>
                <w:szCs w:val="21"/>
              </w:rPr>
            </w:pPr>
          </w:p>
        </w:tc>
        <w:tc>
          <w:tcPr>
            <w:tcW w:w="567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7F3554" w:rsidR="00131EFF" w:rsidP="00317B65" w:rsidRDefault="00131EFF" w14:paraId="14C7A715" w14:textId="77777777">
            <w:pPr>
              <w:rPr>
                <w:sz w:val="21"/>
                <w:szCs w:val="21"/>
              </w:rPr>
            </w:pPr>
            <w:r w:rsidRPr="007F3554">
              <w:rPr>
                <w:sz w:val="21"/>
                <w:szCs w:val="21"/>
              </w:rPr>
              <w:t>Was this measurement taken before or after a mitigation action was implemented during the calendar year (if applicable) [Before; After; N/A]</w:t>
            </w:r>
          </w:p>
        </w:tc>
        <w:tc>
          <w:tcPr>
            <w:tcW w:w="72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00131EFF" w:rsidP="00317B65" w:rsidRDefault="00131EFF" w14:paraId="4A619EEE" w14:textId="77777777">
            <w:pPr>
              <w:jc w:val="center"/>
              <w:rPr>
                <w:rFonts w:cs="Calibri"/>
                <w:sz w:val="21"/>
                <w:szCs w:val="21"/>
              </w:rPr>
            </w:pPr>
          </w:p>
        </w:tc>
      </w:tr>
      <w:tr w:rsidRPr="007A580F" w:rsidR="00131EFF" w:rsidTr="00317B65" w14:paraId="6FBA962D" w14:textId="77777777">
        <w:trPr>
          <w:trHeight w:val="359"/>
          <w:jc w:val="center"/>
        </w:trPr>
        <w:tc>
          <w:tcPr>
            <w:tcW w:w="1440" w:type="dxa"/>
            <w:vMerge/>
            <w:tcBorders>
              <w:left w:val="single" w:color="auto" w:sz="4" w:space="0"/>
              <w:right w:val="single" w:color="auto" w:sz="4" w:space="0"/>
            </w:tcBorders>
            <w:shd w:val="clear" w:color="auto" w:fill="D9D9D9" w:themeFill="background1" w:themeFillShade="D9"/>
            <w:vAlign w:val="center"/>
          </w:tcPr>
          <w:p w:rsidR="00131EFF" w:rsidP="00317B65" w:rsidRDefault="00131EFF" w14:paraId="088A49EF" w14:textId="77777777">
            <w:pPr>
              <w:rPr>
                <w:rFonts w:cstheme="minorHAnsi"/>
                <w:sz w:val="21"/>
                <w:szCs w:val="21"/>
              </w:rPr>
            </w:pPr>
          </w:p>
        </w:tc>
        <w:tc>
          <w:tcPr>
            <w:tcW w:w="1526" w:type="dxa"/>
            <w:vMerge/>
            <w:tcBorders>
              <w:left w:val="single" w:color="auto" w:sz="4" w:space="0"/>
              <w:right w:val="single" w:color="auto" w:sz="4" w:space="0"/>
            </w:tcBorders>
            <w:shd w:val="clear" w:color="auto" w:fill="D9D9D9" w:themeFill="background1" w:themeFillShade="D9"/>
            <w:vAlign w:val="center"/>
          </w:tcPr>
          <w:p w:rsidRPr="007A580F" w:rsidR="00131EFF" w:rsidP="00317B65" w:rsidRDefault="00131EFF" w14:paraId="3C4310B8" w14:textId="77777777">
            <w:pPr>
              <w:rPr>
                <w:rFonts w:cstheme="minorHAnsi"/>
                <w:sz w:val="21"/>
                <w:szCs w:val="21"/>
              </w:rPr>
            </w:pPr>
          </w:p>
        </w:tc>
        <w:tc>
          <w:tcPr>
            <w:tcW w:w="5674" w:type="dxa"/>
            <w:tcBorders>
              <w:top w:val="single" w:color="auto" w:sz="4" w:space="0"/>
              <w:left w:val="single" w:color="auto" w:sz="4" w:space="0"/>
              <w:bottom w:val="single" w:color="auto" w:sz="4" w:space="0"/>
              <w:right w:val="nil"/>
            </w:tcBorders>
            <w:shd w:val="clear" w:color="auto" w:fill="D9D9D9" w:themeFill="background1" w:themeFillShade="D9"/>
            <w:vAlign w:val="center"/>
          </w:tcPr>
          <w:p w:rsidRPr="007F3554" w:rsidR="00131EFF" w:rsidP="00317B65" w:rsidRDefault="00131EFF" w14:paraId="73E533D7" w14:textId="77777777">
            <w:pPr>
              <w:rPr>
                <w:sz w:val="21"/>
                <w:szCs w:val="21"/>
              </w:rPr>
            </w:pPr>
            <w:r w:rsidRPr="007F3554">
              <w:rPr>
                <w:sz w:val="21"/>
                <w:szCs w:val="21"/>
              </w:rPr>
              <w:t>Flow rate based on measurement type:</w:t>
            </w:r>
          </w:p>
        </w:tc>
        <w:tc>
          <w:tcPr>
            <w:tcW w:w="720" w:type="dxa"/>
            <w:tcBorders>
              <w:top w:val="single" w:color="auto" w:sz="4" w:space="0"/>
              <w:left w:val="nil"/>
              <w:bottom w:val="single" w:color="auto" w:sz="4" w:space="0"/>
              <w:right w:val="single" w:color="auto" w:sz="4" w:space="0"/>
            </w:tcBorders>
            <w:shd w:val="clear" w:color="auto" w:fill="D9D9D9" w:themeFill="background1" w:themeFillShade="D9"/>
            <w:vAlign w:val="center"/>
          </w:tcPr>
          <w:p w:rsidR="00131EFF" w:rsidP="00317B65" w:rsidRDefault="00131EFF" w14:paraId="3B02A682" w14:textId="77777777">
            <w:pPr>
              <w:jc w:val="center"/>
              <w:rPr>
                <w:rFonts w:cs="Calibri"/>
                <w:sz w:val="21"/>
                <w:szCs w:val="21"/>
              </w:rPr>
            </w:pPr>
          </w:p>
        </w:tc>
      </w:tr>
      <w:tr w:rsidRPr="007A580F" w:rsidR="00131EFF" w:rsidTr="00317B65" w14:paraId="6557143D" w14:textId="77777777">
        <w:trPr>
          <w:trHeight w:val="242"/>
          <w:jc w:val="center"/>
        </w:trPr>
        <w:tc>
          <w:tcPr>
            <w:tcW w:w="1440" w:type="dxa"/>
            <w:vMerge/>
            <w:tcBorders>
              <w:left w:val="single" w:color="auto" w:sz="4" w:space="0"/>
              <w:right w:val="single" w:color="auto" w:sz="4" w:space="0"/>
            </w:tcBorders>
            <w:shd w:val="clear" w:color="auto" w:fill="D9D9D9" w:themeFill="background1" w:themeFillShade="D9"/>
            <w:vAlign w:val="center"/>
          </w:tcPr>
          <w:p w:rsidR="00131EFF" w:rsidP="00317B65" w:rsidRDefault="00131EFF" w14:paraId="64202B17" w14:textId="77777777">
            <w:pPr>
              <w:rPr>
                <w:rFonts w:cstheme="minorHAnsi"/>
                <w:sz w:val="21"/>
                <w:szCs w:val="21"/>
              </w:rPr>
            </w:pPr>
          </w:p>
        </w:tc>
        <w:tc>
          <w:tcPr>
            <w:tcW w:w="1526" w:type="dxa"/>
            <w:vMerge/>
            <w:tcBorders>
              <w:left w:val="single" w:color="auto" w:sz="4" w:space="0"/>
              <w:right w:val="single" w:color="auto" w:sz="4" w:space="0"/>
            </w:tcBorders>
            <w:shd w:val="clear" w:color="auto" w:fill="D9D9D9" w:themeFill="background1" w:themeFillShade="D9"/>
            <w:vAlign w:val="center"/>
          </w:tcPr>
          <w:p w:rsidRPr="007A580F" w:rsidR="00131EFF" w:rsidP="00317B65" w:rsidRDefault="00131EFF" w14:paraId="4121FD2D" w14:textId="77777777">
            <w:pPr>
              <w:rPr>
                <w:rFonts w:cstheme="minorHAnsi"/>
                <w:sz w:val="21"/>
                <w:szCs w:val="21"/>
              </w:rPr>
            </w:pPr>
          </w:p>
        </w:tc>
        <w:tc>
          <w:tcPr>
            <w:tcW w:w="567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7F3554" w:rsidR="00131EFF" w:rsidP="00683B94" w:rsidRDefault="00131EFF" w14:paraId="4FFA8FCC" w14:textId="77777777">
            <w:pPr>
              <w:pStyle w:val="ListParagraph"/>
              <w:numPr>
                <w:ilvl w:val="0"/>
                <w:numId w:val="15"/>
              </w:numPr>
              <w:spacing w:after="0" w:line="240" w:lineRule="auto"/>
              <w:ind w:left="390" w:hanging="270"/>
              <w:rPr>
                <w:rFonts w:cs="Calibri"/>
                <w:sz w:val="21"/>
                <w:szCs w:val="21"/>
              </w:rPr>
            </w:pPr>
            <w:r w:rsidRPr="007F3554">
              <w:rPr>
                <w:sz w:val="21"/>
                <w:szCs w:val="21"/>
              </w:rPr>
              <w:t>As found: Measured volumetric flow at standard conditions (scfh)</w:t>
            </w:r>
          </w:p>
        </w:tc>
        <w:tc>
          <w:tcPr>
            <w:tcW w:w="72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00131EFF" w:rsidP="00317B65" w:rsidRDefault="00131EFF" w14:paraId="5A6B66E4" w14:textId="77777777">
            <w:pPr>
              <w:jc w:val="center"/>
              <w:rPr>
                <w:rFonts w:cs="Calibri"/>
                <w:sz w:val="21"/>
                <w:szCs w:val="21"/>
              </w:rPr>
            </w:pPr>
            <w:r w:rsidRPr="00841662">
              <w:rPr>
                <w:rFonts w:cs="Calibri"/>
                <w:sz w:val="21"/>
                <w:szCs w:val="21"/>
              </w:rPr>
              <w:t>X</w:t>
            </w:r>
          </w:p>
        </w:tc>
      </w:tr>
      <w:tr w:rsidRPr="007A580F" w:rsidR="00131EFF" w:rsidTr="00317B65" w14:paraId="2C4B5CB9" w14:textId="77777777">
        <w:trPr>
          <w:trHeight w:val="242"/>
          <w:jc w:val="center"/>
        </w:trPr>
        <w:tc>
          <w:tcPr>
            <w:tcW w:w="1440" w:type="dxa"/>
            <w:vMerge/>
            <w:tcBorders>
              <w:left w:val="single" w:color="auto" w:sz="4" w:space="0"/>
              <w:right w:val="single" w:color="auto" w:sz="4" w:space="0"/>
            </w:tcBorders>
            <w:shd w:val="clear" w:color="auto" w:fill="D9D9D9" w:themeFill="background1" w:themeFillShade="D9"/>
            <w:vAlign w:val="center"/>
          </w:tcPr>
          <w:p w:rsidR="00131EFF" w:rsidP="00317B65" w:rsidRDefault="00131EFF" w14:paraId="58B05913" w14:textId="77777777">
            <w:pPr>
              <w:rPr>
                <w:rFonts w:cstheme="minorHAnsi"/>
                <w:sz w:val="21"/>
                <w:szCs w:val="21"/>
              </w:rPr>
            </w:pPr>
          </w:p>
        </w:tc>
        <w:tc>
          <w:tcPr>
            <w:tcW w:w="1526" w:type="dxa"/>
            <w:vMerge/>
            <w:tcBorders>
              <w:left w:val="single" w:color="auto" w:sz="4" w:space="0"/>
              <w:right w:val="single" w:color="auto" w:sz="4" w:space="0"/>
            </w:tcBorders>
            <w:shd w:val="clear" w:color="auto" w:fill="D9D9D9" w:themeFill="background1" w:themeFillShade="D9"/>
            <w:vAlign w:val="center"/>
          </w:tcPr>
          <w:p w:rsidRPr="007A580F" w:rsidR="00131EFF" w:rsidP="00317B65" w:rsidRDefault="00131EFF" w14:paraId="005623D8" w14:textId="77777777">
            <w:pPr>
              <w:rPr>
                <w:rFonts w:cstheme="minorHAnsi"/>
                <w:sz w:val="21"/>
                <w:szCs w:val="21"/>
              </w:rPr>
            </w:pPr>
          </w:p>
        </w:tc>
        <w:tc>
          <w:tcPr>
            <w:tcW w:w="567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7F3554" w:rsidR="00131EFF" w:rsidP="00683B94" w:rsidRDefault="00131EFF" w14:paraId="03A9C534" w14:textId="77777777">
            <w:pPr>
              <w:pStyle w:val="ListParagraph"/>
              <w:numPr>
                <w:ilvl w:val="0"/>
                <w:numId w:val="15"/>
              </w:numPr>
              <w:spacing w:after="0" w:line="240" w:lineRule="auto"/>
              <w:ind w:left="390" w:hanging="270"/>
              <w:rPr>
                <w:rFonts w:cs="Calibri"/>
                <w:sz w:val="21"/>
                <w:szCs w:val="21"/>
              </w:rPr>
            </w:pPr>
            <w:r w:rsidRPr="007F3554">
              <w:rPr>
                <w:sz w:val="21"/>
                <w:szCs w:val="21"/>
              </w:rPr>
              <w:t xml:space="preserve">Continuous: Measured volumetric flow at standard conditions (MMscf) </w:t>
            </w:r>
          </w:p>
        </w:tc>
        <w:tc>
          <w:tcPr>
            <w:tcW w:w="72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00131EFF" w:rsidP="00317B65" w:rsidRDefault="00131EFF" w14:paraId="22FF040E" w14:textId="77777777">
            <w:pPr>
              <w:jc w:val="center"/>
              <w:rPr>
                <w:rFonts w:cs="Calibri"/>
                <w:sz w:val="21"/>
                <w:szCs w:val="21"/>
              </w:rPr>
            </w:pPr>
            <w:r w:rsidRPr="00841662">
              <w:rPr>
                <w:rFonts w:cs="Calibri"/>
                <w:sz w:val="21"/>
                <w:szCs w:val="21"/>
              </w:rPr>
              <w:t>X</w:t>
            </w:r>
          </w:p>
        </w:tc>
      </w:tr>
      <w:tr w:rsidRPr="007A580F" w:rsidR="00131EFF" w:rsidTr="00317B65" w14:paraId="05625031" w14:textId="77777777">
        <w:trPr>
          <w:trHeight w:val="242"/>
          <w:jc w:val="center"/>
        </w:trPr>
        <w:tc>
          <w:tcPr>
            <w:tcW w:w="1440" w:type="dxa"/>
            <w:vMerge/>
            <w:tcBorders>
              <w:left w:val="single" w:color="auto" w:sz="4" w:space="0"/>
              <w:right w:val="single" w:color="auto" w:sz="4" w:space="0"/>
            </w:tcBorders>
            <w:shd w:val="clear" w:color="auto" w:fill="D9D9D9" w:themeFill="background1" w:themeFillShade="D9"/>
            <w:vAlign w:val="center"/>
          </w:tcPr>
          <w:p w:rsidR="00131EFF" w:rsidP="00317B65" w:rsidRDefault="00131EFF" w14:paraId="6230EB60" w14:textId="77777777">
            <w:pPr>
              <w:rPr>
                <w:rFonts w:cstheme="minorHAnsi"/>
                <w:sz w:val="21"/>
                <w:szCs w:val="21"/>
              </w:rPr>
            </w:pPr>
          </w:p>
        </w:tc>
        <w:tc>
          <w:tcPr>
            <w:tcW w:w="1526" w:type="dxa"/>
            <w:vMerge/>
            <w:tcBorders>
              <w:left w:val="single" w:color="auto" w:sz="4" w:space="0"/>
              <w:right w:val="single" w:color="auto" w:sz="4" w:space="0"/>
            </w:tcBorders>
            <w:shd w:val="clear" w:color="auto" w:fill="D9D9D9" w:themeFill="background1" w:themeFillShade="D9"/>
            <w:vAlign w:val="center"/>
          </w:tcPr>
          <w:p w:rsidRPr="007A580F" w:rsidR="00131EFF" w:rsidP="00317B65" w:rsidRDefault="00131EFF" w14:paraId="09C2B2FC" w14:textId="77777777">
            <w:pPr>
              <w:rPr>
                <w:rFonts w:cstheme="minorHAnsi"/>
                <w:sz w:val="21"/>
                <w:szCs w:val="21"/>
              </w:rPr>
            </w:pPr>
          </w:p>
        </w:tc>
        <w:tc>
          <w:tcPr>
            <w:tcW w:w="567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7F3554" w:rsidR="00131EFF" w:rsidP="00317B65" w:rsidRDefault="00131EFF" w14:paraId="0D5914F6" w14:textId="77777777">
            <w:pPr>
              <w:rPr>
                <w:rFonts w:cs="Calibri"/>
                <w:sz w:val="21"/>
                <w:szCs w:val="21"/>
              </w:rPr>
            </w:pPr>
            <w:r w:rsidRPr="007F3554">
              <w:rPr>
                <w:sz w:val="21"/>
                <w:szCs w:val="21"/>
              </w:rPr>
              <w:t>Annual CH</w:t>
            </w:r>
            <w:r w:rsidRPr="007F3554">
              <w:rPr>
                <w:sz w:val="21"/>
                <w:szCs w:val="21"/>
                <w:vertAlign w:val="subscript"/>
              </w:rPr>
              <w:t>4</w:t>
            </w:r>
            <w:r w:rsidRPr="007F3554">
              <w:rPr>
                <w:sz w:val="21"/>
                <w:szCs w:val="21"/>
              </w:rPr>
              <w:t xml:space="preserve"> emissions (mt CH</w:t>
            </w:r>
            <w:r w:rsidRPr="007F3554">
              <w:rPr>
                <w:sz w:val="21"/>
                <w:szCs w:val="21"/>
                <w:vertAlign w:val="subscript"/>
              </w:rPr>
              <w:t>4</w:t>
            </w:r>
            <w:r w:rsidRPr="007F3554">
              <w:rPr>
                <w:sz w:val="21"/>
                <w:szCs w:val="21"/>
              </w:rPr>
              <w:t>)</w:t>
            </w:r>
          </w:p>
        </w:tc>
        <w:tc>
          <w:tcPr>
            <w:tcW w:w="72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00131EFF" w:rsidP="00317B65" w:rsidRDefault="00131EFF" w14:paraId="2D85E9AD" w14:textId="77777777">
            <w:pPr>
              <w:jc w:val="center"/>
              <w:rPr>
                <w:rFonts w:cs="Calibri"/>
                <w:sz w:val="21"/>
                <w:szCs w:val="21"/>
              </w:rPr>
            </w:pPr>
            <w:r>
              <w:rPr>
                <w:rFonts w:cs="Calibri"/>
                <w:sz w:val="21"/>
                <w:szCs w:val="21"/>
              </w:rPr>
              <w:t>X</w:t>
            </w:r>
          </w:p>
        </w:tc>
      </w:tr>
      <w:tr w:rsidRPr="007A580F" w:rsidR="00131EFF" w:rsidTr="00C76707" w14:paraId="3797DC26" w14:textId="77777777">
        <w:trPr>
          <w:trHeight w:val="665"/>
          <w:jc w:val="center"/>
        </w:trPr>
        <w:tc>
          <w:tcPr>
            <w:tcW w:w="1440" w:type="dxa"/>
            <w:vMerge/>
            <w:tcBorders>
              <w:left w:val="single" w:color="auto" w:sz="4" w:space="0"/>
              <w:right w:val="single" w:color="auto" w:sz="4" w:space="0"/>
            </w:tcBorders>
            <w:shd w:val="clear" w:color="auto" w:fill="D9D9D9" w:themeFill="background1" w:themeFillShade="D9"/>
            <w:vAlign w:val="center"/>
          </w:tcPr>
          <w:p w:rsidR="00131EFF" w:rsidP="00317B65" w:rsidRDefault="00131EFF" w14:paraId="27AB2013" w14:textId="77777777">
            <w:pPr>
              <w:rPr>
                <w:rFonts w:cstheme="minorHAnsi"/>
                <w:sz w:val="21"/>
                <w:szCs w:val="21"/>
              </w:rPr>
            </w:pPr>
          </w:p>
        </w:tc>
        <w:tc>
          <w:tcPr>
            <w:tcW w:w="1526" w:type="dxa"/>
            <w:vMerge w:val="restart"/>
            <w:tcBorders>
              <w:left w:val="single" w:color="auto" w:sz="4" w:space="0"/>
              <w:right w:val="single" w:color="auto" w:sz="4" w:space="0"/>
            </w:tcBorders>
            <w:shd w:val="clear" w:color="auto" w:fill="D9D9D9" w:themeFill="background1" w:themeFillShade="D9"/>
            <w:vAlign w:val="center"/>
          </w:tcPr>
          <w:p w:rsidRPr="007A580F" w:rsidR="00131EFF" w:rsidP="00317B65" w:rsidRDefault="00131EFF" w14:paraId="6AFA3C30" w14:textId="1E09D711">
            <w:pPr>
              <w:rPr>
                <w:rFonts w:cstheme="minorHAnsi"/>
                <w:sz w:val="21"/>
                <w:szCs w:val="21"/>
              </w:rPr>
            </w:pPr>
            <w:r w:rsidRPr="00841662">
              <w:rPr>
                <w:rFonts w:cs="Calibri"/>
                <w:sz w:val="21"/>
                <w:szCs w:val="21"/>
              </w:rPr>
              <w:t>Site-specific EF</w:t>
            </w:r>
            <w:r w:rsidR="00D9184D">
              <w:rPr>
                <w:rFonts w:cs="Calibri"/>
                <w:sz w:val="21"/>
                <w:szCs w:val="21"/>
              </w:rPr>
              <w:t xml:space="preserve"> </w:t>
            </w:r>
            <w:r w:rsidRPr="0049096A" w:rsidR="00D9184D">
              <w:rPr>
                <w:rFonts w:cs="Calibri"/>
                <w:sz w:val="21"/>
                <w:szCs w:val="21"/>
              </w:rPr>
              <w:t xml:space="preserve">by </w:t>
            </w:r>
            <w:r w:rsidRPr="0049096A" w:rsidR="00A438A6">
              <w:rPr>
                <w:rFonts w:cs="Calibri"/>
                <w:sz w:val="21"/>
                <w:szCs w:val="21"/>
              </w:rPr>
              <w:t>compressor mode-source combination</w:t>
            </w:r>
            <w:r w:rsidRPr="00841662">
              <w:rPr>
                <w:rFonts w:cs="Calibri"/>
                <w:sz w:val="21"/>
                <w:szCs w:val="21"/>
                <w:vertAlign w:val="superscript"/>
              </w:rPr>
              <w:footnoteReference w:id="26"/>
            </w:r>
            <w:r w:rsidRPr="00C76707" w:rsidR="003A3AB9">
              <w:rPr>
                <w:rFonts w:cs="Calibri"/>
                <w:sz w:val="21"/>
                <w:szCs w:val="21"/>
                <w:vertAlign w:val="superscript"/>
              </w:rPr>
              <w:t>,</w:t>
            </w:r>
            <w:r w:rsidR="003A3AB9">
              <w:rPr>
                <w:rStyle w:val="FootnoteReference"/>
                <w:rFonts w:cs="Calibri"/>
                <w:sz w:val="21"/>
                <w:szCs w:val="21"/>
              </w:rPr>
              <w:footnoteReference w:id="27"/>
            </w:r>
            <w:r w:rsidR="000F6933">
              <w:rPr>
                <w:rFonts w:cs="Calibri"/>
                <w:sz w:val="21"/>
                <w:szCs w:val="21"/>
                <w:vertAlign w:val="superscript"/>
              </w:rPr>
              <w:t>,</w:t>
            </w:r>
            <w:r w:rsidR="00BA2978">
              <w:rPr>
                <w:rFonts w:cs="Calibri"/>
                <w:sz w:val="21"/>
                <w:szCs w:val="21"/>
                <w:vertAlign w:val="superscript"/>
              </w:rPr>
              <w:t xml:space="preserve"> </w:t>
            </w:r>
            <w:r w:rsidR="000F6933">
              <w:rPr>
                <w:rStyle w:val="FootnoteReference"/>
                <w:rFonts w:cs="Calibri"/>
                <w:sz w:val="21"/>
                <w:szCs w:val="21"/>
              </w:rPr>
              <w:footnoteReference w:id="28"/>
            </w:r>
          </w:p>
        </w:tc>
        <w:tc>
          <w:tcPr>
            <w:tcW w:w="567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7F3554" w:rsidR="00131EFF" w:rsidP="00317B65" w:rsidRDefault="00131EFF" w14:paraId="1CE3DBA0" w14:textId="77777777">
            <w:pPr>
              <w:rPr>
                <w:sz w:val="21"/>
                <w:szCs w:val="21"/>
              </w:rPr>
            </w:pPr>
            <w:r w:rsidRPr="007F3554">
              <w:rPr>
                <w:sz w:val="21"/>
                <w:szCs w:val="21"/>
              </w:rPr>
              <w:t>Reporter EF (scfh)</w:t>
            </w:r>
          </w:p>
        </w:tc>
        <w:tc>
          <w:tcPr>
            <w:tcW w:w="72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00131EFF" w:rsidP="00317B65" w:rsidRDefault="00131EFF" w14:paraId="6C6D4909" w14:textId="77777777">
            <w:pPr>
              <w:jc w:val="center"/>
              <w:rPr>
                <w:rFonts w:cs="Calibri"/>
                <w:sz w:val="21"/>
                <w:szCs w:val="21"/>
              </w:rPr>
            </w:pPr>
            <w:r w:rsidRPr="00841662">
              <w:rPr>
                <w:rFonts w:cs="Calibri"/>
                <w:sz w:val="21"/>
                <w:szCs w:val="21"/>
              </w:rPr>
              <w:t>X</w:t>
            </w:r>
          </w:p>
        </w:tc>
      </w:tr>
      <w:tr w:rsidRPr="007A580F" w:rsidR="00131EFF" w:rsidTr="00317B65" w14:paraId="0731ACEE" w14:textId="77777777">
        <w:trPr>
          <w:trHeight w:val="242"/>
          <w:jc w:val="center"/>
        </w:trPr>
        <w:tc>
          <w:tcPr>
            <w:tcW w:w="1440" w:type="dxa"/>
            <w:vMerge/>
            <w:tcBorders>
              <w:left w:val="single" w:color="auto" w:sz="4" w:space="0"/>
              <w:right w:val="single" w:color="auto" w:sz="4" w:space="0"/>
            </w:tcBorders>
            <w:shd w:val="clear" w:color="auto" w:fill="D9D9D9" w:themeFill="background1" w:themeFillShade="D9"/>
            <w:vAlign w:val="center"/>
          </w:tcPr>
          <w:p w:rsidR="00131EFF" w:rsidP="00317B65" w:rsidRDefault="00131EFF" w14:paraId="57E57DA3" w14:textId="77777777">
            <w:pPr>
              <w:rPr>
                <w:rFonts w:cstheme="minorHAnsi"/>
                <w:sz w:val="21"/>
                <w:szCs w:val="21"/>
              </w:rPr>
            </w:pPr>
          </w:p>
        </w:tc>
        <w:tc>
          <w:tcPr>
            <w:tcW w:w="1526" w:type="dxa"/>
            <w:vMerge/>
            <w:tcBorders>
              <w:left w:val="single" w:color="auto" w:sz="4" w:space="0"/>
              <w:right w:val="single" w:color="auto" w:sz="4" w:space="0"/>
            </w:tcBorders>
            <w:shd w:val="clear" w:color="auto" w:fill="D9D9D9" w:themeFill="background1" w:themeFillShade="D9"/>
            <w:vAlign w:val="center"/>
          </w:tcPr>
          <w:p w:rsidRPr="007A580F" w:rsidR="00131EFF" w:rsidP="00317B65" w:rsidRDefault="00131EFF" w14:paraId="1A11BC45" w14:textId="77777777">
            <w:pPr>
              <w:rPr>
                <w:rFonts w:cstheme="minorHAnsi"/>
                <w:sz w:val="21"/>
                <w:szCs w:val="21"/>
              </w:rPr>
            </w:pPr>
          </w:p>
        </w:tc>
        <w:tc>
          <w:tcPr>
            <w:tcW w:w="567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841662" w:rsidR="00131EFF" w:rsidP="00317B65" w:rsidRDefault="00131EFF" w14:paraId="357065AE" w14:textId="77777777">
            <w:pPr>
              <w:rPr>
                <w:sz w:val="21"/>
                <w:szCs w:val="21"/>
              </w:rPr>
            </w:pPr>
            <w:r w:rsidRPr="00841662">
              <w:rPr>
                <w:sz w:val="21"/>
                <w:szCs w:val="21"/>
              </w:rPr>
              <w:t>Number of measured compressors (during the current year and 2 previous years) from which the reporter EF was developed</w:t>
            </w:r>
          </w:p>
        </w:tc>
        <w:tc>
          <w:tcPr>
            <w:tcW w:w="72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00131EFF" w:rsidP="00317B65" w:rsidRDefault="00131EFF" w14:paraId="33F98A0C" w14:textId="77777777">
            <w:pPr>
              <w:jc w:val="center"/>
              <w:rPr>
                <w:rFonts w:cs="Calibri"/>
                <w:sz w:val="21"/>
                <w:szCs w:val="21"/>
              </w:rPr>
            </w:pPr>
            <w:r w:rsidRPr="00841662">
              <w:rPr>
                <w:rFonts w:cs="Calibri"/>
                <w:sz w:val="21"/>
                <w:szCs w:val="21"/>
              </w:rPr>
              <w:t>X</w:t>
            </w:r>
          </w:p>
        </w:tc>
      </w:tr>
      <w:tr w:rsidRPr="007A580F" w:rsidR="00131EFF" w:rsidTr="00C76707" w14:paraId="0A26DAAA" w14:textId="77777777">
        <w:trPr>
          <w:trHeight w:val="242"/>
          <w:jc w:val="center"/>
        </w:trPr>
        <w:tc>
          <w:tcPr>
            <w:tcW w:w="1440" w:type="dxa"/>
            <w:vMerge w:val="restart"/>
            <w:tcBorders>
              <w:left w:val="single" w:color="auto" w:sz="4" w:space="0"/>
              <w:right w:val="single" w:color="auto" w:sz="4" w:space="0"/>
            </w:tcBorders>
            <w:shd w:val="clear" w:color="auto" w:fill="auto"/>
            <w:vAlign w:val="center"/>
          </w:tcPr>
          <w:p w:rsidR="00131EFF" w:rsidP="00317B65" w:rsidRDefault="00131EFF" w14:paraId="7756CD01" w14:textId="77777777">
            <w:pPr>
              <w:rPr>
                <w:rFonts w:cstheme="minorHAnsi"/>
                <w:sz w:val="21"/>
                <w:szCs w:val="21"/>
              </w:rPr>
            </w:pPr>
            <w:r w:rsidRPr="0034140D">
              <w:rPr>
                <w:rFonts w:cstheme="minorHAnsi"/>
                <w:sz w:val="21"/>
                <w:szCs w:val="21"/>
              </w:rPr>
              <w:t xml:space="preserve">Leak inspection and </w:t>
            </w:r>
            <w:r>
              <w:rPr>
                <w:rFonts w:cstheme="minorHAnsi"/>
                <w:sz w:val="21"/>
                <w:szCs w:val="21"/>
              </w:rPr>
              <w:t>repair / replacement</w:t>
            </w:r>
            <w:r w:rsidRPr="0034140D">
              <w:rPr>
                <w:rFonts w:cstheme="minorHAnsi"/>
                <w:sz w:val="21"/>
                <w:szCs w:val="21"/>
              </w:rPr>
              <w:t xml:space="preserve"> </w:t>
            </w:r>
            <w:r w:rsidRPr="0034140D">
              <w:rPr>
                <w:rFonts w:cstheme="minorHAnsi"/>
                <w:sz w:val="21"/>
                <w:szCs w:val="21"/>
              </w:rPr>
              <w:lastRenderedPageBreak/>
              <w:t>program details</w:t>
            </w:r>
          </w:p>
        </w:tc>
        <w:tc>
          <w:tcPr>
            <w:tcW w:w="1526" w:type="dxa"/>
            <w:vMerge w:val="restart"/>
            <w:tcBorders>
              <w:top w:val="single" w:color="auto" w:sz="4" w:space="0"/>
              <w:left w:val="single" w:color="auto" w:sz="4" w:space="0"/>
              <w:right w:val="single" w:color="auto" w:sz="4" w:space="0"/>
            </w:tcBorders>
            <w:shd w:val="clear" w:color="auto" w:fill="auto"/>
            <w:vAlign w:val="center"/>
          </w:tcPr>
          <w:p w:rsidRPr="007A580F" w:rsidR="00131EFF" w:rsidP="00317B65" w:rsidRDefault="00131EFF" w14:paraId="58038D95" w14:textId="77777777">
            <w:pPr>
              <w:rPr>
                <w:rFonts w:cstheme="minorHAnsi"/>
                <w:sz w:val="21"/>
                <w:szCs w:val="21"/>
              </w:rPr>
            </w:pPr>
            <w:r>
              <w:rPr>
                <w:rFonts w:cstheme="minorHAnsi"/>
                <w:sz w:val="21"/>
                <w:szCs w:val="21"/>
              </w:rPr>
              <w:lastRenderedPageBreak/>
              <w:t>NA</w:t>
            </w:r>
          </w:p>
        </w:tc>
        <w:tc>
          <w:tcPr>
            <w:tcW w:w="5674" w:type="dxa"/>
            <w:tcBorders>
              <w:top w:val="single" w:color="auto" w:sz="4" w:space="0"/>
              <w:left w:val="single" w:color="auto" w:sz="4" w:space="0"/>
              <w:bottom w:val="single" w:color="auto" w:sz="4" w:space="0"/>
              <w:right w:val="single" w:color="auto" w:sz="4" w:space="0"/>
            </w:tcBorders>
            <w:shd w:val="clear" w:color="auto" w:fill="auto"/>
            <w:vAlign w:val="center"/>
          </w:tcPr>
          <w:p w:rsidRPr="00841662" w:rsidR="00131EFF" w:rsidP="00317B65" w:rsidRDefault="00131EFF" w14:paraId="1B5B6E77" w14:textId="77777777">
            <w:pPr>
              <w:rPr>
                <w:sz w:val="21"/>
                <w:szCs w:val="21"/>
              </w:rPr>
            </w:pPr>
            <w:r>
              <w:rPr>
                <w:rFonts w:cs="Calibri" w:asciiTheme="minorHAnsi" w:hAnsiTheme="minorHAnsi"/>
                <w:sz w:val="21"/>
                <w:szCs w:val="21"/>
              </w:rPr>
              <w:t>Number of</w:t>
            </w:r>
            <w:r w:rsidRPr="00841662">
              <w:rPr>
                <w:rFonts w:cs="Calibri" w:asciiTheme="minorHAnsi" w:hAnsiTheme="minorHAnsi"/>
                <w:sz w:val="21"/>
                <w:szCs w:val="21"/>
              </w:rPr>
              <w:t xml:space="preserve"> </w:t>
            </w:r>
            <w:r>
              <w:rPr>
                <w:rFonts w:cs="Calibri" w:asciiTheme="minorHAnsi" w:hAnsiTheme="minorHAnsi"/>
                <w:sz w:val="21"/>
                <w:szCs w:val="21"/>
              </w:rPr>
              <w:t>surveys at this facility during the calendar year</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00131EFF" w:rsidP="00317B65" w:rsidRDefault="00131EFF" w14:paraId="1DA97CD6" w14:textId="77777777">
            <w:pPr>
              <w:jc w:val="center"/>
              <w:rPr>
                <w:rFonts w:cs="Calibri"/>
                <w:sz w:val="21"/>
                <w:szCs w:val="21"/>
              </w:rPr>
            </w:pPr>
          </w:p>
        </w:tc>
      </w:tr>
      <w:tr w:rsidRPr="007A580F" w:rsidR="00131EFF" w:rsidTr="00C76707" w14:paraId="535B73CD" w14:textId="77777777">
        <w:trPr>
          <w:trHeight w:val="242"/>
          <w:jc w:val="center"/>
        </w:trPr>
        <w:tc>
          <w:tcPr>
            <w:tcW w:w="1440" w:type="dxa"/>
            <w:vMerge/>
            <w:tcBorders>
              <w:left w:val="single" w:color="auto" w:sz="4" w:space="0"/>
              <w:right w:val="single" w:color="auto" w:sz="4" w:space="0"/>
            </w:tcBorders>
            <w:shd w:val="clear" w:color="auto" w:fill="auto"/>
            <w:vAlign w:val="center"/>
          </w:tcPr>
          <w:p w:rsidR="00131EFF" w:rsidP="00317B65" w:rsidRDefault="00131EFF" w14:paraId="0F9F52B9" w14:textId="77777777">
            <w:pPr>
              <w:rPr>
                <w:rFonts w:cstheme="minorHAnsi"/>
                <w:sz w:val="21"/>
                <w:szCs w:val="21"/>
              </w:rPr>
            </w:pPr>
          </w:p>
        </w:tc>
        <w:tc>
          <w:tcPr>
            <w:tcW w:w="1526" w:type="dxa"/>
            <w:vMerge/>
            <w:tcBorders>
              <w:left w:val="single" w:color="auto" w:sz="4" w:space="0"/>
              <w:right w:val="single" w:color="auto" w:sz="4" w:space="0"/>
            </w:tcBorders>
            <w:shd w:val="clear" w:color="auto" w:fill="auto"/>
            <w:vAlign w:val="center"/>
          </w:tcPr>
          <w:p w:rsidRPr="007A580F" w:rsidR="00131EFF" w:rsidP="00317B65" w:rsidRDefault="00131EFF" w14:paraId="6E354810" w14:textId="77777777">
            <w:pPr>
              <w:rPr>
                <w:rFonts w:cstheme="minorHAnsi"/>
                <w:sz w:val="21"/>
                <w:szCs w:val="21"/>
              </w:rPr>
            </w:pPr>
          </w:p>
        </w:tc>
        <w:tc>
          <w:tcPr>
            <w:tcW w:w="5674" w:type="dxa"/>
            <w:tcBorders>
              <w:top w:val="single" w:color="auto" w:sz="4" w:space="0"/>
              <w:left w:val="single" w:color="auto" w:sz="4" w:space="0"/>
              <w:bottom w:val="single" w:color="auto" w:sz="4" w:space="0"/>
              <w:right w:val="single" w:color="auto" w:sz="4" w:space="0"/>
            </w:tcBorders>
            <w:shd w:val="clear" w:color="auto" w:fill="auto"/>
            <w:vAlign w:val="center"/>
          </w:tcPr>
          <w:p w:rsidRPr="00841662" w:rsidR="00131EFF" w:rsidP="00317B65" w:rsidRDefault="00131EFF" w14:paraId="0D1A8B3F" w14:textId="77777777">
            <w:pPr>
              <w:rPr>
                <w:rFonts w:cs="Calibri"/>
                <w:sz w:val="21"/>
                <w:szCs w:val="21"/>
              </w:rPr>
            </w:pPr>
            <w:r>
              <w:rPr>
                <w:rFonts w:cs="Calibri" w:asciiTheme="minorHAnsi" w:hAnsiTheme="minorHAnsi"/>
                <w:sz w:val="21"/>
                <w:szCs w:val="21"/>
              </w:rPr>
              <w:t xml:space="preserve">How many compressors at this facility were surveyed this year? </w:t>
            </w:r>
            <w:r w:rsidRPr="00841662">
              <w:rPr>
                <w:rFonts w:cs="Calibri" w:asciiTheme="minorHAnsi" w:hAnsiTheme="minorHAnsi"/>
                <w:sz w:val="21"/>
                <w:szCs w:val="21"/>
              </w:rPr>
              <w:t xml:space="preserve"> </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00131EFF" w:rsidP="00317B65" w:rsidRDefault="00131EFF" w14:paraId="4E5CA60F" w14:textId="77777777">
            <w:pPr>
              <w:jc w:val="center"/>
              <w:rPr>
                <w:rFonts w:cs="Calibri"/>
                <w:sz w:val="21"/>
                <w:szCs w:val="21"/>
              </w:rPr>
            </w:pPr>
          </w:p>
        </w:tc>
      </w:tr>
      <w:tr w:rsidRPr="007A580F" w:rsidR="00131EFF" w:rsidTr="00C76707" w14:paraId="61D691E3" w14:textId="77777777">
        <w:trPr>
          <w:trHeight w:val="242"/>
          <w:jc w:val="center"/>
        </w:trPr>
        <w:tc>
          <w:tcPr>
            <w:tcW w:w="1440" w:type="dxa"/>
            <w:vMerge/>
            <w:tcBorders>
              <w:left w:val="single" w:color="auto" w:sz="4" w:space="0"/>
              <w:right w:val="single" w:color="auto" w:sz="4" w:space="0"/>
            </w:tcBorders>
            <w:shd w:val="clear" w:color="auto" w:fill="auto"/>
            <w:vAlign w:val="center"/>
          </w:tcPr>
          <w:p w:rsidR="00131EFF" w:rsidP="00317B65" w:rsidRDefault="00131EFF" w14:paraId="76765DF4" w14:textId="77777777">
            <w:pPr>
              <w:rPr>
                <w:rFonts w:cstheme="minorHAnsi"/>
                <w:sz w:val="21"/>
                <w:szCs w:val="21"/>
              </w:rPr>
            </w:pPr>
          </w:p>
        </w:tc>
        <w:tc>
          <w:tcPr>
            <w:tcW w:w="1526" w:type="dxa"/>
            <w:vMerge/>
            <w:tcBorders>
              <w:left w:val="single" w:color="auto" w:sz="4" w:space="0"/>
              <w:right w:val="single" w:color="auto" w:sz="4" w:space="0"/>
            </w:tcBorders>
            <w:shd w:val="clear" w:color="auto" w:fill="auto"/>
            <w:vAlign w:val="center"/>
          </w:tcPr>
          <w:p w:rsidRPr="007A580F" w:rsidR="00131EFF" w:rsidP="00317B65" w:rsidRDefault="00131EFF" w14:paraId="35FF5BB8" w14:textId="77777777">
            <w:pPr>
              <w:rPr>
                <w:rFonts w:cstheme="minorHAnsi"/>
                <w:sz w:val="21"/>
                <w:szCs w:val="21"/>
              </w:rPr>
            </w:pPr>
          </w:p>
        </w:tc>
        <w:tc>
          <w:tcPr>
            <w:tcW w:w="5674" w:type="dxa"/>
            <w:tcBorders>
              <w:top w:val="single" w:color="auto" w:sz="4" w:space="0"/>
              <w:left w:val="single" w:color="auto" w:sz="4" w:space="0"/>
              <w:bottom w:val="single" w:color="auto" w:sz="4" w:space="0"/>
              <w:right w:val="single" w:color="auto" w:sz="4" w:space="0"/>
            </w:tcBorders>
            <w:shd w:val="clear" w:color="auto" w:fill="auto"/>
            <w:vAlign w:val="center"/>
          </w:tcPr>
          <w:p w:rsidRPr="00841662" w:rsidR="00131EFF" w:rsidP="00317B65" w:rsidRDefault="00131EFF" w14:paraId="206E61E9" w14:textId="77777777">
            <w:pPr>
              <w:rPr>
                <w:rFonts w:cs="Calibri"/>
                <w:sz w:val="21"/>
                <w:szCs w:val="21"/>
              </w:rPr>
            </w:pPr>
            <w:r>
              <w:rPr>
                <w:rFonts w:cs="Calibri"/>
                <w:sz w:val="21"/>
                <w:szCs w:val="21"/>
              </w:rPr>
              <w:t xml:space="preserve">How many vents indicated valve leakage this year?   </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00131EFF" w:rsidP="00317B65" w:rsidRDefault="00131EFF" w14:paraId="45AEE6BC" w14:textId="77777777">
            <w:pPr>
              <w:jc w:val="center"/>
              <w:rPr>
                <w:rFonts w:cs="Calibri"/>
                <w:sz w:val="21"/>
                <w:szCs w:val="21"/>
              </w:rPr>
            </w:pPr>
          </w:p>
        </w:tc>
      </w:tr>
      <w:tr w:rsidRPr="007A580F" w:rsidR="00131EFF" w:rsidTr="00C76707" w14:paraId="0AE1601C" w14:textId="77777777">
        <w:trPr>
          <w:trHeight w:val="242"/>
          <w:jc w:val="center"/>
        </w:trPr>
        <w:tc>
          <w:tcPr>
            <w:tcW w:w="1440" w:type="dxa"/>
            <w:vMerge/>
            <w:tcBorders>
              <w:left w:val="single" w:color="auto" w:sz="4" w:space="0"/>
              <w:right w:val="single" w:color="auto" w:sz="4" w:space="0"/>
            </w:tcBorders>
            <w:shd w:val="clear" w:color="auto" w:fill="auto"/>
            <w:vAlign w:val="center"/>
          </w:tcPr>
          <w:p w:rsidR="00131EFF" w:rsidP="00317B65" w:rsidRDefault="00131EFF" w14:paraId="7FA79843" w14:textId="77777777">
            <w:pPr>
              <w:rPr>
                <w:rFonts w:cstheme="minorHAnsi"/>
                <w:sz w:val="21"/>
                <w:szCs w:val="21"/>
              </w:rPr>
            </w:pPr>
          </w:p>
        </w:tc>
        <w:tc>
          <w:tcPr>
            <w:tcW w:w="1526" w:type="dxa"/>
            <w:vMerge/>
            <w:tcBorders>
              <w:left w:val="single" w:color="auto" w:sz="4" w:space="0"/>
              <w:right w:val="single" w:color="auto" w:sz="4" w:space="0"/>
            </w:tcBorders>
            <w:shd w:val="clear" w:color="auto" w:fill="auto"/>
            <w:vAlign w:val="center"/>
          </w:tcPr>
          <w:p w:rsidRPr="007A580F" w:rsidR="00131EFF" w:rsidP="00317B65" w:rsidRDefault="00131EFF" w14:paraId="5B894AA2" w14:textId="77777777">
            <w:pPr>
              <w:rPr>
                <w:rFonts w:cstheme="minorHAnsi"/>
                <w:sz w:val="21"/>
                <w:szCs w:val="21"/>
              </w:rPr>
            </w:pPr>
          </w:p>
        </w:tc>
        <w:tc>
          <w:tcPr>
            <w:tcW w:w="5674" w:type="dxa"/>
            <w:tcBorders>
              <w:top w:val="single" w:color="auto" w:sz="4" w:space="0"/>
              <w:left w:val="single" w:color="auto" w:sz="4" w:space="0"/>
              <w:bottom w:val="single" w:color="auto" w:sz="4" w:space="0"/>
              <w:right w:val="single" w:color="auto" w:sz="4" w:space="0"/>
            </w:tcBorders>
            <w:shd w:val="clear" w:color="auto" w:fill="auto"/>
            <w:vAlign w:val="center"/>
          </w:tcPr>
          <w:p w:rsidR="00131EFF" w:rsidP="00317B65" w:rsidRDefault="00131EFF" w14:paraId="3D011247" w14:textId="77777777">
            <w:pPr>
              <w:rPr>
                <w:rFonts w:cs="Calibri"/>
                <w:sz w:val="21"/>
                <w:szCs w:val="21"/>
              </w:rPr>
            </w:pPr>
            <w:r>
              <w:rPr>
                <w:rFonts w:cs="Calibri"/>
                <w:sz w:val="21"/>
                <w:szCs w:val="21"/>
              </w:rPr>
              <w:t xml:space="preserve">How many leaking isolation valves were repaired or replaced this year? </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00131EFF" w:rsidP="00317B65" w:rsidRDefault="00131EFF" w14:paraId="6D26F712" w14:textId="77777777">
            <w:pPr>
              <w:jc w:val="center"/>
              <w:rPr>
                <w:rFonts w:cs="Calibri"/>
                <w:sz w:val="21"/>
                <w:szCs w:val="21"/>
              </w:rPr>
            </w:pPr>
          </w:p>
        </w:tc>
      </w:tr>
      <w:tr w:rsidRPr="007A580F" w:rsidR="00131EFF" w:rsidTr="00C76707" w14:paraId="6329D498" w14:textId="77777777">
        <w:trPr>
          <w:trHeight w:val="242"/>
          <w:jc w:val="center"/>
        </w:trPr>
        <w:tc>
          <w:tcPr>
            <w:tcW w:w="1440" w:type="dxa"/>
            <w:vMerge/>
            <w:tcBorders>
              <w:left w:val="single" w:color="auto" w:sz="4" w:space="0"/>
              <w:right w:val="single" w:color="auto" w:sz="4" w:space="0"/>
            </w:tcBorders>
            <w:shd w:val="clear" w:color="auto" w:fill="auto"/>
            <w:vAlign w:val="center"/>
          </w:tcPr>
          <w:p w:rsidR="00131EFF" w:rsidP="00317B65" w:rsidRDefault="00131EFF" w14:paraId="0330BB50" w14:textId="77777777">
            <w:pPr>
              <w:rPr>
                <w:rFonts w:cstheme="minorHAnsi"/>
                <w:sz w:val="21"/>
                <w:szCs w:val="21"/>
              </w:rPr>
            </w:pPr>
          </w:p>
        </w:tc>
        <w:tc>
          <w:tcPr>
            <w:tcW w:w="1526" w:type="dxa"/>
            <w:vMerge/>
            <w:tcBorders>
              <w:left w:val="single" w:color="auto" w:sz="4" w:space="0"/>
              <w:right w:val="single" w:color="auto" w:sz="4" w:space="0"/>
            </w:tcBorders>
            <w:shd w:val="clear" w:color="auto" w:fill="auto"/>
            <w:vAlign w:val="center"/>
          </w:tcPr>
          <w:p w:rsidRPr="007A580F" w:rsidR="00131EFF" w:rsidP="00317B65" w:rsidRDefault="00131EFF" w14:paraId="7F8E94D2" w14:textId="77777777">
            <w:pPr>
              <w:rPr>
                <w:rFonts w:cstheme="minorHAnsi"/>
                <w:sz w:val="21"/>
                <w:szCs w:val="21"/>
              </w:rPr>
            </w:pPr>
          </w:p>
        </w:tc>
        <w:tc>
          <w:tcPr>
            <w:tcW w:w="5674" w:type="dxa"/>
            <w:tcBorders>
              <w:top w:val="single" w:color="auto" w:sz="4" w:space="0"/>
              <w:left w:val="single" w:color="auto" w:sz="4" w:space="0"/>
              <w:bottom w:val="single" w:color="auto" w:sz="4" w:space="0"/>
              <w:right w:val="single" w:color="auto" w:sz="4" w:space="0"/>
            </w:tcBorders>
            <w:shd w:val="clear" w:color="auto" w:fill="auto"/>
            <w:vAlign w:val="center"/>
          </w:tcPr>
          <w:p w:rsidR="00131EFF" w:rsidP="00317B65" w:rsidRDefault="00131EFF" w14:paraId="1BF0354E" w14:textId="77777777">
            <w:pPr>
              <w:rPr>
                <w:rFonts w:cs="Calibri"/>
                <w:sz w:val="21"/>
                <w:szCs w:val="21"/>
              </w:rPr>
            </w:pPr>
            <w:r>
              <w:rPr>
                <w:rFonts w:cs="Calibri"/>
                <w:sz w:val="21"/>
                <w:szCs w:val="21"/>
              </w:rPr>
              <w:t>How many leaking blowdown valves were repaired or replaced this year?</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00131EFF" w:rsidP="00317B65" w:rsidRDefault="00131EFF" w14:paraId="6939A2DD" w14:textId="77777777">
            <w:pPr>
              <w:jc w:val="center"/>
              <w:rPr>
                <w:rFonts w:cs="Calibri"/>
                <w:sz w:val="21"/>
                <w:szCs w:val="21"/>
              </w:rPr>
            </w:pPr>
          </w:p>
        </w:tc>
      </w:tr>
      <w:tr w:rsidRPr="007A580F" w:rsidR="00131EFF" w:rsidTr="00C76707" w14:paraId="28519C8B" w14:textId="77777777">
        <w:trPr>
          <w:trHeight w:val="242"/>
          <w:jc w:val="center"/>
        </w:trPr>
        <w:tc>
          <w:tcPr>
            <w:tcW w:w="1440" w:type="dxa"/>
            <w:vMerge/>
            <w:tcBorders>
              <w:left w:val="single" w:color="auto" w:sz="4" w:space="0"/>
              <w:right w:val="single" w:color="auto" w:sz="4" w:space="0"/>
            </w:tcBorders>
            <w:shd w:val="clear" w:color="auto" w:fill="auto"/>
            <w:vAlign w:val="center"/>
          </w:tcPr>
          <w:p w:rsidR="00131EFF" w:rsidP="00317B65" w:rsidRDefault="00131EFF" w14:paraId="56CDC307" w14:textId="77777777">
            <w:pPr>
              <w:rPr>
                <w:rFonts w:cstheme="minorHAnsi"/>
                <w:sz w:val="21"/>
                <w:szCs w:val="21"/>
              </w:rPr>
            </w:pPr>
          </w:p>
        </w:tc>
        <w:tc>
          <w:tcPr>
            <w:tcW w:w="1526" w:type="dxa"/>
            <w:vMerge/>
            <w:tcBorders>
              <w:left w:val="single" w:color="auto" w:sz="4" w:space="0"/>
              <w:right w:val="single" w:color="auto" w:sz="4" w:space="0"/>
            </w:tcBorders>
            <w:shd w:val="clear" w:color="auto" w:fill="auto"/>
            <w:vAlign w:val="center"/>
          </w:tcPr>
          <w:p w:rsidRPr="007A580F" w:rsidR="00131EFF" w:rsidP="00317B65" w:rsidRDefault="00131EFF" w14:paraId="2EBFCE64" w14:textId="77777777">
            <w:pPr>
              <w:rPr>
                <w:rFonts w:cstheme="minorHAnsi"/>
                <w:sz w:val="21"/>
                <w:szCs w:val="21"/>
              </w:rPr>
            </w:pPr>
          </w:p>
        </w:tc>
        <w:tc>
          <w:tcPr>
            <w:tcW w:w="5674" w:type="dxa"/>
            <w:tcBorders>
              <w:top w:val="single" w:color="auto" w:sz="4" w:space="0"/>
              <w:left w:val="single" w:color="auto" w:sz="4" w:space="0"/>
              <w:bottom w:val="single" w:color="auto" w:sz="4" w:space="0"/>
              <w:right w:val="single" w:color="auto" w:sz="4" w:space="0"/>
            </w:tcBorders>
            <w:shd w:val="clear" w:color="auto" w:fill="auto"/>
            <w:vAlign w:val="center"/>
          </w:tcPr>
          <w:p w:rsidR="00131EFF" w:rsidP="00317B65" w:rsidRDefault="00131EFF" w14:paraId="0F5DACEB" w14:textId="77777777">
            <w:pPr>
              <w:rPr>
                <w:rFonts w:cs="Calibri"/>
                <w:sz w:val="21"/>
                <w:szCs w:val="21"/>
              </w:rPr>
            </w:pPr>
            <w:r>
              <w:rPr>
                <w:rFonts w:cs="Calibri"/>
                <w:sz w:val="21"/>
                <w:szCs w:val="21"/>
              </w:rPr>
              <w:t xml:space="preserve">How many leaking isolation valves were routed to </w:t>
            </w:r>
            <w:r w:rsidRPr="00A6540C">
              <w:rPr>
                <w:rFonts w:cs="Calibri" w:eastAsiaTheme="minorEastAsia"/>
                <w:color w:val="000000"/>
              </w:rPr>
              <w:t>a capture system for beneficial use</w:t>
            </w:r>
            <w:r>
              <w:rPr>
                <w:rFonts w:cs="Calibri" w:eastAsiaTheme="minorEastAsia"/>
                <w:color w:val="000000"/>
              </w:rPr>
              <w:t>?</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00131EFF" w:rsidP="00317B65" w:rsidRDefault="00131EFF" w14:paraId="17BF7E01" w14:textId="77777777">
            <w:pPr>
              <w:jc w:val="center"/>
              <w:rPr>
                <w:rFonts w:cs="Calibri"/>
                <w:sz w:val="21"/>
                <w:szCs w:val="21"/>
              </w:rPr>
            </w:pPr>
          </w:p>
        </w:tc>
      </w:tr>
      <w:tr w:rsidRPr="007A580F" w:rsidR="00131EFF" w:rsidTr="00C76707" w14:paraId="6BDD5329" w14:textId="77777777">
        <w:trPr>
          <w:trHeight w:val="242"/>
          <w:jc w:val="center"/>
        </w:trPr>
        <w:tc>
          <w:tcPr>
            <w:tcW w:w="1440" w:type="dxa"/>
            <w:vMerge/>
            <w:tcBorders>
              <w:left w:val="single" w:color="auto" w:sz="4" w:space="0"/>
              <w:right w:val="single" w:color="auto" w:sz="4" w:space="0"/>
            </w:tcBorders>
            <w:shd w:val="clear" w:color="auto" w:fill="auto"/>
            <w:vAlign w:val="center"/>
          </w:tcPr>
          <w:p w:rsidR="00131EFF" w:rsidP="00317B65" w:rsidRDefault="00131EFF" w14:paraId="5DEF5277" w14:textId="77777777">
            <w:pPr>
              <w:rPr>
                <w:rFonts w:cstheme="minorHAnsi"/>
                <w:sz w:val="21"/>
                <w:szCs w:val="21"/>
              </w:rPr>
            </w:pPr>
          </w:p>
        </w:tc>
        <w:tc>
          <w:tcPr>
            <w:tcW w:w="1526" w:type="dxa"/>
            <w:vMerge/>
            <w:tcBorders>
              <w:left w:val="single" w:color="auto" w:sz="4" w:space="0"/>
              <w:right w:val="single" w:color="auto" w:sz="4" w:space="0"/>
            </w:tcBorders>
            <w:shd w:val="clear" w:color="auto" w:fill="auto"/>
            <w:vAlign w:val="center"/>
          </w:tcPr>
          <w:p w:rsidRPr="007A580F" w:rsidR="00131EFF" w:rsidP="00317B65" w:rsidRDefault="00131EFF" w14:paraId="413B947E" w14:textId="77777777">
            <w:pPr>
              <w:rPr>
                <w:rFonts w:cstheme="minorHAnsi"/>
                <w:sz w:val="21"/>
                <w:szCs w:val="21"/>
              </w:rPr>
            </w:pPr>
          </w:p>
        </w:tc>
        <w:tc>
          <w:tcPr>
            <w:tcW w:w="5674" w:type="dxa"/>
            <w:tcBorders>
              <w:top w:val="single" w:color="auto" w:sz="4" w:space="0"/>
              <w:left w:val="single" w:color="auto" w:sz="4" w:space="0"/>
              <w:bottom w:val="single" w:color="auto" w:sz="4" w:space="0"/>
              <w:right w:val="single" w:color="auto" w:sz="4" w:space="0"/>
            </w:tcBorders>
            <w:shd w:val="clear" w:color="auto" w:fill="auto"/>
            <w:vAlign w:val="center"/>
          </w:tcPr>
          <w:p w:rsidRPr="00C90A8A" w:rsidR="00131EFF" w:rsidP="00317B65" w:rsidRDefault="00131EFF" w14:paraId="25BC89E1" w14:textId="77777777">
            <w:pPr>
              <w:rPr>
                <w:rFonts w:cs="Calibri"/>
                <w:sz w:val="21"/>
                <w:szCs w:val="21"/>
              </w:rPr>
            </w:pPr>
            <w:r w:rsidRPr="00C90A8A">
              <w:rPr>
                <w:rFonts w:cs="Calibri"/>
                <w:sz w:val="21"/>
                <w:szCs w:val="21"/>
              </w:rPr>
              <w:t xml:space="preserve">How many leaking blowdown valves were routed to </w:t>
            </w:r>
            <w:r w:rsidRPr="00644705">
              <w:rPr>
                <w:rFonts w:cs="Calibri" w:eastAsiaTheme="minorEastAsia"/>
                <w:color w:val="000000"/>
                <w:sz w:val="21"/>
                <w:szCs w:val="21"/>
              </w:rPr>
              <w:t>a capture system for beneficial use?</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00131EFF" w:rsidP="00317B65" w:rsidRDefault="00131EFF" w14:paraId="4D0249FD" w14:textId="77777777">
            <w:pPr>
              <w:jc w:val="center"/>
              <w:rPr>
                <w:rFonts w:cs="Calibri"/>
                <w:sz w:val="21"/>
                <w:szCs w:val="21"/>
              </w:rPr>
            </w:pPr>
          </w:p>
        </w:tc>
      </w:tr>
      <w:tr w:rsidRPr="007A580F" w:rsidR="00131EFF" w:rsidTr="00C76707" w14:paraId="3FF7F2F4" w14:textId="77777777">
        <w:trPr>
          <w:trHeight w:val="242"/>
          <w:jc w:val="center"/>
        </w:trPr>
        <w:tc>
          <w:tcPr>
            <w:tcW w:w="1440" w:type="dxa"/>
            <w:vMerge/>
            <w:tcBorders>
              <w:left w:val="single" w:color="auto" w:sz="4" w:space="0"/>
              <w:right w:val="single" w:color="auto" w:sz="4" w:space="0"/>
            </w:tcBorders>
            <w:shd w:val="clear" w:color="auto" w:fill="auto"/>
            <w:vAlign w:val="center"/>
          </w:tcPr>
          <w:p w:rsidR="00131EFF" w:rsidP="00317B65" w:rsidRDefault="00131EFF" w14:paraId="24CC4D73" w14:textId="77777777">
            <w:pPr>
              <w:rPr>
                <w:rFonts w:cstheme="minorHAnsi"/>
                <w:sz w:val="21"/>
                <w:szCs w:val="21"/>
              </w:rPr>
            </w:pPr>
          </w:p>
        </w:tc>
        <w:tc>
          <w:tcPr>
            <w:tcW w:w="1526" w:type="dxa"/>
            <w:vMerge/>
            <w:tcBorders>
              <w:left w:val="single" w:color="auto" w:sz="4" w:space="0"/>
              <w:right w:val="single" w:color="auto" w:sz="4" w:space="0"/>
            </w:tcBorders>
            <w:shd w:val="clear" w:color="auto" w:fill="auto"/>
            <w:vAlign w:val="center"/>
          </w:tcPr>
          <w:p w:rsidRPr="007A580F" w:rsidR="00131EFF" w:rsidP="00317B65" w:rsidRDefault="00131EFF" w14:paraId="4CC3EA80" w14:textId="77777777">
            <w:pPr>
              <w:rPr>
                <w:rFonts w:cstheme="minorHAnsi"/>
                <w:sz w:val="21"/>
                <w:szCs w:val="21"/>
              </w:rPr>
            </w:pPr>
          </w:p>
        </w:tc>
        <w:tc>
          <w:tcPr>
            <w:tcW w:w="5674" w:type="dxa"/>
            <w:tcBorders>
              <w:top w:val="single" w:color="auto" w:sz="4" w:space="0"/>
              <w:left w:val="single" w:color="auto" w:sz="4" w:space="0"/>
              <w:bottom w:val="single" w:color="auto" w:sz="4" w:space="0"/>
              <w:right w:val="single" w:color="auto" w:sz="4" w:space="0"/>
            </w:tcBorders>
            <w:shd w:val="clear" w:color="auto" w:fill="auto"/>
            <w:vAlign w:val="center"/>
          </w:tcPr>
          <w:p w:rsidRPr="00C90A8A" w:rsidR="00131EFF" w:rsidP="00317B65" w:rsidRDefault="00131EFF" w14:paraId="13081369" w14:textId="77777777">
            <w:pPr>
              <w:rPr>
                <w:rFonts w:cs="Calibri"/>
                <w:sz w:val="21"/>
                <w:szCs w:val="21"/>
              </w:rPr>
            </w:pPr>
            <w:r w:rsidRPr="00C90A8A">
              <w:rPr>
                <w:rFonts w:cs="Calibri"/>
                <w:sz w:val="21"/>
                <w:szCs w:val="21"/>
              </w:rPr>
              <w:t xml:space="preserve">How many leaking isolation valves were routed </w:t>
            </w:r>
            <w:r w:rsidRPr="00644705">
              <w:rPr>
                <w:rFonts w:cs="Calibri" w:eastAsiaTheme="minorEastAsia"/>
                <w:color w:val="000000"/>
                <w:sz w:val="21"/>
                <w:szCs w:val="21"/>
              </w:rPr>
              <w:t xml:space="preserve">to flare </w:t>
            </w:r>
            <w:r w:rsidRPr="00644705">
              <w:rPr>
                <w:rFonts w:cs="Calibri" w:eastAsiaTheme="minorEastAsia"/>
                <w:sz w:val="21"/>
                <w:szCs w:val="21"/>
              </w:rPr>
              <w:t xml:space="preserve">or </w:t>
            </w:r>
            <w:r w:rsidRPr="00644705">
              <w:rPr>
                <w:sz w:val="21"/>
                <w:szCs w:val="21"/>
              </w:rPr>
              <w:t>control device?</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00131EFF" w:rsidP="00317B65" w:rsidRDefault="00131EFF" w14:paraId="37DD4DA1" w14:textId="77777777">
            <w:pPr>
              <w:jc w:val="center"/>
              <w:rPr>
                <w:rFonts w:cs="Calibri"/>
                <w:sz w:val="21"/>
                <w:szCs w:val="21"/>
              </w:rPr>
            </w:pPr>
          </w:p>
        </w:tc>
      </w:tr>
      <w:tr w:rsidRPr="007A580F" w:rsidR="00131EFF" w:rsidTr="00C76707" w14:paraId="79B29B3C" w14:textId="77777777">
        <w:trPr>
          <w:trHeight w:val="242"/>
          <w:jc w:val="center"/>
        </w:trPr>
        <w:tc>
          <w:tcPr>
            <w:tcW w:w="1440" w:type="dxa"/>
            <w:vMerge/>
            <w:tcBorders>
              <w:left w:val="single" w:color="auto" w:sz="4" w:space="0"/>
              <w:right w:val="single" w:color="auto" w:sz="4" w:space="0"/>
            </w:tcBorders>
            <w:shd w:val="clear" w:color="auto" w:fill="auto"/>
            <w:vAlign w:val="center"/>
          </w:tcPr>
          <w:p w:rsidR="00131EFF" w:rsidP="00317B65" w:rsidRDefault="00131EFF" w14:paraId="26304FD6" w14:textId="77777777">
            <w:pPr>
              <w:rPr>
                <w:rFonts w:cstheme="minorHAnsi"/>
                <w:sz w:val="21"/>
                <w:szCs w:val="21"/>
              </w:rPr>
            </w:pPr>
          </w:p>
        </w:tc>
        <w:tc>
          <w:tcPr>
            <w:tcW w:w="1526" w:type="dxa"/>
            <w:vMerge/>
            <w:tcBorders>
              <w:left w:val="single" w:color="auto" w:sz="4" w:space="0"/>
              <w:right w:val="single" w:color="auto" w:sz="4" w:space="0"/>
            </w:tcBorders>
            <w:shd w:val="clear" w:color="auto" w:fill="auto"/>
            <w:vAlign w:val="center"/>
          </w:tcPr>
          <w:p w:rsidRPr="007A580F" w:rsidR="00131EFF" w:rsidP="00317B65" w:rsidRDefault="00131EFF" w14:paraId="26738C60" w14:textId="77777777">
            <w:pPr>
              <w:rPr>
                <w:rFonts w:cstheme="minorHAnsi"/>
                <w:sz w:val="21"/>
                <w:szCs w:val="21"/>
              </w:rPr>
            </w:pPr>
          </w:p>
        </w:tc>
        <w:tc>
          <w:tcPr>
            <w:tcW w:w="5674" w:type="dxa"/>
            <w:tcBorders>
              <w:top w:val="single" w:color="auto" w:sz="4" w:space="0"/>
              <w:left w:val="single" w:color="auto" w:sz="4" w:space="0"/>
              <w:bottom w:val="single" w:color="auto" w:sz="4" w:space="0"/>
              <w:right w:val="single" w:color="auto" w:sz="4" w:space="0"/>
            </w:tcBorders>
            <w:shd w:val="clear" w:color="auto" w:fill="auto"/>
            <w:vAlign w:val="center"/>
          </w:tcPr>
          <w:p w:rsidRPr="00C90A8A" w:rsidR="00131EFF" w:rsidP="00317B65" w:rsidRDefault="00131EFF" w14:paraId="39DD0B3A" w14:textId="77777777">
            <w:pPr>
              <w:rPr>
                <w:rFonts w:cs="Calibri"/>
                <w:sz w:val="21"/>
                <w:szCs w:val="21"/>
              </w:rPr>
            </w:pPr>
            <w:r w:rsidRPr="00C90A8A">
              <w:rPr>
                <w:rFonts w:cs="Calibri"/>
                <w:sz w:val="21"/>
                <w:szCs w:val="21"/>
              </w:rPr>
              <w:t xml:space="preserve">How many leaking blowdown valves were routed </w:t>
            </w:r>
            <w:r w:rsidRPr="00644705">
              <w:rPr>
                <w:rFonts w:cs="Calibri" w:eastAsiaTheme="minorEastAsia"/>
                <w:color w:val="000000"/>
                <w:sz w:val="21"/>
                <w:szCs w:val="21"/>
              </w:rPr>
              <w:t xml:space="preserve">to flare </w:t>
            </w:r>
            <w:r w:rsidRPr="00644705">
              <w:rPr>
                <w:rFonts w:cs="Calibri" w:eastAsiaTheme="minorEastAsia"/>
                <w:sz w:val="21"/>
                <w:szCs w:val="21"/>
              </w:rPr>
              <w:t xml:space="preserve">or </w:t>
            </w:r>
            <w:r w:rsidRPr="00644705">
              <w:rPr>
                <w:sz w:val="21"/>
                <w:szCs w:val="21"/>
              </w:rPr>
              <w:t>control device?</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00131EFF" w:rsidP="00317B65" w:rsidRDefault="00131EFF" w14:paraId="70048D6E" w14:textId="77777777">
            <w:pPr>
              <w:jc w:val="center"/>
              <w:rPr>
                <w:rFonts w:cs="Calibri"/>
                <w:sz w:val="21"/>
                <w:szCs w:val="21"/>
              </w:rPr>
            </w:pPr>
          </w:p>
        </w:tc>
      </w:tr>
      <w:tr w:rsidRPr="007A580F" w:rsidR="00131EFF" w:rsidTr="00C76707" w14:paraId="411B3ED5" w14:textId="77777777">
        <w:trPr>
          <w:trHeight w:val="80"/>
          <w:jc w:val="center"/>
        </w:trPr>
        <w:tc>
          <w:tcPr>
            <w:tcW w:w="1440" w:type="dxa"/>
            <w:vMerge/>
            <w:tcBorders>
              <w:left w:val="single" w:color="auto" w:sz="4" w:space="0"/>
              <w:right w:val="single" w:color="auto" w:sz="4" w:space="0"/>
            </w:tcBorders>
            <w:shd w:val="clear" w:color="auto" w:fill="auto"/>
            <w:vAlign w:val="center"/>
          </w:tcPr>
          <w:p w:rsidR="00131EFF" w:rsidP="00317B65" w:rsidRDefault="00131EFF" w14:paraId="53FA4AC0" w14:textId="77777777">
            <w:pPr>
              <w:rPr>
                <w:rFonts w:cstheme="minorHAnsi"/>
                <w:sz w:val="21"/>
                <w:szCs w:val="21"/>
              </w:rPr>
            </w:pPr>
          </w:p>
        </w:tc>
        <w:tc>
          <w:tcPr>
            <w:tcW w:w="1526" w:type="dxa"/>
            <w:vMerge/>
            <w:tcBorders>
              <w:left w:val="single" w:color="auto" w:sz="4" w:space="0"/>
              <w:right w:val="single" w:color="auto" w:sz="4" w:space="0"/>
            </w:tcBorders>
            <w:shd w:val="clear" w:color="auto" w:fill="auto"/>
            <w:vAlign w:val="center"/>
          </w:tcPr>
          <w:p w:rsidRPr="007A580F" w:rsidR="00131EFF" w:rsidP="00317B65" w:rsidRDefault="00131EFF" w14:paraId="44128EA0" w14:textId="77777777">
            <w:pPr>
              <w:rPr>
                <w:rFonts w:cstheme="minorHAnsi"/>
                <w:sz w:val="21"/>
                <w:szCs w:val="21"/>
              </w:rPr>
            </w:pPr>
          </w:p>
        </w:tc>
        <w:tc>
          <w:tcPr>
            <w:tcW w:w="5674" w:type="dxa"/>
            <w:tcBorders>
              <w:top w:val="single" w:color="auto" w:sz="4" w:space="0"/>
              <w:left w:val="single" w:color="auto" w:sz="4" w:space="0"/>
              <w:bottom w:val="single" w:color="auto" w:sz="4" w:space="0"/>
              <w:right w:val="single" w:color="auto" w:sz="4" w:space="0"/>
            </w:tcBorders>
            <w:shd w:val="clear" w:color="auto" w:fill="auto"/>
            <w:vAlign w:val="center"/>
          </w:tcPr>
          <w:p w:rsidRPr="00C90A8A" w:rsidR="00131EFF" w:rsidP="00317B65" w:rsidRDefault="00131EFF" w14:paraId="16F67907" w14:textId="77777777">
            <w:pPr>
              <w:rPr>
                <w:rFonts w:cs="Calibri"/>
                <w:sz w:val="21"/>
                <w:szCs w:val="21"/>
              </w:rPr>
            </w:pPr>
            <w:r w:rsidRPr="00C90A8A">
              <w:rPr>
                <w:rFonts w:cs="Calibri"/>
                <w:sz w:val="21"/>
                <w:szCs w:val="21"/>
              </w:rPr>
              <w:t>If valves were repaired or replaced, use this space to provide any pertinent details on the replacement/repaired valve’s performance, installation, and design considerations</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rsidR="00131EFF" w:rsidP="00317B65" w:rsidRDefault="00131EFF" w14:paraId="088DC069" w14:textId="77777777">
            <w:pPr>
              <w:jc w:val="center"/>
              <w:rPr>
                <w:rFonts w:cs="Calibri"/>
                <w:sz w:val="21"/>
                <w:szCs w:val="21"/>
              </w:rPr>
            </w:pPr>
          </w:p>
        </w:tc>
      </w:tr>
      <w:tr w:rsidRPr="007A580F" w:rsidR="003729D3" w:rsidTr="00C76707" w14:paraId="03B31379" w14:textId="77777777">
        <w:trPr>
          <w:trHeight w:val="872"/>
          <w:jc w:val="center"/>
        </w:trPr>
        <w:tc>
          <w:tcPr>
            <w:tcW w:w="1440" w:type="dxa"/>
            <w:vMerge w:val="restart"/>
            <w:tcBorders>
              <w:left w:val="single" w:color="auto" w:sz="4" w:space="0"/>
              <w:right w:val="single" w:color="auto" w:sz="4" w:space="0"/>
            </w:tcBorders>
            <w:shd w:val="clear" w:color="auto" w:fill="D9D9D9" w:themeFill="background1" w:themeFillShade="D9"/>
            <w:vAlign w:val="center"/>
          </w:tcPr>
          <w:p w:rsidRPr="006D6FA8" w:rsidR="003729D3" w:rsidP="005D3D70" w:rsidRDefault="003729D3" w14:paraId="4D463E2E" w14:textId="77777777">
            <w:pPr>
              <w:spacing w:after="0"/>
              <w:rPr>
                <w:rFonts w:cstheme="minorHAnsi"/>
                <w:sz w:val="21"/>
                <w:szCs w:val="21"/>
              </w:rPr>
            </w:pPr>
            <w:r w:rsidRPr="006D6FA8">
              <w:rPr>
                <w:rFonts w:cstheme="minorHAnsi"/>
                <w:sz w:val="21"/>
                <w:szCs w:val="21"/>
              </w:rPr>
              <w:t>Voluntary</w:t>
            </w:r>
          </w:p>
          <w:p w:rsidRPr="006D6FA8" w:rsidR="003729D3" w:rsidP="005D3D70" w:rsidRDefault="003729D3" w14:paraId="1ACC4B85" w14:textId="77777777">
            <w:pPr>
              <w:spacing w:after="0"/>
              <w:rPr>
                <w:rFonts w:cstheme="minorHAnsi"/>
                <w:sz w:val="21"/>
                <w:szCs w:val="21"/>
              </w:rPr>
            </w:pPr>
            <w:r w:rsidRPr="006D6FA8">
              <w:rPr>
                <w:rFonts w:cstheme="minorHAnsi"/>
                <w:sz w:val="21"/>
                <w:szCs w:val="21"/>
              </w:rPr>
              <w:t>action to</w:t>
            </w:r>
          </w:p>
          <w:p w:rsidRPr="006D6FA8" w:rsidR="003729D3" w:rsidP="005D3D70" w:rsidRDefault="003729D3" w14:paraId="2A79FADE" w14:textId="77777777">
            <w:pPr>
              <w:spacing w:after="0"/>
              <w:rPr>
                <w:rFonts w:cstheme="minorHAnsi"/>
                <w:sz w:val="21"/>
                <w:szCs w:val="21"/>
              </w:rPr>
            </w:pPr>
            <w:r w:rsidRPr="006D6FA8">
              <w:rPr>
                <w:rFonts w:cstheme="minorHAnsi"/>
                <w:sz w:val="21"/>
                <w:szCs w:val="21"/>
              </w:rPr>
              <w:t>reduce</w:t>
            </w:r>
          </w:p>
          <w:p w:rsidRPr="006D6FA8" w:rsidR="003729D3" w:rsidP="005D3D70" w:rsidRDefault="003729D3" w14:paraId="2499F06A" w14:textId="77777777">
            <w:pPr>
              <w:spacing w:after="0"/>
              <w:rPr>
                <w:rFonts w:cstheme="minorHAnsi"/>
                <w:sz w:val="21"/>
                <w:szCs w:val="21"/>
              </w:rPr>
            </w:pPr>
            <w:r w:rsidRPr="006D6FA8">
              <w:rPr>
                <w:rFonts w:cstheme="minorHAnsi"/>
                <w:sz w:val="21"/>
                <w:szCs w:val="21"/>
              </w:rPr>
              <w:t>methane</w:t>
            </w:r>
          </w:p>
          <w:p w:rsidRPr="006D6FA8" w:rsidR="003729D3" w:rsidP="005D3D70" w:rsidRDefault="003729D3" w14:paraId="40A8DD36" w14:textId="77777777">
            <w:pPr>
              <w:spacing w:after="0"/>
              <w:rPr>
                <w:rFonts w:cstheme="minorHAnsi"/>
                <w:sz w:val="21"/>
                <w:szCs w:val="21"/>
              </w:rPr>
            </w:pPr>
            <w:r w:rsidRPr="006D6FA8">
              <w:rPr>
                <w:rFonts w:cstheme="minorHAnsi"/>
                <w:sz w:val="21"/>
                <w:szCs w:val="21"/>
              </w:rPr>
              <w:t>emissions</w:t>
            </w:r>
          </w:p>
          <w:p w:rsidRPr="006D6FA8" w:rsidR="003729D3" w:rsidP="005D3D70" w:rsidRDefault="003729D3" w14:paraId="293B3E21" w14:textId="77777777">
            <w:pPr>
              <w:spacing w:after="0"/>
              <w:rPr>
                <w:rFonts w:cstheme="minorHAnsi"/>
                <w:sz w:val="21"/>
                <w:szCs w:val="21"/>
              </w:rPr>
            </w:pPr>
            <w:r w:rsidRPr="006D6FA8">
              <w:rPr>
                <w:rFonts w:cstheme="minorHAnsi"/>
                <w:sz w:val="21"/>
                <w:szCs w:val="21"/>
              </w:rPr>
              <w:t>during the</w:t>
            </w:r>
          </w:p>
          <w:p w:rsidRPr="006D6FA8" w:rsidR="003729D3" w:rsidP="005D3D70" w:rsidRDefault="003729D3" w14:paraId="60CB45D6" w14:textId="77777777">
            <w:pPr>
              <w:spacing w:after="0"/>
              <w:rPr>
                <w:rFonts w:cstheme="minorHAnsi"/>
                <w:sz w:val="21"/>
                <w:szCs w:val="21"/>
              </w:rPr>
            </w:pPr>
            <w:r w:rsidRPr="006D6FA8">
              <w:rPr>
                <w:rFonts w:cstheme="minorHAnsi"/>
                <w:sz w:val="21"/>
                <w:szCs w:val="21"/>
              </w:rPr>
              <w:t>reporting year</w:t>
            </w:r>
          </w:p>
        </w:tc>
        <w:tc>
          <w:tcPr>
            <w:tcW w:w="1526" w:type="dxa"/>
            <w:vMerge w:val="restart"/>
            <w:tcBorders>
              <w:left w:val="single" w:color="auto" w:sz="4" w:space="0"/>
              <w:right w:val="single" w:color="auto" w:sz="4" w:space="0"/>
            </w:tcBorders>
            <w:shd w:val="clear" w:color="auto" w:fill="D9D9D9" w:themeFill="background1" w:themeFillShade="D9"/>
            <w:vAlign w:val="center"/>
          </w:tcPr>
          <w:p w:rsidRPr="00F62721" w:rsidR="003729D3" w:rsidP="005D3D70" w:rsidRDefault="003729D3" w14:paraId="71431860" w14:textId="77777777">
            <w:pPr>
              <w:spacing w:after="0"/>
              <w:rPr>
                <w:rFonts w:cstheme="minorHAnsi"/>
                <w:sz w:val="21"/>
                <w:szCs w:val="21"/>
              </w:rPr>
            </w:pPr>
            <w:r w:rsidRPr="00F62721">
              <w:rPr>
                <w:rFonts w:cstheme="minorHAnsi"/>
                <w:sz w:val="21"/>
                <w:szCs w:val="21"/>
              </w:rPr>
              <w:t>Difference in</w:t>
            </w:r>
          </w:p>
          <w:p w:rsidRPr="00F62721" w:rsidR="003729D3" w:rsidP="005D3D70" w:rsidRDefault="003729D3" w14:paraId="360B21D2" w14:textId="77777777">
            <w:pPr>
              <w:spacing w:after="0"/>
              <w:rPr>
                <w:rFonts w:cstheme="minorHAnsi"/>
                <w:sz w:val="21"/>
                <w:szCs w:val="21"/>
              </w:rPr>
            </w:pPr>
            <w:r w:rsidRPr="00F62721">
              <w:rPr>
                <w:rFonts w:cstheme="minorHAnsi"/>
                <w:sz w:val="21"/>
                <w:szCs w:val="21"/>
              </w:rPr>
              <w:t>emissions</w:t>
            </w:r>
          </w:p>
          <w:p w:rsidRPr="00F62721" w:rsidR="003729D3" w:rsidP="005D3D70" w:rsidRDefault="003729D3" w14:paraId="641D545F" w14:textId="77777777">
            <w:pPr>
              <w:spacing w:after="0"/>
              <w:rPr>
                <w:rFonts w:cstheme="minorHAnsi"/>
                <w:sz w:val="21"/>
                <w:szCs w:val="21"/>
              </w:rPr>
            </w:pPr>
            <w:r w:rsidRPr="00F62721">
              <w:rPr>
                <w:rFonts w:cstheme="minorHAnsi"/>
                <w:sz w:val="21"/>
                <w:szCs w:val="21"/>
              </w:rPr>
              <w:t>before and after</w:t>
            </w:r>
          </w:p>
          <w:p w:rsidRPr="00F62721" w:rsidR="003729D3" w:rsidP="005D3D70" w:rsidRDefault="003729D3" w14:paraId="543AAD9B" w14:textId="77777777">
            <w:pPr>
              <w:spacing w:after="0"/>
              <w:rPr>
                <w:rFonts w:cstheme="minorHAnsi"/>
                <w:sz w:val="21"/>
                <w:szCs w:val="21"/>
              </w:rPr>
            </w:pPr>
            <w:r w:rsidRPr="00F62721">
              <w:rPr>
                <w:rFonts w:cstheme="minorHAnsi"/>
                <w:sz w:val="21"/>
                <w:szCs w:val="21"/>
              </w:rPr>
              <w:t>mitigation</w:t>
            </w:r>
            <w:r>
              <w:rPr>
                <w:rStyle w:val="FootnoteReference"/>
                <w:rFonts w:cstheme="minorHAnsi"/>
                <w:sz w:val="21"/>
                <w:szCs w:val="21"/>
              </w:rPr>
              <w:footnoteReference w:id="29"/>
            </w:r>
          </w:p>
        </w:tc>
        <w:tc>
          <w:tcPr>
            <w:tcW w:w="567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7504BF" w:rsidR="003729D3" w:rsidP="003729D3" w:rsidRDefault="003729D3" w14:paraId="6A22FF21" w14:textId="77777777">
            <w:pPr>
              <w:rPr>
                <w:rFonts w:cs="Calibri"/>
                <w:sz w:val="21"/>
                <w:szCs w:val="21"/>
              </w:rPr>
            </w:pPr>
            <w:r>
              <w:rPr>
                <w:rFonts w:cs="Calibri"/>
                <w:sz w:val="21"/>
                <w:szCs w:val="21"/>
              </w:rPr>
              <w:t>Has the inspection and maintenance program been rolled-out to this facility</w:t>
            </w:r>
            <w:r w:rsidRPr="00D22F80">
              <w:rPr>
                <w:sz w:val="21"/>
                <w:szCs w:val="21"/>
              </w:rPr>
              <w:t>?</w:t>
            </w:r>
            <w:r>
              <w:rPr>
                <w:sz w:val="21"/>
                <w:szCs w:val="21"/>
              </w:rPr>
              <w:t xml:space="preserve"> (Y/N)</w:t>
            </w:r>
          </w:p>
        </w:tc>
        <w:tc>
          <w:tcPr>
            <w:tcW w:w="72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003729D3" w:rsidP="003729D3" w:rsidRDefault="003729D3" w14:paraId="5BA27D70" w14:textId="77777777">
            <w:pPr>
              <w:jc w:val="center"/>
              <w:rPr>
                <w:rFonts w:cs="Calibri"/>
                <w:sz w:val="21"/>
                <w:szCs w:val="21"/>
              </w:rPr>
            </w:pPr>
          </w:p>
        </w:tc>
      </w:tr>
      <w:tr w:rsidRPr="007A580F" w:rsidR="003729D3" w:rsidTr="00C76707" w14:paraId="5DAE7924" w14:textId="77777777">
        <w:trPr>
          <w:trHeight w:val="80"/>
          <w:jc w:val="center"/>
        </w:trPr>
        <w:tc>
          <w:tcPr>
            <w:tcW w:w="1440" w:type="dxa"/>
            <w:vMerge/>
            <w:tcBorders>
              <w:left w:val="single" w:color="auto" w:sz="4" w:space="0"/>
              <w:right w:val="single" w:color="auto" w:sz="4" w:space="0"/>
            </w:tcBorders>
            <w:shd w:val="clear" w:color="auto" w:fill="D9D9D9" w:themeFill="background1" w:themeFillShade="D9"/>
            <w:vAlign w:val="center"/>
          </w:tcPr>
          <w:p w:rsidR="003729D3" w:rsidP="003729D3" w:rsidRDefault="003729D3" w14:paraId="07FEBE03" w14:textId="77777777">
            <w:pPr>
              <w:rPr>
                <w:rFonts w:cstheme="minorHAnsi"/>
                <w:sz w:val="21"/>
                <w:szCs w:val="21"/>
              </w:rPr>
            </w:pPr>
          </w:p>
        </w:tc>
        <w:tc>
          <w:tcPr>
            <w:tcW w:w="1526" w:type="dxa"/>
            <w:vMerge/>
            <w:tcBorders>
              <w:left w:val="single" w:color="auto" w:sz="4" w:space="0"/>
              <w:right w:val="single" w:color="auto" w:sz="4" w:space="0"/>
            </w:tcBorders>
            <w:shd w:val="clear" w:color="auto" w:fill="D9D9D9" w:themeFill="background1" w:themeFillShade="D9"/>
            <w:vAlign w:val="center"/>
          </w:tcPr>
          <w:p w:rsidR="003729D3" w:rsidP="003729D3" w:rsidRDefault="003729D3" w14:paraId="52CC1D48" w14:textId="77777777">
            <w:pPr>
              <w:rPr>
                <w:rStyle w:val="CommentReference"/>
              </w:rPr>
            </w:pPr>
          </w:p>
        </w:tc>
        <w:tc>
          <w:tcPr>
            <w:tcW w:w="567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003729D3" w:rsidP="003729D3" w:rsidRDefault="003729D3" w14:paraId="7B8C22BA" w14:textId="77777777">
            <w:pPr>
              <w:rPr>
                <w:rFonts w:cs="Calibri"/>
                <w:sz w:val="21"/>
                <w:szCs w:val="21"/>
              </w:rPr>
            </w:pPr>
            <w:r>
              <w:rPr>
                <w:rFonts w:cs="Calibri"/>
                <w:sz w:val="21"/>
                <w:szCs w:val="21"/>
              </w:rPr>
              <w:t>Annual emissions reductions from voluntary action (mt CH</w:t>
            </w:r>
            <w:r w:rsidRPr="00AB30D7">
              <w:rPr>
                <w:rFonts w:cs="Calibri"/>
                <w:sz w:val="21"/>
                <w:szCs w:val="21"/>
                <w:vertAlign w:val="subscript"/>
              </w:rPr>
              <w:t>4</w:t>
            </w:r>
            <w:r>
              <w:rPr>
                <w:rFonts w:cs="Calibri"/>
                <w:sz w:val="21"/>
                <w:szCs w:val="21"/>
              </w:rPr>
              <w:t>)</w:t>
            </w:r>
          </w:p>
        </w:tc>
        <w:tc>
          <w:tcPr>
            <w:tcW w:w="72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003729D3" w:rsidP="003729D3" w:rsidRDefault="003729D3" w14:paraId="4A1D3607" w14:textId="77777777">
            <w:pPr>
              <w:jc w:val="center"/>
              <w:rPr>
                <w:rFonts w:cs="Calibri"/>
                <w:sz w:val="21"/>
                <w:szCs w:val="21"/>
              </w:rPr>
            </w:pPr>
          </w:p>
        </w:tc>
      </w:tr>
    </w:tbl>
    <w:p w:rsidR="00131EFF" w:rsidP="00131EFF" w:rsidRDefault="00131EFF" w14:paraId="096A48AD" w14:textId="77777777">
      <w:pPr>
        <w:keepNext/>
        <w:spacing w:before="120"/>
        <w:rPr>
          <w:b/>
        </w:rPr>
      </w:pPr>
      <w:r>
        <w:rPr>
          <w:u w:val="single"/>
        </w:rPr>
        <w:t>End-of-Commitment Report:</w:t>
      </w:r>
    </w:p>
    <w:p w:rsidR="00131EFF" w:rsidP="00131EFF" w:rsidRDefault="00131EFF" w14:paraId="4D72CC38" w14:textId="77777777">
      <w:r>
        <w:t>This emission source will have a special “end-of-commitment” report in which partners will submit an analysis of their leak detection, maintenance, and repair/replacement program to inform future commitments. Partners making this commitment should ensure they are tracking these data each year, so they are able to prepare this report at the end of their commitment.</w:t>
      </w:r>
    </w:p>
    <w:p w:rsidR="00131EFF" w:rsidP="001F33F1" w:rsidRDefault="00131EFF" w14:paraId="48116319" w14:textId="77777777">
      <w:pPr>
        <w:pStyle w:val="ListParagraph"/>
        <w:numPr>
          <w:ilvl w:val="0"/>
          <w:numId w:val="7"/>
        </w:numPr>
        <w:spacing w:after="160" w:line="259" w:lineRule="auto"/>
      </w:pPr>
      <w:r>
        <w:t xml:space="preserve">Summary of “lessons learned” </w:t>
      </w:r>
    </w:p>
    <w:p w:rsidR="00131EFF" w:rsidP="001F33F1" w:rsidRDefault="00131EFF" w14:paraId="5E139F5B" w14:textId="77777777">
      <w:pPr>
        <w:pStyle w:val="ListParagraph"/>
        <w:numPr>
          <w:ilvl w:val="0"/>
          <w:numId w:val="7"/>
        </w:numPr>
        <w:spacing w:after="160" w:line="259" w:lineRule="auto"/>
      </w:pPr>
      <w:r>
        <w:t>Analysis of leak counts and distribution</w:t>
      </w:r>
    </w:p>
    <w:p w:rsidR="00131EFF" w:rsidP="001F33F1" w:rsidRDefault="00131EFF" w14:paraId="31D547C4" w14:textId="77777777">
      <w:pPr>
        <w:pStyle w:val="ListParagraph"/>
        <w:numPr>
          <w:ilvl w:val="0"/>
          <w:numId w:val="7"/>
        </w:numPr>
        <w:spacing w:after="160" w:line="259" w:lineRule="auto"/>
      </w:pPr>
      <w:r w:rsidRPr="00A6541B">
        <w:t>Year-over-year leak changes, repair methods, and practices</w:t>
      </w:r>
      <w:r>
        <w:t>, including a discussion of the effects of implementing the enhanced maintenance plan</w:t>
      </w:r>
    </w:p>
    <w:p w:rsidR="00131EFF" w:rsidP="001F33F1" w:rsidRDefault="00131EFF" w14:paraId="5E2EFEA5" w14:textId="77777777">
      <w:pPr>
        <w:pStyle w:val="ListParagraph"/>
        <w:numPr>
          <w:ilvl w:val="0"/>
          <w:numId w:val="7"/>
        </w:numPr>
        <w:spacing w:after="160" w:line="259" w:lineRule="auto"/>
      </w:pPr>
      <w:r>
        <w:t>Equipment / valve-specific recommendations</w:t>
      </w:r>
    </w:p>
    <w:p w:rsidR="00131EFF" w:rsidP="001F33F1" w:rsidRDefault="00131EFF" w14:paraId="4BEBF4FB" w14:textId="77777777">
      <w:pPr>
        <w:pStyle w:val="ListParagraph"/>
        <w:numPr>
          <w:ilvl w:val="0"/>
          <w:numId w:val="7"/>
        </w:numPr>
        <w:spacing w:after="160" w:line="259" w:lineRule="auto"/>
      </w:pPr>
      <w:r>
        <w:t>Maintenance plan results and costs</w:t>
      </w:r>
    </w:p>
    <w:p w:rsidR="00131EFF" w:rsidP="00131EFF" w:rsidRDefault="00131EFF" w14:paraId="36221062" w14:textId="77777777">
      <w:pPr>
        <w:spacing w:after="200" w:line="276" w:lineRule="auto"/>
        <w:rPr>
          <w:rFonts w:ascii="Cambria" w:hAnsi="Cambria"/>
          <w:color w:val="243F60" w:themeColor="accent1" w:themeShade="7F"/>
          <w:sz w:val="24"/>
        </w:rPr>
      </w:pPr>
      <w:r>
        <w:br w:type="page"/>
      </w:r>
    </w:p>
    <w:p w:rsidRPr="00084222" w:rsidR="001F0154" w:rsidP="00292C2E" w:rsidRDefault="001F0154" w14:paraId="22972868" w14:textId="57A92678">
      <w:pPr>
        <w:pStyle w:val="Heading2"/>
      </w:pPr>
      <w:bookmarkStart w:name="_Ref67321339" w:id="22"/>
      <w:bookmarkStart w:name="_Toc67322584" w:id="23"/>
      <w:r w:rsidRPr="00084222">
        <w:lastRenderedPageBreak/>
        <w:t xml:space="preserve">Reciprocating Compressors </w:t>
      </w:r>
      <w:r w:rsidRPr="00084222" w:rsidR="009603C1">
        <w:t>–</w:t>
      </w:r>
      <w:r w:rsidRPr="00084222">
        <w:t xml:space="preserve"> Rod Packing Vent</w:t>
      </w:r>
      <w:bookmarkEnd w:id="22"/>
      <w:bookmarkEnd w:id="23"/>
    </w:p>
    <w:p w:rsidRPr="009B0364" w:rsidR="001F0154" w:rsidP="001F0154" w:rsidRDefault="001F0154" w14:paraId="1BF5EA10" w14:textId="77777777">
      <w:pPr>
        <w:rPr>
          <w:rFonts w:ascii="Calibri" w:hAnsi="Calibri" w:cs="Calibri"/>
          <w:szCs w:val="22"/>
          <w:u w:val="single"/>
        </w:rPr>
      </w:pPr>
      <w:r>
        <w:rPr>
          <w:rFonts w:ascii="Calibri" w:hAnsi="Calibri" w:cs="Calibri"/>
          <w:szCs w:val="22"/>
          <w:u w:val="single"/>
        </w:rPr>
        <w:t>Applicable Segments:</w:t>
      </w:r>
      <w:r w:rsidRPr="00053AA8">
        <w:rPr>
          <w:rFonts w:ascii="Calibri" w:hAnsi="Calibri" w:cs="Calibri"/>
          <w:szCs w:val="22"/>
        </w:rPr>
        <w:t xml:space="preserve"> </w:t>
      </w:r>
      <w:r>
        <w:rPr>
          <w:rFonts w:ascii="Calibri" w:hAnsi="Calibri" w:cs="Calibri"/>
          <w:szCs w:val="22"/>
        </w:rPr>
        <w:t>Gathering and Boosting, Processing, Transmission and Storage</w:t>
      </w:r>
    </w:p>
    <w:p w:rsidRPr="00D2645A" w:rsidR="001F0154" w:rsidP="001F0154" w:rsidRDefault="001F0154" w14:paraId="442117D7" w14:textId="77777777">
      <w:pPr>
        <w:rPr>
          <w:rFonts w:cs="Arial"/>
          <w:szCs w:val="22"/>
        </w:rPr>
      </w:pPr>
      <w:r w:rsidRPr="00B01543">
        <w:rPr>
          <w:rFonts w:ascii="Calibri" w:hAnsi="Calibri" w:cs="Calibri"/>
          <w:szCs w:val="22"/>
          <w:u w:val="single"/>
        </w:rPr>
        <w:t>Source Description</w:t>
      </w:r>
      <w:r w:rsidRPr="00B01543">
        <w:rPr>
          <w:rFonts w:ascii="Calibri" w:hAnsi="Calibri" w:cs="Calibri"/>
          <w:szCs w:val="22"/>
        </w:rPr>
        <w:t>: Reciprocat</w:t>
      </w:r>
      <w:r w:rsidRPr="00D2645A">
        <w:rPr>
          <w:rFonts w:cs="Calibri"/>
          <w:szCs w:val="22"/>
        </w:rPr>
        <w:t xml:space="preserve">ing compressor means a piece of equipment that increases the pressure of a process natural gas by positive displacement, employing linear movement of a shaft driving a piston in a cylinder.  Reciprocating compressor rod packing means a series of flexible rings in machined metal cups that fit around the reciprocating compressor piston rod to create a seal limiting the amount of compressed natural gas that escapes to the atmosphere. </w:t>
      </w:r>
      <w:r w:rsidRPr="00D2645A">
        <w:rPr>
          <w:rFonts w:cs="Arial"/>
          <w:szCs w:val="22"/>
        </w:rPr>
        <w:t>Rod packing emissions typically occur around the rings from slight movement of the rings in the cups as the rod moves, but can also occur through the “nose gasket” around the packing case, between the packing cups, and between the rings and shaft. As the rings wear, or if the fit between the rod packing rings and rod is too loose, more compressed natural gas can escape.</w:t>
      </w:r>
    </w:p>
    <w:p w:rsidRPr="00B01543" w:rsidR="001F0154" w:rsidP="001F0154" w:rsidRDefault="001F0154" w14:paraId="449C7D81" w14:textId="77777777">
      <w:pPr>
        <w:rPr>
          <w:rFonts w:ascii="Calibri" w:hAnsi="Calibri" w:cs="Calibri"/>
          <w:szCs w:val="22"/>
        </w:rPr>
      </w:pPr>
      <w:r w:rsidRPr="00B01543">
        <w:rPr>
          <w:rFonts w:ascii="Calibri" w:hAnsi="Calibri" w:cs="Calibri"/>
          <w:szCs w:val="22"/>
          <w:u w:val="single"/>
        </w:rPr>
        <w:t>Mitigation Options</w:t>
      </w:r>
      <w:r w:rsidRPr="00B01543">
        <w:rPr>
          <w:rFonts w:ascii="Calibri" w:hAnsi="Calibri" w:cs="Calibri"/>
          <w:szCs w:val="22"/>
        </w:rPr>
        <w:t>:</w:t>
      </w:r>
    </w:p>
    <w:p w:rsidRPr="00B01543" w:rsidR="001F0154" w:rsidP="005D3D70" w:rsidRDefault="001F0154" w14:paraId="42879501" w14:textId="77777777">
      <w:pPr>
        <w:numPr>
          <w:ilvl w:val="0"/>
          <w:numId w:val="5"/>
        </w:numPr>
        <w:spacing w:after="0"/>
        <w:contextualSpacing/>
        <w:rPr>
          <w:rFonts w:ascii="Calibri" w:hAnsi="Calibri" w:cs="Calibri"/>
          <w:color w:val="000000"/>
          <w:szCs w:val="22"/>
        </w:rPr>
      </w:pPr>
      <w:r w:rsidRPr="00B01543">
        <w:rPr>
          <w:rFonts w:ascii="Calibri" w:hAnsi="Calibri" w:cs="Calibri"/>
          <w:color w:val="000000"/>
          <w:szCs w:val="22"/>
        </w:rPr>
        <w:t xml:space="preserve">Replace the reciprocating compressor rod packing </w:t>
      </w:r>
      <w:r>
        <w:rPr>
          <w:rFonts w:ascii="Calibri" w:hAnsi="Calibri" w:cs="Calibri"/>
          <w:color w:val="000000"/>
          <w:szCs w:val="22"/>
        </w:rPr>
        <w:t>every 26,000 hours of operation, or</w:t>
      </w:r>
    </w:p>
    <w:p w:rsidRPr="00B01543" w:rsidR="001F0154" w:rsidP="005D3D70" w:rsidRDefault="001F0154" w14:paraId="666C2AB7" w14:textId="77777777">
      <w:pPr>
        <w:numPr>
          <w:ilvl w:val="0"/>
          <w:numId w:val="5"/>
        </w:numPr>
        <w:spacing w:after="0"/>
        <w:contextualSpacing/>
        <w:rPr>
          <w:rFonts w:ascii="Calibri" w:hAnsi="Calibri" w:cs="Calibri"/>
          <w:color w:val="000000"/>
          <w:szCs w:val="22"/>
        </w:rPr>
      </w:pPr>
      <w:r w:rsidRPr="00B01543">
        <w:rPr>
          <w:rFonts w:ascii="Calibri" w:hAnsi="Calibri" w:cs="Calibri"/>
          <w:color w:val="000000"/>
          <w:szCs w:val="22"/>
        </w:rPr>
        <w:t xml:space="preserve">Replace the reciprocating compressor rod packing prior </w:t>
      </w:r>
      <w:r>
        <w:rPr>
          <w:rFonts w:ascii="Calibri" w:hAnsi="Calibri" w:cs="Calibri"/>
          <w:color w:val="000000"/>
          <w:szCs w:val="22"/>
        </w:rPr>
        <w:t xml:space="preserve">to </w:t>
      </w:r>
      <w:r w:rsidRPr="00B01543">
        <w:rPr>
          <w:rFonts w:ascii="Calibri" w:hAnsi="Calibri" w:cs="Calibri"/>
          <w:color w:val="000000"/>
          <w:szCs w:val="22"/>
        </w:rPr>
        <w:t>every 36 months</w:t>
      </w:r>
      <w:r>
        <w:rPr>
          <w:rFonts w:ascii="Calibri" w:hAnsi="Calibri" w:cs="Calibri"/>
          <w:color w:val="000000"/>
          <w:szCs w:val="22"/>
        </w:rPr>
        <w:t>, or</w:t>
      </w:r>
    </w:p>
    <w:p w:rsidRPr="00B01543" w:rsidR="001F0154" w:rsidP="005D3D70" w:rsidRDefault="001F0154" w14:paraId="5EAFA923" w14:textId="77777777">
      <w:pPr>
        <w:numPr>
          <w:ilvl w:val="0"/>
          <w:numId w:val="5"/>
        </w:numPr>
        <w:spacing w:after="0"/>
        <w:contextualSpacing/>
        <w:rPr>
          <w:rFonts w:ascii="Calibri" w:hAnsi="Calibri" w:cs="Calibri"/>
          <w:color w:val="000000"/>
          <w:szCs w:val="22"/>
        </w:rPr>
      </w:pPr>
      <w:r w:rsidRPr="00B01543">
        <w:rPr>
          <w:rFonts w:ascii="Calibri" w:hAnsi="Calibri" w:cs="Calibri"/>
          <w:color w:val="000000"/>
          <w:szCs w:val="22"/>
        </w:rPr>
        <w:t>Route rod packing vent to a capture syste</w:t>
      </w:r>
      <w:r>
        <w:rPr>
          <w:rFonts w:ascii="Calibri" w:hAnsi="Calibri" w:cs="Calibri"/>
          <w:color w:val="000000"/>
          <w:szCs w:val="22"/>
        </w:rPr>
        <w:t xml:space="preserve">m </w:t>
      </w:r>
      <w:r w:rsidRPr="00B01543">
        <w:rPr>
          <w:rFonts w:ascii="Calibri" w:hAnsi="Calibri" w:cs="Calibri"/>
          <w:color w:val="000000"/>
          <w:szCs w:val="22"/>
        </w:rPr>
        <w:t>for beneficial use to achieve at least a 95% reduction in methane emissions</w:t>
      </w:r>
      <w:r>
        <w:rPr>
          <w:rFonts w:ascii="Calibri" w:hAnsi="Calibri" w:cs="Calibri"/>
          <w:color w:val="000000"/>
          <w:szCs w:val="22"/>
        </w:rPr>
        <w:t>, or</w:t>
      </w:r>
    </w:p>
    <w:p w:rsidR="001F0154" w:rsidP="005D3D70" w:rsidRDefault="001F0154" w14:paraId="13F88AD2" w14:textId="77777777">
      <w:pPr>
        <w:numPr>
          <w:ilvl w:val="0"/>
          <w:numId w:val="5"/>
        </w:numPr>
        <w:rPr>
          <w:rFonts w:ascii="Calibri" w:hAnsi="Calibri" w:cs="Calibri"/>
          <w:color w:val="000000"/>
          <w:szCs w:val="22"/>
        </w:rPr>
      </w:pPr>
      <w:r w:rsidRPr="00B01543">
        <w:rPr>
          <w:rFonts w:ascii="Calibri" w:hAnsi="Calibri" w:cs="Calibri"/>
          <w:color w:val="000000"/>
          <w:szCs w:val="22"/>
        </w:rPr>
        <w:t xml:space="preserve">Route rod packing vent to flare </w:t>
      </w:r>
      <w:r w:rsidRPr="00B01543">
        <w:rPr>
          <w:rFonts w:ascii="Calibri" w:hAnsi="Calibri" w:cs="Calibri"/>
        </w:rPr>
        <w:t xml:space="preserve">or </w:t>
      </w:r>
      <w:r w:rsidRPr="007E151B">
        <w:rPr>
          <w:rFonts w:ascii="Calibri" w:hAnsi="Calibri"/>
          <w:szCs w:val="22"/>
        </w:rPr>
        <w:t>control device</w:t>
      </w:r>
      <w:r w:rsidRPr="007E151B">
        <w:rPr>
          <w:rFonts w:ascii="Calibri" w:hAnsi="Calibri"/>
          <w:szCs w:val="22"/>
          <w:vertAlign w:val="superscript"/>
        </w:rPr>
        <w:footnoteReference w:id="30"/>
      </w:r>
      <w:r w:rsidRPr="00B01543">
        <w:rPr>
          <w:rFonts w:ascii="Calibri" w:hAnsi="Calibri"/>
        </w:rPr>
        <w:t xml:space="preserve"> </w:t>
      </w:r>
      <w:r w:rsidRPr="00B01543">
        <w:rPr>
          <w:rFonts w:ascii="Calibri" w:hAnsi="Calibri" w:cs="Calibri"/>
          <w:color w:val="000000"/>
          <w:szCs w:val="22"/>
        </w:rPr>
        <w:t>to achieve at least a 95% reduction in methane emissions</w:t>
      </w:r>
      <w:r>
        <w:rPr>
          <w:rFonts w:ascii="Calibri" w:hAnsi="Calibri" w:cs="Calibri"/>
          <w:color w:val="000000"/>
          <w:szCs w:val="22"/>
        </w:rPr>
        <w:t>.</w:t>
      </w:r>
    </w:p>
    <w:p w:rsidRPr="007A580F" w:rsidR="001F0154" w:rsidP="001F0154" w:rsidRDefault="001F0154" w14:paraId="40F24B5E" w14:textId="77777777">
      <w:pPr>
        <w:rPr>
          <w:rFonts w:ascii="Calibri" w:hAnsi="Calibri" w:cs="Calibri"/>
          <w:szCs w:val="22"/>
        </w:rPr>
      </w:pPr>
      <w:r w:rsidRPr="007A580F">
        <w:rPr>
          <w:rFonts w:ascii="Calibri" w:hAnsi="Calibri" w:cs="Calibri"/>
          <w:szCs w:val="22"/>
          <w:u w:val="single"/>
        </w:rPr>
        <w:t>Commitment Timeframe</w:t>
      </w:r>
      <w:r w:rsidRPr="007A580F">
        <w:rPr>
          <w:rFonts w:ascii="Calibri" w:hAnsi="Calibri" w:cs="Calibri"/>
          <w:szCs w:val="22"/>
        </w:rPr>
        <w:t>: Partners commit to implement the specified mitigation options for all sources included in the</w:t>
      </w:r>
      <w:r>
        <w:rPr>
          <w:rFonts w:ascii="Calibri" w:hAnsi="Calibri" w:cs="Calibri"/>
          <w:szCs w:val="22"/>
        </w:rPr>
        <w:t>ir commitment</w:t>
      </w:r>
      <w:r w:rsidRPr="007A580F">
        <w:rPr>
          <w:rFonts w:ascii="Calibri" w:hAnsi="Calibri" w:cs="Calibri"/>
          <w:szCs w:val="22"/>
        </w:rPr>
        <w:t xml:space="preserve"> by their designated commitment achievement date, not to exceed five (5) years from the commitment start date.</w:t>
      </w:r>
    </w:p>
    <w:p w:rsidRPr="00084222" w:rsidR="001F0154" w:rsidP="00084222" w:rsidRDefault="001F0154" w14:paraId="2A422E04" w14:textId="77777777">
      <w:pPr>
        <w:pStyle w:val="Heading3"/>
      </w:pPr>
      <w:r w:rsidRPr="00084222">
        <w:t>Reporting – Gathering and Boosting:</w:t>
      </w:r>
    </w:p>
    <w:tbl>
      <w:tblPr>
        <w:tblStyle w:val="TableGrid6191"/>
        <w:tblW w:w="9355" w:type="dxa"/>
        <w:tblInd w:w="0" w:type="dxa"/>
        <w:tblLayout w:type="fixed"/>
        <w:tblCellMar>
          <w:left w:w="58" w:type="dxa"/>
          <w:right w:w="58" w:type="dxa"/>
        </w:tblCellMar>
        <w:tblLook w:val="04A0" w:firstRow="1" w:lastRow="0" w:firstColumn="1" w:lastColumn="0" w:noHBand="0" w:noVBand="1"/>
      </w:tblPr>
      <w:tblGrid>
        <w:gridCol w:w="1439"/>
        <w:gridCol w:w="1525"/>
        <w:gridCol w:w="5671"/>
        <w:gridCol w:w="720"/>
      </w:tblGrid>
      <w:tr w:rsidRPr="00E05FC0" w:rsidR="001F0154" w:rsidTr="0023299B" w14:paraId="16E7DB72" w14:textId="77777777">
        <w:trPr>
          <w:trHeight w:val="547"/>
          <w:tblHeader/>
        </w:trPr>
        <w:tc>
          <w:tcPr>
            <w:tcW w:w="1439" w:type="dxa"/>
            <w:shd w:val="clear" w:color="auto" w:fill="A6A6A6" w:themeFill="background1" w:themeFillShade="A6"/>
            <w:hideMark/>
          </w:tcPr>
          <w:p w:rsidRPr="00E05FC0" w:rsidR="001F0154" w:rsidP="00A14F8D" w:rsidRDefault="001F0154" w14:paraId="47EC1343" w14:textId="77777777">
            <w:pPr>
              <w:rPr>
                <w:rFonts w:cs="Calibri"/>
                <w:b/>
                <w:sz w:val="20"/>
                <w:szCs w:val="22"/>
              </w:rPr>
            </w:pPr>
            <w:r w:rsidRPr="00E05FC0">
              <w:rPr>
                <w:rFonts w:cs="Calibri"/>
                <w:b/>
                <w:sz w:val="20"/>
                <w:szCs w:val="22"/>
              </w:rPr>
              <w:t>Emission Source</w:t>
            </w:r>
          </w:p>
        </w:tc>
        <w:tc>
          <w:tcPr>
            <w:tcW w:w="1525" w:type="dxa"/>
            <w:shd w:val="clear" w:color="auto" w:fill="A6A6A6" w:themeFill="background1" w:themeFillShade="A6"/>
          </w:tcPr>
          <w:p w:rsidRPr="00E05FC0" w:rsidR="001F0154" w:rsidP="00A14F8D" w:rsidRDefault="001F0154" w14:paraId="46ABD9F1" w14:textId="77777777">
            <w:pPr>
              <w:rPr>
                <w:rFonts w:cs="Calibri"/>
                <w:b/>
                <w:sz w:val="20"/>
                <w:szCs w:val="22"/>
              </w:rPr>
            </w:pPr>
            <w:r w:rsidRPr="00E05FC0">
              <w:rPr>
                <w:rFonts w:cs="Calibri"/>
                <w:b/>
                <w:sz w:val="20"/>
                <w:szCs w:val="22"/>
              </w:rPr>
              <w:t>Quantification Method</w:t>
            </w:r>
          </w:p>
        </w:tc>
        <w:tc>
          <w:tcPr>
            <w:tcW w:w="5671" w:type="dxa"/>
            <w:shd w:val="clear" w:color="auto" w:fill="A6A6A6" w:themeFill="background1" w:themeFillShade="A6"/>
            <w:hideMark/>
          </w:tcPr>
          <w:p w:rsidRPr="00E05FC0" w:rsidR="001F0154" w:rsidP="00A14F8D" w:rsidRDefault="001F0154" w14:paraId="49D4BBE8" w14:textId="77777777">
            <w:pPr>
              <w:rPr>
                <w:rFonts w:cs="Calibri"/>
                <w:b/>
                <w:sz w:val="20"/>
                <w:szCs w:val="22"/>
              </w:rPr>
            </w:pPr>
            <w:r w:rsidRPr="00E05FC0">
              <w:rPr>
                <w:rFonts w:cs="Calibri"/>
                <w:b/>
                <w:sz w:val="20"/>
                <w:szCs w:val="22"/>
              </w:rPr>
              <w:t>Data Elements Collected via Facility-Level Reporting</w:t>
            </w:r>
          </w:p>
        </w:tc>
        <w:tc>
          <w:tcPr>
            <w:tcW w:w="720" w:type="dxa"/>
            <w:shd w:val="clear" w:color="auto" w:fill="A6A6A6" w:themeFill="background1" w:themeFillShade="A6"/>
            <w:hideMark/>
          </w:tcPr>
          <w:p w:rsidRPr="00E05FC0" w:rsidR="001F0154" w:rsidP="00A14F8D" w:rsidRDefault="001F0154" w14:paraId="01398675" w14:textId="77777777">
            <w:pPr>
              <w:rPr>
                <w:rFonts w:cs="Calibri"/>
                <w:b/>
                <w:sz w:val="20"/>
                <w:szCs w:val="22"/>
              </w:rPr>
            </w:pPr>
            <w:r w:rsidRPr="00E05FC0">
              <w:rPr>
                <w:rFonts w:cs="Calibri"/>
                <w:b/>
                <w:sz w:val="20"/>
                <w:szCs w:val="22"/>
              </w:rPr>
              <w:t>GHGRP</w:t>
            </w:r>
          </w:p>
        </w:tc>
      </w:tr>
      <w:tr w:rsidRPr="00E05FC0" w:rsidR="001F0154" w:rsidTr="0023299B" w14:paraId="396A3E57" w14:textId="77777777">
        <w:trPr>
          <w:trHeight w:val="242"/>
        </w:trPr>
        <w:tc>
          <w:tcPr>
            <w:tcW w:w="1439" w:type="dxa"/>
            <w:vMerge w:val="restart"/>
            <w:vAlign w:val="center"/>
          </w:tcPr>
          <w:p w:rsidRPr="00E05FC0" w:rsidR="001F0154" w:rsidP="00A14F8D" w:rsidRDefault="001F0154" w14:paraId="57DA6CF2" w14:textId="77777777">
            <w:pPr>
              <w:rPr>
                <w:rFonts w:cs="Calibri"/>
                <w:b/>
                <w:szCs w:val="22"/>
              </w:rPr>
            </w:pPr>
            <w:r w:rsidRPr="00E05FC0">
              <w:rPr>
                <w:rFonts w:cs="Calibri"/>
                <w:szCs w:val="22"/>
              </w:rPr>
              <w:t>Reciprocating compressors</w:t>
            </w:r>
          </w:p>
        </w:tc>
        <w:tc>
          <w:tcPr>
            <w:tcW w:w="1525" w:type="dxa"/>
            <w:vMerge w:val="restart"/>
            <w:vAlign w:val="center"/>
          </w:tcPr>
          <w:p w:rsidRPr="00E05FC0" w:rsidR="001F0154" w:rsidP="00A14F8D" w:rsidRDefault="001F0154" w14:paraId="71925EA8" w14:textId="77777777">
            <w:pPr>
              <w:rPr>
                <w:szCs w:val="22"/>
              </w:rPr>
            </w:pPr>
            <w:r w:rsidRPr="00E05FC0">
              <w:rPr>
                <w:szCs w:val="22"/>
              </w:rPr>
              <w:t>Reciprocating compressor venting EF</w:t>
            </w:r>
            <w:r w:rsidRPr="00E05FC0">
              <w:rPr>
                <w:szCs w:val="22"/>
                <w:vertAlign w:val="superscript"/>
              </w:rPr>
              <w:footnoteReference w:id="31"/>
            </w:r>
          </w:p>
        </w:tc>
        <w:tc>
          <w:tcPr>
            <w:tcW w:w="5671" w:type="dxa"/>
          </w:tcPr>
          <w:p w:rsidRPr="00E05FC0" w:rsidR="001F0154" w:rsidP="00A14F8D" w:rsidRDefault="001F0154" w14:paraId="17465A5B" w14:textId="77777777">
            <w:pPr>
              <w:rPr>
                <w:rFonts w:cs="Calibri"/>
                <w:szCs w:val="22"/>
              </w:rPr>
            </w:pPr>
            <w:r w:rsidRPr="00E05FC0">
              <w:rPr>
                <w:szCs w:val="22"/>
              </w:rPr>
              <w:t xml:space="preserve">Number of reciprocating compressors </w:t>
            </w:r>
          </w:p>
        </w:tc>
        <w:tc>
          <w:tcPr>
            <w:tcW w:w="720" w:type="dxa"/>
            <w:vAlign w:val="center"/>
          </w:tcPr>
          <w:p w:rsidRPr="00E05FC0" w:rsidR="001F0154" w:rsidP="00A14F8D" w:rsidRDefault="001F0154" w14:paraId="01050A56" w14:textId="77777777">
            <w:pPr>
              <w:jc w:val="center"/>
              <w:rPr>
                <w:rFonts w:cs="Calibri"/>
                <w:szCs w:val="22"/>
              </w:rPr>
            </w:pPr>
            <w:r w:rsidRPr="00E05FC0">
              <w:rPr>
                <w:rFonts w:cs="Calibri"/>
                <w:szCs w:val="22"/>
              </w:rPr>
              <w:t>X</w:t>
            </w:r>
          </w:p>
        </w:tc>
      </w:tr>
      <w:tr w:rsidRPr="00E05FC0" w:rsidR="001F0154" w:rsidTr="0023299B" w14:paraId="79FB205A" w14:textId="77777777">
        <w:trPr>
          <w:trHeight w:val="242"/>
        </w:trPr>
        <w:tc>
          <w:tcPr>
            <w:tcW w:w="1439" w:type="dxa"/>
            <w:vMerge/>
            <w:vAlign w:val="center"/>
          </w:tcPr>
          <w:p w:rsidRPr="00E05FC0" w:rsidR="001F0154" w:rsidP="00A14F8D" w:rsidRDefault="001F0154" w14:paraId="3BE652D1" w14:textId="77777777">
            <w:pPr>
              <w:rPr>
                <w:rFonts w:cs="Calibri"/>
                <w:szCs w:val="22"/>
              </w:rPr>
            </w:pPr>
          </w:p>
        </w:tc>
        <w:tc>
          <w:tcPr>
            <w:tcW w:w="1525" w:type="dxa"/>
            <w:vMerge/>
            <w:vAlign w:val="center"/>
          </w:tcPr>
          <w:p w:rsidRPr="00E05FC0" w:rsidR="001F0154" w:rsidP="00A14F8D" w:rsidRDefault="001F0154" w14:paraId="0E03FE9C" w14:textId="77777777">
            <w:pPr>
              <w:rPr>
                <w:rFonts w:cs="Calibri"/>
                <w:szCs w:val="22"/>
              </w:rPr>
            </w:pPr>
          </w:p>
        </w:tc>
        <w:tc>
          <w:tcPr>
            <w:tcW w:w="5671" w:type="dxa"/>
          </w:tcPr>
          <w:p w:rsidRPr="00E05FC0" w:rsidR="001F0154" w:rsidP="00A14F8D" w:rsidRDefault="001F0154" w14:paraId="4A4B629D" w14:textId="77777777">
            <w:pPr>
              <w:rPr>
                <w:rFonts w:cs="Calibri"/>
                <w:szCs w:val="22"/>
              </w:rPr>
            </w:pPr>
            <w:r w:rsidRPr="00E05FC0">
              <w:rPr>
                <w:rFonts w:cs="Calibri"/>
                <w:szCs w:val="22"/>
              </w:rPr>
              <w:t>Annual CH4 emissions (mt CH</w:t>
            </w:r>
            <w:r w:rsidRPr="00E05FC0">
              <w:rPr>
                <w:rFonts w:cs="Calibri"/>
                <w:szCs w:val="22"/>
                <w:vertAlign w:val="subscript"/>
              </w:rPr>
              <w:t>4</w:t>
            </w:r>
            <w:r w:rsidRPr="00E05FC0">
              <w:rPr>
                <w:rFonts w:cs="Calibri"/>
                <w:szCs w:val="22"/>
              </w:rPr>
              <w:t xml:space="preserve">) </w:t>
            </w:r>
          </w:p>
        </w:tc>
        <w:tc>
          <w:tcPr>
            <w:tcW w:w="720" w:type="dxa"/>
            <w:vAlign w:val="center"/>
          </w:tcPr>
          <w:p w:rsidRPr="00E05FC0" w:rsidR="001F0154" w:rsidP="00A14F8D" w:rsidRDefault="001F0154" w14:paraId="491306DD" w14:textId="77777777">
            <w:pPr>
              <w:jc w:val="center"/>
              <w:rPr>
                <w:rFonts w:cs="Calibri"/>
                <w:szCs w:val="22"/>
              </w:rPr>
            </w:pPr>
            <w:r w:rsidRPr="00E05FC0">
              <w:rPr>
                <w:rFonts w:cs="Calibri"/>
                <w:szCs w:val="22"/>
              </w:rPr>
              <w:t>X</w:t>
            </w:r>
          </w:p>
        </w:tc>
      </w:tr>
      <w:tr w:rsidRPr="00E05FC0" w:rsidR="0023299B" w:rsidTr="0023299B" w14:paraId="0127F10A" w14:textId="77777777">
        <w:trPr>
          <w:trHeight w:val="242"/>
        </w:trPr>
        <w:tc>
          <w:tcPr>
            <w:tcW w:w="1439" w:type="dxa"/>
            <w:vMerge w:val="restart"/>
            <w:vAlign w:val="center"/>
          </w:tcPr>
          <w:p w:rsidRPr="00E05FC0" w:rsidR="0023299B" w:rsidP="00A14F8D" w:rsidRDefault="0023299B" w14:paraId="32151542" w14:textId="77777777">
            <w:pPr>
              <w:rPr>
                <w:rFonts w:cs="Calibri"/>
                <w:szCs w:val="22"/>
              </w:rPr>
            </w:pPr>
            <w:r>
              <w:rPr>
                <w:rFonts w:cs="Calibri"/>
                <w:szCs w:val="22"/>
              </w:rPr>
              <w:t>Each reciprocating compressor</w:t>
            </w:r>
          </w:p>
        </w:tc>
        <w:tc>
          <w:tcPr>
            <w:tcW w:w="1525" w:type="dxa"/>
            <w:vMerge w:val="restart"/>
            <w:vAlign w:val="center"/>
          </w:tcPr>
          <w:p w:rsidRPr="00E05FC0" w:rsidR="0023299B" w:rsidP="00A14F8D" w:rsidRDefault="0023299B" w14:paraId="6DDD427D" w14:textId="77777777">
            <w:pPr>
              <w:rPr>
                <w:rFonts w:cs="Calibri"/>
                <w:szCs w:val="22"/>
              </w:rPr>
            </w:pPr>
            <w:r>
              <w:rPr>
                <w:rFonts w:cs="Calibri"/>
                <w:szCs w:val="22"/>
              </w:rPr>
              <w:t>NA</w:t>
            </w:r>
          </w:p>
        </w:tc>
        <w:tc>
          <w:tcPr>
            <w:tcW w:w="5671" w:type="dxa"/>
            <w:vAlign w:val="center"/>
          </w:tcPr>
          <w:p w:rsidRPr="00E05FC0" w:rsidR="0023299B" w:rsidP="00A14F8D" w:rsidRDefault="0023299B" w14:paraId="5C4CBA7B" w14:textId="77777777">
            <w:pPr>
              <w:rPr>
                <w:rFonts w:cs="Calibri"/>
                <w:sz w:val="21"/>
                <w:szCs w:val="21"/>
              </w:rPr>
            </w:pPr>
            <w:r w:rsidRPr="00E05FC0">
              <w:rPr>
                <w:rFonts w:cs="Calibri" w:asciiTheme="minorHAnsi" w:hAnsiTheme="minorHAnsi"/>
                <w:sz w:val="21"/>
                <w:szCs w:val="21"/>
              </w:rPr>
              <w:t>Is rod packing replacement occurring every 26,000 hours or 36 months (Y/N)</w:t>
            </w:r>
          </w:p>
        </w:tc>
        <w:tc>
          <w:tcPr>
            <w:tcW w:w="720" w:type="dxa"/>
            <w:vAlign w:val="center"/>
          </w:tcPr>
          <w:p w:rsidRPr="00E05FC0" w:rsidR="0023299B" w:rsidP="00A14F8D" w:rsidRDefault="0023299B" w14:paraId="069AF14E" w14:textId="77777777">
            <w:pPr>
              <w:jc w:val="center"/>
              <w:rPr>
                <w:rFonts w:cs="Calibri"/>
                <w:szCs w:val="22"/>
              </w:rPr>
            </w:pPr>
          </w:p>
        </w:tc>
      </w:tr>
      <w:tr w:rsidRPr="00E05FC0" w:rsidR="0023299B" w:rsidTr="0023299B" w14:paraId="711D2172" w14:textId="77777777">
        <w:trPr>
          <w:trHeight w:val="242"/>
        </w:trPr>
        <w:tc>
          <w:tcPr>
            <w:tcW w:w="1439" w:type="dxa"/>
            <w:vMerge/>
          </w:tcPr>
          <w:p w:rsidR="0023299B" w:rsidP="00A14F8D" w:rsidRDefault="0023299B" w14:paraId="7456CCD8" w14:textId="77777777">
            <w:pPr>
              <w:rPr>
                <w:rFonts w:cs="Calibri"/>
                <w:szCs w:val="22"/>
              </w:rPr>
            </w:pPr>
          </w:p>
        </w:tc>
        <w:tc>
          <w:tcPr>
            <w:tcW w:w="1525" w:type="dxa"/>
            <w:vMerge/>
          </w:tcPr>
          <w:p w:rsidRPr="00E05FC0" w:rsidR="0023299B" w:rsidP="00A14F8D" w:rsidRDefault="0023299B" w14:paraId="40FD6DDC" w14:textId="77777777">
            <w:pPr>
              <w:rPr>
                <w:rFonts w:cs="Calibri"/>
                <w:szCs w:val="22"/>
              </w:rPr>
            </w:pPr>
          </w:p>
        </w:tc>
        <w:tc>
          <w:tcPr>
            <w:tcW w:w="5671" w:type="dxa"/>
            <w:vAlign w:val="center"/>
          </w:tcPr>
          <w:p w:rsidRPr="00E05FC0" w:rsidR="0023299B" w:rsidP="00A14F8D" w:rsidRDefault="0023299B" w14:paraId="556C6BCF" w14:textId="77777777">
            <w:pPr>
              <w:rPr>
                <w:rFonts w:cs="Calibri"/>
                <w:sz w:val="21"/>
                <w:szCs w:val="21"/>
              </w:rPr>
            </w:pPr>
            <w:r w:rsidRPr="00E05FC0">
              <w:rPr>
                <w:rFonts w:cs="Calibri" w:asciiTheme="minorHAnsi" w:hAnsiTheme="minorHAnsi"/>
                <w:sz w:val="21"/>
                <w:szCs w:val="21"/>
              </w:rPr>
              <w:t>Date of last rod packing replacement</w:t>
            </w:r>
          </w:p>
        </w:tc>
        <w:tc>
          <w:tcPr>
            <w:tcW w:w="720" w:type="dxa"/>
            <w:vAlign w:val="center"/>
          </w:tcPr>
          <w:p w:rsidRPr="00E05FC0" w:rsidR="0023299B" w:rsidP="00A14F8D" w:rsidRDefault="0023299B" w14:paraId="3B70CAB4" w14:textId="77777777">
            <w:pPr>
              <w:jc w:val="center"/>
              <w:rPr>
                <w:rFonts w:cs="Calibri"/>
                <w:szCs w:val="22"/>
              </w:rPr>
            </w:pPr>
          </w:p>
        </w:tc>
      </w:tr>
      <w:tr w:rsidRPr="00E05FC0" w:rsidR="0023299B" w:rsidTr="0023299B" w14:paraId="0EBB31BC" w14:textId="77777777">
        <w:trPr>
          <w:trHeight w:val="242"/>
        </w:trPr>
        <w:tc>
          <w:tcPr>
            <w:tcW w:w="1439" w:type="dxa"/>
            <w:vMerge/>
          </w:tcPr>
          <w:p w:rsidR="0023299B" w:rsidP="00A14F8D" w:rsidRDefault="0023299B" w14:paraId="05990C40" w14:textId="77777777">
            <w:pPr>
              <w:rPr>
                <w:rFonts w:cs="Calibri"/>
                <w:szCs w:val="22"/>
              </w:rPr>
            </w:pPr>
          </w:p>
        </w:tc>
        <w:tc>
          <w:tcPr>
            <w:tcW w:w="1525" w:type="dxa"/>
            <w:vMerge/>
          </w:tcPr>
          <w:p w:rsidRPr="00E05FC0" w:rsidR="0023299B" w:rsidP="00A14F8D" w:rsidRDefault="0023299B" w14:paraId="5B77B436" w14:textId="77777777">
            <w:pPr>
              <w:rPr>
                <w:rFonts w:cs="Calibri"/>
                <w:szCs w:val="22"/>
              </w:rPr>
            </w:pPr>
          </w:p>
        </w:tc>
        <w:tc>
          <w:tcPr>
            <w:tcW w:w="5671" w:type="dxa"/>
            <w:vAlign w:val="center"/>
          </w:tcPr>
          <w:p w:rsidRPr="00E05FC0" w:rsidR="0023299B" w:rsidP="00A14F8D" w:rsidRDefault="0023299B" w14:paraId="1A4967F7" w14:textId="77777777">
            <w:pPr>
              <w:rPr>
                <w:rFonts w:cs="Calibri"/>
                <w:sz w:val="21"/>
                <w:szCs w:val="21"/>
              </w:rPr>
            </w:pPr>
            <w:r w:rsidRPr="00E05FC0">
              <w:rPr>
                <w:rFonts w:cs="Calibri" w:asciiTheme="minorHAnsi" w:hAnsiTheme="minorHAnsi"/>
                <w:sz w:val="21"/>
                <w:szCs w:val="21"/>
              </w:rPr>
              <w:t>Number of operating hours since rod packing replacement</w:t>
            </w:r>
          </w:p>
        </w:tc>
        <w:tc>
          <w:tcPr>
            <w:tcW w:w="720" w:type="dxa"/>
            <w:vAlign w:val="center"/>
          </w:tcPr>
          <w:p w:rsidRPr="00E05FC0" w:rsidR="0023299B" w:rsidP="00A14F8D" w:rsidRDefault="0023299B" w14:paraId="0D263B3C" w14:textId="77777777">
            <w:pPr>
              <w:jc w:val="center"/>
              <w:rPr>
                <w:rFonts w:cs="Calibri"/>
                <w:szCs w:val="22"/>
              </w:rPr>
            </w:pPr>
          </w:p>
        </w:tc>
      </w:tr>
      <w:tr w:rsidRPr="00E05FC0" w:rsidR="0023299B" w:rsidTr="0023299B" w14:paraId="44996590" w14:textId="77777777">
        <w:trPr>
          <w:trHeight w:val="242"/>
        </w:trPr>
        <w:tc>
          <w:tcPr>
            <w:tcW w:w="1439" w:type="dxa"/>
            <w:vMerge/>
          </w:tcPr>
          <w:p w:rsidR="0023299B" w:rsidP="0023299B" w:rsidRDefault="0023299B" w14:paraId="76309559" w14:textId="77777777">
            <w:pPr>
              <w:rPr>
                <w:rFonts w:cs="Calibri"/>
                <w:szCs w:val="22"/>
              </w:rPr>
            </w:pPr>
          </w:p>
        </w:tc>
        <w:tc>
          <w:tcPr>
            <w:tcW w:w="1525" w:type="dxa"/>
            <w:vMerge/>
          </w:tcPr>
          <w:p w:rsidRPr="00E05FC0" w:rsidR="0023299B" w:rsidP="0023299B" w:rsidRDefault="0023299B" w14:paraId="40DE7AE8" w14:textId="77777777">
            <w:pPr>
              <w:rPr>
                <w:rFonts w:cs="Calibri"/>
                <w:szCs w:val="22"/>
              </w:rPr>
            </w:pPr>
          </w:p>
        </w:tc>
        <w:tc>
          <w:tcPr>
            <w:tcW w:w="5671" w:type="dxa"/>
            <w:vAlign w:val="center"/>
          </w:tcPr>
          <w:p w:rsidRPr="009C7875" w:rsidR="0023299B" w:rsidP="0023299B" w:rsidRDefault="0023299B" w14:paraId="321DFA29" w14:textId="0E968F31">
            <w:pPr>
              <w:rPr>
                <w:rFonts w:cs="Calibri"/>
                <w:sz w:val="21"/>
                <w:szCs w:val="21"/>
                <w:highlight w:val="yellow"/>
              </w:rPr>
            </w:pPr>
            <w:r w:rsidRPr="009C7875">
              <w:rPr>
                <w:sz w:val="21"/>
                <w:szCs w:val="21"/>
                <w:highlight w:val="yellow"/>
              </w:rPr>
              <w:t>Indicate all of the following that apply to rod packing venting emissions from the compressor during the year:</w:t>
            </w:r>
          </w:p>
        </w:tc>
        <w:tc>
          <w:tcPr>
            <w:tcW w:w="720" w:type="dxa"/>
            <w:vAlign w:val="center"/>
          </w:tcPr>
          <w:p w:rsidRPr="00E05FC0" w:rsidR="0023299B" w:rsidP="0023299B" w:rsidRDefault="0023299B" w14:paraId="4312D59B" w14:textId="77777777">
            <w:pPr>
              <w:jc w:val="center"/>
              <w:rPr>
                <w:rFonts w:cs="Calibri"/>
                <w:szCs w:val="22"/>
              </w:rPr>
            </w:pPr>
          </w:p>
        </w:tc>
      </w:tr>
      <w:tr w:rsidRPr="00E05FC0" w:rsidR="0023299B" w:rsidTr="0023299B" w14:paraId="0326F55A" w14:textId="77777777">
        <w:trPr>
          <w:trHeight w:val="242"/>
        </w:trPr>
        <w:tc>
          <w:tcPr>
            <w:tcW w:w="1439" w:type="dxa"/>
            <w:vMerge/>
          </w:tcPr>
          <w:p w:rsidR="0023299B" w:rsidP="0023299B" w:rsidRDefault="0023299B" w14:paraId="0432F4A6" w14:textId="77777777">
            <w:pPr>
              <w:rPr>
                <w:rFonts w:cs="Calibri"/>
                <w:szCs w:val="22"/>
              </w:rPr>
            </w:pPr>
          </w:p>
        </w:tc>
        <w:tc>
          <w:tcPr>
            <w:tcW w:w="1525" w:type="dxa"/>
            <w:vMerge/>
          </w:tcPr>
          <w:p w:rsidRPr="00E05FC0" w:rsidR="0023299B" w:rsidP="0023299B" w:rsidRDefault="0023299B" w14:paraId="31E038D5" w14:textId="77777777">
            <w:pPr>
              <w:rPr>
                <w:rFonts w:cs="Calibri"/>
                <w:szCs w:val="22"/>
              </w:rPr>
            </w:pPr>
          </w:p>
        </w:tc>
        <w:tc>
          <w:tcPr>
            <w:tcW w:w="5671" w:type="dxa"/>
            <w:vAlign w:val="center"/>
          </w:tcPr>
          <w:p w:rsidRPr="009C7875" w:rsidR="0023299B" w:rsidP="0023299B" w:rsidRDefault="0023299B" w14:paraId="01F10386" w14:textId="410001F3">
            <w:pPr>
              <w:rPr>
                <w:rFonts w:cs="Calibri"/>
                <w:sz w:val="21"/>
                <w:szCs w:val="21"/>
                <w:highlight w:val="yellow"/>
              </w:rPr>
            </w:pPr>
            <w:r w:rsidRPr="009C7875">
              <w:rPr>
                <w:sz w:val="21"/>
                <w:szCs w:val="21"/>
                <w:highlight w:val="yellow"/>
              </w:rPr>
              <w:t>Emissions are vented to the atmosphere</w:t>
            </w:r>
          </w:p>
        </w:tc>
        <w:tc>
          <w:tcPr>
            <w:tcW w:w="720" w:type="dxa"/>
            <w:vAlign w:val="center"/>
          </w:tcPr>
          <w:p w:rsidRPr="00E05FC0" w:rsidR="0023299B" w:rsidP="0023299B" w:rsidRDefault="0023299B" w14:paraId="1620CB61" w14:textId="0E48A073">
            <w:pPr>
              <w:jc w:val="center"/>
              <w:rPr>
                <w:rFonts w:cs="Calibri"/>
                <w:szCs w:val="22"/>
              </w:rPr>
            </w:pPr>
          </w:p>
        </w:tc>
      </w:tr>
      <w:tr w:rsidRPr="00E05FC0" w:rsidR="0023299B" w:rsidTr="0023299B" w14:paraId="557F12DD" w14:textId="77777777">
        <w:trPr>
          <w:trHeight w:val="242"/>
        </w:trPr>
        <w:tc>
          <w:tcPr>
            <w:tcW w:w="1439" w:type="dxa"/>
            <w:vMerge/>
          </w:tcPr>
          <w:p w:rsidR="0023299B" w:rsidP="0023299B" w:rsidRDefault="0023299B" w14:paraId="10448BE8" w14:textId="77777777">
            <w:pPr>
              <w:rPr>
                <w:rFonts w:cs="Calibri"/>
                <w:szCs w:val="22"/>
              </w:rPr>
            </w:pPr>
          </w:p>
        </w:tc>
        <w:tc>
          <w:tcPr>
            <w:tcW w:w="1525" w:type="dxa"/>
            <w:vMerge/>
          </w:tcPr>
          <w:p w:rsidRPr="00E05FC0" w:rsidR="0023299B" w:rsidP="0023299B" w:rsidRDefault="0023299B" w14:paraId="30B7F8C8" w14:textId="77777777">
            <w:pPr>
              <w:rPr>
                <w:rFonts w:cs="Calibri"/>
                <w:szCs w:val="22"/>
              </w:rPr>
            </w:pPr>
          </w:p>
        </w:tc>
        <w:tc>
          <w:tcPr>
            <w:tcW w:w="5671" w:type="dxa"/>
            <w:vAlign w:val="center"/>
          </w:tcPr>
          <w:p w:rsidRPr="009C7875" w:rsidR="0023299B" w:rsidP="0023299B" w:rsidRDefault="0023299B" w14:paraId="1CCFDEA9" w14:textId="1300E244">
            <w:pPr>
              <w:rPr>
                <w:rFonts w:cs="Calibri"/>
                <w:sz w:val="21"/>
                <w:szCs w:val="21"/>
                <w:highlight w:val="yellow"/>
              </w:rPr>
            </w:pPr>
            <w:r w:rsidRPr="009C7875">
              <w:rPr>
                <w:sz w:val="21"/>
                <w:szCs w:val="21"/>
                <w:highlight w:val="yellow"/>
              </w:rPr>
              <w:t>Emissions are routed to vapor recovery</w:t>
            </w:r>
          </w:p>
        </w:tc>
        <w:tc>
          <w:tcPr>
            <w:tcW w:w="720" w:type="dxa"/>
            <w:vAlign w:val="center"/>
          </w:tcPr>
          <w:p w:rsidRPr="00E05FC0" w:rsidR="0023299B" w:rsidP="0023299B" w:rsidRDefault="0023299B" w14:paraId="6D9DB03D" w14:textId="13401C72">
            <w:pPr>
              <w:jc w:val="center"/>
              <w:rPr>
                <w:rFonts w:cs="Calibri"/>
                <w:szCs w:val="22"/>
              </w:rPr>
            </w:pPr>
          </w:p>
        </w:tc>
      </w:tr>
      <w:tr w:rsidRPr="00E05FC0" w:rsidR="0023299B" w:rsidTr="0023299B" w14:paraId="0A7EBA95" w14:textId="77777777">
        <w:trPr>
          <w:trHeight w:val="242"/>
        </w:trPr>
        <w:tc>
          <w:tcPr>
            <w:tcW w:w="1439" w:type="dxa"/>
            <w:vMerge/>
          </w:tcPr>
          <w:p w:rsidR="0023299B" w:rsidP="0023299B" w:rsidRDefault="0023299B" w14:paraId="29CFB858" w14:textId="77777777">
            <w:pPr>
              <w:rPr>
                <w:rFonts w:cs="Calibri"/>
                <w:szCs w:val="22"/>
              </w:rPr>
            </w:pPr>
          </w:p>
        </w:tc>
        <w:tc>
          <w:tcPr>
            <w:tcW w:w="1525" w:type="dxa"/>
            <w:vMerge/>
          </w:tcPr>
          <w:p w:rsidRPr="00E05FC0" w:rsidR="0023299B" w:rsidP="0023299B" w:rsidRDefault="0023299B" w14:paraId="20DFD539" w14:textId="77777777">
            <w:pPr>
              <w:rPr>
                <w:rFonts w:cs="Calibri"/>
                <w:szCs w:val="22"/>
              </w:rPr>
            </w:pPr>
          </w:p>
        </w:tc>
        <w:tc>
          <w:tcPr>
            <w:tcW w:w="5671" w:type="dxa"/>
            <w:vAlign w:val="center"/>
          </w:tcPr>
          <w:p w:rsidRPr="009C7875" w:rsidR="0023299B" w:rsidP="0023299B" w:rsidRDefault="0023299B" w14:paraId="4603A999" w14:textId="09CAB0BF">
            <w:pPr>
              <w:rPr>
                <w:rFonts w:cs="Calibri"/>
                <w:sz w:val="21"/>
                <w:szCs w:val="21"/>
                <w:highlight w:val="yellow"/>
              </w:rPr>
            </w:pPr>
            <w:r w:rsidRPr="009C7875">
              <w:rPr>
                <w:sz w:val="21"/>
                <w:szCs w:val="21"/>
                <w:highlight w:val="yellow"/>
              </w:rPr>
              <w:t>Emissions are routed to flare</w:t>
            </w:r>
          </w:p>
        </w:tc>
        <w:tc>
          <w:tcPr>
            <w:tcW w:w="720" w:type="dxa"/>
            <w:vAlign w:val="center"/>
          </w:tcPr>
          <w:p w:rsidRPr="00E05FC0" w:rsidR="0023299B" w:rsidP="0023299B" w:rsidRDefault="0023299B" w14:paraId="158E2DC6" w14:textId="1D8FEB87">
            <w:pPr>
              <w:jc w:val="center"/>
              <w:rPr>
                <w:rFonts w:cs="Calibri"/>
                <w:szCs w:val="22"/>
              </w:rPr>
            </w:pPr>
          </w:p>
        </w:tc>
      </w:tr>
      <w:tr w:rsidRPr="00E05FC0" w:rsidR="0023299B" w:rsidTr="0023299B" w14:paraId="01269973" w14:textId="77777777">
        <w:trPr>
          <w:trHeight w:val="242"/>
        </w:trPr>
        <w:tc>
          <w:tcPr>
            <w:tcW w:w="1439" w:type="dxa"/>
            <w:vMerge/>
          </w:tcPr>
          <w:p w:rsidR="0023299B" w:rsidP="0023299B" w:rsidRDefault="0023299B" w14:paraId="165EA193" w14:textId="77777777">
            <w:pPr>
              <w:rPr>
                <w:rFonts w:cs="Calibri"/>
                <w:szCs w:val="22"/>
              </w:rPr>
            </w:pPr>
          </w:p>
        </w:tc>
        <w:tc>
          <w:tcPr>
            <w:tcW w:w="1525" w:type="dxa"/>
            <w:vMerge/>
          </w:tcPr>
          <w:p w:rsidRPr="00E05FC0" w:rsidR="0023299B" w:rsidP="0023299B" w:rsidRDefault="0023299B" w14:paraId="47694EF5" w14:textId="77777777">
            <w:pPr>
              <w:rPr>
                <w:rFonts w:cs="Calibri"/>
                <w:szCs w:val="22"/>
              </w:rPr>
            </w:pPr>
          </w:p>
        </w:tc>
        <w:tc>
          <w:tcPr>
            <w:tcW w:w="5671" w:type="dxa"/>
            <w:vAlign w:val="center"/>
          </w:tcPr>
          <w:p w:rsidRPr="009C7875" w:rsidR="0023299B" w:rsidP="0023299B" w:rsidRDefault="0023299B" w14:paraId="2E06DC94" w14:textId="414854BF">
            <w:pPr>
              <w:rPr>
                <w:rFonts w:cs="Calibri"/>
                <w:sz w:val="21"/>
                <w:szCs w:val="21"/>
                <w:highlight w:val="yellow"/>
              </w:rPr>
            </w:pPr>
            <w:r w:rsidRPr="009C7875">
              <w:rPr>
                <w:sz w:val="21"/>
                <w:szCs w:val="21"/>
                <w:highlight w:val="yellow"/>
              </w:rPr>
              <w:t>Emissions are captured for fuel use or routed to a thermal oxidizer</w:t>
            </w:r>
          </w:p>
        </w:tc>
        <w:tc>
          <w:tcPr>
            <w:tcW w:w="720" w:type="dxa"/>
            <w:vAlign w:val="center"/>
          </w:tcPr>
          <w:p w:rsidRPr="00E05FC0" w:rsidR="0023299B" w:rsidP="0023299B" w:rsidRDefault="0023299B" w14:paraId="5848EFDB" w14:textId="354B50AB">
            <w:pPr>
              <w:jc w:val="center"/>
              <w:rPr>
                <w:rFonts w:cs="Calibri"/>
                <w:szCs w:val="22"/>
              </w:rPr>
            </w:pPr>
          </w:p>
        </w:tc>
      </w:tr>
      <w:tr w:rsidRPr="00E05FC0" w:rsidR="0023299B" w:rsidTr="0023299B" w14:paraId="450A6A40" w14:textId="77777777">
        <w:trPr>
          <w:trHeight w:val="242"/>
        </w:trPr>
        <w:tc>
          <w:tcPr>
            <w:tcW w:w="1439" w:type="dxa"/>
            <w:vMerge/>
          </w:tcPr>
          <w:p w:rsidR="0023299B" w:rsidP="0023299B" w:rsidRDefault="0023299B" w14:paraId="027543AD" w14:textId="77777777">
            <w:pPr>
              <w:rPr>
                <w:rFonts w:cs="Calibri"/>
                <w:szCs w:val="22"/>
              </w:rPr>
            </w:pPr>
          </w:p>
        </w:tc>
        <w:tc>
          <w:tcPr>
            <w:tcW w:w="1525" w:type="dxa"/>
            <w:vMerge/>
          </w:tcPr>
          <w:p w:rsidRPr="00E05FC0" w:rsidR="0023299B" w:rsidP="0023299B" w:rsidRDefault="0023299B" w14:paraId="67B1FAEB" w14:textId="77777777">
            <w:pPr>
              <w:rPr>
                <w:rFonts w:cs="Calibri"/>
                <w:szCs w:val="22"/>
              </w:rPr>
            </w:pPr>
          </w:p>
        </w:tc>
        <w:tc>
          <w:tcPr>
            <w:tcW w:w="5671" w:type="dxa"/>
            <w:vAlign w:val="center"/>
          </w:tcPr>
          <w:p w:rsidRPr="009C7875" w:rsidR="0023299B" w:rsidP="0023299B" w:rsidRDefault="000601B8" w14:paraId="31F3F69F" w14:textId="0B662107">
            <w:pPr>
              <w:rPr>
                <w:rFonts w:cs="Calibri"/>
                <w:sz w:val="21"/>
                <w:szCs w:val="21"/>
                <w:highlight w:val="yellow"/>
              </w:rPr>
            </w:pPr>
            <w:r w:rsidRPr="009C7875">
              <w:rPr>
                <w:sz w:val="21"/>
                <w:szCs w:val="21"/>
                <w:highlight w:val="yellow"/>
              </w:rPr>
              <w:t>Is compressor part of a manifolded group of compressor sources? (Y/N)</w:t>
            </w:r>
          </w:p>
        </w:tc>
        <w:tc>
          <w:tcPr>
            <w:tcW w:w="720" w:type="dxa"/>
            <w:vAlign w:val="center"/>
          </w:tcPr>
          <w:p w:rsidRPr="00E05FC0" w:rsidR="0023299B" w:rsidP="0023299B" w:rsidRDefault="0023299B" w14:paraId="7748F5CB" w14:textId="2562738F">
            <w:pPr>
              <w:jc w:val="center"/>
              <w:rPr>
                <w:rFonts w:cs="Calibri"/>
                <w:szCs w:val="22"/>
              </w:rPr>
            </w:pPr>
          </w:p>
        </w:tc>
      </w:tr>
      <w:tr w:rsidRPr="00E05FC0" w:rsidR="0023299B" w:rsidTr="0023299B" w14:paraId="06F32304" w14:textId="77777777">
        <w:trPr>
          <w:trHeight w:val="368"/>
        </w:trPr>
        <w:tc>
          <w:tcPr>
            <w:tcW w:w="1439" w:type="dxa"/>
            <w:vMerge w:val="restart"/>
            <w:shd w:val="clear" w:color="auto" w:fill="D9D9D9" w:themeFill="background1" w:themeFillShade="D9"/>
          </w:tcPr>
          <w:p w:rsidRPr="00E05FC0" w:rsidR="0023299B" w:rsidP="0023299B" w:rsidRDefault="0023299B" w14:paraId="3E6FB0F8" w14:textId="77777777">
            <w:pPr>
              <w:keepNext/>
              <w:keepLines/>
              <w:rPr>
                <w:rFonts w:cs="Calibri"/>
                <w:szCs w:val="22"/>
              </w:rPr>
            </w:pPr>
            <w:r w:rsidRPr="00E05FC0">
              <w:rPr>
                <w:rFonts w:cs="Calibri"/>
                <w:szCs w:val="22"/>
              </w:rPr>
              <w:t xml:space="preserve">Voluntary action to reduce methane emissions during the </w:t>
            </w:r>
            <w:r w:rsidRPr="00E05FC0">
              <w:rPr>
                <w:rFonts w:cs="Calibri" w:asciiTheme="minorHAnsi" w:hAnsiTheme="minorHAnsi"/>
                <w:szCs w:val="22"/>
              </w:rPr>
              <w:t>reporting year</w:t>
            </w:r>
          </w:p>
        </w:tc>
        <w:tc>
          <w:tcPr>
            <w:tcW w:w="1525" w:type="dxa"/>
            <w:vMerge w:val="restart"/>
            <w:shd w:val="clear" w:color="auto" w:fill="D9D9D9" w:themeFill="background1" w:themeFillShade="D9"/>
          </w:tcPr>
          <w:p w:rsidRPr="00E05FC0" w:rsidR="0023299B" w:rsidP="0023299B" w:rsidRDefault="0023299B" w14:paraId="5DE4F25C" w14:textId="77777777">
            <w:pPr>
              <w:keepNext/>
              <w:keepLines/>
              <w:rPr>
                <w:rFonts w:cs="Calibri"/>
                <w:szCs w:val="22"/>
              </w:rPr>
            </w:pPr>
            <w:r w:rsidRPr="00E05FC0">
              <w:rPr>
                <w:rFonts w:asciiTheme="minorHAnsi" w:hAnsiTheme="minorHAnsi"/>
                <w:sz w:val="21"/>
                <w:szCs w:val="21"/>
              </w:rPr>
              <w:t xml:space="preserve">Difference in emissions before and after </w:t>
            </w:r>
            <w:r w:rsidRPr="00E05FC0">
              <w:rPr>
                <w:rFonts w:asciiTheme="minorHAnsi" w:hAnsiTheme="minorHAnsi" w:cstheme="minorHAnsi"/>
                <w:sz w:val="21"/>
                <w:szCs w:val="21"/>
              </w:rPr>
              <w:t>mitigation</w:t>
            </w:r>
            <w:r w:rsidRPr="00E05FC0">
              <w:rPr>
                <w:rFonts w:asciiTheme="minorHAnsi" w:hAnsiTheme="minorHAnsi" w:cstheme="minorHAnsi"/>
                <w:sz w:val="21"/>
                <w:szCs w:val="21"/>
                <w:vertAlign w:val="superscript"/>
              </w:rPr>
              <w:footnoteReference w:id="32"/>
            </w:r>
          </w:p>
        </w:tc>
        <w:tc>
          <w:tcPr>
            <w:tcW w:w="5671" w:type="dxa"/>
            <w:shd w:val="clear" w:color="auto" w:fill="D9D9D9" w:themeFill="background1" w:themeFillShade="D9"/>
            <w:vAlign w:val="center"/>
          </w:tcPr>
          <w:p w:rsidRPr="00E05FC0" w:rsidR="0023299B" w:rsidP="0023299B" w:rsidRDefault="0023299B" w14:paraId="33328C37" w14:textId="77777777">
            <w:pPr>
              <w:keepNext/>
              <w:keepLines/>
              <w:rPr>
                <w:rFonts w:cs="Calibri"/>
                <w:szCs w:val="22"/>
              </w:rPr>
            </w:pPr>
            <w:r w:rsidRPr="00E05FC0">
              <w:rPr>
                <w:rFonts w:asciiTheme="minorHAnsi" w:hAnsiTheme="minorHAnsi"/>
                <w:sz w:val="21"/>
                <w:szCs w:val="21"/>
              </w:rPr>
              <w:t>Number of reciprocating compressors with rod packing vents routed to VRU or beneficial use during reporting year</w:t>
            </w:r>
          </w:p>
        </w:tc>
        <w:tc>
          <w:tcPr>
            <w:tcW w:w="720" w:type="dxa"/>
            <w:shd w:val="clear" w:color="auto" w:fill="D9D9D9" w:themeFill="background1" w:themeFillShade="D9"/>
          </w:tcPr>
          <w:p w:rsidRPr="00E05FC0" w:rsidR="0023299B" w:rsidP="0023299B" w:rsidRDefault="0023299B" w14:paraId="3539D6D3" w14:textId="77777777">
            <w:pPr>
              <w:keepNext/>
              <w:keepLines/>
              <w:jc w:val="center"/>
              <w:rPr>
                <w:rFonts w:cs="Calibri"/>
                <w:szCs w:val="22"/>
              </w:rPr>
            </w:pPr>
          </w:p>
        </w:tc>
      </w:tr>
      <w:tr w:rsidRPr="00E05FC0" w:rsidR="0023299B" w:rsidTr="0023299B" w14:paraId="6851FC0D" w14:textId="77777777">
        <w:trPr>
          <w:trHeight w:val="260"/>
        </w:trPr>
        <w:tc>
          <w:tcPr>
            <w:tcW w:w="1439" w:type="dxa"/>
            <w:vMerge/>
            <w:shd w:val="clear" w:color="auto" w:fill="D9D9D9" w:themeFill="background1" w:themeFillShade="D9"/>
          </w:tcPr>
          <w:p w:rsidRPr="00E05FC0" w:rsidR="0023299B" w:rsidP="0023299B" w:rsidRDefault="0023299B" w14:paraId="3892F312" w14:textId="77777777">
            <w:pPr>
              <w:keepNext/>
              <w:keepLines/>
              <w:rPr>
                <w:rFonts w:cs="Calibri"/>
                <w:szCs w:val="22"/>
              </w:rPr>
            </w:pPr>
          </w:p>
        </w:tc>
        <w:tc>
          <w:tcPr>
            <w:tcW w:w="1525" w:type="dxa"/>
            <w:vMerge/>
            <w:shd w:val="clear" w:color="auto" w:fill="D9D9D9" w:themeFill="background1" w:themeFillShade="D9"/>
          </w:tcPr>
          <w:p w:rsidRPr="00E05FC0" w:rsidR="0023299B" w:rsidP="0023299B" w:rsidRDefault="0023299B" w14:paraId="7883D03A" w14:textId="77777777">
            <w:pPr>
              <w:keepNext/>
              <w:keepLines/>
              <w:rPr>
                <w:rFonts w:cs="Calibri"/>
                <w:szCs w:val="22"/>
              </w:rPr>
            </w:pPr>
          </w:p>
        </w:tc>
        <w:tc>
          <w:tcPr>
            <w:tcW w:w="5671" w:type="dxa"/>
            <w:shd w:val="clear" w:color="auto" w:fill="D9D9D9" w:themeFill="background1" w:themeFillShade="D9"/>
            <w:vAlign w:val="center"/>
          </w:tcPr>
          <w:p w:rsidRPr="00E05FC0" w:rsidR="0023299B" w:rsidP="0023299B" w:rsidRDefault="0023299B" w14:paraId="73D84757" w14:textId="77777777">
            <w:pPr>
              <w:keepNext/>
              <w:keepLines/>
              <w:rPr>
                <w:rFonts w:cs="Calibri"/>
                <w:szCs w:val="22"/>
              </w:rPr>
            </w:pPr>
            <w:r w:rsidRPr="00E05FC0">
              <w:rPr>
                <w:rFonts w:asciiTheme="minorHAnsi" w:hAnsiTheme="minorHAnsi"/>
                <w:sz w:val="21"/>
                <w:szCs w:val="21"/>
              </w:rPr>
              <w:t>Number of reciprocating compressors with rod packing vents routed to flare or control device during reporting year</w:t>
            </w:r>
          </w:p>
        </w:tc>
        <w:tc>
          <w:tcPr>
            <w:tcW w:w="720" w:type="dxa"/>
            <w:shd w:val="clear" w:color="auto" w:fill="D9D9D9" w:themeFill="background1" w:themeFillShade="D9"/>
          </w:tcPr>
          <w:p w:rsidRPr="00E05FC0" w:rsidR="0023299B" w:rsidP="0023299B" w:rsidRDefault="0023299B" w14:paraId="4B35C1A0" w14:textId="77777777">
            <w:pPr>
              <w:keepNext/>
              <w:keepLines/>
              <w:jc w:val="center"/>
              <w:rPr>
                <w:rFonts w:cs="Calibri"/>
                <w:szCs w:val="22"/>
              </w:rPr>
            </w:pPr>
          </w:p>
        </w:tc>
      </w:tr>
      <w:tr w:rsidRPr="00E05FC0" w:rsidR="0023299B" w:rsidTr="0023299B" w14:paraId="782E1BE6" w14:textId="77777777">
        <w:trPr>
          <w:trHeight w:val="260"/>
        </w:trPr>
        <w:tc>
          <w:tcPr>
            <w:tcW w:w="1439" w:type="dxa"/>
            <w:vMerge/>
            <w:shd w:val="clear" w:color="auto" w:fill="D9D9D9" w:themeFill="background1" w:themeFillShade="D9"/>
          </w:tcPr>
          <w:p w:rsidRPr="00E05FC0" w:rsidR="0023299B" w:rsidP="0023299B" w:rsidRDefault="0023299B" w14:paraId="2C3F7243" w14:textId="77777777">
            <w:pPr>
              <w:rPr>
                <w:rFonts w:cs="Calibri"/>
                <w:szCs w:val="22"/>
              </w:rPr>
            </w:pPr>
          </w:p>
        </w:tc>
        <w:tc>
          <w:tcPr>
            <w:tcW w:w="1525" w:type="dxa"/>
            <w:vMerge/>
            <w:shd w:val="clear" w:color="auto" w:fill="D9D9D9" w:themeFill="background1" w:themeFillShade="D9"/>
          </w:tcPr>
          <w:p w:rsidRPr="00E05FC0" w:rsidR="0023299B" w:rsidP="0023299B" w:rsidRDefault="0023299B" w14:paraId="190F51A1" w14:textId="77777777">
            <w:pPr>
              <w:rPr>
                <w:rFonts w:cs="Calibri"/>
                <w:szCs w:val="22"/>
              </w:rPr>
            </w:pPr>
          </w:p>
        </w:tc>
        <w:tc>
          <w:tcPr>
            <w:tcW w:w="5671" w:type="dxa"/>
            <w:shd w:val="clear" w:color="auto" w:fill="D9D9D9" w:themeFill="background1" w:themeFillShade="D9"/>
            <w:vAlign w:val="center"/>
          </w:tcPr>
          <w:p w:rsidRPr="00E05FC0" w:rsidR="0023299B" w:rsidP="0023299B" w:rsidRDefault="0023299B" w14:paraId="7BBB466E" w14:textId="77777777">
            <w:pPr>
              <w:rPr>
                <w:rFonts w:cs="Calibri"/>
                <w:szCs w:val="22"/>
              </w:rPr>
            </w:pPr>
            <w:r w:rsidRPr="00E05FC0">
              <w:rPr>
                <w:rFonts w:asciiTheme="minorHAnsi" w:hAnsiTheme="minorHAnsi"/>
                <w:sz w:val="21"/>
                <w:szCs w:val="21"/>
              </w:rPr>
              <w:t>Number of reciprocating compressors for which rod packing was replaced during reporting year</w:t>
            </w:r>
          </w:p>
        </w:tc>
        <w:tc>
          <w:tcPr>
            <w:tcW w:w="720" w:type="dxa"/>
            <w:shd w:val="clear" w:color="auto" w:fill="D9D9D9" w:themeFill="background1" w:themeFillShade="D9"/>
          </w:tcPr>
          <w:p w:rsidRPr="00E05FC0" w:rsidR="0023299B" w:rsidP="0023299B" w:rsidRDefault="0023299B" w14:paraId="5A89EBF6" w14:textId="77777777">
            <w:pPr>
              <w:jc w:val="center"/>
              <w:rPr>
                <w:rFonts w:cs="Calibri"/>
                <w:szCs w:val="22"/>
              </w:rPr>
            </w:pPr>
          </w:p>
        </w:tc>
      </w:tr>
      <w:tr w:rsidRPr="00E05FC0" w:rsidR="0023299B" w:rsidTr="0023299B" w14:paraId="0A4FED72" w14:textId="77777777">
        <w:trPr>
          <w:trHeight w:val="260"/>
        </w:trPr>
        <w:tc>
          <w:tcPr>
            <w:tcW w:w="1439" w:type="dxa"/>
            <w:vMerge/>
            <w:shd w:val="clear" w:color="auto" w:fill="D9D9D9" w:themeFill="background1" w:themeFillShade="D9"/>
          </w:tcPr>
          <w:p w:rsidRPr="00E05FC0" w:rsidR="0023299B" w:rsidP="0023299B" w:rsidRDefault="0023299B" w14:paraId="1BF13719" w14:textId="77777777">
            <w:pPr>
              <w:rPr>
                <w:rFonts w:cs="Calibri"/>
                <w:szCs w:val="22"/>
              </w:rPr>
            </w:pPr>
          </w:p>
        </w:tc>
        <w:tc>
          <w:tcPr>
            <w:tcW w:w="1525" w:type="dxa"/>
            <w:vMerge/>
            <w:shd w:val="clear" w:color="auto" w:fill="D9D9D9" w:themeFill="background1" w:themeFillShade="D9"/>
          </w:tcPr>
          <w:p w:rsidRPr="00E05FC0" w:rsidR="0023299B" w:rsidP="0023299B" w:rsidRDefault="0023299B" w14:paraId="0FDB8D55" w14:textId="77777777">
            <w:pPr>
              <w:rPr>
                <w:rFonts w:cs="Calibri"/>
                <w:szCs w:val="22"/>
              </w:rPr>
            </w:pPr>
          </w:p>
        </w:tc>
        <w:tc>
          <w:tcPr>
            <w:tcW w:w="5671" w:type="dxa"/>
            <w:shd w:val="clear" w:color="auto" w:fill="D9D9D9" w:themeFill="background1" w:themeFillShade="D9"/>
            <w:vAlign w:val="center"/>
          </w:tcPr>
          <w:p w:rsidRPr="00E05FC0" w:rsidR="0023299B" w:rsidP="0023299B" w:rsidRDefault="0023299B" w14:paraId="74C9A1C9" w14:textId="77777777">
            <w:pPr>
              <w:rPr>
                <w:sz w:val="21"/>
                <w:szCs w:val="21"/>
              </w:rPr>
            </w:pPr>
            <w:r w:rsidRPr="00E05FC0">
              <w:rPr>
                <w:rFonts w:cstheme="minorHAnsi"/>
                <w:sz w:val="21"/>
                <w:szCs w:val="21"/>
              </w:rPr>
              <w:t>Methodology used to quantify reductions</w:t>
            </w:r>
          </w:p>
        </w:tc>
        <w:tc>
          <w:tcPr>
            <w:tcW w:w="720" w:type="dxa"/>
            <w:shd w:val="clear" w:color="auto" w:fill="D9D9D9" w:themeFill="background1" w:themeFillShade="D9"/>
          </w:tcPr>
          <w:p w:rsidRPr="00E05FC0" w:rsidR="0023299B" w:rsidP="0023299B" w:rsidRDefault="0023299B" w14:paraId="765086CA" w14:textId="77777777">
            <w:pPr>
              <w:jc w:val="center"/>
              <w:rPr>
                <w:rFonts w:cs="Calibri"/>
                <w:szCs w:val="22"/>
              </w:rPr>
            </w:pPr>
          </w:p>
        </w:tc>
      </w:tr>
      <w:tr w:rsidRPr="00E05FC0" w:rsidR="0023299B" w:rsidTr="0023299B" w14:paraId="1C1607EA" w14:textId="77777777">
        <w:trPr>
          <w:trHeight w:val="260"/>
        </w:trPr>
        <w:tc>
          <w:tcPr>
            <w:tcW w:w="1439" w:type="dxa"/>
            <w:vMerge/>
            <w:shd w:val="clear" w:color="auto" w:fill="D9D9D9" w:themeFill="background1" w:themeFillShade="D9"/>
          </w:tcPr>
          <w:p w:rsidRPr="00E05FC0" w:rsidR="0023299B" w:rsidP="00084222" w:rsidRDefault="0023299B" w14:paraId="3754DDD8" w14:textId="77777777"/>
        </w:tc>
        <w:tc>
          <w:tcPr>
            <w:tcW w:w="1525" w:type="dxa"/>
            <w:vMerge/>
            <w:shd w:val="clear" w:color="auto" w:fill="D9D9D9" w:themeFill="background1" w:themeFillShade="D9"/>
          </w:tcPr>
          <w:p w:rsidRPr="00E05FC0" w:rsidR="0023299B" w:rsidP="00084222" w:rsidRDefault="0023299B" w14:paraId="4DCF807C" w14:textId="77777777"/>
        </w:tc>
        <w:tc>
          <w:tcPr>
            <w:tcW w:w="5671" w:type="dxa"/>
            <w:shd w:val="clear" w:color="auto" w:fill="D9D9D9" w:themeFill="background1" w:themeFillShade="D9"/>
            <w:vAlign w:val="center"/>
          </w:tcPr>
          <w:p w:rsidRPr="00E05FC0" w:rsidR="0023299B" w:rsidP="00084222" w:rsidRDefault="0023299B" w14:paraId="2C80E6CC" w14:textId="77777777">
            <w:r w:rsidRPr="00E05FC0">
              <w:rPr>
                <w:rFonts w:asciiTheme="minorHAnsi" w:hAnsiTheme="minorHAnsi"/>
                <w:sz w:val="21"/>
                <w:szCs w:val="21"/>
              </w:rPr>
              <w:t>Emission reductions from voluntary action (mt CH</w:t>
            </w:r>
            <w:r w:rsidRPr="00E05FC0">
              <w:rPr>
                <w:sz w:val="21"/>
                <w:szCs w:val="21"/>
                <w:vertAlign w:val="subscript"/>
              </w:rPr>
              <w:t>4</w:t>
            </w:r>
            <w:r w:rsidRPr="00E05FC0">
              <w:rPr>
                <w:rFonts w:asciiTheme="minorHAnsi" w:hAnsiTheme="minorHAnsi"/>
                <w:sz w:val="21"/>
                <w:szCs w:val="21"/>
              </w:rPr>
              <w:t>)</w:t>
            </w:r>
          </w:p>
        </w:tc>
        <w:tc>
          <w:tcPr>
            <w:tcW w:w="720" w:type="dxa"/>
            <w:shd w:val="clear" w:color="auto" w:fill="D9D9D9" w:themeFill="background1" w:themeFillShade="D9"/>
          </w:tcPr>
          <w:p w:rsidRPr="00E05FC0" w:rsidR="0023299B" w:rsidP="00084222" w:rsidRDefault="0023299B" w14:paraId="6822DA1A" w14:textId="77777777"/>
        </w:tc>
      </w:tr>
    </w:tbl>
    <w:p w:rsidRPr="00E24ED3" w:rsidR="00E24ED3" w:rsidP="00E24ED3" w:rsidRDefault="00E24ED3" w14:paraId="3D4FA2A1" w14:textId="79C55026">
      <w:pPr>
        <w:pStyle w:val="Heading3"/>
      </w:pPr>
      <w:bookmarkStart w:name="_Ref67321783" w:id="24"/>
      <w:r>
        <w:t>Reporting – Processing and Transmission and Storage:</w:t>
      </w:r>
      <w:bookmarkEnd w:id="24"/>
    </w:p>
    <w:tbl>
      <w:tblPr>
        <w:tblStyle w:val="TableGrid624"/>
        <w:tblW w:w="9269" w:type="dxa"/>
        <w:jc w:val="center"/>
        <w:tblInd w:w="0" w:type="dxa"/>
        <w:tblLayout w:type="fixed"/>
        <w:tblCellMar>
          <w:left w:w="58" w:type="dxa"/>
          <w:right w:w="58" w:type="dxa"/>
        </w:tblCellMar>
        <w:tblLook w:val="04A0" w:firstRow="1" w:lastRow="0" w:firstColumn="1" w:lastColumn="0" w:noHBand="0" w:noVBand="1"/>
        <w:tblDescription w:val="Reporting for Reciprocating Compressors- Rod Packing Vent"/>
      </w:tblPr>
      <w:tblGrid>
        <w:gridCol w:w="1426"/>
        <w:gridCol w:w="1515"/>
        <w:gridCol w:w="5614"/>
        <w:gridCol w:w="714"/>
      </w:tblGrid>
      <w:tr w:rsidRPr="00841662" w:rsidR="001F0154" w:rsidTr="00D86B04" w14:paraId="776A9704" w14:textId="77777777">
        <w:trPr>
          <w:trHeight w:val="323"/>
          <w:tblHeader/>
          <w:jc w:val="center"/>
        </w:trPr>
        <w:tc>
          <w:tcPr>
            <w:tcW w:w="1426" w:type="dxa"/>
            <w:tcBorders>
              <w:top w:val="single" w:color="auto" w:sz="4" w:space="0"/>
              <w:left w:val="single" w:color="auto" w:sz="4" w:space="0"/>
              <w:bottom w:val="single" w:color="auto" w:sz="4" w:space="0"/>
              <w:right w:val="single" w:color="auto" w:sz="4" w:space="0"/>
            </w:tcBorders>
            <w:shd w:val="clear" w:color="auto" w:fill="A6A6A6" w:themeFill="background1" w:themeFillShade="A6"/>
            <w:hideMark/>
          </w:tcPr>
          <w:p w:rsidRPr="00841662" w:rsidR="001F0154" w:rsidP="00A14F8D" w:rsidRDefault="001F0154" w14:paraId="1FB9CF2C" w14:textId="77777777">
            <w:pPr>
              <w:rPr>
                <w:rFonts w:cs="Calibri" w:asciiTheme="minorHAnsi" w:hAnsiTheme="minorHAnsi"/>
                <w:b/>
                <w:sz w:val="20"/>
                <w:szCs w:val="21"/>
              </w:rPr>
            </w:pPr>
            <w:r w:rsidRPr="00841662">
              <w:rPr>
                <w:rFonts w:cs="Calibri" w:asciiTheme="minorHAnsi" w:hAnsiTheme="minorHAnsi"/>
                <w:b/>
                <w:sz w:val="20"/>
                <w:szCs w:val="21"/>
              </w:rPr>
              <w:t>Emission Source</w:t>
            </w:r>
          </w:p>
        </w:tc>
        <w:tc>
          <w:tcPr>
            <w:tcW w:w="1515" w:type="dxa"/>
            <w:tcBorders>
              <w:top w:val="single" w:color="auto" w:sz="4" w:space="0"/>
              <w:left w:val="single" w:color="auto" w:sz="4" w:space="0"/>
              <w:bottom w:val="single" w:color="auto" w:sz="4" w:space="0"/>
              <w:right w:val="single" w:color="auto" w:sz="4" w:space="0"/>
            </w:tcBorders>
            <w:shd w:val="clear" w:color="auto" w:fill="A6A6A6" w:themeFill="background1" w:themeFillShade="A6"/>
            <w:hideMark/>
          </w:tcPr>
          <w:p w:rsidRPr="00841662" w:rsidR="001F0154" w:rsidP="00A14F8D" w:rsidRDefault="001F0154" w14:paraId="364D9743" w14:textId="77777777">
            <w:pPr>
              <w:rPr>
                <w:rFonts w:cs="Calibri" w:asciiTheme="minorHAnsi" w:hAnsiTheme="minorHAnsi"/>
                <w:b/>
                <w:sz w:val="20"/>
                <w:szCs w:val="21"/>
              </w:rPr>
            </w:pPr>
            <w:r w:rsidRPr="00841662">
              <w:rPr>
                <w:rFonts w:cs="Calibri" w:asciiTheme="minorHAnsi" w:hAnsiTheme="minorHAnsi"/>
                <w:b/>
                <w:sz w:val="20"/>
                <w:szCs w:val="21"/>
              </w:rPr>
              <w:t xml:space="preserve">Quantification Method </w:t>
            </w:r>
          </w:p>
        </w:tc>
        <w:tc>
          <w:tcPr>
            <w:tcW w:w="5614" w:type="dxa"/>
            <w:tcBorders>
              <w:top w:val="single" w:color="auto" w:sz="4" w:space="0"/>
              <w:left w:val="single" w:color="auto" w:sz="4" w:space="0"/>
              <w:bottom w:val="single" w:color="auto" w:sz="4" w:space="0"/>
              <w:right w:val="single" w:color="auto" w:sz="4" w:space="0"/>
            </w:tcBorders>
            <w:shd w:val="clear" w:color="auto" w:fill="A6A6A6" w:themeFill="background1" w:themeFillShade="A6"/>
            <w:hideMark/>
          </w:tcPr>
          <w:p w:rsidRPr="00841662" w:rsidR="001F0154" w:rsidP="00A14F8D" w:rsidRDefault="001F0154" w14:paraId="59B0BBBB" w14:textId="77777777">
            <w:pPr>
              <w:rPr>
                <w:rFonts w:cs="Calibri" w:asciiTheme="minorHAnsi" w:hAnsiTheme="minorHAnsi"/>
                <w:b/>
                <w:sz w:val="20"/>
                <w:szCs w:val="21"/>
              </w:rPr>
            </w:pPr>
            <w:r w:rsidRPr="00841662">
              <w:rPr>
                <w:rFonts w:cs="Calibri" w:asciiTheme="minorHAnsi" w:hAnsiTheme="minorHAnsi"/>
                <w:b/>
                <w:sz w:val="20"/>
                <w:szCs w:val="21"/>
              </w:rPr>
              <w:t>Data Elements Collected via Facility-Level Reporting</w:t>
            </w:r>
            <w:r w:rsidRPr="00841662">
              <w:rPr>
                <w:rFonts w:cs="Calibri" w:asciiTheme="minorHAnsi" w:hAnsiTheme="minorHAnsi"/>
                <w:b/>
                <w:sz w:val="20"/>
                <w:szCs w:val="21"/>
                <w:vertAlign w:val="superscript"/>
              </w:rPr>
              <w:footnoteReference w:id="33"/>
            </w:r>
          </w:p>
        </w:tc>
        <w:tc>
          <w:tcPr>
            <w:tcW w:w="714" w:type="dxa"/>
            <w:tcBorders>
              <w:top w:val="single" w:color="auto" w:sz="4" w:space="0"/>
              <w:left w:val="single" w:color="auto" w:sz="4" w:space="0"/>
              <w:bottom w:val="single" w:color="auto" w:sz="4" w:space="0"/>
              <w:right w:val="single" w:color="auto" w:sz="4" w:space="0"/>
            </w:tcBorders>
            <w:shd w:val="clear" w:color="auto" w:fill="A6A6A6" w:themeFill="background1" w:themeFillShade="A6"/>
            <w:tcMar>
              <w:left w:w="0" w:type="dxa"/>
              <w:right w:w="0" w:type="dxa"/>
            </w:tcMar>
            <w:hideMark/>
          </w:tcPr>
          <w:p w:rsidRPr="00841662" w:rsidR="001F0154" w:rsidP="00A14F8D" w:rsidRDefault="001F0154" w14:paraId="6C1EDF54" w14:textId="77777777">
            <w:pPr>
              <w:rPr>
                <w:rFonts w:cs="Calibri" w:asciiTheme="minorHAnsi" w:hAnsiTheme="minorHAnsi"/>
                <w:b/>
                <w:sz w:val="20"/>
                <w:szCs w:val="21"/>
              </w:rPr>
            </w:pPr>
            <w:r w:rsidRPr="00841662">
              <w:rPr>
                <w:rFonts w:cs="Calibri" w:asciiTheme="minorHAnsi" w:hAnsiTheme="minorHAnsi"/>
                <w:b/>
                <w:sz w:val="20"/>
                <w:szCs w:val="21"/>
              </w:rPr>
              <w:t>GHGRP</w:t>
            </w:r>
          </w:p>
        </w:tc>
      </w:tr>
      <w:tr w:rsidRPr="00841662" w:rsidR="001F0154" w:rsidTr="00D86B04" w14:paraId="6ED59FED" w14:textId="77777777">
        <w:trPr>
          <w:trHeight w:val="98"/>
          <w:jc w:val="center"/>
        </w:trPr>
        <w:tc>
          <w:tcPr>
            <w:tcW w:w="1426" w:type="dxa"/>
            <w:vMerge w:val="restart"/>
            <w:tcBorders>
              <w:top w:val="single" w:color="auto" w:sz="4" w:space="0"/>
              <w:left w:val="single" w:color="auto" w:sz="4" w:space="0"/>
              <w:right w:val="single" w:color="auto" w:sz="4" w:space="0"/>
            </w:tcBorders>
            <w:shd w:val="clear" w:color="auto" w:fill="auto"/>
            <w:vAlign w:val="center"/>
            <w:hideMark/>
          </w:tcPr>
          <w:p w:rsidRPr="00841662" w:rsidR="001F0154" w:rsidP="00BB1941" w:rsidRDefault="001F0154" w14:paraId="4F307E3F" w14:textId="77777777">
            <w:pPr>
              <w:spacing w:after="80"/>
              <w:rPr>
                <w:rFonts w:cs="Calibri" w:asciiTheme="minorHAnsi" w:hAnsiTheme="minorHAnsi"/>
                <w:sz w:val="21"/>
                <w:szCs w:val="21"/>
              </w:rPr>
            </w:pPr>
            <w:r w:rsidRPr="00841662">
              <w:rPr>
                <w:rFonts w:cs="Calibri" w:asciiTheme="minorHAnsi" w:hAnsiTheme="minorHAnsi"/>
                <w:sz w:val="21"/>
                <w:szCs w:val="21"/>
              </w:rPr>
              <w:t xml:space="preserve">Each reciprocating compressor </w:t>
            </w:r>
          </w:p>
        </w:tc>
        <w:tc>
          <w:tcPr>
            <w:tcW w:w="1515" w:type="dxa"/>
            <w:vMerge w:val="restart"/>
            <w:tcBorders>
              <w:top w:val="single" w:color="auto" w:sz="4" w:space="0"/>
              <w:left w:val="single" w:color="auto" w:sz="4" w:space="0"/>
              <w:right w:val="single" w:color="auto" w:sz="4" w:space="0"/>
            </w:tcBorders>
            <w:shd w:val="clear" w:color="auto" w:fill="auto"/>
            <w:vAlign w:val="center"/>
          </w:tcPr>
          <w:p w:rsidRPr="00841662" w:rsidR="001F0154" w:rsidP="00BB1941" w:rsidRDefault="001F0154" w14:paraId="1268123A" w14:textId="77777777">
            <w:pPr>
              <w:spacing w:after="80"/>
              <w:rPr>
                <w:rFonts w:cs="Calibri" w:asciiTheme="minorHAnsi" w:hAnsiTheme="minorHAnsi"/>
                <w:sz w:val="21"/>
                <w:szCs w:val="21"/>
              </w:rPr>
            </w:pPr>
            <w:r>
              <w:rPr>
                <w:rFonts w:cs="Calibri" w:asciiTheme="minorHAnsi" w:hAnsiTheme="minorHAnsi"/>
                <w:sz w:val="21"/>
                <w:szCs w:val="21"/>
              </w:rPr>
              <w:t>NA</w:t>
            </w:r>
          </w:p>
          <w:p w:rsidRPr="00841662" w:rsidR="001F0154" w:rsidP="00BB1941" w:rsidRDefault="001F0154" w14:paraId="3D8FFEA8" w14:textId="77777777">
            <w:pPr>
              <w:spacing w:after="80"/>
              <w:rPr>
                <w:rFonts w:cs="Calibri" w:asciiTheme="minorHAnsi" w:hAnsiTheme="minorHAnsi"/>
                <w:sz w:val="21"/>
                <w:szCs w:val="21"/>
              </w:rPr>
            </w:pPr>
          </w:p>
        </w:tc>
        <w:tc>
          <w:tcPr>
            <w:tcW w:w="561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41662" w:rsidR="001F0154" w:rsidP="00BB1941" w:rsidRDefault="001F0154" w14:paraId="582946BA" w14:textId="77777777">
            <w:pPr>
              <w:spacing w:after="80"/>
              <w:rPr>
                <w:rFonts w:cs="Calibri" w:asciiTheme="minorHAnsi" w:hAnsiTheme="minorHAnsi"/>
                <w:sz w:val="21"/>
                <w:szCs w:val="21"/>
              </w:rPr>
            </w:pPr>
            <w:r w:rsidRPr="00841662">
              <w:rPr>
                <w:rFonts w:asciiTheme="minorHAnsi" w:hAnsiTheme="minorHAnsi"/>
                <w:sz w:val="21"/>
                <w:szCs w:val="21"/>
              </w:rPr>
              <w:t>Unique name or ID for the reciprocating compressor</w:t>
            </w: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41662" w:rsidR="001F0154" w:rsidP="00BB1941" w:rsidRDefault="001F0154" w14:paraId="428B234A" w14:textId="77777777">
            <w:pPr>
              <w:spacing w:after="80"/>
              <w:jc w:val="center"/>
              <w:rPr>
                <w:rFonts w:cs="Calibri" w:asciiTheme="minorHAnsi" w:hAnsiTheme="minorHAnsi"/>
                <w:sz w:val="21"/>
                <w:szCs w:val="21"/>
              </w:rPr>
            </w:pPr>
            <w:r w:rsidRPr="00841662">
              <w:rPr>
                <w:rFonts w:cs="Calibri" w:asciiTheme="minorHAnsi" w:hAnsiTheme="minorHAnsi"/>
                <w:sz w:val="21"/>
                <w:szCs w:val="21"/>
              </w:rPr>
              <w:t>X</w:t>
            </w:r>
          </w:p>
        </w:tc>
      </w:tr>
      <w:tr w:rsidRPr="00841662" w:rsidR="001F0154" w:rsidTr="00D86B04" w14:paraId="761F897B" w14:textId="77777777">
        <w:trPr>
          <w:trHeight w:val="80"/>
          <w:jc w:val="center"/>
        </w:trPr>
        <w:tc>
          <w:tcPr>
            <w:tcW w:w="1426" w:type="dxa"/>
            <w:vMerge/>
            <w:tcBorders>
              <w:left w:val="single" w:color="auto" w:sz="4" w:space="0"/>
              <w:right w:val="single" w:color="auto" w:sz="4" w:space="0"/>
            </w:tcBorders>
            <w:shd w:val="clear" w:color="auto" w:fill="auto"/>
            <w:vAlign w:val="center"/>
            <w:hideMark/>
          </w:tcPr>
          <w:p w:rsidRPr="00841662" w:rsidR="001F0154" w:rsidP="00BB1941" w:rsidRDefault="001F0154" w14:paraId="14654355" w14:textId="77777777">
            <w:pPr>
              <w:spacing w:after="80"/>
              <w:rPr>
                <w:rFonts w:cs="Calibri" w:asciiTheme="minorHAnsi" w:hAnsiTheme="minorHAnsi"/>
                <w:sz w:val="21"/>
                <w:szCs w:val="21"/>
              </w:rPr>
            </w:pPr>
          </w:p>
        </w:tc>
        <w:tc>
          <w:tcPr>
            <w:tcW w:w="1515" w:type="dxa"/>
            <w:vMerge/>
            <w:tcBorders>
              <w:left w:val="single" w:color="auto" w:sz="4" w:space="0"/>
              <w:right w:val="single" w:color="auto" w:sz="4" w:space="0"/>
            </w:tcBorders>
            <w:shd w:val="clear" w:color="auto" w:fill="auto"/>
            <w:vAlign w:val="center"/>
            <w:hideMark/>
          </w:tcPr>
          <w:p w:rsidRPr="00841662" w:rsidR="001F0154" w:rsidP="00BB1941" w:rsidRDefault="001F0154" w14:paraId="0BD4CDA7" w14:textId="77777777">
            <w:pPr>
              <w:spacing w:after="80"/>
              <w:rPr>
                <w:rFonts w:cs="Calibri" w:asciiTheme="minorHAnsi" w:hAnsiTheme="minorHAnsi"/>
                <w:sz w:val="21"/>
                <w:szCs w:val="21"/>
              </w:rPr>
            </w:pPr>
          </w:p>
        </w:tc>
        <w:tc>
          <w:tcPr>
            <w:tcW w:w="5614" w:type="dxa"/>
            <w:tcBorders>
              <w:top w:val="single" w:color="auto" w:sz="4" w:space="0"/>
              <w:left w:val="single" w:color="auto" w:sz="4" w:space="0"/>
              <w:bottom w:val="single" w:color="auto" w:sz="4" w:space="0"/>
              <w:right w:val="single" w:color="auto" w:sz="4" w:space="0"/>
            </w:tcBorders>
            <w:shd w:val="clear" w:color="auto" w:fill="auto"/>
            <w:vAlign w:val="center"/>
          </w:tcPr>
          <w:p w:rsidRPr="00841662" w:rsidR="001F0154" w:rsidP="00BB1941" w:rsidRDefault="001F0154" w14:paraId="7DE234DD" w14:textId="77777777">
            <w:pPr>
              <w:spacing w:after="80"/>
              <w:rPr>
                <w:rFonts w:cs="Calibri" w:asciiTheme="minorHAnsi" w:hAnsiTheme="minorHAnsi"/>
                <w:sz w:val="21"/>
                <w:szCs w:val="21"/>
              </w:rPr>
            </w:pPr>
            <w:r w:rsidRPr="00841662">
              <w:rPr>
                <w:rFonts w:asciiTheme="minorHAnsi" w:hAnsiTheme="minorHAnsi"/>
                <w:sz w:val="21"/>
                <w:szCs w:val="21"/>
              </w:rPr>
              <w:t>Hours in operating-mode</w:t>
            </w: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rsidRPr="00841662" w:rsidR="001F0154" w:rsidP="00BB1941" w:rsidRDefault="001F0154" w14:paraId="6A130123" w14:textId="77777777">
            <w:pPr>
              <w:spacing w:after="80"/>
              <w:jc w:val="center"/>
              <w:rPr>
                <w:rFonts w:cs="Calibri" w:asciiTheme="minorHAnsi" w:hAnsiTheme="minorHAnsi"/>
                <w:sz w:val="21"/>
                <w:szCs w:val="21"/>
              </w:rPr>
            </w:pPr>
            <w:r w:rsidRPr="00841662">
              <w:rPr>
                <w:rFonts w:cs="Calibri" w:asciiTheme="minorHAnsi" w:hAnsiTheme="minorHAnsi"/>
                <w:sz w:val="21"/>
                <w:szCs w:val="21"/>
              </w:rPr>
              <w:t>X</w:t>
            </w:r>
          </w:p>
        </w:tc>
      </w:tr>
      <w:tr w:rsidRPr="00841662" w:rsidR="001F0154" w:rsidTr="00D86B04" w14:paraId="01959695" w14:textId="77777777">
        <w:trPr>
          <w:trHeight w:val="80"/>
          <w:jc w:val="center"/>
        </w:trPr>
        <w:tc>
          <w:tcPr>
            <w:tcW w:w="1426" w:type="dxa"/>
            <w:vMerge/>
            <w:tcBorders>
              <w:left w:val="single" w:color="auto" w:sz="4" w:space="0"/>
              <w:right w:val="single" w:color="auto" w:sz="4" w:space="0"/>
            </w:tcBorders>
            <w:shd w:val="clear" w:color="auto" w:fill="auto"/>
            <w:vAlign w:val="center"/>
            <w:hideMark/>
          </w:tcPr>
          <w:p w:rsidRPr="00841662" w:rsidR="001F0154" w:rsidP="00BB1941" w:rsidRDefault="001F0154" w14:paraId="32EA37DC" w14:textId="77777777">
            <w:pPr>
              <w:spacing w:after="80"/>
              <w:rPr>
                <w:rFonts w:cs="Calibri" w:asciiTheme="minorHAnsi" w:hAnsiTheme="minorHAnsi"/>
                <w:sz w:val="21"/>
                <w:szCs w:val="21"/>
              </w:rPr>
            </w:pPr>
          </w:p>
        </w:tc>
        <w:tc>
          <w:tcPr>
            <w:tcW w:w="1515" w:type="dxa"/>
            <w:vMerge/>
            <w:tcBorders>
              <w:left w:val="single" w:color="auto" w:sz="4" w:space="0"/>
              <w:right w:val="single" w:color="auto" w:sz="4" w:space="0"/>
            </w:tcBorders>
            <w:shd w:val="clear" w:color="auto" w:fill="auto"/>
            <w:vAlign w:val="center"/>
            <w:hideMark/>
          </w:tcPr>
          <w:p w:rsidRPr="00841662" w:rsidR="001F0154" w:rsidP="00BB1941" w:rsidRDefault="001F0154" w14:paraId="5E6DB648" w14:textId="77777777">
            <w:pPr>
              <w:spacing w:after="80"/>
              <w:rPr>
                <w:rFonts w:cs="Calibri" w:asciiTheme="minorHAnsi" w:hAnsiTheme="minorHAnsi"/>
                <w:sz w:val="21"/>
                <w:szCs w:val="21"/>
              </w:rPr>
            </w:pPr>
          </w:p>
        </w:tc>
        <w:tc>
          <w:tcPr>
            <w:tcW w:w="5614" w:type="dxa"/>
            <w:tcBorders>
              <w:top w:val="single" w:color="auto" w:sz="4" w:space="0"/>
              <w:left w:val="single" w:color="auto" w:sz="4" w:space="0"/>
              <w:bottom w:val="single" w:color="auto" w:sz="4" w:space="0"/>
              <w:right w:val="single" w:color="auto" w:sz="4" w:space="0"/>
            </w:tcBorders>
            <w:shd w:val="clear" w:color="auto" w:fill="auto"/>
            <w:vAlign w:val="center"/>
          </w:tcPr>
          <w:p w:rsidRPr="00841662" w:rsidR="001F0154" w:rsidP="00BB1941" w:rsidRDefault="001F0154" w14:paraId="31F6CD50" w14:textId="77777777">
            <w:pPr>
              <w:spacing w:after="80"/>
              <w:rPr>
                <w:rFonts w:cs="Calibri" w:asciiTheme="minorHAnsi" w:hAnsiTheme="minorHAnsi"/>
                <w:sz w:val="21"/>
                <w:szCs w:val="21"/>
              </w:rPr>
            </w:pPr>
            <w:r w:rsidRPr="00841662">
              <w:rPr>
                <w:rFonts w:asciiTheme="minorHAnsi" w:hAnsiTheme="minorHAnsi"/>
                <w:sz w:val="21"/>
                <w:szCs w:val="21"/>
              </w:rPr>
              <w:t>Hours in standby-pressurized-mode</w:t>
            </w: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rsidRPr="00841662" w:rsidR="001F0154" w:rsidP="00BB1941" w:rsidRDefault="001F0154" w14:paraId="642F31C7" w14:textId="77777777">
            <w:pPr>
              <w:spacing w:after="80"/>
              <w:jc w:val="center"/>
              <w:rPr>
                <w:rFonts w:cs="Calibri" w:asciiTheme="minorHAnsi" w:hAnsiTheme="minorHAnsi"/>
                <w:sz w:val="21"/>
                <w:szCs w:val="21"/>
              </w:rPr>
            </w:pPr>
            <w:r w:rsidRPr="00841662">
              <w:rPr>
                <w:rFonts w:cs="Calibri" w:asciiTheme="minorHAnsi" w:hAnsiTheme="minorHAnsi"/>
                <w:sz w:val="21"/>
                <w:szCs w:val="21"/>
              </w:rPr>
              <w:t>X</w:t>
            </w:r>
          </w:p>
        </w:tc>
      </w:tr>
      <w:tr w:rsidRPr="00841662" w:rsidR="001F0154" w:rsidTr="00D86B04" w14:paraId="1DE010FC" w14:textId="77777777">
        <w:trPr>
          <w:trHeight w:val="197"/>
          <w:jc w:val="center"/>
        </w:trPr>
        <w:tc>
          <w:tcPr>
            <w:tcW w:w="1426" w:type="dxa"/>
            <w:vMerge/>
            <w:tcBorders>
              <w:left w:val="single" w:color="auto" w:sz="4" w:space="0"/>
              <w:right w:val="single" w:color="auto" w:sz="4" w:space="0"/>
            </w:tcBorders>
            <w:shd w:val="clear" w:color="auto" w:fill="auto"/>
            <w:vAlign w:val="center"/>
            <w:hideMark/>
          </w:tcPr>
          <w:p w:rsidRPr="00841662" w:rsidR="001F0154" w:rsidP="00BB1941" w:rsidRDefault="001F0154" w14:paraId="62BE8C32" w14:textId="77777777">
            <w:pPr>
              <w:spacing w:after="80"/>
              <w:rPr>
                <w:rFonts w:cs="Calibri" w:asciiTheme="minorHAnsi" w:hAnsiTheme="minorHAnsi"/>
                <w:sz w:val="21"/>
                <w:szCs w:val="21"/>
              </w:rPr>
            </w:pPr>
          </w:p>
        </w:tc>
        <w:tc>
          <w:tcPr>
            <w:tcW w:w="1515" w:type="dxa"/>
            <w:vMerge/>
            <w:tcBorders>
              <w:left w:val="single" w:color="auto" w:sz="4" w:space="0"/>
              <w:right w:val="single" w:color="auto" w:sz="4" w:space="0"/>
            </w:tcBorders>
            <w:shd w:val="clear" w:color="auto" w:fill="auto"/>
            <w:vAlign w:val="center"/>
            <w:hideMark/>
          </w:tcPr>
          <w:p w:rsidRPr="00841662" w:rsidR="001F0154" w:rsidP="00BB1941" w:rsidRDefault="001F0154" w14:paraId="4315519A" w14:textId="77777777">
            <w:pPr>
              <w:spacing w:after="80"/>
              <w:rPr>
                <w:rFonts w:cs="Calibri" w:asciiTheme="minorHAnsi" w:hAnsiTheme="minorHAnsi"/>
                <w:sz w:val="21"/>
                <w:szCs w:val="21"/>
              </w:rPr>
            </w:pPr>
          </w:p>
        </w:tc>
        <w:tc>
          <w:tcPr>
            <w:tcW w:w="5614" w:type="dxa"/>
            <w:tcBorders>
              <w:top w:val="single" w:color="auto" w:sz="4" w:space="0"/>
              <w:left w:val="single" w:color="auto" w:sz="4" w:space="0"/>
              <w:bottom w:val="single" w:color="auto" w:sz="4" w:space="0"/>
              <w:right w:val="single" w:color="auto" w:sz="4" w:space="0"/>
            </w:tcBorders>
            <w:shd w:val="clear" w:color="auto" w:fill="auto"/>
            <w:vAlign w:val="center"/>
          </w:tcPr>
          <w:p w:rsidRPr="00841662" w:rsidR="001F0154" w:rsidP="00BB1941" w:rsidRDefault="001F0154" w14:paraId="23E8546B" w14:textId="77777777">
            <w:pPr>
              <w:spacing w:after="80"/>
              <w:rPr>
                <w:rFonts w:cs="Calibri" w:asciiTheme="minorHAnsi" w:hAnsiTheme="minorHAnsi"/>
                <w:sz w:val="21"/>
                <w:szCs w:val="21"/>
              </w:rPr>
            </w:pPr>
            <w:r w:rsidRPr="00841662">
              <w:rPr>
                <w:rFonts w:asciiTheme="minorHAnsi" w:hAnsiTheme="minorHAnsi"/>
                <w:sz w:val="21"/>
                <w:szCs w:val="21"/>
              </w:rPr>
              <w:t>Hours in not-operating-depressurized-mode</w:t>
            </w: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rsidRPr="00841662" w:rsidR="001F0154" w:rsidP="00BB1941" w:rsidRDefault="001F0154" w14:paraId="22FB4DB0" w14:textId="77777777">
            <w:pPr>
              <w:spacing w:after="80"/>
              <w:jc w:val="center"/>
              <w:rPr>
                <w:rFonts w:cs="Calibri" w:asciiTheme="minorHAnsi" w:hAnsiTheme="minorHAnsi"/>
                <w:sz w:val="21"/>
                <w:szCs w:val="21"/>
              </w:rPr>
            </w:pPr>
            <w:r w:rsidRPr="00841662">
              <w:rPr>
                <w:rFonts w:cs="Calibri" w:asciiTheme="minorHAnsi" w:hAnsiTheme="minorHAnsi"/>
                <w:sz w:val="21"/>
                <w:szCs w:val="21"/>
              </w:rPr>
              <w:t>X</w:t>
            </w:r>
          </w:p>
        </w:tc>
      </w:tr>
      <w:tr w:rsidRPr="00841662" w:rsidR="001F0154" w:rsidTr="00D86B04" w14:paraId="294F3C6F" w14:textId="77777777">
        <w:trPr>
          <w:trHeight w:val="197"/>
          <w:jc w:val="center"/>
        </w:trPr>
        <w:tc>
          <w:tcPr>
            <w:tcW w:w="1426" w:type="dxa"/>
            <w:vMerge/>
            <w:tcBorders>
              <w:left w:val="single" w:color="auto" w:sz="4" w:space="0"/>
              <w:right w:val="single" w:color="auto" w:sz="4" w:space="0"/>
            </w:tcBorders>
            <w:shd w:val="clear" w:color="auto" w:fill="auto"/>
            <w:vAlign w:val="center"/>
          </w:tcPr>
          <w:p w:rsidRPr="00841662" w:rsidR="001F0154" w:rsidP="00BB1941" w:rsidRDefault="001F0154" w14:paraId="37F8684B" w14:textId="77777777">
            <w:pPr>
              <w:spacing w:after="80"/>
              <w:rPr>
                <w:rFonts w:cs="Calibri" w:asciiTheme="minorHAnsi" w:hAnsiTheme="minorHAnsi"/>
                <w:sz w:val="21"/>
                <w:szCs w:val="21"/>
              </w:rPr>
            </w:pPr>
          </w:p>
        </w:tc>
        <w:tc>
          <w:tcPr>
            <w:tcW w:w="1515" w:type="dxa"/>
            <w:vMerge/>
            <w:tcBorders>
              <w:left w:val="single" w:color="auto" w:sz="4" w:space="0"/>
              <w:right w:val="single" w:color="auto" w:sz="4" w:space="0"/>
            </w:tcBorders>
            <w:shd w:val="clear" w:color="auto" w:fill="auto"/>
            <w:vAlign w:val="center"/>
          </w:tcPr>
          <w:p w:rsidRPr="00841662" w:rsidR="001F0154" w:rsidP="00BB1941" w:rsidRDefault="001F0154" w14:paraId="4FC5C96E" w14:textId="77777777">
            <w:pPr>
              <w:spacing w:after="80"/>
              <w:rPr>
                <w:rFonts w:cs="Calibri" w:asciiTheme="minorHAnsi" w:hAnsiTheme="minorHAnsi"/>
                <w:sz w:val="21"/>
                <w:szCs w:val="21"/>
              </w:rPr>
            </w:pPr>
          </w:p>
        </w:tc>
        <w:tc>
          <w:tcPr>
            <w:tcW w:w="5614" w:type="dxa"/>
            <w:tcBorders>
              <w:top w:val="single" w:color="auto" w:sz="4" w:space="0"/>
              <w:left w:val="single" w:color="auto" w:sz="4" w:space="0"/>
              <w:bottom w:val="single" w:color="auto" w:sz="4" w:space="0"/>
              <w:right w:val="single" w:color="auto" w:sz="4" w:space="0"/>
            </w:tcBorders>
            <w:shd w:val="clear" w:color="auto" w:fill="auto"/>
            <w:vAlign w:val="center"/>
          </w:tcPr>
          <w:p w:rsidRPr="00841662" w:rsidR="001F0154" w:rsidP="00BB1941" w:rsidRDefault="001F0154" w14:paraId="71CD6609" w14:textId="77777777">
            <w:pPr>
              <w:spacing w:after="80"/>
              <w:rPr>
                <w:rFonts w:asciiTheme="minorHAnsi" w:hAnsiTheme="minorHAnsi"/>
                <w:sz w:val="21"/>
                <w:szCs w:val="21"/>
              </w:rPr>
            </w:pPr>
            <w:r w:rsidRPr="00841662">
              <w:rPr>
                <w:rFonts w:cs="Calibri" w:asciiTheme="minorHAnsi" w:hAnsiTheme="minorHAnsi"/>
                <w:sz w:val="21"/>
                <w:szCs w:val="21"/>
              </w:rPr>
              <w:t>Is rod packing replacement occurring every 26,000 hours or 36 months (Y/N)</w:t>
            </w: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rsidRPr="00841662" w:rsidR="001F0154" w:rsidP="00BB1941" w:rsidRDefault="001F0154" w14:paraId="6FD068BE" w14:textId="77777777">
            <w:pPr>
              <w:spacing w:after="80"/>
              <w:jc w:val="center"/>
              <w:rPr>
                <w:rFonts w:cs="Calibri" w:asciiTheme="minorHAnsi" w:hAnsiTheme="minorHAnsi"/>
                <w:sz w:val="21"/>
                <w:szCs w:val="21"/>
              </w:rPr>
            </w:pPr>
          </w:p>
        </w:tc>
      </w:tr>
      <w:tr w:rsidRPr="00841662" w:rsidR="001F0154" w:rsidTr="00D86B04" w14:paraId="4C1E240F" w14:textId="77777777">
        <w:trPr>
          <w:trHeight w:val="197"/>
          <w:jc w:val="center"/>
        </w:trPr>
        <w:tc>
          <w:tcPr>
            <w:tcW w:w="1426" w:type="dxa"/>
            <w:vMerge/>
            <w:tcBorders>
              <w:left w:val="single" w:color="auto" w:sz="4" w:space="0"/>
              <w:right w:val="single" w:color="auto" w:sz="4" w:space="0"/>
            </w:tcBorders>
            <w:shd w:val="clear" w:color="auto" w:fill="auto"/>
            <w:vAlign w:val="center"/>
          </w:tcPr>
          <w:p w:rsidRPr="00841662" w:rsidR="001F0154" w:rsidP="00BB1941" w:rsidRDefault="001F0154" w14:paraId="5FCE2818" w14:textId="77777777">
            <w:pPr>
              <w:spacing w:after="80"/>
              <w:rPr>
                <w:rFonts w:cs="Calibri" w:asciiTheme="minorHAnsi" w:hAnsiTheme="minorHAnsi"/>
                <w:sz w:val="21"/>
                <w:szCs w:val="21"/>
              </w:rPr>
            </w:pPr>
          </w:p>
        </w:tc>
        <w:tc>
          <w:tcPr>
            <w:tcW w:w="1515" w:type="dxa"/>
            <w:vMerge/>
            <w:tcBorders>
              <w:left w:val="single" w:color="auto" w:sz="4" w:space="0"/>
              <w:right w:val="single" w:color="auto" w:sz="4" w:space="0"/>
            </w:tcBorders>
            <w:shd w:val="clear" w:color="auto" w:fill="auto"/>
            <w:vAlign w:val="center"/>
          </w:tcPr>
          <w:p w:rsidRPr="00841662" w:rsidR="001F0154" w:rsidP="00BB1941" w:rsidRDefault="001F0154" w14:paraId="02E4FC49" w14:textId="77777777">
            <w:pPr>
              <w:spacing w:after="80"/>
              <w:rPr>
                <w:rFonts w:cs="Calibri" w:asciiTheme="minorHAnsi" w:hAnsiTheme="minorHAnsi"/>
                <w:sz w:val="21"/>
                <w:szCs w:val="21"/>
              </w:rPr>
            </w:pPr>
          </w:p>
        </w:tc>
        <w:tc>
          <w:tcPr>
            <w:tcW w:w="5614" w:type="dxa"/>
            <w:tcBorders>
              <w:top w:val="single" w:color="auto" w:sz="4" w:space="0"/>
              <w:left w:val="single" w:color="auto" w:sz="4" w:space="0"/>
              <w:bottom w:val="single" w:color="auto" w:sz="4" w:space="0"/>
              <w:right w:val="single" w:color="auto" w:sz="4" w:space="0"/>
            </w:tcBorders>
            <w:shd w:val="clear" w:color="auto" w:fill="auto"/>
            <w:vAlign w:val="center"/>
          </w:tcPr>
          <w:p w:rsidRPr="00841662" w:rsidR="001F0154" w:rsidP="00BB1941" w:rsidRDefault="001F0154" w14:paraId="25AF2EA6" w14:textId="77777777">
            <w:pPr>
              <w:spacing w:after="80"/>
              <w:rPr>
                <w:rFonts w:asciiTheme="minorHAnsi" w:hAnsiTheme="minorHAnsi"/>
                <w:sz w:val="21"/>
                <w:szCs w:val="21"/>
              </w:rPr>
            </w:pPr>
            <w:r w:rsidRPr="00841662">
              <w:rPr>
                <w:rFonts w:cs="Calibri" w:asciiTheme="minorHAnsi" w:hAnsiTheme="minorHAnsi"/>
                <w:sz w:val="21"/>
                <w:szCs w:val="21"/>
              </w:rPr>
              <w:t>Date of last rod packing replacement</w:t>
            </w: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rsidRPr="00841662" w:rsidR="001F0154" w:rsidP="00BB1941" w:rsidRDefault="001F0154" w14:paraId="4C9D5DA3" w14:textId="77777777">
            <w:pPr>
              <w:spacing w:after="80"/>
              <w:jc w:val="center"/>
              <w:rPr>
                <w:rFonts w:cs="Calibri" w:asciiTheme="minorHAnsi" w:hAnsiTheme="minorHAnsi"/>
                <w:sz w:val="21"/>
                <w:szCs w:val="21"/>
              </w:rPr>
            </w:pPr>
          </w:p>
        </w:tc>
      </w:tr>
      <w:tr w:rsidRPr="00841662" w:rsidR="001F0154" w:rsidTr="00D86B04" w14:paraId="6326E1FC" w14:textId="77777777">
        <w:trPr>
          <w:trHeight w:val="197"/>
          <w:jc w:val="center"/>
        </w:trPr>
        <w:tc>
          <w:tcPr>
            <w:tcW w:w="1426" w:type="dxa"/>
            <w:vMerge/>
            <w:tcBorders>
              <w:left w:val="single" w:color="auto" w:sz="4" w:space="0"/>
              <w:right w:val="single" w:color="auto" w:sz="4" w:space="0"/>
            </w:tcBorders>
            <w:shd w:val="clear" w:color="auto" w:fill="auto"/>
            <w:vAlign w:val="center"/>
          </w:tcPr>
          <w:p w:rsidRPr="00841662" w:rsidR="001F0154" w:rsidP="00BB1941" w:rsidRDefault="001F0154" w14:paraId="3B5A383A" w14:textId="77777777">
            <w:pPr>
              <w:spacing w:after="80"/>
              <w:rPr>
                <w:rFonts w:cs="Calibri" w:asciiTheme="minorHAnsi" w:hAnsiTheme="minorHAnsi"/>
                <w:sz w:val="21"/>
                <w:szCs w:val="21"/>
              </w:rPr>
            </w:pPr>
          </w:p>
        </w:tc>
        <w:tc>
          <w:tcPr>
            <w:tcW w:w="1515" w:type="dxa"/>
            <w:vMerge/>
            <w:tcBorders>
              <w:left w:val="single" w:color="auto" w:sz="4" w:space="0"/>
              <w:right w:val="single" w:color="auto" w:sz="4" w:space="0"/>
            </w:tcBorders>
            <w:shd w:val="clear" w:color="auto" w:fill="auto"/>
            <w:vAlign w:val="center"/>
          </w:tcPr>
          <w:p w:rsidRPr="00841662" w:rsidR="001F0154" w:rsidP="00BB1941" w:rsidRDefault="001F0154" w14:paraId="0F2BEEAD" w14:textId="77777777">
            <w:pPr>
              <w:spacing w:after="80"/>
              <w:rPr>
                <w:rFonts w:cs="Calibri" w:asciiTheme="minorHAnsi" w:hAnsiTheme="minorHAnsi"/>
                <w:sz w:val="21"/>
                <w:szCs w:val="21"/>
              </w:rPr>
            </w:pPr>
          </w:p>
        </w:tc>
        <w:tc>
          <w:tcPr>
            <w:tcW w:w="5614" w:type="dxa"/>
            <w:tcBorders>
              <w:top w:val="single" w:color="auto" w:sz="4" w:space="0"/>
              <w:left w:val="single" w:color="auto" w:sz="4" w:space="0"/>
              <w:bottom w:val="single" w:color="auto" w:sz="4" w:space="0"/>
              <w:right w:val="single" w:color="auto" w:sz="4" w:space="0"/>
            </w:tcBorders>
            <w:shd w:val="clear" w:color="auto" w:fill="auto"/>
            <w:vAlign w:val="center"/>
          </w:tcPr>
          <w:p w:rsidRPr="00841662" w:rsidR="001F0154" w:rsidP="00BB1941" w:rsidRDefault="001F0154" w14:paraId="23702204" w14:textId="77777777">
            <w:pPr>
              <w:spacing w:after="80"/>
              <w:rPr>
                <w:rFonts w:asciiTheme="minorHAnsi" w:hAnsiTheme="minorHAnsi"/>
                <w:sz w:val="21"/>
                <w:szCs w:val="21"/>
              </w:rPr>
            </w:pPr>
            <w:r w:rsidRPr="00841662">
              <w:rPr>
                <w:rFonts w:cs="Calibri" w:asciiTheme="minorHAnsi" w:hAnsiTheme="minorHAnsi"/>
                <w:sz w:val="21"/>
                <w:szCs w:val="21"/>
              </w:rPr>
              <w:t>Number of operating hours since rod packing replacement</w:t>
            </w: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rsidRPr="00841662" w:rsidR="001F0154" w:rsidP="00BB1941" w:rsidRDefault="001F0154" w14:paraId="1FD5ABA7" w14:textId="77777777">
            <w:pPr>
              <w:spacing w:after="80"/>
              <w:jc w:val="center"/>
              <w:rPr>
                <w:rFonts w:cs="Calibri" w:asciiTheme="minorHAnsi" w:hAnsiTheme="minorHAnsi"/>
                <w:sz w:val="21"/>
                <w:szCs w:val="21"/>
              </w:rPr>
            </w:pPr>
          </w:p>
        </w:tc>
      </w:tr>
      <w:tr w:rsidRPr="00841662" w:rsidR="001F0154" w:rsidTr="00D86B04" w14:paraId="0B18BEF7" w14:textId="77777777">
        <w:trPr>
          <w:trHeight w:val="197"/>
          <w:jc w:val="center"/>
        </w:trPr>
        <w:tc>
          <w:tcPr>
            <w:tcW w:w="1426" w:type="dxa"/>
            <w:vMerge/>
            <w:tcBorders>
              <w:left w:val="single" w:color="auto" w:sz="4" w:space="0"/>
              <w:right w:val="single" w:color="auto" w:sz="4" w:space="0"/>
            </w:tcBorders>
            <w:shd w:val="clear" w:color="auto" w:fill="auto"/>
            <w:vAlign w:val="center"/>
          </w:tcPr>
          <w:p w:rsidRPr="00841662" w:rsidR="001F0154" w:rsidP="00BB1941" w:rsidRDefault="001F0154" w14:paraId="65B862DA" w14:textId="77777777">
            <w:pPr>
              <w:spacing w:after="80"/>
              <w:rPr>
                <w:rFonts w:cs="Calibri" w:asciiTheme="minorHAnsi" w:hAnsiTheme="minorHAnsi"/>
                <w:sz w:val="21"/>
                <w:szCs w:val="21"/>
              </w:rPr>
            </w:pPr>
          </w:p>
        </w:tc>
        <w:tc>
          <w:tcPr>
            <w:tcW w:w="1515" w:type="dxa"/>
            <w:vMerge/>
            <w:tcBorders>
              <w:left w:val="single" w:color="auto" w:sz="4" w:space="0"/>
              <w:right w:val="single" w:color="auto" w:sz="4" w:space="0"/>
            </w:tcBorders>
            <w:shd w:val="clear" w:color="auto" w:fill="auto"/>
            <w:vAlign w:val="center"/>
          </w:tcPr>
          <w:p w:rsidRPr="00841662" w:rsidR="001F0154" w:rsidP="00BB1941" w:rsidRDefault="001F0154" w14:paraId="6DB52B05" w14:textId="77777777">
            <w:pPr>
              <w:spacing w:after="80"/>
              <w:rPr>
                <w:rFonts w:cs="Calibri" w:asciiTheme="minorHAnsi" w:hAnsiTheme="minorHAnsi"/>
                <w:sz w:val="21"/>
                <w:szCs w:val="21"/>
              </w:rPr>
            </w:pPr>
          </w:p>
        </w:tc>
        <w:tc>
          <w:tcPr>
            <w:tcW w:w="5614" w:type="dxa"/>
            <w:tcBorders>
              <w:top w:val="single" w:color="auto" w:sz="4" w:space="0"/>
              <w:left w:val="single" w:color="auto" w:sz="4" w:space="0"/>
              <w:bottom w:val="single" w:color="auto" w:sz="4" w:space="0"/>
              <w:right w:val="single" w:color="auto" w:sz="4" w:space="0"/>
            </w:tcBorders>
            <w:shd w:val="clear" w:color="auto" w:fill="auto"/>
            <w:vAlign w:val="center"/>
          </w:tcPr>
          <w:p w:rsidRPr="00841662" w:rsidR="001F0154" w:rsidP="00BB1941" w:rsidRDefault="001F0154" w14:paraId="5A40593F" w14:textId="77777777">
            <w:pPr>
              <w:spacing w:after="80"/>
              <w:rPr>
                <w:rFonts w:asciiTheme="minorHAnsi" w:hAnsiTheme="minorHAnsi"/>
                <w:sz w:val="21"/>
                <w:szCs w:val="21"/>
              </w:rPr>
            </w:pPr>
            <w:r w:rsidRPr="00841662">
              <w:rPr>
                <w:rFonts w:asciiTheme="minorHAnsi" w:hAnsiTheme="minorHAnsi"/>
                <w:sz w:val="21"/>
                <w:szCs w:val="21"/>
              </w:rPr>
              <w:t>Which, if any, compressor sources are part of a manifolded group of compressor sources</w:t>
            </w: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rsidRPr="00841662" w:rsidR="001F0154" w:rsidP="00BB1941" w:rsidRDefault="001F0154" w14:paraId="71ACBE98" w14:textId="77777777">
            <w:pPr>
              <w:spacing w:after="80"/>
              <w:jc w:val="center"/>
              <w:rPr>
                <w:rFonts w:cs="Calibri" w:asciiTheme="minorHAnsi" w:hAnsiTheme="minorHAnsi"/>
                <w:sz w:val="21"/>
                <w:szCs w:val="21"/>
              </w:rPr>
            </w:pPr>
            <w:r w:rsidRPr="00841662">
              <w:rPr>
                <w:rFonts w:cs="Calibri" w:asciiTheme="minorHAnsi" w:hAnsiTheme="minorHAnsi"/>
                <w:sz w:val="21"/>
                <w:szCs w:val="21"/>
              </w:rPr>
              <w:t>X</w:t>
            </w:r>
          </w:p>
        </w:tc>
      </w:tr>
      <w:tr w:rsidRPr="00841662" w:rsidR="001F0154" w:rsidTr="00D86B04" w14:paraId="3510BA0F" w14:textId="77777777">
        <w:trPr>
          <w:trHeight w:val="197"/>
          <w:jc w:val="center"/>
        </w:trPr>
        <w:tc>
          <w:tcPr>
            <w:tcW w:w="1426" w:type="dxa"/>
            <w:vMerge/>
            <w:tcBorders>
              <w:left w:val="single" w:color="auto" w:sz="4" w:space="0"/>
              <w:right w:val="single" w:color="auto" w:sz="4" w:space="0"/>
            </w:tcBorders>
            <w:shd w:val="clear" w:color="auto" w:fill="auto"/>
            <w:vAlign w:val="center"/>
          </w:tcPr>
          <w:p w:rsidRPr="00841662" w:rsidR="001F0154" w:rsidP="00BB1941" w:rsidRDefault="001F0154" w14:paraId="4F62B304" w14:textId="77777777">
            <w:pPr>
              <w:spacing w:after="80"/>
              <w:rPr>
                <w:rFonts w:cs="Calibri" w:asciiTheme="minorHAnsi" w:hAnsiTheme="minorHAnsi"/>
                <w:sz w:val="21"/>
                <w:szCs w:val="21"/>
              </w:rPr>
            </w:pPr>
          </w:p>
        </w:tc>
        <w:tc>
          <w:tcPr>
            <w:tcW w:w="1515" w:type="dxa"/>
            <w:vMerge/>
            <w:tcBorders>
              <w:left w:val="single" w:color="auto" w:sz="4" w:space="0"/>
              <w:right w:val="single" w:color="auto" w:sz="4" w:space="0"/>
            </w:tcBorders>
            <w:shd w:val="clear" w:color="auto" w:fill="auto"/>
            <w:vAlign w:val="center"/>
          </w:tcPr>
          <w:p w:rsidRPr="00841662" w:rsidR="001F0154" w:rsidP="00BB1941" w:rsidRDefault="001F0154" w14:paraId="187A7D84" w14:textId="77777777">
            <w:pPr>
              <w:spacing w:after="80"/>
              <w:rPr>
                <w:rFonts w:cs="Calibri" w:asciiTheme="minorHAnsi" w:hAnsiTheme="minorHAnsi"/>
                <w:sz w:val="21"/>
                <w:szCs w:val="21"/>
              </w:rPr>
            </w:pPr>
          </w:p>
        </w:tc>
        <w:tc>
          <w:tcPr>
            <w:tcW w:w="63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841662" w:rsidR="001F0154" w:rsidP="00BB1941" w:rsidRDefault="001F0154" w14:paraId="2E2DFB5C" w14:textId="77777777">
            <w:pPr>
              <w:spacing w:after="80"/>
              <w:rPr>
                <w:rFonts w:cs="Calibri" w:asciiTheme="minorHAnsi" w:hAnsiTheme="minorHAnsi"/>
                <w:sz w:val="21"/>
                <w:szCs w:val="21"/>
              </w:rPr>
            </w:pPr>
            <w:r w:rsidRPr="00841662">
              <w:rPr>
                <w:rFonts w:asciiTheme="minorHAnsi" w:hAnsiTheme="minorHAnsi"/>
                <w:sz w:val="21"/>
                <w:szCs w:val="21"/>
              </w:rPr>
              <w:t>Indicate all of the following that apply to rod packing venting emissions from the compressor during the year:</w:t>
            </w:r>
          </w:p>
        </w:tc>
      </w:tr>
      <w:tr w:rsidRPr="00841662" w:rsidR="001F0154" w:rsidTr="00D86B04" w14:paraId="6BDE461F" w14:textId="77777777">
        <w:trPr>
          <w:trHeight w:val="197"/>
          <w:jc w:val="center"/>
        </w:trPr>
        <w:tc>
          <w:tcPr>
            <w:tcW w:w="1426" w:type="dxa"/>
            <w:vMerge/>
            <w:tcBorders>
              <w:left w:val="single" w:color="auto" w:sz="4" w:space="0"/>
              <w:right w:val="single" w:color="auto" w:sz="4" w:space="0"/>
            </w:tcBorders>
            <w:shd w:val="clear" w:color="auto" w:fill="auto"/>
            <w:vAlign w:val="center"/>
          </w:tcPr>
          <w:p w:rsidRPr="00841662" w:rsidR="001F0154" w:rsidP="00BB1941" w:rsidRDefault="001F0154" w14:paraId="5DBEAFC8" w14:textId="77777777">
            <w:pPr>
              <w:spacing w:after="80"/>
              <w:rPr>
                <w:rFonts w:cs="Calibri" w:asciiTheme="minorHAnsi" w:hAnsiTheme="minorHAnsi"/>
                <w:sz w:val="21"/>
                <w:szCs w:val="21"/>
              </w:rPr>
            </w:pPr>
          </w:p>
        </w:tc>
        <w:tc>
          <w:tcPr>
            <w:tcW w:w="1515" w:type="dxa"/>
            <w:vMerge/>
            <w:tcBorders>
              <w:left w:val="single" w:color="auto" w:sz="4" w:space="0"/>
              <w:right w:val="single" w:color="auto" w:sz="4" w:space="0"/>
            </w:tcBorders>
            <w:shd w:val="clear" w:color="auto" w:fill="auto"/>
            <w:vAlign w:val="center"/>
          </w:tcPr>
          <w:p w:rsidRPr="00841662" w:rsidR="001F0154" w:rsidP="00BB1941" w:rsidRDefault="001F0154" w14:paraId="776A7FCB" w14:textId="77777777">
            <w:pPr>
              <w:spacing w:after="80"/>
              <w:rPr>
                <w:rFonts w:cs="Calibri" w:asciiTheme="minorHAnsi" w:hAnsiTheme="minorHAnsi"/>
                <w:sz w:val="21"/>
                <w:szCs w:val="21"/>
              </w:rPr>
            </w:pPr>
          </w:p>
        </w:tc>
        <w:tc>
          <w:tcPr>
            <w:tcW w:w="5614" w:type="dxa"/>
            <w:tcBorders>
              <w:top w:val="single" w:color="auto" w:sz="4" w:space="0"/>
              <w:left w:val="single" w:color="auto" w:sz="4" w:space="0"/>
              <w:bottom w:val="single" w:color="auto" w:sz="4" w:space="0"/>
              <w:right w:val="single" w:color="auto" w:sz="4" w:space="0"/>
            </w:tcBorders>
            <w:shd w:val="clear" w:color="auto" w:fill="auto"/>
            <w:vAlign w:val="center"/>
          </w:tcPr>
          <w:p w:rsidRPr="00841662" w:rsidR="001F0154" w:rsidP="00BB1941" w:rsidRDefault="001F0154" w14:paraId="4BB57D6A" w14:textId="2535AB86">
            <w:pPr>
              <w:spacing w:after="80"/>
              <w:ind w:left="240"/>
              <w:rPr>
                <w:rFonts w:asciiTheme="minorHAnsi" w:hAnsiTheme="minorHAnsi"/>
                <w:sz w:val="21"/>
                <w:szCs w:val="21"/>
              </w:rPr>
            </w:pPr>
            <w:r w:rsidRPr="00841662">
              <w:rPr>
                <w:rFonts w:asciiTheme="minorHAnsi" w:hAnsiTheme="minorHAnsi"/>
                <w:sz w:val="21"/>
                <w:szCs w:val="21"/>
              </w:rPr>
              <w:t>Emissions are vented to the atmosphere</w:t>
            </w: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rsidRPr="00841662" w:rsidR="001F0154" w:rsidP="00BB1941" w:rsidRDefault="001F0154" w14:paraId="0C99304A" w14:textId="77777777">
            <w:pPr>
              <w:spacing w:after="80"/>
              <w:jc w:val="center"/>
              <w:rPr>
                <w:rFonts w:cs="Calibri" w:asciiTheme="minorHAnsi" w:hAnsiTheme="minorHAnsi"/>
                <w:sz w:val="21"/>
                <w:szCs w:val="21"/>
              </w:rPr>
            </w:pPr>
            <w:r>
              <w:rPr>
                <w:rFonts w:cs="Calibri" w:asciiTheme="minorHAnsi" w:hAnsiTheme="minorHAnsi"/>
                <w:sz w:val="21"/>
                <w:szCs w:val="21"/>
              </w:rPr>
              <w:t>X</w:t>
            </w:r>
          </w:p>
        </w:tc>
      </w:tr>
      <w:tr w:rsidRPr="00841662" w:rsidR="001F0154" w:rsidTr="00D86B04" w14:paraId="5D7EE4C4" w14:textId="77777777">
        <w:trPr>
          <w:trHeight w:val="197"/>
          <w:jc w:val="center"/>
        </w:trPr>
        <w:tc>
          <w:tcPr>
            <w:tcW w:w="1426" w:type="dxa"/>
            <w:vMerge/>
            <w:tcBorders>
              <w:left w:val="single" w:color="auto" w:sz="4" w:space="0"/>
              <w:right w:val="single" w:color="auto" w:sz="4" w:space="0"/>
            </w:tcBorders>
            <w:shd w:val="clear" w:color="auto" w:fill="auto"/>
            <w:vAlign w:val="center"/>
          </w:tcPr>
          <w:p w:rsidRPr="00841662" w:rsidR="001F0154" w:rsidP="00BB1941" w:rsidRDefault="001F0154" w14:paraId="4934F8CA" w14:textId="77777777">
            <w:pPr>
              <w:spacing w:after="80"/>
              <w:rPr>
                <w:rFonts w:cs="Calibri" w:asciiTheme="minorHAnsi" w:hAnsiTheme="minorHAnsi"/>
                <w:sz w:val="21"/>
                <w:szCs w:val="21"/>
              </w:rPr>
            </w:pPr>
          </w:p>
        </w:tc>
        <w:tc>
          <w:tcPr>
            <w:tcW w:w="1515" w:type="dxa"/>
            <w:vMerge/>
            <w:tcBorders>
              <w:left w:val="single" w:color="auto" w:sz="4" w:space="0"/>
              <w:right w:val="single" w:color="auto" w:sz="4" w:space="0"/>
            </w:tcBorders>
            <w:shd w:val="clear" w:color="auto" w:fill="auto"/>
            <w:vAlign w:val="center"/>
          </w:tcPr>
          <w:p w:rsidRPr="00841662" w:rsidR="001F0154" w:rsidP="00BB1941" w:rsidRDefault="001F0154" w14:paraId="10393C05" w14:textId="77777777">
            <w:pPr>
              <w:spacing w:after="80"/>
              <w:rPr>
                <w:rFonts w:cs="Calibri" w:asciiTheme="minorHAnsi" w:hAnsiTheme="minorHAnsi"/>
                <w:sz w:val="21"/>
                <w:szCs w:val="21"/>
              </w:rPr>
            </w:pPr>
          </w:p>
        </w:tc>
        <w:tc>
          <w:tcPr>
            <w:tcW w:w="5614" w:type="dxa"/>
            <w:tcBorders>
              <w:top w:val="single" w:color="auto" w:sz="4" w:space="0"/>
              <w:left w:val="single" w:color="auto" w:sz="4" w:space="0"/>
              <w:bottom w:val="single" w:color="auto" w:sz="4" w:space="0"/>
              <w:right w:val="single" w:color="auto" w:sz="4" w:space="0"/>
            </w:tcBorders>
            <w:shd w:val="clear" w:color="auto" w:fill="auto"/>
            <w:vAlign w:val="center"/>
          </w:tcPr>
          <w:p w:rsidRPr="00841662" w:rsidR="001F0154" w:rsidP="00BB1941" w:rsidRDefault="001F0154" w14:paraId="7EC04F19" w14:textId="77777777">
            <w:pPr>
              <w:spacing w:after="80"/>
              <w:ind w:left="240"/>
              <w:rPr>
                <w:rFonts w:asciiTheme="minorHAnsi" w:hAnsiTheme="minorHAnsi"/>
                <w:sz w:val="21"/>
                <w:szCs w:val="21"/>
              </w:rPr>
            </w:pPr>
            <w:r w:rsidRPr="00841662">
              <w:rPr>
                <w:rFonts w:asciiTheme="minorHAnsi" w:hAnsiTheme="minorHAnsi"/>
                <w:sz w:val="21"/>
                <w:szCs w:val="21"/>
              </w:rPr>
              <w:t>Emissions are routed to vapor recovery</w:t>
            </w: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rsidRPr="00841662" w:rsidR="001F0154" w:rsidP="00BB1941" w:rsidRDefault="001F0154" w14:paraId="32A776A2" w14:textId="77777777">
            <w:pPr>
              <w:spacing w:after="80"/>
              <w:jc w:val="center"/>
              <w:rPr>
                <w:rFonts w:cs="Calibri" w:asciiTheme="minorHAnsi" w:hAnsiTheme="minorHAnsi"/>
                <w:sz w:val="21"/>
                <w:szCs w:val="21"/>
              </w:rPr>
            </w:pPr>
            <w:r>
              <w:rPr>
                <w:rFonts w:cs="Calibri" w:asciiTheme="minorHAnsi" w:hAnsiTheme="minorHAnsi"/>
                <w:sz w:val="21"/>
                <w:szCs w:val="21"/>
              </w:rPr>
              <w:t>X</w:t>
            </w:r>
          </w:p>
        </w:tc>
      </w:tr>
      <w:tr w:rsidRPr="00841662" w:rsidR="001F0154" w:rsidTr="00D86B04" w14:paraId="62150CFB" w14:textId="77777777">
        <w:trPr>
          <w:trHeight w:val="197"/>
          <w:jc w:val="center"/>
        </w:trPr>
        <w:tc>
          <w:tcPr>
            <w:tcW w:w="1426" w:type="dxa"/>
            <w:vMerge/>
            <w:tcBorders>
              <w:left w:val="single" w:color="auto" w:sz="4" w:space="0"/>
              <w:right w:val="single" w:color="auto" w:sz="4" w:space="0"/>
            </w:tcBorders>
            <w:shd w:val="clear" w:color="auto" w:fill="auto"/>
            <w:vAlign w:val="center"/>
          </w:tcPr>
          <w:p w:rsidRPr="00841662" w:rsidR="001F0154" w:rsidP="00BB1941" w:rsidRDefault="001F0154" w14:paraId="681B0AB8" w14:textId="77777777">
            <w:pPr>
              <w:spacing w:after="80"/>
              <w:rPr>
                <w:rFonts w:cs="Calibri" w:asciiTheme="minorHAnsi" w:hAnsiTheme="minorHAnsi"/>
                <w:sz w:val="21"/>
                <w:szCs w:val="21"/>
              </w:rPr>
            </w:pPr>
          </w:p>
        </w:tc>
        <w:tc>
          <w:tcPr>
            <w:tcW w:w="1515" w:type="dxa"/>
            <w:vMerge/>
            <w:tcBorders>
              <w:left w:val="single" w:color="auto" w:sz="4" w:space="0"/>
              <w:right w:val="single" w:color="auto" w:sz="4" w:space="0"/>
            </w:tcBorders>
            <w:shd w:val="clear" w:color="auto" w:fill="auto"/>
            <w:vAlign w:val="center"/>
          </w:tcPr>
          <w:p w:rsidRPr="00841662" w:rsidR="001F0154" w:rsidP="00BB1941" w:rsidRDefault="001F0154" w14:paraId="707714AD" w14:textId="77777777">
            <w:pPr>
              <w:spacing w:after="80"/>
              <w:rPr>
                <w:rFonts w:cs="Calibri" w:asciiTheme="minorHAnsi" w:hAnsiTheme="minorHAnsi"/>
                <w:sz w:val="21"/>
                <w:szCs w:val="21"/>
              </w:rPr>
            </w:pPr>
          </w:p>
        </w:tc>
        <w:tc>
          <w:tcPr>
            <w:tcW w:w="5614" w:type="dxa"/>
            <w:tcBorders>
              <w:top w:val="single" w:color="auto" w:sz="4" w:space="0"/>
              <w:left w:val="single" w:color="auto" w:sz="4" w:space="0"/>
              <w:bottom w:val="single" w:color="auto" w:sz="4" w:space="0"/>
              <w:right w:val="single" w:color="auto" w:sz="4" w:space="0"/>
            </w:tcBorders>
            <w:shd w:val="clear" w:color="auto" w:fill="auto"/>
            <w:vAlign w:val="center"/>
          </w:tcPr>
          <w:p w:rsidRPr="00841662" w:rsidR="001F0154" w:rsidP="00BB1941" w:rsidRDefault="001F0154" w14:paraId="236116E7" w14:textId="77777777">
            <w:pPr>
              <w:spacing w:after="80"/>
              <w:ind w:left="240"/>
              <w:rPr>
                <w:rFonts w:asciiTheme="minorHAnsi" w:hAnsiTheme="minorHAnsi"/>
                <w:sz w:val="21"/>
                <w:szCs w:val="21"/>
              </w:rPr>
            </w:pPr>
            <w:r w:rsidRPr="00841662">
              <w:rPr>
                <w:rFonts w:asciiTheme="minorHAnsi" w:hAnsiTheme="minorHAnsi"/>
                <w:sz w:val="21"/>
                <w:szCs w:val="21"/>
              </w:rPr>
              <w:t xml:space="preserve">Emissions are </w:t>
            </w:r>
            <w:r>
              <w:rPr>
                <w:rFonts w:asciiTheme="minorHAnsi" w:hAnsiTheme="minorHAnsi"/>
                <w:sz w:val="21"/>
                <w:szCs w:val="21"/>
              </w:rPr>
              <w:t>routed</w:t>
            </w:r>
            <w:r w:rsidRPr="00841662">
              <w:rPr>
                <w:rFonts w:asciiTheme="minorHAnsi" w:hAnsiTheme="minorHAnsi"/>
                <w:sz w:val="21"/>
                <w:szCs w:val="21"/>
              </w:rPr>
              <w:t xml:space="preserve"> to flare</w:t>
            </w: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rsidRPr="00841662" w:rsidR="001F0154" w:rsidP="00BB1941" w:rsidRDefault="001F0154" w14:paraId="5EB85EAD" w14:textId="77777777">
            <w:pPr>
              <w:spacing w:after="80"/>
              <w:jc w:val="center"/>
              <w:rPr>
                <w:rFonts w:cs="Calibri" w:asciiTheme="minorHAnsi" w:hAnsiTheme="minorHAnsi"/>
                <w:sz w:val="21"/>
                <w:szCs w:val="21"/>
              </w:rPr>
            </w:pPr>
            <w:r>
              <w:rPr>
                <w:rFonts w:cs="Calibri" w:asciiTheme="minorHAnsi" w:hAnsiTheme="minorHAnsi"/>
                <w:sz w:val="21"/>
                <w:szCs w:val="21"/>
              </w:rPr>
              <w:t>X</w:t>
            </w:r>
          </w:p>
        </w:tc>
      </w:tr>
      <w:tr w:rsidRPr="00841662" w:rsidR="001F0154" w:rsidTr="00D86B04" w14:paraId="7C59D88F" w14:textId="77777777">
        <w:trPr>
          <w:trHeight w:val="197"/>
          <w:jc w:val="center"/>
        </w:trPr>
        <w:tc>
          <w:tcPr>
            <w:tcW w:w="1426" w:type="dxa"/>
            <w:vMerge/>
            <w:tcBorders>
              <w:left w:val="single" w:color="auto" w:sz="4" w:space="0"/>
              <w:right w:val="single" w:color="auto" w:sz="4" w:space="0"/>
            </w:tcBorders>
            <w:shd w:val="clear" w:color="auto" w:fill="auto"/>
            <w:vAlign w:val="center"/>
          </w:tcPr>
          <w:p w:rsidRPr="00841662" w:rsidR="001F0154" w:rsidP="00BB1941" w:rsidRDefault="001F0154" w14:paraId="5C9FD5DE" w14:textId="77777777">
            <w:pPr>
              <w:spacing w:after="80"/>
              <w:rPr>
                <w:rFonts w:cs="Calibri" w:asciiTheme="minorHAnsi" w:hAnsiTheme="minorHAnsi"/>
                <w:sz w:val="21"/>
                <w:szCs w:val="21"/>
              </w:rPr>
            </w:pPr>
          </w:p>
        </w:tc>
        <w:tc>
          <w:tcPr>
            <w:tcW w:w="1515" w:type="dxa"/>
            <w:vMerge/>
            <w:tcBorders>
              <w:left w:val="single" w:color="auto" w:sz="4" w:space="0"/>
              <w:right w:val="single" w:color="auto" w:sz="4" w:space="0"/>
            </w:tcBorders>
            <w:shd w:val="clear" w:color="auto" w:fill="auto"/>
            <w:vAlign w:val="center"/>
          </w:tcPr>
          <w:p w:rsidRPr="00841662" w:rsidR="001F0154" w:rsidP="00BB1941" w:rsidRDefault="001F0154" w14:paraId="7ADC99EF" w14:textId="77777777">
            <w:pPr>
              <w:spacing w:after="80"/>
              <w:rPr>
                <w:rFonts w:cs="Calibri" w:asciiTheme="minorHAnsi" w:hAnsiTheme="minorHAnsi"/>
                <w:sz w:val="21"/>
                <w:szCs w:val="21"/>
              </w:rPr>
            </w:pPr>
          </w:p>
        </w:tc>
        <w:tc>
          <w:tcPr>
            <w:tcW w:w="5614" w:type="dxa"/>
            <w:tcBorders>
              <w:top w:val="single" w:color="auto" w:sz="4" w:space="0"/>
              <w:left w:val="single" w:color="auto" w:sz="4" w:space="0"/>
              <w:bottom w:val="single" w:color="auto" w:sz="4" w:space="0"/>
              <w:right w:val="single" w:color="auto" w:sz="4" w:space="0"/>
            </w:tcBorders>
            <w:shd w:val="clear" w:color="auto" w:fill="auto"/>
            <w:vAlign w:val="center"/>
          </w:tcPr>
          <w:p w:rsidRPr="00841662" w:rsidR="001F0154" w:rsidP="00BB1941" w:rsidRDefault="001F0154" w14:paraId="7C0A626D" w14:textId="77777777">
            <w:pPr>
              <w:spacing w:after="80"/>
              <w:ind w:left="240"/>
              <w:rPr>
                <w:rFonts w:asciiTheme="minorHAnsi" w:hAnsiTheme="minorHAnsi"/>
                <w:sz w:val="21"/>
                <w:szCs w:val="21"/>
              </w:rPr>
            </w:pPr>
            <w:r w:rsidRPr="00841662">
              <w:rPr>
                <w:rFonts w:asciiTheme="minorHAnsi" w:hAnsiTheme="minorHAnsi"/>
                <w:sz w:val="21"/>
                <w:szCs w:val="21"/>
              </w:rPr>
              <w:t>Emissions are captured for fuel use or routed to a thermal oxidizer</w:t>
            </w: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rsidRPr="00841662" w:rsidR="001F0154" w:rsidP="00BB1941" w:rsidRDefault="001F0154" w14:paraId="356EF280" w14:textId="77777777">
            <w:pPr>
              <w:spacing w:after="80"/>
              <w:jc w:val="center"/>
              <w:rPr>
                <w:rFonts w:cs="Calibri" w:asciiTheme="minorHAnsi" w:hAnsiTheme="minorHAnsi"/>
                <w:sz w:val="21"/>
                <w:szCs w:val="21"/>
              </w:rPr>
            </w:pPr>
            <w:r>
              <w:rPr>
                <w:rFonts w:cs="Calibri" w:asciiTheme="minorHAnsi" w:hAnsiTheme="minorHAnsi"/>
                <w:sz w:val="21"/>
                <w:szCs w:val="21"/>
              </w:rPr>
              <w:t>X</w:t>
            </w:r>
          </w:p>
        </w:tc>
      </w:tr>
      <w:tr w:rsidRPr="00841662" w:rsidR="001F0154" w:rsidTr="00D86B04" w14:paraId="15E9EC37" w14:textId="77777777">
        <w:trPr>
          <w:trHeight w:val="197"/>
          <w:jc w:val="center"/>
        </w:trPr>
        <w:tc>
          <w:tcPr>
            <w:tcW w:w="1426" w:type="dxa"/>
            <w:vMerge/>
            <w:tcBorders>
              <w:left w:val="single" w:color="auto" w:sz="4" w:space="0"/>
              <w:right w:val="single" w:color="auto" w:sz="4" w:space="0"/>
            </w:tcBorders>
            <w:shd w:val="clear" w:color="auto" w:fill="auto"/>
            <w:vAlign w:val="center"/>
          </w:tcPr>
          <w:p w:rsidRPr="00841662" w:rsidR="001F0154" w:rsidP="00BB1941" w:rsidRDefault="001F0154" w14:paraId="1DD5F1C5" w14:textId="77777777">
            <w:pPr>
              <w:spacing w:after="80"/>
              <w:rPr>
                <w:rFonts w:cs="Calibri"/>
                <w:sz w:val="21"/>
                <w:szCs w:val="21"/>
              </w:rPr>
            </w:pPr>
          </w:p>
        </w:tc>
        <w:tc>
          <w:tcPr>
            <w:tcW w:w="1515" w:type="dxa"/>
            <w:vMerge/>
            <w:tcBorders>
              <w:left w:val="single" w:color="auto" w:sz="4" w:space="0"/>
              <w:right w:val="single" w:color="auto" w:sz="4" w:space="0"/>
            </w:tcBorders>
            <w:shd w:val="clear" w:color="auto" w:fill="auto"/>
            <w:vAlign w:val="center"/>
          </w:tcPr>
          <w:p w:rsidRPr="00841662" w:rsidR="001F0154" w:rsidP="00BB1941" w:rsidRDefault="001F0154" w14:paraId="33A8C3F2" w14:textId="77777777">
            <w:pPr>
              <w:spacing w:after="80"/>
              <w:rPr>
                <w:rFonts w:cs="Calibri"/>
                <w:sz w:val="21"/>
                <w:szCs w:val="21"/>
              </w:rPr>
            </w:pPr>
          </w:p>
        </w:tc>
        <w:tc>
          <w:tcPr>
            <w:tcW w:w="5614" w:type="dxa"/>
            <w:tcBorders>
              <w:top w:val="single" w:color="auto" w:sz="4" w:space="0"/>
              <w:left w:val="single" w:color="auto" w:sz="4" w:space="0"/>
              <w:bottom w:val="single" w:color="auto" w:sz="4" w:space="0"/>
              <w:right w:val="single" w:color="auto" w:sz="4" w:space="0"/>
            </w:tcBorders>
            <w:shd w:val="clear" w:color="auto" w:fill="auto"/>
            <w:vAlign w:val="center"/>
          </w:tcPr>
          <w:p w:rsidRPr="00841662" w:rsidR="001F0154" w:rsidP="00BB1941" w:rsidRDefault="001F0154" w14:paraId="6C71E949" w14:textId="77777777">
            <w:pPr>
              <w:spacing w:after="80"/>
              <w:ind w:left="240"/>
              <w:rPr>
                <w:sz w:val="21"/>
                <w:szCs w:val="21"/>
              </w:rPr>
            </w:pPr>
            <w:r>
              <w:rPr>
                <w:sz w:val="21"/>
                <w:szCs w:val="21"/>
              </w:rPr>
              <w:t xml:space="preserve">Emissions </w:t>
            </w:r>
            <w:r w:rsidRPr="00F114E3">
              <w:rPr>
                <w:sz w:val="21"/>
                <w:szCs w:val="21"/>
              </w:rPr>
              <w:t>are part of a manifol</w:t>
            </w:r>
            <w:r>
              <w:rPr>
                <w:sz w:val="21"/>
                <w:szCs w:val="21"/>
              </w:rPr>
              <w:t>ded group of compressor sources</w:t>
            </w: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rsidR="001F0154" w:rsidP="00BB1941" w:rsidRDefault="001F0154" w14:paraId="690F9592" w14:textId="77777777">
            <w:pPr>
              <w:spacing w:after="80"/>
              <w:jc w:val="center"/>
              <w:rPr>
                <w:rFonts w:cs="Calibri"/>
                <w:sz w:val="21"/>
                <w:szCs w:val="21"/>
              </w:rPr>
            </w:pPr>
            <w:r>
              <w:rPr>
                <w:rFonts w:cs="Calibri"/>
                <w:sz w:val="21"/>
                <w:szCs w:val="21"/>
              </w:rPr>
              <w:t>X</w:t>
            </w:r>
          </w:p>
        </w:tc>
      </w:tr>
      <w:tr w:rsidRPr="00841662" w:rsidR="001F0154" w:rsidTr="00D86B04" w14:paraId="1F58B9E9" w14:textId="77777777">
        <w:trPr>
          <w:trHeight w:val="233"/>
          <w:jc w:val="center"/>
        </w:trPr>
        <w:tc>
          <w:tcPr>
            <w:tcW w:w="1426" w:type="dxa"/>
            <w:vMerge/>
            <w:tcBorders>
              <w:left w:val="single" w:color="auto" w:sz="4" w:space="0"/>
              <w:bottom w:val="single" w:color="auto" w:sz="4" w:space="0"/>
              <w:right w:val="single" w:color="auto" w:sz="4" w:space="0"/>
            </w:tcBorders>
            <w:shd w:val="clear" w:color="auto" w:fill="auto"/>
            <w:vAlign w:val="center"/>
          </w:tcPr>
          <w:p w:rsidRPr="00841662" w:rsidR="001F0154" w:rsidP="00BB1941" w:rsidRDefault="001F0154" w14:paraId="4A17BC37" w14:textId="77777777">
            <w:pPr>
              <w:spacing w:after="80"/>
              <w:rPr>
                <w:rFonts w:cs="Calibri" w:asciiTheme="minorHAnsi" w:hAnsiTheme="minorHAnsi"/>
                <w:sz w:val="21"/>
                <w:szCs w:val="21"/>
              </w:rPr>
            </w:pPr>
          </w:p>
        </w:tc>
        <w:tc>
          <w:tcPr>
            <w:tcW w:w="1515" w:type="dxa"/>
            <w:vMerge/>
            <w:tcBorders>
              <w:left w:val="single" w:color="auto" w:sz="4" w:space="0"/>
              <w:bottom w:val="single" w:color="auto" w:sz="4" w:space="0"/>
              <w:right w:val="single" w:color="auto" w:sz="4" w:space="0"/>
            </w:tcBorders>
            <w:shd w:val="clear" w:color="auto" w:fill="auto"/>
            <w:vAlign w:val="center"/>
          </w:tcPr>
          <w:p w:rsidRPr="00841662" w:rsidR="001F0154" w:rsidP="00BB1941" w:rsidRDefault="001F0154" w14:paraId="0B9C79B4" w14:textId="77777777">
            <w:pPr>
              <w:spacing w:after="80"/>
              <w:rPr>
                <w:rFonts w:cs="Calibri" w:asciiTheme="minorHAnsi" w:hAnsiTheme="minorHAnsi"/>
                <w:sz w:val="21"/>
                <w:szCs w:val="21"/>
              </w:rPr>
            </w:pPr>
          </w:p>
        </w:tc>
        <w:tc>
          <w:tcPr>
            <w:tcW w:w="5614" w:type="dxa"/>
            <w:tcBorders>
              <w:top w:val="single" w:color="auto" w:sz="4" w:space="0"/>
              <w:left w:val="single" w:color="auto" w:sz="4" w:space="0"/>
              <w:bottom w:val="single" w:color="auto" w:sz="4" w:space="0"/>
              <w:right w:val="single" w:color="auto" w:sz="4" w:space="0"/>
            </w:tcBorders>
            <w:shd w:val="clear" w:color="auto" w:fill="auto"/>
            <w:vAlign w:val="center"/>
          </w:tcPr>
          <w:p w:rsidRPr="00841662" w:rsidR="001F0154" w:rsidP="00BB1941" w:rsidRDefault="001F0154" w14:paraId="0CF59B34" w14:textId="77777777">
            <w:pPr>
              <w:spacing w:after="80"/>
              <w:ind w:left="240"/>
              <w:rPr>
                <w:rFonts w:asciiTheme="minorHAnsi" w:hAnsiTheme="minorHAnsi"/>
                <w:sz w:val="21"/>
                <w:szCs w:val="21"/>
              </w:rPr>
            </w:pPr>
            <w:r w:rsidRPr="00841662">
              <w:rPr>
                <w:rFonts w:asciiTheme="minorHAnsi" w:hAnsiTheme="minorHAnsi"/>
                <w:sz w:val="21"/>
                <w:szCs w:val="21"/>
              </w:rPr>
              <w:t>Compressor in not-operating-depressurized-mode all year</w:t>
            </w:r>
            <w:r>
              <w:rPr>
                <w:rFonts w:asciiTheme="minorHAnsi" w:hAnsiTheme="minorHAnsi"/>
                <w:sz w:val="21"/>
                <w:szCs w:val="21"/>
              </w:rPr>
              <w:t xml:space="preserve"> (Y/N)</w:t>
            </w: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rsidRPr="00841662" w:rsidR="001F0154" w:rsidP="00BB1941" w:rsidRDefault="001F0154" w14:paraId="454FBED5" w14:textId="77777777">
            <w:pPr>
              <w:spacing w:after="80"/>
              <w:jc w:val="center"/>
              <w:rPr>
                <w:rFonts w:cs="Calibri" w:asciiTheme="minorHAnsi" w:hAnsiTheme="minorHAnsi"/>
                <w:sz w:val="21"/>
                <w:szCs w:val="21"/>
              </w:rPr>
            </w:pPr>
            <w:r>
              <w:rPr>
                <w:rFonts w:cs="Calibri" w:asciiTheme="minorHAnsi" w:hAnsiTheme="minorHAnsi"/>
                <w:sz w:val="21"/>
                <w:szCs w:val="21"/>
              </w:rPr>
              <w:t>X</w:t>
            </w:r>
          </w:p>
        </w:tc>
      </w:tr>
      <w:tr w:rsidRPr="00841662" w:rsidR="001F0154" w:rsidTr="00D86B04" w14:paraId="1B96D877" w14:textId="77777777">
        <w:trPr>
          <w:trHeight w:val="188"/>
          <w:jc w:val="center"/>
        </w:trPr>
        <w:tc>
          <w:tcPr>
            <w:tcW w:w="1426" w:type="dxa"/>
            <w:vMerge w:val="restart"/>
            <w:tcBorders>
              <w:left w:val="single" w:color="auto" w:sz="4" w:space="0"/>
              <w:right w:val="single" w:color="auto" w:sz="4" w:space="0"/>
            </w:tcBorders>
            <w:shd w:val="clear" w:color="auto" w:fill="D9D9D9" w:themeFill="background1" w:themeFillShade="D9"/>
            <w:vAlign w:val="center"/>
          </w:tcPr>
          <w:p w:rsidRPr="00841662" w:rsidR="001F0154" w:rsidP="00A14F8D" w:rsidRDefault="001F0154" w14:paraId="29E0F2E4" w14:textId="77777777">
            <w:pPr>
              <w:rPr>
                <w:rFonts w:cs="Calibri" w:asciiTheme="minorHAnsi" w:hAnsiTheme="minorHAnsi"/>
                <w:sz w:val="21"/>
                <w:szCs w:val="21"/>
              </w:rPr>
            </w:pPr>
            <w:r w:rsidRPr="00841662">
              <w:rPr>
                <w:rFonts w:cs="Calibri" w:asciiTheme="minorHAnsi" w:hAnsiTheme="minorHAnsi"/>
                <w:sz w:val="21"/>
                <w:szCs w:val="21"/>
              </w:rPr>
              <w:t xml:space="preserve">Reciprocating compressor rod packing </w:t>
            </w:r>
            <w:r>
              <w:rPr>
                <w:rFonts w:cs="Calibri" w:asciiTheme="minorHAnsi" w:hAnsiTheme="minorHAnsi"/>
                <w:sz w:val="21"/>
                <w:szCs w:val="21"/>
              </w:rPr>
              <w:t xml:space="preserve">individual atmospheric </w:t>
            </w:r>
            <w:r w:rsidRPr="00841662">
              <w:rPr>
                <w:rFonts w:cs="Calibri" w:asciiTheme="minorHAnsi" w:hAnsiTheme="minorHAnsi"/>
                <w:sz w:val="21"/>
                <w:szCs w:val="21"/>
              </w:rPr>
              <w:t>vents</w:t>
            </w:r>
          </w:p>
        </w:tc>
        <w:tc>
          <w:tcPr>
            <w:tcW w:w="1515" w:type="dxa"/>
            <w:vMerge w:val="restart"/>
            <w:tcBorders>
              <w:left w:val="single" w:color="auto" w:sz="4" w:space="0"/>
              <w:right w:val="single" w:color="auto" w:sz="4" w:space="0"/>
            </w:tcBorders>
            <w:shd w:val="clear" w:color="auto" w:fill="D9D9D9" w:themeFill="background1" w:themeFillShade="D9"/>
            <w:vAlign w:val="center"/>
          </w:tcPr>
          <w:p w:rsidRPr="00841662" w:rsidR="001F0154" w:rsidP="00A14F8D" w:rsidRDefault="001F0154" w14:paraId="35D2E71A" w14:textId="5D3A3606">
            <w:pPr>
              <w:rPr>
                <w:rFonts w:cs="Calibri" w:asciiTheme="minorHAnsi" w:hAnsiTheme="minorHAnsi"/>
                <w:sz w:val="21"/>
                <w:szCs w:val="21"/>
              </w:rPr>
            </w:pPr>
            <w:r w:rsidRPr="00841662">
              <w:rPr>
                <w:rFonts w:cs="Calibri" w:asciiTheme="minorHAnsi" w:hAnsiTheme="minorHAnsi"/>
                <w:sz w:val="21"/>
                <w:szCs w:val="21"/>
              </w:rPr>
              <w:t>As found measurement or continuous measurement in operating mode of individual compressor</w:t>
            </w:r>
            <w:r w:rsidRPr="00841662">
              <w:rPr>
                <w:rFonts w:cs="Calibri" w:asciiTheme="minorHAnsi" w:hAnsiTheme="minorHAnsi"/>
                <w:sz w:val="21"/>
                <w:szCs w:val="21"/>
                <w:vertAlign w:val="superscript"/>
              </w:rPr>
              <w:footnoteReference w:id="34"/>
            </w:r>
            <w:r w:rsidRPr="005446B9">
              <w:rPr>
                <w:rFonts w:cs="Calibri"/>
                <w:sz w:val="21"/>
                <w:szCs w:val="21"/>
                <w:vertAlign w:val="superscript"/>
              </w:rPr>
              <w:t>,</w:t>
            </w:r>
            <w:r w:rsidRPr="00841662">
              <w:rPr>
                <w:rFonts w:cs="Calibri" w:asciiTheme="minorHAnsi" w:hAnsiTheme="minorHAnsi"/>
                <w:sz w:val="21"/>
                <w:szCs w:val="21"/>
                <w:vertAlign w:val="superscript"/>
              </w:rPr>
              <w:footnoteReference w:id="35"/>
            </w:r>
          </w:p>
        </w:tc>
        <w:tc>
          <w:tcPr>
            <w:tcW w:w="561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841662" w:rsidR="001F0154" w:rsidP="00A14F8D" w:rsidRDefault="001F0154" w14:paraId="76F894DA" w14:textId="77777777">
            <w:pPr>
              <w:rPr>
                <w:rFonts w:asciiTheme="minorHAnsi" w:hAnsiTheme="minorHAnsi"/>
                <w:sz w:val="21"/>
                <w:szCs w:val="21"/>
              </w:rPr>
            </w:pPr>
            <w:r w:rsidRPr="00841662">
              <w:rPr>
                <w:rFonts w:asciiTheme="minorHAnsi" w:hAnsiTheme="minorHAnsi"/>
                <w:sz w:val="21"/>
                <w:szCs w:val="21"/>
              </w:rPr>
              <w:t>Unique name or ID for the compressor</w:t>
            </w:r>
          </w:p>
        </w:tc>
        <w:tc>
          <w:tcPr>
            <w:tcW w:w="71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841662" w:rsidR="001F0154" w:rsidP="00A14F8D" w:rsidRDefault="001F0154" w14:paraId="3973692E" w14:textId="77777777">
            <w:pPr>
              <w:jc w:val="center"/>
              <w:rPr>
                <w:rFonts w:cs="Calibri" w:asciiTheme="minorHAnsi" w:hAnsiTheme="minorHAnsi"/>
                <w:sz w:val="21"/>
                <w:szCs w:val="21"/>
              </w:rPr>
            </w:pPr>
            <w:r w:rsidRPr="00841662">
              <w:rPr>
                <w:rFonts w:cs="Calibri" w:asciiTheme="minorHAnsi" w:hAnsiTheme="minorHAnsi"/>
                <w:sz w:val="21"/>
                <w:szCs w:val="21"/>
              </w:rPr>
              <w:t>X</w:t>
            </w:r>
          </w:p>
        </w:tc>
      </w:tr>
      <w:tr w:rsidRPr="00841662" w:rsidR="001F0154" w:rsidTr="00D86B04" w14:paraId="52DF7C63" w14:textId="77777777">
        <w:trPr>
          <w:trHeight w:val="278"/>
          <w:jc w:val="center"/>
        </w:trPr>
        <w:tc>
          <w:tcPr>
            <w:tcW w:w="1426" w:type="dxa"/>
            <w:vMerge/>
            <w:tcBorders>
              <w:left w:val="single" w:color="auto" w:sz="4" w:space="0"/>
              <w:right w:val="single" w:color="auto" w:sz="4" w:space="0"/>
            </w:tcBorders>
            <w:shd w:val="clear" w:color="auto" w:fill="D9D9D9" w:themeFill="background1" w:themeFillShade="D9"/>
            <w:vAlign w:val="center"/>
          </w:tcPr>
          <w:p w:rsidRPr="00841662" w:rsidR="001F0154" w:rsidP="00A14F8D" w:rsidRDefault="001F0154" w14:paraId="04FAFD0A" w14:textId="77777777">
            <w:pPr>
              <w:rPr>
                <w:rFonts w:cs="Calibri" w:asciiTheme="minorHAnsi" w:hAnsiTheme="minorHAnsi"/>
                <w:sz w:val="21"/>
                <w:szCs w:val="21"/>
              </w:rPr>
            </w:pPr>
          </w:p>
        </w:tc>
        <w:tc>
          <w:tcPr>
            <w:tcW w:w="1515" w:type="dxa"/>
            <w:vMerge/>
            <w:tcBorders>
              <w:left w:val="single" w:color="auto" w:sz="4" w:space="0"/>
              <w:right w:val="single" w:color="auto" w:sz="4" w:space="0"/>
            </w:tcBorders>
            <w:shd w:val="clear" w:color="auto" w:fill="D9D9D9" w:themeFill="background1" w:themeFillShade="D9"/>
            <w:vAlign w:val="center"/>
          </w:tcPr>
          <w:p w:rsidRPr="00841662" w:rsidR="001F0154" w:rsidP="00A14F8D" w:rsidRDefault="001F0154" w14:paraId="2BCA17C4" w14:textId="77777777">
            <w:pPr>
              <w:rPr>
                <w:rFonts w:cs="Calibri" w:asciiTheme="minorHAnsi" w:hAnsiTheme="minorHAnsi"/>
                <w:sz w:val="21"/>
                <w:szCs w:val="21"/>
              </w:rPr>
            </w:pPr>
          </w:p>
        </w:tc>
        <w:tc>
          <w:tcPr>
            <w:tcW w:w="561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841662" w:rsidR="001F0154" w:rsidP="00A14F8D" w:rsidRDefault="001F0154" w14:paraId="02FE7759" w14:textId="77777777">
            <w:pPr>
              <w:rPr>
                <w:rFonts w:asciiTheme="minorHAnsi" w:hAnsiTheme="minorHAnsi"/>
                <w:sz w:val="21"/>
                <w:szCs w:val="21"/>
              </w:rPr>
            </w:pPr>
            <w:r w:rsidRPr="00841662">
              <w:rPr>
                <w:rFonts w:asciiTheme="minorHAnsi" w:hAnsiTheme="minorHAnsi"/>
                <w:sz w:val="21"/>
                <w:szCs w:val="21"/>
              </w:rPr>
              <w:t>Unique name or ID for the individual vent to the atmosphere</w:t>
            </w:r>
          </w:p>
        </w:tc>
        <w:tc>
          <w:tcPr>
            <w:tcW w:w="71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841662" w:rsidR="001F0154" w:rsidP="00A14F8D" w:rsidRDefault="001F0154" w14:paraId="77354D32" w14:textId="77777777">
            <w:pPr>
              <w:jc w:val="center"/>
              <w:rPr>
                <w:rFonts w:cs="Calibri" w:asciiTheme="minorHAnsi" w:hAnsiTheme="minorHAnsi"/>
                <w:sz w:val="21"/>
                <w:szCs w:val="21"/>
              </w:rPr>
            </w:pPr>
            <w:r w:rsidRPr="00841662">
              <w:rPr>
                <w:rFonts w:cs="Calibri" w:asciiTheme="minorHAnsi" w:hAnsiTheme="minorHAnsi"/>
                <w:sz w:val="21"/>
                <w:szCs w:val="21"/>
              </w:rPr>
              <w:t>X</w:t>
            </w:r>
          </w:p>
        </w:tc>
      </w:tr>
      <w:tr w:rsidRPr="00841662" w:rsidR="001F0154" w:rsidTr="00D86B04" w14:paraId="5074709D" w14:textId="77777777">
        <w:trPr>
          <w:trHeight w:val="242"/>
          <w:jc w:val="center"/>
        </w:trPr>
        <w:tc>
          <w:tcPr>
            <w:tcW w:w="1426" w:type="dxa"/>
            <w:vMerge/>
            <w:tcBorders>
              <w:left w:val="single" w:color="auto" w:sz="4" w:space="0"/>
              <w:right w:val="single" w:color="auto" w:sz="4" w:space="0"/>
            </w:tcBorders>
            <w:shd w:val="clear" w:color="auto" w:fill="D9D9D9" w:themeFill="background1" w:themeFillShade="D9"/>
            <w:vAlign w:val="center"/>
          </w:tcPr>
          <w:p w:rsidRPr="00841662" w:rsidR="001F0154" w:rsidP="00A14F8D" w:rsidRDefault="001F0154" w14:paraId="62B3D13B" w14:textId="77777777">
            <w:pPr>
              <w:rPr>
                <w:rFonts w:cs="Calibri" w:asciiTheme="minorHAnsi" w:hAnsiTheme="minorHAnsi"/>
                <w:sz w:val="21"/>
                <w:szCs w:val="21"/>
              </w:rPr>
            </w:pPr>
          </w:p>
        </w:tc>
        <w:tc>
          <w:tcPr>
            <w:tcW w:w="1515" w:type="dxa"/>
            <w:vMerge/>
            <w:tcBorders>
              <w:left w:val="single" w:color="auto" w:sz="4" w:space="0"/>
              <w:right w:val="single" w:color="auto" w:sz="4" w:space="0"/>
            </w:tcBorders>
            <w:shd w:val="clear" w:color="auto" w:fill="D9D9D9" w:themeFill="background1" w:themeFillShade="D9"/>
            <w:vAlign w:val="center"/>
          </w:tcPr>
          <w:p w:rsidRPr="00841662" w:rsidR="001F0154" w:rsidP="00A14F8D" w:rsidRDefault="001F0154" w14:paraId="276EBA86" w14:textId="77777777">
            <w:pPr>
              <w:rPr>
                <w:rFonts w:cs="Calibri" w:asciiTheme="minorHAnsi" w:hAnsiTheme="minorHAnsi"/>
                <w:sz w:val="21"/>
                <w:szCs w:val="21"/>
              </w:rPr>
            </w:pPr>
          </w:p>
        </w:tc>
        <w:tc>
          <w:tcPr>
            <w:tcW w:w="6328"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841662" w:rsidR="001F0154" w:rsidP="00F26F71" w:rsidRDefault="001F0154" w14:paraId="5DF66458" w14:textId="77777777">
            <w:pPr>
              <w:rPr>
                <w:rFonts w:cs="Calibri" w:asciiTheme="minorHAnsi" w:hAnsiTheme="minorHAnsi"/>
                <w:sz w:val="21"/>
                <w:szCs w:val="21"/>
              </w:rPr>
            </w:pPr>
            <w:r w:rsidRPr="00841662">
              <w:rPr>
                <w:rFonts w:asciiTheme="minorHAnsi" w:hAnsiTheme="minorHAnsi"/>
                <w:sz w:val="21"/>
                <w:szCs w:val="21"/>
              </w:rPr>
              <w:t>Flow rate based on measurement type:</w:t>
            </w:r>
          </w:p>
        </w:tc>
      </w:tr>
      <w:tr w:rsidRPr="00841662" w:rsidR="001F0154" w:rsidTr="00D86B04" w14:paraId="1BF06B29" w14:textId="77777777">
        <w:trPr>
          <w:trHeight w:val="512"/>
          <w:jc w:val="center"/>
        </w:trPr>
        <w:tc>
          <w:tcPr>
            <w:tcW w:w="1426" w:type="dxa"/>
            <w:vMerge/>
            <w:tcBorders>
              <w:left w:val="single" w:color="auto" w:sz="4" w:space="0"/>
              <w:right w:val="single" w:color="auto" w:sz="4" w:space="0"/>
            </w:tcBorders>
            <w:shd w:val="clear" w:color="auto" w:fill="D9D9D9" w:themeFill="background1" w:themeFillShade="D9"/>
            <w:vAlign w:val="center"/>
          </w:tcPr>
          <w:p w:rsidRPr="00841662" w:rsidR="001F0154" w:rsidP="00A14F8D" w:rsidRDefault="001F0154" w14:paraId="1E111F6A" w14:textId="77777777">
            <w:pPr>
              <w:rPr>
                <w:rFonts w:cs="Calibri" w:asciiTheme="minorHAnsi" w:hAnsiTheme="minorHAnsi"/>
                <w:sz w:val="21"/>
                <w:szCs w:val="21"/>
              </w:rPr>
            </w:pPr>
          </w:p>
        </w:tc>
        <w:tc>
          <w:tcPr>
            <w:tcW w:w="1515" w:type="dxa"/>
            <w:vMerge/>
            <w:tcBorders>
              <w:left w:val="single" w:color="auto" w:sz="4" w:space="0"/>
              <w:right w:val="single" w:color="auto" w:sz="4" w:space="0"/>
            </w:tcBorders>
            <w:shd w:val="clear" w:color="auto" w:fill="D9D9D9" w:themeFill="background1" w:themeFillShade="D9"/>
            <w:vAlign w:val="center"/>
          </w:tcPr>
          <w:p w:rsidRPr="00841662" w:rsidR="001F0154" w:rsidP="00A14F8D" w:rsidRDefault="001F0154" w14:paraId="11EED9F6" w14:textId="77777777">
            <w:pPr>
              <w:rPr>
                <w:rFonts w:cs="Calibri" w:asciiTheme="minorHAnsi" w:hAnsiTheme="minorHAnsi"/>
                <w:sz w:val="21"/>
                <w:szCs w:val="21"/>
              </w:rPr>
            </w:pPr>
          </w:p>
        </w:tc>
        <w:tc>
          <w:tcPr>
            <w:tcW w:w="561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841662" w:rsidR="001F0154" w:rsidP="006B2655" w:rsidRDefault="001F0154" w14:paraId="132C6B8A" w14:textId="77777777">
            <w:pPr>
              <w:numPr>
                <w:ilvl w:val="0"/>
                <w:numId w:val="12"/>
              </w:numPr>
              <w:spacing w:after="0"/>
              <w:ind w:left="331"/>
              <w:contextualSpacing/>
              <w:rPr>
                <w:rFonts w:asciiTheme="minorHAnsi" w:hAnsiTheme="minorHAnsi" w:eastAsiaTheme="minorEastAsia" w:cstheme="minorBidi"/>
                <w:sz w:val="21"/>
                <w:szCs w:val="21"/>
              </w:rPr>
            </w:pPr>
            <w:r w:rsidRPr="00841662">
              <w:rPr>
                <w:rFonts w:asciiTheme="minorHAnsi" w:hAnsiTheme="minorHAnsi" w:eastAsiaTheme="minorEastAsia" w:cstheme="minorBidi"/>
                <w:sz w:val="21"/>
                <w:szCs w:val="21"/>
              </w:rPr>
              <w:t>As found: Measured volumetric flow at standard conditions from the rod packing vent (scfh)</w:t>
            </w:r>
          </w:p>
        </w:tc>
        <w:tc>
          <w:tcPr>
            <w:tcW w:w="71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841662" w:rsidR="001F0154" w:rsidP="00A14F8D" w:rsidRDefault="001F0154" w14:paraId="2A265750" w14:textId="77777777">
            <w:pPr>
              <w:jc w:val="center"/>
              <w:rPr>
                <w:rFonts w:cs="Calibri" w:asciiTheme="minorHAnsi" w:hAnsiTheme="minorHAnsi"/>
                <w:sz w:val="21"/>
                <w:szCs w:val="21"/>
              </w:rPr>
            </w:pPr>
            <w:r w:rsidRPr="00841662">
              <w:rPr>
                <w:rFonts w:cs="Calibri" w:asciiTheme="minorHAnsi" w:hAnsiTheme="minorHAnsi"/>
                <w:sz w:val="21"/>
                <w:szCs w:val="21"/>
              </w:rPr>
              <w:t>X</w:t>
            </w:r>
          </w:p>
        </w:tc>
      </w:tr>
      <w:tr w:rsidRPr="00841662" w:rsidR="001F0154" w:rsidTr="00D86B04" w14:paraId="5AF0072C" w14:textId="77777777">
        <w:trPr>
          <w:trHeight w:val="350"/>
          <w:jc w:val="center"/>
        </w:trPr>
        <w:tc>
          <w:tcPr>
            <w:tcW w:w="1426" w:type="dxa"/>
            <w:vMerge/>
            <w:tcBorders>
              <w:left w:val="single" w:color="auto" w:sz="4" w:space="0"/>
              <w:right w:val="single" w:color="auto" w:sz="4" w:space="0"/>
            </w:tcBorders>
            <w:shd w:val="clear" w:color="auto" w:fill="D9D9D9" w:themeFill="background1" w:themeFillShade="D9"/>
            <w:vAlign w:val="center"/>
          </w:tcPr>
          <w:p w:rsidRPr="00841662" w:rsidR="001F0154" w:rsidP="00A14F8D" w:rsidRDefault="001F0154" w14:paraId="714BC83A" w14:textId="77777777">
            <w:pPr>
              <w:rPr>
                <w:rFonts w:cs="Calibri" w:asciiTheme="minorHAnsi" w:hAnsiTheme="minorHAnsi"/>
                <w:sz w:val="21"/>
                <w:szCs w:val="21"/>
              </w:rPr>
            </w:pPr>
          </w:p>
        </w:tc>
        <w:tc>
          <w:tcPr>
            <w:tcW w:w="1515" w:type="dxa"/>
            <w:vMerge/>
            <w:tcBorders>
              <w:left w:val="single" w:color="auto" w:sz="4" w:space="0"/>
              <w:right w:val="single" w:color="auto" w:sz="4" w:space="0"/>
            </w:tcBorders>
            <w:shd w:val="clear" w:color="auto" w:fill="D9D9D9" w:themeFill="background1" w:themeFillShade="D9"/>
            <w:vAlign w:val="center"/>
          </w:tcPr>
          <w:p w:rsidRPr="00841662" w:rsidR="001F0154" w:rsidP="00A14F8D" w:rsidRDefault="001F0154" w14:paraId="034D4C17" w14:textId="77777777">
            <w:pPr>
              <w:rPr>
                <w:rFonts w:cs="Calibri" w:asciiTheme="minorHAnsi" w:hAnsiTheme="minorHAnsi"/>
                <w:sz w:val="21"/>
                <w:szCs w:val="21"/>
              </w:rPr>
            </w:pPr>
          </w:p>
        </w:tc>
        <w:tc>
          <w:tcPr>
            <w:tcW w:w="561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841662" w:rsidR="001F0154" w:rsidP="006B2655" w:rsidRDefault="001F0154" w14:paraId="476CBAF0" w14:textId="77777777">
            <w:pPr>
              <w:numPr>
                <w:ilvl w:val="0"/>
                <w:numId w:val="12"/>
              </w:numPr>
              <w:spacing w:after="0"/>
              <w:ind w:left="331"/>
              <w:contextualSpacing/>
              <w:rPr>
                <w:rFonts w:asciiTheme="minorHAnsi" w:hAnsiTheme="minorHAnsi" w:eastAsiaTheme="minorEastAsia" w:cstheme="minorBidi"/>
                <w:sz w:val="21"/>
                <w:szCs w:val="21"/>
              </w:rPr>
            </w:pPr>
            <w:r w:rsidRPr="00841662">
              <w:rPr>
                <w:rFonts w:asciiTheme="minorHAnsi" w:hAnsiTheme="minorHAnsi" w:eastAsiaTheme="minorEastAsia" w:cstheme="minorBidi"/>
                <w:sz w:val="21"/>
                <w:szCs w:val="21"/>
              </w:rPr>
              <w:t xml:space="preserve">Continuous: Measured volumetric flow at standard conditions from the rod packing vent (MMscf) </w:t>
            </w:r>
          </w:p>
        </w:tc>
        <w:tc>
          <w:tcPr>
            <w:tcW w:w="71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841662" w:rsidR="001F0154" w:rsidP="00A14F8D" w:rsidRDefault="001F0154" w14:paraId="314C65F4" w14:textId="77777777">
            <w:pPr>
              <w:jc w:val="center"/>
              <w:rPr>
                <w:rFonts w:cs="Calibri" w:asciiTheme="minorHAnsi" w:hAnsiTheme="minorHAnsi"/>
                <w:sz w:val="21"/>
                <w:szCs w:val="21"/>
              </w:rPr>
            </w:pPr>
            <w:r w:rsidRPr="00841662">
              <w:rPr>
                <w:rFonts w:cs="Calibri" w:asciiTheme="minorHAnsi" w:hAnsiTheme="minorHAnsi"/>
                <w:sz w:val="21"/>
                <w:szCs w:val="21"/>
              </w:rPr>
              <w:t>X</w:t>
            </w:r>
          </w:p>
        </w:tc>
      </w:tr>
      <w:tr w:rsidRPr="00841662" w:rsidR="001F0154" w:rsidTr="00D86B04" w14:paraId="262CE63B" w14:textId="77777777">
        <w:trPr>
          <w:trHeight w:val="143"/>
          <w:jc w:val="center"/>
        </w:trPr>
        <w:tc>
          <w:tcPr>
            <w:tcW w:w="1426" w:type="dxa"/>
            <w:vMerge/>
            <w:tcBorders>
              <w:left w:val="single" w:color="auto" w:sz="4" w:space="0"/>
              <w:right w:val="single" w:color="auto" w:sz="4" w:space="0"/>
            </w:tcBorders>
            <w:shd w:val="clear" w:color="auto" w:fill="D9D9D9" w:themeFill="background1" w:themeFillShade="D9"/>
            <w:vAlign w:val="center"/>
          </w:tcPr>
          <w:p w:rsidRPr="00841662" w:rsidR="001F0154" w:rsidP="00A14F8D" w:rsidRDefault="001F0154" w14:paraId="45501267" w14:textId="77777777">
            <w:pPr>
              <w:rPr>
                <w:rFonts w:cs="Calibri" w:asciiTheme="minorHAnsi" w:hAnsiTheme="minorHAnsi"/>
                <w:sz w:val="21"/>
                <w:szCs w:val="21"/>
              </w:rPr>
            </w:pPr>
          </w:p>
        </w:tc>
        <w:tc>
          <w:tcPr>
            <w:tcW w:w="1515" w:type="dxa"/>
            <w:vMerge/>
            <w:tcBorders>
              <w:left w:val="single" w:color="auto" w:sz="4" w:space="0"/>
              <w:bottom w:val="single" w:color="auto" w:sz="4" w:space="0"/>
              <w:right w:val="single" w:color="auto" w:sz="4" w:space="0"/>
            </w:tcBorders>
            <w:shd w:val="clear" w:color="auto" w:fill="D9D9D9" w:themeFill="background1" w:themeFillShade="D9"/>
            <w:vAlign w:val="center"/>
          </w:tcPr>
          <w:p w:rsidRPr="00841662" w:rsidR="001F0154" w:rsidP="00A14F8D" w:rsidRDefault="001F0154" w14:paraId="2BDED714" w14:textId="77777777">
            <w:pPr>
              <w:rPr>
                <w:rFonts w:cs="Calibri" w:asciiTheme="minorHAnsi" w:hAnsiTheme="minorHAnsi"/>
                <w:sz w:val="21"/>
                <w:szCs w:val="21"/>
              </w:rPr>
            </w:pPr>
          </w:p>
        </w:tc>
        <w:tc>
          <w:tcPr>
            <w:tcW w:w="561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841662" w:rsidR="001F0154" w:rsidP="00A14F8D" w:rsidRDefault="001F0154" w14:paraId="1EEDF60E" w14:textId="77777777">
            <w:pPr>
              <w:rPr>
                <w:rFonts w:asciiTheme="minorHAnsi" w:hAnsiTheme="minorHAnsi"/>
                <w:sz w:val="21"/>
                <w:szCs w:val="21"/>
              </w:rPr>
            </w:pPr>
            <w:r w:rsidRPr="00841662">
              <w:rPr>
                <w:rFonts w:asciiTheme="minorHAnsi" w:hAnsiTheme="minorHAnsi"/>
                <w:sz w:val="21"/>
                <w:szCs w:val="21"/>
              </w:rPr>
              <w:t>Annual CH</w:t>
            </w:r>
            <w:r w:rsidRPr="00841662">
              <w:rPr>
                <w:rFonts w:asciiTheme="minorHAnsi" w:hAnsiTheme="minorHAnsi"/>
                <w:sz w:val="21"/>
                <w:szCs w:val="21"/>
                <w:vertAlign w:val="subscript"/>
              </w:rPr>
              <w:t>4</w:t>
            </w:r>
            <w:r w:rsidRPr="00841662">
              <w:rPr>
                <w:rFonts w:asciiTheme="minorHAnsi" w:hAnsiTheme="minorHAnsi"/>
                <w:sz w:val="21"/>
                <w:szCs w:val="21"/>
              </w:rPr>
              <w:t xml:space="preserve"> emissions (mt CH</w:t>
            </w:r>
            <w:r w:rsidRPr="00841662">
              <w:rPr>
                <w:rFonts w:asciiTheme="minorHAnsi" w:hAnsiTheme="minorHAnsi"/>
                <w:sz w:val="21"/>
                <w:szCs w:val="21"/>
                <w:vertAlign w:val="subscript"/>
              </w:rPr>
              <w:t>4</w:t>
            </w:r>
            <w:r w:rsidRPr="00841662">
              <w:rPr>
                <w:rFonts w:asciiTheme="minorHAnsi" w:hAnsiTheme="minorHAnsi"/>
                <w:sz w:val="21"/>
                <w:szCs w:val="21"/>
              </w:rPr>
              <w:t>)</w:t>
            </w:r>
          </w:p>
        </w:tc>
        <w:tc>
          <w:tcPr>
            <w:tcW w:w="71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841662" w:rsidR="001F0154" w:rsidP="00A14F8D" w:rsidRDefault="001F0154" w14:paraId="2A053E1F" w14:textId="77777777">
            <w:pPr>
              <w:jc w:val="center"/>
              <w:rPr>
                <w:rFonts w:cs="Calibri" w:asciiTheme="minorHAnsi" w:hAnsiTheme="minorHAnsi"/>
                <w:sz w:val="21"/>
                <w:szCs w:val="21"/>
              </w:rPr>
            </w:pPr>
            <w:r>
              <w:rPr>
                <w:rFonts w:cs="Calibri" w:asciiTheme="minorHAnsi" w:hAnsiTheme="minorHAnsi"/>
                <w:sz w:val="21"/>
                <w:szCs w:val="21"/>
              </w:rPr>
              <w:t>X</w:t>
            </w:r>
          </w:p>
        </w:tc>
      </w:tr>
      <w:tr w:rsidRPr="00841662" w:rsidR="001F0154" w:rsidTr="00D86B04" w14:paraId="51E1189F" w14:textId="77777777">
        <w:trPr>
          <w:trHeight w:val="260"/>
          <w:jc w:val="center"/>
        </w:trPr>
        <w:tc>
          <w:tcPr>
            <w:tcW w:w="1426" w:type="dxa"/>
            <w:vMerge/>
            <w:tcBorders>
              <w:left w:val="single" w:color="auto" w:sz="4" w:space="0"/>
              <w:right w:val="single" w:color="auto" w:sz="4" w:space="0"/>
            </w:tcBorders>
            <w:shd w:val="clear" w:color="auto" w:fill="D9D9D9" w:themeFill="background1" w:themeFillShade="D9"/>
            <w:vAlign w:val="center"/>
          </w:tcPr>
          <w:p w:rsidRPr="00841662" w:rsidR="001F0154" w:rsidP="00A14F8D" w:rsidRDefault="001F0154" w14:paraId="23893D67" w14:textId="77777777">
            <w:pPr>
              <w:rPr>
                <w:rFonts w:cs="Calibri" w:asciiTheme="minorHAnsi" w:hAnsiTheme="minorHAnsi"/>
                <w:sz w:val="21"/>
                <w:szCs w:val="21"/>
              </w:rPr>
            </w:pPr>
          </w:p>
        </w:tc>
        <w:tc>
          <w:tcPr>
            <w:tcW w:w="1515" w:type="dxa"/>
            <w:vMerge w:val="restart"/>
            <w:tcBorders>
              <w:left w:val="single" w:color="auto" w:sz="4" w:space="0"/>
              <w:right w:val="single" w:color="auto" w:sz="4" w:space="0"/>
            </w:tcBorders>
            <w:shd w:val="clear" w:color="auto" w:fill="D9D9D9" w:themeFill="background1" w:themeFillShade="D9"/>
            <w:vAlign w:val="center"/>
          </w:tcPr>
          <w:p w:rsidRPr="00841662" w:rsidR="001F0154" w:rsidP="00A14F8D" w:rsidRDefault="001F0154" w14:paraId="63055555" w14:textId="77777777">
            <w:pPr>
              <w:rPr>
                <w:rFonts w:cs="Calibri" w:asciiTheme="minorHAnsi" w:hAnsiTheme="minorHAnsi"/>
                <w:sz w:val="21"/>
                <w:szCs w:val="21"/>
              </w:rPr>
            </w:pPr>
            <w:r w:rsidRPr="00841662">
              <w:rPr>
                <w:rFonts w:cs="Calibri" w:asciiTheme="minorHAnsi" w:hAnsiTheme="minorHAnsi"/>
                <w:sz w:val="21"/>
                <w:szCs w:val="21"/>
              </w:rPr>
              <w:t>Site-specific EF</w:t>
            </w:r>
            <w:r w:rsidRPr="00841662">
              <w:rPr>
                <w:rFonts w:cs="Calibri" w:asciiTheme="minorHAnsi" w:hAnsiTheme="minorHAnsi"/>
                <w:sz w:val="21"/>
                <w:szCs w:val="21"/>
                <w:vertAlign w:val="superscript"/>
              </w:rPr>
              <w:footnoteReference w:id="36"/>
            </w:r>
          </w:p>
        </w:tc>
        <w:tc>
          <w:tcPr>
            <w:tcW w:w="5614" w:type="dxa"/>
            <w:shd w:val="clear" w:color="auto" w:fill="D9D9D9" w:themeFill="background1" w:themeFillShade="D9"/>
            <w:vAlign w:val="center"/>
          </w:tcPr>
          <w:p w:rsidRPr="00841662" w:rsidR="001F0154" w:rsidP="00A14F8D" w:rsidRDefault="001F0154" w14:paraId="5EA79191" w14:textId="77777777">
            <w:pPr>
              <w:rPr>
                <w:rFonts w:asciiTheme="minorHAnsi" w:hAnsiTheme="minorHAnsi"/>
                <w:sz w:val="21"/>
                <w:szCs w:val="21"/>
              </w:rPr>
            </w:pPr>
            <w:r w:rsidRPr="00841662">
              <w:rPr>
                <w:rFonts w:asciiTheme="minorHAnsi" w:hAnsiTheme="minorHAnsi"/>
                <w:sz w:val="21"/>
                <w:szCs w:val="21"/>
              </w:rPr>
              <w:t>Unique name or ID for the compressor</w:t>
            </w:r>
          </w:p>
        </w:tc>
        <w:tc>
          <w:tcPr>
            <w:tcW w:w="714" w:type="dxa"/>
            <w:shd w:val="clear" w:color="auto" w:fill="D9D9D9" w:themeFill="background1" w:themeFillShade="D9"/>
            <w:vAlign w:val="center"/>
          </w:tcPr>
          <w:p w:rsidRPr="00841662" w:rsidR="001F0154" w:rsidP="00A14F8D" w:rsidRDefault="001F0154" w14:paraId="5D8852E6" w14:textId="77777777">
            <w:pPr>
              <w:jc w:val="center"/>
              <w:rPr>
                <w:rFonts w:cs="Calibri" w:asciiTheme="minorHAnsi" w:hAnsiTheme="minorHAnsi"/>
                <w:sz w:val="21"/>
                <w:szCs w:val="21"/>
              </w:rPr>
            </w:pPr>
            <w:r w:rsidRPr="00841662">
              <w:rPr>
                <w:rFonts w:cs="Calibri" w:asciiTheme="minorHAnsi" w:hAnsiTheme="minorHAnsi"/>
                <w:sz w:val="21"/>
                <w:szCs w:val="21"/>
              </w:rPr>
              <w:t>X</w:t>
            </w:r>
          </w:p>
        </w:tc>
      </w:tr>
      <w:tr w:rsidRPr="00841662" w:rsidR="001F0154" w:rsidTr="00D86B04" w14:paraId="47BED1F8" w14:textId="77777777">
        <w:trPr>
          <w:trHeight w:val="215"/>
          <w:jc w:val="center"/>
        </w:trPr>
        <w:tc>
          <w:tcPr>
            <w:tcW w:w="1426" w:type="dxa"/>
            <w:vMerge/>
            <w:tcBorders>
              <w:left w:val="single" w:color="auto" w:sz="4" w:space="0"/>
              <w:right w:val="single" w:color="auto" w:sz="4" w:space="0"/>
            </w:tcBorders>
            <w:shd w:val="clear" w:color="auto" w:fill="D9D9D9" w:themeFill="background1" w:themeFillShade="D9"/>
            <w:vAlign w:val="center"/>
          </w:tcPr>
          <w:p w:rsidRPr="00841662" w:rsidR="001F0154" w:rsidP="00A14F8D" w:rsidRDefault="001F0154" w14:paraId="437A6826" w14:textId="77777777">
            <w:pPr>
              <w:rPr>
                <w:rFonts w:cs="Calibri" w:asciiTheme="minorHAnsi" w:hAnsiTheme="minorHAnsi"/>
                <w:sz w:val="21"/>
                <w:szCs w:val="21"/>
              </w:rPr>
            </w:pPr>
          </w:p>
        </w:tc>
        <w:tc>
          <w:tcPr>
            <w:tcW w:w="1515" w:type="dxa"/>
            <w:vMerge/>
            <w:tcBorders>
              <w:left w:val="single" w:color="auto" w:sz="4" w:space="0"/>
              <w:right w:val="single" w:color="auto" w:sz="4" w:space="0"/>
            </w:tcBorders>
            <w:shd w:val="clear" w:color="auto" w:fill="D9D9D9" w:themeFill="background1" w:themeFillShade="D9"/>
            <w:vAlign w:val="center"/>
          </w:tcPr>
          <w:p w:rsidRPr="00841662" w:rsidR="001F0154" w:rsidP="00A14F8D" w:rsidRDefault="001F0154" w14:paraId="49FA5238" w14:textId="77777777">
            <w:pPr>
              <w:rPr>
                <w:rFonts w:cs="Calibri" w:asciiTheme="minorHAnsi" w:hAnsiTheme="minorHAnsi"/>
                <w:sz w:val="21"/>
                <w:szCs w:val="21"/>
              </w:rPr>
            </w:pPr>
          </w:p>
        </w:tc>
        <w:tc>
          <w:tcPr>
            <w:tcW w:w="5614" w:type="dxa"/>
            <w:shd w:val="clear" w:color="auto" w:fill="D9D9D9" w:themeFill="background1" w:themeFillShade="D9"/>
            <w:vAlign w:val="center"/>
          </w:tcPr>
          <w:p w:rsidRPr="00841662" w:rsidR="001F0154" w:rsidP="00A14F8D" w:rsidRDefault="001F0154" w14:paraId="23311513" w14:textId="77777777">
            <w:pPr>
              <w:rPr>
                <w:rFonts w:asciiTheme="minorHAnsi" w:hAnsiTheme="minorHAnsi"/>
                <w:sz w:val="21"/>
                <w:szCs w:val="21"/>
              </w:rPr>
            </w:pPr>
            <w:r w:rsidRPr="00841662">
              <w:rPr>
                <w:rFonts w:asciiTheme="minorHAnsi" w:hAnsiTheme="minorHAnsi"/>
                <w:sz w:val="21"/>
                <w:szCs w:val="21"/>
              </w:rPr>
              <w:t>Unique name or ID for the individual vent to the atmosphere</w:t>
            </w:r>
          </w:p>
        </w:tc>
        <w:tc>
          <w:tcPr>
            <w:tcW w:w="714" w:type="dxa"/>
            <w:shd w:val="clear" w:color="auto" w:fill="D9D9D9" w:themeFill="background1" w:themeFillShade="D9"/>
            <w:vAlign w:val="center"/>
          </w:tcPr>
          <w:p w:rsidRPr="00841662" w:rsidR="001F0154" w:rsidP="00A14F8D" w:rsidRDefault="001F0154" w14:paraId="2D022E81" w14:textId="77777777">
            <w:pPr>
              <w:jc w:val="center"/>
              <w:rPr>
                <w:rFonts w:cs="Calibri" w:asciiTheme="minorHAnsi" w:hAnsiTheme="minorHAnsi"/>
                <w:sz w:val="21"/>
                <w:szCs w:val="21"/>
              </w:rPr>
            </w:pPr>
            <w:r w:rsidRPr="00841662">
              <w:rPr>
                <w:rFonts w:cs="Calibri" w:asciiTheme="minorHAnsi" w:hAnsiTheme="minorHAnsi"/>
                <w:sz w:val="21"/>
                <w:szCs w:val="21"/>
              </w:rPr>
              <w:t>X</w:t>
            </w:r>
          </w:p>
        </w:tc>
      </w:tr>
      <w:tr w:rsidRPr="00841662" w:rsidR="001F0154" w:rsidTr="00D86B04" w14:paraId="59CAF2ED" w14:textId="77777777">
        <w:trPr>
          <w:trHeight w:val="260"/>
          <w:jc w:val="center"/>
        </w:trPr>
        <w:tc>
          <w:tcPr>
            <w:tcW w:w="1426" w:type="dxa"/>
            <w:vMerge/>
            <w:tcBorders>
              <w:left w:val="single" w:color="auto" w:sz="4" w:space="0"/>
              <w:right w:val="single" w:color="auto" w:sz="4" w:space="0"/>
            </w:tcBorders>
            <w:shd w:val="clear" w:color="auto" w:fill="D9D9D9" w:themeFill="background1" w:themeFillShade="D9"/>
            <w:vAlign w:val="center"/>
          </w:tcPr>
          <w:p w:rsidRPr="00841662" w:rsidR="001F0154" w:rsidP="00A14F8D" w:rsidRDefault="001F0154" w14:paraId="7E89FF64" w14:textId="77777777">
            <w:pPr>
              <w:rPr>
                <w:rFonts w:cs="Calibri" w:asciiTheme="minorHAnsi" w:hAnsiTheme="minorHAnsi"/>
                <w:sz w:val="21"/>
                <w:szCs w:val="21"/>
              </w:rPr>
            </w:pPr>
          </w:p>
        </w:tc>
        <w:tc>
          <w:tcPr>
            <w:tcW w:w="1515" w:type="dxa"/>
            <w:vMerge/>
            <w:tcBorders>
              <w:left w:val="single" w:color="auto" w:sz="4" w:space="0"/>
              <w:right w:val="single" w:color="auto" w:sz="4" w:space="0"/>
            </w:tcBorders>
            <w:shd w:val="clear" w:color="auto" w:fill="D9D9D9" w:themeFill="background1" w:themeFillShade="D9"/>
            <w:vAlign w:val="center"/>
          </w:tcPr>
          <w:p w:rsidRPr="00841662" w:rsidR="001F0154" w:rsidP="00A14F8D" w:rsidRDefault="001F0154" w14:paraId="0F17998A" w14:textId="77777777">
            <w:pPr>
              <w:rPr>
                <w:rFonts w:cs="Calibri" w:asciiTheme="minorHAnsi" w:hAnsiTheme="minorHAnsi"/>
                <w:sz w:val="21"/>
                <w:szCs w:val="21"/>
              </w:rPr>
            </w:pPr>
          </w:p>
        </w:tc>
        <w:tc>
          <w:tcPr>
            <w:tcW w:w="5614" w:type="dxa"/>
            <w:shd w:val="clear" w:color="auto" w:fill="D9D9D9" w:themeFill="background1" w:themeFillShade="D9"/>
            <w:vAlign w:val="center"/>
          </w:tcPr>
          <w:p w:rsidRPr="00841662" w:rsidR="001F0154" w:rsidP="00A14F8D" w:rsidRDefault="001F0154" w14:paraId="176A0080" w14:textId="77777777">
            <w:pPr>
              <w:rPr>
                <w:rFonts w:asciiTheme="minorHAnsi" w:hAnsiTheme="minorHAnsi"/>
                <w:sz w:val="21"/>
                <w:szCs w:val="21"/>
              </w:rPr>
            </w:pPr>
            <w:r w:rsidRPr="00841662">
              <w:rPr>
                <w:rFonts w:asciiTheme="minorHAnsi" w:hAnsiTheme="minorHAnsi"/>
                <w:sz w:val="21"/>
                <w:szCs w:val="21"/>
              </w:rPr>
              <w:t>Reporter EF (scfh)</w:t>
            </w:r>
          </w:p>
        </w:tc>
        <w:tc>
          <w:tcPr>
            <w:tcW w:w="714" w:type="dxa"/>
            <w:shd w:val="clear" w:color="auto" w:fill="D9D9D9" w:themeFill="background1" w:themeFillShade="D9"/>
            <w:vAlign w:val="center"/>
          </w:tcPr>
          <w:p w:rsidRPr="00841662" w:rsidR="001F0154" w:rsidP="00A14F8D" w:rsidRDefault="001F0154" w14:paraId="58A1FF46" w14:textId="77777777">
            <w:pPr>
              <w:jc w:val="center"/>
              <w:rPr>
                <w:rFonts w:cs="Calibri" w:asciiTheme="minorHAnsi" w:hAnsiTheme="minorHAnsi"/>
                <w:sz w:val="21"/>
                <w:szCs w:val="21"/>
              </w:rPr>
            </w:pPr>
            <w:r w:rsidRPr="00841662">
              <w:rPr>
                <w:rFonts w:cs="Calibri" w:asciiTheme="minorHAnsi" w:hAnsiTheme="minorHAnsi"/>
                <w:sz w:val="21"/>
                <w:szCs w:val="21"/>
              </w:rPr>
              <w:t>X</w:t>
            </w:r>
          </w:p>
        </w:tc>
      </w:tr>
      <w:tr w:rsidRPr="00841662" w:rsidR="001F0154" w:rsidTr="00D86B04" w14:paraId="76D0B60D" w14:textId="77777777">
        <w:trPr>
          <w:trHeight w:val="440"/>
          <w:jc w:val="center"/>
        </w:trPr>
        <w:tc>
          <w:tcPr>
            <w:tcW w:w="1426" w:type="dxa"/>
            <w:vMerge/>
            <w:tcBorders>
              <w:left w:val="single" w:color="auto" w:sz="4" w:space="0"/>
              <w:right w:val="single" w:color="auto" w:sz="4" w:space="0"/>
            </w:tcBorders>
            <w:shd w:val="clear" w:color="auto" w:fill="D9D9D9" w:themeFill="background1" w:themeFillShade="D9"/>
            <w:vAlign w:val="center"/>
          </w:tcPr>
          <w:p w:rsidRPr="00841662" w:rsidR="001F0154" w:rsidP="00A14F8D" w:rsidRDefault="001F0154" w14:paraId="59D64769" w14:textId="77777777">
            <w:pPr>
              <w:rPr>
                <w:rFonts w:cs="Calibri" w:asciiTheme="minorHAnsi" w:hAnsiTheme="minorHAnsi"/>
                <w:sz w:val="21"/>
                <w:szCs w:val="21"/>
              </w:rPr>
            </w:pPr>
          </w:p>
        </w:tc>
        <w:tc>
          <w:tcPr>
            <w:tcW w:w="1515" w:type="dxa"/>
            <w:vMerge/>
            <w:tcBorders>
              <w:left w:val="single" w:color="auto" w:sz="4" w:space="0"/>
              <w:right w:val="single" w:color="auto" w:sz="4" w:space="0"/>
            </w:tcBorders>
            <w:shd w:val="clear" w:color="auto" w:fill="D9D9D9" w:themeFill="background1" w:themeFillShade="D9"/>
            <w:vAlign w:val="center"/>
          </w:tcPr>
          <w:p w:rsidRPr="00841662" w:rsidR="001F0154" w:rsidP="00A14F8D" w:rsidRDefault="001F0154" w14:paraId="0C7E74C5" w14:textId="77777777">
            <w:pPr>
              <w:rPr>
                <w:rFonts w:cs="Calibri" w:asciiTheme="minorHAnsi" w:hAnsiTheme="minorHAnsi"/>
                <w:sz w:val="21"/>
                <w:szCs w:val="21"/>
              </w:rPr>
            </w:pPr>
          </w:p>
        </w:tc>
        <w:tc>
          <w:tcPr>
            <w:tcW w:w="5614" w:type="dxa"/>
            <w:shd w:val="clear" w:color="auto" w:fill="D9D9D9" w:themeFill="background1" w:themeFillShade="D9"/>
            <w:vAlign w:val="center"/>
          </w:tcPr>
          <w:p w:rsidRPr="00841662" w:rsidR="001F0154" w:rsidP="00A14F8D" w:rsidRDefault="001F0154" w14:paraId="6A525313" w14:textId="77777777">
            <w:pPr>
              <w:rPr>
                <w:rFonts w:asciiTheme="minorHAnsi" w:hAnsiTheme="minorHAnsi"/>
                <w:sz w:val="21"/>
                <w:szCs w:val="21"/>
              </w:rPr>
            </w:pPr>
            <w:r w:rsidRPr="00841662">
              <w:rPr>
                <w:rFonts w:asciiTheme="minorHAnsi" w:hAnsiTheme="minorHAnsi"/>
                <w:sz w:val="21"/>
                <w:szCs w:val="21"/>
              </w:rPr>
              <w:t>Number of measured compressors (during the current year and 2 previous years) from which the reporter EF was developed</w:t>
            </w:r>
          </w:p>
        </w:tc>
        <w:tc>
          <w:tcPr>
            <w:tcW w:w="714" w:type="dxa"/>
            <w:shd w:val="clear" w:color="auto" w:fill="D9D9D9" w:themeFill="background1" w:themeFillShade="D9"/>
            <w:vAlign w:val="center"/>
          </w:tcPr>
          <w:p w:rsidRPr="00841662" w:rsidR="001F0154" w:rsidP="00A14F8D" w:rsidRDefault="001F0154" w14:paraId="7349F1DE" w14:textId="77777777">
            <w:pPr>
              <w:jc w:val="center"/>
              <w:rPr>
                <w:rFonts w:cs="Calibri" w:asciiTheme="minorHAnsi" w:hAnsiTheme="minorHAnsi"/>
                <w:sz w:val="21"/>
                <w:szCs w:val="21"/>
              </w:rPr>
            </w:pPr>
            <w:r w:rsidRPr="00841662">
              <w:rPr>
                <w:rFonts w:cs="Calibri" w:asciiTheme="minorHAnsi" w:hAnsiTheme="minorHAnsi"/>
                <w:sz w:val="21"/>
                <w:szCs w:val="21"/>
              </w:rPr>
              <w:t>X</w:t>
            </w:r>
          </w:p>
        </w:tc>
      </w:tr>
      <w:tr w:rsidRPr="00841662" w:rsidR="001F0154" w:rsidTr="00D86B04" w14:paraId="4A0FADBD" w14:textId="77777777">
        <w:trPr>
          <w:trHeight w:val="70"/>
          <w:jc w:val="center"/>
        </w:trPr>
        <w:tc>
          <w:tcPr>
            <w:tcW w:w="1426" w:type="dxa"/>
            <w:vMerge/>
            <w:tcBorders>
              <w:left w:val="single" w:color="auto" w:sz="4" w:space="0"/>
              <w:bottom w:val="single" w:color="auto" w:sz="4" w:space="0"/>
              <w:right w:val="single" w:color="auto" w:sz="4" w:space="0"/>
            </w:tcBorders>
            <w:shd w:val="clear" w:color="auto" w:fill="D9D9D9" w:themeFill="background1" w:themeFillShade="D9"/>
            <w:vAlign w:val="center"/>
          </w:tcPr>
          <w:p w:rsidRPr="00841662" w:rsidR="001F0154" w:rsidP="00A14F8D" w:rsidRDefault="001F0154" w14:paraId="3FE4F9D9" w14:textId="77777777">
            <w:pPr>
              <w:rPr>
                <w:rFonts w:cs="Calibri" w:asciiTheme="minorHAnsi" w:hAnsiTheme="minorHAnsi"/>
                <w:sz w:val="21"/>
                <w:szCs w:val="21"/>
              </w:rPr>
            </w:pPr>
          </w:p>
        </w:tc>
        <w:tc>
          <w:tcPr>
            <w:tcW w:w="1515" w:type="dxa"/>
            <w:vMerge/>
            <w:tcBorders>
              <w:left w:val="single" w:color="auto" w:sz="4" w:space="0"/>
              <w:bottom w:val="single" w:color="auto" w:sz="4" w:space="0"/>
              <w:right w:val="single" w:color="auto" w:sz="4" w:space="0"/>
            </w:tcBorders>
            <w:shd w:val="clear" w:color="auto" w:fill="D9D9D9" w:themeFill="background1" w:themeFillShade="D9"/>
            <w:vAlign w:val="center"/>
          </w:tcPr>
          <w:p w:rsidRPr="00841662" w:rsidR="001F0154" w:rsidP="00A14F8D" w:rsidRDefault="001F0154" w14:paraId="4E51CDAD" w14:textId="77777777">
            <w:pPr>
              <w:rPr>
                <w:rFonts w:cs="Calibri" w:asciiTheme="minorHAnsi" w:hAnsiTheme="minorHAnsi"/>
                <w:sz w:val="21"/>
                <w:szCs w:val="21"/>
              </w:rPr>
            </w:pPr>
          </w:p>
        </w:tc>
        <w:tc>
          <w:tcPr>
            <w:tcW w:w="5614" w:type="dxa"/>
            <w:tcBorders>
              <w:bottom w:val="single" w:color="auto" w:sz="4" w:space="0"/>
            </w:tcBorders>
            <w:shd w:val="clear" w:color="auto" w:fill="D9D9D9" w:themeFill="background1" w:themeFillShade="D9"/>
            <w:vAlign w:val="center"/>
          </w:tcPr>
          <w:p w:rsidRPr="00841662" w:rsidR="001F0154" w:rsidP="00A14F8D" w:rsidRDefault="001F0154" w14:paraId="334C4981" w14:textId="77777777">
            <w:pPr>
              <w:rPr>
                <w:rFonts w:asciiTheme="minorHAnsi" w:hAnsiTheme="minorHAnsi"/>
                <w:sz w:val="21"/>
                <w:szCs w:val="21"/>
              </w:rPr>
            </w:pPr>
            <w:r w:rsidRPr="00841662">
              <w:rPr>
                <w:rFonts w:asciiTheme="minorHAnsi" w:hAnsiTheme="minorHAnsi"/>
                <w:sz w:val="21"/>
                <w:szCs w:val="21"/>
              </w:rPr>
              <w:t>Annual CH</w:t>
            </w:r>
            <w:r w:rsidRPr="00841662">
              <w:rPr>
                <w:rFonts w:asciiTheme="minorHAnsi" w:hAnsiTheme="minorHAnsi"/>
                <w:sz w:val="21"/>
                <w:szCs w:val="21"/>
                <w:vertAlign w:val="subscript"/>
              </w:rPr>
              <w:t>4</w:t>
            </w:r>
            <w:r w:rsidRPr="00841662">
              <w:rPr>
                <w:rFonts w:asciiTheme="minorHAnsi" w:hAnsiTheme="minorHAnsi"/>
                <w:sz w:val="21"/>
                <w:szCs w:val="21"/>
              </w:rPr>
              <w:t xml:space="preserve"> emissions (mt CH</w:t>
            </w:r>
            <w:r w:rsidRPr="00841662">
              <w:rPr>
                <w:rFonts w:asciiTheme="minorHAnsi" w:hAnsiTheme="minorHAnsi"/>
                <w:sz w:val="21"/>
                <w:szCs w:val="21"/>
                <w:vertAlign w:val="subscript"/>
              </w:rPr>
              <w:t>4</w:t>
            </w:r>
            <w:r w:rsidRPr="00841662">
              <w:rPr>
                <w:rFonts w:asciiTheme="minorHAnsi" w:hAnsiTheme="minorHAnsi"/>
                <w:sz w:val="21"/>
                <w:szCs w:val="21"/>
              </w:rPr>
              <w:t>)</w:t>
            </w:r>
          </w:p>
        </w:tc>
        <w:tc>
          <w:tcPr>
            <w:tcW w:w="714" w:type="dxa"/>
            <w:tcBorders>
              <w:bottom w:val="single" w:color="auto" w:sz="4" w:space="0"/>
            </w:tcBorders>
            <w:shd w:val="clear" w:color="auto" w:fill="D9D9D9" w:themeFill="background1" w:themeFillShade="D9"/>
            <w:vAlign w:val="center"/>
          </w:tcPr>
          <w:p w:rsidRPr="00841662" w:rsidR="001F0154" w:rsidP="00A14F8D" w:rsidRDefault="001F0154" w14:paraId="10ACA3AC" w14:textId="77777777">
            <w:pPr>
              <w:jc w:val="center"/>
              <w:rPr>
                <w:rFonts w:cs="Calibri" w:asciiTheme="minorHAnsi" w:hAnsiTheme="minorHAnsi"/>
                <w:sz w:val="21"/>
                <w:szCs w:val="21"/>
              </w:rPr>
            </w:pPr>
            <w:r>
              <w:rPr>
                <w:rFonts w:cs="Calibri" w:asciiTheme="minorHAnsi" w:hAnsiTheme="minorHAnsi"/>
                <w:sz w:val="21"/>
                <w:szCs w:val="21"/>
              </w:rPr>
              <w:t>X</w:t>
            </w:r>
          </w:p>
        </w:tc>
      </w:tr>
      <w:tr w:rsidRPr="00841662" w:rsidR="003B2087" w:rsidTr="00C76707" w14:paraId="74DAF11F" w14:textId="77777777">
        <w:trPr>
          <w:trHeight w:val="899"/>
          <w:jc w:val="center"/>
        </w:trPr>
        <w:tc>
          <w:tcPr>
            <w:tcW w:w="1426" w:type="dxa"/>
            <w:vMerge w:val="restart"/>
            <w:tcBorders>
              <w:left w:val="single" w:color="auto" w:sz="4" w:space="0"/>
              <w:right w:val="single" w:color="auto" w:sz="4" w:space="0"/>
            </w:tcBorders>
            <w:shd w:val="clear" w:color="auto" w:fill="auto"/>
            <w:vAlign w:val="center"/>
          </w:tcPr>
          <w:p w:rsidRPr="009C7875" w:rsidR="003B2087" w:rsidP="00A14F8D" w:rsidRDefault="003B2087" w14:paraId="78A1FBDB" w14:textId="6A23C09A">
            <w:pPr>
              <w:rPr>
                <w:rFonts w:cs="Calibri"/>
                <w:sz w:val="21"/>
                <w:szCs w:val="21"/>
                <w:highlight w:val="yellow"/>
              </w:rPr>
            </w:pPr>
            <w:r w:rsidRPr="009C7875">
              <w:rPr>
                <w:rFonts w:cs="Calibri"/>
                <w:sz w:val="21"/>
                <w:szCs w:val="21"/>
                <w:highlight w:val="yellow"/>
              </w:rPr>
              <w:t xml:space="preserve">Reciprocating compressors </w:t>
            </w:r>
          </w:p>
        </w:tc>
        <w:tc>
          <w:tcPr>
            <w:tcW w:w="1515" w:type="dxa"/>
            <w:vMerge w:val="restart"/>
            <w:tcBorders>
              <w:left w:val="single" w:color="auto" w:sz="4" w:space="0"/>
              <w:right w:val="single" w:color="auto" w:sz="4" w:space="0"/>
            </w:tcBorders>
            <w:shd w:val="clear" w:color="auto" w:fill="auto"/>
            <w:vAlign w:val="center"/>
          </w:tcPr>
          <w:p w:rsidRPr="009C7875" w:rsidR="003B2087" w:rsidP="009C7875" w:rsidRDefault="003B2087" w14:paraId="7947FD16" w14:textId="2A42D589">
            <w:pPr>
              <w:spacing w:after="0"/>
              <w:rPr>
                <w:rFonts w:cs="Calibri"/>
                <w:sz w:val="21"/>
                <w:szCs w:val="21"/>
                <w:highlight w:val="yellow"/>
              </w:rPr>
            </w:pPr>
            <w:r w:rsidRPr="009C7875">
              <w:rPr>
                <w:rFonts w:cs="Calibri"/>
                <w:sz w:val="21"/>
                <w:szCs w:val="21"/>
                <w:highlight w:val="yellow"/>
              </w:rPr>
              <w:t>Alternate calculation method</w:t>
            </w:r>
            <w:r w:rsidR="0025283C">
              <w:rPr>
                <w:rFonts w:cs="Calibri"/>
                <w:sz w:val="21"/>
                <w:szCs w:val="21"/>
                <w:highlight w:val="yellow"/>
              </w:rPr>
              <w:t xml:space="preserve"> </w:t>
            </w:r>
            <w:r w:rsidRPr="00F41A9B" w:rsidR="0025283C">
              <w:rPr>
                <w:highlight w:val="yellow"/>
              </w:rPr>
              <w:t xml:space="preserve">for </w:t>
            </w:r>
            <w:r w:rsidRPr="00F41A9B" w:rsidR="0025283C">
              <w:rPr>
                <w:b/>
                <w:bCs/>
                <w:highlight w:val="yellow"/>
              </w:rPr>
              <w:t>facilities not reporting to Subpart W only</w:t>
            </w:r>
            <w:r w:rsidRPr="0025283C" w:rsidR="0025283C">
              <w:rPr>
                <w:rStyle w:val="FootnoteReference"/>
                <w:rFonts w:cs="Calibri"/>
                <w:sz w:val="21"/>
                <w:szCs w:val="21"/>
                <w:highlight w:val="yellow"/>
              </w:rPr>
              <w:t xml:space="preserve"> </w:t>
            </w:r>
            <w:r w:rsidRPr="009C7875">
              <w:rPr>
                <w:rStyle w:val="FootnoteReference"/>
                <w:rFonts w:cs="Calibri"/>
                <w:sz w:val="21"/>
                <w:szCs w:val="21"/>
                <w:highlight w:val="yellow"/>
              </w:rPr>
              <w:footnoteReference w:id="37"/>
            </w:r>
          </w:p>
        </w:tc>
        <w:tc>
          <w:tcPr>
            <w:tcW w:w="5614" w:type="dxa"/>
            <w:tcBorders>
              <w:bottom w:val="single" w:color="auto" w:sz="4" w:space="0"/>
            </w:tcBorders>
            <w:shd w:val="clear" w:color="auto" w:fill="auto"/>
            <w:vAlign w:val="center"/>
          </w:tcPr>
          <w:p w:rsidRPr="009C7875" w:rsidR="003B2087" w:rsidP="00D86B04" w:rsidRDefault="003B2087" w14:paraId="59C530FF" w14:textId="14B40931">
            <w:pPr>
              <w:rPr>
                <w:sz w:val="21"/>
                <w:szCs w:val="21"/>
                <w:highlight w:val="yellow"/>
              </w:rPr>
            </w:pPr>
            <w:r w:rsidRPr="009C7875">
              <w:rPr>
                <w:sz w:val="21"/>
                <w:szCs w:val="21"/>
                <w:highlight w:val="yellow"/>
              </w:rPr>
              <w:t>Actual count of compressors not reported to Subpart W (i.e., those utilizing the alternate calculation method)</w:t>
            </w:r>
          </w:p>
        </w:tc>
        <w:tc>
          <w:tcPr>
            <w:tcW w:w="714" w:type="dxa"/>
            <w:tcBorders>
              <w:bottom w:val="single" w:color="auto" w:sz="4" w:space="0"/>
            </w:tcBorders>
            <w:shd w:val="clear" w:color="auto" w:fill="auto"/>
            <w:vAlign w:val="center"/>
          </w:tcPr>
          <w:p w:rsidR="003B2087" w:rsidP="00A14F8D" w:rsidRDefault="003B2087" w14:paraId="7CF59826" w14:textId="77777777">
            <w:pPr>
              <w:jc w:val="center"/>
              <w:rPr>
                <w:rFonts w:cs="Calibri"/>
                <w:sz w:val="21"/>
                <w:szCs w:val="21"/>
              </w:rPr>
            </w:pPr>
          </w:p>
        </w:tc>
      </w:tr>
      <w:tr w:rsidRPr="00841662" w:rsidR="003B2087" w:rsidTr="00C76707" w14:paraId="03E42157" w14:textId="77777777">
        <w:trPr>
          <w:trHeight w:val="70"/>
          <w:jc w:val="center"/>
        </w:trPr>
        <w:tc>
          <w:tcPr>
            <w:tcW w:w="1426" w:type="dxa"/>
            <w:vMerge/>
            <w:tcBorders>
              <w:left w:val="single" w:color="auto" w:sz="4" w:space="0"/>
              <w:bottom w:val="single" w:color="auto" w:sz="4" w:space="0"/>
              <w:right w:val="single" w:color="auto" w:sz="4" w:space="0"/>
            </w:tcBorders>
            <w:shd w:val="clear" w:color="auto" w:fill="auto"/>
            <w:vAlign w:val="center"/>
          </w:tcPr>
          <w:p w:rsidRPr="00C76707" w:rsidR="003B2087" w:rsidP="00A14F8D" w:rsidRDefault="003B2087" w14:paraId="4DBCE3E9" w14:textId="77777777">
            <w:pPr>
              <w:rPr>
                <w:rFonts w:cs="Calibri"/>
                <w:sz w:val="21"/>
                <w:szCs w:val="21"/>
                <w:highlight w:val="yellow"/>
              </w:rPr>
            </w:pPr>
          </w:p>
        </w:tc>
        <w:tc>
          <w:tcPr>
            <w:tcW w:w="1515" w:type="dxa"/>
            <w:vMerge/>
            <w:tcBorders>
              <w:left w:val="single" w:color="auto" w:sz="4" w:space="0"/>
              <w:bottom w:val="single" w:color="auto" w:sz="4" w:space="0"/>
              <w:right w:val="single" w:color="auto" w:sz="4" w:space="0"/>
            </w:tcBorders>
            <w:shd w:val="clear" w:color="auto" w:fill="auto"/>
            <w:vAlign w:val="center"/>
          </w:tcPr>
          <w:p w:rsidRPr="00C76707" w:rsidR="003B2087" w:rsidP="00A14F8D" w:rsidRDefault="003B2087" w14:paraId="62802E4B" w14:textId="77777777">
            <w:pPr>
              <w:rPr>
                <w:rFonts w:cs="Calibri"/>
                <w:sz w:val="21"/>
                <w:szCs w:val="21"/>
                <w:highlight w:val="yellow"/>
              </w:rPr>
            </w:pPr>
          </w:p>
        </w:tc>
        <w:tc>
          <w:tcPr>
            <w:tcW w:w="5614" w:type="dxa"/>
            <w:tcBorders>
              <w:bottom w:val="single" w:color="auto" w:sz="4" w:space="0"/>
            </w:tcBorders>
            <w:shd w:val="clear" w:color="auto" w:fill="auto"/>
            <w:vAlign w:val="center"/>
          </w:tcPr>
          <w:p w:rsidRPr="009C7875" w:rsidR="003B2087" w:rsidP="00D86B04" w:rsidRDefault="003B2087" w14:paraId="6A7CEC7A" w14:textId="4D1A9324">
            <w:pPr>
              <w:rPr>
                <w:sz w:val="21"/>
                <w:szCs w:val="21"/>
                <w:highlight w:val="yellow"/>
              </w:rPr>
            </w:pPr>
            <w:r w:rsidRPr="00C76707">
              <w:rPr>
                <w:sz w:val="21"/>
                <w:szCs w:val="21"/>
                <w:highlight w:val="yellow"/>
              </w:rPr>
              <w:t>Annual CH4 emissions using the alternate calculation method (mt CH</w:t>
            </w:r>
            <w:r w:rsidRPr="00C76707">
              <w:rPr>
                <w:sz w:val="21"/>
                <w:szCs w:val="21"/>
                <w:highlight w:val="yellow"/>
                <w:vertAlign w:val="subscript"/>
              </w:rPr>
              <w:t>4</w:t>
            </w:r>
            <w:r w:rsidRPr="00C76707">
              <w:rPr>
                <w:sz w:val="21"/>
                <w:szCs w:val="21"/>
                <w:highlight w:val="yellow"/>
              </w:rPr>
              <w:t>)</w:t>
            </w:r>
          </w:p>
        </w:tc>
        <w:tc>
          <w:tcPr>
            <w:tcW w:w="714" w:type="dxa"/>
            <w:tcBorders>
              <w:bottom w:val="single" w:color="auto" w:sz="4" w:space="0"/>
            </w:tcBorders>
            <w:shd w:val="clear" w:color="auto" w:fill="auto"/>
            <w:vAlign w:val="center"/>
          </w:tcPr>
          <w:p w:rsidR="003B2087" w:rsidP="00A14F8D" w:rsidRDefault="003B2087" w14:paraId="5589007A" w14:textId="77777777">
            <w:pPr>
              <w:jc w:val="center"/>
              <w:rPr>
                <w:rFonts w:cs="Calibri"/>
                <w:sz w:val="21"/>
                <w:szCs w:val="21"/>
              </w:rPr>
            </w:pPr>
          </w:p>
        </w:tc>
      </w:tr>
      <w:tr w:rsidRPr="00841662" w:rsidR="001F0154" w:rsidTr="00C76707" w14:paraId="07DE33C6" w14:textId="77777777">
        <w:trPr>
          <w:trHeight w:val="440"/>
          <w:jc w:val="center"/>
        </w:trPr>
        <w:tc>
          <w:tcPr>
            <w:tcW w:w="1426" w:type="dxa"/>
            <w:vMerge w:val="restart"/>
            <w:tcBorders>
              <w:top w:val="single" w:color="auto" w:sz="4" w:space="0"/>
              <w:left w:val="single" w:color="auto" w:sz="4" w:space="0"/>
              <w:right w:val="single" w:color="auto" w:sz="4" w:space="0"/>
            </w:tcBorders>
            <w:shd w:val="clear" w:color="auto" w:fill="D9D9D9" w:themeFill="background1" w:themeFillShade="D9"/>
            <w:vAlign w:val="center"/>
          </w:tcPr>
          <w:p w:rsidRPr="00841662" w:rsidR="001F0154" w:rsidP="00A14F8D" w:rsidRDefault="001F0154" w14:paraId="56890499" w14:textId="77777777">
            <w:pPr>
              <w:rPr>
                <w:rFonts w:cs="Calibri" w:asciiTheme="minorHAnsi" w:hAnsiTheme="minorHAnsi"/>
                <w:sz w:val="21"/>
                <w:szCs w:val="21"/>
              </w:rPr>
            </w:pPr>
            <w:r w:rsidRPr="00841662">
              <w:rPr>
                <w:rFonts w:asciiTheme="minorHAnsi" w:hAnsiTheme="minorHAnsi"/>
                <w:sz w:val="21"/>
                <w:szCs w:val="21"/>
              </w:rPr>
              <w:t xml:space="preserve">Voluntary action to </w:t>
            </w:r>
            <w:r w:rsidRPr="00841662">
              <w:rPr>
                <w:rFonts w:asciiTheme="minorHAnsi" w:hAnsiTheme="minorHAnsi"/>
                <w:sz w:val="21"/>
                <w:szCs w:val="21"/>
              </w:rPr>
              <w:lastRenderedPageBreak/>
              <w:t>reduce methane emissions during the reporting year</w:t>
            </w:r>
          </w:p>
        </w:tc>
        <w:tc>
          <w:tcPr>
            <w:tcW w:w="1515" w:type="dxa"/>
            <w:vMerge w:val="restart"/>
            <w:tcBorders>
              <w:top w:val="single" w:color="auto" w:sz="4" w:space="0"/>
              <w:left w:val="single" w:color="auto" w:sz="4" w:space="0"/>
              <w:right w:val="single" w:color="auto" w:sz="4" w:space="0"/>
            </w:tcBorders>
            <w:shd w:val="clear" w:color="auto" w:fill="D9D9D9" w:themeFill="background1" w:themeFillShade="D9"/>
            <w:vAlign w:val="center"/>
          </w:tcPr>
          <w:p w:rsidRPr="00841662" w:rsidR="001F0154" w:rsidP="00A14F8D" w:rsidRDefault="001F0154" w14:paraId="618252B9" w14:textId="77777777">
            <w:pPr>
              <w:rPr>
                <w:rFonts w:cs="Calibri" w:asciiTheme="minorHAnsi" w:hAnsiTheme="minorHAnsi"/>
                <w:sz w:val="21"/>
                <w:szCs w:val="21"/>
              </w:rPr>
            </w:pPr>
            <w:r w:rsidRPr="00841662">
              <w:rPr>
                <w:rFonts w:asciiTheme="minorHAnsi" w:hAnsiTheme="minorHAnsi"/>
                <w:sz w:val="21"/>
                <w:szCs w:val="21"/>
              </w:rPr>
              <w:lastRenderedPageBreak/>
              <w:t xml:space="preserve">Difference in emissions </w:t>
            </w:r>
            <w:r w:rsidRPr="00841662">
              <w:rPr>
                <w:rFonts w:asciiTheme="minorHAnsi" w:hAnsiTheme="minorHAnsi"/>
                <w:sz w:val="21"/>
                <w:szCs w:val="21"/>
              </w:rPr>
              <w:lastRenderedPageBreak/>
              <w:t xml:space="preserve">before and after </w:t>
            </w:r>
            <w:r w:rsidRPr="00841662">
              <w:rPr>
                <w:rFonts w:asciiTheme="minorHAnsi" w:hAnsiTheme="minorHAnsi" w:cstheme="minorHAnsi"/>
                <w:sz w:val="21"/>
                <w:szCs w:val="21"/>
              </w:rPr>
              <w:t>mitigation</w:t>
            </w:r>
            <w:r w:rsidRPr="00841662">
              <w:rPr>
                <w:rFonts w:asciiTheme="minorHAnsi" w:hAnsiTheme="minorHAnsi" w:cstheme="minorHAnsi"/>
                <w:sz w:val="21"/>
                <w:szCs w:val="21"/>
                <w:vertAlign w:val="superscript"/>
              </w:rPr>
              <w:footnoteReference w:id="38"/>
            </w:r>
          </w:p>
        </w:tc>
        <w:tc>
          <w:tcPr>
            <w:tcW w:w="561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841662" w:rsidR="001F0154" w:rsidP="00A14F8D" w:rsidRDefault="001F0154" w14:paraId="5FAC67AF" w14:textId="77777777">
            <w:pPr>
              <w:rPr>
                <w:rFonts w:asciiTheme="minorHAnsi" w:hAnsiTheme="minorHAnsi"/>
                <w:sz w:val="21"/>
                <w:szCs w:val="21"/>
              </w:rPr>
            </w:pPr>
            <w:r w:rsidRPr="00841662">
              <w:rPr>
                <w:rFonts w:asciiTheme="minorHAnsi" w:hAnsiTheme="minorHAnsi"/>
                <w:sz w:val="21"/>
                <w:szCs w:val="21"/>
              </w:rPr>
              <w:lastRenderedPageBreak/>
              <w:t xml:space="preserve">Number of reciprocating compressors with rod packing vents routed to VRU or beneficial use </w:t>
            </w:r>
            <w:r>
              <w:rPr>
                <w:rFonts w:asciiTheme="minorHAnsi" w:hAnsiTheme="minorHAnsi"/>
                <w:sz w:val="21"/>
                <w:szCs w:val="21"/>
              </w:rPr>
              <w:t>during reporting year</w:t>
            </w:r>
          </w:p>
        </w:tc>
        <w:tc>
          <w:tcPr>
            <w:tcW w:w="71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841662" w:rsidR="001F0154" w:rsidP="00A14F8D" w:rsidRDefault="001F0154" w14:paraId="741294AA" w14:textId="77777777">
            <w:pPr>
              <w:jc w:val="center"/>
              <w:rPr>
                <w:rFonts w:cs="Calibri" w:asciiTheme="minorHAnsi" w:hAnsiTheme="minorHAnsi"/>
                <w:sz w:val="21"/>
                <w:szCs w:val="21"/>
              </w:rPr>
            </w:pPr>
          </w:p>
        </w:tc>
      </w:tr>
      <w:tr w:rsidRPr="00841662" w:rsidR="001F0154" w:rsidTr="00C76707" w14:paraId="5BAA199F" w14:textId="77777777">
        <w:trPr>
          <w:trHeight w:val="440"/>
          <w:jc w:val="center"/>
        </w:trPr>
        <w:tc>
          <w:tcPr>
            <w:tcW w:w="1426" w:type="dxa"/>
            <w:vMerge/>
            <w:tcBorders>
              <w:left w:val="single" w:color="auto" w:sz="4" w:space="0"/>
              <w:right w:val="single" w:color="auto" w:sz="4" w:space="0"/>
            </w:tcBorders>
            <w:shd w:val="clear" w:color="auto" w:fill="D9D9D9" w:themeFill="background1" w:themeFillShade="D9"/>
            <w:vAlign w:val="center"/>
          </w:tcPr>
          <w:p w:rsidRPr="00841662" w:rsidR="001F0154" w:rsidP="00A14F8D" w:rsidRDefault="001F0154" w14:paraId="7274E9B3" w14:textId="77777777">
            <w:pPr>
              <w:rPr>
                <w:rFonts w:cs="Calibri" w:asciiTheme="minorHAnsi" w:hAnsiTheme="minorHAnsi"/>
                <w:sz w:val="21"/>
                <w:szCs w:val="21"/>
              </w:rPr>
            </w:pPr>
          </w:p>
        </w:tc>
        <w:tc>
          <w:tcPr>
            <w:tcW w:w="1515" w:type="dxa"/>
            <w:vMerge/>
            <w:tcBorders>
              <w:left w:val="single" w:color="auto" w:sz="4" w:space="0"/>
              <w:right w:val="single" w:color="auto" w:sz="4" w:space="0"/>
            </w:tcBorders>
            <w:shd w:val="clear" w:color="auto" w:fill="D9D9D9" w:themeFill="background1" w:themeFillShade="D9"/>
            <w:vAlign w:val="center"/>
          </w:tcPr>
          <w:p w:rsidRPr="00841662" w:rsidR="001F0154" w:rsidP="00A14F8D" w:rsidRDefault="001F0154" w14:paraId="0A366FC4" w14:textId="77777777">
            <w:pPr>
              <w:rPr>
                <w:rFonts w:cs="Calibri" w:asciiTheme="minorHAnsi" w:hAnsiTheme="minorHAnsi"/>
                <w:sz w:val="21"/>
                <w:szCs w:val="21"/>
              </w:rPr>
            </w:pPr>
          </w:p>
        </w:tc>
        <w:tc>
          <w:tcPr>
            <w:tcW w:w="561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841662" w:rsidR="001F0154" w:rsidP="00A14F8D" w:rsidRDefault="001F0154" w14:paraId="656A6FDE" w14:textId="4884CDFD">
            <w:pPr>
              <w:rPr>
                <w:rFonts w:asciiTheme="minorHAnsi" w:hAnsiTheme="minorHAnsi"/>
                <w:sz w:val="21"/>
                <w:szCs w:val="21"/>
              </w:rPr>
            </w:pPr>
            <w:r w:rsidRPr="00841662">
              <w:rPr>
                <w:rFonts w:asciiTheme="minorHAnsi" w:hAnsiTheme="minorHAnsi"/>
                <w:sz w:val="21"/>
                <w:szCs w:val="21"/>
              </w:rPr>
              <w:t>Number of reciprocating compressors with rod packing vents routed to flare or control device</w:t>
            </w:r>
            <w:r>
              <w:rPr>
                <w:rFonts w:asciiTheme="minorHAnsi" w:hAnsiTheme="minorHAnsi"/>
                <w:sz w:val="21"/>
                <w:szCs w:val="21"/>
              </w:rPr>
              <w:t xml:space="preserve"> during reporting year</w:t>
            </w:r>
          </w:p>
        </w:tc>
        <w:tc>
          <w:tcPr>
            <w:tcW w:w="71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841662" w:rsidR="001F0154" w:rsidP="00A14F8D" w:rsidRDefault="001F0154" w14:paraId="3F52844B" w14:textId="77777777">
            <w:pPr>
              <w:jc w:val="center"/>
              <w:rPr>
                <w:rFonts w:cs="Calibri" w:asciiTheme="minorHAnsi" w:hAnsiTheme="minorHAnsi"/>
                <w:sz w:val="21"/>
                <w:szCs w:val="21"/>
              </w:rPr>
            </w:pPr>
          </w:p>
        </w:tc>
      </w:tr>
      <w:tr w:rsidRPr="00841662" w:rsidR="001F0154" w:rsidTr="00C76707" w14:paraId="165F1439" w14:textId="77777777">
        <w:trPr>
          <w:trHeight w:val="440"/>
          <w:jc w:val="center"/>
        </w:trPr>
        <w:tc>
          <w:tcPr>
            <w:tcW w:w="1426" w:type="dxa"/>
            <w:vMerge/>
            <w:tcBorders>
              <w:left w:val="single" w:color="auto" w:sz="4" w:space="0"/>
              <w:right w:val="single" w:color="auto" w:sz="4" w:space="0"/>
            </w:tcBorders>
            <w:shd w:val="clear" w:color="auto" w:fill="D9D9D9" w:themeFill="background1" w:themeFillShade="D9"/>
            <w:vAlign w:val="center"/>
          </w:tcPr>
          <w:p w:rsidRPr="00841662" w:rsidR="001F0154" w:rsidP="00A14F8D" w:rsidRDefault="001F0154" w14:paraId="27A5C394" w14:textId="77777777">
            <w:pPr>
              <w:rPr>
                <w:rFonts w:cs="Calibri" w:asciiTheme="minorHAnsi" w:hAnsiTheme="minorHAnsi"/>
                <w:sz w:val="21"/>
                <w:szCs w:val="21"/>
              </w:rPr>
            </w:pPr>
          </w:p>
        </w:tc>
        <w:tc>
          <w:tcPr>
            <w:tcW w:w="1515" w:type="dxa"/>
            <w:vMerge/>
            <w:tcBorders>
              <w:left w:val="single" w:color="auto" w:sz="4" w:space="0"/>
              <w:right w:val="single" w:color="auto" w:sz="4" w:space="0"/>
            </w:tcBorders>
            <w:shd w:val="clear" w:color="auto" w:fill="D9D9D9" w:themeFill="background1" w:themeFillShade="D9"/>
            <w:vAlign w:val="center"/>
          </w:tcPr>
          <w:p w:rsidRPr="00841662" w:rsidR="001F0154" w:rsidP="00A14F8D" w:rsidRDefault="001F0154" w14:paraId="1D4CBDF0" w14:textId="77777777">
            <w:pPr>
              <w:rPr>
                <w:rFonts w:cs="Calibri" w:asciiTheme="minorHAnsi" w:hAnsiTheme="minorHAnsi"/>
                <w:sz w:val="21"/>
                <w:szCs w:val="21"/>
              </w:rPr>
            </w:pPr>
          </w:p>
        </w:tc>
        <w:tc>
          <w:tcPr>
            <w:tcW w:w="561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841662" w:rsidR="001F0154" w:rsidP="00A14F8D" w:rsidRDefault="001F0154" w14:paraId="241F6A5E" w14:textId="77777777">
            <w:pPr>
              <w:rPr>
                <w:rFonts w:asciiTheme="minorHAnsi" w:hAnsiTheme="minorHAnsi"/>
                <w:sz w:val="21"/>
                <w:szCs w:val="21"/>
              </w:rPr>
            </w:pPr>
            <w:r w:rsidRPr="00841662">
              <w:rPr>
                <w:rFonts w:asciiTheme="minorHAnsi" w:hAnsiTheme="minorHAnsi"/>
                <w:sz w:val="21"/>
                <w:szCs w:val="21"/>
              </w:rPr>
              <w:t>Number of reciprocating compressors for which rod packing was replaced during reporting year</w:t>
            </w:r>
          </w:p>
        </w:tc>
        <w:tc>
          <w:tcPr>
            <w:tcW w:w="71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841662" w:rsidR="001F0154" w:rsidP="00A14F8D" w:rsidRDefault="001F0154" w14:paraId="64406B3E" w14:textId="77777777">
            <w:pPr>
              <w:jc w:val="center"/>
              <w:rPr>
                <w:rFonts w:cs="Calibri" w:asciiTheme="minorHAnsi" w:hAnsiTheme="minorHAnsi"/>
                <w:sz w:val="21"/>
                <w:szCs w:val="21"/>
              </w:rPr>
            </w:pPr>
          </w:p>
        </w:tc>
      </w:tr>
      <w:tr w:rsidRPr="00841662" w:rsidR="001F0154" w:rsidTr="00C76707" w14:paraId="61E12C0D" w14:textId="77777777">
        <w:trPr>
          <w:trHeight w:val="305"/>
          <w:jc w:val="center"/>
        </w:trPr>
        <w:tc>
          <w:tcPr>
            <w:tcW w:w="1426" w:type="dxa"/>
            <w:vMerge/>
            <w:tcBorders>
              <w:left w:val="single" w:color="auto" w:sz="4" w:space="0"/>
              <w:right w:val="single" w:color="auto" w:sz="4" w:space="0"/>
            </w:tcBorders>
            <w:shd w:val="clear" w:color="auto" w:fill="D9D9D9" w:themeFill="background1" w:themeFillShade="D9"/>
            <w:vAlign w:val="center"/>
          </w:tcPr>
          <w:p w:rsidRPr="00841662" w:rsidR="001F0154" w:rsidP="00A14F8D" w:rsidRDefault="001F0154" w14:paraId="58979B5C" w14:textId="77777777">
            <w:pPr>
              <w:rPr>
                <w:rFonts w:cs="Calibri" w:asciiTheme="minorHAnsi" w:hAnsiTheme="minorHAnsi"/>
                <w:sz w:val="21"/>
                <w:szCs w:val="21"/>
              </w:rPr>
            </w:pPr>
          </w:p>
        </w:tc>
        <w:tc>
          <w:tcPr>
            <w:tcW w:w="1515" w:type="dxa"/>
            <w:vMerge/>
            <w:tcBorders>
              <w:left w:val="single" w:color="auto" w:sz="4" w:space="0"/>
              <w:right w:val="single" w:color="auto" w:sz="4" w:space="0"/>
            </w:tcBorders>
            <w:shd w:val="clear" w:color="auto" w:fill="D9D9D9" w:themeFill="background1" w:themeFillShade="D9"/>
            <w:vAlign w:val="center"/>
          </w:tcPr>
          <w:p w:rsidRPr="00841662" w:rsidR="001F0154" w:rsidP="00A14F8D" w:rsidRDefault="001F0154" w14:paraId="4B2FEB4B" w14:textId="77777777">
            <w:pPr>
              <w:rPr>
                <w:rFonts w:cs="Calibri" w:asciiTheme="minorHAnsi" w:hAnsiTheme="minorHAnsi"/>
                <w:sz w:val="21"/>
                <w:szCs w:val="21"/>
              </w:rPr>
            </w:pPr>
          </w:p>
        </w:tc>
        <w:tc>
          <w:tcPr>
            <w:tcW w:w="561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841662" w:rsidR="001F0154" w:rsidP="00A14F8D" w:rsidRDefault="001F0154" w14:paraId="0862720B" w14:textId="77777777">
            <w:pPr>
              <w:rPr>
                <w:rFonts w:asciiTheme="minorHAnsi" w:hAnsiTheme="minorHAnsi"/>
                <w:sz w:val="21"/>
                <w:szCs w:val="21"/>
              </w:rPr>
            </w:pPr>
            <w:r w:rsidRPr="00841662">
              <w:rPr>
                <w:rFonts w:asciiTheme="minorHAnsi" w:hAnsiTheme="minorHAnsi"/>
                <w:sz w:val="21"/>
                <w:szCs w:val="21"/>
              </w:rPr>
              <w:t>Emission reductions from voluntary action (mt CH</w:t>
            </w:r>
            <w:r w:rsidRPr="00011C39">
              <w:rPr>
                <w:sz w:val="21"/>
                <w:szCs w:val="21"/>
                <w:vertAlign w:val="subscript"/>
              </w:rPr>
              <w:t>4</w:t>
            </w:r>
            <w:r w:rsidRPr="00841662">
              <w:rPr>
                <w:rFonts w:asciiTheme="minorHAnsi" w:hAnsiTheme="minorHAnsi"/>
                <w:sz w:val="21"/>
                <w:szCs w:val="21"/>
              </w:rPr>
              <w:t>)</w:t>
            </w:r>
          </w:p>
        </w:tc>
        <w:tc>
          <w:tcPr>
            <w:tcW w:w="71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841662" w:rsidR="001F0154" w:rsidP="00A14F8D" w:rsidRDefault="001F0154" w14:paraId="43BDC2A6" w14:textId="77777777">
            <w:pPr>
              <w:jc w:val="center"/>
              <w:rPr>
                <w:rFonts w:cs="Calibri" w:asciiTheme="minorHAnsi" w:hAnsiTheme="minorHAnsi"/>
                <w:sz w:val="21"/>
                <w:szCs w:val="21"/>
              </w:rPr>
            </w:pPr>
          </w:p>
        </w:tc>
      </w:tr>
    </w:tbl>
    <w:p w:rsidR="001F0154" w:rsidP="001F0154" w:rsidRDefault="001F0154" w14:paraId="0E0C22BD" w14:textId="77777777">
      <w:pPr>
        <w:spacing w:after="200" w:line="276" w:lineRule="auto"/>
        <w:rPr>
          <w:rFonts w:ascii="Cambria" w:hAnsi="Cambria"/>
          <w:color w:val="243F60" w:themeColor="accent1" w:themeShade="7F"/>
          <w:sz w:val="24"/>
        </w:rPr>
      </w:pPr>
      <w:r>
        <w:rPr>
          <w:rFonts w:ascii="Cambria" w:hAnsi="Cambria"/>
          <w:color w:val="243F60" w:themeColor="accent1" w:themeShade="7F"/>
          <w:sz w:val="24"/>
        </w:rPr>
        <w:br w:type="page"/>
      </w:r>
    </w:p>
    <w:p w:rsidRPr="00A6540C" w:rsidR="00A12CFE" w:rsidP="00084222" w:rsidRDefault="00A12CFE" w14:paraId="382C35B9" w14:textId="382657F0">
      <w:pPr>
        <w:pStyle w:val="Heading2"/>
      </w:pPr>
      <w:bookmarkStart w:name="_Toc67322585" w:id="25"/>
      <w:r w:rsidRPr="00A6540C">
        <w:lastRenderedPageBreak/>
        <w:t>Centrifugal Compressors</w:t>
      </w:r>
      <w:r>
        <w:t xml:space="preserve"> </w:t>
      </w:r>
      <w:r w:rsidRPr="00B01543" w:rsidR="009603C1">
        <w:t>–</w:t>
      </w:r>
      <w:r>
        <w:t xml:space="preserve"> V</w:t>
      </w:r>
      <w:r w:rsidRPr="00A6540C">
        <w:t>enting</w:t>
      </w:r>
      <w:bookmarkEnd w:id="15"/>
      <w:bookmarkEnd w:id="16"/>
      <w:bookmarkEnd w:id="17"/>
      <w:bookmarkEnd w:id="25"/>
    </w:p>
    <w:p w:rsidR="001F0154" w:rsidP="001F0154" w:rsidRDefault="001F0154" w14:paraId="0B67D38E" w14:textId="77777777">
      <w:pPr>
        <w:rPr>
          <w:rFonts w:ascii="Calibri" w:hAnsi="Calibri" w:cs="Calibri"/>
          <w:szCs w:val="22"/>
          <w:u w:val="single"/>
        </w:rPr>
      </w:pPr>
      <w:r>
        <w:rPr>
          <w:rFonts w:ascii="Calibri" w:hAnsi="Calibri" w:cs="Calibri"/>
          <w:szCs w:val="22"/>
          <w:u w:val="single"/>
        </w:rPr>
        <w:t>Applicable Segments:</w:t>
      </w:r>
      <w:r w:rsidRPr="00053AA8">
        <w:rPr>
          <w:rFonts w:ascii="Calibri" w:hAnsi="Calibri" w:cs="Calibri"/>
          <w:szCs w:val="22"/>
        </w:rPr>
        <w:t xml:space="preserve"> Gathering and Boosting,</w:t>
      </w:r>
      <w:r>
        <w:rPr>
          <w:rFonts w:ascii="Calibri" w:hAnsi="Calibri" w:cs="Calibri"/>
          <w:szCs w:val="22"/>
        </w:rPr>
        <w:t xml:space="preserve"> Processing, Transmission and Storage</w:t>
      </w:r>
    </w:p>
    <w:p w:rsidRPr="00A6540C" w:rsidR="00A12CFE" w:rsidP="00A12CFE" w:rsidRDefault="00A12CFE" w14:paraId="1315C49D" w14:textId="3C420D2D">
      <w:pPr>
        <w:rPr>
          <w:rFonts w:ascii="Calibri" w:hAnsi="Calibri" w:cs="Calibri"/>
          <w:szCs w:val="22"/>
        </w:rPr>
      </w:pPr>
      <w:r w:rsidRPr="00A6540C">
        <w:rPr>
          <w:rFonts w:ascii="Calibri" w:hAnsi="Calibri" w:cs="Calibri"/>
          <w:szCs w:val="22"/>
          <w:u w:val="single"/>
        </w:rPr>
        <w:t>Source Description</w:t>
      </w:r>
      <w:r w:rsidRPr="00A6540C">
        <w:rPr>
          <w:rFonts w:ascii="Calibri" w:hAnsi="Calibri" w:cs="Calibri"/>
          <w:szCs w:val="22"/>
        </w:rPr>
        <w:t xml:space="preserve">: Centrifugal compressor means any equipment that increases the pressure of a process natural gas by centrifugal action, employing rotating movement of the driven shaft.  In wet seal centrifugal compressors, high-pressure oil is used as a barrier against escaping gas in centrifugal compressor shafts. Very little gas escapes through the oil barrier, but under high pressure, considerably more gas is absorbed by the oil. The seal oil is purged of the absorbed gas (using heaters, flash tanks, and degassing techniques) and recirculated; the centrifugal compressor wet seal degassing vent releases emissions when the high-pressure oil barriers for centrifugal compressors are depressurized to release absorbed natural gas.  This source is focused on centrifugal compressors with wet seals.  </w:t>
      </w:r>
    </w:p>
    <w:p w:rsidRPr="00A6540C" w:rsidR="00A12CFE" w:rsidP="00A12CFE" w:rsidRDefault="00A12CFE" w14:paraId="45247CAC" w14:textId="77777777">
      <w:pPr>
        <w:rPr>
          <w:rFonts w:ascii="Calibri" w:hAnsi="Calibri" w:cs="Calibri"/>
          <w:szCs w:val="22"/>
        </w:rPr>
      </w:pPr>
      <w:r w:rsidRPr="00A6540C">
        <w:rPr>
          <w:rFonts w:ascii="Calibri" w:hAnsi="Calibri" w:cs="Calibri"/>
          <w:szCs w:val="22"/>
          <w:u w:val="single"/>
        </w:rPr>
        <w:t>Mitigation Options</w:t>
      </w:r>
      <w:r w:rsidRPr="00A6540C">
        <w:rPr>
          <w:rFonts w:ascii="Calibri" w:hAnsi="Calibri" w:cs="Calibri"/>
          <w:szCs w:val="22"/>
        </w:rPr>
        <w:t>:</w:t>
      </w:r>
    </w:p>
    <w:p w:rsidRPr="00A6540C" w:rsidR="00A12CFE" w:rsidP="00EE240F" w:rsidRDefault="00A12CFE" w14:paraId="23CFB0D2" w14:textId="77777777">
      <w:pPr>
        <w:numPr>
          <w:ilvl w:val="0"/>
          <w:numId w:val="10"/>
        </w:numPr>
        <w:spacing w:after="0"/>
        <w:contextualSpacing/>
        <w:rPr>
          <w:rFonts w:ascii="Calibri" w:hAnsi="Calibri" w:cs="Calibri" w:eastAsiaTheme="minorEastAsia"/>
          <w:szCs w:val="22"/>
        </w:rPr>
      </w:pPr>
      <w:r w:rsidRPr="00A6540C">
        <w:rPr>
          <w:rFonts w:ascii="Calibri" w:hAnsi="Calibri" w:cs="Calibri" w:eastAsiaTheme="minorEastAsia"/>
          <w:color w:val="000000"/>
          <w:szCs w:val="22"/>
        </w:rPr>
        <w:t>Route wet seal degassing to a capture system for beneficial use to achieve at least a 95% reduction in methane emissions, or</w:t>
      </w:r>
    </w:p>
    <w:p w:rsidRPr="00A6540C" w:rsidR="00A12CFE" w:rsidP="00EE240F" w:rsidRDefault="00A12CFE" w14:paraId="71BF3610" w14:textId="77777777">
      <w:pPr>
        <w:numPr>
          <w:ilvl w:val="0"/>
          <w:numId w:val="10"/>
        </w:numPr>
        <w:spacing w:after="0"/>
        <w:contextualSpacing/>
        <w:rPr>
          <w:rFonts w:ascii="Calibri" w:hAnsi="Calibri" w:cs="Calibri" w:eastAsiaTheme="minorEastAsia"/>
          <w:szCs w:val="22"/>
        </w:rPr>
      </w:pPr>
      <w:r w:rsidRPr="00A6540C">
        <w:rPr>
          <w:rFonts w:ascii="Calibri" w:hAnsi="Calibri" w:cs="Calibri" w:eastAsiaTheme="minorEastAsia"/>
          <w:color w:val="000000"/>
          <w:szCs w:val="22"/>
        </w:rPr>
        <w:t xml:space="preserve">Route wet seal degassing to flare </w:t>
      </w:r>
      <w:r w:rsidRPr="00A6540C">
        <w:rPr>
          <w:rFonts w:ascii="Calibri" w:hAnsi="Calibri" w:cs="Calibri" w:eastAsiaTheme="minorEastAsia"/>
          <w:szCs w:val="22"/>
        </w:rPr>
        <w:t xml:space="preserve">or </w:t>
      </w:r>
      <w:r w:rsidRPr="00A6540C">
        <w:rPr>
          <w:rFonts w:ascii="Calibri" w:hAnsi="Calibri"/>
          <w:szCs w:val="22"/>
        </w:rPr>
        <w:t>control device</w:t>
      </w:r>
      <w:r w:rsidRPr="00A6540C">
        <w:rPr>
          <w:rFonts w:ascii="Calibri" w:hAnsi="Calibri"/>
          <w:szCs w:val="22"/>
          <w:vertAlign w:val="superscript"/>
        </w:rPr>
        <w:footnoteReference w:id="39"/>
      </w:r>
      <w:r w:rsidRPr="00A6540C">
        <w:rPr>
          <w:rFonts w:ascii="Calibri" w:hAnsi="Calibri" w:eastAsiaTheme="minorEastAsia" w:cstheme="minorBidi"/>
          <w:szCs w:val="22"/>
        </w:rPr>
        <w:t xml:space="preserve"> </w:t>
      </w:r>
      <w:r w:rsidRPr="00A6540C">
        <w:rPr>
          <w:rFonts w:ascii="Calibri" w:hAnsi="Calibri" w:cs="Calibri" w:eastAsiaTheme="minorEastAsia"/>
          <w:szCs w:val="22"/>
        </w:rPr>
        <w:t>to achieve at least a 95% reduction in methane emissions, or</w:t>
      </w:r>
    </w:p>
    <w:p w:rsidRPr="00A6540C" w:rsidR="00A12CFE" w:rsidP="00EE240F" w:rsidRDefault="00A12CFE" w14:paraId="4F89F27B" w14:textId="77777777">
      <w:pPr>
        <w:numPr>
          <w:ilvl w:val="0"/>
          <w:numId w:val="10"/>
        </w:numPr>
        <w:rPr>
          <w:rFonts w:ascii="Calibri" w:hAnsi="Calibri" w:cs="Calibri" w:eastAsiaTheme="minorEastAsia"/>
          <w:szCs w:val="22"/>
        </w:rPr>
      </w:pPr>
      <w:r>
        <w:rPr>
          <w:rFonts w:ascii="Calibri" w:hAnsi="Calibri" w:cs="Calibri" w:eastAsiaTheme="minorEastAsia"/>
          <w:szCs w:val="22"/>
        </w:rPr>
        <w:t>Convert wet seals to dry seals or u</w:t>
      </w:r>
      <w:r w:rsidRPr="00A6540C">
        <w:rPr>
          <w:rFonts w:ascii="Calibri" w:hAnsi="Calibri" w:cs="Calibri" w:eastAsiaTheme="minorEastAsia"/>
          <w:szCs w:val="22"/>
        </w:rPr>
        <w:t xml:space="preserve">se centrifugal compressors with dry seals. </w:t>
      </w:r>
    </w:p>
    <w:p w:rsidRPr="007A580F" w:rsidR="00A12CFE" w:rsidP="00A12CFE" w:rsidRDefault="00A12CFE" w14:paraId="7A283D75" w14:textId="77777777">
      <w:pPr>
        <w:rPr>
          <w:rFonts w:ascii="Calibri" w:hAnsi="Calibri" w:cs="Calibri"/>
          <w:szCs w:val="22"/>
        </w:rPr>
      </w:pPr>
      <w:r w:rsidRPr="007A580F">
        <w:rPr>
          <w:rFonts w:ascii="Calibri" w:hAnsi="Calibri" w:cs="Calibri"/>
          <w:szCs w:val="22"/>
          <w:u w:val="single"/>
        </w:rPr>
        <w:t>Commitment Timeframe</w:t>
      </w:r>
      <w:r w:rsidRPr="007A580F">
        <w:rPr>
          <w:rFonts w:ascii="Calibri" w:hAnsi="Calibri" w:cs="Calibri"/>
          <w:szCs w:val="22"/>
        </w:rPr>
        <w:t>: Partners commit to implement the specified mitigation options for all sources included in their commitment by their designated commitment achievement date, not to exceed five (5) years from the commitment start date.</w:t>
      </w:r>
    </w:p>
    <w:p w:rsidRPr="00461C1C" w:rsidR="00A12CFE" w:rsidP="00084222" w:rsidRDefault="00A12CFE" w14:paraId="74CABD78" w14:textId="77777777">
      <w:pPr>
        <w:pStyle w:val="Heading3"/>
      </w:pPr>
      <w:r w:rsidRPr="00461C1C">
        <w:t>Reporting</w:t>
      </w:r>
      <w:r>
        <w:t xml:space="preserve"> – Gathering and Boosting</w:t>
      </w:r>
      <w:r w:rsidRPr="00461C1C">
        <w:t>:</w:t>
      </w:r>
    </w:p>
    <w:tbl>
      <w:tblPr>
        <w:tblStyle w:val="TableGrid619"/>
        <w:tblW w:w="9355" w:type="dxa"/>
        <w:tblInd w:w="0" w:type="dxa"/>
        <w:tblLayout w:type="fixed"/>
        <w:tblCellMar>
          <w:left w:w="58" w:type="dxa"/>
          <w:right w:w="58" w:type="dxa"/>
        </w:tblCellMar>
        <w:tblLook w:val="04A0" w:firstRow="1" w:lastRow="0" w:firstColumn="1" w:lastColumn="0" w:noHBand="0" w:noVBand="1"/>
        <w:tblDescription w:val="Reporting for Centrifugal Compressors-venting"/>
      </w:tblPr>
      <w:tblGrid>
        <w:gridCol w:w="1439"/>
        <w:gridCol w:w="1525"/>
        <w:gridCol w:w="5671"/>
        <w:gridCol w:w="720"/>
      </w:tblGrid>
      <w:tr w:rsidRPr="00461C1C" w:rsidR="00A12CFE" w:rsidTr="00B81D97" w14:paraId="7F927DE6" w14:textId="77777777">
        <w:trPr>
          <w:trHeight w:val="547"/>
          <w:tblHeader/>
        </w:trPr>
        <w:tc>
          <w:tcPr>
            <w:tcW w:w="1439" w:type="dxa"/>
            <w:shd w:val="clear" w:color="auto" w:fill="A6A6A6" w:themeFill="background1" w:themeFillShade="A6"/>
            <w:hideMark/>
          </w:tcPr>
          <w:p w:rsidRPr="000639F9" w:rsidR="00A12CFE" w:rsidP="00721433" w:rsidRDefault="00A12CFE" w14:paraId="20D38A20" w14:textId="77777777">
            <w:pPr>
              <w:rPr>
                <w:rFonts w:cs="Calibri"/>
                <w:b/>
                <w:sz w:val="20"/>
                <w:szCs w:val="22"/>
              </w:rPr>
            </w:pPr>
            <w:r w:rsidRPr="000639F9">
              <w:rPr>
                <w:rFonts w:cs="Calibri"/>
                <w:b/>
                <w:sz w:val="20"/>
                <w:szCs w:val="22"/>
              </w:rPr>
              <w:t>Emission Source</w:t>
            </w:r>
          </w:p>
        </w:tc>
        <w:tc>
          <w:tcPr>
            <w:tcW w:w="1525" w:type="dxa"/>
            <w:shd w:val="clear" w:color="auto" w:fill="A6A6A6" w:themeFill="background1" w:themeFillShade="A6"/>
          </w:tcPr>
          <w:p w:rsidRPr="000639F9" w:rsidR="00A12CFE" w:rsidP="00721433" w:rsidRDefault="00A12CFE" w14:paraId="6E66A5E5" w14:textId="77777777">
            <w:pPr>
              <w:rPr>
                <w:rFonts w:cs="Calibri"/>
                <w:b/>
                <w:sz w:val="20"/>
                <w:szCs w:val="22"/>
              </w:rPr>
            </w:pPr>
            <w:r w:rsidRPr="000639F9">
              <w:rPr>
                <w:rFonts w:cs="Calibri"/>
                <w:b/>
                <w:sz w:val="20"/>
                <w:szCs w:val="22"/>
              </w:rPr>
              <w:t>Quantification Method</w:t>
            </w:r>
          </w:p>
        </w:tc>
        <w:tc>
          <w:tcPr>
            <w:tcW w:w="5671" w:type="dxa"/>
            <w:shd w:val="clear" w:color="auto" w:fill="A6A6A6" w:themeFill="background1" w:themeFillShade="A6"/>
            <w:hideMark/>
          </w:tcPr>
          <w:p w:rsidRPr="000639F9" w:rsidR="00A12CFE" w:rsidP="00721433" w:rsidRDefault="00A12CFE" w14:paraId="72F72BD6" w14:textId="77777777">
            <w:pPr>
              <w:rPr>
                <w:rFonts w:cs="Calibri"/>
                <w:b/>
                <w:sz w:val="20"/>
                <w:szCs w:val="22"/>
              </w:rPr>
            </w:pPr>
            <w:r w:rsidRPr="000639F9">
              <w:rPr>
                <w:rFonts w:cs="Calibri"/>
                <w:b/>
                <w:sz w:val="20"/>
                <w:szCs w:val="22"/>
              </w:rPr>
              <w:t>Data Elements Collected via Facility-Level Reporting</w:t>
            </w:r>
          </w:p>
        </w:tc>
        <w:tc>
          <w:tcPr>
            <w:tcW w:w="720" w:type="dxa"/>
            <w:shd w:val="clear" w:color="auto" w:fill="A6A6A6" w:themeFill="background1" w:themeFillShade="A6"/>
            <w:hideMark/>
          </w:tcPr>
          <w:p w:rsidRPr="000639F9" w:rsidR="00A12CFE" w:rsidP="00721433" w:rsidRDefault="00A12CFE" w14:paraId="0F59B572" w14:textId="77777777">
            <w:pPr>
              <w:rPr>
                <w:rFonts w:cs="Calibri"/>
                <w:b/>
                <w:sz w:val="20"/>
                <w:szCs w:val="22"/>
              </w:rPr>
            </w:pPr>
            <w:r w:rsidRPr="000639F9">
              <w:rPr>
                <w:rFonts w:cs="Calibri"/>
                <w:b/>
                <w:sz w:val="20"/>
                <w:szCs w:val="22"/>
              </w:rPr>
              <w:t>GHGRP</w:t>
            </w:r>
          </w:p>
        </w:tc>
      </w:tr>
      <w:tr w:rsidRPr="00461C1C" w:rsidR="00A12CFE" w:rsidTr="00B81D97" w14:paraId="78EFDC74" w14:textId="77777777">
        <w:trPr>
          <w:trHeight w:val="242"/>
        </w:trPr>
        <w:tc>
          <w:tcPr>
            <w:tcW w:w="1439" w:type="dxa"/>
            <w:vMerge w:val="restart"/>
          </w:tcPr>
          <w:p w:rsidRPr="00461C1C" w:rsidR="00A12CFE" w:rsidP="00BB05E2" w:rsidRDefault="00A12CFE" w14:paraId="31F4D631" w14:textId="77777777">
            <w:pPr>
              <w:rPr>
                <w:rFonts w:cs="Calibri"/>
                <w:b/>
                <w:szCs w:val="22"/>
              </w:rPr>
            </w:pPr>
            <w:r>
              <w:rPr>
                <w:rFonts w:cs="Calibri"/>
                <w:szCs w:val="22"/>
              </w:rPr>
              <w:t>Centrifugal</w:t>
            </w:r>
            <w:r w:rsidRPr="00461C1C">
              <w:rPr>
                <w:rFonts w:cs="Calibri"/>
                <w:szCs w:val="22"/>
              </w:rPr>
              <w:t xml:space="preserve"> compressors</w:t>
            </w:r>
          </w:p>
        </w:tc>
        <w:tc>
          <w:tcPr>
            <w:tcW w:w="1525" w:type="dxa"/>
            <w:vMerge w:val="restart"/>
          </w:tcPr>
          <w:p w:rsidRPr="00461C1C" w:rsidR="00A12CFE" w:rsidP="00BB05E2" w:rsidRDefault="00A12CFE" w14:paraId="18C9F689" w14:textId="77777777">
            <w:pPr>
              <w:rPr>
                <w:szCs w:val="22"/>
              </w:rPr>
            </w:pPr>
            <w:r>
              <w:rPr>
                <w:szCs w:val="22"/>
              </w:rPr>
              <w:t>Wet Seal Oil Degassing Vent EF</w:t>
            </w:r>
            <w:r>
              <w:rPr>
                <w:rStyle w:val="FootnoteReference"/>
                <w:szCs w:val="22"/>
              </w:rPr>
              <w:footnoteReference w:id="40"/>
            </w:r>
          </w:p>
        </w:tc>
        <w:tc>
          <w:tcPr>
            <w:tcW w:w="5671" w:type="dxa"/>
          </w:tcPr>
          <w:p w:rsidRPr="00461C1C" w:rsidR="00A12CFE" w:rsidP="00BB05E2" w:rsidRDefault="00A12CFE" w14:paraId="1703AC5B" w14:textId="77777777">
            <w:pPr>
              <w:rPr>
                <w:rFonts w:cs="Calibri"/>
                <w:szCs w:val="22"/>
              </w:rPr>
            </w:pPr>
            <w:r w:rsidRPr="00CE18F3">
              <w:rPr>
                <w:szCs w:val="22"/>
              </w:rPr>
              <w:t>Number of</w:t>
            </w:r>
            <w:r>
              <w:rPr>
                <w:szCs w:val="22"/>
              </w:rPr>
              <w:t xml:space="preserve"> </w:t>
            </w:r>
            <w:r>
              <w:rPr>
                <w:rFonts w:cs="Calibri"/>
                <w:szCs w:val="22"/>
              </w:rPr>
              <w:t xml:space="preserve">centrifugal </w:t>
            </w:r>
            <w:r w:rsidRPr="00CE18F3">
              <w:rPr>
                <w:szCs w:val="22"/>
              </w:rPr>
              <w:t>compressors</w:t>
            </w:r>
            <w:r>
              <w:rPr>
                <w:szCs w:val="22"/>
              </w:rPr>
              <w:t xml:space="preserve"> with wet seal oil degassing vents</w:t>
            </w:r>
            <w:r w:rsidRPr="00CE18F3">
              <w:rPr>
                <w:szCs w:val="22"/>
              </w:rPr>
              <w:t xml:space="preserve"> </w:t>
            </w:r>
          </w:p>
        </w:tc>
        <w:tc>
          <w:tcPr>
            <w:tcW w:w="720" w:type="dxa"/>
            <w:vAlign w:val="center"/>
          </w:tcPr>
          <w:p w:rsidRPr="00461C1C" w:rsidR="00A12CFE" w:rsidP="00BB05E2" w:rsidRDefault="00A12CFE" w14:paraId="02F7D696" w14:textId="77777777">
            <w:pPr>
              <w:jc w:val="center"/>
              <w:rPr>
                <w:rFonts w:cs="Calibri"/>
                <w:szCs w:val="22"/>
              </w:rPr>
            </w:pPr>
            <w:r w:rsidRPr="00461C1C">
              <w:rPr>
                <w:rFonts w:cs="Calibri"/>
                <w:szCs w:val="22"/>
              </w:rPr>
              <w:t>X</w:t>
            </w:r>
          </w:p>
        </w:tc>
      </w:tr>
      <w:tr w:rsidRPr="00461C1C" w:rsidR="00A12CFE" w:rsidTr="00B81D97" w14:paraId="49279E37" w14:textId="77777777">
        <w:trPr>
          <w:trHeight w:val="242"/>
        </w:trPr>
        <w:tc>
          <w:tcPr>
            <w:tcW w:w="1439" w:type="dxa"/>
            <w:vMerge/>
          </w:tcPr>
          <w:p w:rsidRPr="00461C1C" w:rsidR="00A12CFE" w:rsidP="00BB05E2" w:rsidRDefault="00A12CFE" w14:paraId="24E9558A" w14:textId="77777777">
            <w:pPr>
              <w:rPr>
                <w:rFonts w:cs="Calibri"/>
                <w:szCs w:val="22"/>
              </w:rPr>
            </w:pPr>
          </w:p>
        </w:tc>
        <w:tc>
          <w:tcPr>
            <w:tcW w:w="1525" w:type="dxa"/>
            <w:vMerge/>
          </w:tcPr>
          <w:p w:rsidRPr="00461C1C" w:rsidR="00A12CFE" w:rsidP="00BB05E2" w:rsidRDefault="00A12CFE" w14:paraId="2683623B" w14:textId="77777777">
            <w:pPr>
              <w:rPr>
                <w:rFonts w:cs="Calibri"/>
                <w:szCs w:val="22"/>
              </w:rPr>
            </w:pPr>
          </w:p>
        </w:tc>
        <w:tc>
          <w:tcPr>
            <w:tcW w:w="5671" w:type="dxa"/>
          </w:tcPr>
          <w:p w:rsidRPr="00461C1C" w:rsidR="00A12CFE" w:rsidP="00BB05E2" w:rsidRDefault="00A12CFE" w14:paraId="195C35C5" w14:textId="77777777">
            <w:pPr>
              <w:rPr>
                <w:rFonts w:cs="Calibri"/>
                <w:szCs w:val="22"/>
              </w:rPr>
            </w:pPr>
            <w:r w:rsidRPr="00461C1C">
              <w:rPr>
                <w:rFonts w:cs="Calibri"/>
                <w:szCs w:val="22"/>
              </w:rPr>
              <w:t>Annual CH4 emissions (mt CH</w:t>
            </w:r>
            <w:r w:rsidRPr="00461C1C">
              <w:rPr>
                <w:rFonts w:cs="Calibri"/>
                <w:szCs w:val="22"/>
                <w:vertAlign w:val="subscript"/>
              </w:rPr>
              <w:t>4</w:t>
            </w:r>
            <w:r w:rsidRPr="00461C1C">
              <w:rPr>
                <w:rFonts w:cs="Calibri"/>
                <w:szCs w:val="22"/>
              </w:rPr>
              <w:t xml:space="preserve">) </w:t>
            </w:r>
          </w:p>
        </w:tc>
        <w:tc>
          <w:tcPr>
            <w:tcW w:w="720" w:type="dxa"/>
            <w:vAlign w:val="center"/>
          </w:tcPr>
          <w:p w:rsidRPr="00461C1C" w:rsidR="00A12CFE" w:rsidP="00BB05E2" w:rsidRDefault="00A12CFE" w14:paraId="01879339" w14:textId="77777777">
            <w:pPr>
              <w:jc w:val="center"/>
              <w:rPr>
                <w:rFonts w:cs="Calibri"/>
                <w:szCs w:val="22"/>
              </w:rPr>
            </w:pPr>
            <w:r w:rsidRPr="00461C1C">
              <w:rPr>
                <w:rFonts w:cs="Calibri"/>
                <w:szCs w:val="22"/>
              </w:rPr>
              <w:t>X</w:t>
            </w:r>
          </w:p>
        </w:tc>
      </w:tr>
      <w:tr w:rsidRPr="00A6540C" w:rsidR="00A12CFE" w:rsidTr="00B81D97" w14:paraId="14C6063E" w14:textId="77777777">
        <w:tblPrEx>
          <w:tblCellMar>
            <w:left w:w="108" w:type="dxa"/>
            <w:right w:w="108" w:type="dxa"/>
          </w:tblCellMar>
        </w:tblPrEx>
        <w:trPr>
          <w:trHeight w:val="108"/>
        </w:trPr>
        <w:tc>
          <w:tcPr>
            <w:tcW w:w="1439" w:type="dxa"/>
            <w:shd w:val="clear" w:color="auto" w:fill="D9D9D9" w:themeFill="background1" w:themeFillShade="D9"/>
          </w:tcPr>
          <w:p w:rsidRPr="00A6540C" w:rsidR="00A12CFE" w:rsidP="00BB05E2" w:rsidRDefault="00A12CFE" w14:paraId="0FED79C7" w14:textId="77777777">
            <w:pPr>
              <w:rPr>
                <w:rFonts w:cs="Calibri"/>
                <w:sz w:val="21"/>
                <w:szCs w:val="21"/>
              </w:rPr>
            </w:pPr>
            <w:r>
              <w:rPr>
                <w:rFonts w:cs="Calibri"/>
                <w:sz w:val="21"/>
                <w:szCs w:val="21"/>
              </w:rPr>
              <w:t>C</w:t>
            </w:r>
            <w:r w:rsidRPr="00A6540C">
              <w:rPr>
                <w:rFonts w:cs="Calibri"/>
                <w:sz w:val="21"/>
                <w:szCs w:val="21"/>
              </w:rPr>
              <w:t>entrifugal compressors</w:t>
            </w:r>
            <w:r>
              <w:rPr>
                <w:rFonts w:cs="Calibri"/>
                <w:sz w:val="21"/>
                <w:szCs w:val="21"/>
              </w:rPr>
              <w:t xml:space="preserve"> with dry seals</w:t>
            </w:r>
          </w:p>
        </w:tc>
        <w:tc>
          <w:tcPr>
            <w:tcW w:w="1525" w:type="dxa"/>
            <w:shd w:val="clear" w:color="auto" w:fill="D9D9D9" w:themeFill="background1" w:themeFillShade="D9"/>
          </w:tcPr>
          <w:p w:rsidRPr="00A6540C" w:rsidR="00A12CFE" w:rsidP="00BB05E2" w:rsidRDefault="00A12CFE" w14:paraId="24658569" w14:textId="77777777">
            <w:pPr>
              <w:rPr>
                <w:rFonts w:cs="Calibri"/>
                <w:sz w:val="21"/>
                <w:szCs w:val="21"/>
              </w:rPr>
            </w:pPr>
            <w:r>
              <w:rPr>
                <w:rFonts w:cs="Calibri"/>
                <w:sz w:val="21"/>
                <w:szCs w:val="21"/>
              </w:rPr>
              <w:t>NA</w:t>
            </w:r>
          </w:p>
        </w:tc>
        <w:tc>
          <w:tcPr>
            <w:tcW w:w="5671" w:type="dxa"/>
            <w:shd w:val="clear" w:color="auto" w:fill="D9D9D9" w:themeFill="background1" w:themeFillShade="D9"/>
          </w:tcPr>
          <w:p w:rsidRPr="00A6540C" w:rsidR="00A12CFE" w:rsidP="00BB05E2" w:rsidRDefault="00A12CFE" w14:paraId="65BBD6DF" w14:textId="77777777">
            <w:pPr>
              <w:rPr>
                <w:sz w:val="21"/>
                <w:szCs w:val="21"/>
              </w:rPr>
            </w:pPr>
            <w:r w:rsidRPr="00A6540C">
              <w:rPr>
                <w:sz w:val="21"/>
                <w:szCs w:val="21"/>
              </w:rPr>
              <w:t>Number of centrifugal compressors with dry seals</w:t>
            </w:r>
            <w:r>
              <w:rPr>
                <w:rStyle w:val="CommentReference"/>
              </w:rPr>
              <w:t xml:space="preserve"> </w:t>
            </w:r>
          </w:p>
        </w:tc>
        <w:tc>
          <w:tcPr>
            <w:tcW w:w="720" w:type="dxa"/>
            <w:shd w:val="clear" w:color="auto" w:fill="D9D9D9" w:themeFill="background1" w:themeFillShade="D9"/>
          </w:tcPr>
          <w:p w:rsidRPr="00A6540C" w:rsidR="00A12CFE" w:rsidP="00BB05E2" w:rsidRDefault="00A12CFE" w14:paraId="722F1F05" w14:textId="77777777">
            <w:pPr>
              <w:jc w:val="center"/>
              <w:rPr>
                <w:rFonts w:cs="Calibri"/>
                <w:sz w:val="21"/>
                <w:szCs w:val="21"/>
              </w:rPr>
            </w:pPr>
          </w:p>
        </w:tc>
      </w:tr>
      <w:tr w:rsidRPr="00461C1C" w:rsidR="00A12CFE" w:rsidTr="00B81D97" w14:paraId="0BB9585A" w14:textId="77777777">
        <w:trPr>
          <w:trHeight w:val="368"/>
        </w:trPr>
        <w:tc>
          <w:tcPr>
            <w:tcW w:w="1439" w:type="dxa"/>
            <w:vMerge w:val="restart"/>
          </w:tcPr>
          <w:p w:rsidRPr="00461C1C" w:rsidR="00A12CFE" w:rsidP="00BB1941" w:rsidRDefault="00A12CFE" w14:paraId="0BEA4315" w14:textId="77777777">
            <w:pPr>
              <w:keepNext/>
              <w:keepLines/>
              <w:rPr>
                <w:rFonts w:cs="Calibri"/>
                <w:szCs w:val="22"/>
              </w:rPr>
            </w:pPr>
            <w:r w:rsidRPr="00461C1C">
              <w:rPr>
                <w:rFonts w:cs="Calibri"/>
                <w:szCs w:val="22"/>
              </w:rPr>
              <w:lastRenderedPageBreak/>
              <w:t xml:space="preserve">Voluntary action to reduce methane emissions during the </w:t>
            </w:r>
            <w:r w:rsidRPr="00461C1C">
              <w:rPr>
                <w:rFonts w:cs="Calibri" w:asciiTheme="minorHAnsi" w:hAnsiTheme="minorHAnsi"/>
                <w:szCs w:val="22"/>
              </w:rPr>
              <w:t>reporting year</w:t>
            </w:r>
          </w:p>
        </w:tc>
        <w:tc>
          <w:tcPr>
            <w:tcW w:w="1525" w:type="dxa"/>
            <w:vMerge w:val="restart"/>
          </w:tcPr>
          <w:p w:rsidRPr="00461C1C" w:rsidR="00A12CFE" w:rsidP="00BB1941" w:rsidRDefault="00A12CFE" w14:paraId="351C25D7" w14:textId="77777777">
            <w:pPr>
              <w:keepNext/>
              <w:keepLines/>
              <w:rPr>
                <w:rFonts w:cs="Calibri"/>
                <w:szCs w:val="22"/>
              </w:rPr>
            </w:pPr>
            <w:r w:rsidRPr="00841662">
              <w:rPr>
                <w:rFonts w:asciiTheme="minorHAnsi" w:hAnsiTheme="minorHAnsi"/>
                <w:sz w:val="21"/>
                <w:szCs w:val="21"/>
              </w:rPr>
              <w:t xml:space="preserve">Difference in emissions before and after </w:t>
            </w:r>
            <w:r w:rsidRPr="00841662">
              <w:rPr>
                <w:rFonts w:asciiTheme="minorHAnsi" w:hAnsiTheme="minorHAnsi" w:cstheme="minorHAnsi"/>
                <w:sz w:val="21"/>
                <w:szCs w:val="21"/>
              </w:rPr>
              <w:t>mitigation</w:t>
            </w:r>
            <w:r w:rsidRPr="00841662">
              <w:rPr>
                <w:rFonts w:asciiTheme="minorHAnsi" w:hAnsiTheme="minorHAnsi" w:cstheme="minorHAnsi"/>
                <w:sz w:val="21"/>
                <w:szCs w:val="21"/>
                <w:vertAlign w:val="superscript"/>
              </w:rPr>
              <w:footnoteReference w:id="41"/>
            </w:r>
          </w:p>
        </w:tc>
        <w:tc>
          <w:tcPr>
            <w:tcW w:w="5671" w:type="dxa"/>
            <w:vAlign w:val="center"/>
          </w:tcPr>
          <w:p w:rsidRPr="00461C1C" w:rsidR="00A12CFE" w:rsidP="00BB1941" w:rsidRDefault="00A12CFE" w14:paraId="13E47F33" w14:textId="77777777">
            <w:pPr>
              <w:keepNext/>
              <w:keepLines/>
              <w:rPr>
                <w:rFonts w:cs="Calibri"/>
                <w:szCs w:val="22"/>
              </w:rPr>
            </w:pPr>
            <w:r w:rsidRPr="00A6540C">
              <w:rPr>
                <w:rFonts w:cstheme="minorHAnsi"/>
                <w:sz w:val="21"/>
                <w:szCs w:val="21"/>
              </w:rPr>
              <w:t xml:space="preserve">Number of wet seal compressor de-gassing vents routed to VRU or beneficial use </w:t>
            </w:r>
            <w:r>
              <w:rPr>
                <w:rFonts w:cstheme="minorHAnsi"/>
                <w:sz w:val="21"/>
                <w:szCs w:val="21"/>
              </w:rPr>
              <w:t>during reporting year</w:t>
            </w:r>
          </w:p>
        </w:tc>
        <w:tc>
          <w:tcPr>
            <w:tcW w:w="720" w:type="dxa"/>
          </w:tcPr>
          <w:p w:rsidRPr="00461C1C" w:rsidR="00A12CFE" w:rsidP="00BB1941" w:rsidRDefault="00A12CFE" w14:paraId="3FF0960D" w14:textId="77777777">
            <w:pPr>
              <w:keepNext/>
              <w:keepLines/>
              <w:jc w:val="center"/>
              <w:rPr>
                <w:rFonts w:cs="Calibri"/>
                <w:szCs w:val="22"/>
              </w:rPr>
            </w:pPr>
          </w:p>
        </w:tc>
      </w:tr>
      <w:tr w:rsidRPr="00461C1C" w:rsidR="00A12CFE" w:rsidTr="00B81D97" w14:paraId="1207D31B" w14:textId="77777777">
        <w:trPr>
          <w:trHeight w:val="260"/>
        </w:trPr>
        <w:tc>
          <w:tcPr>
            <w:tcW w:w="1439" w:type="dxa"/>
            <w:vMerge/>
          </w:tcPr>
          <w:p w:rsidRPr="00461C1C" w:rsidR="00A12CFE" w:rsidP="00BB1941" w:rsidRDefault="00A12CFE" w14:paraId="607F3030" w14:textId="77777777">
            <w:pPr>
              <w:keepNext/>
              <w:keepLines/>
              <w:rPr>
                <w:rFonts w:cs="Calibri"/>
                <w:szCs w:val="22"/>
              </w:rPr>
            </w:pPr>
          </w:p>
        </w:tc>
        <w:tc>
          <w:tcPr>
            <w:tcW w:w="1525" w:type="dxa"/>
            <w:vMerge/>
          </w:tcPr>
          <w:p w:rsidRPr="00461C1C" w:rsidR="00A12CFE" w:rsidP="00BB1941" w:rsidRDefault="00A12CFE" w14:paraId="0A6883D2" w14:textId="77777777">
            <w:pPr>
              <w:keepNext/>
              <w:keepLines/>
              <w:rPr>
                <w:rFonts w:cs="Calibri"/>
                <w:szCs w:val="22"/>
              </w:rPr>
            </w:pPr>
          </w:p>
        </w:tc>
        <w:tc>
          <w:tcPr>
            <w:tcW w:w="5671" w:type="dxa"/>
            <w:vAlign w:val="center"/>
          </w:tcPr>
          <w:p w:rsidRPr="00461C1C" w:rsidR="00A12CFE" w:rsidP="00BB1941" w:rsidRDefault="00A12CFE" w14:paraId="6695D5B8" w14:textId="77777777">
            <w:pPr>
              <w:keepNext/>
              <w:keepLines/>
              <w:rPr>
                <w:rFonts w:cs="Calibri"/>
                <w:szCs w:val="22"/>
              </w:rPr>
            </w:pPr>
            <w:r w:rsidRPr="00A6540C">
              <w:rPr>
                <w:rFonts w:cstheme="minorHAnsi"/>
                <w:sz w:val="21"/>
                <w:szCs w:val="21"/>
              </w:rPr>
              <w:t>Number of wet seal compressor de-gassing vents routed to flare or control device</w:t>
            </w:r>
            <w:r>
              <w:rPr>
                <w:rFonts w:cstheme="minorHAnsi"/>
                <w:sz w:val="21"/>
                <w:szCs w:val="21"/>
              </w:rPr>
              <w:t xml:space="preserve"> during reporting year</w:t>
            </w:r>
          </w:p>
        </w:tc>
        <w:tc>
          <w:tcPr>
            <w:tcW w:w="720" w:type="dxa"/>
          </w:tcPr>
          <w:p w:rsidRPr="00461C1C" w:rsidR="00A12CFE" w:rsidP="00BB1941" w:rsidRDefault="00A12CFE" w14:paraId="1D34EA28" w14:textId="77777777">
            <w:pPr>
              <w:keepNext/>
              <w:keepLines/>
              <w:jc w:val="center"/>
              <w:rPr>
                <w:rFonts w:cs="Calibri"/>
                <w:szCs w:val="22"/>
              </w:rPr>
            </w:pPr>
          </w:p>
        </w:tc>
      </w:tr>
      <w:tr w:rsidRPr="00461C1C" w:rsidR="00A12CFE" w:rsidTr="00B81D97" w14:paraId="6FD18907" w14:textId="77777777">
        <w:trPr>
          <w:trHeight w:val="260"/>
        </w:trPr>
        <w:tc>
          <w:tcPr>
            <w:tcW w:w="1439" w:type="dxa"/>
            <w:vMerge/>
          </w:tcPr>
          <w:p w:rsidRPr="00461C1C" w:rsidR="00A12CFE" w:rsidP="00BB1941" w:rsidRDefault="00A12CFE" w14:paraId="513A6CBA" w14:textId="77777777">
            <w:pPr>
              <w:keepNext/>
              <w:keepLines/>
              <w:rPr>
                <w:rFonts w:cs="Calibri"/>
                <w:szCs w:val="22"/>
              </w:rPr>
            </w:pPr>
          </w:p>
        </w:tc>
        <w:tc>
          <w:tcPr>
            <w:tcW w:w="1525" w:type="dxa"/>
            <w:vMerge/>
          </w:tcPr>
          <w:p w:rsidRPr="00461C1C" w:rsidR="00A12CFE" w:rsidP="00BB1941" w:rsidRDefault="00A12CFE" w14:paraId="496A0512" w14:textId="77777777">
            <w:pPr>
              <w:keepNext/>
              <w:keepLines/>
              <w:rPr>
                <w:rFonts w:cs="Calibri"/>
                <w:szCs w:val="22"/>
              </w:rPr>
            </w:pPr>
          </w:p>
        </w:tc>
        <w:tc>
          <w:tcPr>
            <w:tcW w:w="5671" w:type="dxa"/>
            <w:vAlign w:val="center"/>
          </w:tcPr>
          <w:p w:rsidRPr="00461C1C" w:rsidR="00A12CFE" w:rsidP="00BB1941" w:rsidRDefault="00A12CFE" w14:paraId="035153CB" w14:textId="77777777">
            <w:pPr>
              <w:keepNext/>
              <w:keepLines/>
              <w:rPr>
                <w:rFonts w:cs="Calibri"/>
                <w:szCs w:val="22"/>
              </w:rPr>
            </w:pPr>
            <w:r w:rsidRPr="00A6540C">
              <w:rPr>
                <w:rFonts w:cstheme="minorHAnsi"/>
                <w:sz w:val="21"/>
                <w:szCs w:val="21"/>
              </w:rPr>
              <w:t>Number of wet seal compressors converted to dry seal</w:t>
            </w:r>
            <w:r>
              <w:rPr>
                <w:rStyle w:val="FootnoteReference"/>
                <w:rFonts w:cstheme="minorHAnsi"/>
                <w:sz w:val="21"/>
                <w:szCs w:val="21"/>
              </w:rPr>
              <w:footnoteReference w:id="42"/>
            </w:r>
            <w:r>
              <w:rPr>
                <w:rFonts w:cstheme="minorHAnsi"/>
                <w:sz w:val="21"/>
                <w:szCs w:val="21"/>
              </w:rPr>
              <w:t xml:space="preserve"> </w:t>
            </w:r>
          </w:p>
        </w:tc>
        <w:tc>
          <w:tcPr>
            <w:tcW w:w="720" w:type="dxa"/>
          </w:tcPr>
          <w:p w:rsidRPr="00461C1C" w:rsidR="00A12CFE" w:rsidP="00BB1941" w:rsidRDefault="00A12CFE" w14:paraId="62083476" w14:textId="77777777">
            <w:pPr>
              <w:keepNext/>
              <w:keepLines/>
              <w:jc w:val="center"/>
              <w:rPr>
                <w:rFonts w:cs="Calibri"/>
                <w:szCs w:val="22"/>
              </w:rPr>
            </w:pPr>
          </w:p>
        </w:tc>
      </w:tr>
      <w:tr w:rsidRPr="00461C1C" w:rsidR="00A12CFE" w:rsidTr="00B81D97" w14:paraId="6345E5B0" w14:textId="77777777">
        <w:trPr>
          <w:trHeight w:val="260"/>
        </w:trPr>
        <w:tc>
          <w:tcPr>
            <w:tcW w:w="1439" w:type="dxa"/>
            <w:vMerge/>
          </w:tcPr>
          <w:p w:rsidRPr="00461C1C" w:rsidR="00A12CFE" w:rsidP="00BB1941" w:rsidRDefault="00A12CFE" w14:paraId="5482D38B" w14:textId="77777777">
            <w:pPr>
              <w:keepNext/>
              <w:keepLines/>
              <w:rPr>
                <w:rFonts w:cs="Calibri"/>
                <w:szCs w:val="22"/>
              </w:rPr>
            </w:pPr>
          </w:p>
        </w:tc>
        <w:tc>
          <w:tcPr>
            <w:tcW w:w="1525" w:type="dxa"/>
            <w:vMerge/>
          </w:tcPr>
          <w:p w:rsidRPr="00461C1C" w:rsidR="00A12CFE" w:rsidP="00BB1941" w:rsidRDefault="00A12CFE" w14:paraId="39FA5B08" w14:textId="77777777">
            <w:pPr>
              <w:keepNext/>
              <w:keepLines/>
              <w:rPr>
                <w:rFonts w:cs="Calibri"/>
                <w:szCs w:val="22"/>
              </w:rPr>
            </w:pPr>
          </w:p>
        </w:tc>
        <w:tc>
          <w:tcPr>
            <w:tcW w:w="5671" w:type="dxa"/>
            <w:vAlign w:val="center"/>
          </w:tcPr>
          <w:p w:rsidRPr="00A6540C" w:rsidR="00A12CFE" w:rsidP="00BB1941" w:rsidRDefault="00A12CFE" w14:paraId="54830C16" w14:textId="77777777">
            <w:pPr>
              <w:keepNext/>
              <w:keepLines/>
              <w:rPr>
                <w:rFonts w:cstheme="minorHAnsi"/>
                <w:sz w:val="21"/>
                <w:szCs w:val="21"/>
              </w:rPr>
            </w:pPr>
            <w:r>
              <w:rPr>
                <w:rFonts w:cstheme="minorHAnsi"/>
                <w:sz w:val="21"/>
                <w:szCs w:val="21"/>
              </w:rPr>
              <w:t>Methodology used to quantify reductions</w:t>
            </w:r>
          </w:p>
        </w:tc>
        <w:tc>
          <w:tcPr>
            <w:tcW w:w="720" w:type="dxa"/>
          </w:tcPr>
          <w:p w:rsidRPr="00461C1C" w:rsidR="00A12CFE" w:rsidP="00BB1941" w:rsidRDefault="00A12CFE" w14:paraId="42737B16" w14:textId="77777777">
            <w:pPr>
              <w:keepNext/>
              <w:keepLines/>
              <w:jc w:val="center"/>
              <w:rPr>
                <w:rFonts w:cs="Calibri"/>
                <w:szCs w:val="22"/>
              </w:rPr>
            </w:pPr>
          </w:p>
        </w:tc>
      </w:tr>
      <w:tr w:rsidRPr="00461C1C" w:rsidR="00A12CFE" w:rsidTr="00B81D97" w14:paraId="6CF53825" w14:textId="77777777">
        <w:trPr>
          <w:trHeight w:val="260"/>
        </w:trPr>
        <w:tc>
          <w:tcPr>
            <w:tcW w:w="1439" w:type="dxa"/>
            <w:vMerge/>
          </w:tcPr>
          <w:p w:rsidRPr="00461C1C" w:rsidR="00A12CFE" w:rsidP="00BB1941" w:rsidRDefault="00A12CFE" w14:paraId="0B8983F5" w14:textId="77777777">
            <w:pPr>
              <w:keepNext/>
              <w:keepLines/>
              <w:rPr>
                <w:rFonts w:cs="Calibri"/>
                <w:szCs w:val="22"/>
              </w:rPr>
            </w:pPr>
          </w:p>
        </w:tc>
        <w:tc>
          <w:tcPr>
            <w:tcW w:w="1525" w:type="dxa"/>
            <w:vMerge/>
          </w:tcPr>
          <w:p w:rsidRPr="00461C1C" w:rsidR="00A12CFE" w:rsidP="00BB1941" w:rsidRDefault="00A12CFE" w14:paraId="3597FA83" w14:textId="77777777">
            <w:pPr>
              <w:keepNext/>
              <w:keepLines/>
              <w:rPr>
                <w:rFonts w:cs="Calibri"/>
                <w:szCs w:val="22"/>
              </w:rPr>
            </w:pPr>
          </w:p>
        </w:tc>
        <w:tc>
          <w:tcPr>
            <w:tcW w:w="5671" w:type="dxa"/>
            <w:vAlign w:val="center"/>
          </w:tcPr>
          <w:p w:rsidRPr="00461C1C" w:rsidR="00A12CFE" w:rsidP="00BB1941" w:rsidRDefault="00A12CFE" w14:paraId="22724963" w14:textId="77777777">
            <w:pPr>
              <w:keepNext/>
              <w:keepLines/>
              <w:rPr>
                <w:rFonts w:cs="Calibri"/>
                <w:szCs w:val="22"/>
              </w:rPr>
            </w:pPr>
            <w:r w:rsidRPr="00841662">
              <w:rPr>
                <w:rFonts w:asciiTheme="minorHAnsi" w:hAnsiTheme="minorHAnsi"/>
                <w:sz w:val="21"/>
                <w:szCs w:val="21"/>
              </w:rPr>
              <w:t>Emission reductions from voluntary action (mt CH</w:t>
            </w:r>
            <w:r w:rsidRPr="00011C39">
              <w:rPr>
                <w:sz w:val="21"/>
                <w:szCs w:val="21"/>
                <w:vertAlign w:val="subscript"/>
              </w:rPr>
              <w:t>4</w:t>
            </w:r>
            <w:r w:rsidRPr="00841662">
              <w:rPr>
                <w:rFonts w:asciiTheme="minorHAnsi" w:hAnsiTheme="minorHAnsi"/>
                <w:sz w:val="21"/>
                <w:szCs w:val="21"/>
              </w:rPr>
              <w:t>)</w:t>
            </w:r>
          </w:p>
        </w:tc>
        <w:tc>
          <w:tcPr>
            <w:tcW w:w="720" w:type="dxa"/>
          </w:tcPr>
          <w:p w:rsidRPr="00461C1C" w:rsidR="00A12CFE" w:rsidP="00BB1941" w:rsidRDefault="00A12CFE" w14:paraId="15760D9F" w14:textId="77777777">
            <w:pPr>
              <w:keepNext/>
              <w:keepLines/>
              <w:jc w:val="center"/>
              <w:rPr>
                <w:rFonts w:cs="Calibri"/>
                <w:szCs w:val="22"/>
              </w:rPr>
            </w:pPr>
          </w:p>
        </w:tc>
      </w:tr>
    </w:tbl>
    <w:p w:rsidRPr="00461C1C" w:rsidR="00A12CFE" w:rsidP="00A12CFE" w:rsidRDefault="00A12CFE" w14:paraId="1677C3CD" w14:textId="77777777">
      <w:pPr>
        <w:outlineLvl w:val="1"/>
        <w:rPr>
          <w:rFonts w:ascii="Cambria" w:hAnsi="Cambria"/>
          <w:color w:val="243F60"/>
          <w:sz w:val="24"/>
        </w:rPr>
      </w:pPr>
    </w:p>
    <w:p w:rsidRPr="00A6540C" w:rsidR="00A12CFE" w:rsidP="00084222" w:rsidRDefault="00A12CFE" w14:paraId="0B9F59BB" w14:textId="6D0C0A6F">
      <w:pPr>
        <w:pStyle w:val="Heading3"/>
      </w:pPr>
      <w:bookmarkStart w:name="_Ref67321789" w:id="26"/>
      <w:r w:rsidRPr="00A6540C">
        <w:t>Reporting</w:t>
      </w:r>
      <w:r>
        <w:t xml:space="preserve"> – Processing and Transmission </w:t>
      </w:r>
      <w:r w:rsidR="009B0364">
        <w:t>&amp;</w:t>
      </w:r>
      <w:r>
        <w:t xml:space="preserve"> Storage:</w:t>
      </w:r>
      <w:bookmarkEnd w:id="26"/>
    </w:p>
    <w:tbl>
      <w:tblPr>
        <w:tblStyle w:val="TableGrid711"/>
        <w:tblW w:w="9360" w:type="dxa"/>
        <w:tblCellMar>
          <w:left w:w="58" w:type="dxa"/>
          <w:right w:w="58" w:type="dxa"/>
        </w:tblCellMar>
        <w:tblLook w:val="04A0" w:firstRow="1" w:lastRow="0" w:firstColumn="1" w:lastColumn="0" w:noHBand="0" w:noVBand="1"/>
        <w:tblDescription w:val="Reporting for Centrifugal Compressors-venting"/>
      </w:tblPr>
      <w:tblGrid>
        <w:gridCol w:w="1436"/>
        <w:gridCol w:w="1532"/>
        <w:gridCol w:w="5676"/>
        <w:gridCol w:w="716"/>
      </w:tblGrid>
      <w:tr w:rsidRPr="00A6540C" w:rsidR="00A12CFE" w:rsidTr="00FD3CB7" w14:paraId="30D7416B" w14:textId="77777777">
        <w:trPr>
          <w:tblHeader/>
        </w:trPr>
        <w:tc>
          <w:tcPr>
            <w:tcW w:w="1436" w:type="dxa"/>
            <w:tcBorders>
              <w:bottom w:val="single" w:color="auto" w:sz="4" w:space="0"/>
            </w:tcBorders>
            <w:shd w:val="clear" w:color="auto" w:fill="A6A6A6" w:themeFill="background1" w:themeFillShade="A6"/>
          </w:tcPr>
          <w:p w:rsidRPr="00A6540C" w:rsidR="00A12CFE" w:rsidP="00721433" w:rsidRDefault="00A12CFE" w14:paraId="7B420EA1" w14:textId="77777777">
            <w:pPr>
              <w:rPr>
                <w:rFonts w:cs="Calibri"/>
                <w:sz w:val="20"/>
                <w:szCs w:val="21"/>
                <w:u w:val="single"/>
              </w:rPr>
            </w:pPr>
            <w:r w:rsidRPr="00A6540C">
              <w:rPr>
                <w:rFonts w:cs="Calibri"/>
                <w:b/>
                <w:sz w:val="20"/>
                <w:szCs w:val="21"/>
              </w:rPr>
              <w:t>Emission Source</w:t>
            </w:r>
          </w:p>
        </w:tc>
        <w:tc>
          <w:tcPr>
            <w:tcW w:w="1532" w:type="dxa"/>
            <w:tcBorders>
              <w:bottom w:val="single" w:color="auto" w:sz="4" w:space="0"/>
            </w:tcBorders>
            <w:shd w:val="clear" w:color="auto" w:fill="A6A6A6" w:themeFill="background1" w:themeFillShade="A6"/>
          </w:tcPr>
          <w:p w:rsidRPr="00A6540C" w:rsidR="00A12CFE" w:rsidP="00721433" w:rsidRDefault="00A12CFE" w14:paraId="3038436E" w14:textId="77777777">
            <w:pPr>
              <w:rPr>
                <w:rFonts w:cs="Calibri"/>
                <w:sz w:val="20"/>
                <w:szCs w:val="21"/>
                <w:u w:val="single"/>
              </w:rPr>
            </w:pPr>
            <w:r w:rsidRPr="00A6540C">
              <w:rPr>
                <w:rFonts w:cs="Calibri"/>
                <w:b/>
                <w:sz w:val="20"/>
                <w:szCs w:val="21"/>
              </w:rPr>
              <w:t xml:space="preserve">Quantification Method </w:t>
            </w:r>
          </w:p>
        </w:tc>
        <w:tc>
          <w:tcPr>
            <w:tcW w:w="5676" w:type="dxa"/>
            <w:tcBorders>
              <w:bottom w:val="single" w:color="auto" w:sz="4" w:space="0"/>
            </w:tcBorders>
            <w:shd w:val="clear" w:color="auto" w:fill="A6A6A6" w:themeFill="background1" w:themeFillShade="A6"/>
          </w:tcPr>
          <w:p w:rsidRPr="00A6540C" w:rsidR="00A12CFE" w:rsidP="00721433" w:rsidRDefault="00A12CFE" w14:paraId="797FA00F" w14:textId="77777777">
            <w:pPr>
              <w:rPr>
                <w:rFonts w:cs="Calibri"/>
                <w:sz w:val="20"/>
                <w:szCs w:val="21"/>
                <w:u w:val="single"/>
              </w:rPr>
            </w:pPr>
            <w:r w:rsidRPr="00A6540C">
              <w:rPr>
                <w:rFonts w:cs="Calibri"/>
                <w:b/>
                <w:sz w:val="20"/>
                <w:szCs w:val="21"/>
              </w:rPr>
              <w:t>Data Elements Collected via Facility-Level Reporting</w:t>
            </w:r>
            <w:r w:rsidRPr="00A6540C">
              <w:rPr>
                <w:rFonts w:cs="Calibri"/>
                <w:b/>
                <w:sz w:val="20"/>
                <w:szCs w:val="21"/>
                <w:vertAlign w:val="superscript"/>
              </w:rPr>
              <w:footnoteReference w:id="43"/>
            </w:r>
            <w:r w:rsidRPr="00A6540C">
              <w:rPr>
                <w:rFonts w:cs="Calibri"/>
                <w:b/>
                <w:sz w:val="20"/>
                <w:szCs w:val="21"/>
              </w:rPr>
              <w:t xml:space="preserve"> </w:t>
            </w:r>
          </w:p>
        </w:tc>
        <w:tc>
          <w:tcPr>
            <w:tcW w:w="716" w:type="dxa"/>
            <w:tcBorders>
              <w:bottom w:val="single" w:color="auto" w:sz="4" w:space="0"/>
            </w:tcBorders>
            <w:shd w:val="clear" w:color="auto" w:fill="A6A6A6" w:themeFill="background1" w:themeFillShade="A6"/>
            <w:tcMar>
              <w:left w:w="0" w:type="dxa"/>
              <w:right w:w="0" w:type="dxa"/>
            </w:tcMar>
          </w:tcPr>
          <w:p w:rsidRPr="00A6540C" w:rsidR="00A12CFE" w:rsidP="00721433" w:rsidRDefault="00A12CFE" w14:paraId="302C5C22" w14:textId="77777777">
            <w:pPr>
              <w:rPr>
                <w:rFonts w:cs="Calibri"/>
                <w:sz w:val="20"/>
                <w:szCs w:val="21"/>
                <w:u w:val="single"/>
              </w:rPr>
            </w:pPr>
            <w:r w:rsidRPr="00A6540C">
              <w:rPr>
                <w:rFonts w:cs="Calibri"/>
                <w:b/>
                <w:sz w:val="20"/>
                <w:szCs w:val="21"/>
              </w:rPr>
              <w:t>GHGRP</w:t>
            </w:r>
          </w:p>
        </w:tc>
      </w:tr>
      <w:tr w:rsidRPr="00A6540C" w:rsidR="00A12CFE" w:rsidTr="00FD3CB7" w14:paraId="1AD3D3CC" w14:textId="77777777">
        <w:trPr>
          <w:trHeight w:val="108"/>
        </w:trPr>
        <w:tc>
          <w:tcPr>
            <w:tcW w:w="1436" w:type="dxa"/>
            <w:vMerge w:val="restart"/>
            <w:shd w:val="clear" w:color="auto" w:fill="FFFFFF" w:themeFill="background1"/>
            <w:vAlign w:val="center"/>
          </w:tcPr>
          <w:p w:rsidRPr="00A6540C" w:rsidR="00A12CFE" w:rsidP="00BB05E2" w:rsidRDefault="00A12CFE" w14:paraId="4CF58122" w14:textId="77777777">
            <w:pPr>
              <w:rPr>
                <w:rFonts w:cs="Calibri"/>
                <w:sz w:val="21"/>
                <w:szCs w:val="21"/>
              </w:rPr>
            </w:pPr>
            <w:r w:rsidRPr="00A6540C">
              <w:rPr>
                <w:rFonts w:cs="Calibri"/>
                <w:sz w:val="21"/>
                <w:szCs w:val="21"/>
              </w:rPr>
              <w:t>Each centrifugal compressor with wet seals</w:t>
            </w:r>
          </w:p>
        </w:tc>
        <w:tc>
          <w:tcPr>
            <w:tcW w:w="1532" w:type="dxa"/>
            <w:vMerge w:val="restart"/>
            <w:shd w:val="clear" w:color="auto" w:fill="FFFFFF" w:themeFill="background1"/>
            <w:vAlign w:val="center"/>
          </w:tcPr>
          <w:p w:rsidRPr="00A6540C" w:rsidR="00A12CFE" w:rsidP="00BB05E2" w:rsidRDefault="00A12CFE" w14:paraId="0167D856" w14:textId="77777777">
            <w:pPr>
              <w:rPr>
                <w:rFonts w:cs="Calibri"/>
                <w:sz w:val="21"/>
                <w:szCs w:val="21"/>
              </w:rPr>
            </w:pPr>
            <w:r>
              <w:rPr>
                <w:rFonts w:cs="Calibri"/>
                <w:sz w:val="21"/>
                <w:szCs w:val="21"/>
              </w:rPr>
              <w:t>NA</w:t>
            </w:r>
          </w:p>
        </w:tc>
        <w:tc>
          <w:tcPr>
            <w:tcW w:w="5676" w:type="dxa"/>
            <w:shd w:val="clear" w:color="auto" w:fill="FFFFFF" w:themeFill="background1"/>
            <w:vAlign w:val="center"/>
          </w:tcPr>
          <w:p w:rsidRPr="00A6540C" w:rsidR="00A12CFE" w:rsidP="00BB05E2" w:rsidRDefault="00A12CFE" w14:paraId="07E30CB3" w14:textId="77777777">
            <w:pPr>
              <w:rPr>
                <w:sz w:val="21"/>
                <w:szCs w:val="21"/>
              </w:rPr>
            </w:pPr>
            <w:r w:rsidRPr="00A6540C">
              <w:rPr>
                <w:sz w:val="21"/>
                <w:szCs w:val="21"/>
              </w:rPr>
              <w:t>Unique name or ID for the compressor</w:t>
            </w:r>
          </w:p>
        </w:tc>
        <w:tc>
          <w:tcPr>
            <w:tcW w:w="716" w:type="dxa"/>
            <w:shd w:val="clear" w:color="auto" w:fill="FFFFFF" w:themeFill="background1"/>
            <w:vAlign w:val="center"/>
          </w:tcPr>
          <w:p w:rsidRPr="00A6540C" w:rsidR="00A12CFE" w:rsidP="00BB05E2" w:rsidRDefault="00A12CFE" w14:paraId="2C6ADE03" w14:textId="77777777">
            <w:pPr>
              <w:jc w:val="center"/>
              <w:rPr>
                <w:rFonts w:cs="Calibri"/>
                <w:sz w:val="21"/>
                <w:szCs w:val="21"/>
              </w:rPr>
            </w:pPr>
            <w:r w:rsidRPr="00A6540C">
              <w:rPr>
                <w:rFonts w:cs="Calibri"/>
                <w:sz w:val="21"/>
                <w:szCs w:val="21"/>
              </w:rPr>
              <w:t>X</w:t>
            </w:r>
          </w:p>
        </w:tc>
      </w:tr>
      <w:tr w:rsidRPr="00A6540C" w:rsidR="00A12CFE" w:rsidTr="00FD3CB7" w14:paraId="2CA1D6C5" w14:textId="77777777">
        <w:trPr>
          <w:trHeight w:val="108"/>
        </w:trPr>
        <w:tc>
          <w:tcPr>
            <w:tcW w:w="1436" w:type="dxa"/>
            <w:vMerge/>
            <w:shd w:val="clear" w:color="auto" w:fill="FFFFFF" w:themeFill="background1"/>
            <w:vAlign w:val="center"/>
          </w:tcPr>
          <w:p w:rsidRPr="00A6540C" w:rsidR="00A12CFE" w:rsidP="00BB05E2" w:rsidRDefault="00A12CFE" w14:paraId="4B710BDE" w14:textId="77777777">
            <w:pPr>
              <w:rPr>
                <w:rFonts w:cs="Calibri"/>
                <w:sz w:val="21"/>
                <w:szCs w:val="21"/>
              </w:rPr>
            </w:pPr>
          </w:p>
        </w:tc>
        <w:tc>
          <w:tcPr>
            <w:tcW w:w="1532" w:type="dxa"/>
            <w:vMerge/>
            <w:shd w:val="clear" w:color="auto" w:fill="FFFFFF" w:themeFill="background1"/>
            <w:vAlign w:val="center"/>
          </w:tcPr>
          <w:p w:rsidRPr="00A6540C" w:rsidR="00A12CFE" w:rsidP="00BB05E2" w:rsidRDefault="00A12CFE" w14:paraId="4AE1222C" w14:textId="77777777">
            <w:pPr>
              <w:rPr>
                <w:rFonts w:cs="Calibri"/>
                <w:sz w:val="21"/>
                <w:szCs w:val="21"/>
              </w:rPr>
            </w:pPr>
          </w:p>
        </w:tc>
        <w:tc>
          <w:tcPr>
            <w:tcW w:w="5676" w:type="dxa"/>
            <w:shd w:val="clear" w:color="auto" w:fill="FFFFFF" w:themeFill="background1"/>
            <w:vAlign w:val="center"/>
          </w:tcPr>
          <w:p w:rsidRPr="00A6540C" w:rsidR="00A12CFE" w:rsidP="00BB05E2" w:rsidRDefault="00A12CFE" w14:paraId="39E8BDF6" w14:textId="77777777">
            <w:pPr>
              <w:rPr>
                <w:sz w:val="21"/>
                <w:szCs w:val="21"/>
              </w:rPr>
            </w:pPr>
            <w:r w:rsidRPr="00A6540C">
              <w:rPr>
                <w:sz w:val="21"/>
                <w:szCs w:val="21"/>
              </w:rPr>
              <w:t>Number of wet seals</w:t>
            </w:r>
          </w:p>
        </w:tc>
        <w:tc>
          <w:tcPr>
            <w:tcW w:w="716" w:type="dxa"/>
            <w:shd w:val="clear" w:color="auto" w:fill="FFFFFF" w:themeFill="background1"/>
            <w:vAlign w:val="center"/>
          </w:tcPr>
          <w:p w:rsidRPr="00A6540C" w:rsidR="00A12CFE" w:rsidP="00BB05E2" w:rsidRDefault="00A12CFE" w14:paraId="30CC6740" w14:textId="77777777">
            <w:pPr>
              <w:jc w:val="center"/>
              <w:rPr>
                <w:rFonts w:cs="Calibri"/>
                <w:sz w:val="21"/>
                <w:szCs w:val="21"/>
              </w:rPr>
            </w:pPr>
            <w:r w:rsidRPr="00A6540C">
              <w:rPr>
                <w:rFonts w:cs="Calibri"/>
                <w:sz w:val="21"/>
                <w:szCs w:val="21"/>
              </w:rPr>
              <w:t>X</w:t>
            </w:r>
          </w:p>
        </w:tc>
      </w:tr>
      <w:tr w:rsidRPr="00A6540C" w:rsidR="00A12CFE" w:rsidTr="00FD3CB7" w14:paraId="671DEBCF" w14:textId="77777777">
        <w:trPr>
          <w:trHeight w:val="108"/>
        </w:trPr>
        <w:tc>
          <w:tcPr>
            <w:tcW w:w="1436" w:type="dxa"/>
            <w:vMerge/>
            <w:shd w:val="clear" w:color="auto" w:fill="FFFFFF" w:themeFill="background1"/>
            <w:vAlign w:val="center"/>
          </w:tcPr>
          <w:p w:rsidRPr="00A6540C" w:rsidR="00A12CFE" w:rsidP="00BB05E2" w:rsidRDefault="00A12CFE" w14:paraId="57B91935" w14:textId="77777777">
            <w:pPr>
              <w:rPr>
                <w:rFonts w:cs="Calibri"/>
                <w:sz w:val="21"/>
                <w:szCs w:val="21"/>
              </w:rPr>
            </w:pPr>
          </w:p>
        </w:tc>
        <w:tc>
          <w:tcPr>
            <w:tcW w:w="1532" w:type="dxa"/>
            <w:vMerge/>
            <w:shd w:val="clear" w:color="auto" w:fill="FFFFFF" w:themeFill="background1"/>
            <w:vAlign w:val="center"/>
          </w:tcPr>
          <w:p w:rsidRPr="00A6540C" w:rsidR="00A12CFE" w:rsidP="00BB05E2" w:rsidRDefault="00A12CFE" w14:paraId="7308F7B1" w14:textId="77777777">
            <w:pPr>
              <w:rPr>
                <w:rFonts w:cs="Calibri"/>
                <w:sz w:val="21"/>
                <w:szCs w:val="21"/>
              </w:rPr>
            </w:pPr>
          </w:p>
        </w:tc>
        <w:tc>
          <w:tcPr>
            <w:tcW w:w="5676" w:type="dxa"/>
            <w:shd w:val="clear" w:color="auto" w:fill="FFFFFF" w:themeFill="background1"/>
            <w:vAlign w:val="center"/>
          </w:tcPr>
          <w:p w:rsidRPr="00A6540C" w:rsidR="00A12CFE" w:rsidP="00BB05E2" w:rsidRDefault="00A12CFE" w14:paraId="3A1341A7" w14:textId="77777777">
            <w:pPr>
              <w:rPr>
                <w:sz w:val="21"/>
                <w:szCs w:val="21"/>
              </w:rPr>
            </w:pPr>
            <w:r w:rsidRPr="00A6540C">
              <w:rPr>
                <w:sz w:val="21"/>
                <w:szCs w:val="21"/>
              </w:rPr>
              <w:t>Hours in operating mode</w:t>
            </w:r>
          </w:p>
        </w:tc>
        <w:tc>
          <w:tcPr>
            <w:tcW w:w="716" w:type="dxa"/>
            <w:shd w:val="clear" w:color="auto" w:fill="FFFFFF" w:themeFill="background1"/>
            <w:vAlign w:val="center"/>
          </w:tcPr>
          <w:p w:rsidRPr="00A6540C" w:rsidR="00A12CFE" w:rsidP="00BB05E2" w:rsidRDefault="00A12CFE" w14:paraId="0FCA835B" w14:textId="77777777">
            <w:pPr>
              <w:jc w:val="center"/>
              <w:rPr>
                <w:rFonts w:cs="Calibri"/>
                <w:sz w:val="21"/>
                <w:szCs w:val="21"/>
              </w:rPr>
            </w:pPr>
            <w:r w:rsidRPr="00A6540C">
              <w:rPr>
                <w:rFonts w:cs="Calibri"/>
                <w:sz w:val="21"/>
                <w:szCs w:val="21"/>
              </w:rPr>
              <w:t>X</w:t>
            </w:r>
          </w:p>
        </w:tc>
      </w:tr>
      <w:tr w:rsidRPr="00A6540C" w:rsidR="00A12CFE" w:rsidTr="00FD3CB7" w14:paraId="0CE1EE4A" w14:textId="77777777">
        <w:trPr>
          <w:trHeight w:val="108"/>
        </w:trPr>
        <w:tc>
          <w:tcPr>
            <w:tcW w:w="1436" w:type="dxa"/>
            <w:vMerge/>
            <w:shd w:val="clear" w:color="auto" w:fill="FFFFFF" w:themeFill="background1"/>
            <w:vAlign w:val="center"/>
          </w:tcPr>
          <w:p w:rsidRPr="00A6540C" w:rsidR="00A12CFE" w:rsidP="00BB05E2" w:rsidRDefault="00A12CFE" w14:paraId="01EC556C" w14:textId="77777777">
            <w:pPr>
              <w:rPr>
                <w:rFonts w:cs="Calibri"/>
                <w:sz w:val="21"/>
                <w:szCs w:val="21"/>
              </w:rPr>
            </w:pPr>
          </w:p>
        </w:tc>
        <w:tc>
          <w:tcPr>
            <w:tcW w:w="1532" w:type="dxa"/>
            <w:vMerge/>
            <w:shd w:val="clear" w:color="auto" w:fill="FFFFFF" w:themeFill="background1"/>
            <w:vAlign w:val="center"/>
          </w:tcPr>
          <w:p w:rsidRPr="00A6540C" w:rsidR="00A12CFE" w:rsidP="00BB05E2" w:rsidRDefault="00A12CFE" w14:paraId="6295AEF4" w14:textId="77777777">
            <w:pPr>
              <w:rPr>
                <w:rFonts w:cs="Calibri"/>
                <w:sz w:val="21"/>
                <w:szCs w:val="21"/>
              </w:rPr>
            </w:pPr>
          </w:p>
        </w:tc>
        <w:tc>
          <w:tcPr>
            <w:tcW w:w="5676" w:type="dxa"/>
            <w:shd w:val="clear" w:color="auto" w:fill="FFFFFF" w:themeFill="background1"/>
            <w:vAlign w:val="center"/>
          </w:tcPr>
          <w:p w:rsidRPr="00A6540C" w:rsidR="00A12CFE" w:rsidP="00BB05E2" w:rsidRDefault="00A12CFE" w14:paraId="2365B29E" w14:textId="77777777">
            <w:pPr>
              <w:rPr>
                <w:sz w:val="21"/>
                <w:szCs w:val="21"/>
              </w:rPr>
            </w:pPr>
            <w:r w:rsidRPr="00A6540C">
              <w:rPr>
                <w:sz w:val="21"/>
                <w:szCs w:val="21"/>
              </w:rPr>
              <w:t>Which, if any, compressor sources are part of a manifolded group of compressor sources</w:t>
            </w:r>
          </w:p>
        </w:tc>
        <w:tc>
          <w:tcPr>
            <w:tcW w:w="716" w:type="dxa"/>
            <w:shd w:val="clear" w:color="auto" w:fill="FFFFFF" w:themeFill="background1"/>
            <w:vAlign w:val="center"/>
          </w:tcPr>
          <w:p w:rsidRPr="00A6540C" w:rsidR="00A12CFE" w:rsidP="00BB05E2" w:rsidRDefault="00A12CFE" w14:paraId="0F821811" w14:textId="77777777">
            <w:pPr>
              <w:jc w:val="center"/>
              <w:rPr>
                <w:rFonts w:cs="Calibri"/>
                <w:sz w:val="21"/>
                <w:szCs w:val="21"/>
              </w:rPr>
            </w:pPr>
            <w:r w:rsidRPr="00A6540C">
              <w:rPr>
                <w:rFonts w:cs="Calibri"/>
                <w:sz w:val="21"/>
                <w:szCs w:val="21"/>
              </w:rPr>
              <w:t>X</w:t>
            </w:r>
          </w:p>
        </w:tc>
      </w:tr>
      <w:tr w:rsidRPr="00A6540C" w:rsidR="00A12CFE" w:rsidTr="00FD3CB7" w14:paraId="1D031341" w14:textId="77777777">
        <w:trPr>
          <w:trHeight w:val="108"/>
        </w:trPr>
        <w:tc>
          <w:tcPr>
            <w:tcW w:w="1436" w:type="dxa"/>
            <w:vMerge/>
            <w:shd w:val="clear" w:color="auto" w:fill="FFFFFF" w:themeFill="background1"/>
            <w:vAlign w:val="center"/>
          </w:tcPr>
          <w:p w:rsidRPr="00A6540C" w:rsidR="00A12CFE" w:rsidP="00BB05E2" w:rsidRDefault="00A12CFE" w14:paraId="527F4381" w14:textId="77777777">
            <w:pPr>
              <w:rPr>
                <w:rFonts w:cs="Calibri"/>
                <w:sz w:val="21"/>
                <w:szCs w:val="21"/>
              </w:rPr>
            </w:pPr>
          </w:p>
        </w:tc>
        <w:tc>
          <w:tcPr>
            <w:tcW w:w="1532" w:type="dxa"/>
            <w:vMerge/>
            <w:shd w:val="clear" w:color="auto" w:fill="FFFFFF" w:themeFill="background1"/>
            <w:vAlign w:val="center"/>
          </w:tcPr>
          <w:p w:rsidRPr="00A6540C" w:rsidR="00A12CFE" w:rsidP="00BB05E2" w:rsidRDefault="00A12CFE" w14:paraId="774D95A9" w14:textId="77777777">
            <w:pPr>
              <w:rPr>
                <w:rFonts w:cs="Calibri"/>
                <w:sz w:val="21"/>
                <w:szCs w:val="21"/>
              </w:rPr>
            </w:pPr>
          </w:p>
        </w:tc>
        <w:tc>
          <w:tcPr>
            <w:tcW w:w="5676" w:type="dxa"/>
            <w:shd w:val="clear" w:color="auto" w:fill="auto"/>
            <w:vAlign w:val="center"/>
          </w:tcPr>
          <w:p w:rsidRPr="00A6540C" w:rsidR="00A12CFE" w:rsidP="00BB05E2" w:rsidRDefault="00A12CFE" w14:paraId="76736083" w14:textId="77777777">
            <w:pPr>
              <w:rPr>
                <w:sz w:val="21"/>
                <w:szCs w:val="21"/>
              </w:rPr>
            </w:pPr>
            <w:r w:rsidRPr="00A6540C">
              <w:rPr>
                <w:sz w:val="21"/>
                <w:szCs w:val="21"/>
              </w:rPr>
              <w:t>Indicate all of the following that apply to wet seal degassing emissions from the compressor during the year:</w:t>
            </w:r>
          </w:p>
        </w:tc>
        <w:tc>
          <w:tcPr>
            <w:tcW w:w="716" w:type="dxa"/>
            <w:shd w:val="clear" w:color="auto" w:fill="FFFFFF" w:themeFill="background1"/>
            <w:vAlign w:val="center"/>
          </w:tcPr>
          <w:p w:rsidRPr="00A6540C" w:rsidR="00A12CFE" w:rsidP="00BB05E2" w:rsidRDefault="00A12CFE" w14:paraId="434A85FD" w14:textId="77777777">
            <w:pPr>
              <w:jc w:val="center"/>
              <w:rPr>
                <w:rFonts w:cs="Calibri"/>
                <w:sz w:val="21"/>
                <w:szCs w:val="21"/>
              </w:rPr>
            </w:pPr>
          </w:p>
        </w:tc>
      </w:tr>
      <w:tr w:rsidRPr="00A6540C" w:rsidR="00A12CFE" w:rsidTr="00FD3CB7" w14:paraId="2EF5FC21" w14:textId="77777777">
        <w:trPr>
          <w:trHeight w:val="108"/>
        </w:trPr>
        <w:tc>
          <w:tcPr>
            <w:tcW w:w="1436" w:type="dxa"/>
            <w:vMerge/>
            <w:shd w:val="clear" w:color="auto" w:fill="FFFFFF" w:themeFill="background1"/>
            <w:vAlign w:val="center"/>
          </w:tcPr>
          <w:p w:rsidRPr="00A6540C" w:rsidR="00A12CFE" w:rsidP="00BB05E2" w:rsidRDefault="00A12CFE" w14:paraId="1A065E03" w14:textId="77777777">
            <w:pPr>
              <w:rPr>
                <w:rFonts w:cs="Calibri"/>
                <w:sz w:val="21"/>
                <w:szCs w:val="21"/>
              </w:rPr>
            </w:pPr>
          </w:p>
        </w:tc>
        <w:tc>
          <w:tcPr>
            <w:tcW w:w="1532" w:type="dxa"/>
            <w:vMerge/>
            <w:shd w:val="clear" w:color="auto" w:fill="FFFFFF" w:themeFill="background1"/>
            <w:vAlign w:val="center"/>
          </w:tcPr>
          <w:p w:rsidRPr="00A6540C" w:rsidR="00A12CFE" w:rsidP="00BB05E2" w:rsidRDefault="00A12CFE" w14:paraId="015151D1" w14:textId="77777777">
            <w:pPr>
              <w:rPr>
                <w:rFonts w:cs="Calibri"/>
                <w:sz w:val="21"/>
                <w:szCs w:val="21"/>
              </w:rPr>
            </w:pPr>
          </w:p>
        </w:tc>
        <w:tc>
          <w:tcPr>
            <w:tcW w:w="5676" w:type="dxa"/>
            <w:shd w:val="clear" w:color="auto" w:fill="auto"/>
            <w:vAlign w:val="center"/>
          </w:tcPr>
          <w:p w:rsidRPr="00A6540C" w:rsidR="00A12CFE" w:rsidP="00CD70E4" w:rsidRDefault="00A12CFE" w14:paraId="27BC5F4C" w14:textId="33FF5C56">
            <w:pPr>
              <w:ind w:left="204"/>
              <w:rPr>
                <w:sz w:val="21"/>
                <w:szCs w:val="21"/>
              </w:rPr>
            </w:pPr>
            <w:r w:rsidRPr="00A6540C">
              <w:rPr>
                <w:sz w:val="21"/>
                <w:szCs w:val="21"/>
              </w:rPr>
              <w:t>Emissions are vented to the atmosphere</w:t>
            </w:r>
          </w:p>
        </w:tc>
        <w:tc>
          <w:tcPr>
            <w:tcW w:w="716" w:type="dxa"/>
            <w:shd w:val="clear" w:color="auto" w:fill="FFFFFF" w:themeFill="background1"/>
            <w:vAlign w:val="center"/>
          </w:tcPr>
          <w:p w:rsidRPr="00A6540C" w:rsidR="00A12CFE" w:rsidP="00BB05E2" w:rsidRDefault="00A12CFE" w14:paraId="00A0AC13" w14:textId="77777777">
            <w:pPr>
              <w:jc w:val="center"/>
              <w:rPr>
                <w:rFonts w:cs="Calibri"/>
                <w:sz w:val="21"/>
                <w:szCs w:val="21"/>
              </w:rPr>
            </w:pPr>
          </w:p>
        </w:tc>
      </w:tr>
      <w:tr w:rsidRPr="00A6540C" w:rsidR="00A12CFE" w:rsidTr="00FD3CB7" w14:paraId="55294EBA" w14:textId="77777777">
        <w:trPr>
          <w:trHeight w:val="108"/>
        </w:trPr>
        <w:tc>
          <w:tcPr>
            <w:tcW w:w="1436" w:type="dxa"/>
            <w:vMerge/>
            <w:shd w:val="clear" w:color="auto" w:fill="FFFFFF" w:themeFill="background1"/>
            <w:vAlign w:val="center"/>
          </w:tcPr>
          <w:p w:rsidRPr="00A6540C" w:rsidR="00A12CFE" w:rsidP="00BB05E2" w:rsidRDefault="00A12CFE" w14:paraId="2DD6480F" w14:textId="77777777">
            <w:pPr>
              <w:rPr>
                <w:rFonts w:cs="Calibri"/>
                <w:sz w:val="21"/>
                <w:szCs w:val="21"/>
              </w:rPr>
            </w:pPr>
          </w:p>
        </w:tc>
        <w:tc>
          <w:tcPr>
            <w:tcW w:w="1532" w:type="dxa"/>
            <w:vMerge/>
            <w:shd w:val="clear" w:color="auto" w:fill="FFFFFF" w:themeFill="background1"/>
            <w:vAlign w:val="center"/>
          </w:tcPr>
          <w:p w:rsidRPr="00A6540C" w:rsidR="00A12CFE" w:rsidP="00BB05E2" w:rsidRDefault="00A12CFE" w14:paraId="1097286A" w14:textId="77777777">
            <w:pPr>
              <w:rPr>
                <w:rFonts w:cs="Calibri"/>
                <w:sz w:val="21"/>
                <w:szCs w:val="21"/>
              </w:rPr>
            </w:pPr>
          </w:p>
        </w:tc>
        <w:tc>
          <w:tcPr>
            <w:tcW w:w="5676" w:type="dxa"/>
            <w:shd w:val="clear" w:color="auto" w:fill="auto"/>
            <w:vAlign w:val="center"/>
          </w:tcPr>
          <w:p w:rsidRPr="00A6540C" w:rsidR="00A12CFE" w:rsidP="00CD70E4" w:rsidRDefault="00A12CFE" w14:paraId="11F6307E" w14:textId="7F3F9D45">
            <w:pPr>
              <w:ind w:left="204"/>
              <w:rPr>
                <w:sz w:val="21"/>
                <w:szCs w:val="21"/>
              </w:rPr>
            </w:pPr>
            <w:r w:rsidRPr="00A6540C">
              <w:rPr>
                <w:sz w:val="21"/>
                <w:szCs w:val="21"/>
              </w:rPr>
              <w:t>Emissions are routed to flare</w:t>
            </w:r>
          </w:p>
        </w:tc>
        <w:tc>
          <w:tcPr>
            <w:tcW w:w="716" w:type="dxa"/>
            <w:shd w:val="clear" w:color="auto" w:fill="FFFFFF" w:themeFill="background1"/>
            <w:vAlign w:val="center"/>
          </w:tcPr>
          <w:p w:rsidRPr="00A6540C" w:rsidR="00A12CFE" w:rsidP="00BB05E2" w:rsidRDefault="00A12CFE" w14:paraId="2CAF1E47" w14:textId="77777777">
            <w:pPr>
              <w:jc w:val="center"/>
              <w:rPr>
                <w:rFonts w:cs="Calibri"/>
                <w:sz w:val="21"/>
                <w:szCs w:val="21"/>
              </w:rPr>
            </w:pPr>
            <w:r w:rsidRPr="00A6540C">
              <w:rPr>
                <w:rFonts w:cs="Calibri"/>
                <w:sz w:val="21"/>
                <w:szCs w:val="21"/>
              </w:rPr>
              <w:t>X</w:t>
            </w:r>
          </w:p>
        </w:tc>
      </w:tr>
      <w:tr w:rsidRPr="00A6540C" w:rsidR="00A12CFE" w:rsidTr="00FD3CB7" w14:paraId="0C813F16" w14:textId="77777777">
        <w:trPr>
          <w:trHeight w:val="108"/>
        </w:trPr>
        <w:tc>
          <w:tcPr>
            <w:tcW w:w="1436" w:type="dxa"/>
            <w:vMerge/>
            <w:shd w:val="clear" w:color="auto" w:fill="FFFFFF" w:themeFill="background1"/>
            <w:vAlign w:val="center"/>
          </w:tcPr>
          <w:p w:rsidRPr="00A6540C" w:rsidR="00A12CFE" w:rsidP="00BB05E2" w:rsidRDefault="00A12CFE" w14:paraId="2CBE139B" w14:textId="77777777">
            <w:pPr>
              <w:rPr>
                <w:rFonts w:cs="Calibri"/>
                <w:sz w:val="21"/>
                <w:szCs w:val="21"/>
              </w:rPr>
            </w:pPr>
          </w:p>
        </w:tc>
        <w:tc>
          <w:tcPr>
            <w:tcW w:w="1532" w:type="dxa"/>
            <w:vMerge/>
            <w:shd w:val="clear" w:color="auto" w:fill="FFFFFF" w:themeFill="background1"/>
            <w:vAlign w:val="center"/>
          </w:tcPr>
          <w:p w:rsidRPr="00A6540C" w:rsidR="00A12CFE" w:rsidP="00BB05E2" w:rsidRDefault="00A12CFE" w14:paraId="1302F994" w14:textId="77777777">
            <w:pPr>
              <w:rPr>
                <w:rFonts w:cs="Calibri"/>
                <w:sz w:val="21"/>
                <w:szCs w:val="21"/>
              </w:rPr>
            </w:pPr>
          </w:p>
        </w:tc>
        <w:tc>
          <w:tcPr>
            <w:tcW w:w="5676" w:type="dxa"/>
            <w:shd w:val="clear" w:color="auto" w:fill="auto"/>
            <w:vAlign w:val="center"/>
          </w:tcPr>
          <w:p w:rsidRPr="00A6540C" w:rsidR="00A12CFE" w:rsidP="00CD70E4" w:rsidRDefault="00A12CFE" w14:paraId="742D5531" w14:textId="2D041F64">
            <w:pPr>
              <w:ind w:left="204"/>
              <w:rPr>
                <w:sz w:val="21"/>
                <w:szCs w:val="21"/>
              </w:rPr>
            </w:pPr>
            <w:r w:rsidRPr="00A6540C">
              <w:rPr>
                <w:sz w:val="21"/>
                <w:szCs w:val="21"/>
              </w:rPr>
              <w:t>Emissions are captured for fuel use or routed to a thermal oxidizer</w:t>
            </w:r>
          </w:p>
        </w:tc>
        <w:tc>
          <w:tcPr>
            <w:tcW w:w="716" w:type="dxa"/>
            <w:shd w:val="clear" w:color="auto" w:fill="FFFFFF" w:themeFill="background1"/>
            <w:vAlign w:val="center"/>
          </w:tcPr>
          <w:p w:rsidRPr="00A6540C" w:rsidR="00A12CFE" w:rsidP="00BB05E2" w:rsidRDefault="00A12CFE" w14:paraId="0A2A1C02" w14:textId="77777777">
            <w:pPr>
              <w:jc w:val="center"/>
              <w:rPr>
                <w:rFonts w:cs="Calibri"/>
                <w:sz w:val="21"/>
                <w:szCs w:val="21"/>
              </w:rPr>
            </w:pPr>
            <w:r w:rsidRPr="00A6540C">
              <w:rPr>
                <w:rFonts w:cs="Calibri"/>
                <w:sz w:val="21"/>
                <w:szCs w:val="21"/>
              </w:rPr>
              <w:t>X</w:t>
            </w:r>
          </w:p>
        </w:tc>
      </w:tr>
      <w:tr w:rsidRPr="00A6540C" w:rsidR="00A12CFE" w:rsidTr="00FD3CB7" w14:paraId="5169ED91" w14:textId="77777777">
        <w:trPr>
          <w:trHeight w:val="108"/>
        </w:trPr>
        <w:tc>
          <w:tcPr>
            <w:tcW w:w="1436" w:type="dxa"/>
            <w:vMerge/>
            <w:shd w:val="clear" w:color="auto" w:fill="FFFFFF" w:themeFill="background1"/>
            <w:vAlign w:val="center"/>
          </w:tcPr>
          <w:p w:rsidRPr="00A6540C" w:rsidR="00A12CFE" w:rsidP="00BB05E2" w:rsidRDefault="00A12CFE" w14:paraId="555DF7F9" w14:textId="77777777">
            <w:pPr>
              <w:rPr>
                <w:rFonts w:cs="Calibri"/>
                <w:sz w:val="21"/>
                <w:szCs w:val="21"/>
              </w:rPr>
            </w:pPr>
          </w:p>
        </w:tc>
        <w:tc>
          <w:tcPr>
            <w:tcW w:w="1532" w:type="dxa"/>
            <w:vMerge/>
            <w:shd w:val="clear" w:color="auto" w:fill="FFFFFF" w:themeFill="background1"/>
            <w:vAlign w:val="center"/>
          </w:tcPr>
          <w:p w:rsidRPr="00A6540C" w:rsidR="00A12CFE" w:rsidP="00BB05E2" w:rsidRDefault="00A12CFE" w14:paraId="10FEE227" w14:textId="77777777">
            <w:pPr>
              <w:rPr>
                <w:rFonts w:cs="Calibri"/>
                <w:sz w:val="21"/>
                <w:szCs w:val="21"/>
              </w:rPr>
            </w:pPr>
          </w:p>
        </w:tc>
        <w:tc>
          <w:tcPr>
            <w:tcW w:w="5676" w:type="dxa"/>
            <w:shd w:val="clear" w:color="auto" w:fill="auto"/>
            <w:vAlign w:val="center"/>
          </w:tcPr>
          <w:p w:rsidRPr="00A6540C" w:rsidR="00A12CFE" w:rsidP="00CD70E4" w:rsidRDefault="00A12CFE" w14:paraId="1D36ABB7" w14:textId="471E2672">
            <w:pPr>
              <w:ind w:left="204"/>
              <w:rPr>
                <w:sz w:val="21"/>
                <w:szCs w:val="21"/>
              </w:rPr>
            </w:pPr>
            <w:r w:rsidRPr="00A6540C">
              <w:rPr>
                <w:sz w:val="21"/>
                <w:szCs w:val="21"/>
              </w:rPr>
              <w:t>Emissions are routed to vapor recovery for beneficial use other than as fuel</w:t>
            </w:r>
          </w:p>
        </w:tc>
        <w:tc>
          <w:tcPr>
            <w:tcW w:w="716" w:type="dxa"/>
            <w:shd w:val="clear" w:color="auto" w:fill="FFFFFF" w:themeFill="background1"/>
            <w:vAlign w:val="center"/>
          </w:tcPr>
          <w:p w:rsidRPr="00A6540C" w:rsidR="00A12CFE" w:rsidP="00BB05E2" w:rsidRDefault="00A12CFE" w14:paraId="55665223" w14:textId="77777777">
            <w:pPr>
              <w:jc w:val="center"/>
              <w:rPr>
                <w:rFonts w:cs="Calibri"/>
                <w:sz w:val="21"/>
                <w:szCs w:val="21"/>
              </w:rPr>
            </w:pPr>
            <w:r w:rsidRPr="00A6540C">
              <w:rPr>
                <w:rFonts w:cs="Calibri"/>
                <w:sz w:val="21"/>
                <w:szCs w:val="21"/>
              </w:rPr>
              <w:t>X</w:t>
            </w:r>
          </w:p>
        </w:tc>
      </w:tr>
      <w:tr w:rsidRPr="00A6540C" w:rsidR="00A12CFE" w:rsidTr="00FD3CB7" w14:paraId="1BFF65DD" w14:textId="77777777">
        <w:trPr>
          <w:trHeight w:val="108"/>
        </w:trPr>
        <w:tc>
          <w:tcPr>
            <w:tcW w:w="1436" w:type="dxa"/>
            <w:vMerge/>
            <w:tcBorders>
              <w:bottom w:val="single" w:color="auto" w:sz="4" w:space="0"/>
            </w:tcBorders>
            <w:shd w:val="clear" w:color="auto" w:fill="FFFFFF" w:themeFill="background1"/>
            <w:vAlign w:val="center"/>
          </w:tcPr>
          <w:p w:rsidRPr="00A6540C" w:rsidR="00A12CFE" w:rsidP="00BB05E2" w:rsidRDefault="00A12CFE" w14:paraId="67CBC03F" w14:textId="77777777">
            <w:pPr>
              <w:rPr>
                <w:rFonts w:cs="Calibri"/>
                <w:sz w:val="21"/>
                <w:szCs w:val="21"/>
              </w:rPr>
            </w:pPr>
          </w:p>
        </w:tc>
        <w:tc>
          <w:tcPr>
            <w:tcW w:w="1532" w:type="dxa"/>
            <w:vMerge/>
            <w:tcBorders>
              <w:bottom w:val="single" w:color="auto" w:sz="4" w:space="0"/>
            </w:tcBorders>
            <w:shd w:val="clear" w:color="auto" w:fill="FFFFFF" w:themeFill="background1"/>
            <w:vAlign w:val="center"/>
          </w:tcPr>
          <w:p w:rsidRPr="00A6540C" w:rsidR="00A12CFE" w:rsidP="00BB05E2" w:rsidRDefault="00A12CFE" w14:paraId="0E9B124C" w14:textId="77777777">
            <w:pPr>
              <w:rPr>
                <w:rFonts w:cs="Calibri"/>
                <w:sz w:val="21"/>
                <w:szCs w:val="21"/>
              </w:rPr>
            </w:pPr>
          </w:p>
        </w:tc>
        <w:tc>
          <w:tcPr>
            <w:tcW w:w="5676" w:type="dxa"/>
            <w:tcBorders>
              <w:bottom w:val="single" w:color="auto" w:sz="4" w:space="0"/>
            </w:tcBorders>
            <w:shd w:val="clear" w:color="auto" w:fill="auto"/>
            <w:vAlign w:val="center"/>
          </w:tcPr>
          <w:p w:rsidRPr="00A6540C" w:rsidR="00A12CFE" w:rsidP="00CD70E4" w:rsidRDefault="00A12CFE" w14:paraId="6E19A62E" w14:textId="39CE4D79">
            <w:pPr>
              <w:ind w:left="204"/>
              <w:rPr>
                <w:sz w:val="21"/>
                <w:szCs w:val="21"/>
              </w:rPr>
            </w:pPr>
            <w:r w:rsidRPr="00A6540C">
              <w:rPr>
                <w:sz w:val="21"/>
                <w:szCs w:val="21"/>
              </w:rPr>
              <w:t>Compressor in not-operating-depressurized-mode all year</w:t>
            </w:r>
            <w:r>
              <w:rPr>
                <w:sz w:val="21"/>
                <w:szCs w:val="21"/>
              </w:rPr>
              <w:t xml:space="preserve"> (Y/N)</w:t>
            </w:r>
          </w:p>
        </w:tc>
        <w:tc>
          <w:tcPr>
            <w:tcW w:w="716" w:type="dxa"/>
            <w:tcBorders>
              <w:bottom w:val="single" w:color="auto" w:sz="4" w:space="0"/>
            </w:tcBorders>
            <w:shd w:val="clear" w:color="auto" w:fill="FFFFFF" w:themeFill="background1"/>
            <w:vAlign w:val="center"/>
          </w:tcPr>
          <w:p w:rsidRPr="00A6540C" w:rsidR="00A12CFE" w:rsidP="00BB05E2" w:rsidRDefault="00A12CFE" w14:paraId="690911DE" w14:textId="77777777">
            <w:pPr>
              <w:jc w:val="center"/>
              <w:rPr>
                <w:rFonts w:cs="Calibri"/>
                <w:sz w:val="21"/>
                <w:szCs w:val="21"/>
              </w:rPr>
            </w:pPr>
            <w:r>
              <w:rPr>
                <w:rFonts w:cs="Calibri"/>
                <w:sz w:val="21"/>
                <w:szCs w:val="21"/>
              </w:rPr>
              <w:t>X</w:t>
            </w:r>
          </w:p>
        </w:tc>
      </w:tr>
      <w:tr w:rsidRPr="00A6540C" w:rsidR="00A12CFE" w:rsidTr="00FD3CB7" w14:paraId="5CB6A2DE" w14:textId="77777777">
        <w:trPr>
          <w:trHeight w:val="108"/>
        </w:trPr>
        <w:tc>
          <w:tcPr>
            <w:tcW w:w="1436" w:type="dxa"/>
            <w:shd w:val="clear" w:color="auto" w:fill="D9D9D9" w:themeFill="background1" w:themeFillShade="D9"/>
            <w:vAlign w:val="center"/>
          </w:tcPr>
          <w:p w:rsidRPr="00A6540C" w:rsidR="00A12CFE" w:rsidP="00BB05E2" w:rsidRDefault="00A12CFE" w14:paraId="2FF39E90" w14:textId="77777777">
            <w:pPr>
              <w:rPr>
                <w:rFonts w:cs="Calibri"/>
                <w:sz w:val="21"/>
                <w:szCs w:val="21"/>
              </w:rPr>
            </w:pPr>
            <w:r>
              <w:rPr>
                <w:rFonts w:cs="Calibri"/>
                <w:sz w:val="21"/>
                <w:szCs w:val="21"/>
              </w:rPr>
              <w:t>C</w:t>
            </w:r>
            <w:r w:rsidRPr="00A6540C">
              <w:rPr>
                <w:rFonts w:cs="Calibri"/>
                <w:sz w:val="21"/>
                <w:szCs w:val="21"/>
              </w:rPr>
              <w:t>entrifugal compressors</w:t>
            </w:r>
            <w:r>
              <w:rPr>
                <w:rFonts w:cs="Calibri"/>
                <w:sz w:val="21"/>
                <w:szCs w:val="21"/>
              </w:rPr>
              <w:t xml:space="preserve"> with dry seals</w:t>
            </w:r>
          </w:p>
        </w:tc>
        <w:tc>
          <w:tcPr>
            <w:tcW w:w="1532" w:type="dxa"/>
            <w:shd w:val="clear" w:color="auto" w:fill="D9D9D9" w:themeFill="background1" w:themeFillShade="D9"/>
            <w:vAlign w:val="center"/>
          </w:tcPr>
          <w:p w:rsidRPr="00A6540C" w:rsidR="00A12CFE" w:rsidP="00BB05E2" w:rsidRDefault="00A12CFE" w14:paraId="3016B488" w14:textId="77777777">
            <w:pPr>
              <w:rPr>
                <w:rFonts w:cs="Calibri"/>
                <w:sz w:val="21"/>
                <w:szCs w:val="21"/>
              </w:rPr>
            </w:pPr>
            <w:r>
              <w:rPr>
                <w:rFonts w:cs="Calibri"/>
                <w:sz w:val="21"/>
                <w:szCs w:val="21"/>
              </w:rPr>
              <w:t>NA</w:t>
            </w:r>
          </w:p>
        </w:tc>
        <w:tc>
          <w:tcPr>
            <w:tcW w:w="5676" w:type="dxa"/>
            <w:shd w:val="clear" w:color="auto" w:fill="D9D9D9" w:themeFill="background1" w:themeFillShade="D9"/>
            <w:vAlign w:val="center"/>
          </w:tcPr>
          <w:p w:rsidRPr="00A6540C" w:rsidR="00A12CFE" w:rsidP="00BB05E2" w:rsidRDefault="00A12CFE" w14:paraId="7218A46A" w14:textId="77777777">
            <w:pPr>
              <w:rPr>
                <w:sz w:val="21"/>
                <w:szCs w:val="21"/>
              </w:rPr>
            </w:pPr>
            <w:r w:rsidRPr="00A6540C">
              <w:rPr>
                <w:sz w:val="21"/>
                <w:szCs w:val="21"/>
              </w:rPr>
              <w:t xml:space="preserve"> Number of centrifugal compressors with dry seals</w:t>
            </w:r>
            <w:r>
              <w:rPr>
                <w:rStyle w:val="CommentReference"/>
              </w:rPr>
              <w:t xml:space="preserve"> </w:t>
            </w:r>
          </w:p>
        </w:tc>
        <w:tc>
          <w:tcPr>
            <w:tcW w:w="716" w:type="dxa"/>
            <w:shd w:val="clear" w:color="auto" w:fill="D9D9D9" w:themeFill="background1" w:themeFillShade="D9"/>
            <w:vAlign w:val="center"/>
          </w:tcPr>
          <w:p w:rsidRPr="00A6540C" w:rsidR="00A12CFE" w:rsidP="00BB05E2" w:rsidRDefault="00A12CFE" w14:paraId="36685CA3" w14:textId="77777777">
            <w:pPr>
              <w:jc w:val="center"/>
              <w:rPr>
                <w:rFonts w:cs="Calibri"/>
                <w:sz w:val="21"/>
                <w:szCs w:val="21"/>
              </w:rPr>
            </w:pPr>
            <w:r>
              <w:rPr>
                <w:rFonts w:cs="Calibri"/>
                <w:sz w:val="21"/>
                <w:szCs w:val="21"/>
              </w:rPr>
              <w:t>X</w:t>
            </w:r>
          </w:p>
        </w:tc>
      </w:tr>
      <w:tr w:rsidRPr="00A6540C" w:rsidR="00107C44" w:rsidTr="00FD3CB7" w14:paraId="09398D2E" w14:textId="77777777">
        <w:trPr>
          <w:trHeight w:val="107"/>
        </w:trPr>
        <w:tc>
          <w:tcPr>
            <w:tcW w:w="1436" w:type="dxa"/>
            <w:vMerge w:val="restart"/>
            <w:shd w:val="clear" w:color="auto" w:fill="FFFFFF" w:themeFill="background1"/>
            <w:vAlign w:val="center"/>
          </w:tcPr>
          <w:p w:rsidRPr="00A6540C" w:rsidR="00107C44" w:rsidP="00BB05E2" w:rsidRDefault="00107C44" w14:paraId="65930DB1" w14:textId="77777777">
            <w:pPr>
              <w:rPr>
                <w:rFonts w:cs="Calibri"/>
                <w:sz w:val="21"/>
                <w:szCs w:val="21"/>
              </w:rPr>
            </w:pPr>
            <w:r w:rsidRPr="00A6540C">
              <w:rPr>
                <w:rFonts w:cs="Calibri"/>
                <w:sz w:val="21"/>
                <w:szCs w:val="21"/>
              </w:rPr>
              <w:lastRenderedPageBreak/>
              <w:t>Centrifugal compressor with wet seal degassing vented to the atmosphere</w:t>
            </w:r>
          </w:p>
        </w:tc>
        <w:tc>
          <w:tcPr>
            <w:tcW w:w="1532" w:type="dxa"/>
            <w:vMerge w:val="restart"/>
            <w:shd w:val="clear" w:color="auto" w:fill="FFFFFF" w:themeFill="background1"/>
            <w:vAlign w:val="center"/>
          </w:tcPr>
          <w:p w:rsidRPr="00A6540C" w:rsidR="00107C44" w:rsidP="00BB05E2" w:rsidRDefault="00107C44" w14:paraId="5581207B" w14:textId="77777777">
            <w:pPr>
              <w:rPr>
                <w:rFonts w:cs="Calibri"/>
                <w:sz w:val="21"/>
                <w:szCs w:val="21"/>
              </w:rPr>
            </w:pPr>
            <w:r w:rsidRPr="00A6540C">
              <w:rPr>
                <w:rFonts w:cs="Calibri"/>
                <w:sz w:val="21"/>
                <w:szCs w:val="21"/>
              </w:rPr>
              <w:t>As found or continuous measurement in operating mode of individual compressor wet seal degassing vent</w:t>
            </w:r>
            <w:r w:rsidRPr="00A6540C">
              <w:rPr>
                <w:rFonts w:cs="Calibri"/>
                <w:sz w:val="21"/>
                <w:szCs w:val="21"/>
                <w:vertAlign w:val="superscript"/>
              </w:rPr>
              <w:footnoteReference w:id="44"/>
            </w:r>
            <w:r w:rsidRPr="004D6125">
              <w:rPr>
                <w:rFonts w:cs="Calibri"/>
                <w:sz w:val="21"/>
                <w:szCs w:val="21"/>
                <w:vertAlign w:val="superscript"/>
              </w:rPr>
              <w:t>,</w:t>
            </w:r>
            <w:r w:rsidRPr="00A6540C">
              <w:rPr>
                <w:rFonts w:cs="Calibri"/>
                <w:sz w:val="21"/>
                <w:szCs w:val="21"/>
                <w:vertAlign w:val="superscript"/>
              </w:rPr>
              <w:footnoteReference w:id="45"/>
            </w:r>
          </w:p>
        </w:tc>
        <w:tc>
          <w:tcPr>
            <w:tcW w:w="5676" w:type="dxa"/>
            <w:shd w:val="clear" w:color="auto" w:fill="FFFFFF" w:themeFill="background1"/>
            <w:vAlign w:val="center"/>
          </w:tcPr>
          <w:p w:rsidRPr="00A6540C" w:rsidR="00107C44" w:rsidP="00BB05E2" w:rsidRDefault="00107C44" w14:paraId="55C7FF13" w14:textId="77777777">
            <w:pPr>
              <w:rPr>
                <w:sz w:val="21"/>
                <w:szCs w:val="21"/>
              </w:rPr>
            </w:pPr>
            <w:r w:rsidRPr="00A6540C">
              <w:rPr>
                <w:sz w:val="21"/>
                <w:szCs w:val="21"/>
              </w:rPr>
              <w:t>Unique name or ID for the compressor</w:t>
            </w:r>
          </w:p>
        </w:tc>
        <w:tc>
          <w:tcPr>
            <w:tcW w:w="716" w:type="dxa"/>
            <w:shd w:val="clear" w:color="auto" w:fill="FFFFFF" w:themeFill="background1"/>
            <w:vAlign w:val="center"/>
          </w:tcPr>
          <w:p w:rsidRPr="00A6540C" w:rsidR="00107C44" w:rsidP="00BB05E2" w:rsidRDefault="00107C44" w14:paraId="7491676C" w14:textId="77777777">
            <w:pPr>
              <w:jc w:val="center"/>
              <w:rPr>
                <w:rFonts w:cs="Calibri"/>
                <w:sz w:val="21"/>
                <w:szCs w:val="21"/>
              </w:rPr>
            </w:pPr>
            <w:r w:rsidRPr="00A6540C">
              <w:rPr>
                <w:rFonts w:cs="Calibri"/>
                <w:sz w:val="21"/>
                <w:szCs w:val="21"/>
              </w:rPr>
              <w:t>X</w:t>
            </w:r>
          </w:p>
        </w:tc>
      </w:tr>
      <w:tr w:rsidRPr="00A6540C" w:rsidR="00107C44" w:rsidTr="00FD3CB7" w14:paraId="78546EC5" w14:textId="77777777">
        <w:trPr>
          <w:trHeight w:val="492"/>
        </w:trPr>
        <w:tc>
          <w:tcPr>
            <w:tcW w:w="1436" w:type="dxa"/>
            <w:vMerge/>
            <w:shd w:val="clear" w:color="auto" w:fill="FFFFFF" w:themeFill="background1"/>
            <w:vAlign w:val="center"/>
          </w:tcPr>
          <w:p w:rsidRPr="00A6540C" w:rsidR="00107C44" w:rsidP="00BB05E2" w:rsidRDefault="00107C44" w14:paraId="7FE9C365" w14:textId="77777777">
            <w:pPr>
              <w:rPr>
                <w:rFonts w:cs="Calibri"/>
                <w:sz w:val="21"/>
                <w:szCs w:val="21"/>
              </w:rPr>
            </w:pPr>
          </w:p>
        </w:tc>
        <w:tc>
          <w:tcPr>
            <w:tcW w:w="1532" w:type="dxa"/>
            <w:vMerge/>
            <w:shd w:val="clear" w:color="auto" w:fill="FFFFFF" w:themeFill="background1"/>
            <w:vAlign w:val="center"/>
          </w:tcPr>
          <w:p w:rsidRPr="00A6540C" w:rsidR="00107C44" w:rsidP="00BB05E2" w:rsidRDefault="00107C44" w14:paraId="45FA07E8" w14:textId="77777777">
            <w:pPr>
              <w:rPr>
                <w:rFonts w:cs="Calibri"/>
                <w:sz w:val="21"/>
                <w:szCs w:val="21"/>
              </w:rPr>
            </w:pPr>
          </w:p>
        </w:tc>
        <w:tc>
          <w:tcPr>
            <w:tcW w:w="5676" w:type="dxa"/>
            <w:shd w:val="clear" w:color="auto" w:fill="FFFFFF" w:themeFill="background1"/>
            <w:vAlign w:val="center"/>
          </w:tcPr>
          <w:p w:rsidRPr="00A6540C" w:rsidR="00107C44" w:rsidP="00BB05E2" w:rsidRDefault="00107C44" w14:paraId="240E1FD5" w14:textId="77777777">
            <w:pPr>
              <w:rPr>
                <w:sz w:val="21"/>
                <w:szCs w:val="21"/>
              </w:rPr>
            </w:pPr>
            <w:r w:rsidRPr="00A6540C">
              <w:rPr>
                <w:sz w:val="21"/>
                <w:szCs w:val="21"/>
              </w:rPr>
              <w:t>Unique name or ID for the individual vent to the atmosphere</w:t>
            </w:r>
          </w:p>
        </w:tc>
        <w:tc>
          <w:tcPr>
            <w:tcW w:w="716" w:type="dxa"/>
            <w:shd w:val="clear" w:color="auto" w:fill="FFFFFF" w:themeFill="background1"/>
            <w:vAlign w:val="center"/>
          </w:tcPr>
          <w:p w:rsidRPr="00A6540C" w:rsidR="00107C44" w:rsidP="00BB05E2" w:rsidRDefault="00107C44" w14:paraId="4CE7EBF8" w14:textId="77777777">
            <w:pPr>
              <w:jc w:val="center"/>
              <w:rPr>
                <w:rFonts w:cs="Calibri"/>
                <w:sz w:val="21"/>
                <w:szCs w:val="21"/>
              </w:rPr>
            </w:pPr>
            <w:r w:rsidRPr="00A6540C">
              <w:rPr>
                <w:rFonts w:cs="Calibri"/>
                <w:sz w:val="21"/>
                <w:szCs w:val="21"/>
              </w:rPr>
              <w:t>X</w:t>
            </w:r>
          </w:p>
        </w:tc>
      </w:tr>
      <w:tr w:rsidRPr="00A6540C" w:rsidR="00107C44" w:rsidTr="00FD3CB7" w14:paraId="58B25B7C" w14:textId="77777777">
        <w:trPr>
          <w:trHeight w:val="188"/>
        </w:trPr>
        <w:tc>
          <w:tcPr>
            <w:tcW w:w="1436" w:type="dxa"/>
            <w:vMerge/>
            <w:shd w:val="clear" w:color="auto" w:fill="FFFFFF" w:themeFill="background1"/>
            <w:vAlign w:val="center"/>
          </w:tcPr>
          <w:p w:rsidRPr="00A6540C" w:rsidR="00107C44" w:rsidP="00BB05E2" w:rsidRDefault="00107C44" w14:paraId="5A2A6810" w14:textId="77777777">
            <w:pPr>
              <w:rPr>
                <w:rFonts w:cs="Calibri"/>
                <w:sz w:val="21"/>
                <w:szCs w:val="21"/>
              </w:rPr>
            </w:pPr>
          </w:p>
        </w:tc>
        <w:tc>
          <w:tcPr>
            <w:tcW w:w="1532" w:type="dxa"/>
            <w:vMerge/>
            <w:shd w:val="clear" w:color="auto" w:fill="FFFFFF" w:themeFill="background1"/>
            <w:vAlign w:val="center"/>
          </w:tcPr>
          <w:p w:rsidRPr="00A6540C" w:rsidR="00107C44" w:rsidP="00BB05E2" w:rsidRDefault="00107C44" w14:paraId="27E70841" w14:textId="77777777">
            <w:pPr>
              <w:rPr>
                <w:rFonts w:cs="Calibri"/>
                <w:sz w:val="21"/>
                <w:szCs w:val="21"/>
              </w:rPr>
            </w:pPr>
          </w:p>
        </w:tc>
        <w:tc>
          <w:tcPr>
            <w:tcW w:w="5676" w:type="dxa"/>
            <w:shd w:val="clear" w:color="auto" w:fill="FFFFFF" w:themeFill="background1"/>
            <w:vAlign w:val="center"/>
          </w:tcPr>
          <w:p w:rsidRPr="00A6540C" w:rsidR="00107C44" w:rsidP="00BB05E2" w:rsidRDefault="00107C44" w14:paraId="6534624E" w14:textId="77777777">
            <w:pPr>
              <w:rPr>
                <w:sz w:val="21"/>
                <w:szCs w:val="21"/>
              </w:rPr>
            </w:pPr>
            <w:r w:rsidRPr="00A6540C">
              <w:rPr>
                <w:sz w:val="21"/>
                <w:szCs w:val="21"/>
              </w:rPr>
              <w:t>Flow rate based on measurement type:</w:t>
            </w:r>
          </w:p>
        </w:tc>
        <w:tc>
          <w:tcPr>
            <w:tcW w:w="716" w:type="dxa"/>
            <w:shd w:val="clear" w:color="auto" w:fill="FFFFFF" w:themeFill="background1"/>
            <w:vAlign w:val="center"/>
          </w:tcPr>
          <w:p w:rsidRPr="00A6540C" w:rsidR="00107C44" w:rsidP="00BB05E2" w:rsidRDefault="00107C44" w14:paraId="25AC291F" w14:textId="77777777">
            <w:pPr>
              <w:jc w:val="center"/>
              <w:rPr>
                <w:rFonts w:cs="Calibri"/>
                <w:sz w:val="21"/>
                <w:szCs w:val="21"/>
              </w:rPr>
            </w:pPr>
          </w:p>
        </w:tc>
      </w:tr>
      <w:tr w:rsidRPr="00A6540C" w:rsidR="00107C44" w:rsidTr="00FD3CB7" w14:paraId="19C1AAD6" w14:textId="77777777">
        <w:trPr>
          <w:trHeight w:val="260"/>
        </w:trPr>
        <w:tc>
          <w:tcPr>
            <w:tcW w:w="1436" w:type="dxa"/>
            <w:vMerge/>
            <w:shd w:val="clear" w:color="auto" w:fill="FFFFFF" w:themeFill="background1"/>
            <w:vAlign w:val="center"/>
          </w:tcPr>
          <w:p w:rsidRPr="00A6540C" w:rsidR="00107C44" w:rsidP="00BB05E2" w:rsidRDefault="00107C44" w14:paraId="4D6C79FD" w14:textId="77777777">
            <w:pPr>
              <w:rPr>
                <w:rFonts w:cs="Calibri"/>
                <w:sz w:val="21"/>
                <w:szCs w:val="21"/>
              </w:rPr>
            </w:pPr>
          </w:p>
        </w:tc>
        <w:tc>
          <w:tcPr>
            <w:tcW w:w="1532" w:type="dxa"/>
            <w:vMerge/>
            <w:shd w:val="clear" w:color="auto" w:fill="FFFFFF" w:themeFill="background1"/>
            <w:vAlign w:val="center"/>
          </w:tcPr>
          <w:p w:rsidRPr="00A6540C" w:rsidR="00107C44" w:rsidP="00BB05E2" w:rsidRDefault="00107C44" w14:paraId="5590C5DC" w14:textId="77777777">
            <w:pPr>
              <w:rPr>
                <w:rFonts w:cs="Calibri"/>
                <w:sz w:val="21"/>
                <w:szCs w:val="21"/>
              </w:rPr>
            </w:pPr>
          </w:p>
        </w:tc>
        <w:tc>
          <w:tcPr>
            <w:tcW w:w="5676" w:type="dxa"/>
            <w:shd w:val="clear" w:color="auto" w:fill="FFFFFF" w:themeFill="background1"/>
            <w:vAlign w:val="center"/>
          </w:tcPr>
          <w:p w:rsidRPr="00A6540C" w:rsidR="00107C44" w:rsidP="00BE5B33" w:rsidRDefault="00107C44" w14:paraId="2E0378CB" w14:textId="77777777">
            <w:pPr>
              <w:numPr>
                <w:ilvl w:val="0"/>
                <w:numId w:val="13"/>
              </w:numPr>
              <w:spacing w:after="0"/>
              <w:ind w:left="361"/>
              <w:contextualSpacing/>
              <w:rPr>
                <w:rFonts w:eastAsiaTheme="minorEastAsia" w:cstheme="minorBidi"/>
                <w:sz w:val="21"/>
                <w:szCs w:val="21"/>
              </w:rPr>
            </w:pPr>
            <w:r w:rsidRPr="00A6540C">
              <w:rPr>
                <w:rFonts w:eastAsiaTheme="minorEastAsia" w:cstheme="minorBidi"/>
                <w:sz w:val="21"/>
                <w:szCs w:val="21"/>
              </w:rPr>
              <w:t xml:space="preserve">As found: Measured flow rate (scfh) </w:t>
            </w:r>
          </w:p>
        </w:tc>
        <w:tc>
          <w:tcPr>
            <w:tcW w:w="716" w:type="dxa"/>
            <w:shd w:val="clear" w:color="auto" w:fill="FFFFFF" w:themeFill="background1"/>
            <w:vAlign w:val="center"/>
          </w:tcPr>
          <w:p w:rsidRPr="00A6540C" w:rsidR="00107C44" w:rsidP="00BB05E2" w:rsidRDefault="00107C44" w14:paraId="563DBE7D" w14:textId="77777777">
            <w:pPr>
              <w:jc w:val="center"/>
              <w:rPr>
                <w:rFonts w:cs="Calibri"/>
                <w:sz w:val="21"/>
                <w:szCs w:val="21"/>
              </w:rPr>
            </w:pPr>
            <w:r w:rsidRPr="00A6540C">
              <w:rPr>
                <w:rFonts w:cs="Calibri"/>
                <w:sz w:val="21"/>
                <w:szCs w:val="21"/>
              </w:rPr>
              <w:t>X</w:t>
            </w:r>
          </w:p>
        </w:tc>
      </w:tr>
      <w:tr w:rsidRPr="00A6540C" w:rsidR="00107C44" w:rsidTr="00FD3CB7" w14:paraId="7C320BCA" w14:textId="77777777">
        <w:trPr>
          <w:trHeight w:val="377"/>
        </w:trPr>
        <w:tc>
          <w:tcPr>
            <w:tcW w:w="1436" w:type="dxa"/>
            <w:vMerge/>
            <w:shd w:val="clear" w:color="auto" w:fill="FFFFFF" w:themeFill="background1"/>
            <w:vAlign w:val="center"/>
          </w:tcPr>
          <w:p w:rsidRPr="00A6540C" w:rsidR="00107C44" w:rsidP="00BB05E2" w:rsidRDefault="00107C44" w14:paraId="35C39D06" w14:textId="77777777">
            <w:pPr>
              <w:rPr>
                <w:rFonts w:cs="Calibri"/>
                <w:sz w:val="21"/>
                <w:szCs w:val="21"/>
              </w:rPr>
            </w:pPr>
          </w:p>
        </w:tc>
        <w:tc>
          <w:tcPr>
            <w:tcW w:w="1532" w:type="dxa"/>
            <w:vMerge/>
            <w:shd w:val="clear" w:color="auto" w:fill="FFFFFF" w:themeFill="background1"/>
            <w:vAlign w:val="center"/>
          </w:tcPr>
          <w:p w:rsidRPr="00A6540C" w:rsidR="00107C44" w:rsidP="00BB05E2" w:rsidRDefault="00107C44" w14:paraId="2C6BBB62" w14:textId="77777777">
            <w:pPr>
              <w:rPr>
                <w:rFonts w:cs="Calibri"/>
                <w:sz w:val="21"/>
                <w:szCs w:val="21"/>
              </w:rPr>
            </w:pPr>
          </w:p>
        </w:tc>
        <w:tc>
          <w:tcPr>
            <w:tcW w:w="5676" w:type="dxa"/>
            <w:shd w:val="clear" w:color="auto" w:fill="FFFFFF" w:themeFill="background1"/>
            <w:vAlign w:val="center"/>
          </w:tcPr>
          <w:p w:rsidRPr="00A6540C" w:rsidR="00107C44" w:rsidP="00BE5B33" w:rsidRDefault="00107C44" w14:paraId="3C006E07" w14:textId="77777777">
            <w:pPr>
              <w:numPr>
                <w:ilvl w:val="0"/>
                <w:numId w:val="13"/>
              </w:numPr>
              <w:spacing w:after="0"/>
              <w:ind w:left="361"/>
              <w:contextualSpacing/>
              <w:rPr>
                <w:rFonts w:eastAsiaTheme="minorEastAsia" w:cstheme="minorBidi"/>
                <w:sz w:val="21"/>
                <w:szCs w:val="21"/>
              </w:rPr>
            </w:pPr>
            <w:r w:rsidRPr="00A6540C">
              <w:rPr>
                <w:rFonts w:eastAsiaTheme="minorEastAsia" w:cstheme="minorBidi"/>
                <w:sz w:val="21"/>
                <w:szCs w:val="21"/>
              </w:rPr>
              <w:t xml:space="preserve">Continuous: Measured volume of flow during the reporting year (MMscf) </w:t>
            </w:r>
          </w:p>
        </w:tc>
        <w:tc>
          <w:tcPr>
            <w:tcW w:w="716" w:type="dxa"/>
            <w:shd w:val="clear" w:color="auto" w:fill="FFFFFF" w:themeFill="background1"/>
            <w:vAlign w:val="center"/>
          </w:tcPr>
          <w:p w:rsidRPr="00A6540C" w:rsidR="00107C44" w:rsidP="00BB05E2" w:rsidRDefault="00107C44" w14:paraId="7789CAB2" w14:textId="77777777">
            <w:pPr>
              <w:jc w:val="center"/>
              <w:rPr>
                <w:rFonts w:cs="Calibri"/>
                <w:sz w:val="21"/>
                <w:szCs w:val="21"/>
              </w:rPr>
            </w:pPr>
            <w:r w:rsidRPr="00A6540C">
              <w:rPr>
                <w:rFonts w:cs="Calibri"/>
                <w:sz w:val="21"/>
                <w:szCs w:val="21"/>
              </w:rPr>
              <w:t>X</w:t>
            </w:r>
          </w:p>
        </w:tc>
      </w:tr>
      <w:tr w:rsidRPr="00A6540C" w:rsidR="00107C44" w:rsidTr="00FD3CB7" w14:paraId="0BB0084F" w14:textId="77777777">
        <w:trPr>
          <w:trHeight w:val="260"/>
        </w:trPr>
        <w:tc>
          <w:tcPr>
            <w:tcW w:w="1436" w:type="dxa"/>
            <w:vMerge/>
            <w:shd w:val="clear" w:color="auto" w:fill="FFFFFF" w:themeFill="background1"/>
            <w:vAlign w:val="center"/>
          </w:tcPr>
          <w:p w:rsidRPr="00A6540C" w:rsidR="00107C44" w:rsidP="00BB05E2" w:rsidRDefault="00107C44" w14:paraId="26FB51C6" w14:textId="77777777">
            <w:pPr>
              <w:rPr>
                <w:rFonts w:cs="Calibri"/>
                <w:sz w:val="21"/>
                <w:szCs w:val="21"/>
              </w:rPr>
            </w:pPr>
          </w:p>
        </w:tc>
        <w:tc>
          <w:tcPr>
            <w:tcW w:w="1532" w:type="dxa"/>
            <w:vMerge/>
            <w:shd w:val="clear" w:color="auto" w:fill="FFFFFF" w:themeFill="background1"/>
            <w:vAlign w:val="center"/>
          </w:tcPr>
          <w:p w:rsidRPr="00A6540C" w:rsidR="00107C44" w:rsidP="00BB05E2" w:rsidRDefault="00107C44" w14:paraId="127CE97B" w14:textId="77777777">
            <w:pPr>
              <w:rPr>
                <w:rFonts w:cs="Calibri"/>
                <w:sz w:val="21"/>
                <w:szCs w:val="21"/>
              </w:rPr>
            </w:pPr>
          </w:p>
        </w:tc>
        <w:tc>
          <w:tcPr>
            <w:tcW w:w="5676" w:type="dxa"/>
            <w:shd w:val="clear" w:color="auto" w:fill="auto"/>
            <w:vAlign w:val="center"/>
          </w:tcPr>
          <w:p w:rsidRPr="00A6540C" w:rsidR="00107C44" w:rsidP="00BB05E2" w:rsidRDefault="00107C44" w14:paraId="5D15D146" w14:textId="77777777">
            <w:pPr>
              <w:rPr>
                <w:sz w:val="21"/>
                <w:szCs w:val="21"/>
              </w:rPr>
            </w:pPr>
            <w:r w:rsidRPr="00A6540C">
              <w:rPr>
                <w:sz w:val="21"/>
                <w:szCs w:val="21"/>
              </w:rPr>
              <w:t>Annual CH</w:t>
            </w:r>
            <w:r w:rsidRPr="00A6540C">
              <w:rPr>
                <w:sz w:val="21"/>
                <w:szCs w:val="21"/>
                <w:vertAlign w:val="subscript"/>
              </w:rPr>
              <w:t>4</w:t>
            </w:r>
            <w:r w:rsidRPr="00A6540C">
              <w:rPr>
                <w:sz w:val="21"/>
                <w:szCs w:val="21"/>
              </w:rPr>
              <w:t xml:space="preserve"> emissions (mt CH</w:t>
            </w:r>
            <w:r w:rsidRPr="00A6540C">
              <w:rPr>
                <w:sz w:val="21"/>
                <w:szCs w:val="21"/>
                <w:vertAlign w:val="subscript"/>
              </w:rPr>
              <w:t>4</w:t>
            </w:r>
            <w:r w:rsidRPr="00A6540C">
              <w:rPr>
                <w:sz w:val="21"/>
                <w:szCs w:val="21"/>
              </w:rPr>
              <w:t>)</w:t>
            </w:r>
          </w:p>
        </w:tc>
        <w:tc>
          <w:tcPr>
            <w:tcW w:w="716" w:type="dxa"/>
            <w:shd w:val="clear" w:color="auto" w:fill="FFFFFF" w:themeFill="background1"/>
            <w:vAlign w:val="center"/>
          </w:tcPr>
          <w:p w:rsidRPr="00A6540C" w:rsidR="00107C44" w:rsidP="00BB05E2" w:rsidRDefault="00107C44" w14:paraId="290A501C" w14:textId="77777777">
            <w:pPr>
              <w:jc w:val="center"/>
              <w:rPr>
                <w:rFonts w:cs="Calibri"/>
                <w:sz w:val="21"/>
                <w:szCs w:val="21"/>
              </w:rPr>
            </w:pPr>
            <w:r w:rsidRPr="00A6540C">
              <w:rPr>
                <w:rFonts w:cs="Calibri"/>
                <w:sz w:val="21"/>
                <w:szCs w:val="21"/>
              </w:rPr>
              <w:t>X</w:t>
            </w:r>
          </w:p>
        </w:tc>
      </w:tr>
      <w:tr w:rsidRPr="00A6540C" w:rsidR="00107C44" w:rsidTr="00FD3CB7" w14:paraId="4C802F52" w14:textId="77777777">
        <w:trPr>
          <w:trHeight w:val="321"/>
        </w:trPr>
        <w:tc>
          <w:tcPr>
            <w:tcW w:w="1436" w:type="dxa"/>
            <w:vMerge/>
            <w:shd w:val="clear" w:color="auto" w:fill="FFFFFF" w:themeFill="background1"/>
            <w:vAlign w:val="center"/>
          </w:tcPr>
          <w:p w:rsidRPr="00A6540C" w:rsidR="00107C44" w:rsidP="00BB05E2" w:rsidRDefault="00107C44" w14:paraId="7B3B72C5" w14:textId="77777777">
            <w:pPr>
              <w:rPr>
                <w:rFonts w:cs="Calibri"/>
                <w:sz w:val="21"/>
                <w:szCs w:val="21"/>
              </w:rPr>
            </w:pPr>
          </w:p>
        </w:tc>
        <w:tc>
          <w:tcPr>
            <w:tcW w:w="1532" w:type="dxa"/>
            <w:vMerge w:val="restart"/>
            <w:shd w:val="clear" w:color="auto" w:fill="FFFFFF" w:themeFill="background1"/>
            <w:vAlign w:val="center"/>
          </w:tcPr>
          <w:p w:rsidRPr="00A6540C" w:rsidR="00107C44" w:rsidP="00BB05E2" w:rsidRDefault="00107C44" w14:paraId="32AEF8FC" w14:textId="77777777">
            <w:pPr>
              <w:rPr>
                <w:rFonts w:cs="Calibri"/>
                <w:sz w:val="21"/>
                <w:szCs w:val="21"/>
              </w:rPr>
            </w:pPr>
            <w:r w:rsidRPr="00A6540C">
              <w:rPr>
                <w:rFonts w:cs="Calibri"/>
                <w:sz w:val="21"/>
                <w:szCs w:val="21"/>
              </w:rPr>
              <w:t>Site-specific EF</w:t>
            </w:r>
            <w:r w:rsidRPr="00A6540C">
              <w:rPr>
                <w:rFonts w:cs="Calibri"/>
                <w:sz w:val="21"/>
                <w:szCs w:val="21"/>
                <w:vertAlign w:val="superscript"/>
              </w:rPr>
              <w:footnoteReference w:id="46"/>
            </w:r>
          </w:p>
        </w:tc>
        <w:tc>
          <w:tcPr>
            <w:tcW w:w="5676" w:type="dxa"/>
            <w:shd w:val="clear" w:color="auto" w:fill="FFFFFF" w:themeFill="background1"/>
            <w:vAlign w:val="center"/>
          </w:tcPr>
          <w:p w:rsidRPr="00A6540C" w:rsidR="00107C44" w:rsidP="00BB05E2" w:rsidRDefault="00107C44" w14:paraId="7D92BA7A" w14:textId="77777777">
            <w:pPr>
              <w:rPr>
                <w:sz w:val="21"/>
                <w:szCs w:val="21"/>
              </w:rPr>
            </w:pPr>
            <w:r w:rsidRPr="00A6540C">
              <w:rPr>
                <w:sz w:val="21"/>
                <w:szCs w:val="21"/>
              </w:rPr>
              <w:t>Unique name or ID for the compressor</w:t>
            </w:r>
          </w:p>
        </w:tc>
        <w:tc>
          <w:tcPr>
            <w:tcW w:w="716" w:type="dxa"/>
            <w:shd w:val="clear" w:color="auto" w:fill="FFFFFF" w:themeFill="background1"/>
            <w:vAlign w:val="center"/>
          </w:tcPr>
          <w:p w:rsidRPr="00A6540C" w:rsidR="00107C44" w:rsidP="00BB05E2" w:rsidRDefault="00107C44" w14:paraId="0108DFD9" w14:textId="77777777">
            <w:pPr>
              <w:jc w:val="center"/>
              <w:rPr>
                <w:rFonts w:cs="Calibri"/>
                <w:sz w:val="21"/>
                <w:szCs w:val="21"/>
              </w:rPr>
            </w:pPr>
            <w:r w:rsidRPr="00A6540C">
              <w:rPr>
                <w:rFonts w:cs="Calibri"/>
                <w:sz w:val="21"/>
                <w:szCs w:val="21"/>
              </w:rPr>
              <w:t>X</w:t>
            </w:r>
          </w:p>
        </w:tc>
      </w:tr>
      <w:tr w:rsidRPr="00A6540C" w:rsidR="00107C44" w:rsidTr="00FD3CB7" w14:paraId="4F94B2C9" w14:textId="77777777">
        <w:trPr>
          <w:trHeight w:val="321"/>
        </w:trPr>
        <w:tc>
          <w:tcPr>
            <w:tcW w:w="1436" w:type="dxa"/>
            <w:vMerge/>
            <w:shd w:val="clear" w:color="auto" w:fill="FFFFFF" w:themeFill="background1"/>
            <w:vAlign w:val="center"/>
          </w:tcPr>
          <w:p w:rsidRPr="00A6540C" w:rsidR="00107C44" w:rsidP="00BB05E2" w:rsidRDefault="00107C44" w14:paraId="6CA42C10" w14:textId="77777777">
            <w:pPr>
              <w:rPr>
                <w:rFonts w:cs="Calibri"/>
                <w:sz w:val="21"/>
                <w:szCs w:val="21"/>
              </w:rPr>
            </w:pPr>
          </w:p>
        </w:tc>
        <w:tc>
          <w:tcPr>
            <w:tcW w:w="1532" w:type="dxa"/>
            <w:vMerge/>
            <w:shd w:val="clear" w:color="auto" w:fill="FFFFFF" w:themeFill="background1"/>
            <w:vAlign w:val="center"/>
          </w:tcPr>
          <w:p w:rsidRPr="00A6540C" w:rsidR="00107C44" w:rsidP="00BB05E2" w:rsidRDefault="00107C44" w14:paraId="713B4DDB" w14:textId="77777777">
            <w:pPr>
              <w:rPr>
                <w:rFonts w:cs="Calibri"/>
                <w:sz w:val="21"/>
                <w:szCs w:val="21"/>
              </w:rPr>
            </w:pPr>
          </w:p>
        </w:tc>
        <w:tc>
          <w:tcPr>
            <w:tcW w:w="5676" w:type="dxa"/>
            <w:tcBorders>
              <w:bottom w:val="single" w:color="auto" w:sz="4" w:space="0"/>
            </w:tcBorders>
            <w:shd w:val="clear" w:color="auto" w:fill="FFFFFF" w:themeFill="background1"/>
            <w:vAlign w:val="center"/>
          </w:tcPr>
          <w:p w:rsidRPr="00A6540C" w:rsidR="00107C44" w:rsidP="00BB05E2" w:rsidRDefault="00107C44" w14:paraId="0B26C811" w14:textId="77777777">
            <w:pPr>
              <w:rPr>
                <w:sz w:val="21"/>
                <w:szCs w:val="21"/>
              </w:rPr>
            </w:pPr>
            <w:r w:rsidRPr="00A6540C">
              <w:rPr>
                <w:sz w:val="21"/>
                <w:szCs w:val="21"/>
              </w:rPr>
              <w:t>Unique name or ID for the individual vent to the atmosphere</w:t>
            </w:r>
          </w:p>
        </w:tc>
        <w:tc>
          <w:tcPr>
            <w:tcW w:w="716" w:type="dxa"/>
            <w:tcBorders>
              <w:bottom w:val="single" w:color="auto" w:sz="4" w:space="0"/>
            </w:tcBorders>
            <w:shd w:val="clear" w:color="auto" w:fill="FFFFFF" w:themeFill="background1"/>
            <w:vAlign w:val="center"/>
          </w:tcPr>
          <w:p w:rsidRPr="00A6540C" w:rsidR="00107C44" w:rsidP="00BB05E2" w:rsidRDefault="00107C44" w14:paraId="69D5F13D" w14:textId="77777777">
            <w:pPr>
              <w:jc w:val="center"/>
              <w:rPr>
                <w:rFonts w:cs="Calibri"/>
                <w:sz w:val="21"/>
                <w:szCs w:val="21"/>
              </w:rPr>
            </w:pPr>
            <w:r w:rsidRPr="00A6540C">
              <w:rPr>
                <w:rFonts w:cs="Calibri"/>
                <w:sz w:val="21"/>
                <w:szCs w:val="21"/>
              </w:rPr>
              <w:t>X</w:t>
            </w:r>
          </w:p>
        </w:tc>
      </w:tr>
      <w:tr w:rsidRPr="00A6540C" w:rsidR="00107C44" w:rsidTr="00FD3CB7" w14:paraId="46144B32" w14:textId="77777777">
        <w:trPr>
          <w:trHeight w:val="170"/>
        </w:trPr>
        <w:tc>
          <w:tcPr>
            <w:tcW w:w="1436" w:type="dxa"/>
            <w:vMerge/>
            <w:shd w:val="clear" w:color="auto" w:fill="D9D9D9" w:themeFill="background1" w:themeFillShade="D9"/>
            <w:vAlign w:val="center"/>
          </w:tcPr>
          <w:p w:rsidRPr="00A6540C" w:rsidR="00107C44" w:rsidP="00BB05E2" w:rsidRDefault="00107C44" w14:paraId="169BAC01" w14:textId="77777777">
            <w:pPr>
              <w:rPr>
                <w:rFonts w:cs="Calibri"/>
                <w:sz w:val="21"/>
                <w:szCs w:val="21"/>
              </w:rPr>
            </w:pPr>
          </w:p>
        </w:tc>
        <w:tc>
          <w:tcPr>
            <w:tcW w:w="1532" w:type="dxa"/>
            <w:vMerge/>
            <w:shd w:val="clear" w:color="auto" w:fill="D9D9D9" w:themeFill="background1" w:themeFillShade="D9"/>
            <w:vAlign w:val="center"/>
          </w:tcPr>
          <w:p w:rsidRPr="00A6540C" w:rsidR="00107C44" w:rsidP="00BB05E2" w:rsidRDefault="00107C44" w14:paraId="6D2253D0" w14:textId="77777777">
            <w:pPr>
              <w:rPr>
                <w:rFonts w:cs="Calibri"/>
                <w:sz w:val="21"/>
                <w:szCs w:val="21"/>
              </w:rPr>
            </w:pPr>
          </w:p>
        </w:tc>
        <w:tc>
          <w:tcPr>
            <w:tcW w:w="5676" w:type="dxa"/>
            <w:shd w:val="clear" w:color="auto" w:fill="FFFFFF" w:themeFill="background1"/>
            <w:vAlign w:val="center"/>
          </w:tcPr>
          <w:p w:rsidRPr="00A6540C" w:rsidR="00107C44" w:rsidP="00BB05E2" w:rsidRDefault="00107C44" w14:paraId="58F64E45" w14:textId="77777777">
            <w:pPr>
              <w:rPr>
                <w:sz w:val="21"/>
                <w:szCs w:val="21"/>
              </w:rPr>
            </w:pPr>
            <w:r w:rsidRPr="00A6540C">
              <w:rPr>
                <w:sz w:val="21"/>
                <w:szCs w:val="21"/>
              </w:rPr>
              <w:t>Reporter EF (scfh)</w:t>
            </w:r>
          </w:p>
        </w:tc>
        <w:tc>
          <w:tcPr>
            <w:tcW w:w="716" w:type="dxa"/>
            <w:shd w:val="clear" w:color="auto" w:fill="FFFFFF" w:themeFill="background1"/>
            <w:vAlign w:val="center"/>
          </w:tcPr>
          <w:p w:rsidRPr="00A6540C" w:rsidR="00107C44" w:rsidP="00BB05E2" w:rsidRDefault="00107C44" w14:paraId="7C2582B5" w14:textId="77777777">
            <w:pPr>
              <w:jc w:val="center"/>
              <w:rPr>
                <w:rFonts w:cs="Calibri"/>
                <w:sz w:val="21"/>
                <w:szCs w:val="21"/>
              </w:rPr>
            </w:pPr>
            <w:r w:rsidRPr="00A6540C">
              <w:rPr>
                <w:rFonts w:cs="Calibri"/>
                <w:sz w:val="21"/>
                <w:szCs w:val="21"/>
              </w:rPr>
              <w:t>X</w:t>
            </w:r>
          </w:p>
        </w:tc>
      </w:tr>
      <w:tr w:rsidRPr="00A6540C" w:rsidR="00107C44" w:rsidTr="00FD3CB7" w14:paraId="605C3ADC" w14:textId="77777777">
        <w:trPr>
          <w:trHeight w:val="242"/>
        </w:trPr>
        <w:tc>
          <w:tcPr>
            <w:tcW w:w="1436" w:type="dxa"/>
            <w:vMerge/>
            <w:shd w:val="clear" w:color="auto" w:fill="D9D9D9" w:themeFill="background1" w:themeFillShade="D9"/>
            <w:vAlign w:val="center"/>
          </w:tcPr>
          <w:p w:rsidRPr="00A6540C" w:rsidR="00107C44" w:rsidP="00BB05E2" w:rsidRDefault="00107C44" w14:paraId="1395974E" w14:textId="77777777">
            <w:pPr>
              <w:rPr>
                <w:rFonts w:cs="Calibri"/>
                <w:sz w:val="21"/>
                <w:szCs w:val="21"/>
              </w:rPr>
            </w:pPr>
          </w:p>
        </w:tc>
        <w:tc>
          <w:tcPr>
            <w:tcW w:w="1532" w:type="dxa"/>
            <w:vMerge/>
            <w:shd w:val="clear" w:color="auto" w:fill="D9D9D9" w:themeFill="background1" w:themeFillShade="D9"/>
            <w:vAlign w:val="center"/>
          </w:tcPr>
          <w:p w:rsidRPr="00A6540C" w:rsidR="00107C44" w:rsidP="00BB05E2" w:rsidRDefault="00107C44" w14:paraId="6CDA5284" w14:textId="77777777">
            <w:pPr>
              <w:rPr>
                <w:rFonts w:cs="Calibri"/>
                <w:sz w:val="21"/>
                <w:szCs w:val="21"/>
              </w:rPr>
            </w:pPr>
          </w:p>
        </w:tc>
        <w:tc>
          <w:tcPr>
            <w:tcW w:w="5676" w:type="dxa"/>
            <w:shd w:val="clear" w:color="auto" w:fill="auto"/>
            <w:vAlign w:val="center"/>
          </w:tcPr>
          <w:p w:rsidRPr="00A6540C" w:rsidR="00107C44" w:rsidP="00BB05E2" w:rsidRDefault="00107C44" w14:paraId="0E9C813A" w14:textId="77777777">
            <w:pPr>
              <w:rPr>
                <w:sz w:val="21"/>
                <w:szCs w:val="21"/>
              </w:rPr>
            </w:pPr>
            <w:r w:rsidRPr="00A6540C">
              <w:rPr>
                <w:sz w:val="21"/>
                <w:szCs w:val="21"/>
              </w:rPr>
              <w:t>Number of measured compressors (during the current year and the 2 previous years) from which the reporter EF was developed</w:t>
            </w:r>
          </w:p>
        </w:tc>
        <w:tc>
          <w:tcPr>
            <w:tcW w:w="716" w:type="dxa"/>
            <w:shd w:val="clear" w:color="auto" w:fill="FFFFFF" w:themeFill="background1"/>
            <w:vAlign w:val="center"/>
          </w:tcPr>
          <w:p w:rsidRPr="00A6540C" w:rsidR="00107C44" w:rsidP="00BB05E2" w:rsidRDefault="00107C44" w14:paraId="25163782" w14:textId="77777777">
            <w:pPr>
              <w:jc w:val="center"/>
              <w:rPr>
                <w:rFonts w:cs="Calibri"/>
                <w:sz w:val="21"/>
                <w:szCs w:val="21"/>
              </w:rPr>
            </w:pPr>
            <w:r w:rsidRPr="00A6540C">
              <w:rPr>
                <w:rFonts w:cs="Calibri"/>
                <w:sz w:val="21"/>
                <w:szCs w:val="21"/>
              </w:rPr>
              <w:t>X</w:t>
            </w:r>
          </w:p>
        </w:tc>
      </w:tr>
      <w:tr w:rsidRPr="00A6540C" w:rsidR="00107C44" w:rsidTr="00723DB9" w14:paraId="11209A39" w14:textId="77777777">
        <w:trPr>
          <w:trHeight w:val="321"/>
        </w:trPr>
        <w:tc>
          <w:tcPr>
            <w:tcW w:w="1436" w:type="dxa"/>
            <w:vMerge/>
            <w:shd w:val="clear" w:color="auto" w:fill="D9D9D9" w:themeFill="background1" w:themeFillShade="D9"/>
            <w:vAlign w:val="center"/>
          </w:tcPr>
          <w:p w:rsidRPr="00A6540C" w:rsidR="00107C44" w:rsidP="00BB05E2" w:rsidRDefault="00107C44" w14:paraId="4D4AF272" w14:textId="77777777">
            <w:pPr>
              <w:rPr>
                <w:rFonts w:cs="Calibri"/>
                <w:sz w:val="21"/>
                <w:szCs w:val="21"/>
              </w:rPr>
            </w:pPr>
          </w:p>
        </w:tc>
        <w:tc>
          <w:tcPr>
            <w:tcW w:w="1532" w:type="dxa"/>
            <w:vMerge/>
            <w:tcBorders>
              <w:bottom w:val="single" w:color="auto" w:sz="4" w:space="0"/>
            </w:tcBorders>
            <w:shd w:val="clear" w:color="auto" w:fill="D9D9D9" w:themeFill="background1" w:themeFillShade="D9"/>
            <w:vAlign w:val="center"/>
          </w:tcPr>
          <w:p w:rsidRPr="00A6540C" w:rsidR="00107C44" w:rsidP="00BB05E2" w:rsidRDefault="00107C44" w14:paraId="4F43E82A" w14:textId="77777777">
            <w:pPr>
              <w:rPr>
                <w:rFonts w:cs="Calibri"/>
                <w:sz w:val="21"/>
                <w:szCs w:val="21"/>
              </w:rPr>
            </w:pPr>
          </w:p>
        </w:tc>
        <w:tc>
          <w:tcPr>
            <w:tcW w:w="5676" w:type="dxa"/>
            <w:tcBorders>
              <w:bottom w:val="single" w:color="auto" w:sz="4" w:space="0"/>
            </w:tcBorders>
            <w:shd w:val="clear" w:color="auto" w:fill="auto"/>
            <w:vAlign w:val="center"/>
          </w:tcPr>
          <w:p w:rsidRPr="00A6540C" w:rsidR="00107C44" w:rsidP="00BB05E2" w:rsidRDefault="00107C44" w14:paraId="7B2E6A8C" w14:textId="77777777">
            <w:pPr>
              <w:rPr>
                <w:sz w:val="21"/>
                <w:szCs w:val="21"/>
              </w:rPr>
            </w:pPr>
            <w:r w:rsidRPr="00A6540C">
              <w:rPr>
                <w:sz w:val="21"/>
                <w:szCs w:val="21"/>
              </w:rPr>
              <w:t>Annual CH</w:t>
            </w:r>
            <w:r w:rsidRPr="00A6540C">
              <w:rPr>
                <w:sz w:val="21"/>
                <w:szCs w:val="21"/>
                <w:vertAlign w:val="subscript"/>
              </w:rPr>
              <w:t>4</w:t>
            </w:r>
            <w:r w:rsidRPr="00A6540C">
              <w:rPr>
                <w:sz w:val="21"/>
                <w:szCs w:val="21"/>
              </w:rPr>
              <w:t xml:space="preserve"> emissions (mt CH</w:t>
            </w:r>
            <w:r w:rsidRPr="00A6540C">
              <w:rPr>
                <w:sz w:val="21"/>
                <w:szCs w:val="21"/>
                <w:vertAlign w:val="subscript"/>
              </w:rPr>
              <w:t>4</w:t>
            </w:r>
            <w:r w:rsidRPr="00A6540C">
              <w:rPr>
                <w:sz w:val="21"/>
                <w:szCs w:val="21"/>
              </w:rPr>
              <w:t>)</w:t>
            </w:r>
          </w:p>
        </w:tc>
        <w:tc>
          <w:tcPr>
            <w:tcW w:w="716" w:type="dxa"/>
            <w:tcBorders>
              <w:bottom w:val="single" w:color="auto" w:sz="4" w:space="0"/>
            </w:tcBorders>
            <w:shd w:val="clear" w:color="auto" w:fill="FFFFFF" w:themeFill="background1"/>
            <w:vAlign w:val="center"/>
          </w:tcPr>
          <w:p w:rsidRPr="00A6540C" w:rsidR="00107C44" w:rsidP="00BB05E2" w:rsidRDefault="00107C44" w14:paraId="3EBA6E27" w14:textId="77777777">
            <w:pPr>
              <w:jc w:val="center"/>
              <w:rPr>
                <w:rFonts w:cs="Calibri"/>
                <w:sz w:val="21"/>
                <w:szCs w:val="21"/>
              </w:rPr>
            </w:pPr>
            <w:r w:rsidRPr="00A6540C">
              <w:rPr>
                <w:rFonts w:cs="Calibri"/>
                <w:sz w:val="21"/>
                <w:szCs w:val="21"/>
              </w:rPr>
              <w:t>X</w:t>
            </w:r>
          </w:p>
        </w:tc>
      </w:tr>
      <w:tr w:rsidRPr="00A6540C" w:rsidR="00107C44" w:rsidTr="00BE5B33" w14:paraId="62C2BD01" w14:textId="77777777">
        <w:trPr>
          <w:trHeight w:val="976"/>
        </w:trPr>
        <w:tc>
          <w:tcPr>
            <w:tcW w:w="1436" w:type="dxa"/>
            <w:vMerge/>
            <w:shd w:val="clear" w:color="auto" w:fill="D9D9D9" w:themeFill="background1" w:themeFillShade="D9"/>
            <w:vAlign w:val="center"/>
          </w:tcPr>
          <w:p w:rsidRPr="00A6540C" w:rsidR="00107C44" w:rsidP="00BE5B33" w:rsidRDefault="00107C44" w14:paraId="53307C9B" w14:textId="4CA80CDC">
            <w:pPr>
              <w:rPr>
                <w:rFonts w:cs="Calibri"/>
                <w:sz w:val="21"/>
                <w:szCs w:val="21"/>
              </w:rPr>
            </w:pPr>
          </w:p>
        </w:tc>
        <w:tc>
          <w:tcPr>
            <w:tcW w:w="1532" w:type="dxa"/>
            <w:vMerge w:val="restart"/>
            <w:shd w:val="clear" w:color="auto" w:fill="D9D9D9" w:themeFill="background1" w:themeFillShade="D9"/>
            <w:vAlign w:val="center"/>
          </w:tcPr>
          <w:p w:rsidRPr="00A6540C" w:rsidR="00107C44" w:rsidP="00BE5B33" w:rsidRDefault="00107C44" w14:paraId="06291A75" w14:textId="79EF61F1">
            <w:pPr>
              <w:rPr>
                <w:rFonts w:cs="Calibri"/>
                <w:sz w:val="21"/>
                <w:szCs w:val="21"/>
              </w:rPr>
            </w:pPr>
            <w:r w:rsidRPr="005E6CB3">
              <w:rPr>
                <w:rFonts w:cs="Calibri"/>
                <w:sz w:val="21"/>
                <w:szCs w:val="21"/>
                <w:highlight w:val="yellow"/>
              </w:rPr>
              <w:t xml:space="preserve">Alternate calculation method </w:t>
            </w:r>
            <w:r w:rsidRPr="00F41A9B">
              <w:rPr>
                <w:highlight w:val="yellow"/>
              </w:rPr>
              <w:t xml:space="preserve">for </w:t>
            </w:r>
            <w:r w:rsidRPr="00F41A9B">
              <w:rPr>
                <w:b/>
                <w:bCs/>
                <w:highlight w:val="yellow"/>
              </w:rPr>
              <w:t>facilities not reporting to Subpart W only</w:t>
            </w:r>
            <w:r w:rsidRPr="0025283C">
              <w:rPr>
                <w:rStyle w:val="FootnoteReference"/>
                <w:rFonts w:cs="Calibri"/>
                <w:sz w:val="21"/>
                <w:szCs w:val="21"/>
                <w:highlight w:val="yellow"/>
              </w:rPr>
              <w:t xml:space="preserve"> </w:t>
            </w:r>
            <w:r w:rsidRPr="005E6CB3">
              <w:rPr>
                <w:rStyle w:val="FootnoteReference"/>
                <w:rFonts w:cs="Calibri"/>
                <w:sz w:val="21"/>
                <w:szCs w:val="21"/>
                <w:highlight w:val="yellow"/>
              </w:rPr>
              <w:footnoteReference w:id="47"/>
            </w:r>
          </w:p>
        </w:tc>
        <w:tc>
          <w:tcPr>
            <w:tcW w:w="5676" w:type="dxa"/>
            <w:tcBorders>
              <w:bottom w:val="single" w:color="auto" w:sz="4" w:space="0"/>
            </w:tcBorders>
            <w:shd w:val="clear" w:color="auto" w:fill="auto"/>
            <w:vAlign w:val="center"/>
          </w:tcPr>
          <w:p w:rsidRPr="00A6540C" w:rsidR="00107C44" w:rsidP="00BE5B33" w:rsidRDefault="00107C44" w14:paraId="71E8AD4D" w14:textId="1D5DEA2C">
            <w:pPr>
              <w:rPr>
                <w:sz w:val="21"/>
                <w:szCs w:val="21"/>
              </w:rPr>
            </w:pPr>
            <w:r w:rsidRPr="005E6CB3">
              <w:rPr>
                <w:szCs w:val="22"/>
                <w:highlight w:val="yellow"/>
              </w:rPr>
              <w:t>Number of compressors not reported to Subpart W (i.e., those utilizing the alternate calculation method)</w:t>
            </w:r>
          </w:p>
        </w:tc>
        <w:tc>
          <w:tcPr>
            <w:tcW w:w="716" w:type="dxa"/>
            <w:tcBorders>
              <w:bottom w:val="single" w:color="auto" w:sz="4" w:space="0"/>
            </w:tcBorders>
            <w:shd w:val="clear" w:color="auto" w:fill="FFFFFF" w:themeFill="background1"/>
            <w:vAlign w:val="center"/>
          </w:tcPr>
          <w:p w:rsidRPr="00A6540C" w:rsidR="00107C44" w:rsidP="00BE5B33" w:rsidRDefault="00107C44" w14:paraId="064D6906" w14:textId="77777777">
            <w:pPr>
              <w:jc w:val="center"/>
              <w:rPr>
                <w:rFonts w:cs="Calibri"/>
                <w:sz w:val="21"/>
                <w:szCs w:val="21"/>
              </w:rPr>
            </w:pPr>
          </w:p>
        </w:tc>
      </w:tr>
      <w:tr w:rsidRPr="00A6540C" w:rsidR="00107C44" w:rsidTr="00BE5B33" w14:paraId="0ABD9A40" w14:textId="77777777">
        <w:trPr>
          <w:trHeight w:val="977"/>
        </w:trPr>
        <w:tc>
          <w:tcPr>
            <w:tcW w:w="1436" w:type="dxa"/>
            <w:vMerge/>
            <w:tcBorders>
              <w:bottom w:val="single" w:color="auto" w:sz="4" w:space="0"/>
            </w:tcBorders>
            <w:shd w:val="clear" w:color="auto" w:fill="D9D9D9" w:themeFill="background1" w:themeFillShade="D9"/>
            <w:vAlign w:val="center"/>
          </w:tcPr>
          <w:p w:rsidRPr="00A6540C" w:rsidR="00107C44" w:rsidP="00BE5B33" w:rsidRDefault="00107C44" w14:paraId="55101698" w14:textId="77777777">
            <w:pPr>
              <w:rPr>
                <w:rFonts w:cs="Calibri"/>
                <w:sz w:val="21"/>
                <w:szCs w:val="21"/>
              </w:rPr>
            </w:pPr>
          </w:p>
        </w:tc>
        <w:tc>
          <w:tcPr>
            <w:tcW w:w="1532" w:type="dxa"/>
            <w:vMerge/>
            <w:tcBorders>
              <w:bottom w:val="single" w:color="auto" w:sz="4" w:space="0"/>
            </w:tcBorders>
            <w:shd w:val="clear" w:color="auto" w:fill="D9D9D9" w:themeFill="background1" w:themeFillShade="D9"/>
            <w:vAlign w:val="center"/>
          </w:tcPr>
          <w:p w:rsidRPr="00A6540C" w:rsidR="00107C44" w:rsidP="00BE5B33" w:rsidRDefault="00107C44" w14:paraId="653FA340" w14:textId="77777777">
            <w:pPr>
              <w:rPr>
                <w:rFonts w:cs="Calibri"/>
                <w:sz w:val="21"/>
                <w:szCs w:val="21"/>
              </w:rPr>
            </w:pPr>
          </w:p>
        </w:tc>
        <w:tc>
          <w:tcPr>
            <w:tcW w:w="5676" w:type="dxa"/>
            <w:tcBorders>
              <w:bottom w:val="single" w:color="auto" w:sz="4" w:space="0"/>
            </w:tcBorders>
            <w:shd w:val="clear" w:color="auto" w:fill="auto"/>
            <w:vAlign w:val="bottom"/>
          </w:tcPr>
          <w:p w:rsidRPr="00A6540C" w:rsidR="00107C44" w:rsidP="00BE5B33" w:rsidRDefault="00107C44" w14:paraId="5566CCE1" w14:textId="36ED5E8B">
            <w:pPr>
              <w:rPr>
                <w:sz w:val="21"/>
                <w:szCs w:val="21"/>
              </w:rPr>
            </w:pPr>
            <w:r w:rsidRPr="005E6CB3">
              <w:rPr>
                <w:szCs w:val="22"/>
                <w:highlight w:val="yellow"/>
              </w:rPr>
              <w:t>Annual CH</w:t>
            </w:r>
            <w:r w:rsidRPr="005E6CB3">
              <w:rPr>
                <w:szCs w:val="22"/>
                <w:highlight w:val="yellow"/>
                <w:vertAlign w:val="subscript"/>
              </w:rPr>
              <w:t>4</w:t>
            </w:r>
            <w:r w:rsidRPr="005E6CB3">
              <w:rPr>
                <w:szCs w:val="22"/>
                <w:highlight w:val="yellow"/>
              </w:rPr>
              <w:t xml:space="preserve"> emissions using the alternate calculation method </w:t>
            </w:r>
            <w:r w:rsidRPr="005E6CB3">
              <w:rPr>
                <w:rFonts w:cs="Calibri"/>
                <w:szCs w:val="22"/>
                <w:highlight w:val="yellow"/>
              </w:rPr>
              <w:t>(mt CH</w:t>
            </w:r>
            <w:r w:rsidRPr="005E6CB3">
              <w:rPr>
                <w:rFonts w:cs="Calibri"/>
                <w:szCs w:val="22"/>
                <w:highlight w:val="yellow"/>
                <w:vertAlign w:val="subscript"/>
              </w:rPr>
              <w:t>4</w:t>
            </w:r>
            <w:r w:rsidRPr="005E6CB3">
              <w:rPr>
                <w:rFonts w:cs="Calibri"/>
                <w:szCs w:val="22"/>
                <w:highlight w:val="yellow"/>
              </w:rPr>
              <w:t>)</w:t>
            </w:r>
          </w:p>
        </w:tc>
        <w:tc>
          <w:tcPr>
            <w:tcW w:w="716" w:type="dxa"/>
            <w:tcBorders>
              <w:bottom w:val="single" w:color="auto" w:sz="4" w:space="0"/>
            </w:tcBorders>
            <w:shd w:val="clear" w:color="auto" w:fill="FFFFFF" w:themeFill="background1"/>
            <w:vAlign w:val="center"/>
          </w:tcPr>
          <w:p w:rsidRPr="00A6540C" w:rsidR="00107C44" w:rsidP="00BE5B33" w:rsidRDefault="00107C44" w14:paraId="63CEAC87" w14:textId="77777777">
            <w:pPr>
              <w:jc w:val="center"/>
              <w:rPr>
                <w:rFonts w:cs="Calibri"/>
                <w:sz w:val="21"/>
                <w:szCs w:val="21"/>
              </w:rPr>
            </w:pPr>
          </w:p>
        </w:tc>
      </w:tr>
      <w:tr w:rsidRPr="00A6540C" w:rsidR="00BE5B33" w:rsidTr="00FD3CB7" w14:paraId="5DD4E012" w14:textId="77777777">
        <w:tc>
          <w:tcPr>
            <w:tcW w:w="1436" w:type="dxa"/>
            <w:vMerge w:val="restart"/>
            <w:shd w:val="clear" w:color="auto" w:fill="D9D9D9" w:themeFill="background1" w:themeFillShade="D9"/>
            <w:hideMark/>
          </w:tcPr>
          <w:p w:rsidRPr="00A6540C" w:rsidR="00BE5B33" w:rsidP="00BE5B33" w:rsidRDefault="00BE5B33" w14:paraId="2AC93E32" w14:textId="77777777">
            <w:pPr>
              <w:rPr>
                <w:rFonts w:cstheme="minorHAnsi"/>
                <w:sz w:val="21"/>
                <w:szCs w:val="21"/>
              </w:rPr>
            </w:pPr>
            <w:r w:rsidRPr="00A6540C">
              <w:rPr>
                <w:rFonts w:cstheme="minorHAnsi"/>
                <w:sz w:val="21"/>
                <w:szCs w:val="21"/>
              </w:rPr>
              <w:t>Voluntary action to reduce methane emissions during the reporting year</w:t>
            </w:r>
          </w:p>
        </w:tc>
        <w:tc>
          <w:tcPr>
            <w:tcW w:w="1532" w:type="dxa"/>
            <w:vMerge w:val="restart"/>
            <w:shd w:val="clear" w:color="auto" w:fill="D9D9D9" w:themeFill="background1" w:themeFillShade="D9"/>
            <w:vAlign w:val="center"/>
            <w:hideMark/>
          </w:tcPr>
          <w:p w:rsidRPr="00A6540C" w:rsidR="00BE5B33" w:rsidP="00BE5B33" w:rsidRDefault="00BE5B33" w14:paraId="0563D491" w14:textId="77777777">
            <w:pPr>
              <w:rPr>
                <w:rFonts w:cstheme="minorHAnsi"/>
                <w:sz w:val="21"/>
                <w:szCs w:val="21"/>
              </w:rPr>
            </w:pPr>
            <w:r w:rsidRPr="00A6540C">
              <w:rPr>
                <w:rFonts w:cstheme="minorHAnsi"/>
                <w:sz w:val="21"/>
                <w:szCs w:val="21"/>
              </w:rPr>
              <w:t>Difference in emissions before and after mitigation</w:t>
            </w:r>
            <w:r w:rsidRPr="00A6540C">
              <w:rPr>
                <w:rFonts w:cstheme="minorHAnsi"/>
                <w:sz w:val="21"/>
                <w:szCs w:val="21"/>
                <w:vertAlign w:val="superscript"/>
              </w:rPr>
              <w:footnoteReference w:id="48"/>
            </w:r>
            <w:r w:rsidRPr="00A6540C">
              <w:rPr>
                <w:rFonts w:cstheme="minorHAnsi"/>
                <w:sz w:val="21"/>
                <w:szCs w:val="21"/>
              </w:rPr>
              <w:t xml:space="preserve"> </w:t>
            </w:r>
          </w:p>
        </w:tc>
        <w:tc>
          <w:tcPr>
            <w:tcW w:w="5676" w:type="dxa"/>
            <w:shd w:val="clear" w:color="auto" w:fill="D9D9D9" w:themeFill="background1" w:themeFillShade="D9"/>
            <w:vAlign w:val="center"/>
            <w:hideMark/>
          </w:tcPr>
          <w:p w:rsidRPr="00A6540C" w:rsidR="00BE5B33" w:rsidP="00BE5B33" w:rsidRDefault="00BE5B33" w14:paraId="61DE6E54" w14:textId="77777777">
            <w:pPr>
              <w:rPr>
                <w:rFonts w:cstheme="minorHAnsi"/>
                <w:sz w:val="21"/>
                <w:szCs w:val="21"/>
              </w:rPr>
            </w:pPr>
            <w:r w:rsidRPr="00A6540C">
              <w:rPr>
                <w:rFonts w:cstheme="minorHAnsi"/>
                <w:sz w:val="21"/>
                <w:szCs w:val="21"/>
              </w:rPr>
              <w:t xml:space="preserve">Number of wet seal compressor de-gassing vents routed to VRU or beneficial use </w:t>
            </w:r>
            <w:r>
              <w:rPr>
                <w:rFonts w:cstheme="minorHAnsi"/>
                <w:sz w:val="21"/>
                <w:szCs w:val="21"/>
              </w:rPr>
              <w:t>during reporting year</w:t>
            </w:r>
          </w:p>
        </w:tc>
        <w:tc>
          <w:tcPr>
            <w:tcW w:w="716" w:type="dxa"/>
            <w:shd w:val="clear" w:color="auto" w:fill="D9D9D9" w:themeFill="background1" w:themeFillShade="D9"/>
            <w:vAlign w:val="center"/>
          </w:tcPr>
          <w:p w:rsidRPr="00A6540C" w:rsidR="00BE5B33" w:rsidP="00BE5B33" w:rsidRDefault="00BE5B33" w14:paraId="2D3B7A70" w14:textId="77777777">
            <w:pPr>
              <w:jc w:val="center"/>
              <w:rPr>
                <w:rFonts w:cstheme="minorHAnsi"/>
                <w:sz w:val="21"/>
                <w:szCs w:val="21"/>
              </w:rPr>
            </w:pPr>
          </w:p>
        </w:tc>
      </w:tr>
      <w:tr w:rsidRPr="00A6540C" w:rsidR="00BE5B33" w:rsidTr="00FD3CB7" w14:paraId="64CA2086" w14:textId="77777777">
        <w:tc>
          <w:tcPr>
            <w:tcW w:w="1436" w:type="dxa"/>
            <w:vMerge/>
            <w:shd w:val="clear" w:color="auto" w:fill="D9D9D9" w:themeFill="background1" w:themeFillShade="D9"/>
            <w:hideMark/>
          </w:tcPr>
          <w:p w:rsidRPr="00A6540C" w:rsidR="00BE5B33" w:rsidP="00BE5B33" w:rsidRDefault="00BE5B33" w14:paraId="4AA4F405" w14:textId="77777777">
            <w:pPr>
              <w:rPr>
                <w:rFonts w:cstheme="minorHAnsi"/>
                <w:sz w:val="21"/>
                <w:szCs w:val="21"/>
              </w:rPr>
            </w:pPr>
          </w:p>
        </w:tc>
        <w:tc>
          <w:tcPr>
            <w:tcW w:w="1532" w:type="dxa"/>
            <w:vMerge/>
            <w:shd w:val="clear" w:color="auto" w:fill="D9D9D9" w:themeFill="background1" w:themeFillShade="D9"/>
            <w:vAlign w:val="center"/>
            <w:hideMark/>
          </w:tcPr>
          <w:p w:rsidRPr="00A6540C" w:rsidR="00BE5B33" w:rsidP="00BE5B33" w:rsidRDefault="00BE5B33" w14:paraId="353249B8" w14:textId="77777777">
            <w:pPr>
              <w:rPr>
                <w:rFonts w:cstheme="minorHAnsi"/>
                <w:sz w:val="21"/>
                <w:szCs w:val="21"/>
              </w:rPr>
            </w:pPr>
          </w:p>
        </w:tc>
        <w:tc>
          <w:tcPr>
            <w:tcW w:w="5676" w:type="dxa"/>
            <w:shd w:val="clear" w:color="auto" w:fill="D9D9D9" w:themeFill="background1" w:themeFillShade="D9"/>
            <w:vAlign w:val="center"/>
            <w:hideMark/>
          </w:tcPr>
          <w:p w:rsidRPr="00A6540C" w:rsidR="00BE5B33" w:rsidP="00BE5B33" w:rsidRDefault="00BE5B33" w14:paraId="6542F2E1" w14:textId="77777777">
            <w:pPr>
              <w:rPr>
                <w:rFonts w:cstheme="minorHAnsi"/>
                <w:sz w:val="21"/>
                <w:szCs w:val="21"/>
              </w:rPr>
            </w:pPr>
            <w:r w:rsidRPr="00A6540C">
              <w:rPr>
                <w:rFonts w:cstheme="minorHAnsi"/>
                <w:sz w:val="21"/>
                <w:szCs w:val="21"/>
              </w:rPr>
              <w:t>Number of wet seal compressor de-gassing vents routed to flare or control device</w:t>
            </w:r>
            <w:r>
              <w:rPr>
                <w:rFonts w:cstheme="minorHAnsi"/>
                <w:sz w:val="21"/>
                <w:szCs w:val="21"/>
              </w:rPr>
              <w:t xml:space="preserve"> during reporting year</w:t>
            </w:r>
          </w:p>
        </w:tc>
        <w:tc>
          <w:tcPr>
            <w:tcW w:w="716" w:type="dxa"/>
            <w:shd w:val="clear" w:color="auto" w:fill="D9D9D9" w:themeFill="background1" w:themeFillShade="D9"/>
            <w:vAlign w:val="center"/>
          </w:tcPr>
          <w:p w:rsidRPr="00A6540C" w:rsidR="00BE5B33" w:rsidP="00BE5B33" w:rsidRDefault="00BE5B33" w14:paraId="546C962D" w14:textId="77777777">
            <w:pPr>
              <w:jc w:val="center"/>
              <w:rPr>
                <w:rFonts w:cstheme="minorHAnsi"/>
                <w:sz w:val="21"/>
                <w:szCs w:val="21"/>
              </w:rPr>
            </w:pPr>
          </w:p>
        </w:tc>
      </w:tr>
      <w:tr w:rsidRPr="00A6540C" w:rsidR="00BE5B33" w:rsidTr="00FD3CB7" w14:paraId="607DD088" w14:textId="77777777">
        <w:tc>
          <w:tcPr>
            <w:tcW w:w="1436" w:type="dxa"/>
            <w:vMerge/>
            <w:shd w:val="clear" w:color="auto" w:fill="D9D9D9" w:themeFill="background1" w:themeFillShade="D9"/>
          </w:tcPr>
          <w:p w:rsidRPr="00A6540C" w:rsidR="00BE5B33" w:rsidP="00BE5B33" w:rsidRDefault="00BE5B33" w14:paraId="394EAF43" w14:textId="77777777">
            <w:pPr>
              <w:rPr>
                <w:rFonts w:cstheme="minorHAnsi"/>
                <w:sz w:val="21"/>
                <w:szCs w:val="21"/>
              </w:rPr>
            </w:pPr>
          </w:p>
        </w:tc>
        <w:tc>
          <w:tcPr>
            <w:tcW w:w="1532" w:type="dxa"/>
            <w:vMerge/>
            <w:shd w:val="clear" w:color="auto" w:fill="D9D9D9" w:themeFill="background1" w:themeFillShade="D9"/>
            <w:vAlign w:val="center"/>
          </w:tcPr>
          <w:p w:rsidRPr="00A6540C" w:rsidR="00BE5B33" w:rsidP="00BE5B33" w:rsidRDefault="00BE5B33" w14:paraId="1AA67D7A" w14:textId="77777777">
            <w:pPr>
              <w:rPr>
                <w:rFonts w:cstheme="minorHAnsi"/>
                <w:sz w:val="21"/>
                <w:szCs w:val="21"/>
              </w:rPr>
            </w:pPr>
          </w:p>
        </w:tc>
        <w:tc>
          <w:tcPr>
            <w:tcW w:w="5676" w:type="dxa"/>
            <w:shd w:val="clear" w:color="auto" w:fill="D9D9D9" w:themeFill="background1" w:themeFillShade="D9"/>
            <w:vAlign w:val="center"/>
          </w:tcPr>
          <w:p w:rsidRPr="00A6540C" w:rsidR="00BE5B33" w:rsidP="00BE5B33" w:rsidRDefault="00BE5B33" w14:paraId="00286686" w14:textId="77777777">
            <w:pPr>
              <w:rPr>
                <w:rFonts w:cstheme="minorHAnsi"/>
                <w:sz w:val="21"/>
                <w:szCs w:val="21"/>
              </w:rPr>
            </w:pPr>
            <w:r w:rsidRPr="00A6540C">
              <w:rPr>
                <w:rFonts w:cstheme="minorHAnsi"/>
                <w:sz w:val="21"/>
                <w:szCs w:val="21"/>
              </w:rPr>
              <w:t>Number of wet seal compressors converted to dry seal</w:t>
            </w:r>
            <w:r>
              <w:rPr>
                <w:rFonts w:cstheme="minorHAnsi"/>
                <w:sz w:val="21"/>
                <w:szCs w:val="21"/>
              </w:rPr>
              <w:t xml:space="preserve"> </w:t>
            </w:r>
          </w:p>
        </w:tc>
        <w:tc>
          <w:tcPr>
            <w:tcW w:w="716" w:type="dxa"/>
            <w:shd w:val="clear" w:color="auto" w:fill="D9D9D9" w:themeFill="background1" w:themeFillShade="D9"/>
            <w:vAlign w:val="center"/>
          </w:tcPr>
          <w:p w:rsidRPr="00A6540C" w:rsidR="00BE5B33" w:rsidP="00BE5B33" w:rsidRDefault="00BE5B33" w14:paraId="28F1D4CF" w14:textId="77777777">
            <w:pPr>
              <w:jc w:val="center"/>
              <w:rPr>
                <w:rFonts w:cstheme="minorHAnsi"/>
                <w:sz w:val="21"/>
                <w:szCs w:val="21"/>
              </w:rPr>
            </w:pPr>
          </w:p>
        </w:tc>
      </w:tr>
      <w:tr w:rsidRPr="00A6540C" w:rsidR="00BE5B33" w:rsidTr="00FD3CB7" w14:paraId="1D657639" w14:textId="77777777">
        <w:tc>
          <w:tcPr>
            <w:tcW w:w="1436" w:type="dxa"/>
            <w:vMerge/>
            <w:shd w:val="clear" w:color="auto" w:fill="D9D9D9" w:themeFill="background1" w:themeFillShade="D9"/>
            <w:hideMark/>
          </w:tcPr>
          <w:p w:rsidRPr="00A6540C" w:rsidR="00BE5B33" w:rsidP="00BE5B33" w:rsidRDefault="00BE5B33" w14:paraId="55B5D6A2" w14:textId="77777777">
            <w:pPr>
              <w:rPr>
                <w:rFonts w:cstheme="minorHAnsi"/>
                <w:sz w:val="21"/>
                <w:szCs w:val="21"/>
              </w:rPr>
            </w:pPr>
          </w:p>
        </w:tc>
        <w:tc>
          <w:tcPr>
            <w:tcW w:w="1532" w:type="dxa"/>
            <w:vMerge/>
            <w:shd w:val="clear" w:color="auto" w:fill="D9D9D9" w:themeFill="background1" w:themeFillShade="D9"/>
            <w:vAlign w:val="center"/>
            <w:hideMark/>
          </w:tcPr>
          <w:p w:rsidRPr="00A6540C" w:rsidR="00BE5B33" w:rsidP="00BE5B33" w:rsidRDefault="00BE5B33" w14:paraId="3BF7EDE7" w14:textId="77777777">
            <w:pPr>
              <w:rPr>
                <w:rFonts w:cstheme="minorHAnsi"/>
                <w:sz w:val="21"/>
                <w:szCs w:val="21"/>
              </w:rPr>
            </w:pPr>
          </w:p>
        </w:tc>
        <w:tc>
          <w:tcPr>
            <w:tcW w:w="5676" w:type="dxa"/>
            <w:shd w:val="clear" w:color="auto" w:fill="D9D9D9" w:themeFill="background1" w:themeFillShade="D9"/>
            <w:vAlign w:val="center"/>
            <w:hideMark/>
          </w:tcPr>
          <w:p w:rsidRPr="00A6540C" w:rsidR="00BE5B33" w:rsidP="00BE5B33" w:rsidRDefault="00BE5B33" w14:paraId="316E83B8" w14:textId="77777777">
            <w:pPr>
              <w:rPr>
                <w:rFonts w:cstheme="minorHAnsi"/>
                <w:sz w:val="21"/>
                <w:szCs w:val="21"/>
              </w:rPr>
            </w:pPr>
            <w:r w:rsidRPr="00A6540C">
              <w:rPr>
                <w:rFonts w:cstheme="minorHAnsi"/>
                <w:sz w:val="21"/>
                <w:szCs w:val="21"/>
              </w:rPr>
              <w:t>Emission reductions from voluntary action (mt CH</w:t>
            </w:r>
            <w:r w:rsidRPr="00E80098">
              <w:rPr>
                <w:rFonts w:cstheme="minorHAnsi"/>
                <w:sz w:val="21"/>
                <w:szCs w:val="21"/>
                <w:vertAlign w:val="subscript"/>
              </w:rPr>
              <w:t>4</w:t>
            </w:r>
            <w:r w:rsidRPr="00A6540C">
              <w:rPr>
                <w:rFonts w:cstheme="minorHAnsi"/>
                <w:sz w:val="21"/>
                <w:szCs w:val="21"/>
              </w:rPr>
              <w:t>)</w:t>
            </w:r>
          </w:p>
        </w:tc>
        <w:tc>
          <w:tcPr>
            <w:tcW w:w="716" w:type="dxa"/>
            <w:shd w:val="clear" w:color="auto" w:fill="D9D9D9" w:themeFill="background1" w:themeFillShade="D9"/>
            <w:vAlign w:val="center"/>
          </w:tcPr>
          <w:p w:rsidRPr="00A6540C" w:rsidR="00BE5B33" w:rsidP="00BE5B33" w:rsidRDefault="00BE5B33" w14:paraId="77C00AA6" w14:textId="77777777">
            <w:pPr>
              <w:jc w:val="center"/>
              <w:rPr>
                <w:rFonts w:cstheme="minorHAnsi"/>
                <w:sz w:val="21"/>
                <w:szCs w:val="21"/>
              </w:rPr>
            </w:pPr>
          </w:p>
        </w:tc>
      </w:tr>
    </w:tbl>
    <w:p w:rsidR="0030161A" w:rsidP="00084222" w:rsidRDefault="00A12CFE" w14:paraId="2B1D8B44" w14:textId="45AED6E1">
      <w:pPr>
        <w:pStyle w:val="Heading2"/>
      </w:pPr>
      <w:r>
        <w:br w:type="page"/>
      </w:r>
    </w:p>
    <w:p w:rsidRPr="00F3466B" w:rsidR="0030161A" w:rsidP="00084222" w:rsidRDefault="0030161A" w14:paraId="72DA30CA" w14:textId="77777777">
      <w:pPr>
        <w:pStyle w:val="Heading2"/>
      </w:pPr>
      <w:bookmarkStart w:name="_Ref67321800" w:id="27"/>
      <w:bookmarkStart w:name="_Toc67322586" w:id="28"/>
      <w:r w:rsidRPr="00F3466B">
        <w:lastRenderedPageBreak/>
        <w:t>Transmission Pipeline Blowdowns between Compressor Stations</w:t>
      </w:r>
      <w:bookmarkEnd w:id="27"/>
      <w:bookmarkEnd w:id="28"/>
    </w:p>
    <w:p w:rsidRPr="009B0364" w:rsidR="003D48E2" w:rsidP="003D48E2" w:rsidRDefault="003D48E2" w14:paraId="0DE4C7D7" w14:textId="0A693A52">
      <w:pPr>
        <w:rPr>
          <w:rFonts w:ascii="Calibri" w:hAnsi="Calibri" w:cs="Calibri"/>
          <w:szCs w:val="22"/>
          <w:u w:val="single"/>
        </w:rPr>
      </w:pPr>
      <w:r>
        <w:rPr>
          <w:rFonts w:ascii="Calibri" w:hAnsi="Calibri" w:cs="Calibri"/>
          <w:szCs w:val="22"/>
          <w:u w:val="single"/>
        </w:rPr>
        <w:t>Applicable Segments:</w:t>
      </w:r>
      <w:r w:rsidRPr="00053AA8">
        <w:rPr>
          <w:rFonts w:ascii="Calibri" w:hAnsi="Calibri" w:cs="Calibri"/>
          <w:szCs w:val="22"/>
        </w:rPr>
        <w:t xml:space="preserve"> </w:t>
      </w:r>
      <w:r>
        <w:rPr>
          <w:rFonts w:ascii="Calibri" w:hAnsi="Calibri" w:cs="Calibri"/>
          <w:szCs w:val="22"/>
        </w:rPr>
        <w:t>Transmission and Storage</w:t>
      </w:r>
    </w:p>
    <w:p w:rsidRPr="00E66BDB" w:rsidR="0030161A" w:rsidP="0030161A" w:rsidRDefault="0030161A" w14:paraId="378E9F68" w14:textId="77777777">
      <w:pPr>
        <w:rPr>
          <w:rFonts w:cstheme="minorHAnsi"/>
          <w:szCs w:val="22"/>
        </w:rPr>
      </w:pPr>
      <w:r w:rsidRPr="00E66BDB">
        <w:rPr>
          <w:rFonts w:cstheme="minorHAnsi"/>
          <w:szCs w:val="22"/>
          <w:u w:val="single"/>
        </w:rPr>
        <w:t>Source Description</w:t>
      </w:r>
      <w:r w:rsidRPr="00E66BDB">
        <w:rPr>
          <w:rFonts w:cstheme="minorHAnsi"/>
          <w:szCs w:val="22"/>
        </w:rPr>
        <w:t xml:space="preserve">: Blowdown means the release of gas from a pipeline or section of pipeline that causes a reduction in system pressure or a complete depressurization. </w:t>
      </w:r>
    </w:p>
    <w:p w:rsidRPr="00E66BDB" w:rsidR="0030161A" w:rsidP="0030161A" w:rsidRDefault="0030161A" w14:paraId="75863384" w14:textId="77777777">
      <w:r w:rsidRPr="00E66BDB">
        <w:rPr>
          <w:rFonts w:cstheme="minorHAnsi"/>
          <w:szCs w:val="22"/>
          <w:u w:val="single"/>
        </w:rPr>
        <w:t>Mitigation Options</w:t>
      </w:r>
      <w:r w:rsidRPr="00E66BDB">
        <w:rPr>
          <w:rFonts w:cstheme="minorHAnsi"/>
          <w:szCs w:val="22"/>
        </w:rPr>
        <w:t>:</w:t>
      </w:r>
      <w:r w:rsidRPr="00E66BDB">
        <w:t xml:space="preserve"> </w:t>
      </w:r>
    </w:p>
    <w:p w:rsidRPr="00E66BDB" w:rsidR="0030161A" w:rsidP="00DC5C40" w:rsidRDefault="0030161A" w14:paraId="38734DE2" w14:textId="77777777">
      <w:pPr>
        <w:numPr>
          <w:ilvl w:val="0"/>
          <w:numId w:val="6"/>
        </w:numPr>
        <w:spacing w:after="0"/>
        <w:contextualSpacing/>
        <w:rPr>
          <w:rFonts w:ascii="Calibri" w:hAnsi="Calibri" w:cs="Calibri"/>
          <w:szCs w:val="22"/>
        </w:rPr>
      </w:pPr>
      <w:r w:rsidRPr="00E66BDB">
        <w:rPr>
          <w:rFonts w:ascii="Calibri" w:hAnsi="Calibri" w:cs="Calibri"/>
          <w:color w:val="000000"/>
          <w:szCs w:val="22"/>
        </w:rPr>
        <w:t>Route gas to a compressor or capture system for beneficial use, or</w:t>
      </w:r>
    </w:p>
    <w:p w:rsidRPr="00E66BDB" w:rsidR="0030161A" w:rsidP="00DC5C40" w:rsidRDefault="0030161A" w14:paraId="3A7FA58D" w14:textId="77777777">
      <w:pPr>
        <w:numPr>
          <w:ilvl w:val="0"/>
          <w:numId w:val="6"/>
        </w:numPr>
        <w:spacing w:after="0"/>
        <w:contextualSpacing/>
        <w:rPr>
          <w:rFonts w:ascii="Calibri" w:hAnsi="Calibri" w:cs="Calibri"/>
          <w:color w:val="000000"/>
          <w:szCs w:val="22"/>
        </w:rPr>
      </w:pPr>
      <w:r w:rsidRPr="00E66BDB">
        <w:rPr>
          <w:rFonts w:ascii="Calibri" w:hAnsi="Calibri" w:cs="Calibri"/>
          <w:color w:val="000000"/>
          <w:szCs w:val="22"/>
        </w:rPr>
        <w:t>Route gas to a flare, or</w:t>
      </w:r>
    </w:p>
    <w:p w:rsidRPr="00E66BDB" w:rsidR="0030161A" w:rsidP="00DC5C40" w:rsidRDefault="0030161A" w14:paraId="4DFEF2E1" w14:textId="2DE30BC8">
      <w:pPr>
        <w:numPr>
          <w:ilvl w:val="0"/>
          <w:numId w:val="6"/>
        </w:numPr>
        <w:spacing w:after="0"/>
        <w:contextualSpacing/>
        <w:rPr>
          <w:rFonts w:ascii="Calibri" w:hAnsi="Calibri" w:cs="Calibri"/>
          <w:color w:val="000000"/>
          <w:szCs w:val="22"/>
        </w:rPr>
      </w:pPr>
      <w:r w:rsidRPr="00E66BDB">
        <w:rPr>
          <w:rFonts w:ascii="Calibri" w:hAnsi="Calibri" w:cs="Calibri"/>
          <w:color w:val="000000"/>
          <w:szCs w:val="22"/>
        </w:rPr>
        <w:t>Route gas to a low-pressure system by taking advantage of existing piping connections between high- and low-pressure systems, temporarily resetting or bypassing pressure regulators to reduce system pressure prior to maintenance, or installing temporary connections between high and low</w:t>
      </w:r>
      <w:r>
        <w:rPr>
          <w:rFonts w:ascii="Calibri" w:hAnsi="Calibri" w:cs="Calibri"/>
          <w:color w:val="000000"/>
          <w:szCs w:val="22"/>
        </w:rPr>
        <w:t>-</w:t>
      </w:r>
      <w:r w:rsidRPr="00E66BDB">
        <w:rPr>
          <w:rFonts w:ascii="Calibri" w:hAnsi="Calibri" w:cs="Calibri"/>
          <w:color w:val="000000"/>
          <w:szCs w:val="22"/>
        </w:rPr>
        <w:t>pressure systems, or</w:t>
      </w:r>
    </w:p>
    <w:p w:rsidRPr="00E66BDB" w:rsidR="0030161A" w:rsidP="00DC5C40" w:rsidRDefault="0030161A" w14:paraId="48B887B7" w14:textId="77777777">
      <w:pPr>
        <w:numPr>
          <w:ilvl w:val="0"/>
          <w:numId w:val="6"/>
        </w:numPr>
        <w:rPr>
          <w:rFonts w:ascii="Calibri" w:hAnsi="Calibri" w:cs="Calibri"/>
          <w:color w:val="000000"/>
          <w:szCs w:val="22"/>
        </w:rPr>
      </w:pPr>
      <w:r w:rsidRPr="00E66BDB">
        <w:rPr>
          <w:rFonts w:ascii="Calibri" w:hAnsi="Calibri" w:cs="Calibri"/>
          <w:color w:val="000000"/>
          <w:szCs w:val="22"/>
        </w:rPr>
        <w:t>Utilize hot tapping, a procedure that makes a new pipeline connection while the pipeline remains in service, flowing natural gas under pressure, to avoid the need to blow down gas.</w:t>
      </w:r>
    </w:p>
    <w:p w:rsidRPr="00E66BDB" w:rsidR="0030161A" w:rsidP="0030161A" w:rsidRDefault="0030161A" w14:paraId="6A3B597C" w14:textId="77777777">
      <w:pPr>
        <w:rPr>
          <w:rFonts w:ascii="Calibri" w:hAnsi="Calibri" w:cs="Calibri"/>
          <w:szCs w:val="22"/>
        </w:rPr>
      </w:pPr>
      <w:r w:rsidRPr="00E66BDB">
        <w:rPr>
          <w:rFonts w:ascii="Calibri" w:hAnsi="Calibri" w:cs="Calibri"/>
          <w:color w:val="000000"/>
          <w:szCs w:val="22"/>
        </w:rPr>
        <w:t>Partners commit to maximize blowdown gas recovery and/or emission reductions through utilization of one or more of these options to reduce methane emissions from non-emergency blowdowns by at least 50%</w:t>
      </w:r>
      <w:r>
        <w:rPr>
          <w:rStyle w:val="FootnoteReference"/>
          <w:rFonts w:ascii="Calibri" w:hAnsi="Calibri" w:cs="Calibri"/>
          <w:color w:val="000000"/>
          <w:szCs w:val="22"/>
        </w:rPr>
        <w:footnoteReference w:id="49"/>
      </w:r>
      <w:r w:rsidRPr="00E66BDB">
        <w:rPr>
          <w:rFonts w:ascii="Calibri" w:hAnsi="Calibri" w:cs="Calibri"/>
          <w:color w:val="000000"/>
          <w:szCs w:val="22"/>
        </w:rPr>
        <w:t xml:space="preserve"> from total potential emissions each year.  Total potential emissions equals calculated emissions from all planned maintenance activities in a calendar year</w:t>
      </w:r>
      <w:r w:rsidRPr="00E66BDB">
        <w:rPr>
          <w:rFonts w:ascii="Calibri" w:hAnsi="Calibri" w:cs="Calibri"/>
          <w:color w:val="000000"/>
          <w:szCs w:val="22"/>
          <w:vertAlign w:val="superscript"/>
        </w:rPr>
        <w:footnoteReference w:id="50"/>
      </w:r>
      <w:r w:rsidRPr="00E66BDB">
        <w:rPr>
          <w:rFonts w:ascii="Calibri" w:hAnsi="Calibri" w:cs="Calibri"/>
          <w:color w:val="000000"/>
          <w:szCs w:val="22"/>
        </w:rPr>
        <w:t>, assuming the pipeline is mechanically evacuated or mechanically displaced using non-hazardous means down to atmospheric pressure and no mitigation is used.</w:t>
      </w:r>
      <w:r w:rsidRPr="00E66BDB">
        <w:rPr>
          <w:rFonts w:ascii="Calibri" w:hAnsi="Calibri" w:cs="Calibri"/>
          <w:color w:val="000000"/>
          <w:szCs w:val="22"/>
          <w:vertAlign w:val="superscript"/>
        </w:rPr>
        <w:footnoteReference w:id="51"/>
      </w:r>
      <w:r w:rsidRPr="00E66BDB">
        <w:rPr>
          <w:rFonts w:ascii="Calibri" w:hAnsi="Calibri" w:cs="Calibri"/>
          <w:color w:val="000000"/>
          <w:szCs w:val="22"/>
        </w:rPr>
        <w:t xml:space="preserve"> </w:t>
      </w:r>
    </w:p>
    <w:p w:rsidRPr="00E66BDB" w:rsidR="0030161A" w:rsidP="0030161A" w:rsidRDefault="0030161A" w14:paraId="01E4DA5E" w14:textId="77777777">
      <w:pPr>
        <w:rPr>
          <w:rFonts w:ascii="Calibri" w:hAnsi="Calibri" w:cs="Calibri"/>
          <w:color w:val="000000"/>
          <w:szCs w:val="22"/>
        </w:rPr>
      </w:pPr>
      <w:r w:rsidRPr="00E66BDB">
        <w:rPr>
          <w:rFonts w:ascii="Calibri" w:hAnsi="Calibri" w:cs="Calibri"/>
          <w:color w:val="000000"/>
          <w:szCs w:val="22"/>
          <w:u w:val="single"/>
        </w:rPr>
        <w:t>Commitment Timeframe</w:t>
      </w:r>
      <w:r w:rsidRPr="00E66BDB">
        <w:rPr>
          <w:rFonts w:ascii="Calibri" w:hAnsi="Calibri" w:cs="Calibri"/>
          <w:color w:val="000000"/>
          <w:szCs w:val="22"/>
        </w:rPr>
        <w:t xml:space="preserve">: </w:t>
      </w:r>
      <w:r w:rsidRPr="00E66BDB">
        <w:rPr>
          <w:rFonts w:ascii="Calibri" w:hAnsi="Calibri" w:cs="Calibri" w:eastAsiaTheme="minorEastAsia"/>
          <w:szCs w:val="22"/>
        </w:rPr>
        <w:t>P</w:t>
      </w:r>
      <w:r w:rsidRPr="00E66BDB">
        <w:rPr>
          <w:rFonts w:ascii="Calibri" w:hAnsi="Calibri" w:cs="Calibri" w:eastAsiaTheme="minorEastAsia"/>
          <w:color w:val="000000"/>
          <w:szCs w:val="22"/>
        </w:rPr>
        <w:t>artners commit to achieve the specified annual reduction rate by their designated commitment achievement date, not to exceed five (5) years from the commitment start date,</w:t>
      </w:r>
      <w:r w:rsidRPr="00E66BDB">
        <w:rPr>
          <w:rFonts w:eastAsiaTheme="minorEastAsia" w:cstheme="minorBidi"/>
          <w:szCs w:val="22"/>
        </w:rPr>
        <w:t xml:space="preserve"> </w:t>
      </w:r>
      <w:r w:rsidRPr="00E66BDB">
        <w:rPr>
          <w:rFonts w:ascii="Calibri" w:hAnsi="Calibri" w:cs="Calibri" w:eastAsiaTheme="minorEastAsia"/>
          <w:color w:val="000000"/>
          <w:szCs w:val="22"/>
        </w:rPr>
        <w:t>and maintain at least that rate moving forward.</w:t>
      </w:r>
    </w:p>
    <w:p w:rsidR="00BC11A8" w:rsidRDefault="00BC11A8" w14:paraId="38A99F92" w14:textId="77777777">
      <w:pPr>
        <w:spacing w:after="200" w:line="276" w:lineRule="auto"/>
        <w:rPr>
          <w:rFonts w:ascii="Calibri" w:hAnsi="Calibri" w:cs="Calibri"/>
          <w:u w:val="single"/>
        </w:rPr>
      </w:pPr>
      <w:r>
        <w:rPr>
          <w:rFonts w:ascii="Calibri" w:hAnsi="Calibri" w:cs="Calibri"/>
          <w:u w:val="single"/>
        </w:rPr>
        <w:br w:type="page"/>
      </w:r>
    </w:p>
    <w:p w:rsidRPr="00E66BDB" w:rsidR="0030161A" w:rsidP="00E22D98" w:rsidRDefault="0030161A" w14:paraId="439A0657" w14:textId="58CFD84B">
      <w:pPr>
        <w:keepNext/>
        <w:rPr>
          <w:rFonts w:ascii="Calibri" w:hAnsi="Calibri" w:cs="Calibri"/>
          <w:u w:val="single"/>
        </w:rPr>
      </w:pPr>
      <w:r w:rsidRPr="00E66BDB">
        <w:rPr>
          <w:rFonts w:ascii="Calibri" w:hAnsi="Calibri" w:cs="Calibri"/>
          <w:u w:val="single"/>
        </w:rPr>
        <w:lastRenderedPageBreak/>
        <w:t xml:space="preserve">Reporting: </w:t>
      </w:r>
    </w:p>
    <w:tbl>
      <w:tblPr>
        <w:tblStyle w:val="TableGrid6311"/>
        <w:tblW w:w="9360" w:type="dxa"/>
        <w:jc w:val="center"/>
        <w:tblLayout w:type="fixed"/>
        <w:tblCellMar>
          <w:left w:w="43" w:type="dxa"/>
          <w:right w:w="43" w:type="dxa"/>
        </w:tblCellMar>
        <w:tblLook w:val="04A0" w:firstRow="1" w:lastRow="0" w:firstColumn="1" w:lastColumn="0" w:noHBand="0" w:noVBand="1"/>
        <w:tblDescription w:val="Reporting for Transmission Pipeline Blowdowns between Compressor Stations"/>
      </w:tblPr>
      <w:tblGrid>
        <w:gridCol w:w="1440"/>
        <w:gridCol w:w="1526"/>
        <w:gridCol w:w="5674"/>
        <w:gridCol w:w="720"/>
      </w:tblGrid>
      <w:tr w:rsidRPr="00E66BDB" w:rsidR="0030161A" w:rsidTr="00F371C5" w14:paraId="4FE8373D" w14:textId="77777777">
        <w:trPr>
          <w:tblHeader/>
          <w:jc w:val="center"/>
        </w:trPr>
        <w:tc>
          <w:tcPr>
            <w:tcW w:w="1440" w:type="dxa"/>
            <w:tcBorders>
              <w:bottom w:val="single" w:color="auto" w:sz="4" w:space="0"/>
            </w:tcBorders>
            <w:shd w:val="clear" w:color="auto" w:fill="A6A6A6" w:themeFill="background1" w:themeFillShade="A6"/>
            <w:tcMar>
              <w:left w:w="115" w:type="dxa"/>
              <w:right w:w="115" w:type="dxa"/>
            </w:tcMar>
          </w:tcPr>
          <w:p w:rsidRPr="00E66BDB" w:rsidR="0030161A" w:rsidP="00E22D98" w:rsidRDefault="0030161A" w14:paraId="0E357ADF" w14:textId="77777777">
            <w:pPr>
              <w:keepNext/>
              <w:rPr>
                <w:rFonts w:cs="Calibri"/>
                <w:b/>
                <w:sz w:val="20"/>
                <w:szCs w:val="21"/>
              </w:rPr>
            </w:pPr>
            <w:r w:rsidRPr="00E66BDB">
              <w:rPr>
                <w:rFonts w:cs="Calibri"/>
                <w:b/>
                <w:sz w:val="20"/>
                <w:szCs w:val="21"/>
              </w:rPr>
              <w:t>Emission Source</w:t>
            </w:r>
          </w:p>
        </w:tc>
        <w:tc>
          <w:tcPr>
            <w:tcW w:w="1526" w:type="dxa"/>
            <w:tcBorders>
              <w:bottom w:val="single" w:color="auto" w:sz="4" w:space="0"/>
            </w:tcBorders>
            <w:shd w:val="clear" w:color="auto" w:fill="A6A6A6" w:themeFill="background1" w:themeFillShade="A6"/>
            <w:tcMar>
              <w:left w:w="115" w:type="dxa"/>
              <w:right w:w="115" w:type="dxa"/>
            </w:tcMar>
          </w:tcPr>
          <w:p w:rsidRPr="00E66BDB" w:rsidR="0030161A" w:rsidP="00E22D98" w:rsidRDefault="0030161A" w14:paraId="34B76B05" w14:textId="77777777">
            <w:pPr>
              <w:keepNext/>
              <w:rPr>
                <w:rFonts w:cs="Calibri"/>
                <w:b/>
                <w:sz w:val="20"/>
                <w:szCs w:val="21"/>
              </w:rPr>
            </w:pPr>
            <w:r w:rsidRPr="00E66BDB">
              <w:rPr>
                <w:rFonts w:cs="Calibri"/>
                <w:b/>
                <w:sz w:val="20"/>
                <w:szCs w:val="21"/>
              </w:rPr>
              <w:t xml:space="preserve">Quantification Method </w:t>
            </w:r>
          </w:p>
        </w:tc>
        <w:tc>
          <w:tcPr>
            <w:tcW w:w="5674" w:type="dxa"/>
            <w:tcBorders>
              <w:bottom w:val="single" w:color="auto" w:sz="4" w:space="0"/>
            </w:tcBorders>
            <w:shd w:val="clear" w:color="auto" w:fill="A6A6A6" w:themeFill="background1" w:themeFillShade="A6"/>
            <w:tcMar>
              <w:left w:w="115" w:type="dxa"/>
              <w:right w:w="115" w:type="dxa"/>
            </w:tcMar>
          </w:tcPr>
          <w:p w:rsidRPr="00E66BDB" w:rsidR="0030161A" w:rsidP="00E22D98" w:rsidRDefault="0030161A" w14:paraId="7B916685" w14:textId="77777777">
            <w:pPr>
              <w:keepNext/>
              <w:rPr>
                <w:rFonts w:cs="Calibri"/>
                <w:b/>
                <w:sz w:val="20"/>
                <w:szCs w:val="21"/>
              </w:rPr>
            </w:pPr>
            <w:r w:rsidRPr="00E66BDB">
              <w:rPr>
                <w:rFonts w:cs="Calibri"/>
                <w:b/>
                <w:sz w:val="20"/>
                <w:szCs w:val="21"/>
              </w:rPr>
              <w:t>Data Elements Collected via Facility-Level GHGRP Reporting</w:t>
            </w:r>
            <w:r w:rsidRPr="00E66BDB">
              <w:rPr>
                <w:rFonts w:cs="Calibri"/>
                <w:b/>
                <w:sz w:val="20"/>
                <w:szCs w:val="21"/>
                <w:vertAlign w:val="superscript"/>
              </w:rPr>
              <w:footnoteReference w:id="52"/>
            </w:r>
            <w:r w:rsidRPr="00E66BDB">
              <w:rPr>
                <w:rFonts w:cs="Calibri"/>
                <w:b/>
                <w:sz w:val="20"/>
                <w:szCs w:val="21"/>
              </w:rPr>
              <w:t xml:space="preserve"> </w:t>
            </w:r>
          </w:p>
        </w:tc>
        <w:tc>
          <w:tcPr>
            <w:tcW w:w="720" w:type="dxa"/>
            <w:tcBorders>
              <w:bottom w:val="single" w:color="auto" w:sz="4" w:space="0"/>
            </w:tcBorders>
            <w:shd w:val="clear" w:color="auto" w:fill="A6A6A6" w:themeFill="background1" w:themeFillShade="A6"/>
            <w:tcMar>
              <w:left w:w="0" w:type="dxa"/>
              <w:right w:w="0" w:type="dxa"/>
            </w:tcMar>
          </w:tcPr>
          <w:p w:rsidRPr="00E66BDB" w:rsidR="0030161A" w:rsidP="00E22D98" w:rsidRDefault="0030161A" w14:paraId="1416F601" w14:textId="77777777">
            <w:pPr>
              <w:keepNext/>
              <w:contextualSpacing/>
              <w:rPr>
                <w:rFonts w:cs="Calibri"/>
                <w:b/>
                <w:sz w:val="20"/>
                <w:szCs w:val="21"/>
              </w:rPr>
            </w:pPr>
            <w:r w:rsidRPr="00E66BDB">
              <w:rPr>
                <w:rFonts w:cs="Calibri"/>
                <w:b/>
                <w:sz w:val="20"/>
                <w:szCs w:val="21"/>
              </w:rPr>
              <w:t>GHGRP</w:t>
            </w:r>
          </w:p>
        </w:tc>
      </w:tr>
      <w:tr w:rsidRPr="00E66BDB" w:rsidR="00BC11A8" w:rsidTr="009C7875" w14:paraId="284973CC" w14:textId="77777777">
        <w:trPr>
          <w:trHeight w:val="800"/>
          <w:jc w:val="center"/>
        </w:trPr>
        <w:tc>
          <w:tcPr>
            <w:tcW w:w="1440" w:type="dxa"/>
            <w:vMerge w:val="restart"/>
            <w:shd w:val="clear" w:color="auto" w:fill="FFFFFF" w:themeFill="background1"/>
            <w:vAlign w:val="center"/>
          </w:tcPr>
          <w:p w:rsidRPr="00E66BDB" w:rsidR="00BC11A8" w:rsidP="00E22D98" w:rsidRDefault="00BC11A8" w14:paraId="54A4EF59" w14:textId="77777777">
            <w:pPr>
              <w:keepNext/>
              <w:rPr>
                <w:rFonts w:cs="Calibri"/>
                <w:sz w:val="21"/>
                <w:szCs w:val="21"/>
              </w:rPr>
            </w:pPr>
            <w:r w:rsidRPr="00E66BDB">
              <w:rPr>
                <w:rFonts w:cstheme="minorHAnsi"/>
                <w:sz w:val="21"/>
                <w:szCs w:val="21"/>
              </w:rPr>
              <w:t>Pipeline blowdowns between compressor stations</w:t>
            </w:r>
            <w:r w:rsidRPr="00E66BDB">
              <w:rPr>
                <w:rFonts w:cstheme="minorHAnsi"/>
                <w:sz w:val="21"/>
                <w:szCs w:val="21"/>
                <w:vertAlign w:val="superscript"/>
              </w:rPr>
              <w:footnoteReference w:id="53"/>
            </w:r>
          </w:p>
          <w:p w:rsidRPr="00E66BDB" w:rsidR="00BC11A8" w:rsidP="00DC5C40" w:rsidRDefault="00BC11A8" w14:paraId="1A9C05D1" w14:textId="1B6642E1">
            <w:pPr>
              <w:widowControl w:val="0"/>
              <w:rPr>
                <w:rFonts w:cs="Calibri"/>
                <w:sz w:val="21"/>
                <w:szCs w:val="21"/>
              </w:rPr>
            </w:pPr>
          </w:p>
        </w:tc>
        <w:tc>
          <w:tcPr>
            <w:tcW w:w="1526" w:type="dxa"/>
            <w:vMerge w:val="restart"/>
            <w:shd w:val="clear" w:color="auto" w:fill="FFFFFF" w:themeFill="background1"/>
            <w:vAlign w:val="center"/>
          </w:tcPr>
          <w:p w:rsidRPr="00E66BDB" w:rsidR="00BC11A8" w:rsidP="00E22D98" w:rsidRDefault="00BC11A8" w14:paraId="6E97D08E" w14:textId="77777777">
            <w:pPr>
              <w:keepNext/>
              <w:rPr>
                <w:rFonts w:cs="Calibri"/>
                <w:sz w:val="21"/>
                <w:szCs w:val="21"/>
              </w:rPr>
            </w:pPr>
            <w:r w:rsidRPr="00E66BDB">
              <w:rPr>
                <w:rFonts w:cs="Calibri"/>
                <w:sz w:val="21"/>
                <w:szCs w:val="21"/>
              </w:rPr>
              <w:t>Subpart W Method 1, based on volume, temperature, and pressure</w:t>
            </w:r>
            <w:r w:rsidRPr="00E66BDB">
              <w:rPr>
                <w:rFonts w:cs="Calibri"/>
                <w:sz w:val="21"/>
                <w:szCs w:val="21"/>
                <w:vertAlign w:val="superscript"/>
              </w:rPr>
              <w:footnoteReference w:id="54"/>
            </w:r>
            <w:r w:rsidRPr="00E66BDB">
              <w:rPr>
                <w:rFonts w:cs="Calibri"/>
                <w:sz w:val="21"/>
                <w:szCs w:val="21"/>
              </w:rPr>
              <w:t xml:space="preserve"> </w:t>
            </w:r>
          </w:p>
        </w:tc>
        <w:tc>
          <w:tcPr>
            <w:tcW w:w="5674" w:type="dxa"/>
            <w:shd w:val="clear" w:color="auto" w:fill="FFFFFF" w:themeFill="background1"/>
            <w:tcMar>
              <w:left w:w="29" w:type="dxa"/>
              <w:right w:w="29" w:type="dxa"/>
            </w:tcMar>
            <w:vAlign w:val="center"/>
          </w:tcPr>
          <w:p w:rsidRPr="00E66BDB" w:rsidR="00BC11A8" w:rsidP="00E22D98" w:rsidRDefault="00BC11A8" w14:paraId="5128C92D" w14:textId="77777777">
            <w:pPr>
              <w:keepNext/>
              <w:rPr>
                <w:rFonts w:cstheme="minorHAnsi"/>
                <w:sz w:val="21"/>
                <w:szCs w:val="21"/>
              </w:rPr>
            </w:pPr>
            <w:r w:rsidRPr="00E66BDB">
              <w:rPr>
                <w:rFonts w:cstheme="minorHAnsi"/>
                <w:sz w:val="21"/>
                <w:szCs w:val="21"/>
              </w:rPr>
              <w:t>Total number of blowdowns per equipment or event type</w:t>
            </w:r>
            <w:r w:rsidRPr="00E66BDB">
              <w:rPr>
                <w:rFonts w:cstheme="minorHAnsi"/>
                <w:sz w:val="21"/>
                <w:szCs w:val="21"/>
                <w:vertAlign w:val="superscript"/>
              </w:rPr>
              <w:footnoteReference w:id="55"/>
            </w:r>
          </w:p>
        </w:tc>
        <w:tc>
          <w:tcPr>
            <w:tcW w:w="720" w:type="dxa"/>
            <w:shd w:val="clear" w:color="auto" w:fill="FFFFFF" w:themeFill="background1"/>
            <w:vAlign w:val="center"/>
          </w:tcPr>
          <w:p w:rsidRPr="00E66BDB" w:rsidR="00BC11A8" w:rsidP="00E22D98" w:rsidRDefault="00BC11A8" w14:paraId="24BAAB46" w14:textId="77777777">
            <w:pPr>
              <w:keepNext/>
              <w:jc w:val="center"/>
              <w:rPr>
                <w:rFonts w:cs="Calibri"/>
                <w:sz w:val="21"/>
                <w:szCs w:val="21"/>
              </w:rPr>
            </w:pPr>
            <w:r w:rsidRPr="00E66BDB">
              <w:rPr>
                <w:rFonts w:cs="Calibri"/>
                <w:sz w:val="21"/>
                <w:szCs w:val="21"/>
              </w:rPr>
              <w:t>X</w:t>
            </w:r>
          </w:p>
        </w:tc>
      </w:tr>
      <w:tr w:rsidRPr="00E66BDB" w:rsidR="00BC11A8" w:rsidTr="00F371C5" w14:paraId="2EF07EF9" w14:textId="77777777">
        <w:tblPrEx>
          <w:jc w:val="left"/>
        </w:tblPrEx>
        <w:trPr>
          <w:trHeight w:val="260"/>
        </w:trPr>
        <w:tc>
          <w:tcPr>
            <w:tcW w:w="1440" w:type="dxa"/>
            <w:vMerge/>
            <w:shd w:val="clear" w:color="auto" w:fill="FFFFFF" w:themeFill="background1"/>
            <w:vAlign w:val="center"/>
          </w:tcPr>
          <w:p w:rsidRPr="00E66BDB" w:rsidR="00BC11A8" w:rsidP="00DC5C40" w:rsidRDefault="00BC11A8" w14:paraId="24EC2B02" w14:textId="58FB9678">
            <w:pPr>
              <w:widowControl w:val="0"/>
              <w:rPr>
                <w:rFonts w:cs="Calibri"/>
                <w:sz w:val="21"/>
                <w:szCs w:val="21"/>
              </w:rPr>
            </w:pPr>
          </w:p>
        </w:tc>
        <w:tc>
          <w:tcPr>
            <w:tcW w:w="1526" w:type="dxa"/>
            <w:vMerge/>
            <w:shd w:val="clear" w:color="auto" w:fill="FFFFFF" w:themeFill="background1"/>
            <w:vAlign w:val="center"/>
          </w:tcPr>
          <w:p w:rsidRPr="00E66BDB" w:rsidR="00BC11A8" w:rsidP="00E22D98" w:rsidRDefault="00BC11A8" w14:paraId="133AB3A9" w14:textId="77777777">
            <w:pPr>
              <w:keepNext/>
              <w:rPr>
                <w:rFonts w:cs="Calibri"/>
                <w:sz w:val="21"/>
                <w:szCs w:val="21"/>
              </w:rPr>
            </w:pPr>
          </w:p>
        </w:tc>
        <w:tc>
          <w:tcPr>
            <w:tcW w:w="5674" w:type="dxa"/>
            <w:shd w:val="clear" w:color="auto" w:fill="FFFFFF" w:themeFill="background1"/>
            <w:tcMar>
              <w:left w:w="29" w:type="dxa"/>
              <w:right w:w="29" w:type="dxa"/>
            </w:tcMar>
            <w:vAlign w:val="center"/>
          </w:tcPr>
          <w:p w:rsidRPr="00E66BDB" w:rsidR="00BC11A8" w:rsidP="00E22D98" w:rsidRDefault="00BC11A8" w14:paraId="4E0B1C42" w14:textId="77777777">
            <w:pPr>
              <w:keepNext/>
              <w:rPr>
                <w:rFonts w:cs="Calibri"/>
                <w:sz w:val="21"/>
                <w:szCs w:val="21"/>
              </w:rPr>
            </w:pPr>
            <w:r w:rsidRPr="00E66BDB">
              <w:rPr>
                <w:rFonts w:cstheme="minorHAnsi"/>
                <w:sz w:val="21"/>
                <w:szCs w:val="21"/>
              </w:rPr>
              <w:t>Total CH</w:t>
            </w:r>
            <w:r w:rsidRPr="00E66BDB">
              <w:rPr>
                <w:rFonts w:cstheme="minorHAnsi"/>
                <w:sz w:val="21"/>
                <w:szCs w:val="21"/>
                <w:vertAlign w:val="subscript"/>
              </w:rPr>
              <w:t>4</w:t>
            </w:r>
            <w:r>
              <w:rPr>
                <w:rFonts w:cstheme="minorHAnsi"/>
                <w:sz w:val="21"/>
                <w:szCs w:val="21"/>
              </w:rPr>
              <w:t xml:space="preserve"> emissions (m</w:t>
            </w:r>
            <w:r w:rsidRPr="00E66BDB">
              <w:rPr>
                <w:rFonts w:cstheme="minorHAnsi"/>
                <w:sz w:val="21"/>
                <w:szCs w:val="21"/>
              </w:rPr>
              <w:t xml:space="preserve">t </w:t>
            </w:r>
            <w:r w:rsidRPr="00E66BDB">
              <w:rPr>
                <w:rFonts w:cs="Calibri"/>
                <w:sz w:val="21"/>
                <w:szCs w:val="21"/>
              </w:rPr>
              <w:t>CH</w:t>
            </w:r>
            <w:r w:rsidRPr="00E66BDB">
              <w:rPr>
                <w:rFonts w:cs="Calibri"/>
                <w:sz w:val="21"/>
                <w:szCs w:val="21"/>
                <w:vertAlign w:val="subscript"/>
              </w:rPr>
              <w:t>4</w:t>
            </w:r>
            <w:r w:rsidRPr="00E66BDB">
              <w:rPr>
                <w:rFonts w:cstheme="minorHAnsi"/>
                <w:sz w:val="21"/>
                <w:szCs w:val="21"/>
              </w:rPr>
              <w:t>) per equipment or event type</w:t>
            </w:r>
          </w:p>
        </w:tc>
        <w:tc>
          <w:tcPr>
            <w:tcW w:w="720" w:type="dxa"/>
            <w:shd w:val="clear" w:color="auto" w:fill="FFFFFF" w:themeFill="background1"/>
            <w:vAlign w:val="center"/>
          </w:tcPr>
          <w:p w:rsidRPr="00E66BDB" w:rsidR="00BC11A8" w:rsidP="00E22D98" w:rsidRDefault="00BC11A8" w14:paraId="1B47DCDB" w14:textId="77777777">
            <w:pPr>
              <w:keepNext/>
              <w:jc w:val="center"/>
              <w:rPr>
                <w:rFonts w:cs="Calibri"/>
                <w:sz w:val="21"/>
                <w:szCs w:val="21"/>
              </w:rPr>
            </w:pPr>
            <w:r w:rsidRPr="00E66BDB">
              <w:rPr>
                <w:rFonts w:cs="Calibri"/>
                <w:sz w:val="21"/>
                <w:szCs w:val="21"/>
              </w:rPr>
              <w:t>X</w:t>
            </w:r>
          </w:p>
        </w:tc>
      </w:tr>
      <w:tr w:rsidRPr="00E66BDB" w:rsidR="00BC11A8" w:rsidTr="00C76707" w14:paraId="1C61D2F0" w14:textId="77777777">
        <w:trPr>
          <w:trHeight w:val="575"/>
          <w:jc w:val="center"/>
        </w:trPr>
        <w:tc>
          <w:tcPr>
            <w:tcW w:w="1440" w:type="dxa"/>
            <w:vMerge/>
            <w:shd w:val="clear" w:color="auto" w:fill="FFFFFF" w:themeFill="background1"/>
            <w:vAlign w:val="center"/>
          </w:tcPr>
          <w:p w:rsidRPr="00E66BDB" w:rsidR="00BC11A8" w:rsidP="00DC5C40" w:rsidRDefault="00BC11A8" w14:paraId="5B43DFE3" w14:textId="7DA5EBD5">
            <w:pPr>
              <w:widowControl w:val="0"/>
              <w:rPr>
                <w:rFonts w:cs="Calibri"/>
                <w:sz w:val="21"/>
                <w:szCs w:val="21"/>
              </w:rPr>
            </w:pPr>
          </w:p>
        </w:tc>
        <w:tc>
          <w:tcPr>
            <w:tcW w:w="1526" w:type="dxa"/>
            <w:vMerge w:val="restart"/>
            <w:shd w:val="clear" w:color="auto" w:fill="FFFFFF" w:themeFill="background1"/>
            <w:vAlign w:val="center"/>
          </w:tcPr>
          <w:p w:rsidRPr="00E66BDB" w:rsidR="00BC11A8" w:rsidP="00BB05E2" w:rsidRDefault="00BC11A8" w14:paraId="55F0E19A" w14:textId="77777777">
            <w:pPr>
              <w:rPr>
                <w:rFonts w:cs="Calibri"/>
                <w:sz w:val="21"/>
                <w:szCs w:val="21"/>
              </w:rPr>
            </w:pPr>
            <w:r w:rsidRPr="00E66BDB">
              <w:rPr>
                <w:rFonts w:cs="Calibri"/>
                <w:sz w:val="21"/>
                <w:szCs w:val="21"/>
              </w:rPr>
              <w:t>Subpart W Method 2, based on measurement</w:t>
            </w:r>
            <w:r w:rsidRPr="00E66BDB">
              <w:rPr>
                <w:rFonts w:cs="Calibri"/>
                <w:sz w:val="21"/>
                <w:szCs w:val="21"/>
                <w:vertAlign w:val="superscript"/>
              </w:rPr>
              <w:footnoteReference w:id="56"/>
            </w:r>
          </w:p>
        </w:tc>
        <w:tc>
          <w:tcPr>
            <w:tcW w:w="5674" w:type="dxa"/>
            <w:shd w:val="clear" w:color="auto" w:fill="FFFFFF" w:themeFill="background1"/>
            <w:tcMar>
              <w:left w:w="29" w:type="dxa"/>
              <w:right w:w="29" w:type="dxa"/>
            </w:tcMar>
            <w:vAlign w:val="center"/>
          </w:tcPr>
          <w:p w:rsidRPr="00E66BDB" w:rsidR="00BC11A8" w:rsidP="00BB05E2" w:rsidRDefault="00BC11A8" w14:paraId="150BBE7E" w14:textId="77777777">
            <w:pPr>
              <w:rPr>
                <w:rFonts w:cstheme="minorHAnsi"/>
                <w:sz w:val="21"/>
                <w:szCs w:val="21"/>
              </w:rPr>
            </w:pPr>
            <w:r w:rsidRPr="00E66BDB">
              <w:rPr>
                <w:rFonts w:cstheme="minorHAnsi"/>
                <w:sz w:val="21"/>
                <w:szCs w:val="21"/>
              </w:rPr>
              <w:t xml:space="preserve">Total number of blowdowns </w:t>
            </w:r>
          </w:p>
        </w:tc>
        <w:tc>
          <w:tcPr>
            <w:tcW w:w="720" w:type="dxa"/>
            <w:shd w:val="clear" w:color="auto" w:fill="FFFFFF" w:themeFill="background1"/>
            <w:vAlign w:val="center"/>
          </w:tcPr>
          <w:p w:rsidRPr="00E66BDB" w:rsidR="00BC11A8" w:rsidP="00BB05E2" w:rsidRDefault="00BC11A8" w14:paraId="7E97B0AD" w14:textId="77777777">
            <w:pPr>
              <w:jc w:val="center"/>
              <w:rPr>
                <w:rFonts w:cs="Calibri"/>
                <w:sz w:val="21"/>
                <w:szCs w:val="21"/>
              </w:rPr>
            </w:pPr>
            <w:r w:rsidRPr="00E66BDB">
              <w:rPr>
                <w:rFonts w:cs="Calibri"/>
                <w:sz w:val="21"/>
                <w:szCs w:val="21"/>
              </w:rPr>
              <w:t>X</w:t>
            </w:r>
          </w:p>
        </w:tc>
      </w:tr>
      <w:tr w:rsidRPr="00E66BDB" w:rsidR="00BC11A8" w:rsidTr="00723DB9" w14:paraId="3CC0B174" w14:textId="77777777">
        <w:trPr>
          <w:trHeight w:val="260"/>
          <w:jc w:val="center"/>
        </w:trPr>
        <w:tc>
          <w:tcPr>
            <w:tcW w:w="1440" w:type="dxa"/>
            <w:vMerge/>
            <w:shd w:val="clear" w:color="auto" w:fill="FFFFFF" w:themeFill="background1"/>
            <w:tcMar>
              <w:left w:w="115" w:type="dxa"/>
              <w:right w:w="115" w:type="dxa"/>
            </w:tcMar>
            <w:vAlign w:val="center"/>
          </w:tcPr>
          <w:p w:rsidRPr="00E66BDB" w:rsidR="00BC11A8" w:rsidP="00DC5C40" w:rsidRDefault="00BC11A8" w14:paraId="6FE5FEDA" w14:textId="381606E8">
            <w:pPr>
              <w:widowControl w:val="0"/>
              <w:rPr>
                <w:rFonts w:cs="Calibri"/>
                <w:sz w:val="21"/>
                <w:szCs w:val="21"/>
              </w:rPr>
            </w:pPr>
          </w:p>
        </w:tc>
        <w:tc>
          <w:tcPr>
            <w:tcW w:w="1526" w:type="dxa"/>
            <w:vMerge/>
            <w:tcBorders>
              <w:bottom w:val="single" w:color="auto" w:sz="4" w:space="0"/>
            </w:tcBorders>
            <w:shd w:val="clear" w:color="auto" w:fill="FFFFFF" w:themeFill="background1"/>
            <w:tcMar>
              <w:left w:w="115" w:type="dxa"/>
              <w:right w:w="115" w:type="dxa"/>
            </w:tcMar>
            <w:vAlign w:val="center"/>
          </w:tcPr>
          <w:p w:rsidRPr="00E66BDB" w:rsidR="00BC11A8" w:rsidP="00BB05E2" w:rsidRDefault="00BC11A8" w14:paraId="656EDDD7" w14:textId="77777777">
            <w:pPr>
              <w:jc w:val="center"/>
              <w:rPr>
                <w:rFonts w:cs="Calibri"/>
                <w:sz w:val="21"/>
                <w:szCs w:val="21"/>
              </w:rPr>
            </w:pPr>
          </w:p>
        </w:tc>
        <w:tc>
          <w:tcPr>
            <w:tcW w:w="5674" w:type="dxa"/>
            <w:tcBorders>
              <w:bottom w:val="single" w:color="auto" w:sz="4" w:space="0"/>
            </w:tcBorders>
            <w:shd w:val="clear" w:color="auto" w:fill="FFFFFF" w:themeFill="background1"/>
            <w:tcMar>
              <w:left w:w="29" w:type="dxa"/>
              <w:right w:w="29" w:type="dxa"/>
            </w:tcMar>
            <w:vAlign w:val="center"/>
          </w:tcPr>
          <w:p w:rsidRPr="00E66BDB" w:rsidR="00BC11A8" w:rsidP="00BB05E2" w:rsidRDefault="00BC11A8" w14:paraId="694169A1" w14:textId="77777777">
            <w:pPr>
              <w:rPr>
                <w:rFonts w:cstheme="minorHAnsi"/>
                <w:sz w:val="21"/>
                <w:szCs w:val="21"/>
              </w:rPr>
            </w:pPr>
            <w:r w:rsidRPr="00E66BDB">
              <w:rPr>
                <w:rFonts w:cs="Calibri"/>
                <w:sz w:val="21"/>
                <w:szCs w:val="21"/>
              </w:rPr>
              <w:t>Total CH</w:t>
            </w:r>
            <w:r w:rsidRPr="00E66BDB">
              <w:rPr>
                <w:rFonts w:cs="Calibri"/>
                <w:sz w:val="21"/>
                <w:szCs w:val="21"/>
                <w:vertAlign w:val="subscript"/>
              </w:rPr>
              <w:t>4</w:t>
            </w:r>
            <w:r w:rsidRPr="00E66BDB">
              <w:rPr>
                <w:rFonts w:cs="Calibri"/>
                <w:sz w:val="21"/>
                <w:szCs w:val="21"/>
              </w:rPr>
              <w:t xml:space="preserve"> emissions (</w:t>
            </w:r>
            <w:r>
              <w:rPr>
                <w:rFonts w:cs="Calibri"/>
                <w:sz w:val="21"/>
                <w:szCs w:val="21"/>
              </w:rPr>
              <w:t>m</w:t>
            </w:r>
            <w:r w:rsidRPr="00E66BDB">
              <w:rPr>
                <w:rFonts w:cs="Calibri"/>
                <w:sz w:val="21"/>
                <w:szCs w:val="21"/>
              </w:rPr>
              <w:t>t CH</w:t>
            </w:r>
            <w:r w:rsidRPr="00E66BDB">
              <w:rPr>
                <w:rFonts w:cs="Calibri"/>
                <w:sz w:val="21"/>
                <w:szCs w:val="21"/>
                <w:vertAlign w:val="subscript"/>
              </w:rPr>
              <w:t>4</w:t>
            </w:r>
            <w:r w:rsidRPr="00E66BDB">
              <w:rPr>
                <w:rFonts w:cs="Calibri"/>
                <w:sz w:val="21"/>
                <w:szCs w:val="21"/>
              </w:rPr>
              <w:t>)</w:t>
            </w:r>
          </w:p>
        </w:tc>
        <w:tc>
          <w:tcPr>
            <w:tcW w:w="720" w:type="dxa"/>
            <w:tcBorders>
              <w:bottom w:val="single" w:color="auto" w:sz="4" w:space="0"/>
            </w:tcBorders>
            <w:shd w:val="clear" w:color="auto" w:fill="FFFFFF" w:themeFill="background1"/>
            <w:vAlign w:val="center"/>
          </w:tcPr>
          <w:p w:rsidRPr="00E66BDB" w:rsidR="00BC11A8" w:rsidP="00BB05E2" w:rsidRDefault="00BC11A8" w14:paraId="0D7E2E3E" w14:textId="77777777">
            <w:pPr>
              <w:jc w:val="center"/>
              <w:rPr>
                <w:rFonts w:cs="Calibri"/>
                <w:sz w:val="21"/>
                <w:szCs w:val="21"/>
              </w:rPr>
            </w:pPr>
            <w:r w:rsidRPr="00E66BDB">
              <w:rPr>
                <w:rFonts w:cs="Calibri"/>
                <w:sz w:val="21"/>
                <w:szCs w:val="21"/>
              </w:rPr>
              <w:t>X</w:t>
            </w:r>
          </w:p>
        </w:tc>
      </w:tr>
      <w:tr w:rsidRPr="00E66BDB" w:rsidR="00BC11A8" w:rsidTr="00C76707" w14:paraId="744744FA" w14:textId="77777777">
        <w:trPr>
          <w:trHeight w:val="863"/>
          <w:jc w:val="center"/>
        </w:trPr>
        <w:tc>
          <w:tcPr>
            <w:tcW w:w="1440" w:type="dxa"/>
            <w:vMerge/>
            <w:shd w:val="clear" w:color="auto" w:fill="D9D9D9" w:themeFill="background1" w:themeFillShade="D9"/>
            <w:tcMar>
              <w:left w:w="115" w:type="dxa"/>
              <w:right w:w="115" w:type="dxa"/>
            </w:tcMar>
            <w:vAlign w:val="center"/>
          </w:tcPr>
          <w:p w:rsidRPr="00C76707" w:rsidR="00BC11A8" w:rsidP="00DC5C40" w:rsidRDefault="00BC11A8" w14:paraId="62B02476" w14:textId="6FAA1594">
            <w:pPr>
              <w:widowControl w:val="0"/>
              <w:rPr>
                <w:rFonts w:cs="Calibri"/>
                <w:szCs w:val="22"/>
                <w:highlight w:val="yellow"/>
              </w:rPr>
            </w:pPr>
          </w:p>
        </w:tc>
        <w:tc>
          <w:tcPr>
            <w:tcW w:w="1526" w:type="dxa"/>
            <w:vMerge w:val="restart"/>
            <w:shd w:val="clear" w:color="auto" w:fill="auto"/>
            <w:tcMar>
              <w:left w:w="115" w:type="dxa"/>
              <w:right w:w="115" w:type="dxa"/>
            </w:tcMar>
            <w:vAlign w:val="center"/>
          </w:tcPr>
          <w:p w:rsidRPr="009C7875" w:rsidR="00BC11A8" w:rsidP="009C7875" w:rsidRDefault="00BC11A8" w14:paraId="1A73A34D" w14:textId="6EC4F29D">
            <w:pPr>
              <w:ind w:left="-32"/>
              <w:rPr>
                <w:rFonts w:cstheme="minorHAnsi"/>
                <w:sz w:val="21"/>
                <w:szCs w:val="21"/>
                <w:highlight w:val="yellow"/>
              </w:rPr>
            </w:pPr>
            <w:bookmarkStart w:name="_Hlk63865475" w:id="29"/>
            <w:r w:rsidRPr="00C76707">
              <w:rPr>
                <w:rFonts w:cs="Calibri"/>
                <w:szCs w:val="22"/>
                <w:highlight w:val="yellow"/>
              </w:rPr>
              <w:t>Alternate calculation method</w:t>
            </w:r>
            <w:bookmarkEnd w:id="29"/>
            <w:r>
              <w:rPr>
                <w:rFonts w:cs="Calibri"/>
                <w:szCs w:val="22"/>
                <w:highlight w:val="yellow"/>
              </w:rPr>
              <w:t xml:space="preserve"> for </w:t>
            </w:r>
            <w:r w:rsidRPr="00F41A9B">
              <w:rPr>
                <w:b/>
                <w:bCs/>
                <w:highlight w:val="yellow"/>
              </w:rPr>
              <w:t>facilities not reporting to Subpart W only</w:t>
            </w:r>
            <w:r w:rsidRPr="0025283C">
              <w:rPr>
                <w:rStyle w:val="FootnoteReference"/>
                <w:rFonts w:cs="Calibri"/>
                <w:sz w:val="21"/>
                <w:szCs w:val="21"/>
                <w:highlight w:val="yellow"/>
              </w:rPr>
              <w:t xml:space="preserve"> </w:t>
            </w:r>
            <w:r w:rsidRPr="009C7875">
              <w:rPr>
                <w:rStyle w:val="FootnoteReference"/>
                <w:rFonts w:cs="Calibri"/>
                <w:szCs w:val="22"/>
                <w:highlight w:val="yellow"/>
              </w:rPr>
              <w:footnoteReference w:id="57"/>
            </w:r>
          </w:p>
        </w:tc>
        <w:tc>
          <w:tcPr>
            <w:tcW w:w="5674" w:type="dxa"/>
            <w:shd w:val="clear" w:color="auto" w:fill="auto"/>
            <w:tcMar>
              <w:left w:w="29" w:type="dxa"/>
              <w:right w:w="29" w:type="dxa"/>
            </w:tcMar>
            <w:vAlign w:val="center"/>
          </w:tcPr>
          <w:p w:rsidRPr="009C7875" w:rsidR="00BC11A8" w:rsidP="002579FD" w:rsidRDefault="00BC11A8" w14:paraId="614C920B" w14:textId="575FEF6A">
            <w:pPr>
              <w:rPr>
                <w:rFonts w:cs="Calibri"/>
                <w:sz w:val="21"/>
                <w:szCs w:val="21"/>
                <w:highlight w:val="yellow"/>
              </w:rPr>
            </w:pPr>
            <w:r w:rsidRPr="009C7875">
              <w:rPr>
                <w:szCs w:val="22"/>
                <w:highlight w:val="yellow"/>
              </w:rPr>
              <w:t xml:space="preserve">Actual count of blowdowns </w:t>
            </w:r>
          </w:p>
        </w:tc>
        <w:tc>
          <w:tcPr>
            <w:tcW w:w="720" w:type="dxa"/>
            <w:shd w:val="clear" w:color="auto" w:fill="auto"/>
            <w:vAlign w:val="center"/>
          </w:tcPr>
          <w:p w:rsidRPr="00E66BDB" w:rsidR="00BC11A8" w:rsidP="002579FD" w:rsidRDefault="00BC11A8" w14:paraId="518B9E5D" w14:textId="77777777">
            <w:pPr>
              <w:jc w:val="center"/>
              <w:rPr>
                <w:rFonts w:cs="Calibri"/>
                <w:sz w:val="21"/>
                <w:szCs w:val="21"/>
              </w:rPr>
            </w:pPr>
          </w:p>
        </w:tc>
      </w:tr>
      <w:tr w:rsidRPr="00E66BDB" w:rsidR="00BC11A8" w:rsidTr="00C76707" w14:paraId="73C083B6" w14:textId="77777777">
        <w:trPr>
          <w:trHeight w:val="54"/>
          <w:jc w:val="center"/>
        </w:trPr>
        <w:tc>
          <w:tcPr>
            <w:tcW w:w="1440" w:type="dxa"/>
            <w:vMerge/>
            <w:shd w:val="clear" w:color="auto" w:fill="D9D9D9" w:themeFill="background1" w:themeFillShade="D9"/>
            <w:tcMar>
              <w:left w:w="115" w:type="dxa"/>
              <w:right w:w="115" w:type="dxa"/>
            </w:tcMar>
            <w:vAlign w:val="center"/>
          </w:tcPr>
          <w:p w:rsidRPr="00C76707" w:rsidR="00BC11A8" w:rsidP="002579FD" w:rsidRDefault="00BC11A8" w14:paraId="353A982A" w14:textId="77777777">
            <w:pPr>
              <w:rPr>
                <w:rFonts w:cstheme="minorHAnsi"/>
                <w:sz w:val="21"/>
                <w:szCs w:val="21"/>
                <w:highlight w:val="yellow"/>
              </w:rPr>
            </w:pPr>
          </w:p>
        </w:tc>
        <w:tc>
          <w:tcPr>
            <w:tcW w:w="1526" w:type="dxa"/>
            <w:vMerge/>
            <w:shd w:val="clear" w:color="auto" w:fill="auto"/>
            <w:tcMar>
              <w:left w:w="115" w:type="dxa"/>
              <w:right w:w="115" w:type="dxa"/>
            </w:tcMar>
            <w:vAlign w:val="center"/>
          </w:tcPr>
          <w:p w:rsidRPr="00C76707" w:rsidR="00BC11A8" w:rsidP="002579FD" w:rsidRDefault="00BC11A8" w14:paraId="23EC5216" w14:textId="766855F0">
            <w:pPr>
              <w:rPr>
                <w:rFonts w:cstheme="minorHAnsi"/>
                <w:sz w:val="21"/>
                <w:szCs w:val="21"/>
                <w:highlight w:val="yellow"/>
              </w:rPr>
            </w:pPr>
          </w:p>
        </w:tc>
        <w:tc>
          <w:tcPr>
            <w:tcW w:w="5674" w:type="dxa"/>
            <w:shd w:val="clear" w:color="auto" w:fill="auto"/>
            <w:tcMar>
              <w:left w:w="29" w:type="dxa"/>
              <w:right w:w="29" w:type="dxa"/>
            </w:tcMar>
            <w:vAlign w:val="center"/>
          </w:tcPr>
          <w:p w:rsidRPr="009C7875" w:rsidR="00BC11A8" w:rsidP="002579FD" w:rsidRDefault="00BC11A8" w14:paraId="3C15E3C5" w14:textId="1670A59A">
            <w:pPr>
              <w:rPr>
                <w:rFonts w:cs="Calibri"/>
                <w:sz w:val="21"/>
                <w:szCs w:val="21"/>
                <w:highlight w:val="yellow"/>
              </w:rPr>
            </w:pPr>
            <w:r w:rsidRPr="00C76707">
              <w:rPr>
                <w:rFonts w:cs="Calibri"/>
                <w:szCs w:val="22"/>
                <w:highlight w:val="yellow"/>
              </w:rPr>
              <w:t>Annual CH</w:t>
            </w:r>
            <w:r w:rsidRPr="00C76707">
              <w:rPr>
                <w:rFonts w:cs="Calibri"/>
                <w:szCs w:val="22"/>
                <w:highlight w:val="yellow"/>
                <w:vertAlign w:val="subscript"/>
              </w:rPr>
              <w:t>4</w:t>
            </w:r>
            <w:r w:rsidRPr="00C76707">
              <w:rPr>
                <w:rFonts w:cs="Calibri"/>
                <w:szCs w:val="22"/>
                <w:highlight w:val="yellow"/>
              </w:rPr>
              <w:t xml:space="preserve"> Emissions (mt CH</w:t>
            </w:r>
            <w:r w:rsidRPr="00C76707">
              <w:rPr>
                <w:rFonts w:cs="Calibri"/>
                <w:szCs w:val="22"/>
                <w:highlight w:val="yellow"/>
                <w:vertAlign w:val="subscript"/>
              </w:rPr>
              <w:t>4</w:t>
            </w:r>
            <w:r w:rsidRPr="00C76707">
              <w:rPr>
                <w:rFonts w:cs="Calibri"/>
                <w:szCs w:val="22"/>
                <w:highlight w:val="yellow"/>
              </w:rPr>
              <w:t>)</w:t>
            </w:r>
          </w:p>
        </w:tc>
        <w:tc>
          <w:tcPr>
            <w:tcW w:w="720" w:type="dxa"/>
            <w:shd w:val="clear" w:color="auto" w:fill="auto"/>
            <w:vAlign w:val="center"/>
          </w:tcPr>
          <w:p w:rsidRPr="00E66BDB" w:rsidR="00BC11A8" w:rsidP="002579FD" w:rsidRDefault="00BC11A8" w14:paraId="2ECFC4E0" w14:textId="77777777">
            <w:pPr>
              <w:jc w:val="center"/>
              <w:rPr>
                <w:rFonts w:cs="Calibri"/>
                <w:sz w:val="21"/>
                <w:szCs w:val="21"/>
              </w:rPr>
            </w:pPr>
          </w:p>
        </w:tc>
      </w:tr>
      <w:tr w:rsidRPr="00E66BDB" w:rsidR="002579FD" w:rsidTr="00F371C5" w14:paraId="5A637600" w14:textId="77777777">
        <w:trPr>
          <w:trHeight w:val="54"/>
          <w:jc w:val="center"/>
        </w:trPr>
        <w:tc>
          <w:tcPr>
            <w:tcW w:w="1440" w:type="dxa"/>
            <w:vMerge w:val="restart"/>
            <w:shd w:val="clear" w:color="auto" w:fill="D9D9D9" w:themeFill="background1" w:themeFillShade="D9"/>
            <w:tcMar>
              <w:left w:w="115" w:type="dxa"/>
              <w:right w:w="115" w:type="dxa"/>
            </w:tcMar>
            <w:vAlign w:val="center"/>
          </w:tcPr>
          <w:p w:rsidRPr="00E66BDB" w:rsidR="002579FD" w:rsidP="002579FD" w:rsidRDefault="002579FD" w14:paraId="47647A12" w14:textId="77777777">
            <w:pPr>
              <w:rPr>
                <w:rFonts w:cs="Calibri"/>
                <w:sz w:val="21"/>
                <w:szCs w:val="21"/>
              </w:rPr>
            </w:pPr>
            <w:r w:rsidRPr="00E66BDB">
              <w:rPr>
                <w:rFonts w:cstheme="minorHAnsi"/>
                <w:sz w:val="21"/>
                <w:szCs w:val="21"/>
              </w:rPr>
              <w:t xml:space="preserve">Voluntary action to reduce methane emissions during the </w:t>
            </w:r>
            <w:r w:rsidRPr="00E66BDB">
              <w:rPr>
                <w:rFonts w:cstheme="minorHAnsi"/>
                <w:sz w:val="21"/>
                <w:szCs w:val="21"/>
              </w:rPr>
              <w:lastRenderedPageBreak/>
              <w:t>reporting year</w:t>
            </w:r>
          </w:p>
        </w:tc>
        <w:tc>
          <w:tcPr>
            <w:tcW w:w="1526" w:type="dxa"/>
            <w:vMerge w:val="restart"/>
            <w:shd w:val="clear" w:color="auto" w:fill="D9D9D9" w:themeFill="background1" w:themeFillShade="D9"/>
            <w:tcMar>
              <w:left w:w="115" w:type="dxa"/>
              <w:right w:w="115" w:type="dxa"/>
            </w:tcMar>
            <w:vAlign w:val="center"/>
          </w:tcPr>
          <w:p w:rsidRPr="00E66BDB" w:rsidR="002579FD" w:rsidP="002579FD" w:rsidRDefault="002579FD" w14:paraId="74ABD097" w14:textId="77777777">
            <w:pPr>
              <w:rPr>
                <w:rFonts w:cs="Calibri"/>
                <w:sz w:val="21"/>
                <w:szCs w:val="21"/>
              </w:rPr>
            </w:pPr>
            <w:r w:rsidRPr="00E66BDB">
              <w:rPr>
                <w:rFonts w:cstheme="minorHAnsi"/>
                <w:sz w:val="21"/>
                <w:szCs w:val="21"/>
              </w:rPr>
              <w:lastRenderedPageBreak/>
              <w:t>Difference in potential and actual emissions</w:t>
            </w:r>
            <w:r w:rsidRPr="00E66BDB">
              <w:rPr>
                <w:rFonts w:cstheme="minorHAnsi"/>
                <w:sz w:val="21"/>
                <w:szCs w:val="21"/>
                <w:vertAlign w:val="superscript"/>
              </w:rPr>
              <w:footnoteReference w:id="58"/>
            </w:r>
          </w:p>
        </w:tc>
        <w:tc>
          <w:tcPr>
            <w:tcW w:w="5674" w:type="dxa"/>
            <w:shd w:val="clear" w:color="auto" w:fill="D9D9D9" w:themeFill="background1" w:themeFillShade="D9"/>
            <w:tcMar>
              <w:left w:w="29" w:type="dxa"/>
              <w:right w:w="29" w:type="dxa"/>
            </w:tcMar>
            <w:vAlign w:val="center"/>
          </w:tcPr>
          <w:p w:rsidRPr="00E66BDB" w:rsidR="002579FD" w:rsidP="002579FD" w:rsidRDefault="002579FD" w14:paraId="7E6E18B4" w14:textId="7BF6F1A7">
            <w:pPr>
              <w:rPr>
                <w:rFonts w:cs="Calibri"/>
                <w:sz w:val="21"/>
                <w:szCs w:val="21"/>
              </w:rPr>
            </w:pPr>
            <w:r w:rsidRPr="00E66BDB">
              <w:rPr>
                <w:rFonts w:cs="Calibri"/>
                <w:sz w:val="21"/>
                <w:szCs w:val="21"/>
              </w:rPr>
              <w:t>Total number of blowdowns</w:t>
            </w:r>
            <w:r>
              <w:rPr>
                <w:rFonts w:cs="Calibri"/>
                <w:sz w:val="21"/>
                <w:szCs w:val="21"/>
              </w:rPr>
              <w:t xml:space="preserve"> to which a BMP was applied</w:t>
            </w:r>
          </w:p>
        </w:tc>
        <w:tc>
          <w:tcPr>
            <w:tcW w:w="720" w:type="dxa"/>
            <w:shd w:val="clear" w:color="auto" w:fill="D9D9D9" w:themeFill="background1" w:themeFillShade="D9"/>
            <w:vAlign w:val="center"/>
          </w:tcPr>
          <w:p w:rsidRPr="00E66BDB" w:rsidR="002579FD" w:rsidP="002579FD" w:rsidRDefault="002579FD" w14:paraId="60B6A84D" w14:textId="77777777">
            <w:pPr>
              <w:jc w:val="center"/>
              <w:rPr>
                <w:rFonts w:cs="Calibri"/>
                <w:sz w:val="21"/>
                <w:szCs w:val="21"/>
              </w:rPr>
            </w:pPr>
          </w:p>
        </w:tc>
      </w:tr>
      <w:tr w:rsidRPr="00E66BDB" w:rsidR="002579FD" w:rsidTr="00F371C5" w14:paraId="1C470FD8" w14:textId="77777777">
        <w:tblPrEx>
          <w:jc w:val="left"/>
        </w:tblPrEx>
        <w:trPr>
          <w:trHeight w:val="54"/>
        </w:trPr>
        <w:tc>
          <w:tcPr>
            <w:tcW w:w="1440" w:type="dxa"/>
            <w:vMerge/>
            <w:shd w:val="clear" w:color="auto" w:fill="D9D9D9" w:themeFill="background1" w:themeFillShade="D9"/>
            <w:vAlign w:val="center"/>
          </w:tcPr>
          <w:p w:rsidRPr="00E66BDB" w:rsidR="002579FD" w:rsidP="002579FD" w:rsidRDefault="002579FD" w14:paraId="34B2CAA6" w14:textId="77777777">
            <w:pPr>
              <w:jc w:val="center"/>
              <w:rPr>
                <w:rFonts w:cs="Calibri"/>
                <w:sz w:val="21"/>
                <w:szCs w:val="21"/>
              </w:rPr>
            </w:pPr>
          </w:p>
        </w:tc>
        <w:tc>
          <w:tcPr>
            <w:tcW w:w="1526" w:type="dxa"/>
            <w:vMerge/>
            <w:shd w:val="clear" w:color="auto" w:fill="D9D9D9" w:themeFill="background1" w:themeFillShade="D9"/>
            <w:vAlign w:val="center"/>
          </w:tcPr>
          <w:p w:rsidRPr="00E66BDB" w:rsidR="002579FD" w:rsidP="002579FD" w:rsidRDefault="002579FD" w14:paraId="4A150451" w14:textId="77777777">
            <w:pPr>
              <w:jc w:val="center"/>
              <w:rPr>
                <w:rFonts w:cs="Calibri"/>
                <w:sz w:val="21"/>
                <w:szCs w:val="21"/>
              </w:rPr>
            </w:pPr>
          </w:p>
        </w:tc>
        <w:tc>
          <w:tcPr>
            <w:tcW w:w="5674" w:type="dxa"/>
            <w:shd w:val="clear" w:color="auto" w:fill="D9D9D9" w:themeFill="background1" w:themeFillShade="D9"/>
            <w:tcMar>
              <w:left w:w="29" w:type="dxa"/>
              <w:right w:w="29" w:type="dxa"/>
            </w:tcMar>
            <w:vAlign w:val="center"/>
          </w:tcPr>
          <w:p w:rsidRPr="00E66BDB" w:rsidR="002579FD" w:rsidP="002579FD" w:rsidRDefault="002579FD" w14:paraId="2353723E" w14:textId="77777777">
            <w:pPr>
              <w:rPr>
                <w:rFonts w:cs="Calibri"/>
                <w:sz w:val="21"/>
                <w:szCs w:val="21"/>
              </w:rPr>
            </w:pPr>
            <w:r w:rsidRPr="00E66BDB">
              <w:rPr>
                <w:rFonts w:cs="Calibri"/>
                <w:sz w:val="21"/>
                <w:szCs w:val="21"/>
              </w:rPr>
              <w:t>Number of blowdowns that routed gas to a:</w:t>
            </w:r>
          </w:p>
        </w:tc>
        <w:tc>
          <w:tcPr>
            <w:tcW w:w="720" w:type="dxa"/>
            <w:shd w:val="clear" w:color="auto" w:fill="D9D9D9" w:themeFill="background1" w:themeFillShade="D9"/>
            <w:vAlign w:val="center"/>
          </w:tcPr>
          <w:p w:rsidRPr="00E66BDB" w:rsidR="002579FD" w:rsidP="002579FD" w:rsidRDefault="002579FD" w14:paraId="53526DB1" w14:textId="77777777">
            <w:pPr>
              <w:jc w:val="center"/>
              <w:rPr>
                <w:rFonts w:cs="Calibri"/>
                <w:sz w:val="21"/>
                <w:szCs w:val="21"/>
              </w:rPr>
            </w:pPr>
          </w:p>
        </w:tc>
      </w:tr>
      <w:tr w:rsidRPr="00E66BDB" w:rsidR="002579FD" w:rsidTr="00F371C5" w14:paraId="55883BFC" w14:textId="77777777">
        <w:tblPrEx>
          <w:jc w:val="left"/>
        </w:tblPrEx>
        <w:trPr>
          <w:trHeight w:val="260"/>
        </w:trPr>
        <w:tc>
          <w:tcPr>
            <w:tcW w:w="1440" w:type="dxa"/>
            <w:vMerge/>
            <w:shd w:val="clear" w:color="auto" w:fill="D9D9D9" w:themeFill="background1" w:themeFillShade="D9"/>
            <w:vAlign w:val="center"/>
          </w:tcPr>
          <w:p w:rsidRPr="00E66BDB" w:rsidR="002579FD" w:rsidP="002579FD" w:rsidRDefault="002579FD" w14:paraId="6D37A490" w14:textId="77777777">
            <w:pPr>
              <w:jc w:val="center"/>
              <w:rPr>
                <w:rFonts w:cs="Calibri"/>
                <w:sz w:val="21"/>
                <w:szCs w:val="21"/>
              </w:rPr>
            </w:pPr>
          </w:p>
        </w:tc>
        <w:tc>
          <w:tcPr>
            <w:tcW w:w="1526" w:type="dxa"/>
            <w:vMerge/>
            <w:shd w:val="clear" w:color="auto" w:fill="D9D9D9" w:themeFill="background1" w:themeFillShade="D9"/>
            <w:vAlign w:val="center"/>
          </w:tcPr>
          <w:p w:rsidRPr="00E66BDB" w:rsidR="002579FD" w:rsidP="002579FD" w:rsidRDefault="002579FD" w14:paraId="0AB11304" w14:textId="77777777">
            <w:pPr>
              <w:jc w:val="center"/>
              <w:rPr>
                <w:rFonts w:cs="Calibri"/>
                <w:sz w:val="21"/>
                <w:szCs w:val="21"/>
              </w:rPr>
            </w:pPr>
          </w:p>
        </w:tc>
        <w:tc>
          <w:tcPr>
            <w:tcW w:w="5674" w:type="dxa"/>
            <w:shd w:val="clear" w:color="auto" w:fill="D9D9D9" w:themeFill="background1" w:themeFillShade="D9"/>
            <w:tcMar>
              <w:left w:w="29" w:type="dxa"/>
              <w:right w:w="29" w:type="dxa"/>
            </w:tcMar>
            <w:vAlign w:val="center"/>
          </w:tcPr>
          <w:p w:rsidRPr="00E66BDB" w:rsidR="002579FD" w:rsidP="002579FD" w:rsidRDefault="002579FD" w14:paraId="463326BE" w14:textId="77777777">
            <w:pPr>
              <w:ind w:left="288"/>
              <w:rPr>
                <w:rFonts w:cs="Calibri"/>
                <w:sz w:val="21"/>
                <w:szCs w:val="21"/>
              </w:rPr>
            </w:pPr>
            <w:r w:rsidRPr="00E66BDB">
              <w:rPr>
                <w:rFonts w:cs="Calibri"/>
                <w:sz w:val="21"/>
                <w:szCs w:val="21"/>
              </w:rPr>
              <w:t>Compressor or capture system for beneficial use</w:t>
            </w:r>
          </w:p>
        </w:tc>
        <w:tc>
          <w:tcPr>
            <w:tcW w:w="720" w:type="dxa"/>
            <w:shd w:val="clear" w:color="auto" w:fill="D9D9D9" w:themeFill="background1" w:themeFillShade="D9"/>
            <w:vAlign w:val="center"/>
          </w:tcPr>
          <w:p w:rsidRPr="00E66BDB" w:rsidR="002579FD" w:rsidP="002579FD" w:rsidRDefault="002579FD" w14:paraId="336219E5" w14:textId="77777777">
            <w:pPr>
              <w:jc w:val="center"/>
              <w:rPr>
                <w:rFonts w:cs="Calibri"/>
                <w:sz w:val="21"/>
                <w:szCs w:val="21"/>
              </w:rPr>
            </w:pPr>
          </w:p>
        </w:tc>
      </w:tr>
      <w:tr w:rsidRPr="00E66BDB" w:rsidR="002579FD" w:rsidTr="00F371C5" w14:paraId="6362FF76" w14:textId="77777777">
        <w:tblPrEx>
          <w:jc w:val="left"/>
        </w:tblPrEx>
        <w:trPr>
          <w:trHeight w:val="260"/>
        </w:trPr>
        <w:tc>
          <w:tcPr>
            <w:tcW w:w="1440" w:type="dxa"/>
            <w:vMerge/>
            <w:shd w:val="clear" w:color="auto" w:fill="D9D9D9" w:themeFill="background1" w:themeFillShade="D9"/>
            <w:vAlign w:val="center"/>
          </w:tcPr>
          <w:p w:rsidRPr="00E66BDB" w:rsidR="002579FD" w:rsidP="002579FD" w:rsidRDefault="002579FD" w14:paraId="66720B8F" w14:textId="77777777">
            <w:pPr>
              <w:jc w:val="center"/>
              <w:rPr>
                <w:rFonts w:cs="Calibri"/>
                <w:sz w:val="21"/>
                <w:szCs w:val="21"/>
              </w:rPr>
            </w:pPr>
          </w:p>
        </w:tc>
        <w:tc>
          <w:tcPr>
            <w:tcW w:w="1526" w:type="dxa"/>
            <w:vMerge/>
            <w:shd w:val="clear" w:color="auto" w:fill="D9D9D9" w:themeFill="background1" w:themeFillShade="D9"/>
            <w:vAlign w:val="center"/>
          </w:tcPr>
          <w:p w:rsidRPr="00E66BDB" w:rsidR="002579FD" w:rsidP="002579FD" w:rsidRDefault="002579FD" w14:paraId="4032650F" w14:textId="77777777">
            <w:pPr>
              <w:jc w:val="center"/>
              <w:rPr>
                <w:rFonts w:cs="Calibri"/>
                <w:sz w:val="21"/>
                <w:szCs w:val="21"/>
              </w:rPr>
            </w:pPr>
          </w:p>
        </w:tc>
        <w:tc>
          <w:tcPr>
            <w:tcW w:w="5674" w:type="dxa"/>
            <w:shd w:val="clear" w:color="auto" w:fill="D9D9D9" w:themeFill="background1" w:themeFillShade="D9"/>
            <w:tcMar>
              <w:left w:w="29" w:type="dxa"/>
              <w:right w:w="29" w:type="dxa"/>
            </w:tcMar>
            <w:vAlign w:val="center"/>
          </w:tcPr>
          <w:p w:rsidRPr="00E66BDB" w:rsidR="002579FD" w:rsidP="002579FD" w:rsidRDefault="002579FD" w14:paraId="685BD0CE" w14:textId="77777777">
            <w:pPr>
              <w:ind w:left="288"/>
              <w:rPr>
                <w:rFonts w:cs="Calibri"/>
                <w:sz w:val="21"/>
                <w:szCs w:val="21"/>
              </w:rPr>
            </w:pPr>
            <w:r w:rsidRPr="00E66BDB">
              <w:rPr>
                <w:rFonts w:cs="Calibri"/>
                <w:sz w:val="21"/>
                <w:szCs w:val="21"/>
              </w:rPr>
              <w:t>Flare</w:t>
            </w:r>
            <w:r w:rsidRPr="00E66BDB">
              <w:rPr>
                <w:rFonts w:cs="Calibri"/>
                <w:sz w:val="21"/>
                <w:szCs w:val="21"/>
                <w:vertAlign w:val="superscript"/>
              </w:rPr>
              <w:footnoteReference w:id="59"/>
            </w:r>
          </w:p>
        </w:tc>
        <w:tc>
          <w:tcPr>
            <w:tcW w:w="720" w:type="dxa"/>
            <w:shd w:val="clear" w:color="auto" w:fill="D9D9D9" w:themeFill="background1" w:themeFillShade="D9"/>
            <w:vAlign w:val="center"/>
          </w:tcPr>
          <w:p w:rsidRPr="00E66BDB" w:rsidR="002579FD" w:rsidP="002579FD" w:rsidRDefault="002579FD" w14:paraId="25665F4E" w14:textId="77777777">
            <w:pPr>
              <w:jc w:val="center"/>
              <w:rPr>
                <w:rFonts w:cs="Calibri"/>
                <w:sz w:val="21"/>
                <w:szCs w:val="21"/>
              </w:rPr>
            </w:pPr>
          </w:p>
        </w:tc>
      </w:tr>
      <w:tr w:rsidRPr="00E66BDB" w:rsidR="002579FD" w:rsidTr="00F371C5" w14:paraId="3E385FC9" w14:textId="77777777">
        <w:tblPrEx>
          <w:jc w:val="left"/>
        </w:tblPrEx>
        <w:trPr>
          <w:trHeight w:val="260"/>
        </w:trPr>
        <w:tc>
          <w:tcPr>
            <w:tcW w:w="1440" w:type="dxa"/>
            <w:vMerge/>
            <w:shd w:val="clear" w:color="auto" w:fill="D9D9D9" w:themeFill="background1" w:themeFillShade="D9"/>
            <w:vAlign w:val="center"/>
          </w:tcPr>
          <w:p w:rsidRPr="00E66BDB" w:rsidR="002579FD" w:rsidP="002579FD" w:rsidRDefault="002579FD" w14:paraId="67EF40AF" w14:textId="77777777">
            <w:pPr>
              <w:jc w:val="center"/>
              <w:rPr>
                <w:rFonts w:cs="Calibri"/>
                <w:sz w:val="21"/>
                <w:szCs w:val="21"/>
              </w:rPr>
            </w:pPr>
          </w:p>
        </w:tc>
        <w:tc>
          <w:tcPr>
            <w:tcW w:w="1526" w:type="dxa"/>
            <w:vMerge/>
            <w:shd w:val="clear" w:color="auto" w:fill="D9D9D9" w:themeFill="background1" w:themeFillShade="D9"/>
            <w:vAlign w:val="center"/>
          </w:tcPr>
          <w:p w:rsidRPr="00E66BDB" w:rsidR="002579FD" w:rsidP="002579FD" w:rsidRDefault="002579FD" w14:paraId="60916C36" w14:textId="77777777">
            <w:pPr>
              <w:jc w:val="center"/>
              <w:rPr>
                <w:rFonts w:cs="Calibri"/>
                <w:sz w:val="21"/>
                <w:szCs w:val="21"/>
              </w:rPr>
            </w:pPr>
          </w:p>
        </w:tc>
        <w:tc>
          <w:tcPr>
            <w:tcW w:w="5674" w:type="dxa"/>
            <w:shd w:val="clear" w:color="auto" w:fill="D9D9D9" w:themeFill="background1" w:themeFillShade="D9"/>
            <w:tcMar>
              <w:left w:w="29" w:type="dxa"/>
              <w:right w:w="29" w:type="dxa"/>
            </w:tcMar>
            <w:vAlign w:val="center"/>
          </w:tcPr>
          <w:p w:rsidRPr="00E66BDB" w:rsidR="002579FD" w:rsidP="002579FD" w:rsidRDefault="002579FD" w14:paraId="45F1505F" w14:textId="77777777">
            <w:pPr>
              <w:ind w:left="288"/>
              <w:rPr>
                <w:rFonts w:cs="Calibri"/>
                <w:sz w:val="21"/>
                <w:szCs w:val="21"/>
              </w:rPr>
            </w:pPr>
            <w:r w:rsidRPr="00E66BDB">
              <w:rPr>
                <w:rFonts w:cs="Calibri"/>
                <w:sz w:val="21"/>
                <w:szCs w:val="21"/>
              </w:rPr>
              <w:t>Low-pressure system</w:t>
            </w:r>
          </w:p>
        </w:tc>
        <w:tc>
          <w:tcPr>
            <w:tcW w:w="720" w:type="dxa"/>
            <w:shd w:val="clear" w:color="auto" w:fill="D9D9D9" w:themeFill="background1" w:themeFillShade="D9"/>
            <w:vAlign w:val="center"/>
          </w:tcPr>
          <w:p w:rsidRPr="00E66BDB" w:rsidR="002579FD" w:rsidP="002579FD" w:rsidRDefault="002579FD" w14:paraId="55A536E9" w14:textId="77777777">
            <w:pPr>
              <w:jc w:val="center"/>
              <w:rPr>
                <w:rFonts w:cs="Calibri"/>
                <w:sz w:val="21"/>
                <w:szCs w:val="21"/>
              </w:rPr>
            </w:pPr>
          </w:p>
        </w:tc>
      </w:tr>
      <w:tr w:rsidRPr="00E66BDB" w:rsidR="002579FD" w:rsidTr="00F371C5" w14:paraId="1DC8C92C" w14:textId="77777777">
        <w:tblPrEx>
          <w:jc w:val="left"/>
        </w:tblPrEx>
        <w:trPr>
          <w:trHeight w:val="260"/>
        </w:trPr>
        <w:tc>
          <w:tcPr>
            <w:tcW w:w="1440" w:type="dxa"/>
            <w:vMerge/>
            <w:shd w:val="clear" w:color="auto" w:fill="D9D9D9" w:themeFill="background1" w:themeFillShade="D9"/>
            <w:vAlign w:val="center"/>
          </w:tcPr>
          <w:p w:rsidRPr="00E66BDB" w:rsidR="002579FD" w:rsidP="002579FD" w:rsidRDefault="002579FD" w14:paraId="13BF8561" w14:textId="77777777">
            <w:pPr>
              <w:jc w:val="center"/>
              <w:rPr>
                <w:rFonts w:cs="Calibri"/>
                <w:sz w:val="21"/>
                <w:szCs w:val="21"/>
              </w:rPr>
            </w:pPr>
          </w:p>
        </w:tc>
        <w:tc>
          <w:tcPr>
            <w:tcW w:w="1526" w:type="dxa"/>
            <w:vMerge/>
            <w:shd w:val="clear" w:color="auto" w:fill="D9D9D9" w:themeFill="background1" w:themeFillShade="D9"/>
            <w:vAlign w:val="center"/>
          </w:tcPr>
          <w:p w:rsidRPr="00E66BDB" w:rsidR="002579FD" w:rsidP="002579FD" w:rsidRDefault="002579FD" w14:paraId="356C882C" w14:textId="77777777">
            <w:pPr>
              <w:jc w:val="center"/>
              <w:rPr>
                <w:rFonts w:cs="Calibri"/>
                <w:sz w:val="21"/>
                <w:szCs w:val="21"/>
              </w:rPr>
            </w:pPr>
          </w:p>
        </w:tc>
        <w:tc>
          <w:tcPr>
            <w:tcW w:w="5674" w:type="dxa"/>
            <w:shd w:val="clear" w:color="auto" w:fill="D9D9D9" w:themeFill="background1" w:themeFillShade="D9"/>
            <w:tcMar>
              <w:left w:w="29" w:type="dxa"/>
              <w:right w:w="29" w:type="dxa"/>
            </w:tcMar>
            <w:vAlign w:val="center"/>
          </w:tcPr>
          <w:p w:rsidRPr="00E66BDB" w:rsidR="002579FD" w:rsidP="002579FD" w:rsidRDefault="002579FD" w14:paraId="1FB0C0BA" w14:textId="77777777">
            <w:pPr>
              <w:rPr>
                <w:rFonts w:cs="Calibri"/>
                <w:sz w:val="21"/>
                <w:szCs w:val="21"/>
              </w:rPr>
            </w:pPr>
            <w:r w:rsidRPr="00E66BDB">
              <w:rPr>
                <w:rFonts w:cstheme="minorHAnsi"/>
                <w:sz w:val="21"/>
                <w:szCs w:val="21"/>
              </w:rPr>
              <w:t>Number of hot taps utilized that avoided the need to blowdown gas to the atmosphere</w:t>
            </w:r>
          </w:p>
        </w:tc>
        <w:tc>
          <w:tcPr>
            <w:tcW w:w="720" w:type="dxa"/>
            <w:shd w:val="clear" w:color="auto" w:fill="D9D9D9" w:themeFill="background1" w:themeFillShade="D9"/>
            <w:vAlign w:val="center"/>
          </w:tcPr>
          <w:p w:rsidRPr="00E66BDB" w:rsidR="002579FD" w:rsidP="002579FD" w:rsidRDefault="002579FD" w14:paraId="5ADE50A6" w14:textId="77777777">
            <w:pPr>
              <w:jc w:val="center"/>
              <w:rPr>
                <w:rFonts w:cs="Calibri"/>
                <w:sz w:val="21"/>
                <w:szCs w:val="21"/>
              </w:rPr>
            </w:pPr>
          </w:p>
        </w:tc>
      </w:tr>
      <w:tr w:rsidRPr="00E66BDB" w:rsidR="002579FD" w:rsidTr="00F371C5" w14:paraId="01A6DFA1" w14:textId="77777777">
        <w:tblPrEx>
          <w:jc w:val="left"/>
        </w:tblPrEx>
        <w:trPr>
          <w:trHeight w:val="287"/>
        </w:trPr>
        <w:tc>
          <w:tcPr>
            <w:tcW w:w="1440" w:type="dxa"/>
            <w:vMerge/>
            <w:shd w:val="clear" w:color="auto" w:fill="D9D9D9" w:themeFill="background1" w:themeFillShade="D9"/>
            <w:vAlign w:val="center"/>
          </w:tcPr>
          <w:p w:rsidRPr="00E66BDB" w:rsidR="002579FD" w:rsidP="002579FD" w:rsidRDefault="002579FD" w14:paraId="3ADA60CC" w14:textId="77777777">
            <w:pPr>
              <w:rPr>
                <w:rFonts w:cs="Calibri"/>
                <w:sz w:val="21"/>
                <w:szCs w:val="21"/>
              </w:rPr>
            </w:pPr>
          </w:p>
        </w:tc>
        <w:tc>
          <w:tcPr>
            <w:tcW w:w="1526" w:type="dxa"/>
            <w:vMerge/>
            <w:shd w:val="clear" w:color="auto" w:fill="D9D9D9" w:themeFill="background1" w:themeFillShade="D9"/>
            <w:vAlign w:val="center"/>
          </w:tcPr>
          <w:p w:rsidRPr="00E66BDB" w:rsidR="002579FD" w:rsidP="002579FD" w:rsidRDefault="002579FD" w14:paraId="66C03458" w14:textId="77777777">
            <w:pPr>
              <w:jc w:val="center"/>
              <w:rPr>
                <w:rFonts w:cs="Calibri"/>
                <w:sz w:val="21"/>
                <w:szCs w:val="21"/>
              </w:rPr>
            </w:pPr>
          </w:p>
        </w:tc>
        <w:tc>
          <w:tcPr>
            <w:tcW w:w="5674" w:type="dxa"/>
            <w:shd w:val="clear" w:color="auto" w:fill="D9D9D9" w:themeFill="background1" w:themeFillShade="D9"/>
            <w:tcMar>
              <w:left w:w="29" w:type="dxa"/>
              <w:right w:w="29" w:type="dxa"/>
            </w:tcMar>
            <w:vAlign w:val="center"/>
          </w:tcPr>
          <w:p w:rsidRPr="00E66BDB" w:rsidR="002579FD" w:rsidP="002579FD" w:rsidRDefault="002579FD" w14:paraId="76A503AF" w14:textId="77777777">
            <w:pPr>
              <w:rPr>
                <w:rFonts w:cstheme="minorHAnsi"/>
                <w:sz w:val="21"/>
                <w:szCs w:val="21"/>
              </w:rPr>
            </w:pPr>
            <w:r w:rsidRPr="00E66BDB">
              <w:rPr>
                <w:rFonts w:cstheme="minorHAnsi"/>
                <w:sz w:val="21"/>
                <w:szCs w:val="21"/>
              </w:rPr>
              <w:t>Total potential emissions (mt CH</w:t>
            </w:r>
            <w:r w:rsidRPr="00E66BDB">
              <w:rPr>
                <w:rFonts w:cstheme="minorHAnsi"/>
                <w:sz w:val="21"/>
                <w:szCs w:val="21"/>
                <w:vertAlign w:val="subscript"/>
              </w:rPr>
              <w:t>4</w:t>
            </w:r>
            <w:r w:rsidRPr="00E66BDB">
              <w:rPr>
                <w:rFonts w:cstheme="minorHAnsi"/>
                <w:sz w:val="21"/>
                <w:szCs w:val="21"/>
              </w:rPr>
              <w:t>)</w:t>
            </w:r>
          </w:p>
        </w:tc>
        <w:tc>
          <w:tcPr>
            <w:tcW w:w="720" w:type="dxa"/>
            <w:shd w:val="clear" w:color="auto" w:fill="D9D9D9" w:themeFill="background1" w:themeFillShade="D9"/>
            <w:vAlign w:val="center"/>
          </w:tcPr>
          <w:p w:rsidRPr="00E66BDB" w:rsidR="002579FD" w:rsidP="002579FD" w:rsidRDefault="002579FD" w14:paraId="338B4A1C" w14:textId="77777777">
            <w:pPr>
              <w:jc w:val="center"/>
              <w:rPr>
                <w:rFonts w:cs="Calibri"/>
                <w:sz w:val="21"/>
                <w:szCs w:val="21"/>
              </w:rPr>
            </w:pPr>
          </w:p>
        </w:tc>
      </w:tr>
      <w:tr w:rsidRPr="00E66BDB" w:rsidR="002579FD" w:rsidTr="00F371C5" w14:paraId="7CAA70CB" w14:textId="77777777">
        <w:tblPrEx>
          <w:jc w:val="left"/>
        </w:tblPrEx>
        <w:trPr>
          <w:trHeight w:val="260"/>
        </w:trPr>
        <w:tc>
          <w:tcPr>
            <w:tcW w:w="1440" w:type="dxa"/>
            <w:vMerge/>
            <w:shd w:val="clear" w:color="auto" w:fill="D9D9D9" w:themeFill="background1" w:themeFillShade="D9"/>
            <w:vAlign w:val="center"/>
          </w:tcPr>
          <w:p w:rsidRPr="00E66BDB" w:rsidR="002579FD" w:rsidP="002579FD" w:rsidRDefault="002579FD" w14:paraId="79DDD397" w14:textId="77777777">
            <w:pPr>
              <w:jc w:val="center"/>
              <w:rPr>
                <w:rFonts w:cs="Calibri"/>
                <w:sz w:val="21"/>
                <w:szCs w:val="21"/>
              </w:rPr>
            </w:pPr>
          </w:p>
        </w:tc>
        <w:tc>
          <w:tcPr>
            <w:tcW w:w="1526" w:type="dxa"/>
            <w:vMerge/>
            <w:shd w:val="clear" w:color="auto" w:fill="D9D9D9" w:themeFill="background1" w:themeFillShade="D9"/>
            <w:vAlign w:val="center"/>
          </w:tcPr>
          <w:p w:rsidRPr="00E66BDB" w:rsidR="002579FD" w:rsidP="002579FD" w:rsidRDefault="002579FD" w14:paraId="4E0B3939" w14:textId="77777777">
            <w:pPr>
              <w:jc w:val="center"/>
              <w:rPr>
                <w:rFonts w:cs="Calibri"/>
                <w:sz w:val="21"/>
                <w:szCs w:val="21"/>
              </w:rPr>
            </w:pPr>
          </w:p>
        </w:tc>
        <w:tc>
          <w:tcPr>
            <w:tcW w:w="5674" w:type="dxa"/>
            <w:shd w:val="clear" w:color="auto" w:fill="D9D9D9" w:themeFill="background1" w:themeFillShade="D9"/>
            <w:tcMar>
              <w:left w:w="29" w:type="dxa"/>
              <w:right w:w="29" w:type="dxa"/>
            </w:tcMar>
            <w:vAlign w:val="center"/>
          </w:tcPr>
          <w:p w:rsidRPr="00E66BDB" w:rsidR="002579FD" w:rsidP="002579FD" w:rsidRDefault="002579FD" w14:paraId="1F9F1E58" w14:textId="77777777">
            <w:pPr>
              <w:rPr>
                <w:rFonts w:cstheme="minorHAnsi"/>
                <w:sz w:val="21"/>
                <w:szCs w:val="21"/>
              </w:rPr>
            </w:pPr>
            <w:r w:rsidRPr="00E66BDB">
              <w:rPr>
                <w:rFonts w:cstheme="minorHAnsi"/>
                <w:sz w:val="21"/>
                <w:szCs w:val="21"/>
              </w:rPr>
              <w:t>Emission reductions from voluntary action (mt CH</w:t>
            </w:r>
            <w:r w:rsidRPr="005D221D">
              <w:rPr>
                <w:rFonts w:cstheme="minorHAnsi"/>
                <w:sz w:val="21"/>
                <w:szCs w:val="21"/>
                <w:vertAlign w:val="subscript"/>
              </w:rPr>
              <w:t>4</w:t>
            </w:r>
            <w:r w:rsidRPr="00E66BDB">
              <w:rPr>
                <w:rFonts w:cstheme="minorHAnsi"/>
                <w:sz w:val="21"/>
                <w:szCs w:val="21"/>
              </w:rPr>
              <w:t>)</w:t>
            </w:r>
          </w:p>
        </w:tc>
        <w:tc>
          <w:tcPr>
            <w:tcW w:w="720" w:type="dxa"/>
            <w:shd w:val="clear" w:color="auto" w:fill="D9D9D9" w:themeFill="background1" w:themeFillShade="D9"/>
            <w:vAlign w:val="center"/>
          </w:tcPr>
          <w:p w:rsidRPr="00E66BDB" w:rsidR="002579FD" w:rsidP="002579FD" w:rsidRDefault="002579FD" w14:paraId="365BD941" w14:textId="77777777">
            <w:pPr>
              <w:jc w:val="center"/>
              <w:rPr>
                <w:rFonts w:cs="Calibri"/>
                <w:sz w:val="21"/>
                <w:szCs w:val="21"/>
              </w:rPr>
            </w:pPr>
          </w:p>
        </w:tc>
      </w:tr>
    </w:tbl>
    <w:p w:rsidRPr="00E66BDB" w:rsidR="0030161A" w:rsidP="0030161A" w:rsidRDefault="0030161A" w14:paraId="31B62850" w14:textId="77777777">
      <w:pPr>
        <w:rPr>
          <w:rFonts w:cstheme="minorHAnsi"/>
          <w:szCs w:val="22"/>
          <w:u w:val="single"/>
        </w:rPr>
      </w:pPr>
    </w:p>
    <w:p w:rsidR="00DD1159" w:rsidP="00084222" w:rsidRDefault="0030161A" w14:paraId="41D81C7B" w14:textId="42461B69">
      <w:pPr>
        <w:pStyle w:val="Heading2"/>
      </w:pPr>
      <w:r>
        <w:br w:type="page"/>
      </w:r>
      <w:bookmarkStart w:name="_Toc431980566" w:id="30"/>
    </w:p>
    <w:p w:rsidRPr="00B01543" w:rsidR="00B01543" w:rsidP="00084222" w:rsidRDefault="00B01543" w14:paraId="719CB727" w14:textId="2CCCA4B9">
      <w:pPr>
        <w:pStyle w:val="Heading2"/>
      </w:pPr>
      <w:bookmarkStart w:name="_Ref67321351" w:id="31"/>
      <w:bookmarkStart w:name="_Toc67322587" w:id="32"/>
      <w:r w:rsidRPr="00B01543">
        <w:lastRenderedPageBreak/>
        <w:t>Mains – Cast Iron and Unprotected Steel</w:t>
      </w:r>
      <w:bookmarkEnd w:id="30"/>
      <w:bookmarkEnd w:id="31"/>
      <w:bookmarkEnd w:id="32"/>
      <w:r w:rsidRPr="00B01543">
        <w:t xml:space="preserve"> </w:t>
      </w:r>
    </w:p>
    <w:p w:rsidRPr="009B0364" w:rsidR="003D48E2" w:rsidP="003D48E2" w:rsidRDefault="003D48E2" w14:paraId="5C28AB7B" w14:textId="77777777">
      <w:pPr>
        <w:rPr>
          <w:rFonts w:ascii="Calibri" w:hAnsi="Calibri" w:cs="Calibri"/>
          <w:szCs w:val="22"/>
          <w:u w:val="single"/>
        </w:rPr>
      </w:pPr>
      <w:r>
        <w:rPr>
          <w:rFonts w:ascii="Calibri" w:hAnsi="Calibri" w:cs="Calibri"/>
          <w:szCs w:val="22"/>
          <w:u w:val="single"/>
        </w:rPr>
        <w:t>Applicable Segments:</w:t>
      </w:r>
      <w:r w:rsidRPr="00053AA8">
        <w:rPr>
          <w:rFonts w:ascii="Calibri" w:hAnsi="Calibri" w:cs="Calibri"/>
          <w:szCs w:val="22"/>
        </w:rPr>
        <w:t xml:space="preserve"> </w:t>
      </w:r>
      <w:r>
        <w:rPr>
          <w:rFonts w:ascii="Calibri" w:hAnsi="Calibri" w:cs="Calibri"/>
          <w:szCs w:val="22"/>
        </w:rPr>
        <w:t>Distribution</w:t>
      </w:r>
    </w:p>
    <w:p w:rsidRPr="00B01543" w:rsidR="00B01543" w:rsidP="001D4009" w:rsidRDefault="00B01543" w14:paraId="2C893C81" w14:textId="242BBE0F">
      <w:pPr>
        <w:rPr>
          <w:rFonts w:ascii="Calibri" w:hAnsi="Calibri" w:cs="Calibri"/>
          <w:szCs w:val="22"/>
        </w:rPr>
      </w:pPr>
      <w:r w:rsidRPr="00B01543">
        <w:rPr>
          <w:rFonts w:ascii="Calibri" w:hAnsi="Calibri" w:cs="Calibri"/>
          <w:szCs w:val="22"/>
          <w:u w:val="single"/>
        </w:rPr>
        <w:t>Source Description</w:t>
      </w:r>
      <w:r w:rsidRPr="00B01543">
        <w:rPr>
          <w:rFonts w:ascii="Calibri" w:hAnsi="Calibri" w:cs="Calibri"/>
          <w:szCs w:val="22"/>
        </w:rPr>
        <w:t>: Distribution mains are natural gas distribution pipelines that serve as a common source of supply for more than one service line.</w:t>
      </w:r>
      <w:r w:rsidRPr="00B01543">
        <w:rPr>
          <w:rFonts w:ascii="Calibri" w:hAnsi="Calibri" w:cs="Calibri"/>
          <w:szCs w:val="22"/>
          <w:vertAlign w:val="superscript"/>
        </w:rPr>
        <w:footnoteReference w:id="60"/>
      </w:r>
      <w:r w:rsidRPr="00B01543">
        <w:rPr>
          <w:rFonts w:ascii="Calibri" w:hAnsi="Calibri" w:cs="Calibri"/>
          <w:szCs w:val="22"/>
        </w:rPr>
        <w:t xml:space="preserve"> This source covers cast iron and unprotected steel mains (steel mains without cathodic protection).</w:t>
      </w:r>
      <w:r w:rsidR="000834ED">
        <w:rPr>
          <w:rFonts w:ascii="Calibri" w:hAnsi="Calibri" w:cs="Calibri"/>
          <w:szCs w:val="22"/>
        </w:rPr>
        <w:t xml:space="preserve"> </w:t>
      </w:r>
    </w:p>
    <w:p w:rsidRPr="00B01543" w:rsidR="00774977" w:rsidP="001D4009" w:rsidRDefault="00B01543" w14:paraId="4509F2FE" w14:textId="77777777">
      <w:pPr>
        <w:rPr>
          <w:rFonts w:ascii="Calibri" w:hAnsi="Calibri" w:cs="Calibri"/>
          <w:szCs w:val="22"/>
        </w:rPr>
      </w:pPr>
      <w:r w:rsidRPr="00B01543">
        <w:rPr>
          <w:rFonts w:ascii="Calibri" w:hAnsi="Calibri" w:cs="Calibri"/>
          <w:szCs w:val="22"/>
          <w:u w:val="single"/>
        </w:rPr>
        <w:t>Mitigation Options</w:t>
      </w:r>
      <w:r w:rsidRPr="00B01543">
        <w:rPr>
          <w:rFonts w:ascii="Calibri" w:hAnsi="Calibri" w:cs="Calibri"/>
          <w:szCs w:val="22"/>
        </w:rPr>
        <w:t xml:space="preserve">: </w:t>
      </w:r>
    </w:p>
    <w:p w:rsidRPr="00B01543" w:rsidR="00B01543" w:rsidP="00EB3012" w:rsidRDefault="00B01543" w14:paraId="29BBCBCC" w14:textId="2067EAED">
      <w:pPr>
        <w:numPr>
          <w:ilvl w:val="0"/>
          <w:numId w:val="7"/>
        </w:numPr>
        <w:contextualSpacing/>
        <w:rPr>
          <w:rFonts w:ascii="Calibri" w:hAnsi="Calibri" w:cs="Calibri" w:eastAsiaTheme="minorEastAsia"/>
          <w:color w:val="000000"/>
          <w:szCs w:val="22"/>
        </w:rPr>
      </w:pPr>
      <w:r w:rsidRPr="00B01543">
        <w:rPr>
          <w:rFonts w:ascii="Calibri" w:hAnsi="Calibri" w:cs="Calibri" w:eastAsiaTheme="minorEastAsia"/>
          <w:color w:val="000000"/>
          <w:szCs w:val="22"/>
        </w:rPr>
        <w:t>Replace cast iron mains with plastic or cathodically protected steel and replace or cathodically protect unprotected steel mains</w:t>
      </w:r>
      <w:r w:rsidR="00D16739">
        <w:rPr>
          <w:rFonts w:ascii="Calibri" w:hAnsi="Calibri" w:cs="Calibri" w:eastAsiaTheme="minorEastAsia"/>
          <w:color w:val="000000"/>
          <w:szCs w:val="22"/>
        </w:rPr>
        <w:t>, or</w:t>
      </w:r>
      <w:r w:rsidRPr="00B01543">
        <w:rPr>
          <w:rFonts w:ascii="Calibri" w:hAnsi="Calibri" w:cs="Calibri" w:eastAsiaTheme="minorEastAsia"/>
          <w:color w:val="000000"/>
          <w:szCs w:val="22"/>
        </w:rPr>
        <w:t xml:space="preserve"> </w:t>
      </w:r>
    </w:p>
    <w:p w:rsidRPr="00B01543" w:rsidR="00B01543" w:rsidP="00EB3012" w:rsidRDefault="00B01543" w14:paraId="24861C90" w14:textId="79D65AFD">
      <w:pPr>
        <w:numPr>
          <w:ilvl w:val="0"/>
          <w:numId w:val="7"/>
        </w:numPr>
        <w:contextualSpacing/>
        <w:rPr>
          <w:rFonts w:ascii="Calibri" w:hAnsi="Calibri" w:cs="Calibri"/>
          <w:color w:val="000000"/>
          <w:szCs w:val="22"/>
        </w:rPr>
      </w:pPr>
      <w:r w:rsidRPr="00B01543">
        <w:rPr>
          <w:rFonts w:ascii="Calibri" w:hAnsi="Calibri" w:cs="Calibri"/>
          <w:color w:val="000000"/>
          <w:szCs w:val="22"/>
        </w:rPr>
        <w:t>Rehabilitate cast iron and unprotected steel pipes with plastic pipe inserts, also referred to as slip-lining or u-liners, or cured-in-place liners</w:t>
      </w:r>
      <w:r w:rsidR="00D16739">
        <w:rPr>
          <w:rFonts w:ascii="Calibri" w:hAnsi="Calibri" w:cs="Calibri"/>
          <w:color w:val="000000"/>
          <w:szCs w:val="22"/>
        </w:rPr>
        <w:t>:</w:t>
      </w:r>
      <w:r w:rsidRPr="00B01543">
        <w:rPr>
          <w:rFonts w:ascii="Calibri" w:hAnsi="Calibri" w:cs="Calibri"/>
          <w:color w:val="000000"/>
          <w:szCs w:val="22"/>
        </w:rPr>
        <w:t xml:space="preserve"> </w:t>
      </w:r>
    </w:p>
    <w:p w:rsidRPr="00B01543" w:rsidR="00B01543" w:rsidP="00EB3012" w:rsidRDefault="00B01543" w14:paraId="480296C8" w14:textId="5FC49EC4">
      <w:pPr>
        <w:numPr>
          <w:ilvl w:val="1"/>
          <w:numId w:val="7"/>
        </w:numPr>
        <w:ind w:left="792"/>
        <w:contextualSpacing/>
        <w:rPr>
          <w:rFonts w:ascii="Calibri" w:hAnsi="Calibri" w:cs="Calibri"/>
          <w:color w:val="000000"/>
          <w:szCs w:val="22"/>
        </w:rPr>
      </w:pPr>
      <w:r w:rsidRPr="00B01543">
        <w:rPr>
          <w:rFonts w:ascii="Calibri" w:hAnsi="Calibri" w:cs="Calibri"/>
          <w:color w:val="000000"/>
          <w:szCs w:val="22"/>
        </w:rPr>
        <w:t>Slip-lining is a technique that involves the insertion of a plastic pipe into an existing pipe. The new pipe is pushed or pulled into the host pipe.</w:t>
      </w:r>
      <w:r w:rsidRPr="00B01543">
        <w:rPr>
          <w:rFonts w:ascii="Calibri" w:hAnsi="Calibri" w:cs="Calibri"/>
          <w:color w:val="000000"/>
          <w:szCs w:val="22"/>
          <w:vertAlign w:val="superscript"/>
        </w:rPr>
        <w:footnoteReference w:id="61"/>
      </w:r>
      <w:r w:rsidRPr="00B01543">
        <w:rPr>
          <w:rFonts w:ascii="Calibri" w:hAnsi="Calibri" w:cs="Calibri"/>
          <w:color w:val="000000"/>
          <w:szCs w:val="22"/>
        </w:rPr>
        <w:t xml:space="preserve"> U-liners are high-density polyethylene (HDPE) plastic piping and are manufactured in a “U” shape with diameter sizing specific to the host pipe in need of repair. The liner is pulled through the host pipe and then reformed to a circular shape after insertion using steam. This process is carried out without the need to trench and results in a structurally sound HDPE plastic pipe fitted tightly within the pipe needing repair.</w:t>
      </w:r>
      <w:r w:rsidRPr="00B01543">
        <w:rPr>
          <w:rFonts w:ascii="Calibri" w:hAnsi="Calibri" w:cs="Calibri"/>
          <w:color w:val="000000"/>
          <w:szCs w:val="22"/>
          <w:vertAlign w:val="superscript"/>
        </w:rPr>
        <w:footnoteReference w:id="62"/>
      </w:r>
      <w:r w:rsidRPr="00B01543">
        <w:rPr>
          <w:rFonts w:ascii="Calibri" w:hAnsi="Calibri" w:cs="Calibri"/>
          <w:color w:val="000000"/>
          <w:szCs w:val="22"/>
        </w:rPr>
        <w:t xml:space="preserve"> PHMSA provides guidance related to inserting plastic pipe into a metal pipe.</w:t>
      </w:r>
    </w:p>
    <w:p w:rsidRPr="007E597F" w:rsidR="00B01543" w:rsidP="00EB3012" w:rsidRDefault="00B01543" w14:paraId="2F66C36B" w14:textId="092ADE7C">
      <w:pPr>
        <w:numPr>
          <w:ilvl w:val="1"/>
          <w:numId w:val="7"/>
        </w:numPr>
        <w:ind w:left="792"/>
        <w:rPr>
          <w:rFonts w:ascii="Calibri" w:hAnsi="Calibri" w:cs="Calibri"/>
          <w:color w:val="000000"/>
          <w:szCs w:val="22"/>
        </w:rPr>
      </w:pPr>
      <w:r w:rsidRPr="00B01543">
        <w:rPr>
          <w:rFonts w:ascii="Calibri" w:hAnsi="Calibri" w:cs="Calibri"/>
          <w:color w:val="000000"/>
          <w:szCs w:val="22"/>
        </w:rPr>
        <w:t xml:space="preserve">Cured-in place liners are pipe liners comprised of flexible tubing, jackets, </w:t>
      </w:r>
      <w:r w:rsidRPr="00B01543" w:rsidR="00D16739">
        <w:rPr>
          <w:rFonts w:ascii="Calibri" w:hAnsi="Calibri" w:cs="Calibri"/>
          <w:color w:val="000000"/>
          <w:szCs w:val="22"/>
        </w:rPr>
        <w:t>elastomer</w:t>
      </w:r>
      <w:r w:rsidRPr="00B01543">
        <w:rPr>
          <w:rFonts w:ascii="Calibri" w:hAnsi="Calibri" w:cs="Calibri"/>
          <w:color w:val="000000"/>
          <w:szCs w:val="22"/>
        </w:rPr>
        <w:t xml:space="preserve"> skin, and adhesive systems. These liners are installed into an existing metallic natural gas pipe in need of rehabilitation. Cured-in place liners provide resistance to gas permeation and provide resistance against damage caused by ground movement, internal corrosion, leaking joints, pinholes, and chemical attacks.</w:t>
      </w:r>
      <w:r w:rsidRPr="00B01543">
        <w:rPr>
          <w:rFonts w:ascii="Calibri" w:hAnsi="Calibri" w:cs="Calibri"/>
          <w:color w:val="000000"/>
          <w:szCs w:val="22"/>
          <w:vertAlign w:val="superscript"/>
        </w:rPr>
        <w:footnoteReference w:id="63"/>
      </w:r>
    </w:p>
    <w:p w:rsidRPr="000568E6" w:rsidR="00202A98" w:rsidP="00360EAB" w:rsidRDefault="00AC47DB" w14:paraId="4C93FDEF" w14:textId="1FC40A46">
      <w:pPr>
        <w:rPr>
          <w:rFonts w:ascii="Calibri" w:hAnsi="Calibri" w:cs="Calibri" w:eastAsiaTheme="minorEastAsia"/>
          <w:color w:val="000000"/>
          <w:szCs w:val="22"/>
        </w:rPr>
      </w:pPr>
      <w:r>
        <w:rPr>
          <w:rFonts w:ascii="Calibri" w:hAnsi="Calibri" w:cs="Calibri"/>
          <w:color w:val="000000"/>
          <w:szCs w:val="22"/>
        </w:rPr>
        <w:t>P</w:t>
      </w:r>
      <w:r w:rsidRPr="00293654" w:rsidR="00293654">
        <w:rPr>
          <w:rFonts w:ascii="Calibri" w:hAnsi="Calibri" w:cs="Calibri"/>
          <w:color w:val="000000"/>
          <w:szCs w:val="22"/>
        </w:rPr>
        <w:t>artners commit to</w:t>
      </w:r>
      <w:r w:rsidR="00293654">
        <w:rPr>
          <w:rFonts w:ascii="Calibri" w:hAnsi="Calibri" w:cs="Calibri"/>
          <w:color w:val="000000"/>
          <w:szCs w:val="22"/>
        </w:rPr>
        <w:t xml:space="preserve"> r</w:t>
      </w:r>
      <w:r w:rsidRPr="000568E6" w:rsidR="000568E6">
        <w:rPr>
          <w:rFonts w:ascii="Calibri" w:hAnsi="Calibri" w:cs="Calibri" w:eastAsiaTheme="minorEastAsia"/>
          <w:color w:val="000000"/>
          <w:szCs w:val="22"/>
        </w:rPr>
        <w:t xml:space="preserve">eplace or rehabilitate cast iron and unprotected steel mains at the following minimum annual rates (based on a partner’s total inventory of cast iron and unprotected steel mains) per the mitigation options listed </w:t>
      </w:r>
      <w:r w:rsidR="00507760">
        <w:rPr>
          <w:rFonts w:ascii="Calibri" w:hAnsi="Calibri" w:cs="Calibri" w:eastAsiaTheme="minorEastAsia"/>
          <w:color w:val="000000"/>
          <w:szCs w:val="22"/>
        </w:rPr>
        <w:t>above</w:t>
      </w:r>
      <w:r w:rsidRPr="000568E6" w:rsidR="000568E6">
        <w:rPr>
          <w:rFonts w:ascii="Calibri" w:hAnsi="Calibri" w:cs="Calibri" w:eastAsiaTheme="minorEastAsia"/>
          <w:color w:val="000000"/>
          <w:szCs w:val="22"/>
        </w:rPr>
        <w:t>.</w:t>
      </w:r>
      <w:r w:rsidR="003C27DE">
        <w:rPr>
          <w:rFonts w:ascii="Calibri" w:hAnsi="Calibri" w:cs="Calibri" w:eastAsiaTheme="minorEastAsia"/>
          <w:color w:val="000000"/>
          <w:szCs w:val="22"/>
        </w:rPr>
        <w:t xml:space="preserve"> </w:t>
      </w:r>
      <w:r w:rsidR="0063007C">
        <w:rPr>
          <w:rFonts w:ascii="Calibri" w:hAnsi="Calibri" w:cs="Calibri" w:eastAsiaTheme="minorEastAsia"/>
          <w:color w:val="000000"/>
          <w:szCs w:val="22"/>
        </w:rPr>
        <w:t xml:space="preserve">Partners may choose to commit to higher rates than those designated. </w:t>
      </w:r>
    </w:p>
    <w:tbl>
      <w:tblPr>
        <w:tblStyle w:val="TableGrid511"/>
        <w:tblW w:w="0" w:type="auto"/>
        <w:jc w:val="center"/>
        <w:tblInd w:w="0" w:type="dxa"/>
        <w:tblLook w:val="04A0" w:firstRow="1" w:lastRow="0" w:firstColumn="1" w:lastColumn="0" w:noHBand="0" w:noVBand="1"/>
        <w:tblDescription w:val="Proposal for rate of replacement"/>
      </w:tblPr>
      <w:tblGrid>
        <w:gridCol w:w="1530"/>
        <w:gridCol w:w="3690"/>
        <w:gridCol w:w="2430"/>
      </w:tblGrid>
      <w:tr w:rsidRPr="000568E6" w:rsidR="000568E6" w:rsidTr="000A31F2" w14:paraId="71F93A0C" w14:textId="77777777">
        <w:trPr>
          <w:trHeight w:val="593"/>
          <w:jc w:val="center"/>
        </w:trPr>
        <w:tc>
          <w:tcPr>
            <w:tcW w:w="1530" w:type="dxa"/>
            <w:tcBorders>
              <w:top w:val="single" w:color="auto" w:sz="4" w:space="0"/>
              <w:left w:val="single" w:color="auto" w:sz="4" w:space="0"/>
              <w:bottom w:val="single" w:color="auto" w:sz="4" w:space="0"/>
              <w:right w:val="single" w:color="auto" w:sz="4" w:space="0"/>
            </w:tcBorders>
            <w:shd w:val="clear" w:color="auto" w:fill="A6A6A6" w:themeFill="background1" w:themeFillShade="A6"/>
            <w:hideMark/>
          </w:tcPr>
          <w:p w:rsidRPr="00F371C5" w:rsidR="000568E6" w:rsidP="00360EAB" w:rsidRDefault="000568E6" w14:paraId="64818C52" w14:textId="77777777">
            <w:pPr>
              <w:jc w:val="center"/>
              <w:rPr>
                <w:rFonts w:cs="Calibri" w:asciiTheme="minorHAnsi" w:hAnsiTheme="minorHAnsi"/>
                <w:b/>
                <w:color w:val="000000"/>
                <w:sz w:val="20"/>
                <w:szCs w:val="20"/>
              </w:rPr>
            </w:pPr>
            <w:r w:rsidRPr="00F371C5">
              <w:rPr>
                <w:rFonts w:cs="Calibri" w:asciiTheme="minorHAnsi" w:hAnsiTheme="minorHAnsi"/>
                <w:b/>
                <w:color w:val="000000"/>
                <w:sz w:val="20"/>
                <w:szCs w:val="20"/>
              </w:rPr>
              <w:t>Tier</w:t>
            </w:r>
          </w:p>
        </w:tc>
        <w:tc>
          <w:tcPr>
            <w:tcW w:w="3690" w:type="dxa"/>
            <w:tcBorders>
              <w:top w:val="single" w:color="auto" w:sz="4" w:space="0"/>
              <w:left w:val="single" w:color="auto" w:sz="4" w:space="0"/>
              <w:bottom w:val="single" w:color="auto" w:sz="4" w:space="0"/>
              <w:right w:val="single" w:color="auto" w:sz="4" w:space="0"/>
            </w:tcBorders>
            <w:shd w:val="clear" w:color="auto" w:fill="A6A6A6" w:themeFill="background1" w:themeFillShade="A6"/>
            <w:hideMark/>
          </w:tcPr>
          <w:p w:rsidRPr="00F371C5" w:rsidR="000568E6" w:rsidP="00721433" w:rsidRDefault="000568E6" w14:paraId="58F0FF1A" w14:textId="257A99FB">
            <w:pPr>
              <w:jc w:val="center"/>
              <w:rPr>
                <w:rFonts w:cs="Calibri" w:asciiTheme="minorHAnsi" w:hAnsiTheme="minorHAnsi"/>
                <w:b/>
                <w:color w:val="000000"/>
                <w:sz w:val="20"/>
                <w:szCs w:val="20"/>
              </w:rPr>
            </w:pPr>
            <w:r w:rsidRPr="00F371C5">
              <w:rPr>
                <w:rFonts w:cs="Calibri" w:asciiTheme="minorHAnsi" w:hAnsiTheme="minorHAnsi"/>
                <w:b/>
                <w:color w:val="000000"/>
                <w:sz w:val="20"/>
                <w:szCs w:val="20"/>
              </w:rPr>
              <w:t>Inventory of Cast Iron</w:t>
            </w:r>
            <w:r w:rsidRPr="00F371C5" w:rsidR="005972A3">
              <w:rPr>
                <w:rStyle w:val="FootnoteReference"/>
                <w:rFonts w:cs="Calibri" w:asciiTheme="minorHAnsi" w:hAnsiTheme="minorHAnsi"/>
                <w:b/>
                <w:color w:val="000000"/>
                <w:sz w:val="20"/>
                <w:szCs w:val="20"/>
              </w:rPr>
              <w:footnoteReference w:id="64"/>
            </w:r>
            <w:r w:rsidRPr="00F371C5">
              <w:rPr>
                <w:rFonts w:cs="Calibri" w:asciiTheme="minorHAnsi" w:hAnsiTheme="minorHAnsi"/>
                <w:b/>
                <w:color w:val="000000"/>
                <w:sz w:val="20"/>
                <w:szCs w:val="20"/>
              </w:rPr>
              <w:t xml:space="preserve"> and Unprotected Steel Mains</w:t>
            </w:r>
            <w:r w:rsidRPr="00F371C5" w:rsidR="006D6F6C">
              <w:rPr>
                <w:rStyle w:val="FootnoteReference"/>
                <w:rFonts w:cs="Calibri" w:asciiTheme="minorHAnsi" w:hAnsiTheme="minorHAnsi"/>
                <w:b/>
                <w:color w:val="000000"/>
                <w:sz w:val="20"/>
                <w:szCs w:val="20"/>
              </w:rPr>
              <w:footnoteReference w:id="65"/>
            </w:r>
          </w:p>
        </w:tc>
        <w:tc>
          <w:tcPr>
            <w:tcW w:w="2430" w:type="dxa"/>
            <w:tcBorders>
              <w:top w:val="single" w:color="auto" w:sz="4" w:space="0"/>
              <w:left w:val="single" w:color="auto" w:sz="4" w:space="0"/>
              <w:bottom w:val="single" w:color="auto" w:sz="4" w:space="0"/>
              <w:right w:val="single" w:color="auto" w:sz="4" w:space="0"/>
            </w:tcBorders>
            <w:shd w:val="clear" w:color="auto" w:fill="A6A6A6" w:themeFill="background1" w:themeFillShade="A6"/>
            <w:hideMark/>
          </w:tcPr>
          <w:p w:rsidRPr="00F371C5" w:rsidR="000568E6" w:rsidP="00360EAB" w:rsidRDefault="000568E6" w14:paraId="30777611" w14:textId="5032D6CF">
            <w:pPr>
              <w:jc w:val="center"/>
              <w:rPr>
                <w:rFonts w:cs="Calibri" w:asciiTheme="minorHAnsi" w:hAnsiTheme="minorHAnsi"/>
                <w:b/>
                <w:color w:val="000000"/>
                <w:sz w:val="20"/>
                <w:szCs w:val="20"/>
              </w:rPr>
            </w:pPr>
            <w:r w:rsidRPr="00F371C5">
              <w:rPr>
                <w:rFonts w:cs="Calibri" w:asciiTheme="minorHAnsi" w:hAnsiTheme="minorHAnsi"/>
                <w:b/>
                <w:color w:val="000000"/>
                <w:sz w:val="20"/>
                <w:szCs w:val="20"/>
              </w:rPr>
              <w:t xml:space="preserve">% </w:t>
            </w:r>
            <w:r w:rsidRPr="00F371C5" w:rsidR="008B4C0C">
              <w:rPr>
                <w:rFonts w:cs="Calibri" w:asciiTheme="minorHAnsi" w:hAnsiTheme="minorHAnsi"/>
                <w:b/>
                <w:color w:val="000000"/>
                <w:sz w:val="20"/>
                <w:szCs w:val="20"/>
              </w:rPr>
              <w:t xml:space="preserve">Minimum </w:t>
            </w:r>
            <w:r w:rsidRPr="00F371C5">
              <w:rPr>
                <w:rFonts w:cs="Calibri" w:asciiTheme="minorHAnsi" w:hAnsiTheme="minorHAnsi"/>
                <w:b/>
                <w:color w:val="000000"/>
                <w:sz w:val="20"/>
                <w:szCs w:val="20"/>
              </w:rPr>
              <w:t>Annual Replacement</w:t>
            </w:r>
            <w:r w:rsidRPr="00F371C5" w:rsidR="006E380D">
              <w:rPr>
                <w:rFonts w:cs="Calibri" w:asciiTheme="minorHAnsi" w:hAnsiTheme="minorHAnsi"/>
                <w:b/>
                <w:color w:val="000000"/>
                <w:sz w:val="20"/>
                <w:szCs w:val="20"/>
              </w:rPr>
              <w:t>/Repair</w:t>
            </w:r>
          </w:p>
        </w:tc>
      </w:tr>
      <w:tr w:rsidRPr="000568E6" w:rsidR="000568E6" w:rsidTr="000A31F2" w14:paraId="5669033E" w14:textId="77777777">
        <w:trPr>
          <w:jc w:val="center"/>
        </w:trPr>
        <w:tc>
          <w:tcPr>
            <w:tcW w:w="1530" w:type="dxa"/>
            <w:tcBorders>
              <w:top w:val="single" w:color="auto" w:sz="4" w:space="0"/>
              <w:left w:val="single" w:color="auto" w:sz="4" w:space="0"/>
              <w:bottom w:val="single" w:color="auto" w:sz="4" w:space="0"/>
              <w:right w:val="single" w:color="auto" w:sz="4" w:space="0"/>
            </w:tcBorders>
            <w:hideMark/>
          </w:tcPr>
          <w:p w:rsidRPr="00923CA5" w:rsidR="000568E6" w:rsidP="00360EAB" w:rsidRDefault="000568E6" w14:paraId="0134D054" w14:textId="77777777">
            <w:pPr>
              <w:jc w:val="center"/>
              <w:rPr>
                <w:rFonts w:cs="Calibri" w:asciiTheme="minorHAnsi" w:hAnsiTheme="minorHAnsi"/>
                <w:color w:val="000000"/>
                <w:sz w:val="21"/>
                <w:szCs w:val="21"/>
              </w:rPr>
            </w:pPr>
            <w:r w:rsidRPr="00923CA5">
              <w:rPr>
                <w:rFonts w:cs="Calibri" w:asciiTheme="minorHAnsi" w:hAnsiTheme="minorHAnsi"/>
                <w:color w:val="000000"/>
                <w:sz w:val="21"/>
                <w:szCs w:val="21"/>
              </w:rPr>
              <w:t>Tier 1</w:t>
            </w:r>
          </w:p>
        </w:tc>
        <w:tc>
          <w:tcPr>
            <w:tcW w:w="3690" w:type="dxa"/>
            <w:tcBorders>
              <w:top w:val="single" w:color="auto" w:sz="4" w:space="0"/>
              <w:left w:val="single" w:color="auto" w:sz="4" w:space="0"/>
              <w:bottom w:val="single" w:color="auto" w:sz="4" w:space="0"/>
              <w:right w:val="single" w:color="auto" w:sz="4" w:space="0"/>
            </w:tcBorders>
            <w:hideMark/>
          </w:tcPr>
          <w:p w:rsidRPr="00923CA5" w:rsidR="000568E6" w:rsidP="00360EAB" w:rsidRDefault="000568E6" w14:paraId="6228E4A1" w14:textId="77777777">
            <w:pPr>
              <w:jc w:val="center"/>
              <w:rPr>
                <w:rFonts w:cs="Calibri" w:asciiTheme="minorHAnsi" w:hAnsiTheme="minorHAnsi"/>
                <w:color w:val="000000"/>
                <w:sz w:val="21"/>
                <w:szCs w:val="21"/>
              </w:rPr>
            </w:pPr>
            <w:r w:rsidRPr="00923CA5">
              <w:rPr>
                <w:rFonts w:cs="Calibri" w:asciiTheme="minorHAnsi" w:hAnsiTheme="minorHAnsi"/>
                <w:color w:val="000000"/>
                <w:sz w:val="21"/>
                <w:szCs w:val="21"/>
              </w:rPr>
              <w:t>&lt;500 miles</w:t>
            </w:r>
          </w:p>
        </w:tc>
        <w:tc>
          <w:tcPr>
            <w:tcW w:w="2430" w:type="dxa"/>
            <w:tcBorders>
              <w:top w:val="single" w:color="auto" w:sz="4" w:space="0"/>
              <w:left w:val="single" w:color="auto" w:sz="4" w:space="0"/>
              <w:bottom w:val="single" w:color="auto" w:sz="4" w:space="0"/>
              <w:right w:val="single" w:color="auto" w:sz="4" w:space="0"/>
            </w:tcBorders>
            <w:hideMark/>
          </w:tcPr>
          <w:p w:rsidRPr="00923CA5" w:rsidR="000568E6" w:rsidP="00360EAB" w:rsidRDefault="000568E6" w14:paraId="55D7E495" w14:textId="77777777">
            <w:pPr>
              <w:jc w:val="center"/>
              <w:rPr>
                <w:rFonts w:cs="Calibri" w:asciiTheme="minorHAnsi" w:hAnsiTheme="minorHAnsi"/>
                <w:color w:val="000000"/>
                <w:sz w:val="21"/>
                <w:szCs w:val="21"/>
              </w:rPr>
            </w:pPr>
            <w:r w:rsidRPr="00923CA5">
              <w:rPr>
                <w:rFonts w:cs="Calibri" w:asciiTheme="minorHAnsi" w:hAnsiTheme="minorHAnsi"/>
                <w:color w:val="000000"/>
                <w:sz w:val="21"/>
                <w:szCs w:val="21"/>
              </w:rPr>
              <w:t>6.50%</w:t>
            </w:r>
          </w:p>
        </w:tc>
      </w:tr>
      <w:tr w:rsidRPr="000568E6" w:rsidR="000568E6" w:rsidTr="000A31F2" w14:paraId="5787FF70" w14:textId="77777777">
        <w:trPr>
          <w:jc w:val="center"/>
        </w:trPr>
        <w:tc>
          <w:tcPr>
            <w:tcW w:w="1530" w:type="dxa"/>
            <w:tcBorders>
              <w:top w:val="single" w:color="auto" w:sz="4" w:space="0"/>
              <w:left w:val="single" w:color="auto" w:sz="4" w:space="0"/>
              <w:bottom w:val="single" w:color="auto" w:sz="4" w:space="0"/>
              <w:right w:val="single" w:color="auto" w:sz="4" w:space="0"/>
            </w:tcBorders>
            <w:hideMark/>
          </w:tcPr>
          <w:p w:rsidRPr="00923CA5" w:rsidR="000568E6" w:rsidP="00360EAB" w:rsidRDefault="000568E6" w14:paraId="15AE3692" w14:textId="77777777">
            <w:pPr>
              <w:jc w:val="center"/>
              <w:rPr>
                <w:rFonts w:cs="Calibri" w:asciiTheme="minorHAnsi" w:hAnsiTheme="minorHAnsi"/>
                <w:color w:val="000000"/>
                <w:sz w:val="21"/>
                <w:szCs w:val="21"/>
              </w:rPr>
            </w:pPr>
            <w:r w:rsidRPr="00923CA5">
              <w:rPr>
                <w:rFonts w:cs="Calibri" w:asciiTheme="minorHAnsi" w:hAnsiTheme="minorHAnsi"/>
                <w:color w:val="000000"/>
                <w:sz w:val="21"/>
                <w:szCs w:val="21"/>
              </w:rPr>
              <w:t>Tier 2</w:t>
            </w:r>
          </w:p>
        </w:tc>
        <w:tc>
          <w:tcPr>
            <w:tcW w:w="3690" w:type="dxa"/>
            <w:tcBorders>
              <w:top w:val="single" w:color="auto" w:sz="4" w:space="0"/>
              <w:left w:val="single" w:color="auto" w:sz="4" w:space="0"/>
              <w:bottom w:val="single" w:color="auto" w:sz="4" w:space="0"/>
              <w:right w:val="single" w:color="auto" w:sz="4" w:space="0"/>
            </w:tcBorders>
            <w:hideMark/>
          </w:tcPr>
          <w:p w:rsidRPr="00923CA5" w:rsidR="000568E6" w:rsidP="00360EAB" w:rsidRDefault="000568E6" w14:paraId="577038BC" w14:textId="77777777">
            <w:pPr>
              <w:jc w:val="center"/>
              <w:rPr>
                <w:rFonts w:cs="Calibri" w:asciiTheme="minorHAnsi" w:hAnsiTheme="minorHAnsi"/>
                <w:color w:val="000000"/>
                <w:sz w:val="21"/>
                <w:szCs w:val="21"/>
              </w:rPr>
            </w:pPr>
            <w:r w:rsidRPr="00923CA5">
              <w:rPr>
                <w:rFonts w:cs="Calibri" w:asciiTheme="minorHAnsi" w:hAnsiTheme="minorHAnsi"/>
                <w:color w:val="000000"/>
                <w:sz w:val="21"/>
                <w:szCs w:val="21"/>
              </w:rPr>
              <w:t>500-1,000 miles</w:t>
            </w:r>
          </w:p>
        </w:tc>
        <w:tc>
          <w:tcPr>
            <w:tcW w:w="2430" w:type="dxa"/>
            <w:tcBorders>
              <w:top w:val="single" w:color="auto" w:sz="4" w:space="0"/>
              <w:left w:val="single" w:color="auto" w:sz="4" w:space="0"/>
              <w:bottom w:val="single" w:color="auto" w:sz="4" w:space="0"/>
              <w:right w:val="single" w:color="auto" w:sz="4" w:space="0"/>
            </w:tcBorders>
            <w:hideMark/>
          </w:tcPr>
          <w:p w:rsidRPr="00923CA5" w:rsidR="000568E6" w:rsidP="00360EAB" w:rsidRDefault="000568E6" w14:paraId="073D58E5" w14:textId="77777777">
            <w:pPr>
              <w:jc w:val="center"/>
              <w:rPr>
                <w:rFonts w:cs="Calibri" w:asciiTheme="minorHAnsi" w:hAnsiTheme="minorHAnsi"/>
                <w:color w:val="000000"/>
                <w:sz w:val="21"/>
                <w:szCs w:val="21"/>
              </w:rPr>
            </w:pPr>
            <w:r w:rsidRPr="00923CA5">
              <w:rPr>
                <w:rFonts w:cs="Calibri" w:asciiTheme="minorHAnsi" w:hAnsiTheme="minorHAnsi"/>
                <w:color w:val="000000"/>
                <w:sz w:val="21"/>
                <w:szCs w:val="21"/>
              </w:rPr>
              <w:t>5%</w:t>
            </w:r>
          </w:p>
        </w:tc>
      </w:tr>
      <w:tr w:rsidRPr="000568E6" w:rsidR="000568E6" w:rsidTr="000A31F2" w14:paraId="352183F5" w14:textId="77777777">
        <w:trPr>
          <w:jc w:val="center"/>
        </w:trPr>
        <w:tc>
          <w:tcPr>
            <w:tcW w:w="1530" w:type="dxa"/>
            <w:tcBorders>
              <w:top w:val="single" w:color="auto" w:sz="4" w:space="0"/>
              <w:left w:val="single" w:color="auto" w:sz="4" w:space="0"/>
              <w:bottom w:val="single" w:color="auto" w:sz="4" w:space="0"/>
              <w:right w:val="single" w:color="auto" w:sz="4" w:space="0"/>
            </w:tcBorders>
            <w:hideMark/>
          </w:tcPr>
          <w:p w:rsidRPr="00923CA5" w:rsidR="000568E6" w:rsidP="00360EAB" w:rsidRDefault="000568E6" w14:paraId="175F5903" w14:textId="77777777">
            <w:pPr>
              <w:jc w:val="center"/>
              <w:rPr>
                <w:rFonts w:cs="Calibri" w:asciiTheme="minorHAnsi" w:hAnsiTheme="minorHAnsi"/>
                <w:color w:val="000000"/>
                <w:sz w:val="21"/>
                <w:szCs w:val="21"/>
              </w:rPr>
            </w:pPr>
            <w:r w:rsidRPr="00923CA5">
              <w:rPr>
                <w:rFonts w:cs="Calibri" w:asciiTheme="minorHAnsi" w:hAnsiTheme="minorHAnsi"/>
                <w:color w:val="000000"/>
                <w:sz w:val="21"/>
                <w:szCs w:val="21"/>
              </w:rPr>
              <w:t>Tier 3</w:t>
            </w:r>
          </w:p>
        </w:tc>
        <w:tc>
          <w:tcPr>
            <w:tcW w:w="3690" w:type="dxa"/>
            <w:tcBorders>
              <w:top w:val="single" w:color="auto" w:sz="4" w:space="0"/>
              <w:left w:val="single" w:color="auto" w:sz="4" w:space="0"/>
              <w:bottom w:val="single" w:color="auto" w:sz="4" w:space="0"/>
              <w:right w:val="single" w:color="auto" w:sz="4" w:space="0"/>
            </w:tcBorders>
            <w:hideMark/>
          </w:tcPr>
          <w:p w:rsidRPr="00923CA5" w:rsidR="000568E6" w:rsidP="00360EAB" w:rsidRDefault="000568E6" w14:paraId="3FE67C17" w14:textId="77777777">
            <w:pPr>
              <w:jc w:val="center"/>
              <w:rPr>
                <w:rFonts w:cs="Calibri" w:asciiTheme="minorHAnsi" w:hAnsiTheme="minorHAnsi"/>
                <w:color w:val="000000"/>
                <w:sz w:val="21"/>
                <w:szCs w:val="21"/>
              </w:rPr>
            </w:pPr>
            <w:r w:rsidRPr="00923CA5">
              <w:rPr>
                <w:rFonts w:cs="Calibri" w:asciiTheme="minorHAnsi" w:hAnsiTheme="minorHAnsi"/>
                <w:color w:val="000000"/>
                <w:sz w:val="21"/>
                <w:szCs w:val="21"/>
              </w:rPr>
              <w:t>1,001 – 1,500 miles</w:t>
            </w:r>
          </w:p>
        </w:tc>
        <w:tc>
          <w:tcPr>
            <w:tcW w:w="2430" w:type="dxa"/>
            <w:tcBorders>
              <w:top w:val="single" w:color="auto" w:sz="4" w:space="0"/>
              <w:left w:val="single" w:color="auto" w:sz="4" w:space="0"/>
              <w:bottom w:val="single" w:color="auto" w:sz="4" w:space="0"/>
              <w:right w:val="single" w:color="auto" w:sz="4" w:space="0"/>
            </w:tcBorders>
            <w:hideMark/>
          </w:tcPr>
          <w:p w:rsidRPr="00923CA5" w:rsidR="000568E6" w:rsidP="00360EAB" w:rsidRDefault="000568E6" w14:paraId="08335A72" w14:textId="77777777">
            <w:pPr>
              <w:jc w:val="center"/>
              <w:rPr>
                <w:rFonts w:cs="Calibri" w:asciiTheme="minorHAnsi" w:hAnsiTheme="minorHAnsi"/>
                <w:color w:val="000000"/>
                <w:sz w:val="21"/>
                <w:szCs w:val="21"/>
              </w:rPr>
            </w:pPr>
            <w:r w:rsidRPr="00923CA5">
              <w:rPr>
                <w:rFonts w:cs="Calibri" w:asciiTheme="minorHAnsi" w:hAnsiTheme="minorHAnsi"/>
                <w:color w:val="000000"/>
                <w:sz w:val="21"/>
                <w:szCs w:val="21"/>
              </w:rPr>
              <w:t>3%</w:t>
            </w:r>
          </w:p>
        </w:tc>
      </w:tr>
      <w:tr w:rsidRPr="000568E6" w:rsidR="000568E6" w:rsidTr="000A31F2" w14:paraId="49A12A7D" w14:textId="77777777">
        <w:trPr>
          <w:jc w:val="center"/>
        </w:trPr>
        <w:tc>
          <w:tcPr>
            <w:tcW w:w="1530" w:type="dxa"/>
            <w:tcBorders>
              <w:top w:val="single" w:color="auto" w:sz="4" w:space="0"/>
              <w:left w:val="single" w:color="auto" w:sz="4" w:space="0"/>
              <w:bottom w:val="single" w:color="auto" w:sz="4" w:space="0"/>
              <w:right w:val="single" w:color="auto" w:sz="4" w:space="0"/>
            </w:tcBorders>
            <w:hideMark/>
          </w:tcPr>
          <w:p w:rsidRPr="00923CA5" w:rsidR="000568E6" w:rsidP="00360EAB" w:rsidRDefault="000568E6" w14:paraId="61D01EDA" w14:textId="77777777">
            <w:pPr>
              <w:jc w:val="center"/>
              <w:rPr>
                <w:rFonts w:cs="Calibri" w:asciiTheme="minorHAnsi" w:hAnsiTheme="minorHAnsi"/>
                <w:color w:val="000000"/>
                <w:sz w:val="21"/>
                <w:szCs w:val="21"/>
              </w:rPr>
            </w:pPr>
            <w:r w:rsidRPr="00923CA5">
              <w:rPr>
                <w:rFonts w:cs="Calibri" w:asciiTheme="minorHAnsi" w:hAnsiTheme="minorHAnsi"/>
                <w:color w:val="000000"/>
                <w:sz w:val="21"/>
                <w:szCs w:val="21"/>
              </w:rPr>
              <w:t>Tier 4</w:t>
            </w:r>
          </w:p>
        </w:tc>
        <w:tc>
          <w:tcPr>
            <w:tcW w:w="3690" w:type="dxa"/>
            <w:tcBorders>
              <w:top w:val="single" w:color="auto" w:sz="4" w:space="0"/>
              <w:left w:val="single" w:color="auto" w:sz="4" w:space="0"/>
              <w:bottom w:val="single" w:color="auto" w:sz="4" w:space="0"/>
              <w:right w:val="single" w:color="auto" w:sz="4" w:space="0"/>
            </w:tcBorders>
            <w:hideMark/>
          </w:tcPr>
          <w:p w:rsidRPr="00923CA5" w:rsidR="000568E6" w:rsidP="00360EAB" w:rsidRDefault="000568E6" w14:paraId="083C6AAA" w14:textId="77777777">
            <w:pPr>
              <w:jc w:val="center"/>
              <w:rPr>
                <w:rFonts w:cs="Calibri" w:asciiTheme="minorHAnsi" w:hAnsiTheme="minorHAnsi"/>
                <w:color w:val="000000"/>
                <w:sz w:val="21"/>
                <w:szCs w:val="21"/>
              </w:rPr>
            </w:pPr>
            <w:r w:rsidRPr="00923CA5">
              <w:rPr>
                <w:rFonts w:cs="Calibri" w:asciiTheme="minorHAnsi" w:hAnsiTheme="minorHAnsi"/>
                <w:color w:val="000000"/>
                <w:sz w:val="21"/>
                <w:szCs w:val="21"/>
              </w:rPr>
              <w:t>1,501 miles – 3000 miles</w:t>
            </w:r>
          </w:p>
        </w:tc>
        <w:tc>
          <w:tcPr>
            <w:tcW w:w="2430" w:type="dxa"/>
            <w:tcBorders>
              <w:top w:val="single" w:color="auto" w:sz="4" w:space="0"/>
              <w:left w:val="single" w:color="auto" w:sz="4" w:space="0"/>
              <w:bottom w:val="single" w:color="auto" w:sz="4" w:space="0"/>
              <w:right w:val="single" w:color="auto" w:sz="4" w:space="0"/>
            </w:tcBorders>
            <w:hideMark/>
          </w:tcPr>
          <w:p w:rsidRPr="00923CA5" w:rsidR="000568E6" w:rsidP="00360EAB" w:rsidRDefault="000568E6" w14:paraId="10D4AA97" w14:textId="77777777">
            <w:pPr>
              <w:jc w:val="center"/>
              <w:rPr>
                <w:rFonts w:cs="Calibri" w:asciiTheme="minorHAnsi" w:hAnsiTheme="minorHAnsi"/>
                <w:color w:val="000000"/>
                <w:sz w:val="21"/>
                <w:szCs w:val="21"/>
              </w:rPr>
            </w:pPr>
            <w:r w:rsidRPr="00923CA5">
              <w:rPr>
                <w:rFonts w:cs="Calibri" w:asciiTheme="minorHAnsi" w:hAnsiTheme="minorHAnsi"/>
                <w:color w:val="000000"/>
                <w:sz w:val="21"/>
                <w:szCs w:val="21"/>
              </w:rPr>
              <w:t>2%</w:t>
            </w:r>
          </w:p>
        </w:tc>
      </w:tr>
      <w:tr w:rsidRPr="000568E6" w:rsidR="000568E6" w:rsidTr="000A31F2" w14:paraId="70F60B59" w14:textId="77777777">
        <w:trPr>
          <w:jc w:val="center"/>
        </w:trPr>
        <w:tc>
          <w:tcPr>
            <w:tcW w:w="1530" w:type="dxa"/>
            <w:tcBorders>
              <w:top w:val="single" w:color="auto" w:sz="4" w:space="0"/>
              <w:left w:val="single" w:color="auto" w:sz="4" w:space="0"/>
              <w:bottom w:val="single" w:color="auto" w:sz="4" w:space="0"/>
              <w:right w:val="single" w:color="auto" w:sz="4" w:space="0"/>
            </w:tcBorders>
          </w:tcPr>
          <w:p w:rsidRPr="00923CA5" w:rsidR="000568E6" w:rsidP="00360EAB" w:rsidRDefault="000568E6" w14:paraId="46E7C9C3" w14:textId="77777777">
            <w:pPr>
              <w:jc w:val="center"/>
              <w:rPr>
                <w:rFonts w:cs="Calibri" w:asciiTheme="minorHAnsi" w:hAnsiTheme="minorHAnsi"/>
                <w:color w:val="000000"/>
                <w:sz w:val="21"/>
                <w:szCs w:val="21"/>
              </w:rPr>
            </w:pPr>
            <w:r w:rsidRPr="00923CA5">
              <w:rPr>
                <w:rFonts w:cs="Calibri" w:asciiTheme="minorHAnsi" w:hAnsiTheme="minorHAnsi"/>
                <w:color w:val="000000"/>
                <w:sz w:val="21"/>
                <w:szCs w:val="21"/>
              </w:rPr>
              <w:t>Tier 5</w:t>
            </w:r>
          </w:p>
        </w:tc>
        <w:tc>
          <w:tcPr>
            <w:tcW w:w="3690" w:type="dxa"/>
            <w:tcBorders>
              <w:top w:val="single" w:color="auto" w:sz="4" w:space="0"/>
              <w:left w:val="single" w:color="auto" w:sz="4" w:space="0"/>
              <w:bottom w:val="single" w:color="auto" w:sz="4" w:space="0"/>
              <w:right w:val="single" w:color="auto" w:sz="4" w:space="0"/>
            </w:tcBorders>
          </w:tcPr>
          <w:p w:rsidRPr="00923CA5" w:rsidR="000568E6" w:rsidP="00360EAB" w:rsidRDefault="000568E6" w14:paraId="45341B33" w14:textId="77777777">
            <w:pPr>
              <w:jc w:val="center"/>
              <w:rPr>
                <w:rFonts w:cs="Calibri" w:asciiTheme="minorHAnsi" w:hAnsiTheme="minorHAnsi"/>
                <w:color w:val="000000"/>
                <w:sz w:val="21"/>
                <w:szCs w:val="21"/>
              </w:rPr>
            </w:pPr>
            <w:r w:rsidRPr="00923CA5">
              <w:rPr>
                <w:rFonts w:cs="Calibri" w:asciiTheme="minorHAnsi" w:hAnsiTheme="minorHAnsi"/>
                <w:color w:val="000000"/>
                <w:sz w:val="21"/>
                <w:szCs w:val="21"/>
              </w:rPr>
              <w:t>&gt;3000 miles</w:t>
            </w:r>
          </w:p>
        </w:tc>
        <w:tc>
          <w:tcPr>
            <w:tcW w:w="2430" w:type="dxa"/>
            <w:tcBorders>
              <w:top w:val="single" w:color="auto" w:sz="4" w:space="0"/>
              <w:left w:val="single" w:color="auto" w:sz="4" w:space="0"/>
              <w:bottom w:val="single" w:color="auto" w:sz="4" w:space="0"/>
              <w:right w:val="single" w:color="auto" w:sz="4" w:space="0"/>
            </w:tcBorders>
          </w:tcPr>
          <w:p w:rsidRPr="00923CA5" w:rsidR="000568E6" w:rsidP="00360EAB" w:rsidRDefault="000568E6" w14:paraId="7B0459CD" w14:textId="77777777">
            <w:pPr>
              <w:jc w:val="center"/>
              <w:rPr>
                <w:rFonts w:cs="Calibri" w:asciiTheme="minorHAnsi" w:hAnsiTheme="minorHAnsi"/>
                <w:color w:val="000000"/>
                <w:sz w:val="21"/>
                <w:szCs w:val="21"/>
              </w:rPr>
            </w:pPr>
            <w:r w:rsidRPr="00923CA5">
              <w:rPr>
                <w:rFonts w:cs="Calibri" w:asciiTheme="minorHAnsi" w:hAnsiTheme="minorHAnsi"/>
                <w:color w:val="000000"/>
                <w:sz w:val="21"/>
                <w:szCs w:val="21"/>
              </w:rPr>
              <w:t>1.5%</w:t>
            </w:r>
          </w:p>
        </w:tc>
      </w:tr>
    </w:tbl>
    <w:p w:rsidR="003C27DE" w:rsidP="00190CE6" w:rsidRDefault="003C27DE" w14:paraId="5B742E62" w14:textId="3102A628">
      <w:pPr>
        <w:spacing w:before="120"/>
        <w:rPr>
          <w:rFonts w:ascii="Calibri" w:hAnsi="Calibri" w:cs="Calibri"/>
          <w:color w:val="000000"/>
          <w:szCs w:val="22"/>
        </w:rPr>
      </w:pPr>
      <w:r w:rsidRPr="00AE45B4">
        <w:rPr>
          <w:rFonts w:ascii="Calibri" w:hAnsi="Calibri" w:cs="Calibri"/>
          <w:color w:val="000000"/>
          <w:szCs w:val="22"/>
          <w:u w:val="single"/>
        </w:rPr>
        <w:lastRenderedPageBreak/>
        <w:t>Commitment Timeframe</w:t>
      </w:r>
      <w:r>
        <w:rPr>
          <w:rFonts w:ascii="Calibri" w:hAnsi="Calibri" w:cs="Calibri"/>
          <w:color w:val="000000"/>
          <w:szCs w:val="22"/>
        </w:rPr>
        <w:t xml:space="preserve">: </w:t>
      </w:r>
      <w:r>
        <w:rPr>
          <w:rFonts w:ascii="Calibri" w:hAnsi="Calibri" w:cs="Calibri" w:eastAsiaTheme="minorEastAsia"/>
          <w:szCs w:val="22"/>
        </w:rPr>
        <w:t>P</w:t>
      </w:r>
      <w:r w:rsidRPr="003A4E80">
        <w:rPr>
          <w:rFonts w:ascii="Calibri" w:hAnsi="Calibri" w:cs="Calibri" w:eastAsiaTheme="minorEastAsia"/>
          <w:color w:val="000000"/>
          <w:szCs w:val="22"/>
        </w:rPr>
        <w:t xml:space="preserve">artners commit to achieve the specified annual </w:t>
      </w:r>
      <w:r w:rsidR="00D83244">
        <w:rPr>
          <w:rFonts w:ascii="Calibri" w:hAnsi="Calibri" w:cs="Calibri" w:eastAsiaTheme="minorEastAsia"/>
          <w:color w:val="000000"/>
          <w:szCs w:val="22"/>
        </w:rPr>
        <w:t>replacement/rehabilitation</w:t>
      </w:r>
      <w:r w:rsidR="006338D0">
        <w:rPr>
          <w:rFonts w:ascii="Calibri" w:hAnsi="Calibri" w:cs="Calibri" w:eastAsiaTheme="minorEastAsia"/>
          <w:color w:val="000000"/>
          <w:szCs w:val="22"/>
        </w:rPr>
        <w:t xml:space="preserve"> </w:t>
      </w:r>
      <w:r w:rsidRPr="003A4E80">
        <w:rPr>
          <w:rFonts w:ascii="Calibri" w:hAnsi="Calibri" w:cs="Calibri" w:eastAsiaTheme="minorEastAsia"/>
          <w:color w:val="000000"/>
          <w:szCs w:val="22"/>
        </w:rPr>
        <w:t xml:space="preserve">rate </w:t>
      </w:r>
      <w:r>
        <w:rPr>
          <w:rFonts w:ascii="Calibri" w:hAnsi="Calibri" w:cs="Calibri" w:eastAsiaTheme="minorEastAsia"/>
          <w:color w:val="000000"/>
          <w:szCs w:val="22"/>
        </w:rPr>
        <w:t>by their designated commitment achievement date</w:t>
      </w:r>
      <w:r w:rsidRPr="00A808E0">
        <w:rPr>
          <w:rFonts w:ascii="Calibri" w:hAnsi="Calibri" w:cs="Calibri" w:eastAsiaTheme="minorEastAsia"/>
          <w:color w:val="000000"/>
          <w:szCs w:val="22"/>
        </w:rPr>
        <w:t>, not to exceed five years from the commitment start date</w:t>
      </w:r>
      <w:r w:rsidR="00492BA3">
        <w:rPr>
          <w:rFonts w:ascii="Calibri" w:hAnsi="Calibri" w:cs="Calibri" w:eastAsiaTheme="minorEastAsia"/>
          <w:color w:val="000000"/>
          <w:szCs w:val="22"/>
        </w:rPr>
        <w:t>, and maintain at least that rate moving forward.  Commitments will be based on the Partner’s inventory of cast iron and unprotected steel mains as of January 1 of the year of their commitment</w:t>
      </w:r>
      <w:r w:rsidR="00FA556C">
        <w:rPr>
          <w:rStyle w:val="FootnoteReference"/>
          <w:rFonts w:ascii="Calibri" w:hAnsi="Calibri" w:cs="Calibri" w:eastAsiaTheme="minorEastAsia"/>
          <w:color w:val="000000"/>
          <w:szCs w:val="22"/>
        </w:rPr>
        <w:footnoteReference w:id="66"/>
      </w:r>
      <w:r w:rsidR="007F02FF">
        <w:rPr>
          <w:rFonts w:ascii="Calibri" w:hAnsi="Calibri" w:cs="Calibri" w:eastAsiaTheme="minorEastAsia"/>
          <w:color w:val="000000"/>
          <w:szCs w:val="22"/>
        </w:rPr>
        <w:t xml:space="preserve">.  </w:t>
      </w:r>
      <w:r w:rsidR="00492BA3">
        <w:rPr>
          <w:rFonts w:ascii="Calibri" w:hAnsi="Calibri" w:cs="Calibri" w:eastAsiaTheme="minorEastAsia"/>
          <w:color w:val="000000"/>
          <w:szCs w:val="22"/>
        </w:rPr>
        <w:t xml:space="preserve"> </w:t>
      </w:r>
      <w:r w:rsidR="007F02FF">
        <w:rPr>
          <w:rFonts w:ascii="Calibri" w:hAnsi="Calibri" w:cs="Calibri" w:eastAsiaTheme="minorEastAsia"/>
          <w:color w:val="000000"/>
          <w:szCs w:val="22"/>
        </w:rPr>
        <w:t xml:space="preserve">After achieving their specified rate, </w:t>
      </w:r>
      <w:r w:rsidR="00492BA3">
        <w:rPr>
          <w:rFonts w:ascii="Calibri" w:hAnsi="Calibri" w:cs="Calibri" w:eastAsiaTheme="minorEastAsia"/>
          <w:color w:val="000000"/>
          <w:szCs w:val="22"/>
        </w:rPr>
        <w:t xml:space="preserve">Partners can maintain </w:t>
      </w:r>
      <w:r w:rsidR="007F02FF">
        <w:rPr>
          <w:rFonts w:ascii="Calibri" w:hAnsi="Calibri" w:cs="Calibri" w:eastAsiaTheme="minorEastAsia"/>
          <w:color w:val="000000"/>
          <w:szCs w:val="22"/>
        </w:rPr>
        <w:t>that</w:t>
      </w:r>
      <w:r w:rsidR="006338D0">
        <w:rPr>
          <w:rFonts w:ascii="Calibri" w:hAnsi="Calibri" w:cs="Calibri" w:eastAsiaTheme="minorEastAsia"/>
          <w:color w:val="000000"/>
          <w:szCs w:val="22"/>
        </w:rPr>
        <w:t xml:space="preserve"> rate for </w:t>
      </w:r>
      <w:r w:rsidR="007F02FF">
        <w:rPr>
          <w:rFonts w:ascii="Calibri" w:hAnsi="Calibri" w:cs="Calibri" w:eastAsiaTheme="minorEastAsia"/>
          <w:color w:val="000000"/>
          <w:szCs w:val="22"/>
        </w:rPr>
        <w:t xml:space="preserve">a period of five </w:t>
      </w:r>
      <w:r w:rsidR="009945CD">
        <w:rPr>
          <w:rFonts w:ascii="Calibri" w:hAnsi="Calibri" w:cs="Calibri" w:eastAsiaTheme="minorEastAsia"/>
          <w:color w:val="000000"/>
          <w:szCs w:val="22"/>
        </w:rPr>
        <w:t>years (e.g. if replacement/</w:t>
      </w:r>
      <w:r w:rsidR="00D83244">
        <w:rPr>
          <w:rFonts w:ascii="Calibri" w:hAnsi="Calibri" w:cs="Calibri" w:eastAsiaTheme="minorEastAsia"/>
          <w:color w:val="000000"/>
          <w:szCs w:val="22"/>
        </w:rPr>
        <w:t>rehabilitation</w:t>
      </w:r>
      <w:r w:rsidR="009945CD">
        <w:rPr>
          <w:rFonts w:ascii="Calibri" w:hAnsi="Calibri" w:cs="Calibri" w:eastAsiaTheme="minorEastAsia"/>
          <w:color w:val="000000"/>
          <w:szCs w:val="22"/>
        </w:rPr>
        <w:t xml:space="preserve"> actions </w:t>
      </w:r>
      <w:r w:rsidR="006338D0">
        <w:rPr>
          <w:rFonts w:ascii="Calibri" w:hAnsi="Calibri" w:cs="Calibri" w:eastAsiaTheme="minorEastAsia"/>
          <w:color w:val="000000"/>
          <w:szCs w:val="22"/>
        </w:rPr>
        <w:t xml:space="preserve">result in a Partner’s moving to a different mileage tier, they will not automatically have to adopt that </w:t>
      </w:r>
      <w:r w:rsidR="00D66A3C">
        <w:rPr>
          <w:rFonts w:ascii="Calibri" w:hAnsi="Calibri" w:cs="Calibri" w:eastAsiaTheme="minorEastAsia"/>
          <w:color w:val="000000"/>
          <w:szCs w:val="22"/>
        </w:rPr>
        <w:t xml:space="preserve">new </w:t>
      </w:r>
      <w:r w:rsidR="006338D0">
        <w:rPr>
          <w:rFonts w:ascii="Calibri" w:hAnsi="Calibri" w:cs="Calibri" w:eastAsiaTheme="minorEastAsia"/>
          <w:color w:val="000000"/>
          <w:szCs w:val="22"/>
        </w:rPr>
        <w:t xml:space="preserve">rate). After </w:t>
      </w:r>
      <w:r w:rsidR="007F02FF">
        <w:rPr>
          <w:rFonts w:ascii="Calibri" w:hAnsi="Calibri" w:cs="Calibri" w:eastAsiaTheme="minorEastAsia"/>
          <w:color w:val="000000"/>
          <w:szCs w:val="22"/>
        </w:rPr>
        <w:t>five</w:t>
      </w:r>
      <w:r w:rsidR="006338D0">
        <w:rPr>
          <w:rFonts w:ascii="Calibri" w:hAnsi="Calibri" w:cs="Calibri" w:eastAsiaTheme="minorEastAsia"/>
          <w:color w:val="000000"/>
          <w:szCs w:val="22"/>
        </w:rPr>
        <w:t xml:space="preserve"> years, Partners will be requested to evaluate their ability to commit to a higher rate. Partners can raise their committed rate at any time. </w:t>
      </w:r>
    </w:p>
    <w:p w:rsidR="00B01543" w:rsidP="00190CE6" w:rsidRDefault="00B01543" w14:paraId="3DA26963" w14:textId="4F8ECCD0">
      <w:pPr>
        <w:rPr>
          <w:rFonts w:ascii="Calibri" w:hAnsi="Calibri" w:cs="Calibri"/>
          <w:u w:val="single"/>
        </w:rPr>
      </w:pPr>
      <w:r w:rsidRPr="00B01543">
        <w:rPr>
          <w:rFonts w:ascii="Calibri" w:hAnsi="Calibri" w:cs="Calibri"/>
          <w:u w:val="single"/>
        </w:rPr>
        <w:t>Reporting:</w:t>
      </w:r>
    </w:p>
    <w:tbl>
      <w:tblPr>
        <w:tblStyle w:val="TableGrid6111"/>
        <w:tblW w:w="9360" w:type="dxa"/>
        <w:jc w:val="center"/>
        <w:tblLayout w:type="fixed"/>
        <w:tblCellMar>
          <w:left w:w="43" w:type="dxa"/>
          <w:right w:w="43" w:type="dxa"/>
        </w:tblCellMar>
        <w:tblLook w:val="04A0" w:firstRow="1" w:lastRow="0" w:firstColumn="1" w:lastColumn="0" w:noHBand="0" w:noVBand="1"/>
        <w:tblDescription w:val="Reporing for Mains – Cast Iron and Unprotected Steel"/>
      </w:tblPr>
      <w:tblGrid>
        <w:gridCol w:w="1975"/>
        <w:gridCol w:w="1530"/>
        <w:gridCol w:w="5135"/>
        <w:gridCol w:w="720"/>
      </w:tblGrid>
      <w:tr w:rsidRPr="00841662" w:rsidR="00856129" w:rsidTr="00CA1FE1" w14:paraId="3F02A456" w14:textId="77777777">
        <w:trPr>
          <w:tblHeader/>
          <w:jc w:val="center"/>
        </w:trPr>
        <w:tc>
          <w:tcPr>
            <w:tcW w:w="1975" w:type="dxa"/>
            <w:tcBorders>
              <w:bottom w:val="single" w:color="auto" w:sz="4" w:space="0"/>
            </w:tcBorders>
            <w:shd w:val="clear" w:color="auto" w:fill="A6A6A6" w:themeFill="background1" w:themeFillShade="A6"/>
            <w:tcMar>
              <w:left w:w="58" w:type="dxa"/>
              <w:right w:w="58" w:type="dxa"/>
            </w:tcMar>
          </w:tcPr>
          <w:p w:rsidRPr="00841662" w:rsidR="00856129" w:rsidP="00923CA5" w:rsidRDefault="00856129" w14:paraId="1AB1E045" w14:textId="77777777">
            <w:pPr>
              <w:rPr>
                <w:rFonts w:cs="Calibri"/>
                <w:b/>
                <w:sz w:val="20"/>
                <w:szCs w:val="21"/>
              </w:rPr>
            </w:pPr>
            <w:r w:rsidRPr="00841662">
              <w:rPr>
                <w:rFonts w:cs="Calibri"/>
                <w:b/>
                <w:sz w:val="20"/>
                <w:szCs w:val="21"/>
              </w:rPr>
              <w:t>Emission Source</w:t>
            </w:r>
          </w:p>
        </w:tc>
        <w:tc>
          <w:tcPr>
            <w:tcW w:w="1530" w:type="dxa"/>
            <w:tcBorders>
              <w:bottom w:val="single" w:color="auto" w:sz="4" w:space="0"/>
            </w:tcBorders>
            <w:shd w:val="clear" w:color="auto" w:fill="A6A6A6" w:themeFill="background1" w:themeFillShade="A6"/>
            <w:tcMar>
              <w:left w:w="58" w:type="dxa"/>
              <w:right w:w="58" w:type="dxa"/>
            </w:tcMar>
          </w:tcPr>
          <w:p w:rsidRPr="00841662" w:rsidR="00856129" w:rsidP="00923CA5" w:rsidRDefault="00856129" w14:paraId="34F580B9" w14:textId="77777777">
            <w:pPr>
              <w:rPr>
                <w:rFonts w:cs="Calibri"/>
                <w:b/>
                <w:sz w:val="20"/>
                <w:szCs w:val="21"/>
              </w:rPr>
            </w:pPr>
            <w:r w:rsidRPr="00841662">
              <w:rPr>
                <w:rFonts w:cs="Calibri"/>
                <w:b/>
                <w:sz w:val="20"/>
                <w:szCs w:val="21"/>
              </w:rPr>
              <w:t>Quantification Method</w:t>
            </w:r>
            <w:r w:rsidRPr="00841662">
              <w:rPr>
                <w:rFonts w:cs="Calibri"/>
                <w:b/>
                <w:sz w:val="20"/>
                <w:szCs w:val="21"/>
                <w:vertAlign w:val="superscript"/>
              </w:rPr>
              <w:footnoteReference w:id="67"/>
            </w:r>
          </w:p>
        </w:tc>
        <w:tc>
          <w:tcPr>
            <w:tcW w:w="5135" w:type="dxa"/>
            <w:tcBorders>
              <w:bottom w:val="single" w:color="auto" w:sz="4" w:space="0"/>
            </w:tcBorders>
            <w:shd w:val="clear" w:color="auto" w:fill="A6A6A6" w:themeFill="background1" w:themeFillShade="A6"/>
            <w:tcMar>
              <w:left w:w="58" w:type="dxa"/>
              <w:right w:w="58" w:type="dxa"/>
            </w:tcMar>
          </w:tcPr>
          <w:p w:rsidRPr="00841662" w:rsidR="00856129" w:rsidP="00923CA5" w:rsidRDefault="00D84EBE" w14:paraId="495801E3" w14:textId="71ED3712">
            <w:pPr>
              <w:rPr>
                <w:rFonts w:cs="Calibri"/>
                <w:b/>
                <w:sz w:val="20"/>
                <w:szCs w:val="21"/>
              </w:rPr>
            </w:pPr>
            <w:r w:rsidRPr="007A580F">
              <w:rPr>
                <w:rFonts w:cstheme="minorHAnsi"/>
                <w:b/>
                <w:sz w:val="20"/>
                <w:szCs w:val="21"/>
              </w:rPr>
              <w:t>Data Elements Collected via Facility-Level Reporting</w:t>
            </w:r>
          </w:p>
        </w:tc>
        <w:tc>
          <w:tcPr>
            <w:tcW w:w="720" w:type="dxa"/>
            <w:tcBorders>
              <w:bottom w:val="single" w:color="auto" w:sz="4" w:space="0"/>
            </w:tcBorders>
            <w:shd w:val="clear" w:color="auto" w:fill="A6A6A6" w:themeFill="background1" w:themeFillShade="A6"/>
            <w:tcMar>
              <w:left w:w="0" w:type="dxa"/>
              <w:right w:w="0" w:type="dxa"/>
            </w:tcMar>
          </w:tcPr>
          <w:p w:rsidRPr="00841662" w:rsidR="00856129" w:rsidP="00923CA5" w:rsidRDefault="00856129" w14:paraId="504D42A5" w14:textId="11F0A585">
            <w:pPr>
              <w:contextualSpacing/>
              <w:rPr>
                <w:rFonts w:cs="Calibri"/>
                <w:b/>
                <w:sz w:val="20"/>
                <w:szCs w:val="21"/>
              </w:rPr>
            </w:pPr>
            <w:r w:rsidRPr="00841662">
              <w:rPr>
                <w:rFonts w:cs="Calibri"/>
                <w:b/>
                <w:sz w:val="20"/>
                <w:szCs w:val="21"/>
              </w:rPr>
              <w:t>GHGRP</w:t>
            </w:r>
          </w:p>
        </w:tc>
      </w:tr>
      <w:tr w:rsidRPr="00841662" w:rsidR="00D421E7" w:rsidTr="00CA1FE1" w14:paraId="7F900EEE" w14:textId="77777777">
        <w:trPr>
          <w:trHeight w:val="260"/>
          <w:jc w:val="center"/>
        </w:trPr>
        <w:tc>
          <w:tcPr>
            <w:tcW w:w="1975" w:type="dxa"/>
            <w:vMerge w:val="restart"/>
            <w:shd w:val="clear" w:color="auto" w:fill="auto"/>
            <w:tcMar>
              <w:left w:w="58" w:type="dxa"/>
              <w:right w:w="58" w:type="dxa"/>
            </w:tcMar>
            <w:vAlign w:val="center"/>
          </w:tcPr>
          <w:p w:rsidRPr="00841662" w:rsidR="00D421E7" w:rsidP="00BB1941" w:rsidRDefault="00D421E7" w14:paraId="61F1B6E5" w14:textId="2DA09150">
            <w:pPr>
              <w:rPr>
                <w:rFonts w:cs="Calibri"/>
                <w:sz w:val="21"/>
                <w:szCs w:val="21"/>
              </w:rPr>
            </w:pPr>
            <w:r w:rsidRPr="00841662">
              <w:rPr>
                <w:rFonts w:cs="Calibri"/>
                <w:sz w:val="21"/>
                <w:szCs w:val="21"/>
              </w:rPr>
              <w:t>Distribution mains - cast iron - gas service</w:t>
            </w:r>
          </w:p>
        </w:tc>
        <w:tc>
          <w:tcPr>
            <w:tcW w:w="1530" w:type="dxa"/>
            <w:shd w:val="clear" w:color="auto" w:fill="auto"/>
            <w:tcMar>
              <w:left w:w="58" w:type="dxa"/>
              <w:right w:w="58" w:type="dxa"/>
            </w:tcMar>
            <w:vAlign w:val="center"/>
          </w:tcPr>
          <w:p w:rsidRPr="00841662" w:rsidR="00D421E7" w:rsidP="00BB1941" w:rsidRDefault="00554865" w14:paraId="110268E1" w14:textId="2A64FA7C">
            <w:pPr>
              <w:rPr>
                <w:rFonts w:cs="Calibri"/>
                <w:sz w:val="21"/>
                <w:szCs w:val="21"/>
              </w:rPr>
            </w:pPr>
            <w:r>
              <w:rPr>
                <w:rFonts w:cs="Calibri"/>
                <w:sz w:val="21"/>
                <w:szCs w:val="21"/>
              </w:rPr>
              <w:t>N</w:t>
            </w:r>
            <w:r w:rsidR="00D421E7">
              <w:rPr>
                <w:rFonts w:cs="Calibri"/>
                <w:sz w:val="21"/>
                <w:szCs w:val="21"/>
              </w:rPr>
              <w:t>A</w:t>
            </w:r>
          </w:p>
        </w:tc>
        <w:tc>
          <w:tcPr>
            <w:tcW w:w="5135" w:type="dxa"/>
            <w:shd w:val="clear" w:color="auto" w:fill="auto"/>
            <w:tcMar>
              <w:left w:w="58" w:type="dxa"/>
              <w:right w:w="58" w:type="dxa"/>
            </w:tcMar>
            <w:vAlign w:val="center"/>
          </w:tcPr>
          <w:p w:rsidRPr="00841662" w:rsidR="00D421E7" w:rsidP="00BB1941" w:rsidRDefault="00D421E7" w14:paraId="247E329E" w14:textId="3327B3DC">
            <w:pPr>
              <w:rPr>
                <w:rFonts w:cs="Calibri"/>
                <w:sz w:val="21"/>
                <w:szCs w:val="21"/>
              </w:rPr>
            </w:pPr>
            <w:r>
              <w:rPr>
                <w:rFonts w:cs="Calibri"/>
                <w:sz w:val="21"/>
                <w:szCs w:val="21"/>
              </w:rPr>
              <w:t>Initial inventory of cast iron</w:t>
            </w:r>
            <w:r w:rsidR="00F55DC3">
              <w:rPr>
                <w:rFonts w:cs="Calibri"/>
                <w:sz w:val="21"/>
                <w:szCs w:val="21"/>
              </w:rPr>
              <w:t xml:space="preserve"> distribution</w:t>
            </w:r>
            <w:r>
              <w:rPr>
                <w:rFonts w:cs="Calibri"/>
                <w:sz w:val="21"/>
                <w:szCs w:val="21"/>
              </w:rPr>
              <w:t xml:space="preserve"> mains as of January 1 of the</w:t>
            </w:r>
            <w:r w:rsidR="008A5D00">
              <w:rPr>
                <w:rFonts w:cs="Calibri"/>
                <w:sz w:val="21"/>
                <w:szCs w:val="21"/>
              </w:rPr>
              <w:t xml:space="preserve"> first</w:t>
            </w:r>
            <w:r>
              <w:rPr>
                <w:rFonts w:cs="Calibri"/>
                <w:sz w:val="21"/>
                <w:szCs w:val="21"/>
              </w:rPr>
              <w:t xml:space="preserve"> year of </w:t>
            </w:r>
            <w:r w:rsidR="008A5D00">
              <w:rPr>
                <w:rFonts w:cs="Calibri"/>
                <w:sz w:val="21"/>
                <w:szCs w:val="21"/>
              </w:rPr>
              <w:t xml:space="preserve">current </w:t>
            </w:r>
            <w:r>
              <w:rPr>
                <w:rFonts w:cs="Calibri"/>
                <w:sz w:val="21"/>
                <w:szCs w:val="21"/>
              </w:rPr>
              <w:t>commitment (miles)</w:t>
            </w:r>
            <w:r w:rsidR="00BD3775">
              <w:rPr>
                <w:rStyle w:val="FootnoteReference"/>
                <w:rFonts w:cs="Calibri"/>
                <w:sz w:val="21"/>
                <w:szCs w:val="21"/>
              </w:rPr>
              <w:footnoteReference w:id="68"/>
            </w:r>
          </w:p>
        </w:tc>
        <w:tc>
          <w:tcPr>
            <w:tcW w:w="720" w:type="dxa"/>
            <w:shd w:val="clear" w:color="auto" w:fill="auto"/>
            <w:tcMar>
              <w:left w:w="58" w:type="dxa"/>
              <w:right w:w="58" w:type="dxa"/>
            </w:tcMar>
            <w:vAlign w:val="center"/>
          </w:tcPr>
          <w:p w:rsidRPr="00841662" w:rsidR="00D421E7" w:rsidP="00BB1941" w:rsidRDefault="00D421E7" w14:paraId="186897B1" w14:textId="77777777">
            <w:pPr>
              <w:jc w:val="center"/>
              <w:rPr>
                <w:rFonts w:cstheme="minorHAnsi"/>
                <w:sz w:val="21"/>
                <w:szCs w:val="21"/>
              </w:rPr>
            </w:pPr>
          </w:p>
        </w:tc>
      </w:tr>
      <w:tr w:rsidRPr="00841662" w:rsidR="00D421E7" w:rsidTr="00CA1FE1" w14:paraId="5904C200" w14:textId="77777777">
        <w:trPr>
          <w:trHeight w:val="260"/>
          <w:jc w:val="center"/>
        </w:trPr>
        <w:tc>
          <w:tcPr>
            <w:tcW w:w="1975" w:type="dxa"/>
            <w:vMerge/>
            <w:shd w:val="clear" w:color="auto" w:fill="auto"/>
            <w:tcMar>
              <w:left w:w="58" w:type="dxa"/>
              <w:right w:w="58" w:type="dxa"/>
            </w:tcMar>
            <w:vAlign w:val="center"/>
          </w:tcPr>
          <w:p w:rsidRPr="00841662" w:rsidR="00D421E7" w:rsidP="00BB1941" w:rsidRDefault="00D421E7" w14:paraId="63673C66" w14:textId="7FE2749C">
            <w:pPr>
              <w:rPr>
                <w:rFonts w:cs="Calibri"/>
                <w:sz w:val="21"/>
                <w:szCs w:val="21"/>
              </w:rPr>
            </w:pPr>
          </w:p>
        </w:tc>
        <w:tc>
          <w:tcPr>
            <w:tcW w:w="1530" w:type="dxa"/>
            <w:vMerge w:val="restart"/>
            <w:shd w:val="clear" w:color="auto" w:fill="auto"/>
            <w:tcMar>
              <w:left w:w="58" w:type="dxa"/>
              <w:right w:w="58" w:type="dxa"/>
            </w:tcMar>
            <w:vAlign w:val="center"/>
          </w:tcPr>
          <w:p w:rsidRPr="00841662" w:rsidR="00D421E7" w:rsidP="00BB1941" w:rsidRDefault="007C2C53" w14:paraId="0A850800" w14:textId="192777F6">
            <w:pPr>
              <w:rPr>
                <w:rFonts w:cs="Calibri"/>
                <w:sz w:val="21"/>
                <w:szCs w:val="21"/>
              </w:rPr>
            </w:pPr>
            <w:r w:rsidRPr="00841662">
              <w:rPr>
                <w:rFonts w:cs="Calibri"/>
                <w:sz w:val="21"/>
                <w:szCs w:val="21"/>
              </w:rPr>
              <w:t xml:space="preserve">Subpart W </w:t>
            </w:r>
            <w:r w:rsidR="00EE601D">
              <w:rPr>
                <w:rFonts w:cs="Calibri"/>
                <w:sz w:val="21"/>
                <w:szCs w:val="21"/>
              </w:rPr>
              <w:t>C</w:t>
            </w:r>
            <w:r w:rsidRPr="00841662" w:rsidR="00D421E7">
              <w:rPr>
                <w:rFonts w:cs="Calibri"/>
                <w:sz w:val="21"/>
                <w:szCs w:val="21"/>
              </w:rPr>
              <w:t>ast iron mains EF</w:t>
            </w:r>
          </w:p>
        </w:tc>
        <w:tc>
          <w:tcPr>
            <w:tcW w:w="5135" w:type="dxa"/>
            <w:shd w:val="clear" w:color="auto" w:fill="auto"/>
            <w:tcMar>
              <w:left w:w="58" w:type="dxa"/>
              <w:right w:w="58" w:type="dxa"/>
            </w:tcMar>
            <w:vAlign w:val="center"/>
          </w:tcPr>
          <w:p w:rsidRPr="00841662" w:rsidR="00D421E7" w:rsidP="00BB1941" w:rsidRDefault="00D421E7" w14:paraId="2C908D8A" w14:textId="77777777">
            <w:pPr>
              <w:rPr>
                <w:rFonts w:cs="Calibri"/>
                <w:sz w:val="21"/>
                <w:szCs w:val="21"/>
              </w:rPr>
            </w:pPr>
            <w:r w:rsidRPr="00841662">
              <w:rPr>
                <w:rFonts w:cs="Calibri"/>
                <w:sz w:val="21"/>
                <w:szCs w:val="21"/>
              </w:rPr>
              <w:t>Total miles of cast iron distribution mains</w:t>
            </w:r>
          </w:p>
        </w:tc>
        <w:tc>
          <w:tcPr>
            <w:tcW w:w="720" w:type="dxa"/>
            <w:shd w:val="clear" w:color="auto" w:fill="auto"/>
            <w:tcMar>
              <w:left w:w="58" w:type="dxa"/>
              <w:right w:w="58" w:type="dxa"/>
            </w:tcMar>
            <w:vAlign w:val="center"/>
          </w:tcPr>
          <w:p w:rsidRPr="00841662" w:rsidR="00D421E7" w:rsidP="00BB1941" w:rsidRDefault="00D421E7" w14:paraId="4092C10C" w14:textId="77777777">
            <w:pPr>
              <w:jc w:val="center"/>
              <w:rPr>
                <w:rFonts w:cs="Calibri"/>
                <w:sz w:val="21"/>
                <w:szCs w:val="21"/>
              </w:rPr>
            </w:pPr>
            <w:r w:rsidRPr="00841662">
              <w:rPr>
                <w:rFonts w:cstheme="minorHAnsi"/>
                <w:sz w:val="21"/>
                <w:szCs w:val="21"/>
              </w:rPr>
              <w:t>X</w:t>
            </w:r>
          </w:p>
        </w:tc>
      </w:tr>
      <w:tr w:rsidRPr="00841662" w:rsidR="00D421E7" w:rsidTr="00CA1FE1" w14:paraId="5F63F0B7" w14:textId="77777777">
        <w:trPr>
          <w:trHeight w:val="242"/>
          <w:jc w:val="center"/>
        </w:trPr>
        <w:tc>
          <w:tcPr>
            <w:tcW w:w="1975" w:type="dxa"/>
            <w:vMerge/>
            <w:shd w:val="clear" w:color="auto" w:fill="auto"/>
            <w:tcMar>
              <w:left w:w="58" w:type="dxa"/>
              <w:right w:w="58" w:type="dxa"/>
            </w:tcMar>
            <w:vAlign w:val="center"/>
          </w:tcPr>
          <w:p w:rsidRPr="00841662" w:rsidR="00D421E7" w:rsidP="00BB1941" w:rsidRDefault="00D421E7" w14:paraId="26934F45" w14:textId="77777777">
            <w:pPr>
              <w:rPr>
                <w:rFonts w:cs="Calibri"/>
                <w:sz w:val="21"/>
                <w:szCs w:val="21"/>
              </w:rPr>
            </w:pPr>
          </w:p>
        </w:tc>
        <w:tc>
          <w:tcPr>
            <w:tcW w:w="1530" w:type="dxa"/>
            <w:vMerge/>
            <w:shd w:val="clear" w:color="auto" w:fill="auto"/>
            <w:tcMar>
              <w:left w:w="58" w:type="dxa"/>
              <w:right w:w="58" w:type="dxa"/>
            </w:tcMar>
            <w:vAlign w:val="center"/>
          </w:tcPr>
          <w:p w:rsidRPr="00841662" w:rsidR="00D421E7" w:rsidP="00BB1941" w:rsidRDefault="00D421E7" w14:paraId="7C54D8AA" w14:textId="77777777">
            <w:pPr>
              <w:rPr>
                <w:rFonts w:cs="Calibri"/>
                <w:sz w:val="21"/>
                <w:szCs w:val="21"/>
              </w:rPr>
            </w:pPr>
          </w:p>
        </w:tc>
        <w:tc>
          <w:tcPr>
            <w:tcW w:w="5135" w:type="dxa"/>
            <w:shd w:val="clear" w:color="auto" w:fill="auto"/>
            <w:tcMar>
              <w:left w:w="58" w:type="dxa"/>
              <w:right w:w="58" w:type="dxa"/>
            </w:tcMar>
            <w:vAlign w:val="center"/>
          </w:tcPr>
          <w:p w:rsidRPr="00841662" w:rsidR="00D421E7" w:rsidP="00BB1941" w:rsidRDefault="00D421E7" w14:paraId="5E08E05A" w14:textId="66D4868C">
            <w:pPr>
              <w:rPr>
                <w:rFonts w:cs="Calibri"/>
                <w:sz w:val="21"/>
                <w:szCs w:val="21"/>
              </w:rPr>
            </w:pPr>
            <w:r w:rsidRPr="00841662">
              <w:rPr>
                <w:rFonts w:cs="Calibri"/>
                <w:sz w:val="21"/>
                <w:szCs w:val="21"/>
              </w:rPr>
              <w:t>Annual CH</w:t>
            </w:r>
            <w:r w:rsidRPr="00841662">
              <w:rPr>
                <w:rFonts w:cs="Calibri"/>
                <w:sz w:val="21"/>
                <w:szCs w:val="21"/>
                <w:vertAlign w:val="subscript"/>
              </w:rPr>
              <w:t>4</w:t>
            </w:r>
            <w:r w:rsidRPr="00841662">
              <w:rPr>
                <w:rFonts w:cs="Calibri"/>
                <w:sz w:val="21"/>
                <w:szCs w:val="21"/>
              </w:rPr>
              <w:t xml:space="preserve"> emissions (mt CH</w:t>
            </w:r>
            <w:r w:rsidRPr="00841662">
              <w:rPr>
                <w:rFonts w:cs="Calibri"/>
                <w:sz w:val="21"/>
                <w:szCs w:val="21"/>
                <w:vertAlign w:val="subscript"/>
              </w:rPr>
              <w:t>4</w:t>
            </w:r>
            <w:r w:rsidRPr="00841662">
              <w:rPr>
                <w:rFonts w:cs="Calibri"/>
                <w:sz w:val="21"/>
                <w:szCs w:val="21"/>
              </w:rPr>
              <w:t>)</w:t>
            </w:r>
          </w:p>
        </w:tc>
        <w:tc>
          <w:tcPr>
            <w:tcW w:w="720" w:type="dxa"/>
            <w:shd w:val="clear" w:color="auto" w:fill="auto"/>
            <w:tcMar>
              <w:left w:w="58" w:type="dxa"/>
              <w:right w:w="58" w:type="dxa"/>
            </w:tcMar>
            <w:vAlign w:val="center"/>
          </w:tcPr>
          <w:p w:rsidRPr="00841662" w:rsidR="00D421E7" w:rsidP="00BB1941" w:rsidRDefault="007C2C53" w14:paraId="1593BA6F" w14:textId="5F8B8E0A">
            <w:pPr>
              <w:jc w:val="center"/>
              <w:rPr>
                <w:rFonts w:cs="Calibri"/>
                <w:sz w:val="21"/>
                <w:szCs w:val="21"/>
              </w:rPr>
            </w:pPr>
            <w:r>
              <w:rPr>
                <w:rFonts w:cs="Calibri"/>
                <w:sz w:val="21"/>
                <w:szCs w:val="21"/>
              </w:rPr>
              <w:t>X</w:t>
            </w:r>
          </w:p>
        </w:tc>
      </w:tr>
      <w:tr w:rsidRPr="00841662" w:rsidR="007271A0" w:rsidTr="00CA1FE1" w14:paraId="4CF333CE" w14:textId="77777777">
        <w:tblPrEx>
          <w:jc w:val="left"/>
        </w:tblPrEx>
        <w:trPr>
          <w:trHeight w:val="260"/>
        </w:trPr>
        <w:tc>
          <w:tcPr>
            <w:tcW w:w="1975" w:type="dxa"/>
            <w:vMerge w:val="restart"/>
            <w:shd w:val="clear" w:color="auto" w:fill="D9D9D9" w:themeFill="background1" w:themeFillShade="D9"/>
            <w:tcMar>
              <w:left w:w="58" w:type="dxa"/>
              <w:right w:w="58" w:type="dxa"/>
            </w:tcMar>
            <w:vAlign w:val="center"/>
          </w:tcPr>
          <w:p w:rsidRPr="00841662" w:rsidR="007271A0" w:rsidP="00BB1941" w:rsidRDefault="007271A0" w14:paraId="181685C2" w14:textId="570D369C">
            <w:pPr>
              <w:rPr>
                <w:rFonts w:cs="Calibri"/>
                <w:sz w:val="21"/>
                <w:szCs w:val="21"/>
              </w:rPr>
            </w:pPr>
            <w:r w:rsidRPr="00841662">
              <w:rPr>
                <w:rFonts w:cs="Calibri"/>
                <w:sz w:val="21"/>
                <w:szCs w:val="21"/>
              </w:rPr>
              <w:t xml:space="preserve">Distribution </w:t>
            </w:r>
            <w:r w:rsidRPr="00841662" w:rsidR="00397FDF">
              <w:rPr>
                <w:rFonts w:cs="Calibri"/>
                <w:sz w:val="21"/>
                <w:szCs w:val="21"/>
              </w:rPr>
              <w:t>m</w:t>
            </w:r>
            <w:r w:rsidRPr="00841662">
              <w:rPr>
                <w:rFonts w:cs="Calibri"/>
                <w:sz w:val="21"/>
                <w:szCs w:val="21"/>
              </w:rPr>
              <w:t xml:space="preserve">ains - </w:t>
            </w:r>
            <w:r w:rsidRPr="00841662" w:rsidR="00397FDF">
              <w:rPr>
                <w:rFonts w:cs="Calibri"/>
                <w:sz w:val="21"/>
                <w:szCs w:val="21"/>
              </w:rPr>
              <w:t>p</w:t>
            </w:r>
            <w:r w:rsidRPr="00841662">
              <w:rPr>
                <w:rFonts w:cs="Calibri"/>
                <w:sz w:val="21"/>
                <w:szCs w:val="21"/>
              </w:rPr>
              <w:t xml:space="preserve">lastic - </w:t>
            </w:r>
            <w:r w:rsidRPr="00841662" w:rsidR="00397FDF">
              <w:rPr>
                <w:rFonts w:cs="Calibri"/>
                <w:sz w:val="21"/>
                <w:szCs w:val="21"/>
              </w:rPr>
              <w:t>g</w:t>
            </w:r>
            <w:r w:rsidRPr="00841662">
              <w:rPr>
                <w:rFonts w:cs="Calibri"/>
                <w:sz w:val="21"/>
                <w:szCs w:val="21"/>
              </w:rPr>
              <w:t xml:space="preserve">as </w:t>
            </w:r>
            <w:r w:rsidRPr="00841662" w:rsidR="00397FDF">
              <w:rPr>
                <w:rFonts w:cs="Calibri"/>
                <w:sz w:val="21"/>
                <w:szCs w:val="21"/>
              </w:rPr>
              <w:t>s</w:t>
            </w:r>
            <w:r w:rsidRPr="00841662">
              <w:rPr>
                <w:rFonts w:cs="Calibri"/>
                <w:sz w:val="21"/>
                <w:szCs w:val="21"/>
              </w:rPr>
              <w:t>ervice</w:t>
            </w:r>
          </w:p>
        </w:tc>
        <w:tc>
          <w:tcPr>
            <w:tcW w:w="1530" w:type="dxa"/>
            <w:vMerge w:val="restart"/>
            <w:shd w:val="clear" w:color="auto" w:fill="D9D9D9" w:themeFill="background1" w:themeFillShade="D9"/>
            <w:tcMar>
              <w:left w:w="58" w:type="dxa"/>
              <w:right w:w="58" w:type="dxa"/>
            </w:tcMar>
            <w:vAlign w:val="center"/>
          </w:tcPr>
          <w:p w:rsidRPr="00841662" w:rsidR="007271A0" w:rsidP="00BB1941" w:rsidRDefault="007C2C53" w14:paraId="33161ED2" w14:textId="45D1194A">
            <w:pPr>
              <w:rPr>
                <w:rFonts w:cs="Calibri"/>
                <w:sz w:val="21"/>
                <w:szCs w:val="21"/>
              </w:rPr>
            </w:pPr>
            <w:r w:rsidRPr="00841662">
              <w:rPr>
                <w:rFonts w:cs="Calibri"/>
                <w:sz w:val="21"/>
                <w:szCs w:val="21"/>
              </w:rPr>
              <w:t xml:space="preserve">Subpart W </w:t>
            </w:r>
            <w:r w:rsidR="00EE601D">
              <w:rPr>
                <w:rFonts w:cs="Calibri"/>
                <w:sz w:val="21"/>
                <w:szCs w:val="21"/>
              </w:rPr>
              <w:t>P</w:t>
            </w:r>
            <w:r w:rsidRPr="00841662" w:rsidR="003E0905">
              <w:rPr>
                <w:rFonts w:cs="Calibri"/>
                <w:sz w:val="21"/>
                <w:szCs w:val="21"/>
              </w:rPr>
              <w:t>lastic mains EF</w:t>
            </w:r>
          </w:p>
        </w:tc>
        <w:tc>
          <w:tcPr>
            <w:tcW w:w="5135" w:type="dxa"/>
            <w:shd w:val="clear" w:color="auto" w:fill="D9D9D9" w:themeFill="background1" w:themeFillShade="D9"/>
            <w:tcMar>
              <w:left w:w="58" w:type="dxa"/>
              <w:right w:w="58" w:type="dxa"/>
            </w:tcMar>
            <w:vAlign w:val="center"/>
          </w:tcPr>
          <w:p w:rsidRPr="00841662" w:rsidR="007271A0" w:rsidP="00BB1941" w:rsidRDefault="007271A0" w14:paraId="72A932BB" w14:textId="77777777">
            <w:pPr>
              <w:rPr>
                <w:rFonts w:cs="Calibri"/>
                <w:sz w:val="21"/>
                <w:szCs w:val="21"/>
              </w:rPr>
            </w:pPr>
            <w:r w:rsidRPr="00841662">
              <w:rPr>
                <w:rFonts w:cs="Calibri"/>
                <w:sz w:val="21"/>
                <w:szCs w:val="21"/>
              </w:rPr>
              <w:t>Total miles of plastic distribution mains</w:t>
            </w:r>
          </w:p>
        </w:tc>
        <w:tc>
          <w:tcPr>
            <w:tcW w:w="720" w:type="dxa"/>
            <w:shd w:val="clear" w:color="auto" w:fill="D9D9D9" w:themeFill="background1" w:themeFillShade="D9"/>
            <w:tcMar>
              <w:left w:w="58" w:type="dxa"/>
              <w:right w:w="58" w:type="dxa"/>
            </w:tcMar>
            <w:vAlign w:val="center"/>
          </w:tcPr>
          <w:p w:rsidRPr="00841662" w:rsidR="007271A0" w:rsidP="00BB1941" w:rsidRDefault="004F493D" w14:paraId="600C24F8" w14:textId="77777777">
            <w:pPr>
              <w:jc w:val="center"/>
              <w:rPr>
                <w:rFonts w:cs="Calibri"/>
                <w:sz w:val="21"/>
                <w:szCs w:val="21"/>
              </w:rPr>
            </w:pPr>
            <w:r w:rsidRPr="00841662">
              <w:rPr>
                <w:rFonts w:cstheme="minorHAnsi"/>
                <w:sz w:val="21"/>
                <w:szCs w:val="21"/>
              </w:rPr>
              <w:t>X</w:t>
            </w:r>
          </w:p>
        </w:tc>
      </w:tr>
      <w:tr w:rsidRPr="00841662" w:rsidR="007271A0" w:rsidTr="00CA1FE1" w14:paraId="4807DA89" w14:textId="77777777">
        <w:tblPrEx>
          <w:jc w:val="left"/>
        </w:tblPrEx>
        <w:trPr>
          <w:trHeight w:val="188"/>
        </w:trPr>
        <w:tc>
          <w:tcPr>
            <w:tcW w:w="1975" w:type="dxa"/>
            <w:vMerge/>
            <w:shd w:val="clear" w:color="auto" w:fill="D9D9D9" w:themeFill="background1" w:themeFillShade="D9"/>
            <w:tcMar>
              <w:left w:w="58" w:type="dxa"/>
              <w:right w:w="58" w:type="dxa"/>
            </w:tcMar>
            <w:vAlign w:val="center"/>
          </w:tcPr>
          <w:p w:rsidRPr="00841662" w:rsidR="007271A0" w:rsidP="00BB1941" w:rsidRDefault="007271A0" w14:paraId="29174D63" w14:textId="77777777">
            <w:pPr>
              <w:rPr>
                <w:rFonts w:cs="Calibri"/>
                <w:sz w:val="21"/>
                <w:szCs w:val="21"/>
              </w:rPr>
            </w:pPr>
          </w:p>
        </w:tc>
        <w:tc>
          <w:tcPr>
            <w:tcW w:w="1530" w:type="dxa"/>
            <w:vMerge/>
            <w:shd w:val="clear" w:color="auto" w:fill="D9D9D9" w:themeFill="background1" w:themeFillShade="D9"/>
            <w:tcMar>
              <w:left w:w="58" w:type="dxa"/>
              <w:right w:w="58" w:type="dxa"/>
            </w:tcMar>
            <w:vAlign w:val="center"/>
          </w:tcPr>
          <w:p w:rsidRPr="00841662" w:rsidR="007271A0" w:rsidP="00BB1941" w:rsidRDefault="007271A0" w14:paraId="7E00A9D9" w14:textId="77777777">
            <w:pPr>
              <w:rPr>
                <w:rFonts w:cs="Calibri"/>
                <w:sz w:val="21"/>
                <w:szCs w:val="21"/>
              </w:rPr>
            </w:pPr>
          </w:p>
        </w:tc>
        <w:tc>
          <w:tcPr>
            <w:tcW w:w="5135" w:type="dxa"/>
            <w:shd w:val="clear" w:color="auto" w:fill="D9D9D9" w:themeFill="background1" w:themeFillShade="D9"/>
            <w:tcMar>
              <w:left w:w="58" w:type="dxa"/>
              <w:right w:w="58" w:type="dxa"/>
            </w:tcMar>
            <w:vAlign w:val="center"/>
          </w:tcPr>
          <w:p w:rsidRPr="00841662" w:rsidR="007271A0" w:rsidP="00BB1941" w:rsidRDefault="007271A0" w14:paraId="7A80F6B2" w14:textId="77777777">
            <w:pPr>
              <w:rPr>
                <w:rFonts w:cs="Calibri"/>
                <w:sz w:val="21"/>
                <w:szCs w:val="21"/>
              </w:rPr>
            </w:pPr>
            <w:r w:rsidRPr="00841662">
              <w:rPr>
                <w:rFonts w:cs="Calibri"/>
                <w:sz w:val="21"/>
                <w:szCs w:val="21"/>
              </w:rPr>
              <w:t>Annual CH</w:t>
            </w:r>
            <w:r w:rsidRPr="00841662">
              <w:rPr>
                <w:rFonts w:cs="Calibri"/>
                <w:sz w:val="21"/>
                <w:szCs w:val="21"/>
                <w:vertAlign w:val="subscript"/>
              </w:rPr>
              <w:t>4</w:t>
            </w:r>
            <w:r w:rsidRPr="00841662">
              <w:rPr>
                <w:rFonts w:cs="Calibri"/>
                <w:sz w:val="21"/>
                <w:szCs w:val="21"/>
              </w:rPr>
              <w:t xml:space="preserve"> emissions (mt </w:t>
            </w:r>
            <w:r w:rsidRPr="00841662" w:rsidR="00B50EFB">
              <w:rPr>
                <w:rFonts w:cs="Calibri"/>
                <w:sz w:val="21"/>
                <w:szCs w:val="21"/>
              </w:rPr>
              <w:t>CH</w:t>
            </w:r>
            <w:r w:rsidRPr="00841662" w:rsidR="00B50EFB">
              <w:rPr>
                <w:rFonts w:cs="Calibri"/>
                <w:sz w:val="21"/>
                <w:szCs w:val="21"/>
                <w:vertAlign w:val="subscript"/>
              </w:rPr>
              <w:t>4</w:t>
            </w:r>
            <w:r w:rsidRPr="00841662">
              <w:rPr>
                <w:rFonts w:cs="Calibri"/>
                <w:sz w:val="21"/>
                <w:szCs w:val="21"/>
              </w:rPr>
              <w:t>)</w:t>
            </w:r>
          </w:p>
        </w:tc>
        <w:tc>
          <w:tcPr>
            <w:tcW w:w="720" w:type="dxa"/>
            <w:shd w:val="clear" w:color="auto" w:fill="D9D9D9" w:themeFill="background1" w:themeFillShade="D9"/>
            <w:tcMar>
              <w:left w:w="58" w:type="dxa"/>
              <w:right w:w="58" w:type="dxa"/>
            </w:tcMar>
            <w:vAlign w:val="center"/>
          </w:tcPr>
          <w:p w:rsidRPr="00841662" w:rsidR="007271A0" w:rsidP="00BB1941" w:rsidRDefault="007C2C53" w14:paraId="4084F716" w14:textId="05855917">
            <w:pPr>
              <w:jc w:val="center"/>
              <w:rPr>
                <w:rFonts w:cs="Calibri"/>
                <w:sz w:val="21"/>
                <w:szCs w:val="21"/>
              </w:rPr>
            </w:pPr>
            <w:r>
              <w:rPr>
                <w:rFonts w:cs="Calibri"/>
                <w:sz w:val="21"/>
                <w:szCs w:val="21"/>
              </w:rPr>
              <w:t>X</w:t>
            </w:r>
          </w:p>
        </w:tc>
      </w:tr>
      <w:tr w:rsidRPr="00841662" w:rsidR="007271A0" w:rsidTr="007C2C53" w14:paraId="6844DBD0" w14:textId="77777777">
        <w:tblPrEx>
          <w:jc w:val="left"/>
        </w:tblPrEx>
        <w:trPr>
          <w:trHeight w:val="439"/>
        </w:trPr>
        <w:tc>
          <w:tcPr>
            <w:tcW w:w="1975" w:type="dxa"/>
            <w:vMerge w:val="restart"/>
            <w:shd w:val="clear" w:color="auto" w:fill="auto"/>
            <w:tcMar>
              <w:left w:w="58" w:type="dxa"/>
              <w:right w:w="58" w:type="dxa"/>
            </w:tcMar>
            <w:vAlign w:val="center"/>
          </w:tcPr>
          <w:p w:rsidRPr="00841662" w:rsidR="007271A0" w:rsidP="00BB1941" w:rsidRDefault="007271A0" w14:paraId="7057A7E9" w14:textId="08F8D114">
            <w:pPr>
              <w:rPr>
                <w:rFonts w:cs="Calibri"/>
                <w:sz w:val="21"/>
                <w:szCs w:val="21"/>
              </w:rPr>
            </w:pPr>
            <w:r w:rsidRPr="00841662">
              <w:rPr>
                <w:rFonts w:cs="Calibri"/>
                <w:sz w:val="21"/>
                <w:szCs w:val="21"/>
              </w:rPr>
              <w:t xml:space="preserve">Distribution </w:t>
            </w:r>
            <w:r w:rsidRPr="00841662" w:rsidR="003E0905">
              <w:rPr>
                <w:rFonts w:cs="Calibri"/>
                <w:sz w:val="21"/>
                <w:szCs w:val="21"/>
              </w:rPr>
              <w:t>m</w:t>
            </w:r>
            <w:r w:rsidRPr="00841662">
              <w:rPr>
                <w:rFonts w:cs="Calibri"/>
                <w:sz w:val="21"/>
                <w:szCs w:val="21"/>
              </w:rPr>
              <w:t xml:space="preserve">ains - </w:t>
            </w:r>
            <w:r w:rsidRPr="00841662" w:rsidR="003E0905">
              <w:rPr>
                <w:rFonts w:cs="Calibri"/>
                <w:sz w:val="21"/>
                <w:szCs w:val="21"/>
              </w:rPr>
              <w:t>p</w:t>
            </w:r>
            <w:r w:rsidRPr="00841662">
              <w:rPr>
                <w:rFonts w:cs="Calibri"/>
                <w:sz w:val="21"/>
                <w:szCs w:val="21"/>
              </w:rPr>
              <w:t xml:space="preserve">rotected </w:t>
            </w:r>
            <w:r w:rsidRPr="00841662" w:rsidR="003E0905">
              <w:rPr>
                <w:rFonts w:cs="Calibri"/>
                <w:sz w:val="21"/>
                <w:szCs w:val="21"/>
              </w:rPr>
              <w:t>s</w:t>
            </w:r>
            <w:r w:rsidRPr="00841662">
              <w:rPr>
                <w:rFonts w:cs="Calibri"/>
                <w:sz w:val="21"/>
                <w:szCs w:val="21"/>
              </w:rPr>
              <w:t xml:space="preserve">teel - </w:t>
            </w:r>
            <w:r w:rsidRPr="00841662" w:rsidR="003E0905">
              <w:rPr>
                <w:rFonts w:cs="Calibri"/>
                <w:sz w:val="21"/>
                <w:szCs w:val="21"/>
              </w:rPr>
              <w:t>g</w:t>
            </w:r>
            <w:r w:rsidRPr="00841662">
              <w:rPr>
                <w:rFonts w:cs="Calibri"/>
                <w:sz w:val="21"/>
                <w:szCs w:val="21"/>
              </w:rPr>
              <w:t xml:space="preserve">as </w:t>
            </w:r>
            <w:r w:rsidRPr="00841662" w:rsidR="003E0905">
              <w:rPr>
                <w:rFonts w:cs="Calibri"/>
                <w:sz w:val="21"/>
                <w:szCs w:val="21"/>
              </w:rPr>
              <w:t>s</w:t>
            </w:r>
            <w:r w:rsidRPr="00841662">
              <w:rPr>
                <w:rFonts w:cs="Calibri"/>
                <w:sz w:val="21"/>
                <w:szCs w:val="21"/>
              </w:rPr>
              <w:t>ervice</w:t>
            </w:r>
          </w:p>
        </w:tc>
        <w:tc>
          <w:tcPr>
            <w:tcW w:w="1530" w:type="dxa"/>
            <w:vMerge w:val="restart"/>
            <w:shd w:val="clear" w:color="auto" w:fill="auto"/>
            <w:tcMar>
              <w:left w:w="58" w:type="dxa"/>
              <w:right w:w="58" w:type="dxa"/>
            </w:tcMar>
            <w:vAlign w:val="center"/>
          </w:tcPr>
          <w:p w:rsidRPr="00841662" w:rsidR="007271A0" w:rsidP="00BB1941" w:rsidRDefault="007C2C53" w14:paraId="6DD1964B" w14:textId="671774BF">
            <w:pPr>
              <w:rPr>
                <w:rFonts w:cs="Calibri"/>
                <w:sz w:val="21"/>
                <w:szCs w:val="21"/>
              </w:rPr>
            </w:pPr>
            <w:r w:rsidRPr="00841662">
              <w:rPr>
                <w:rFonts w:cs="Calibri"/>
                <w:sz w:val="21"/>
                <w:szCs w:val="21"/>
              </w:rPr>
              <w:t xml:space="preserve">Subpart W </w:t>
            </w:r>
            <w:r w:rsidR="00EE601D">
              <w:rPr>
                <w:rFonts w:cs="Calibri"/>
                <w:sz w:val="21"/>
                <w:szCs w:val="21"/>
              </w:rPr>
              <w:t>P</w:t>
            </w:r>
            <w:r w:rsidRPr="00841662" w:rsidR="007271A0">
              <w:rPr>
                <w:rFonts w:cs="Calibri"/>
                <w:sz w:val="21"/>
                <w:szCs w:val="21"/>
              </w:rPr>
              <w:t xml:space="preserve">rotected steel mains </w:t>
            </w:r>
            <w:r w:rsidRPr="00841662" w:rsidR="00A476E9">
              <w:rPr>
                <w:rFonts w:cs="Calibri"/>
                <w:sz w:val="21"/>
                <w:szCs w:val="21"/>
              </w:rPr>
              <w:t>EF</w:t>
            </w:r>
          </w:p>
        </w:tc>
        <w:tc>
          <w:tcPr>
            <w:tcW w:w="5135" w:type="dxa"/>
            <w:shd w:val="clear" w:color="auto" w:fill="auto"/>
            <w:tcMar>
              <w:left w:w="58" w:type="dxa"/>
              <w:right w:w="58" w:type="dxa"/>
            </w:tcMar>
            <w:vAlign w:val="center"/>
          </w:tcPr>
          <w:p w:rsidRPr="00841662" w:rsidR="007271A0" w:rsidP="00BB1941" w:rsidRDefault="007271A0" w14:paraId="1C7FB6CE" w14:textId="77777777">
            <w:pPr>
              <w:rPr>
                <w:rFonts w:cs="Calibri"/>
                <w:sz w:val="21"/>
                <w:szCs w:val="21"/>
              </w:rPr>
            </w:pPr>
            <w:r w:rsidRPr="00841662">
              <w:rPr>
                <w:rFonts w:cs="Calibri"/>
                <w:sz w:val="21"/>
                <w:szCs w:val="21"/>
              </w:rPr>
              <w:t>Total miles of protected steel distribution mains</w:t>
            </w:r>
          </w:p>
        </w:tc>
        <w:tc>
          <w:tcPr>
            <w:tcW w:w="720" w:type="dxa"/>
            <w:shd w:val="clear" w:color="auto" w:fill="auto"/>
            <w:tcMar>
              <w:left w:w="58" w:type="dxa"/>
              <w:right w:w="58" w:type="dxa"/>
            </w:tcMar>
            <w:vAlign w:val="center"/>
          </w:tcPr>
          <w:p w:rsidRPr="00841662" w:rsidR="007271A0" w:rsidP="00BB1941" w:rsidRDefault="004F493D" w14:paraId="6A94C48A" w14:textId="77777777">
            <w:pPr>
              <w:jc w:val="center"/>
              <w:rPr>
                <w:rFonts w:cs="Calibri"/>
                <w:sz w:val="21"/>
                <w:szCs w:val="21"/>
              </w:rPr>
            </w:pPr>
            <w:r w:rsidRPr="00841662">
              <w:rPr>
                <w:rFonts w:cstheme="minorHAnsi"/>
                <w:sz w:val="21"/>
                <w:szCs w:val="21"/>
              </w:rPr>
              <w:t>X</w:t>
            </w:r>
          </w:p>
        </w:tc>
      </w:tr>
      <w:tr w:rsidRPr="00841662" w:rsidR="007271A0" w:rsidTr="007C2C53" w14:paraId="0D0BE9C4" w14:textId="77777777">
        <w:tblPrEx>
          <w:jc w:val="left"/>
        </w:tblPrEx>
        <w:trPr>
          <w:trHeight w:val="440"/>
        </w:trPr>
        <w:tc>
          <w:tcPr>
            <w:tcW w:w="1975" w:type="dxa"/>
            <w:vMerge/>
            <w:shd w:val="clear" w:color="auto" w:fill="D9D9D9" w:themeFill="background1" w:themeFillShade="D9"/>
            <w:tcMar>
              <w:left w:w="58" w:type="dxa"/>
              <w:right w:w="58" w:type="dxa"/>
            </w:tcMar>
            <w:vAlign w:val="center"/>
          </w:tcPr>
          <w:p w:rsidRPr="00841662" w:rsidR="007271A0" w:rsidP="00BB1941" w:rsidRDefault="007271A0" w14:paraId="34B1BA2B" w14:textId="77777777">
            <w:pPr>
              <w:rPr>
                <w:rFonts w:cs="Calibri"/>
                <w:sz w:val="21"/>
                <w:szCs w:val="21"/>
              </w:rPr>
            </w:pPr>
          </w:p>
        </w:tc>
        <w:tc>
          <w:tcPr>
            <w:tcW w:w="1530" w:type="dxa"/>
            <w:vMerge/>
            <w:shd w:val="clear" w:color="auto" w:fill="D9D9D9" w:themeFill="background1" w:themeFillShade="D9"/>
            <w:tcMar>
              <w:left w:w="58" w:type="dxa"/>
              <w:right w:w="58" w:type="dxa"/>
            </w:tcMar>
            <w:vAlign w:val="center"/>
          </w:tcPr>
          <w:p w:rsidRPr="00841662" w:rsidR="007271A0" w:rsidP="00BB1941" w:rsidRDefault="007271A0" w14:paraId="213FC3E9" w14:textId="77777777">
            <w:pPr>
              <w:rPr>
                <w:rFonts w:cs="Calibri"/>
                <w:sz w:val="21"/>
                <w:szCs w:val="21"/>
              </w:rPr>
            </w:pPr>
          </w:p>
        </w:tc>
        <w:tc>
          <w:tcPr>
            <w:tcW w:w="5135" w:type="dxa"/>
            <w:shd w:val="clear" w:color="auto" w:fill="auto"/>
            <w:tcMar>
              <w:left w:w="58" w:type="dxa"/>
              <w:right w:w="58" w:type="dxa"/>
            </w:tcMar>
            <w:vAlign w:val="center"/>
          </w:tcPr>
          <w:p w:rsidRPr="00841662" w:rsidR="007271A0" w:rsidP="00BB1941" w:rsidRDefault="007271A0" w14:paraId="264B95A4" w14:textId="77777777">
            <w:pPr>
              <w:rPr>
                <w:rFonts w:cs="Calibri"/>
                <w:sz w:val="21"/>
                <w:szCs w:val="21"/>
              </w:rPr>
            </w:pPr>
            <w:r w:rsidRPr="00841662">
              <w:rPr>
                <w:rFonts w:cs="Calibri"/>
                <w:sz w:val="21"/>
                <w:szCs w:val="21"/>
              </w:rPr>
              <w:t>Annual CH</w:t>
            </w:r>
            <w:r w:rsidRPr="00841662">
              <w:rPr>
                <w:rFonts w:cs="Calibri"/>
                <w:sz w:val="21"/>
                <w:szCs w:val="21"/>
                <w:vertAlign w:val="subscript"/>
              </w:rPr>
              <w:t>4</w:t>
            </w:r>
            <w:r w:rsidRPr="00841662">
              <w:rPr>
                <w:rFonts w:cs="Calibri"/>
                <w:sz w:val="21"/>
                <w:szCs w:val="21"/>
              </w:rPr>
              <w:t xml:space="preserve"> emissions (mt </w:t>
            </w:r>
            <w:r w:rsidRPr="00841662" w:rsidR="00B50EFB">
              <w:rPr>
                <w:rFonts w:cs="Calibri"/>
                <w:sz w:val="21"/>
                <w:szCs w:val="21"/>
              </w:rPr>
              <w:t>CH</w:t>
            </w:r>
            <w:r w:rsidRPr="00841662" w:rsidR="00B50EFB">
              <w:rPr>
                <w:rFonts w:cs="Calibri"/>
                <w:sz w:val="21"/>
                <w:szCs w:val="21"/>
                <w:vertAlign w:val="subscript"/>
              </w:rPr>
              <w:t>4</w:t>
            </w:r>
            <w:r w:rsidRPr="00841662">
              <w:rPr>
                <w:rFonts w:cs="Calibri"/>
                <w:sz w:val="21"/>
                <w:szCs w:val="21"/>
              </w:rPr>
              <w:t>)</w:t>
            </w:r>
          </w:p>
        </w:tc>
        <w:tc>
          <w:tcPr>
            <w:tcW w:w="720" w:type="dxa"/>
            <w:shd w:val="clear" w:color="auto" w:fill="auto"/>
            <w:tcMar>
              <w:left w:w="58" w:type="dxa"/>
              <w:right w:w="58" w:type="dxa"/>
            </w:tcMar>
            <w:vAlign w:val="center"/>
          </w:tcPr>
          <w:p w:rsidRPr="00841662" w:rsidR="007271A0" w:rsidP="00BB1941" w:rsidRDefault="007C2C53" w14:paraId="3CB87FCF" w14:textId="2DAEA008">
            <w:pPr>
              <w:jc w:val="center"/>
              <w:rPr>
                <w:rFonts w:cs="Calibri"/>
                <w:sz w:val="21"/>
                <w:szCs w:val="21"/>
              </w:rPr>
            </w:pPr>
            <w:r>
              <w:rPr>
                <w:rFonts w:cs="Calibri"/>
                <w:sz w:val="21"/>
                <w:szCs w:val="21"/>
              </w:rPr>
              <w:t>X</w:t>
            </w:r>
          </w:p>
        </w:tc>
      </w:tr>
      <w:tr w:rsidRPr="00841662" w:rsidR="00F55DC3" w:rsidTr="00CA1FE1" w14:paraId="08AAE3EB" w14:textId="77777777">
        <w:tblPrEx>
          <w:jc w:val="left"/>
        </w:tblPrEx>
        <w:trPr>
          <w:trHeight w:val="332"/>
        </w:trPr>
        <w:tc>
          <w:tcPr>
            <w:tcW w:w="1975" w:type="dxa"/>
            <w:vMerge w:val="restart"/>
            <w:shd w:val="clear" w:color="auto" w:fill="D9D9D9" w:themeFill="background1" w:themeFillShade="D9"/>
            <w:tcMar>
              <w:left w:w="58" w:type="dxa"/>
              <w:right w:w="58" w:type="dxa"/>
            </w:tcMar>
            <w:vAlign w:val="center"/>
          </w:tcPr>
          <w:p w:rsidRPr="00841662" w:rsidR="00F55DC3" w:rsidP="00BB1941" w:rsidRDefault="00F55DC3" w14:paraId="50CB27B4" w14:textId="78351009">
            <w:pPr>
              <w:rPr>
                <w:rFonts w:cs="Calibri"/>
                <w:sz w:val="21"/>
                <w:szCs w:val="21"/>
              </w:rPr>
            </w:pPr>
            <w:r w:rsidRPr="00841662">
              <w:rPr>
                <w:rFonts w:cs="Calibri"/>
                <w:sz w:val="21"/>
                <w:szCs w:val="21"/>
              </w:rPr>
              <w:t>Distribution mains - unprotected steel - gas service</w:t>
            </w:r>
          </w:p>
        </w:tc>
        <w:tc>
          <w:tcPr>
            <w:tcW w:w="1530" w:type="dxa"/>
            <w:vMerge w:val="restart"/>
            <w:shd w:val="clear" w:color="auto" w:fill="D9D9D9" w:themeFill="background1" w:themeFillShade="D9"/>
            <w:tcMar>
              <w:left w:w="58" w:type="dxa"/>
              <w:right w:w="58" w:type="dxa"/>
            </w:tcMar>
            <w:vAlign w:val="center"/>
          </w:tcPr>
          <w:p w:rsidRPr="00841662" w:rsidR="00F55DC3" w:rsidP="00BB1941" w:rsidRDefault="007C2C53" w14:paraId="1CBF0D71" w14:textId="3F156A07">
            <w:pPr>
              <w:rPr>
                <w:rFonts w:cs="Calibri"/>
                <w:sz w:val="21"/>
                <w:szCs w:val="21"/>
              </w:rPr>
            </w:pPr>
            <w:r w:rsidRPr="00841662">
              <w:rPr>
                <w:rFonts w:cs="Calibri"/>
                <w:sz w:val="21"/>
                <w:szCs w:val="21"/>
              </w:rPr>
              <w:t xml:space="preserve">Subpart W </w:t>
            </w:r>
            <w:r w:rsidR="00EE601D">
              <w:rPr>
                <w:rFonts w:cs="Calibri"/>
                <w:sz w:val="21"/>
                <w:szCs w:val="21"/>
              </w:rPr>
              <w:t>U</w:t>
            </w:r>
            <w:r w:rsidRPr="00841662" w:rsidR="00F55DC3">
              <w:rPr>
                <w:rFonts w:cs="Calibri"/>
                <w:sz w:val="21"/>
                <w:szCs w:val="21"/>
              </w:rPr>
              <w:t>nprotected steel mains EF</w:t>
            </w:r>
          </w:p>
        </w:tc>
        <w:tc>
          <w:tcPr>
            <w:tcW w:w="5135" w:type="dxa"/>
            <w:shd w:val="clear" w:color="auto" w:fill="D9D9D9" w:themeFill="background1" w:themeFillShade="D9"/>
            <w:tcMar>
              <w:left w:w="58" w:type="dxa"/>
              <w:right w:w="58" w:type="dxa"/>
            </w:tcMar>
            <w:vAlign w:val="center"/>
          </w:tcPr>
          <w:p w:rsidRPr="00841662" w:rsidR="00F55DC3" w:rsidP="00BB1941" w:rsidRDefault="00F55DC3" w14:paraId="687374DA" w14:textId="3998AED5">
            <w:pPr>
              <w:rPr>
                <w:rFonts w:cs="Calibri"/>
                <w:sz w:val="21"/>
                <w:szCs w:val="21"/>
              </w:rPr>
            </w:pPr>
            <w:r>
              <w:rPr>
                <w:rFonts w:cs="Calibri"/>
                <w:sz w:val="21"/>
                <w:szCs w:val="21"/>
              </w:rPr>
              <w:t xml:space="preserve">Initial inventory of unprotected steel distribution mains as of January 1 of the </w:t>
            </w:r>
            <w:r w:rsidR="001E1CDA">
              <w:rPr>
                <w:rFonts w:cs="Calibri"/>
                <w:sz w:val="21"/>
                <w:szCs w:val="21"/>
              </w:rPr>
              <w:t xml:space="preserve">first </w:t>
            </w:r>
            <w:r>
              <w:rPr>
                <w:rFonts w:cs="Calibri"/>
                <w:sz w:val="21"/>
                <w:szCs w:val="21"/>
              </w:rPr>
              <w:t xml:space="preserve">year of </w:t>
            </w:r>
            <w:r w:rsidR="001E1CDA">
              <w:rPr>
                <w:rFonts w:cs="Calibri"/>
                <w:sz w:val="21"/>
                <w:szCs w:val="21"/>
              </w:rPr>
              <w:t xml:space="preserve">current </w:t>
            </w:r>
            <w:r>
              <w:rPr>
                <w:rFonts w:cs="Calibri"/>
                <w:sz w:val="21"/>
                <w:szCs w:val="21"/>
              </w:rPr>
              <w:t>commitment (miles)</w:t>
            </w:r>
            <w:r w:rsidR="00BD3775">
              <w:rPr>
                <w:rStyle w:val="FootnoteReference"/>
                <w:rFonts w:cs="Calibri"/>
                <w:sz w:val="21"/>
                <w:szCs w:val="21"/>
              </w:rPr>
              <w:footnoteReference w:id="69"/>
            </w:r>
          </w:p>
        </w:tc>
        <w:tc>
          <w:tcPr>
            <w:tcW w:w="720" w:type="dxa"/>
            <w:shd w:val="clear" w:color="auto" w:fill="D9D9D9" w:themeFill="background1" w:themeFillShade="D9"/>
            <w:tcMar>
              <w:left w:w="58" w:type="dxa"/>
              <w:right w:w="58" w:type="dxa"/>
            </w:tcMar>
            <w:vAlign w:val="center"/>
          </w:tcPr>
          <w:p w:rsidRPr="00841662" w:rsidR="00F55DC3" w:rsidP="00BB1941" w:rsidRDefault="00F55DC3" w14:paraId="3056B001" w14:textId="77777777">
            <w:pPr>
              <w:jc w:val="center"/>
              <w:rPr>
                <w:rFonts w:cstheme="minorHAnsi"/>
                <w:sz w:val="21"/>
                <w:szCs w:val="21"/>
              </w:rPr>
            </w:pPr>
          </w:p>
        </w:tc>
      </w:tr>
      <w:tr w:rsidRPr="00841662" w:rsidR="00F55DC3" w:rsidTr="00CA1FE1" w14:paraId="0E5882A7" w14:textId="77777777">
        <w:tblPrEx>
          <w:jc w:val="left"/>
        </w:tblPrEx>
        <w:trPr>
          <w:trHeight w:val="332"/>
        </w:trPr>
        <w:tc>
          <w:tcPr>
            <w:tcW w:w="1975" w:type="dxa"/>
            <w:vMerge/>
            <w:shd w:val="clear" w:color="auto" w:fill="D9D9D9" w:themeFill="background1" w:themeFillShade="D9"/>
            <w:tcMar>
              <w:left w:w="58" w:type="dxa"/>
              <w:right w:w="58" w:type="dxa"/>
            </w:tcMar>
            <w:vAlign w:val="center"/>
          </w:tcPr>
          <w:p w:rsidRPr="00841662" w:rsidR="00F55DC3" w:rsidP="00BB1941" w:rsidRDefault="00F55DC3" w14:paraId="1D13B535" w14:textId="38BE50F8">
            <w:pPr>
              <w:rPr>
                <w:rFonts w:cs="Calibri"/>
                <w:sz w:val="21"/>
                <w:szCs w:val="21"/>
              </w:rPr>
            </w:pPr>
          </w:p>
        </w:tc>
        <w:tc>
          <w:tcPr>
            <w:tcW w:w="1530" w:type="dxa"/>
            <w:vMerge/>
            <w:shd w:val="clear" w:color="auto" w:fill="D9D9D9" w:themeFill="background1" w:themeFillShade="D9"/>
            <w:tcMar>
              <w:left w:w="58" w:type="dxa"/>
              <w:right w:w="58" w:type="dxa"/>
            </w:tcMar>
            <w:vAlign w:val="center"/>
          </w:tcPr>
          <w:p w:rsidRPr="00841662" w:rsidR="00F55DC3" w:rsidP="00BB1941" w:rsidRDefault="00F55DC3" w14:paraId="181B8427" w14:textId="3CB1CDE5">
            <w:pPr>
              <w:rPr>
                <w:rFonts w:cs="Calibri"/>
                <w:sz w:val="21"/>
                <w:szCs w:val="21"/>
              </w:rPr>
            </w:pPr>
          </w:p>
        </w:tc>
        <w:tc>
          <w:tcPr>
            <w:tcW w:w="5135" w:type="dxa"/>
            <w:shd w:val="clear" w:color="auto" w:fill="D9D9D9" w:themeFill="background1" w:themeFillShade="D9"/>
            <w:tcMar>
              <w:left w:w="58" w:type="dxa"/>
              <w:right w:w="58" w:type="dxa"/>
            </w:tcMar>
            <w:vAlign w:val="center"/>
          </w:tcPr>
          <w:p w:rsidRPr="00841662" w:rsidR="00F55DC3" w:rsidP="00BB1941" w:rsidRDefault="00F55DC3" w14:paraId="72A99419" w14:textId="77777777">
            <w:pPr>
              <w:rPr>
                <w:rFonts w:cs="Calibri"/>
                <w:sz w:val="21"/>
                <w:szCs w:val="21"/>
              </w:rPr>
            </w:pPr>
            <w:r w:rsidRPr="00841662">
              <w:rPr>
                <w:rFonts w:cs="Calibri"/>
                <w:sz w:val="21"/>
                <w:szCs w:val="21"/>
              </w:rPr>
              <w:t>Total miles of unprotected steel distribution mains</w:t>
            </w:r>
          </w:p>
        </w:tc>
        <w:tc>
          <w:tcPr>
            <w:tcW w:w="720" w:type="dxa"/>
            <w:shd w:val="clear" w:color="auto" w:fill="D9D9D9" w:themeFill="background1" w:themeFillShade="D9"/>
            <w:tcMar>
              <w:left w:w="58" w:type="dxa"/>
              <w:right w:w="58" w:type="dxa"/>
            </w:tcMar>
            <w:vAlign w:val="center"/>
          </w:tcPr>
          <w:p w:rsidRPr="00841662" w:rsidR="00F55DC3" w:rsidP="00BB1941" w:rsidRDefault="00F55DC3" w14:paraId="6EA36B4E" w14:textId="77777777">
            <w:pPr>
              <w:jc w:val="center"/>
              <w:rPr>
                <w:rFonts w:cs="Calibri"/>
                <w:sz w:val="21"/>
                <w:szCs w:val="21"/>
              </w:rPr>
            </w:pPr>
            <w:r w:rsidRPr="00841662">
              <w:rPr>
                <w:rFonts w:cstheme="minorHAnsi"/>
                <w:sz w:val="21"/>
                <w:szCs w:val="21"/>
              </w:rPr>
              <w:t>X</w:t>
            </w:r>
          </w:p>
        </w:tc>
      </w:tr>
      <w:tr w:rsidRPr="00841662" w:rsidR="00F55DC3" w:rsidTr="00CA1FE1" w14:paraId="0706E702" w14:textId="77777777">
        <w:tblPrEx>
          <w:jc w:val="left"/>
        </w:tblPrEx>
        <w:trPr>
          <w:trHeight w:val="152"/>
        </w:trPr>
        <w:tc>
          <w:tcPr>
            <w:tcW w:w="1975" w:type="dxa"/>
            <w:vMerge/>
            <w:shd w:val="clear" w:color="auto" w:fill="D9D9D9" w:themeFill="background1" w:themeFillShade="D9"/>
            <w:tcMar>
              <w:left w:w="58" w:type="dxa"/>
              <w:right w:w="58" w:type="dxa"/>
            </w:tcMar>
            <w:vAlign w:val="center"/>
          </w:tcPr>
          <w:p w:rsidRPr="00841662" w:rsidR="00F55DC3" w:rsidP="00BB1941" w:rsidRDefault="00F55DC3" w14:paraId="7499091F" w14:textId="77777777">
            <w:pPr>
              <w:rPr>
                <w:rFonts w:cs="Calibri"/>
                <w:sz w:val="21"/>
                <w:szCs w:val="21"/>
              </w:rPr>
            </w:pPr>
          </w:p>
        </w:tc>
        <w:tc>
          <w:tcPr>
            <w:tcW w:w="1530" w:type="dxa"/>
            <w:vMerge/>
            <w:shd w:val="clear" w:color="auto" w:fill="D9D9D9" w:themeFill="background1" w:themeFillShade="D9"/>
            <w:tcMar>
              <w:left w:w="58" w:type="dxa"/>
              <w:right w:w="58" w:type="dxa"/>
            </w:tcMar>
            <w:vAlign w:val="center"/>
          </w:tcPr>
          <w:p w:rsidRPr="00841662" w:rsidR="00F55DC3" w:rsidP="00BB1941" w:rsidRDefault="00F55DC3" w14:paraId="2DFFDCE7" w14:textId="77777777">
            <w:pPr>
              <w:rPr>
                <w:rFonts w:cs="Calibri"/>
                <w:sz w:val="21"/>
                <w:szCs w:val="21"/>
              </w:rPr>
            </w:pPr>
          </w:p>
        </w:tc>
        <w:tc>
          <w:tcPr>
            <w:tcW w:w="5135" w:type="dxa"/>
            <w:shd w:val="clear" w:color="auto" w:fill="D9D9D9" w:themeFill="background1" w:themeFillShade="D9"/>
            <w:tcMar>
              <w:left w:w="58" w:type="dxa"/>
              <w:right w:w="58" w:type="dxa"/>
            </w:tcMar>
            <w:vAlign w:val="center"/>
          </w:tcPr>
          <w:p w:rsidRPr="00841662" w:rsidR="00F55DC3" w:rsidP="00BB1941" w:rsidRDefault="00F55DC3" w14:paraId="4BCA6076" w14:textId="77777777">
            <w:pPr>
              <w:rPr>
                <w:rFonts w:cs="Calibri"/>
                <w:sz w:val="21"/>
                <w:szCs w:val="21"/>
              </w:rPr>
            </w:pPr>
            <w:r w:rsidRPr="00841662">
              <w:rPr>
                <w:rFonts w:cs="Calibri"/>
                <w:sz w:val="21"/>
                <w:szCs w:val="21"/>
              </w:rPr>
              <w:t>Annual CH</w:t>
            </w:r>
            <w:r w:rsidRPr="00841662">
              <w:rPr>
                <w:rFonts w:cs="Calibri"/>
                <w:sz w:val="21"/>
                <w:szCs w:val="21"/>
                <w:vertAlign w:val="subscript"/>
              </w:rPr>
              <w:t>4</w:t>
            </w:r>
            <w:r w:rsidRPr="00841662">
              <w:rPr>
                <w:rFonts w:cs="Calibri"/>
                <w:sz w:val="21"/>
                <w:szCs w:val="21"/>
              </w:rPr>
              <w:t xml:space="preserve"> emissions (mt CH</w:t>
            </w:r>
            <w:r w:rsidRPr="00841662">
              <w:rPr>
                <w:rFonts w:cs="Calibri"/>
                <w:sz w:val="21"/>
                <w:szCs w:val="21"/>
                <w:vertAlign w:val="subscript"/>
              </w:rPr>
              <w:t>4</w:t>
            </w:r>
            <w:r w:rsidRPr="00841662">
              <w:rPr>
                <w:rFonts w:cs="Calibri"/>
                <w:sz w:val="21"/>
                <w:szCs w:val="21"/>
              </w:rPr>
              <w:t>)</w:t>
            </w:r>
          </w:p>
        </w:tc>
        <w:tc>
          <w:tcPr>
            <w:tcW w:w="720" w:type="dxa"/>
            <w:shd w:val="clear" w:color="auto" w:fill="D9D9D9" w:themeFill="background1" w:themeFillShade="D9"/>
            <w:tcMar>
              <w:left w:w="58" w:type="dxa"/>
              <w:right w:w="58" w:type="dxa"/>
            </w:tcMar>
            <w:vAlign w:val="center"/>
          </w:tcPr>
          <w:p w:rsidRPr="00841662" w:rsidR="00F55DC3" w:rsidP="00BB1941" w:rsidRDefault="007C2C53" w14:paraId="2DE360D7" w14:textId="0EBF1B21">
            <w:pPr>
              <w:jc w:val="center"/>
              <w:rPr>
                <w:rFonts w:cs="Calibri"/>
                <w:sz w:val="21"/>
                <w:szCs w:val="21"/>
              </w:rPr>
            </w:pPr>
            <w:r>
              <w:rPr>
                <w:rFonts w:cs="Calibri"/>
                <w:sz w:val="21"/>
                <w:szCs w:val="21"/>
              </w:rPr>
              <w:t>X</w:t>
            </w:r>
          </w:p>
        </w:tc>
      </w:tr>
      <w:tr w:rsidRPr="00841662" w:rsidR="007271A0" w:rsidTr="007C2C53" w14:paraId="12A181B5" w14:textId="77777777">
        <w:tblPrEx>
          <w:jc w:val="left"/>
        </w:tblPrEx>
        <w:trPr>
          <w:trHeight w:val="696"/>
        </w:trPr>
        <w:tc>
          <w:tcPr>
            <w:tcW w:w="1975" w:type="dxa"/>
            <w:vMerge w:val="restart"/>
            <w:shd w:val="clear" w:color="auto" w:fill="auto"/>
            <w:tcMar>
              <w:left w:w="58" w:type="dxa"/>
              <w:right w:w="58" w:type="dxa"/>
            </w:tcMar>
            <w:vAlign w:val="center"/>
          </w:tcPr>
          <w:p w:rsidRPr="00841662" w:rsidR="007271A0" w:rsidP="00BB1941" w:rsidRDefault="007271A0" w14:paraId="2ED8F578" w14:textId="237C5EBC">
            <w:pPr>
              <w:rPr>
                <w:rFonts w:cs="Calibri"/>
                <w:sz w:val="21"/>
                <w:szCs w:val="21"/>
              </w:rPr>
            </w:pPr>
            <w:r w:rsidRPr="00841662">
              <w:rPr>
                <w:rFonts w:cs="Calibri"/>
                <w:sz w:val="21"/>
                <w:szCs w:val="21"/>
              </w:rPr>
              <w:t xml:space="preserve">Distribution </w:t>
            </w:r>
            <w:r w:rsidRPr="00841662" w:rsidR="003E0905">
              <w:rPr>
                <w:rFonts w:cs="Calibri"/>
                <w:sz w:val="21"/>
                <w:szCs w:val="21"/>
              </w:rPr>
              <w:t>m</w:t>
            </w:r>
            <w:r w:rsidRPr="00841662">
              <w:rPr>
                <w:rFonts w:cs="Calibri"/>
                <w:sz w:val="21"/>
                <w:szCs w:val="21"/>
              </w:rPr>
              <w:t xml:space="preserve">ains - </w:t>
            </w:r>
            <w:r w:rsidRPr="00841662" w:rsidR="003E0905">
              <w:rPr>
                <w:rFonts w:cs="Calibri"/>
                <w:sz w:val="21"/>
                <w:szCs w:val="21"/>
              </w:rPr>
              <w:t>c</w:t>
            </w:r>
            <w:r w:rsidRPr="00841662">
              <w:rPr>
                <w:rFonts w:cs="Calibri"/>
                <w:sz w:val="21"/>
                <w:szCs w:val="21"/>
              </w:rPr>
              <w:t xml:space="preserve">ast </w:t>
            </w:r>
            <w:r w:rsidRPr="00841662" w:rsidR="003E0905">
              <w:rPr>
                <w:rFonts w:cs="Calibri"/>
                <w:sz w:val="21"/>
                <w:szCs w:val="21"/>
              </w:rPr>
              <w:t>i</w:t>
            </w:r>
            <w:r w:rsidRPr="00841662">
              <w:rPr>
                <w:rFonts w:cs="Calibri"/>
                <w:sz w:val="21"/>
                <w:szCs w:val="21"/>
              </w:rPr>
              <w:t xml:space="preserve">ron or </w:t>
            </w:r>
            <w:r w:rsidRPr="00841662" w:rsidR="003E0905">
              <w:rPr>
                <w:rFonts w:cs="Calibri"/>
                <w:sz w:val="21"/>
                <w:szCs w:val="21"/>
              </w:rPr>
              <w:t>u</w:t>
            </w:r>
            <w:r w:rsidRPr="00841662">
              <w:rPr>
                <w:rFonts w:cs="Calibri"/>
                <w:sz w:val="21"/>
                <w:szCs w:val="21"/>
              </w:rPr>
              <w:t xml:space="preserve">nprotected </w:t>
            </w:r>
            <w:r w:rsidRPr="00841662" w:rsidR="003E0905">
              <w:rPr>
                <w:rFonts w:cs="Calibri"/>
                <w:sz w:val="21"/>
                <w:szCs w:val="21"/>
              </w:rPr>
              <w:t>s</w:t>
            </w:r>
            <w:r w:rsidRPr="00841662">
              <w:rPr>
                <w:rFonts w:cs="Calibri"/>
                <w:sz w:val="21"/>
                <w:szCs w:val="21"/>
              </w:rPr>
              <w:t xml:space="preserve">teel with </w:t>
            </w:r>
            <w:r w:rsidRPr="00841662" w:rsidR="003E0905">
              <w:rPr>
                <w:rFonts w:cs="Calibri"/>
                <w:sz w:val="21"/>
                <w:szCs w:val="21"/>
              </w:rPr>
              <w:t>p</w:t>
            </w:r>
            <w:r w:rsidRPr="00841662">
              <w:rPr>
                <w:rFonts w:cs="Calibri"/>
                <w:sz w:val="21"/>
                <w:szCs w:val="21"/>
              </w:rPr>
              <w:t xml:space="preserve">lastic </w:t>
            </w:r>
            <w:r w:rsidRPr="00841662" w:rsidR="003E0905">
              <w:rPr>
                <w:rFonts w:cs="Calibri"/>
                <w:sz w:val="21"/>
                <w:szCs w:val="21"/>
              </w:rPr>
              <w:t>l</w:t>
            </w:r>
            <w:r w:rsidRPr="00841662">
              <w:rPr>
                <w:rFonts w:cs="Calibri"/>
                <w:sz w:val="21"/>
                <w:szCs w:val="21"/>
              </w:rPr>
              <w:t xml:space="preserve">iners or </w:t>
            </w:r>
            <w:r w:rsidRPr="00841662" w:rsidR="003E0905">
              <w:rPr>
                <w:rFonts w:cs="Calibri"/>
                <w:sz w:val="21"/>
                <w:szCs w:val="21"/>
              </w:rPr>
              <w:t>i</w:t>
            </w:r>
            <w:r w:rsidRPr="00841662">
              <w:rPr>
                <w:rFonts w:cs="Calibri"/>
                <w:sz w:val="21"/>
                <w:szCs w:val="21"/>
              </w:rPr>
              <w:t xml:space="preserve">nserts - </w:t>
            </w:r>
            <w:r w:rsidRPr="00841662" w:rsidR="003E0905">
              <w:rPr>
                <w:rFonts w:cs="Calibri"/>
                <w:sz w:val="21"/>
                <w:szCs w:val="21"/>
              </w:rPr>
              <w:t>g</w:t>
            </w:r>
            <w:r w:rsidRPr="00841662">
              <w:rPr>
                <w:rFonts w:cs="Calibri"/>
                <w:sz w:val="21"/>
                <w:szCs w:val="21"/>
              </w:rPr>
              <w:t xml:space="preserve">as </w:t>
            </w:r>
            <w:r w:rsidRPr="00841662" w:rsidR="003E0905">
              <w:rPr>
                <w:rFonts w:cs="Calibri"/>
                <w:sz w:val="21"/>
                <w:szCs w:val="21"/>
              </w:rPr>
              <w:t>s</w:t>
            </w:r>
            <w:r w:rsidRPr="00841662">
              <w:rPr>
                <w:rFonts w:cs="Calibri"/>
                <w:sz w:val="21"/>
                <w:szCs w:val="21"/>
              </w:rPr>
              <w:t>ervice</w:t>
            </w:r>
          </w:p>
        </w:tc>
        <w:tc>
          <w:tcPr>
            <w:tcW w:w="1530" w:type="dxa"/>
            <w:vMerge w:val="restart"/>
            <w:shd w:val="clear" w:color="auto" w:fill="auto"/>
            <w:tcMar>
              <w:left w:w="58" w:type="dxa"/>
              <w:right w:w="58" w:type="dxa"/>
            </w:tcMar>
            <w:vAlign w:val="center"/>
          </w:tcPr>
          <w:p w:rsidRPr="00841662" w:rsidR="007271A0" w:rsidP="00BB1941" w:rsidRDefault="007C2C53" w14:paraId="544DC9D8" w14:textId="66A17F13">
            <w:pPr>
              <w:rPr>
                <w:rFonts w:cs="Calibri"/>
                <w:sz w:val="21"/>
                <w:szCs w:val="21"/>
              </w:rPr>
            </w:pPr>
            <w:r w:rsidRPr="00841662">
              <w:rPr>
                <w:rFonts w:cs="Calibri"/>
                <w:sz w:val="21"/>
                <w:szCs w:val="21"/>
              </w:rPr>
              <w:t xml:space="preserve">Subpart W </w:t>
            </w:r>
            <w:r w:rsidR="00EE601D">
              <w:rPr>
                <w:rFonts w:cs="Calibri"/>
                <w:sz w:val="21"/>
                <w:szCs w:val="21"/>
              </w:rPr>
              <w:t>P</w:t>
            </w:r>
            <w:r w:rsidRPr="00841662" w:rsidR="007271A0">
              <w:rPr>
                <w:rFonts w:cs="Calibri"/>
                <w:sz w:val="21"/>
                <w:szCs w:val="21"/>
              </w:rPr>
              <w:t xml:space="preserve">lastic mains </w:t>
            </w:r>
            <w:r w:rsidRPr="00841662" w:rsidR="00A476E9">
              <w:rPr>
                <w:rFonts w:cs="Calibri"/>
                <w:sz w:val="21"/>
                <w:szCs w:val="21"/>
              </w:rPr>
              <w:t>EF</w:t>
            </w:r>
            <w:r w:rsidRPr="00841662" w:rsidR="007271A0">
              <w:rPr>
                <w:rFonts w:cs="Calibri"/>
                <w:sz w:val="21"/>
                <w:szCs w:val="21"/>
              </w:rPr>
              <w:t xml:space="preserve"> </w:t>
            </w:r>
          </w:p>
        </w:tc>
        <w:tc>
          <w:tcPr>
            <w:tcW w:w="5135" w:type="dxa"/>
            <w:shd w:val="clear" w:color="auto" w:fill="auto"/>
            <w:tcMar>
              <w:left w:w="58" w:type="dxa"/>
              <w:right w:w="58" w:type="dxa"/>
            </w:tcMar>
            <w:vAlign w:val="center"/>
          </w:tcPr>
          <w:p w:rsidRPr="00841662" w:rsidR="007271A0" w:rsidP="00BB1941" w:rsidRDefault="00A22A5D" w14:paraId="474547B9" w14:textId="2C116641">
            <w:pPr>
              <w:rPr>
                <w:rFonts w:cs="Calibri"/>
                <w:sz w:val="21"/>
                <w:szCs w:val="21"/>
              </w:rPr>
            </w:pPr>
            <w:r w:rsidRPr="00841662">
              <w:rPr>
                <w:rFonts w:cs="Calibri"/>
                <w:sz w:val="21"/>
                <w:szCs w:val="21"/>
              </w:rPr>
              <w:t>Total miles of c</w:t>
            </w:r>
            <w:r w:rsidRPr="00841662" w:rsidR="007271A0">
              <w:rPr>
                <w:rFonts w:cs="Calibri"/>
                <w:sz w:val="21"/>
                <w:szCs w:val="21"/>
              </w:rPr>
              <w:t xml:space="preserve">ast </w:t>
            </w:r>
            <w:r w:rsidRPr="00841662">
              <w:rPr>
                <w:rFonts w:cs="Calibri"/>
                <w:sz w:val="21"/>
                <w:szCs w:val="21"/>
              </w:rPr>
              <w:t>i</w:t>
            </w:r>
            <w:r w:rsidRPr="00841662" w:rsidR="007271A0">
              <w:rPr>
                <w:rFonts w:cs="Calibri"/>
                <w:sz w:val="21"/>
                <w:szCs w:val="21"/>
              </w:rPr>
              <w:t xml:space="preserve">ron or </w:t>
            </w:r>
            <w:r w:rsidRPr="00841662">
              <w:rPr>
                <w:rFonts w:cs="Calibri"/>
                <w:sz w:val="21"/>
                <w:szCs w:val="21"/>
              </w:rPr>
              <w:t>u</w:t>
            </w:r>
            <w:r w:rsidRPr="00841662" w:rsidR="007271A0">
              <w:rPr>
                <w:rFonts w:cs="Calibri"/>
                <w:sz w:val="21"/>
                <w:szCs w:val="21"/>
              </w:rPr>
              <w:t xml:space="preserve">nprotected </w:t>
            </w:r>
            <w:r w:rsidRPr="00841662">
              <w:rPr>
                <w:rFonts w:cs="Calibri"/>
                <w:sz w:val="21"/>
                <w:szCs w:val="21"/>
              </w:rPr>
              <w:t>s</w:t>
            </w:r>
            <w:r w:rsidRPr="00841662" w:rsidR="007271A0">
              <w:rPr>
                <w:rFonts w:cs="Calibri"/>
                <w:sz w:val="21"/>
                <w:szCs w:val="21"/>
              </w:rPr>
              <w:t>teel distribution mains with Plastic Liners or Inserts</w:t>
            </w:r>
          </w:p>
        </w:tc>
        <w:tc>
          <w:tcPr>
            <w:tcW w:w="720" w:type="dxa"/>
            <w:shd w:val="clear" w:color="auto" w:fill="auto"/>
            <w:tcMar>
              <w:left w:w="58" w:type="dxa"/>
              <w:right w:w="58" w:type="dxa"/>
            </w:tcMar>
            <w:vAlign w:val="center"/>
          </w:tcPr>
          <w:p w:rsidRPr="00841662" w:rsidR="007271A0" w:rsidP="00BB1941" w:rsidRDefault="007271A0" w14:paraId="47DD5F65" w14:textId="77777777">
            <w:pPr>
              <w:jc w:val="center"/>
              <w:rPr>
                <w:rFonts w:cs="Calibri"/>
                <w:sz w:val="21"/>
                <w:szCs w:val="21"/>
              </w:rPr>
            </w:pPr>
          </w:p>
        </w:tc>
      </w:tr>
      <w:tr w:rsidRPr="00841662" w:rsidR="007271A0" w:rsidTr="007C2C53" w14:paraId="208F5A12" w14:textId="77777777">
        <w:tblPrEx>
          <w:jc w:val="left"/>
        </w:tblPrEx>
        <w:trPr>
          <w:trHeight w:val="696"/>
        </w:trPr>
        <w:tc>
          <w:tcPr>
            <w:tcW w:w="1975" w:type="dxa"/>
            <w:vMerge/>
            <w:shd w:val="clear" w:color="auto" w:fill="auto"/>
            <w:tcMar>
              <w:left w:w="58" w:type="dxa"/>
              <w:right w:w="58" w:type="dxa"/>
            </w:tcMar>
            <w:vAlign w:val="center"/>
          </w:tcPr>
          <w:p w:rsidRPr="00841662" w:rsidR="007271A0" w:rsidP="00BB1941" w:rsidRDefault="007271A0" w14:paraId="58F9B254" w14:textId="77777777">
            <w:pPr>
              <w:rPr>
                <w:rFonts w:cs="Calibri"/>
                <w:sz w:val="21"/>
                <w:szCs w:val="21"/>
              </w:rPr>
            </w:pPr>
          </w:p>
        </w:tc>
        <w:tc>
          <w:tcPr>
            <w:tcW w:w="1530" w:type="dxa"/>
            <w:vMerge/>
            <w:shd w:val="clear" w:color="auto" w:fill="auto"/>
            <w:tcMar>
              <w:left w:w="58" w:type="dxa"/>
              <w:right w:w="58" w:type="dxa"/>
            </w:tcMar>
            <w:vAlign w:val="center"/>
          </w:tcPr>
          <w:p w:rsidRPr="00841662" w:rsidR="007271A0" w:rsidP="00BB1941" w:rsidRDefault="007271A0" w14:paraId="7E3B157B" w14:textId="77777777">
            <w:pPr>
              <w:rPr>
                <w:rFonts w:cs="Calibri"/>
                <w:sz w:val="21"/>
                <w:szCs w:val="21"/>
              </w:rPr>
            </w:pPr>
          </w:p>
        </w:tc>
        <w:tc>
          <w:tcPr>
            <w:tcW w:w="5135" w:type="dxa"/>
            <w:shd w:val="clear" w:color="auto" w:fill="auto"/>
            <w:tcMar>
              <w:left w:w="58" w:type="dxa"/>
              <w:right w:w="58" w:type="dxa"/>
            </w:tcMar>
            <w:vAlign w:val="center"/>
          </w:tcPr>
          <w:p w:rsidRPr="009C7875" w:rsidR="007271A0" w:rsidP="00BB1941" w:rsidRDefault="007271A0" w14:paraId="3BB40F23" w14:textId="20F682E6">
            <w:pPr>
              <w:rPr>
                <w:rFonts w:cs="Calibri"/>
                <w:strike/>
                <w:sz w:val="21"/>
                <w:szCs w:val="21"/>
              </w:rPr>
            </w:pPr>
            <w:r w:rsidRPr="009C7875">
              <w:rPr>
                <w:rFonts w:cs="Calibri"/>
                <w:strike/>
                <w:sz w:val="21"/>
                <w:szCs w:val="21"/>
                <w:highlight w:val="yellow"/>
              </w:rPr>
              <w:t>Annual CH</w:t>
            </w:r>
            <w:r w:rsidRPr="009C7875">
              <w:rPr>
                <w:rFonts w:cs="Calibri"/>
                <w:strike/>
                <w:sz w:val="21"/>
                <w:szCs w:val="21"/>
                <w:highlight w:val="yellow"/>
                <w:vertAlign w:val="subscript"/>
              </w:rPr>
              <w:t>4</w:t>
            </w:r>
            <w:r w:rsidRPr="009C7875" w:rsidR="001502AD">
              <w:rPr>
                <w:rFonts w:cs="Calibri"/>
                <w:strike/>
                <w:sz w:val="21"/>
                <w:szCs w:val="21"/>
                <w:highlight w:val="yellow"/>
              </w:rPr>
              <w:t xml:space="preserve"> emissions</w:t>
            </w:r>
            <w:r w:rsidRPr="009C7875">
              <w:rPr>
                <w:rFonts w:cs="Calibri"/>
                <w:strike/>
                <w:sz w:val="21"/>
                <w:szCs w:val="21"/>
                <w:highlight w:val="yellow"/>
              </w:rPr>
              <w:t xml:space="preserve"> (mt </w:t>
            </w:r>
            <w:r w:rsidRPr="009C7875" w:rsidR="00B50EFB">
              <w:rPr>
                <w:rFonts w:cs="Calibri"/>
                <w:strike/>
                <w:sz w:val="21"/>
                <w:szCs w:val="21"/>
                <w:highlight w:val="yellow"/>
              </w:rPr>
              <w:t>CH</w:t>
            </w:r>
            <w:r w:rsidRPr="009C7875" w:rsidR="00B50EFB">
              <w:rPr>
                <w:rFonts w:cs="Calibri"/>
                <w:strike/>
                <w:sz w:val="21"/>
                <w:szCs w:val="21"/>
                <w:highlight w:val="yellow"/>
                <w:vertAlign w:val="subscript"/>
              </w:rPr>
              <w:t>4</w:t>
            </w:r>
            <w:r w:rsidRPr="009C7875">
              <w:rPr>
                <w:rFonts w:cs="Calibri"/>
                <w:strike/>
                <w:sz w:val="21"/>
                <w:szCs w:val="21"/>
                <w:highlight w:val="yellow"/>
              </w:rPr>
              <w:t>)</w:t>
            </w:r>
          </w:p>
        </w:tc>
        <w:tc>
          <w:tcPr>
            <w:tcW w:w="720" w:type="dxa"/>
            <w:shd w:val="clear" w:color="auto" w:fill="auto"/>
            <w:tcMar>
              <w:left w:w="58" w:type="dxa"/>
              <w:right w:w="58" w:type="dxa"/>
            </w:tcMar>
            <w:vAlign w:val="center"/>
          </w:tcPr>
          <w:p w:rsidRPr="00841662" w:rsidR="007271A0" w:rsidP="00BB1941" w:rsidRDefault="007271A0" w14:paraId="05B58A82" w14:textId="77777777">
            <w:pPr>
              <w:jc w:val="center"/>
              <w:rPr>
                <w:rFonts w:cs="Calibri"/>
                <w:sz w:val="21"/>
                <w:szCs w:val="21"/>
              </w:rPr>
            </w:pPr>
          </w:p>
        </w:tc>
      </w:tr>
      <w:tr w:rsidRPr="00841662" w:rsidR="00C671DA" w:rsidTr="00CA1FE1" w14:paraId="299486F4" w14:textId="77777777">
        <w:tblPrEx>
          <w:jc w:val="left"/>
        </w:tblPrEx>
        <w:trPr>
          <w:trHeight w:val="215"/>
        </w:trPr>
        <w:tc>
          <w:tcPr>
            <w:tcW w:w="1975" w:type="dxa"/>
            <w:vMerge w:val="restart"/>
            <w:shd w:val="clear" w:color="auto" w:fill="D9D9D9" w:themeFill="background1" w:themeFillShade="D9"/>
            <w:tcMar>
              <w:left w:w="58" w:type="dxa"/>
              <w:right w:w="58" w:type="dxa"/>
            </w:tcMar>
            <w:vAlign w:val="center"/>
          </w:tcPr>
          <w:p w:rsidRPr="00841662" w:rsidR="00C671DA" w:rsidP="00BB1941" w:rsidRDefault="00C671DA" w14:paraId="367F2AE6" w14:textId="7C6BAC39">
            <w:pPr>
              <w:keepNext/>
              <w:keepLines/>
              <w:rPr>
                <w:rFonts w:cs="Calibri"/>
                <w:sz w:val="21"/>
                <w:szCs w:val="21"/>
              </w:rPr>
            </w:pPr>
            <w:r w:rsidRPr="00841662">
              <w:rPr>
                <w:rFonts w:cstheme="minorHAnsi"/>
                <w:sz w:val="21"/>
                <w:szCs w:val="21"/>
              </w:rPr>
              <w:lastRenderedPageBreak/>
              <w:t>Voluntary action to reduce methane emissions during the reporting year</w:t>
            </w:r>
          </w:p>
        </w:tc>
        <w:tc>
          <w:tcPr>
            <w:tcW w:w="1530" w:type="dxa"/>
            <w:vMerge w:val="restart"/>
            <w:shd w:val="clear" w:color="auto" w:fill="D9D9D9" w:themeFill="background1" w:themeFillShade="D9"/>
            <w:tcMar>
              <w:left w:w="58" w:type="dxa"/>
              <w:right w:w="58" w:type="dxa"/>
            </w:tcMar>
            <w:vAlign w:val="center"/>
          </w:tcPr>
          <w:p w:rsidRPr="00841662" w:rsidR="00C671DA" w:rsidP="00BB1941" w:rsidRDefault="00C671DA" w14:paraId="479D8289" w14:textId="77777777">
            <w:pPr>
              <w:keepNext/>
              <w:keepLines/>
              <w:rPr>
                <w:rFonts w:cs="Calibri"/>
                <w:sz w:val="21"/>
                <w:szCs w:val="21"/>
              </w:rPr>
            </w:pPr>
            <w:r w:rsidRPr="00841662">
              <w:rPr>
                <w:rFonts w:cstheme="minorHAnsi"/>
                <w:sz w:val="21"/>
                <w:szCs w:val="21"/>
              </w:rPr>
              <w:t>Difference in emissions before and after mitigation</w:t>
            </w:r>
            <w:r w:rsidRPr="00841662">
              <w:rPr>
                <w:rStyle w:val="FootnoteReference"/>
                <w:rFonts w:cstheme="minorHAnsi"/>
                <w:sz w:val="21"/>
                <w:szCs w:val="21"/>
              </w:rPr>
              <w:footnoteReference w:id="70"/>
            </w:r>
            <w:r w:rsidRPr="00841662">
              <w:rPr>
                <w:rFonts w:cstheme="minorHAnsi"/>
                <w:sz w:val="21"/>
                <w:szCs w:val="21"/>
              </w:rPr>
              <w:t xml:space="preserve"> </w:t>
            </w:r>
          </w:p>
        </w:tc>
        <w:tc>
          <w:tcPr>
            <w:tcW w:w="5135" w:type="dxa"/>
            <w:shd w:val="clear" w:color="auto" w:fill="D9D9D9" w:themeFill="background1" w:themeFillShade="D9"/>
            <w:tcMar>
              <w:left w:w="58" w:type="dxa"/>
              <w:right w:w="58" w:type="dxa"/>
            </w:tcMar>
            <w:vAlign w:val="center"/>
          </w:tcPr>
          <w:p w:rsidRPr="00841662" w:rsidR="00C671DA" w:rsidP="00BB1941" w:rsidRDefault="00C671DA" w14:paraId="00A59877" w14:textId="787B8976">
            <w:pPr>
              <w:keepNext/>
              <w:keepLines/>
              <w:rPr>
                <w:rFonts w:cs="Calibri"/>
                <w:sz w:val="21"/>
                <w:szCs w:val="21"/>
              </w:rPr>
            </w:pPr>
            <w:r>
              <w:rPr>
                <w:rFonts w:cstheme="minorHAnsi"/>
                <w:sz w:val="21"/>
                <w:szCs w:val="21"/>
              </w:rPr>
              <w:t>Miles of cast iron mains:</w:t>
            </w:r>
          </w:p>
        </w:tc>
        <w:tc>
          <w:tcPr>
            <w:tcW w:w="720" w:type="dxa"/>
            <w:shd w:val="clear" w:color="auto" w:fill="D9D9D9" w:themeFill="background1" w:themeFillShade="D9"/>
            <w:tcMar>
              <w:left w:w="58" w:type="dxa"/>
              <w:right w:w="58" w:type="dxa"/>
            </w:tcMar>
            <w:vAlign w:val="center"/>
          </w:tcPr>
          <w:p w:rsidRPr="00841662" w:rsidR="00C671DA" w:rsidP="00BB1941" w:rsidRDefault="00C671DA" w14:paraId="6BD6C6C6" w14:textId="77777777">
            <w:pPr>
              <w:keepNext/>
              <w:keepLines/>
              <w:jc w:val="center"/>
              <w:rPr>
                <w:rFonts w:cs="Calibri"/>
                <w:sz w:val="21"/>
                <w:szCs w:val="21"/>
              </w:rPr>
            </w:pPr>
          </w:p>
        </w:tc>
      </w:tr>
      <w:tr w:rsidRPr="00841662" w:rsidR="00C671DA" w:rsidTr="00CA1FE1" w14:paraId="4D889D29" w14:textId="77777777">
        <w:tblPrEx>
          <w:jc w:val="left"/>
        </w:tblPrEx>
        <w:trPr>
          <w:trHeight w:val="305"/>
        </w:trPr>
        <w:tc>
          <w:tcPr>
            <w:tcW w:w="1975" w:type="dxa"/>
            <w:vMerge/>
            <w:shd w:val="clear" w:color="auto" w:fill="D9D9D9" w:themeFill="background1" w:themeFillShade="D9"/>
            <w:tcMar>
              <w:left w:w="58" w:type="dxa"/>
              <w:right w:w="58" w:type="dxa"/>
            </w:tcMar>
            <w:vAlign w:val="center"/>
          </w:tcPr>
          <w:p w:rsidRPr="00841662" w:rsidR="00C671DA" w:rsidP="00BB1941" w:rsidRDefault="00C671DA" w14:paraId="1C318A9C" w14:textId="77777777">
            <w:pPr>
              <w:keepNext/>
              <w:keepLines/>
              <w:rPr>
                <w:rFonts w:cstheme="minorHAnsi"/>
                <w:sz w:val="21"/>
                <w:szCs w:val="21"/>
              </w:rPr>
            </w:pPr>
          </w:p>
        </w:tc>
        <w:tc>
          <w:tcPr>
            <w:tcW w:w="1530" w:type="dxa"/>
            <w:vMerge/>
            <w:shd w:val="clear" w:color="auto" w:fill="D9D9D9" w:themeFill="background1" w:themeFillShade="D9"/>
            <w:tcMar>
              <w:left w:w="58" w:type="dxa"/>
              <w:right w:w="58" w:type="dxa"/>
            </w:tcMar>
            <w:vAlign w:val="center"/>
          </w:tcPr>
          <w:p w:rsidRPr="00841662" w:rsidR="00C671DA" w:rsidP="00BB1941" w:rsidRDefault="00C671DA" w14:paraId="339F3147" w14:textId="77777777">
            <w:pPr>
              <w:keepNext/>
              <w:keepLines/>
              <w:rPr>
                <w:rFonts w:cstheme="minorHAnsi"/>
                <w:sz w:val="21"/>
                <w:szCs w:val="21"/>
              </w:rPr>
            </w:pPr>
          </w:p>
        </w:tc>
        <w:tc>
          <w:tcPr>
            <w:tcW w:w="5135" w:type="dxa"/>
            <w:shd w:val="clear" w:color="auto" w:fill="D9D9D9" w:themeFill="background1" w:themeFillShade="D9"/>
            <w:tcMar>
              <w:left w:w="58" w:type="dxa"/>
              <w:right w:w="58" w:type="dxa"/>
            </w:tcMar>
            <w:vAlign w:val="center"/>
          </w:tcPr>
          <w:p w:rsidRPr="00841662" w:rsidR="00C671DA" w:rsidP="00BB1941" w:rsidRDefault="00C671DA" w14:paraId="7D3249E1" w14:textId="33CB210B">
            <w:pPr>
              <w:keepNext/>
              <w:keepLines/>
              <w:ind w:left="288"/>
              <w:rPr>
                <w:rFonts w:cstheme="minorHAnsi"/>
                <w:sz w:val="21"/>
                <w:szCs w:val="21"/>
              </w:rPr>
            </w:pPr>
            <w:r>
              <w:rPr>
                <w:rFonts w:cstheme="minorHAnsi"/>
                <w:sz w:val="21"/>
                <w:szCs w:val="21"/>
              </w:rPr>
              <w:t>R</w:t>
            </w:r>
            <w:r w:rsidRPr="00FB2B60">
              <w:rPr>
                <w:rFonts w:cstheme="minorHAnsi"/>
                <w:sz w:val="21"/>
                <w:szCs w:val="21"/>
              </w:rPr>
              <w:t>eplaced with plastic</w:t>
            </w:r>
          </w:p>
        </w:tc>
        <w:tc>
          <w:tcPr>
            <w:tcW w:w="720" w:type="dxa"/>
            <w:shd w:val="clear" w:color="auto" w:fill="D9D9D9" w:themeFill="background1" w:themeFillShade="D9"/>
            <w:tcMar>
              <w:left w:w="58" w:type="dxa"/>
              <w:right w:w="58" w:type="dxa"/>
            </w:tcMar>
            <w:vAlign w:val="center"/>
          </w:tcPr>
          <w:p w:rsidRPr="00841662" w:rsidR="00C671DA" w:rsidP="00BB1941" w:rsidRDefault="00C671DA" w14:paraId="0D493BD2" w14:textId="77777777">
            <w:pPr>
              <w:keepNext/>
              <w:keepLines/>
              <w:jc w:val="center"/>
              <w:rPr>
                <w:rFonts w:cs="Calibri"/>
                <w:sz w:val="21"/>
                <w:szCs w:val="21"/>
              </w:rPr>
            </w:pPr>
          </w:p>
        </w:tc>
      </w:tr>
      <w:tr w:rsidRPr="00841662" w:rsidR="00C671DA" w:rsidTr="00CA1FE1" w14:paraId="7F5B1CA0" w14:textId="77777777">
        <w:tblPrEx>
          <w:jc w:val="left"/>
        </w:tblPrEx>
        <w:trPr>
          <w:trHeight w:val="260"/>
        </w:trPr>
        <w:tc>
          <w:tcPr>
            <w:tcW w:w="1975" w:type="dxa"/>
            <w:vMerge/>
            <w:shd w:val="clear" w:color="auto" w:fill="D9D9D9" w:themeFill="background1" w:themeFillShade="D9"/>
            <w:tcMar>
              <w:left w:w="58" w:type="dxa"/>
              <w:right w:w="58" w:type="dxa"/>
            </w:tcMar>
            <w:vAlign w:val="center"/>
          </w:tcPr>
          <w:p w:rsidRPr="00841662" w:rsidR="00C671DA" w:rsidP="00BB1941" w:rsidRDefault="00C671DA" w14:paraId="420A08BF" w14:textId="77777777">
            <w:pPr>
              <w:keepNext/>
              <w:keepLines/>
              <w:rPr>
                <w:rFonts w:cstheme="minorHAnsi"/>
                <w:sz w:val="21"/>
                <w:szCs w:val="21"/>
                <w:u w:val="single"/>
              </w:rPr>
            </w:pPr>
          </w:p>
        </w:tc>
        <w:tc>
          <w:tcPr>
            <w:tcW w:w="1530" w:type="dxa"/>
            <w:vMerge/>
            <w:shd w:val="clear" w:color="auto" w:fill="D9D9D9" w:themeFill="background1" w:themeFillShade="D9"/>
            <w:tcMar>
              <w:left w:w="58" w:type="dxa"/>
              <w:right w:w="58" w:type="dxa"/>
            </w:tcMar>
            <w:vAlign w:val="center"/>
          </w:tcPr>
          <w:p w:rsidRPr="00841662" w:rsidR="00C671DA" w:rsidP="00BB1941" w:rsidRDefault="00C671DA" w14:paraId="15FE5384" w14:textId="77777777">
            <w:pPr>
              <w:keepNext/>
              <w:keepLines/>
              <w:rPr>
                <w:rFonts w:cstheme="minorHAnsi"/>
                <w:sz w:val="21"/>
                <w:szCs w:val="21"/>
              </w:rPr>
            </w:pPr>
          </w:p>
        </w:tc>
        <w:tc>
          <w:tcPr>
            <w:tcW w:w="5135" w:type="dxa"/>
            <w:shd w:val="clear" w:color="auto" w:fill="D9D9D9" w:themeFill="background1" w:themeFillShade="D9"/>
            <w:tcMar>
              <w:left w:w="58" w:type="dxa"/>
              <w:right w:w="58" w:type="dxa"/>
            </w:tcMar>
            <w:vAlign w:val="center"/>
          </w:tcPr>
          <w:p w:rsidRPr="00841662" w:rsidR="00C671DA" w:rsidP="00BB1941" w:rsidRDefault="00C671DA" w14:paraId="58D6B768" w14:textId="538FF8AB">
            <w:pPr>
              <w:keepNext/>
              <w:keepLines/>
              <w:ind w:left="288"/>
              <w:rPr>
                <w:rFonts w:cstheme="minorHAnsi"/>
                <w:sz w:val="21"/>
                <w:szCs w:val="21"/>
              </w:rPr>
            </w:pPr>
            <w:r>
              <w:rPr>
                <w:rFonts w:cstheme="minorHAnsi"/>
                <w:sz w:val="21"/>
                <w:szCs w:val="21"/>
              </w:rPr>
              <w:t>R</w:t>
            </w:r>
            <w:r w:rsidRPr="00841662">
              <w:rPr>
                <w:rFonts w:cstheme="minorHAnsi"/>
                <w:sz w:val="21"/>
                <w:szCs w:val="21"/>
              </w:rPr>
              <w:t>eplaced with protected steel</w:t>
            </w:r>
          </w:p>
        </w:tc>
        <w:tc>
          <w:tcPr>
            <w:tcW w:w="720" w:type="dxa"/>
            <w:shd w:val="clear" w:color="auto" w:fill="D9D9D9" w:themeFill="background1" w:themeFillShade="D9"/>
            <w:tcMar>
              <w:left w:w="58" w:type="dxa"/>
              <w:right w:w="58" w:type="dxa"/>
            </w:tcMar>
            <w:vAlign w:val="center"/>
          </w:tcPr>
          <w:p w:rsidRPr="00841662" w:rsidR="00C671DA" w:rsidP="00BB1941" w:rsidRDefault="00C671DA" w14:paraId="4047036C" w14:textId="77777777">
            <w:pPr>
              <w:keepNext/>
              <w:keepLines/>
              <w:jc w:val="center"/>
              <w:rPr>
                <w:rFonts w:cs="Calibri"/>
                <w:sz w:val="21"/>
                <w:szCs w:val="21"/>
              </w:rPr>
            </w:pPr>
          </w:p>
        </w:tc>
      </w:tr>
      <w:tr w:rsidRPr="00841662" w:rsidR="00C671DA" w:rsidTr="00CA1FE1" w14:paraId="4DD094E6" w14:textId="77777777">
        <w:tblPrEx>
          <w:jc w:val="left"/>
        </w:tblPrEx>
        <w:trPr>
          <w:trHeight w:val="440"/>
        </w:trPr>
        <w:tc>
          <w:tcPr>
            <w:tcW w:w="1975" w:type="dxa"/>
            <w:vMerge/>
            <w:shd w:val="clear" w:color="auto" w:fill="D9D9D9" w:themeFill="background1" w:themeFillShade="D9"/>
            <w:tcMar>
              <w:left w:w="58" w:type="dxa"/>
              <w:right w:w="58" w:type="dxa"/>
            </w:tcMar>
            <w:vAlign w:val="center"/>
          </w:tcPr>
          <w:p w:rsidRPr="00841662" w:rsidR="00C671DA" w:rsidP="00BB1941" w:rsidRDefault="00C671DA" w14:paraId="65661085" w14:textId="77777777">
            <w:pPr>
              <w:keepNext/>
              <w:keepLines/>
              <w:rPr>
                <w:rFonts w:cstheme="minorHAnsi"/>
                <w:sz w:val="21"/>
                <w:szCs w:val="21"/>
                <w:u w:val="single"/>
              </w:rPr>
            </w:pPr>
          </w:p>
        </w:tc>
        <w:tc>
          <w:tcPr>
            <w:tcW w:w="1530" w:type="dxa"/>
            <w:vMerge/>
            <w:shd w:val="clear" w:color="auto" w:fill="D9D9D9" w:themeFill="background1" w:themeFillShade="D9"/>
            <w:tcMar>
              <w:left w:w="58" w:type="dxa"/>
              <w:right w:w="58" w:type="dxa"/>
            </w:tcMar>
            <w:vAlign w:val="center"/>
          </w:tcPr>
          <w:p w:rsidRPr="00841662" w:rsidR="00C671DA" w:rsidP="00BB1941" w:rsidRDefault="00C671DA" w14:paraId="1794BBD3" w14:textId="77777777">
            <w:pPr>
              <w:keepNext/>
              <w:keepLines/>
              <w:rPr>
                <w:rFonts w:cstheme="minorHAnsi"/>
                <w:sz w:val="21"/>
                <w:szCs w:val="21"/>
              </w:rPr>
            </w:pPr>
          </w:p>
        </w:tc>
        <w:tc>
          <w:tcPr>
            <w:tcW w:w="5135" w:type="dxa"/>
            <w:shd w:val="clear" w:color="auto" w:fill="D9D9D9" w:themeFill="background1" w:themeFillShade="D9"/>
            <w:tcMar>
              <w:left w:w="58" w:type="dxa"/>
              <w:right w:w="58" w:type="dxa"/>
            </w:tcMar>
            <w:vAlign w:val="center"/>
          </w:tcPr>
          <w:p w:rsidRPr="00841662" w:rsidR="00C671DA" w:rsidP="00BB1941" w:rsidRDefault="00C671DA" w14:paraId="3FF64AA5" w14:textId="1DBBEB1A">
            <w:pPr>
              <w:keepNext/>
              <w:keepLines/>
              <w:ind w:left="288"/>
              <w:rPr>
                <w:rFonts w:cstheme="minorHAnsi"/>
                <w:sz w:val="21"/>
                <w:szCs w:val="21"/>
              </w:rPr>
            </w:pPr>
            <w:r>
              <w:rPr>
                <w:rFonts w:cstheme="minorHAnsi"/>
                <w:sz w:val="21"/>
                <w:szCs w:val="21"/>
              </w:rPr>
              <w:t>R</w:t>
            </w:r>
            <w:r w:rsidRPr="00841662">
              <w:rPr>
                <w:rFonts w:cstheme="minorHAnsi"/>
                <w:sz w:val="21"/>
                <w:szCs w:val="21"/>
              </w:rPr>
              <w:t>ehabilitated with plastic pipe inserts or cured-in-place liners</w:t>
            </w:r>
          </w:p>
        </w:tc>
        <w:tc>
          <w:tcPr>
            <w:tcW w:w="720" w:type="dxa"/>
            <w:shd w:val="clear" w:color="auto" w:fill="D9D9D9" w:themeFill="background1" w:themeFillShade="D9"/>
            <w:tcMar>
              <w:left w:w="58" w:type="dxa"/>
              <w:right w:w="58" w:type="dxa"/>
            </w:tcMar>
            <w:vAlign w:val="center"/>
          </w:tcPr>
          <w:p w:rsidRPr="00841662" w:rsidR="00C671DA" w:rsidP="00BB1941" w:rsidRDefault="00C671DA" w14:paraId="669A703C" w14:textId="77777777">
            <w:pPr>
              <w:keepNext/>
              <w:keepLines/>
              <w:jc w:val="center"/>
              <w:rPr>
                <w:rFonts w:cs="Calibri"/>
                <w:sz w:val="21"/>
                <w:szCs w:val="21"/>
              </w:rPr>
            </w:pPr>
          </w:p>
        </w:tc>
      </w:tr>
      <w:tr w:rsidRPr="00841662" w:rsidR="005775BA" w:rsidTr="00CA1FE1" w14:paraId="755338D8" w14:textId="77777777">
        <w:trPr>
          <w:trHeight w:val="269"/>
          <w:jc w:val="center"/>
        </w:trPr>
        <w:tc>
          <w:tcPr>
            <w:tcW w:w="1975" w:type="dxa"/>
            <w:vMerge/>
            <w:shd w:val="clear" w:color="auto" w:fill="D9D9D9" w:themeFill="background1" w:themeFillShade="D9"/>
            <w:tcMar>
              <w:left w:w="58" w:type="dxa"/>
              <w:right w:w="58" w:type="dxa"/>
            </w:tcMar>
            <w:vAlign w:val="center"/>
          </w:tcPr>
          <w:p w:rsidRPr="00841662" w:rsidR="005775BA" w:rsidP="00BB1941" w:rsidRDefault="005775BA" w14:paraId="2375480F" w14:textId="77777777">
            <w:pPr>
              <w:keepNext/>
              <w:keepLines/>
              <w:rPr>
                <w:rFonts w:cstheme="minorHAnsi"/>
                <w:sz w:val="21"/>
                <w:szCs w:val="21"/>
                <w:u w:val="single"/>
              </w:rPr>
            </w:pPr>
          </w:p>
        </w:tc>
        <w:tc>
          <w:tcPr>
            <w:tcW w:w="1530" w:type="dxa"/>
            <w:vMerge/>
            <w:shd w:val="clear" w:color="auto" w:fill="D9D9D9" w:themeFill="background1" w:themeFillShade="D9"/>
            <w:tcMar>
              <w:left w:w="58" w:type="dxa"/>
              <w:right w:w="58" w:type="dxa"/>
            </w:tcMar>
            <w:vAlign w:val="center"/>
          </w:tcPr>
          <w:p w:rsidRPr="00841662" w:rsidR="005775BA" w:rsidP="00BB1941" w:rsidRDefault="005775BA" w14:paraId="655A263D" w14:textId="77777777">
            <w:pPr>
              <w:keepNext/>
              <w:keepLines/>
              <w:rPr>
                <w:rFonts w:cstheme="minorHAnsi"/>
                <w:sz w:val="21"/>
                <w:szCs w:val="21"/>
              </w:rPr>
            </w:pPr>
          </w:p>
        </w:tc>
        <w:tc>
          <w:tcPr>
            <w:tcW w:w="5135" w:type="dxa"/>
            <w:shd w:val="clear" w:color="auto" w:fill="D9D9D9" w:themeFill="background1" w:themeFillShade="D9"/>
            <w:tcMar>
              <w:left w:w="58" w:type="dxa"/>
              <w:right w:w="58" w:type="dxa"/>
            </w:tcMar>
            <w:vAlign w:val="center"/>
          </w:tcPr>
          <w:p w:rsidR="005775BA" w:rsidP="00BB1941" w:rsidRDefault="005775BA" w14:paraId="4E79D43E" w14:textId="4BE2E029">
            <w:pPr>
              <w:keepNext/>
              <w:keepLines/>
              <w:ind w:left="288"/>
              <w:rPr>
                <w:rFonts w:cstheme="minorHAnsi"/>
                <w:sz w:val="21"/>
                <w:szCs w:val="21"/>
              </w:rPr>
            </w:pPr>
            <w:r>
              <w:rPr>
                <w:rFonts w:cstheme="minorHAnsi"/>
                <w:sz w:val="21"/>
                <w:szCs w:val="21"/>
              </w:rPr>
              <w:t>Retired without replacement</w:t>
            </w:r>
          </w:p>
        </w:tc>
        <w:tc>
          <w:tcPr>
            <w:tcW w:w="720" w:type="dxa"/>
            <w:shd w:val="clear" w:color="auto" w:fill="D9D9D9" w:themeFill="background1" w:themeFillShade="D9"/>
            <w:tcMar>
              <w:left w:w="58" w:type="dxa"/>
              <w:right w:w="58" w:type="dxa"/>
            </w:tcMar>
            <w:vAlign w:val="center"/>
          </w:tcPr>
          <w:p w:rsidRPr="00841662" w:rsidR="005775BA" w:rsidP="00BB1941" w:rsidRDefault="005775BA" w14:paraId="32D01F72" w14:textId="77777777">
            <w:pPr>
              <w:keepNext/>
              <w:keepLines/>
              <w:jc w:val="center"/>
              <w:rPr>
                <w:rFonts w:cs="Calibri"/>
                <w:sz w:val="21"/>
                <w:szCs w:val="21"/>
              </w:rPr>
            </w:pPr>
          </w:p>
        </w:tc>
      </w:tr>
      <w:tr w:rsidRPr="00841662" w:rsidR="00C671DA" w:rsidTr="00CA1FE1" w14:paraId="2D83946D" w14:textId="77777777">
        <w:tblPrEx>
          <w:jc w:val="left"/>
        </w:tblPrEx>
        <w:trPr>
          <w:trHeight w:val="278"/>
        </w:trPr>
        <w:tc>
          <w:tcPr>
            <w:tcW w:w="1975" w:type="dxa"/>
            <w:vMerge/>
            <w:shd w:val="clear" w:color="auto" w:fill="D9D9D9" w:themeFill="background1" w:themeFillShade="D9"/>
            <w:tcMar>
              <w:left w:w="58" w:type="dxa"/>
              <w:right w:w="58" w:type="dxa"/>
            </w:tcMar>
            <w:vAlign w:val="center"/>
          </w:tcPr>
          <w:p w:rsidRPr="00841662" w:rsidR="00C671DA" w:rsidP="00BB1941" w:rsidRDefault="00C671DA" w14:paraId="55ED12FF" w14:textId="77777777">
            <w:pPr>
              <w:keepNext/>
              <w:keepLines/>
              <w:rPr>
                <w:rFonts w:cstheme="minorHAnsi"/>
                <w:sz w:val="21"/>
                <w:szCs w:val="21"/>
                <w:u w:val="single"/>
              </w:rPr>
            </w:pPr>
          </w:p>
        </w:tc>
        <w:tc>
          <w:tcPr>
            <w:tcW w:w="1530" w:type="dxa"/>
            <w:vMerge/>
            <w:shd w:val="clear" w:color="auto" w:fill="D9D9D9" w:themeFill="background1" w:themeFillShade="D9"/>
            <w:tcMar>
              <w:left w:w="58" w:type="dxa"/>
              <w:right w:w="58" w:type="dxa"/>
            </w:tcMar>
            <w:vAlign w:val="center"/>
          </w:tcPr>
          <w:p w:rsidRPr="00841662" w:rsidR="00C671DA" w:rsidP="00BB1941" w:rsidRDefault="00C671DA" w14:paraId="02FE9981" w14:textId="77777777">
            <w:pPr>
              <w:keepNext/>
              <w:keepLines/>
              <w:rPr>
                <w:rFonts w:cstheme="minorHAnsi"/>
                <w:sz w:val="21"/>
                <w:szCs w:val="21"/>
              </w:rPr>
            </w:pPr>
          </w:p>
        </w:tc>
        <w:tc>
          <w:tcPr>
            <w:tcW w:w="5135" w:type="dxa"/>
            <w:shd w:val="clear" w:color="auto" w:fill="D9D9D9" w:themeFill="background1" w:themeFillShade="D9"/>
            <w:tcMar>
              <w:left w:w="58" w:type="dxa"/>
              <w:right w:w="58" w:type="dxa"/>
            </w:tcMar>
            <w:vAlign w:val="center"/>
          </w:tcPr>
          <w:p w:rsidRPr="00841662" w:rsidR="00C671DA" w:rsidP="00BB1941" w:rsidRDefault="00C671DA" w14:paraId="7C53ADAC" w14:textId="6A48C66A">
            <w:pPr>
              <w:keepNext/>
              <w:keepLines/>
              <w:rPr>
                <w:rFonts w:cstheme="minorHAnsi"/>
                <w:sz w:val="21"/>
                <w:szCs w:val="21"/>
              </w:rPr>
            </w:pPr>
            <w:r w:rsidRPr="00841662">
              <w:rPr>
                <w:rFonts w:cstheme="minorHAnsi"/>
                <w:sz w:val="21"/>
                <w:szCs w:val="21"/>
              </w:rPr>
              <w:t>Miles of unprotected steel mains</w:t>
            </w:r>
            <w:r>
              <w:rPr>
                <w:rFonts w:cstheme="minorHAnsi"/>
                <w:sz w:val="21"/>
                <w:szCs w:val="21"/>
              </w:rPr>
              <w:t>:</w:t>
            </w:r>
            <w:r w:rsidRPr="00841662">
              <w:rPr>
                <w:rFonts w:cstheme="minorHAnsi"/>
                <w:sz w:val="21"/>
                <w:szCs w:val="21"/>
              </w:rPr>
              <w:t xml:space="preserve"> </w:t>
            </w:r>
          </w:p>
        </w:tc>
        <w:tc>
          <w:tcPr>
            <w:tcW w:w="720" w:type="dxa"/>
            <w:shd w:val="clear" w:color="auto" w:fill="D9D9D9" w:themeFill="background1" w:themeFillShade="D9"/>
            <w:tcMar>
              <w:left w:w="58" w:type="dxa"/>
              <w:right w:w="58" w:type="dxa"/>
            </w:tcMar>
            <w:vAlign w:val="center"/>
          </w:tcPr>
          <w:p w:rsidRPr="00841662" w:rsidR="00C671DA" w:rsidP="00BB1941" w:rsidRDefault="00C671DA" w14:paraId="313A8816" w14:textId="77777777">
            <w:pPr>
              <w:keepNext/>
              <w:keepLines/>
              <w:jc w:val="center"/>
              <w:rPr>
                <w:rFonts w:cs="Calibri"/>
                <w:sz w:val="21"/>
                <w:szCs w:val="21"/>
              </w:rPr>
            </w:pPr>
          </w:p>
        </w:tc>
      </w:tr>
      <w:tr w:rsidRPr="00841662" w:rsidR="00C671DA" w:rsidTr="00CA1FE1" w14:paraId="497100C2" w14:textId="77777777">
        <w:tblPrEx>
          <w:jc w:val="left"/>
        </w:tblPrEx>
        <w:trPr>
          <w:trHeight w:val="70"/>
        </w:trPr>
        <w:tc>
          <w:tcPr>
            <w:tcW w:w="1975" w:type="dxa"/>
            <w:vMerge/>
            <w:shd w:val="clear" w:color="auto" w:fill="D9D9D9" w:themeFill="background1" w:themeFillShade="D9"/>
            <w:tcMar>
              <w:left w:w="58" w:type="dxa"/>
              <w:right w:w="58" w:type="dxa"/>
            </w:tcMar>
            <w:vAlign w:val="center"/>
          </w:tcPr>
          <w:p w:rsidRPr="00841662" w:rsidR="00C671DA" w:rsidP="00BB1941" w:rsidRDefault="00C671DA" w14:paraId="0E9CABC7" w14:textId="77777777">
            <w:pPr>
              <w:keepNext/>
              <w:keepLines/>
              <w:rPr>
                <w:rFonts w:cstheme="minorHAnsi"/>
                <w:sz w:val="21"/>
                <w:szCs w:val="21"/>
                <w:u w:val="single"/>
              </w:rPr>
            </w:pPr>
          </w:p>
        </w:tc>
        <w:tc>
          <w:tcPr>
            <w:tcW w:w="1530" w:type="dxa"/>
            <w:vMerge/>
            <w:shd w:val="clear" w:color="auto" w:fill="D9D9D9" w:themeFill="background1" w:themeFillShade="D9"/>
            <w:tcMar>
              <w:left w:w="58" w:type="dxa"/>
              <w:right w:w="58" w:type="dxa"/>
            </w:tcMar>
            <w:vAlign w:val="center"/>
          </w:tcPr>
          <w:p w:rsidRPr="00841662" w:rsidR="00C671DA" w:rsidP="00BB1941" w:rsidRDefault="00C671DA" w14:paraId="2B76B28F" w14:textId="77777777">
            <w:pPr>
              <w:keepNext/>
              <w:keepLines/>
              <w:rPr>
                <w:rFonts w:cstheme="minorHAnsi"/>
                <w:sz w:val="21"/>
                <w:szCs w:val="21"/>
              </w:rPr>
            </w:pPr>
          </w:p>
        </w:tc>
        <w:tc>
          <w:tcPr>
            <w:tcW w:w="5135" w:type="dxa"/>
            <w:shd w:val="clear" w:color="auto" w:fill="D9D9D9" w:themeFill="background1" w:themeFillShade="D9"/>
            <w:tcMar>
              <w:left w:w="58" w:type="dxa"/>
              <w:right w:w="58" w:type="dxa"/>
            </w:tcMar>
            <w:vAlign w:val="center"/>
          </w:tcPr>
          <w:p w:rsidRPr="00841662" w:rsidR="00C671DA" w:rsidP="00BB1941" w:rsidRDefault="00C671DA" w14:paraId="03ACD372" w14:textId="7D44E411">
            <w:pPr>
              <w:keepNext/>
              <w:keepLines/>
              <w:ind w:left="288"/>
              <w:rPr>
                <w:rFonts w:cstheme="minorHAnsi"/>
                <w:sz w:val="21"/>
                <w:szCs w:val="21"/>
              </w:rPr>
            </w:pPr>
            <w:r>
              <w:rPr>
                <w:rFonts w:cstheme="minorHAnsi"/>
                <w:sz w:val="21"/>
                <w:szCs w:val="21"/>
              </w:rPr>
              <w:t>C</w:t>
            </w:r>
            <w:r w:rsidRPr="00FB2B60">
              <w:rPr>
                <w:rFonts w:cstheme="minorHAnsi"/>
                <w:sz w:val="21"/>
                <w:szCs w:val="21"/>
              </w:rPr>
              <w:t>athodically protected or replaced with protected steel</w:t>
            </w:r>
          </w:p>
        </w:tc>
        <w:tc>
          <w:tcPr>
            <w:tcW w:w="720" w:type="dxa"/>
            <w:shd w:val="clear" w:color="auto" w:fill="D9D9D9" w:themeFill="background1" w:themeFillShade="D9"/>
            <w:tcMar>
              <w:left w:w="58" w:type="dxa"/>
              <w:right w:w="58" w:type="dxa"/>
            </w:tcMar>
            <w:vAlign w:val="center"/>
          </w:tcPr>
          <w:p w:rsidRPr="00841662" w:rsidR="00C671DA" w:rsidP="00BB1941" w:rsidRDefault="00C671DA" w14:paraId="1838786F" w14:textId="77777777">
            <w:pPr>
              <w:keepNext/>
              <w:keepLines/>
              <w:jc w:val="center"/>
              <w:rPr>
                <w:rFonts w:cs="Calibri"/>
                <w:sz w:val="21"/>
                <w:szCs w:val="21"/>
              </w:rPr>
            </w:pPr>
          </w:p>
        </w:tc>
      </w:tr>
      <w:tr w:rsidRPr="00841662" w:rsidR="00C671DA" w:rsidTr="00CA1FE1" w14:paraId="7B3BAEF6" w14:textId="77777777">
        <w:tblPrEx>
          <w:jc w:val="left"/>
        </w:tblPrEx>
        <w:trPr>
          <w:trHeight w:val="107"/>
        </w:trPr>
        <w:tc>
          <w:tcPr>
            <w:tcW w:w="1975" w:type="dxa"/>
            <w:vMerge/>
            <w:shd w:val="clear" w:color="auto" w:fill="D9D9D9" w:themeFill="background1" w:themeFillShade="D9"/>
            <w:tcMar>
              <w:left w:w="58" w:type="dxa"/>
              <w:right w:w="58" w:type="dxa"/>
            </w:tcMar>
            <w:vAlign w:val="center"/>
          </w:tcPr>
          <w:p w:rsidRPr="00841662" w:rsidR="00C671DA" w:rsidP="00BB1941" w:rsidRDefault="00C671DA" w14:paraId="2BE1EAAC" w14:textId="77777777">
            <w:pPr>
              <w:keepNext/>
              <w:keepLines/>
              <w:rPr>
                <w:rFonts w:cstheme="minorHAnsi"/>
                <w:sz w:val="21"/>
                <w:szCs w:val="21"/>
                <w:u w:val="single"/>
              </w:rPr>
            </w:pPr>
          </w:p>
        </w:tc>
        <w:tc>
          <w:tcPr>
            <w:tcW w:w="1530" w:type="dxa"/>
            <w:vMerge/>
            <w:shd w:val="clear" w:color="auto" w:fill="D9D9D9" w:themeFill="background1" w:themeFillShade="D9"/>
            <w:tcMar>
              <w:left w:w="58" w:type="dxa"/>
              <w:right w:w="58" w:type="dxa"/>
            </w:tcMar>
            <w:vAlign w:val="center"/>
          </w:tcPr>
          <w:p w:rsidRPr="00841662" w:rsidR="00C671DA" w:rsidP="00BB1941" w:rsidRDefault="00C671DA" w14:paraId="14F4907E" w14:textId="77777777">
            <w:pPr>
              <w:keepNext/>
              <w:keepLines/>
              <w:rPr>
                <w:rFonts w:cstheme="minorHAnsi"/>
                <w:sz w:val="21"/>
                <w:szCs w:val="21"/>
              </w:rPr>
            </w:pPr>
          </w:p>
        </w:tc>
        <w:tc>
          <w:tcPr>
            <w:tcW w:w="5135" w:type="dxa"/>
            <w:shd w:val="clear" w:color="auto" w:fill="D9D9D9" w:themeFill="background1" w:themeFillShade="D9"/>
            <w:tcMar>
              <w:left w:w="58" w:type="dxa"/>
              <w:right w:w="58" w:type="dxa"/>
            </w:tcMar>
            <w:vAlign w:val="center"/>
          </w:tcPr>
          <w:p w:rsidRPr="00841662" w:rsidR="00C671DA" w:rsidP="00BB1941" w:rsidRDefault="00C671DA" w14:paraId="0557FA9C" w14:textId="09AFED47">
            <w:pPr>
              <w:keepNext/>
              <w:keepLines/>
              <w:ind w:left="288"/>
              <w:rPr>
                <w:rFonts w:cstheme="minorHAnsi"/>
                <w:sz w:val="21"/>
                <w:szCs w:val="21"/>
              </w:rPr>
            </w:pPr>
            <w:r>
              <w:rPr>
                <w:rFonts w:cstheme="minorHAnsi"/>
                <w:sz w:val="21"/>
                <w:szCs w:val="21"/>
              </w:rPr>
              <w:t>R</w:t>
            </w:r>
            <w:r w:rsidRPr="00841662">
              <w:rPr>
                <w:rFonts w:cstheme="minorHAnsi"/>
                <w:sz w:val="21"/>
                <w:szCs w:val="21"/>
              </w:rPr>
              <w:t>ehabilitated with pipe inserts or cured-in-place liners</w:t>
            </w:r>
          </w:p>
        </w:tc>
        <w:tc>
          <w:tcPr>
            <w:tcW w:w="720" w:type="dxa"/>
            <w:shd w:val="clear" w:color="auto" w:fill="D9D9D9" w:themeFill="background1" w:themeFillShade="D9"/>
            <w:tcMar>
              <w:left w:w="58" w:type="dxa"/>
              <w:right w:w="58" w:type="dxa"/>
            </w:tcMar>
            <w:vAlign w:val="center"/>
          </w:tcPr>
          <w:p w:rsidRPr="00841662" w:rsidR="00C671DA" w:rsidP="00BB1941" w:rsidRDefault="00C671DA" w14:paraId="1B35D511" w14:textId="77777777">
            <w:pPr>
              <w:keepNext/>
              <w:keepLines/>
              <w:jc w:val="center"/>
              <w:rPr>
                <w:rFonts w:cs="Calibri"/>
                <w:sz w:val="21"/>
                <w:szCs w:val="21"/>
              </w:rPr>
            </w:pPr>
          </w:p>
        </w:tc>
      </w:tr>
      <w:tr w:rsidRPr="00841662" w:rsidR="00CA70C9" w:rsidTr="00CA1FE1" w14:paraId="62D54921" w14:textId="77777777">
        <w:tblPrEx>
          <w:jc w:val="left"/>
        </w:tblPrEx>
        <w:trPr>
          <w:trHeight w:val="107"/>
        </w:trPr>
        <w:tc>
          <w:tcPr>
            <w:tcW w:w="1975" w:type="dxa"/>
            <w:vMerge/>
            <w:shd w:val="clear" w:color="auto" w:fill="D9D9D9" w:themeFill="background1" w:themeFillShade="D9"/>
            <w:tcMar>
              <w:left w:w="58" w:type="dxa"/>
              <w:right w:w="58" w:type="dxa"/>
            </w:tcMar>
            <w:vAlign w:val="center"/>
          </w:tcPr>
          <w:p w:rsidRPr="00841662" w:rsidR="00CA70C9" w:rsidP="00BB1941" w:rsidRDefault="00CA70C9" w14:paraId="1F7CC58F" w14:textId="77777777">
            <w:pPr>
              <w:keepNext/>
              <w:keepLines/>
              <w:rPr>
                <w:rFonts w:cstheme="minorHAnsi"/>
                <w:sz w:val="21"/>
                <w:szCs w:val="21"/>
                <w:u w:val="single"/>
              </w:rPr>
            </w:pPr>
          </w:p>
        </w:tc>
        <w:tc>
          <w:tcPr>
            <w:tcW w:w="1530" w:type="dxa"/>
            <w:vMerge/>
            <w:shd w:val="clear" w:color="auto" w:fill="D9D9D9" w:themeFill="background1" w:themeFillShade="D9"/>
            <w:tcMar>
              <w:left w:w="58" w:type="dxa"/>
              <w:right w:w="58" w:type="dxa"/>
            </w:tcMar>
            <w:vAlign w:val="center"/>
          </w:tcPr>
          <w:p w:rsidRPr="00841662" w:rsidR="00CA70C9" w:rsidP="00BB1941" w:rsidRDefault="00CA70C9" w14:paraId="10B3CD8D" w14:textId="77777777">
            <w:pPr>
              <w:keepNext/>
              <w:keepLines/>
              <w:rPr>
                <w:rFonts w:cstheme="minorHAnsi"/>
                <w:sz w:val="21"/>
                <w:szCs w:val="21"/>
              </w:rPr>
            </w:pPr>
          </w:p>
        </w:tc>
        <w:tc>
          <w:tcPr>
            <w:tcW w:w="5135" w:type="dxa"/>
            <w:shd w:val="clear" w:color="auto" w:fill="D9D9D9" w:themeFill="background1" w:themeFillShade="D9"/>
            <w:tcMar>
              <w:left w:w="58" w:type="dxa"/>
              <w:right w:w="58" w:type="dxa"/>
            </w:tcMar>
            <w:vAlign w:val="center"/>
          </w:tcPr>
          <w:p w:rsidR="00CA70C9" w:rsidP="00BB1941" w:rsidRDefault="00CA70C9" w14:paraId="5CE16274" w14:textId="44E1998F">
            <w:pPr>
              <w:keepNext/>
              <w:keepLines/>
              <w:ind w:left="288"/>
              <w:rPr>
                <w:rFonts w:cstheme="minorHAnsi"/>
                <w:sz w:val="21"/>
                <w:szCs w:val="21"/>
              </w:rPr>
            </w:pPr>
            <w:r>
              <w:rPr>
                <w:rFonts w:cstheme="minorHAnsi"/>
                <w:sz w:val="21"/>
                <w:szCs w:val="21"/>
              </w:rPr>
              <w:t>Replaced with plastic</w:t>
            </w:r>
          </w:p>
        </w:tc>
        <w:tc>
          <w:tcPr>
            <w:tcW w:w="720" w:type="dxa"/>
            <w:shd w:val="clear" w:color="auto" w:fill="D9D9D9" w:themeFill="background1" w:themeFillShade="D9"/>
            <w:tcMar>
              <w:left w:w="58" w:type="dxa"/>
              <w:right w:w="58" w:type="dxa"/>
            </w:tcMar>
            <w:vAlign w:val="center"/>
          </w:tcPr>
          <w:p w:rsidRPr="00841662" w:rsidR="00CA70C9" w:rsidP="00BB1941" w:rsidRDefault="00CA70C9" w14:paraId="4D8AD9E0" w14:textId="77777777">
            <w:pPr>
              <w:keepNext/>
              <w:keepLines/>
              <w:jc w:val="center"/>
              <w:rPr>
                <w:rFonts w:cs="Calibri"/>
                <w:sz w:val="21"/>
                <w:szCs w:val="21"/>
              </w:rPr>
            </w:pPr>
          </w:p>
        </w:tc>
      </w:tr>
      <w:tr w:rsidRPr="00841662" w:rsidR="005775BA" w:rsidTr="00CA1FE1" w14:paraId="16269B6C" w14:textId="77777777">
        <w:tblPrEx>
          <w:jc w:val="left"/>
        </w:tblPrEx>
        <w:trPr>
          <w:trHeight w:val="107"/>
        </w:trPr>
        <w:tc>
          <w:tcPr>
            <w:tcW w:w="1975" w:type="dxa"/>
            <w:vMerge/>
            <w:shd w:val="clear" w:color="auto" w:fill="D9D9D9" w:themeFill="background1" w:themeFillShade="D9"/>
            <w:tcMar>
              <w:left w:w="58" w:type="dxa"/>
              <w:right w:w="58" w:type="dxa"/>
            </w:tcMar>
            <w:vAlign w:val="center"/>
          </w:tcPr>
          <w:p w:rsidRPr="00841662" w:rsidR="005775BA" w:rsidP="00BB1941" w:rsidRDefault="005775BA" w14:paraId="404AE60F" w14:textId="77777777">
            <w:pPr>
              <w:keepNext/>
              <w:keepLines/>
              <w:rPr>
                <w:rFonts w:cstheme="minorHAnsi"/>
                <w:sz w:val="21"/>
                <w:szCs w:val="21"/>
                <w:u w:val="single"/>
              </w:rPr>
            </w:pPr>
          </w:p>
        </w:tc>
        <w:tc>
          <w:tcPr>
            <w:tcW w:w="1530" w:type="dxa"/>
            <w:vMerge/>
            <w:shd w:val="clear" w:color="auto" w:fill="D9D9D9" w:themeFill="background1" w:themeFillShade="D9"/>
            <w:tcMar>
              <w:left w:w="58" w:type="dxa"/>
              <w:right w:w="58" w:type="dxa"/>
            </w:tcMar>
            <w:vAlign w:val="center"/>
          </w:tcPr>
          <w:p w:rsidRPr="00841662" w:rsidR="005775BA" w:rsidP="00BB1941" w:rsidRDefault="005775BA" w14:paraId="1468B168" w14:textId="77777777">
            <w:pPr>
              <w:keepNext/>
              <w:keepLines/>
              <w:rPr>
                <w:rFonts w:cstheme="minorHAnsi"/>
                <w:sz w:val="21"/>
                <w:szCs w:val="21"/>
              </w:rPr>
            </w:pPr>
          </w:p>
        </w:tc>
        <w:tc>
          <w:tcPr>
            <w:tcW w:w="5135" w:type="dxa"/>
            <w:shd w:val="clear" w:color="auto" w:fill="D9D9D9" w:themeFill="background1" w:themeFillShade="D9"/>
            <w:tcMar>
              <w:left w:w="58" w:type="dxa"/>
              <w:right w:w="58" w:type="dxa"/>
            </w:tcMar>
            <w:vAlign w:val="center"/>
          </w:tcPr>
          <w:p w:rsidR="005775BA" w:rsidP="00BB1941" w:rsidRDefault="005775BA" w14:paraId="0F6AA219" w14:textId="25F19E45">
            <w:pPr>
              <w:keepNext/>
              <w:keepLines/>
              <w:ind w:left="288"/>
              <w:rPr>
                <w:rFonts w:cstheme="minorHAnsi"/>
                <w:sz w:val="21"/>
                <w:szCs w:val="21"/>
              </w:rPr>
            </w:pPr>
            <w:r>
              <w:rPr>
                <w:rFonts w:cstheme="minorHAnsi"/>
                <w:sz w:val="21"/>
                <w:szCs w:val="21"/>
              </w:rPr>
              <w:t>Retired without replacement</w:t>
            </w:r>
          </w:p>
        </w:tc>
        <w:tc>
          <w:tcPr>
            <w:tcW w:w="720" w:type="dxa"/>
            <w:shd w:val="clear" w:color="auto" w:fill="D9D9D9" w:themeFill="background1" w:themeFillShade="D9"/>
            <w:tcMar>
              <w:left w:w="58" w:type="dxa"/>
              <w:right w:w="58" w:type="dxa"/>
            </w:tcMar>
            <w:vAlign w:val="center"/>
          </w:tcPr>
          <w:p w:rsidRPr="00841662" w:rsidR="005775BA" w:rsidP="00BB1941" w:rsidRDefault="005775BA" w14:paraId="08D95F38" w14:textId="77777777">
            <w:pPr>
              <w:keepNext/>
              <w:keepLines/>
              <w:jc w:val="center"/>
              <w:rPr>
                <w:rFonts w:cs="Calibri"/>
                <w:sz w:val="21"/>
                <w:szCs w:val="21"/>
              </w:rPr>
            </w:pPr>
          </w:p>
        </w:tc>
      </w:tr>
      <w:tr w:rsidRPr="00841662" w:rsidR="00C671DA" w:rsidTr="00CA1FE1" w14:paraId="5DA48EF1" w14:textId="77777777">
        <w:tblPrEx>
          <w:jc w:val="left"/>
        </w:tblPrEx>
        <w:trPr>
          <w:trHeight w:val="170"/>
        </w:trPr>
        <w:tc>
          <w:tcPr>
            <w:tcW w:w="1975" w:type="dxa"/>
            <w:vMerge/>
            <w:shd w:val="clear" w:color="auto" w:fill="D9D9D9" w:themeFill="background1" w:themeFillShade="D9"/>
            <w:tcMar>
              <w:left w:w="58" w:type="dxa"/>
              <w:right w:w="58" w:type="dxa"/>
            </w:tcMar>
            <w:vAlign w:val="center"/>
          </w:tcPr>
          <w:p w:rsidRPr="00841662" w:rsidR="00C671DA" w:rsidP="00BB1941" w:rsidRDefault="00C671DA" w14:paraId="3BB3FFA4" w14:textId="77777777">
            <w:pPr>
              <w:keepNext/>
              <w:keepLines/>
              <w:rPr>
                <w:rFonts w:cstheme="minorHAnsi"/>
                <w:sz w:val="21"/>
                <w:szCs w:val="21"/>
                <w:u w:val="single"/>
              </w:rPr>
            </w:pPr>
          </w:p>
        </w:tc>
        <w:tc>
          <w:tcPr>
            <w:tcW w:w="1530" w:type="dxa"/>
            <w:vMerge/>
            <w:shd w:val="clear" w:color="auto" w:fill="D9D9D9" w:themeFill="background1" w:themeFillShade="D9"/>
            <w:tcMar>
              <w:left w:w="58" w:type="dxa"/>
              <w:right w:w="58" w:type="dxa"/>
            </w:tcMar>
            <w:vAlign w:val="center"/>
          </w:tcPr>
          <w:p w:rsidRPr="00841662" w:rsidR="00C671DA" w:rsidP="00BB1941" w:rsidRDefault="00C671DA" w14:paraId="0362FC31" w14:textId="77777777">
            <w:pPr>
              <w:keepNext/>
              <w:keepLines/>
              <w:rPr>
                <w:rFonts w:cstheme="minorHAnsi"/>
                <w:sz w:val="21"/>
                <w:szCs w:val="21"/>
              </w:rPr>
            </w:pPr>
          </w:p>
        </w:tc>
        <w:tc>
          <w:tcPr>
            <w:tcW w:w="5135" w:type="dxa"/>
            <w:shd w:val="clear" w:color="auto" w:fill="D9D9D9" w:themeFill="background1" w:themeFillShade="D9"/>
            <w:tcMar>
              <w:left w:w="58" w:type="dxa"/>
              <w:right w:w="58" w:type="dxa"/>
            </w:tcMar>
            <w:vAlign w:val="center"/>
          </w:tcPr>
          <w:p w:rsidRPr="00841662" w:rsidR="00C671DA" w:rsidP="00BB1941" w:rsidRDefault="00C671DA" w14:paraId="07718D77" w14:textId="7029C716">
            <w:pPr>
              <w:keepNext/>
              <w:keepLines/>
              <w:rPr>
                <w:rFonts w:cstheme="minorHAnsi"/>
                <w:sz w:val="21"/>
                <w:szCs w:val="21"/>
              </w:rPr>
            </w:pPr>
            <w:r w:rsidRPr="00841662">
              <w:rPr>
                <w:rFonts w:cstheme="minorHAnsi"/>
                <w:sz w:val="21"/>
                <w:szCs w:val="21"/>
              </w:rPr>
              <w:t>Emission reductions from voluntary action (mt CH</w:t>
            </w:r>
            <w:r w:rsidRPr="003B721A">
              <w:rPr>
                <w:rFonts w:cstheme="minorHAnsi"/>
                <w:sz w:val="21"/>
                <w:szCs w:val="21"/>
                <w:vertAlign w:val="subscript"/>
              </w:rPr>
              <w:t>4</w:t>
            </w:r>
            <w:r w:rsidRPr="00841662">
              <w:rPr>
                <w:rFonts w:cstheme="minorHAnsi"/>
                <w:sz w:val="21"/>
                <w:szCs w:val="21"/>
              </w:rPr>
              <w:t>)</w:t>
            </w:r>
          </w:p>
        </w:tc>
        <w:tc>
          <w:tcPr>
            <w:tcW w:w="720" w:type="dxa"/>
            <w:shd w:val="clear" w:color="auto" w:fill="D9D9D9" w:themeFill="background1" w:themeFillShade="D9"/>
            <w:tcMar>
              <w:left w:w="58" w:type="dxa"/>
              <w:right w:w="58" w:type="dxa"/>
            </w:tcMar>
            <w:vAlign w:val="center"/>
          </w:tcPr>
          <w:p w:rsidRPr="00841662" w:rsidR="00C671DA" w:rsidP="00BB1941" w:rsidRDefault="00C671DA" w14:paraId="2A4CC168" w14:textId="77777777">
            <w:pPr>
              <w:keepNext/>
              <w:keepLines/>
              <w:jc w:val="center"/>
              <w:rPr>
                <w:rFonts w:cs="Calibri"/>
                <w:sz w:val="21"/>
                <w:szCs w:val="21"/>
              </w:rPr>
            </w:pPr>
          </w:p>
        </w:tc>
      </w:tr>
    </w:tbl>
    <w:p w:rsidRPr="00C76707" w:rsidR="004971ED" w:rsidP="004971ED" w:rsidRDefault="005775BA" w14:paraId="30D6C658" w14:textId="76409E3B">
      <w:pPr>
        <w:rPr>
          <w:rFonts w:eastAsia="Calibri"/>
          <w:strike/>
        </w:rPr>
      </w:pPr>
      <w:r w:rsidRPr="00C76707">
        <w:rPr>
          <w:rFonts w:ascii="Calibri" w:hAnsi="Calibri" w:eastAsia="Calibri"/>
          <w:strike/>
        </w:rPr>
        <w:t xml:space="preserve"> </w:t>
      </w:r>
      <w:bookmarkStart w:name="_Toc431980567" w:id="34"/>
    </w:p>
    <w:p w:rsidR="0030161A" w:rsidP="00084222" w:rsidRDefault="00DD1159" w14:paraId="098CA1EE" w14:textId="5ED494C3">
      <w:pPr>
        <w:pStyle w:val="Heading2"/>
      </w:pPr>
      <w:r>
        <w:br w:type="page"/>
      </w:r>
    </w:p>
    <w:p w:rsidRPr="00B01543" w:rsidR="00B01543" w:rsidP="00084222" w:rsidRDefault="004D45B0" w14:paraId="798AE8FD" w14:textId="6F7A3764">
      <w:pPr>
        <w:pStyle w:val="Heading2"/>
      </w:pPr>
      <w:bookmarkStart w:name="_Ref67321362" w:id="35"/>
      <w:bookmarkStart w:name="_Toc67322588" w:id="36"/>
      <w:r>
        <w:lastRenderedPageBreak/>
        <w:t>Services – Cast Iron and U</w:t>
      </w:r>
      <w:r w:rsidRPr="00B01543" w:rsidR="00B01543">
        <w:t>nprotected Steel</w:t>
      </w:r>
      <w:bookmarkEnd w:id="34"/>
      <w:bookmarkEnd w:id="35"/>
      <w:bookmarkEnd w:id="36"/>
      <w:r w:rsidRPr="00B01543" w:rsidR="00B01543">
        <w:t xml:space="preserve"> </w:t>
      </w:r>
    </w:p>
    <w:p w:rsidRPr="009B0364" w:rsidR="00867CF3" w:rsidP="00867CF3" w:rsidRDefault="00867CF3" w14:paraId="6C55983E" w14:textId="77777777">
      <w:pPr>
        <w:rPr>
          <w:rFonts w:ascii="Calibri" w:hAnsi="Calibri" w:cs="Calibri"/>
          <w:szCs w:val="22"/>
          <w:u w:val="single"/>
        </w:rPr>
      </w:pPr>
      <w:r>
        <w:rPr>
          <w:rFonts w:ascii="Calibri" w:hAnsi="Calibri" w:cs="Calibri"/>
          <w:szCs w:val="22"/>
          <w:u w:val="single"/>
        </w:rPr>
        <w:t>Applicable Segments:</w:t>
      </w:r>
      <w:r w:rsidRPr="00053AA8">
        <w:rPr>
          <w:rFonts w:ascii="Calibri" w:hAnsi="Calibri" w:cs="Calibri"/>
          <w:szCs w:val="22"/>
        </w:rPr>
        <w:t xml:space="preserve"> </w:t>
      </w:r>
      <w:r>
        <w:rPr>
          <w:rFonts w:ascii="Calibri" w:hAnsi="Calibri" w:cs="Calibri"/>
          <w:szCs w:val="22"/>
        </w:rPr>
        <w:t>Distribution</w:t>
      </w:r>
    </w:p>
    <w:p w:rsidRPr="00B01543" w:rsidR="00B01543" w:rsidP="00834702" w:rsidRDefault="00B01543" w14:paraId="1D6B0275" w14:textId="3CEC94CA">
      <w:pPr>
        <w:rPr>
          <w:rFonts w:cstheme="minorHAnsi"/>
        </w:rPr>
      </w:pPr>
      <w:r w:rsidRPr="00B01543">
        <w:rPr>
          <w:rFonts w:cstheme="minorHAnsi"/>
          <w:szCs w:val="22"/>
          <w:u w:val="single"/>
        </w:rPr>
        <w:t>Source Description</w:t>
      </w:r>
      <w:r w:rsidRPr="00B01543">
        <w:rPr>
          <w:rFonts w:cstheme="minorHAnsi"/>
          <w:szCs w:val="22"/>
        </w:rPr>
        <w:t xml:space="preserve">: </w:t>
      </w:r>
      <w:r w:rsidRPr="00B01543">
        <w:rPr>
          <w:rFonts w:cstheme="minorHAnsi"/>
        </w:rPr>
        <w:t>A service line is a distribution line that transports gas from a common source of supply to (1) a customer meter or the connection to a customer's piping, whichever is farther downstream, or (2) the connection to a customer's piping if there is no customer meter. (A customer meter is the meter that measures the transfer of gas from an operator to a consumer.)</w:t>
      </w:r>
      <w:r w:rsidRPr="00B01543">
        <w:rPr>
          <w:rFonts w:cstheme="minorHAnsi"/>
          <w:vertAlign w:val="superscript"/>
        </w:rPr>
        <w:footnoteReference w:id="71"/>
      </w:r>
      <w:r w:rsidRPr="00B01543">
        <w:rPr>
          <w:rFonts w:cstheme="minorHAnsi"/>
        </w:rPr>
        <w:t xml:space="preserve"> This source covers cast iron and unprotected steel</w:t>
      </w:r>
      <w:r w:rsidR="00863708">
        <w:rPr>
          <w:rFonts w:cstheme="minorHAnsi"/>
        </w:rPr>
        <w:t xml:space="preserve"> </w:t>
      </w:r>
      <w:r w:rsidRPr="00B01543" w:rsidR="00863708">
        <w:rPr>
          <w:rFonts w:cstheme="minorHAnsi"/>
        </w:rPr>
        <w:t>services</w:t>
      </w:r>
      <w:r w:rsidR="00863708">
        <w:rPr>
          <w:rFonts w:cstheme="minorHAnsi"/>
        </w:rPr>
        <w:t>.</w:t>
      </w:r>
      <w:r w:rsidR="00863708">
        <w:rPr>
          <w:rStyle w:val="FootnoteReference"/>
          <w:rFonts w:cstheme="minorHAnsi"/>
        </w:rPr>
        <w:footnoteReference w:id="72"/>
      </w:r>
    </w:p>
    <w:p w:rsidRPr="00B01543" w:rsidR="00B01543" w:rsidP="00834702" w:rsidRDefault="00B01543" w14:paraId="09C78BDA" w14:textId="77777777">
      <w:pPr>
        <w:rPr>
          <w:rFonts w:cstheme="minorHAnsi"/>
          <w:szCs w:val="22"/>
        </w:rPr>
      </w:pPr>
      <w:r w:rsidRPr="00B01543">
        <w:rPr>
          <w:rFonts w:cstheme="minorHAnsi"/>
          <w:szCs w:val="22"/>
          <w:u w:val="single"/>
        </w:rPr>
        <w:t>Mitigation Options</w:t>
      </w:r>
      <w:r w:rsidRPr="00B01543">
        <w:rPr>
          <w:rFonts w:cstheme="minorHAnsi"/>
          <w:szCs w:val="22"/>
        </w:rPr>
        <w:t>:</w:t>
      </w:r>
    </w:p>
    <w:p w:rsidRPr="00B01543" w:rsidR="00B01543" w:rsidP="009C7875" w:rsidRDefault="00B01543" w14:paraId="474CD08F" w14:textId="6A832B24">
      <w:pPr>
        <w:numPr>
          <w:ilvl w:val="0"/>
          <w:numId w:val="9"/>
        </w:numPr>
        <w:contextualSpacing/>
        <w:rPr>
          <w:rFonts w:eastAsiaTheme="minorEastAsia" w:cstheme="minorHAnsi"/>
          <w:szCs w:val="22"/>
        </w:rPr>
      </w:pPr>
      <w:r w:rsidRPr="00B01543">
        <w:rPr>
          <w:rFonts w:ascii="Calibri" w:hAnsi="Calibri" w:eastAsia="Calibri" w:cstheme="minorBidi"/>
          <w:szCs w:val="22"/>
        </w:rPr>
        <w:t>Replace unprotected steel and cast iron services with copp</w:t>
      </w:r>
      <w:r w:rsidR="00097D9D">
        <w:rPr>
          <w:rFonts w:ascii="Calibri" w:hAnsi="Calibri" w:eastAsia="Calibri" w:cstheme="minorBidi"/>
          <w:szCs w:val="22"/>
        </w:rPr>
        <w:t>er, plastic, or protected steel</w:t>
      </w:r>
      <w:r w:rsidRPr="00B01543">
        <w:rPr>
          <w:rFonts w:ascii="Calibri" w:hAnsi="Calibri" w:eastAsia="Calibri" w:cstheme="minorBidi"/>
          <w:szCs w:val="22"/>
        </w:rPr>
        <w:t xml:space="preserve"> </w:t>
      </w:r>
      <w:r w:rsidR="00317554">
        <w:rPr>
          <w:rFonts w:ascii="Calibri" w:hAnsi="Calibri" w:eastAsia="Calibri" w:cstheme="minorBidi"/>
          <w:szCs w:val="22"/>
        </w:rPr>
        <w:t>that</w:t>
      </w:r>
      <w:r w:rsidRPr="00B01543">
        <w:rPr>
          <w:rFonts w:ascii="Calibri" w:hAnsi="Calibri" w:eastAsia="Calibri" w:cstheme="minorBidi"/>
          <w:szCs w:val="22"/>
        </w:rPr>
        <w:t xml:space="preserve"> meet </w:t>
      </w:r>
      <w:r w:rsidR="00317554">
        <w:rPr>
          <w:rFonts w:ascii="Calibri" w:hAnsi="Calibri" w:eastAsia="Calibri" w:cstheme="minorBidi"/>
          <w:szCs w:val="22"/>
        </w:rPr>
        <w:t xml:space="preserve">the </w:t>
      </w:r>
      <w:r w:rsidRPr="00B01543">
        <w:rPr>
          <w:rFonts w:ascii="Calibri" w:hAnsi="Calibri" w:eastAsia="Calibri" w:cstheme="minorBidi"/>
          <w:szCs w:val="22"/>
        </w:rPr>
        <w:t xml:space="preserve">manufacturing requirements and </w:t>
      </w:r>
      <w:r w:rsidR="00317554">
        <w:rPr>
          <w:rFonts w:ascii="Calibri" w:hAnsi="Calibri" w:eastAsia="Calibri" w:cstheme="minorBidi"/>
          <w:szCs w:val="22"/>
        </w:rPr>
        <w:t>qualifications</w:t>
      </w:r>
      <w:r w:rsidRPr="00B01543">
        <w:rPr>
          <w:rFonts w:ascii="Calibri" w:hAnsi="Calibri" w:eastAsia="Calibri" w:cstheme="minorBidi"/>
          <w:szCs w:val="22"/>
        </w:rPr>
        <w:t xml:space="preserve"> </w:t>
      </w:r>
      <w:r w:rsidR="00317554">
        <w:rPr>
          <w:rFonts w:ascii="Calibri" w:hAnsi="Calibri" w:eastAsia="Calibri" w:cstheme="minorBidi"/>
          <w:szCs w:val="22"/>
        </w:rPr>
        <w:t>provided in</w:t>
      </w:r>
      <w:r w:rsidRPr="00B01543" w:rsidR="00317554">
        <w:rPr>
          <w:rFonts w:ascii="Calibri" w:hAnsi="Calibri" w:eastAsia="Calibri" w:cstheme="minorBidi"/>
          <w:szCs w:val="22"/>
        </w:rPr>
        <w:t xml:space="preserve"> </w:t>
      </w:r>
      <w:r w:rsidRPr="00B01543">
        <w:rPr>
          <w:rFonts w:ascii="Calibri" w:hAnsi="Calibri" w:eastAsia="Calibri" w:cstheme="minorBidi"/>
          <w:szCs w:val="22"/>
        </w:rPr>
        <w:t>49 CFR Part 192, Subpart B</w:t>
      </w:r>
      <w:r w:rsidRPr="00B01543">
        <w:rPr>
          <w:rFonts w:ascii="Calibri" w:hAnsi="Calibri" w:eastAsia="Calibri" w:cstheme="minorBidi"/>
          <w:szCs w:val="22"/>
          <w:vertAlign w:val="superscript"/>
        </w:rPr>
        <w:footnoteReference w:id="73"/>
      </w:r>
      <w:r w:rsidR="00D16739">
        <w:rPr>
          <w:rFonts w:ascii="Calibri" w:hAnsi="Calibri" w:eastAsia="Calibri" w:cstheme="minorBidi"/>
          <w:szCs w:val="22"/>
        </w:rPr>
        <w:t>, or</w:t>
      </w:r>
    </w:p>
    <w:p w:rsidRPr="00B01543" w:rsidR="00B01543" w:rsidP="009C7875" w:rsidRDefault="00B01543" w14:paraId="68E9D7C9" w14:textId="624983B5">
      <w:pPr>
        <w:numPr>
          <w:ilvl w:val="0"/>
          <w:numId w:val="9"/>
        </w:numPr>
        <w:rPr>
          <w:rFonts w:ascii="Calibri" w:hAnsi="Calibri" w:cs="Calibri"/>
          <w:color w:val="000000"/>
          <w:szCs w:val="22"/>
        </w:rPr>
      </w:pPr>
      <w:r w:rsidRPr="00B01543">
        <w:rPr>
          <w:rFonts w:ascii="Calibri" w:hAnsi="Calibri" w:cs="Calibri"/>
          <w:color w:val="000000"/>
          <w:szCs w:val="22"/>
        </w:rPr>
        <w:t>Rehabilitate cast iron and unprotected steel services with plastic pipe inserts</w:t>
      </w:r>
      <w:r w:rsidR="00DC6ABA">
        <w:rPr>
          <w:rFonts w:ascii="Calibri" w:hAnsi="Calibri" w:cs="Calibri"/>
          <w:color w:val="000000"/>
          <w:szCs w:val="22"/>
        </w:rPr>
        <w:t xml:space="preserve"> or liners</w:t>
      </w:r>
      <w:r w:rsidRPr="00B01543">
        <w:rPr>
          <w:rFonts w:ascii="Calibri" w:hAnsi="Calibri" w:cs="Calibri"/>
          <w:color w:val="000000"/>
          <w:szCs w:val="22"/>
        </w:rPr>
        <w:t>.</w:t>
      </w:r>
    </w:p>
    <w:p w:rsidR="004E1907" w:rsidP="00834702" w:rsidRDefault="004E1907" w14:paraId="416D9006" w14:textId="2DFBD4CD">
      <w:pPr>
        <w:rPr>
          <w:rFonts w:ascii="Calibri" w:hAnsi="Calibri" w:cs="Calibri" w:eastAsiaTheme="minorEastAsia"/>
          <w:color w:val="000000"/>
          <w:szCs w:val="22"/>
        </w:rPr>
      </w:pPr>
      <w:r>
        <w:rPr>
          <w:rFonts w:ascii="Calibri" w:hAnsi="Calibri" w:cs="Calibri"/>
          <w:color w:val="000000"/>
          <w:szCs w:val="22"/>
        </w:rPr>
        <w:t>At a minimum, p</w:t>
      </w:r>
      <w:r w:rsidRPr="00293654">
        <w:rPr>
          <w:rFonts w:ascii="Calibri" w:hAnsi="Calibri" w:cs="Calibri"/>
          <w:color w:val="000000"/>
          <w:szCs w:val="22"/>
        </w:rPr>
        <w:t>artners commit to</w:t>
      </w:r>
      <w:r>
        <w:rPr>
          <w:rFonts w:ascii="Calibri" w:hAnsi="Calibri" w:cs="Calibri"/>
          <w:color w:val="000000"/>
          <w:szCs w:val="22"/>
        </w:rPr>
        <w:t xml:space="preserve"> r</w:t>
      </w:r>
      <w:r w:rsidRPr="000568E6">
        <w:rPr>
          <w:rFonts w:ascii="Calibri" w:hAnsi="Calibri" w:cs="Calibri" w:eastAsiaTheme="minorEastAsia"/>
          <w:color w:val="000000"/>
          <w:szCs w:val="22"/>
        </w:rPr>
        <w:t xml:space="preserve">eplace or rehabilitate cast iron and unprotected steel </w:t>
      </w:r>
      <w:r>
        <w:rPr>
          <w:rFonts w:ascii="Calibri" w:hAnsi="Calibri" w:cs="Calibri" w:eastAsiaTheme="minorEastAsia"/>
          <w:color w:val="000000"/>
          <w:szCs w:val="22"/>
        </w:rPr>
        <w:t>services</w:t>
      </w:r>
      <w:r w:rsidRPr="000568E6">
        <w:rPr>
          <w:rFonts w:ascii="Calibri" w:hAnsi="Calibri" w:cs="Calibri" w:eastAsiaTheme="minorEastAsia"/>
          <w:color w:val="000000"/>
          <w:szCs w:val="22"/>
        </w:rPr>
        <w:t xml:space="preserve"> </w:t>
      </w:r>
      <w:r>
        <w:rPr>
          <w:rFonts w:ascii="Calibri" w:hAnsi="Calibri" w:cs="Calibri" w:eastAsiaTheme="minorEastAsia"/>
          <w:color w:val="000000"/>
          <w:szCs w:val="22"/>
        </w:rPr>
        <w:t>when the main is replaced or rehabilitated.  Partners would be encouraged to specify any additional targeted replacement efforts beyond this practice.  Due to the linkage with mains, this source is not eligible for a stand-alone commitment, but can be selected as an optional addition for Partners that select the “</w:t>
      </w:r>
      <w:r w:rsidRPr="004E1907">
        <w:rPr>
          <w:rFonts w:ascii="Calibri" w:hAnsi="Calibri" w:cs="Calibri" w:eastAsiaTheme="minorEastAsia"/>
          <w:color w:val="000000"/>
          <w:szCs w:val="22"/>
        </w:rPr>
        <w:t>Mains – Cast Iron and Unprotected Steel</w:t>
      </w:r>
      <w:r>
        <w:rPr>
          <w:rFonts w:ascii="Calibri" w:hAnsi="Calibri" w:cs="Calibri" w:eastAsiaTheme="minorEastAsia"/>
          <w:color w:val="000000"/>
          <w:szCs w:val="22"/>
        </w:rPr>
        <w:t xml:space="preserve">” source category. </w:t>
      </w:r>
    </w:p>
    <w:p w:rsidR="00FB6529" w:rsidP="00834702" w:rsidRDefault="00FB6529" w14:paraId="53F22B33" w14:textId="115D9131">
      <w:pPr>
        <w:rPr>
          <w:rFonts w:ascii="Calibri" w:hAnsi="Calibri" w:cs="Calibri"/>
          <w:color w:val="000000"/>
          <w:szCs w:val="22"/>
        </w:rPr>
      </w:pPr>
      <w:r w:rsidRPr="00D66A3C">
        <w:rPr>
          <w:rFonts w:ascii="Calibri" w:hAnsi="Calibri" w:cs="Calibri"/>
          <w:color w:val="000000"/>
          <w:szCs w:val="22"/>
          <w:u w:val="single"/>
        </w:rPr>
        <w:t>Commitment Timeframe</w:t>
      </w:r>
      <w:r w:rsidRPr="00CE3AA8">
        <w:rPr>
          <w:rFonts w:ascii="Calibri" w:hAnsi="Calibri" w:cs="Calibri"/>
          <w:color w:val="000000"/>
          <w:szCs w:val="22"/>
        </w:rPr>
        <w:t>:</w:t>
      </w:r>
      <w:r>
        <w:rPr>
          <w:rFonts w:ascii="Calibri" w:hAnsi="Calibri" w:cs="Calibri"/>
          <w:color w:val="000000"/>
          <w:szCs w:val="22"/>
        </w:rPr>
        <w:t xml:space="preserve"> </w:t>
      </w:r>
      <w:r>
        <w:rPr>
          <w:rFonts w:ascii="Calibri" w:hAnsi="Calibri" w:cs="Calibri" w:eastAsiaTheme="minorEastAsia"/>
          <w:szCs w:val="22"/>
        </w:rPr>
        <w:t>P</w:t>
      </w:r>
      <w:r w:rsidRPr="003A4E80">
        <w:rPr>
          <w:rFonts w:ascii="Calibri" w:hAnsi="Calibri" w:cs="Calibri" w:eastAsiaTheme="minorEastAsia"/>
          <w:color w:val="000000"/>
          <w:szCs w:val="22"/>
        </w:rPr>
        <w:t xml:space="preserve">artners commit to </w:t>
      </w:r>
      <w:r w:rsidR="00BF0882">
        <w:rPr>
          <w:rFonts w:ascii="Calibri" w:hAnsi="Calibri" w:cs="Calibri" w:eastAsiaTheme="minorEastAsia"/>
          <w:color w:val="000000"/>
          <w:szCs w:val="22"/>
        </w:rPr>
        <w:t>adopt</w:t>
      </w:r>
      <w:r w:rsidRPr="003A4E80">
        <w:rPr>
          <w:rFonts w:ascii="Calibri" w:hAnsi="Calibri" w:cs="Calibri" w:eastAsiaTheme="minorEastAsia"/>
          <w:color w:val="000000"/>
          <w:szCs w:val="22"/>
        </w:rPr>
        <w:t xml:space="preserve"> the specified </w:t>
      </w:r>
      <w:r>
        <w:rPr>
          <w:rFonts w:ascii="Calibri" w:hAnsi="Calibri" w:cs="Calibri" w:eastAsiaTheme="minorEastAsia"/>
          <w:color w:val="000000"/>
          <w:szCs w:val="22"/>
        </w:rPr>
        <w:t>replacement or rehabilitation practice</w:t>
      </w:r>
      <w:r w:rsidRPr="003A4E80">
        <w:rPr>
          <w:rFonts w:ascii="Calibri" w:hAnsi="Calibri" w:cs="Calibri" w:eastAsiaTheme="minorEastAsia"/>
          <w:color w:val="000000"/>
          <w:szCs w:val="22"/>
        </w:rPr>
        <w:t xml:space="preserve"> </w:t>
      </w:r>
      <w:r>
        <w:rPr>
          <w:rFonts w:ascii="Calibri" w:hAnsi="Calibri" w:cs="Calibri" w:eastAsiaTheme="minorEastAsia"/>
          <w:color w:val="000000"/>
          <w:szCs w:val="22"/>
        </w:rPr>
        <w:t>by their designated commitment achievement date</w:t>
      </w:r>
      <w:r w:rsidRPr="00A808E0">
        <w:rPr>
          <w:rFonts w:ascii="Calibri" w:hAnsi="Calibri" w:cs="Calibri" w:eastAsiaTheme="minorEastAsia"/>
          <w:color w:val="000000"/>
          <w:szCs w:val="22"/>
        </w:rPr>
        <w:t>, not to exceed five (5) years from the commitment start date</w:t>
      </w:r>
      <w:r>
        <w:rPr>
          <w:rFonts w:ascii="Calibri" w:hAnsi="Calibri" w:cs="Calibri" w:eastAsiaTheme="minorEastAsia"/>
          <w:color w:val="000000"/>
          <w:szCs w:val="22"/>
        </w:rPr>
        <w:t>,</w:t>
      </w:r>
      <w:r w:rsidRPr="003A4E80">
        <w:rPr>
          <w:rFonts w:eastAsiaTheme="minorEastAsia" w:cstheme="minorBidi"/>
          <w:szCs w:val="22"/>
        </w:rPr>
        <w:t xml:space="preserve"> </w:t>
      </w:r>
      <w:r w:rsidRPr="003A4E80">
        <w:rPr>
          <w:rFonts w:ascii="Calibri" w:hAnsi="Calibri" w:cs="Calibri" w:eastAsiaTheme="minorEastAsia"/>
          <w:color w:val="000000"/>
          <w:szCs w:val="22"/>
        </w:rPr>
        <w:t>and maintain</w:t>
      </w:r>
      <w:r w:rsidR="00BF0882">
        <w:rPr>
          <w:rFonts w:ascii="Calibri" w:hAnsi="Calibri" w:cs="Calibri" w:eastAsiaTheme="minorEastAsia"/>
          <w:color w:val="000000"/>
          <w:szCs w:val="22"/>
        </w:rPr>
        <w:t xml:space="preserve"> that practice</w:t>
      </w:r>
      <w:r w:rsidRPr="003A4E80">
        <w:rPr>
          <w:rFonts w:ascii="Calibri" w:hAnsi="Calibri" w:cs="Calibri" w:eastAsiaTheme="minorEastAsia"/>
          <w:color w:val="000000"/>
          <w:szCs w:val="22"/>
        </w:rPr>
        <w:t xml:space="preserve"> moving forward.</w:t>
      </w:r>
    </w:p>
    <w:p w:rsidRPr="00BC4528" w:rsidR="00B01543" w:rsidP="00834702" w:rsidRDefault="00B01543" w14:paraId="2B52A07C" w14:textId="0366494B">
      <w:pPr>
        <w:rPr>
          <w:rFonts w:ascii="Calibri" w:hAnsi="Calibri" w:cs="Calibri" w:eastAsiaTheme="minorEastAsia"/>
          <w:color w:val="000000"/>
          <w:szCs w:val="22"/>
        </w:rPr>
      </w:pPr>
      <w:r w:rsidRPr="00BC4528">
        <w:rPr>
          <w:rFonts w:cstheme="minorHAnsi"/>
          <w:u w:val="single"/>
        </w:rPr>
        <w:t>Reporting:</w:t>
      </w:r>
    </w:p>
    <w:tbl>
      <w:tblPr>
        <w:tblStyle w:val="TableGrid642"/>
        <w:tblW w:w="9360" w:type="dxa"/>
        <w:jc w:val="center"/>
        <w:tblLayout w:type="fixed"/>
        <w:tblCellMar>
          <w:left w:w="43" w:type="dxa"/>
          <w:right w:w="43" w:type="dxa"/>
        </w:tblCellMar>
        <w:tblLook w:val="04A0" w:firstRow="1" w:lastRow="0" w:firstColumn="1" w:lastColumn="0" w:noHBand="0" w:noVBand="1"/>
        <w:tblDescription w:val="Reporting for Unprotected Steel and Cast Iron Services"/>
      </w:tblPr>
      <w:tblGrid>
        <w:gridCol w:w="1795"/>
        <w:gridCol w:w="1620"/>
        <w:gridCol w:w="5225"/>
        <w:gridCol w:w="720"/>
      </w:tblGrid>
      <w:tr w:rsidRPr="00841662" w:rsidR="00856129" w:rsidTr="005F56CB" w14:paraId="2F1903D3" w14:textId="77777777">
        <w:trPr>
          <w:tblHeader/>
          <w:jc w:val="center"/>
        </w:trPr>
        <w:tc>
          <w:tcPr>
            <w:tcW w:w="1795" w:type="dxa"/>
            <w:tcBorders>
              <w:bottom w:val="single" w:color="auto" w:sz="4" w:space="0"/>
            </w:tcBorders>
            <w:shd w:val="clear" w:color="auto" w:fill="A6A6A6" w:themeFill="background1" w:themeFillShade="A6"/>
            <w:tcMar>
              <w:left w:w="58" w:type="dxa"/>
              <w:right w:w="58" w:type="dxa"/>
            </w:tcMar>
          </w:tcPr>
          <w:p w:rsidRPr="00841662" w:rsidR="00856129" w:rsidP="000A31F2" w:rsidRDefault="00856129" w14:paraId="013B8B2E" w14:textId="77777777">
            <w:pPr>
              <w:rPr>
                <w:rFonts w:cs="Calibri"/>
                <w:b/>
                <w:sz w:val="20"/>
                <w:szCs w:val="21"/>
              </w:rPr>
            </w:pPr>
            <w:r w:rsidRPr="00841662">
              <w:rPr>
                <w:rFonts w:cs="Calibri"/>
                <w:b/>
                <w:sz w:val="20"/>
                <w:szCs w:val="21"/>
              </w:rPr>
              <w:t>Emission Source</w:t>
            </w:r>
          </w:p>
        </w:tc>
        <w:tc>
          <w:tcPr>
            <w:tcW w:w="1620" w:type="dxa"/>
            <w:tcBorders>
              <w:bottom w:val="single" w:color="auto" w:sz="4" w:space="0"/>
            </w:tcBorders>
            <w:shd w:val="clear" w:color="auto" w:fill="A6A6A6" w:themeFill="background1" w:themeFillShade="A6"/>
            <w:tcMar>
              <w:left w:w="58" w:type="dxa"/>
              <w:right w:w="58" w:type="dxa"/>
            </w:tcMar>
          </w:tcPr>
          <w:p w:rsidRPr="00841662" w:rsidR="00856129" w:rsidP="000A31F2" w:rsidRDefault="00856129" w14:paraId="64570E58" w14:textId="77777777">
            <w:pPr>
              <w:rPr>
                <w:rFonts w:cs="Calibri"/>
                <w:b/>
                <w:sz w:val="20"/>
                <w:szCs w:val="21"/>
              </w:rPr>
            </w:pPr>
            <w:r w:rsidRPr="00841662">
              <w:rPr>
                <w:rFonts w:cs="Calibri"/>
                <w:b/>
                <w:sz w:val="20"/>
                <w:szCs w:val="21"/>
              </w:rPr>
              <w:t xml:space="preserve">Quantification Method </w:t>
            </w:r>
            <w:r w:rsidRPr="00841662">
              <w:rPr>
                <w:rFonts w:cs="Calibri"/>
                <w:b/>
                <w:sz w:val="20"/>
                <w:szCs w:val="21"/>
                <w:vertAlign w:val="superscript"/>
              </w:rPr>
              <w:footnoteReference w:id="74"/>
            </w:r>
          </w:p>
        </w:tc>
        <w:tc>
          <w:tcPr>
            <w:tcW w:w="5225" w:type="dxa"/>
            <w:tcBorders>
              <w:bottom w:val="single" w:color="auto" w:sz="4" w:space="0"/>
            </w:tcBorders>
            <w:shd w:val="clear" w:color="auto" w:fill="A6A6A6" w:themeFill="background1" w:themeFillShade="A6"/>
            <w:tcMar>
              <w:left w:w="58" w:type="dxa"/>
              <w:right w:w="58" w:type="dxa"/>
            </w:tcMar>
          </w:tcPr>
          <w:p w:rsidRPr="00841662" w:rsidR="00856129" w:rsidP="000A31F2" w:rsidRDefault="00856129" w14:paraId="7ACE2D5E" w14:textId="6E299304">
            <w:pPr>
              <w:rPr>
                <w:rFonts w:cs="Calibri"/>
                <w:b/>
                <w:sz w:val="20"/>
                <w:szCs w:val="21"/>
              </w:rPr>
            </w:pPr>
            <w:r w:rsidRPr="00A6540C">
              <w:rPr>
                <w:rFonts w:cs="Calibri"/>
                <w:b/>
                <w:sz w:val="20"/>
                <w:szCs w:val="21"/>
              </w:rPr>
              <w:t>Data Elements Collected via Facility-Level Reporting</w:t>
            </w:r>
          </w:p>
        </w:tc>
        <w:tc>
          <w:tcPr>
            <w:tcW w:w="720" w:type="dxa"/>
            <w:tcBorders>
              <w:bottom w:val="single" w:color="auto" w:sz="4" w:space="0"/>
            </w:tcBorders>
            <w:shd w:val="clear" w:color="auto" w:fill="A6A6A6" w:themeFill="background1" w:themeFillShade="A6"/>
            <w:tcMar>
              <w:left w:w="0" w:type="dxa"/>
              <w:right w:w="0" w:type="dxa"/>
            </w:tcMar>
          </w:tcPr>
          <w:p w:rsidRPr="00841662" w:rsidR="00856129" w:rsidP="000A31F2" w:rsidRDefault="00856129" w14:paraId="52AF6DED" w14:textId="4D6307F5">
            <w:pPr>
              <w:contextualSpacing/>
              <w:rPr>
                <w:rFonts w:cs="Calibri"/>
                <w:b/>
                <w:sz w:val="20"/>
                <w:szCs w:val="21"/>
              </w:rPr>
            </w:pPr>
            <w:r w:rsidRPr="00841662">
              <w:rPr>
                <w:rFonts w:cs="Calibri"/>
                <w:b/>
                <w:sz w:val="20"/>
                <w:szCs w:val="21"/>
              </w:rPr>
              <w:t>GHGRP</w:t>
            </w:r>
          </w:p>
        </w:tc>
      </w:tr>
      <w:tr w:rsidRPr="00841662" w:rsidR="001E0D5D" w:rsidTr="005F56CB" w14:paraId="68CF47A2" w14:textId="77777777">
        <w:trPr>
          <w:trHeight w:val="278"/>
          <w:jc w:val="center"/>
        </w:trPr>
        <w:tc>
          <w:tcPr>
            <w:tcW w:w="1795" w:type="dxa"/>
            <w:vMerge w:val="restart"/>
            <w:shd w:val="clear" w:color="auto" w:fill="auto"/>
            <w:tcMar>
              <w:left w:w="58" w:type="dxa"/>
              <w:right w:w="58" w:type="dxa"/>
            </w:tcMar>
          </w:tcPr>
          <w:p w:rsidRPr="00841662" w:rsidR="001E0D5D" w:rsidP="001B0DB3" w:rsidRDefault="001E0D5D" w14:paraId="3C5F6D8D" w14:textId="1EA0849D">
            <w:pPr>
              <w:rPr>
                <w:rFonts w:cs="Calibri"/>
                <w:sz w:val="21"/>
                <w:szCs w:val="21"/>
              </w:rPr>
            </w:pPr>
            <w:r w:rsidRPr="00841662">
              <w:rPr>
                <w:rFonts w:cs="Calibri"/>
                <w:sz w:val="21"/>
                <w:szCs w:val="21"/>
              </w:rPr>
              <w:t>Distribution services - cast iron - gas service</w:t>
            </w:r>
          </w:p>
        </w:tc>
        <w:tc>
          <w:tcPr>
            <w:tcW w:w="1620" w:type="dxa"/>
            <w:shd w:val="clear" w:color="auto" w:fill="auto"/>
            <w:tcMar>
              <w:left w:w="58" w:type="dxa"/>
              <w:right w:w="58" w:type="dxa"/>
            </w:tcMar>
            <w:vAlign w:val="center"/>
          </w:tcPr>
          <w:p w:rsidRPr="00841662" w:rsidR="001E0D5D" w:rsidP="001D4009" w:rsidRDefault="00554865" w14:paraId="33FA9CD4" w14:textId="41418B29">
            <w:pPr>
              <w:rPr>
                <w:rFonts w:cs="Calibri"/>
                <w:sz w:val="21"/>
                <w:szCs w:val="21"/>
              </w:rPr>
            </w:pPr>
            <w:r>
              <w:rPr>
                <w:rFonts w:cs="Calibri"/>
                <w:sz w:val="21"/>
                <w:szCs w:val="21"/>
              </w:rPr>
              <w:t>N</w:t>
            </w:r>
            <w:r w:rsidR="001E0D5D">
              <w:rPr>
                <w:rFonts w:cs="Calibri"/>
                <w:sz w:val="21"/>
                <w:szCs w:val="21"/>
              </w:rPr>
              <w:t>A</w:t>
            </w:r>
          </w:p>
        </w:tc>
        <w:tc>
          <w:tcPr>
            <w:tcW w:w="5225" w:type="dxa"/>
            <w:shd w:val="clear" w:color="auto" w:fill="auto"/>
            <w:tcMar>
              <w:left w:w="58" w:type="dxa"/>
              <w:right w:w="58" w:type="dxa"/>
            </w:tcMar>
            <w:vAlign w:val="center"/>
          </w:tcPr>
          <w:p w:rsidRPr="00841662" w:rsidR="001E0D5D" w:rsidP="001D4009" w:rsidRDefault="001E0D5D" w14:paraId="305F4C5B" w14:textId="5C1426C3">
            <w:pPr>
              <w:contextualSpacing/>
              <w:rPr>
                <w:rFonts w:cs="Calibri"/>
                <w:sz w:val="21"/>
                <w:szCs w:val="21"/>
              </w:rPr>
            </w:pPr>
            <w:r>
              <w:rPr>
                <w:rFonts w:cs="Calibri"/>
                <w:sz w:val="21"/>
                <w:szCs w:val="21"/>
              </w:rPr>
              <w:t xml:space="preserve">Initial number of cast iron </w:t>
            </w:r>
            <w:r w:rsidR="008817A4">
              <w:rPr>
                <w:rFonts w:cs="Calibri"/>
                <w:sz w:val="21"/>
                <w:szCs w:val="21"/>
              </w:rPr>
              <w:t>services</w:t>
            </w:r>
            <w:r>
              <w:rPr>
                <w:rFonts w:cs="Calibri"/>
                <w:sz w:val="21"/>
                <w:szCs w:val="21"/>
              </w:rPr>
              <w:t xml:space="preserve"> as of January 1 of the </w:t>
            </w:r>
            <w:r w:rsidR="005039B3">
              <w:rPr>
                <w:rFonts w:cs="Calibri"/>
                <w:sz w:val="21"/>
                <w:szCs w:val="21"/>
              </w:rPr>
              <w:t xml:space="preserve">first </w:t>
            </w:r>
            <w:r>
              <w:rPr>
                <w:rFonts w:cs="Calibri"/>
                <w:sz w:val="21"/>
                <w:szCs w:val="21"/>
              </w:rPr>
              <w:t xml:space="preserve">year of </w:t>
            </w:r>
            <w:r w:rsidR="005039B3">
              <w:rPr>
                <w:rFonts w:cs="Calibri"/>
                <w:sz w:val="21"/>
                <w:szCs w:val="21"/>
              </w:rPr>
              <w:t xml:space="preserve">current </w:t>
            </w:r>
            <w:r>
              <w:rPr>
                <w:rFonts w:cs="Calibri"/>
                <w:sz w:val="21"/>
                <w:szCs w:val="21"/>
              </w:rPr>
              <w:t>commitment</w:t>
            </w:r>
            <w:r w:rsidR="000441AF">
              <w:rPr>
                <w:rStyle w:val="FootnoteReference"/>
                <w:rFonts w:cs="Calibri"/>
                <w:sz w:val="21"/>
                <w:szCs w:val="21"/>
              </w:rPr>
              <w:footnoteReference w:id="75"/>
            </w:r>
          </w:p>
        </w:tc>
        <w:tc>
          <w:tcPr>
            <w:tcW w:w="720" w:type="dxa"/>
            <w:shd w:val="clear" w:color="auto" w:fill="auto"/>
            <w:tcMar>
              <w:left w:w="58" w:type="dxa"/>
              <w:right w:w="58" w:type="dxa"/>
            </w:tcMar>
            <w:vAlign w:val="center"/>
          </w:tcPr>
          <w:p w:rsidRPr="00841662" w:rsidR="001E0D5D" w:rsidP="001D4009" w:rsidRDefault="001E0D5D" w14:paraId="530102A5" w14:textId="77777777">
            <w:pPr>
              <w:contextualSpacing/>
              <w:jc w:val="center"/>
              <w:rPr>
                <w:rFonts w:cs="Calibri"/>
                <w:sz w:val="21"/>
                <w:szCs w:val="21"/>
              </w:rPr>
            </w:pPr>
          </w:p>
        </w:tc>
      </w:tr>
      <w:tr w:rsidRPr="00841662" w:rsidR="001E0D5D" w:rsidTr="005F56CB" w14:paraId="26EC2EFE" w14:textId="77777777">
        <w:trPr>
          <w:trHeight w:val="530"/>
          <w:jc w:val="center"/>
        </w:trPr>
        <w:tc>
          <w:tcPr>
            <w:tcW w:w="1795" w:type="dxa"/>
            <w:vMerge/>
            <w:shd w:val="clear" w:color="auto" w:fill="auto"/>
            <w:tcMar>
              <w:left w:w="58" w:type="dxa"/>
              <w:right w:w="58" w:type="dxa"/>
            </w:tcMar>
          </w:tcPr>
          <w:p w:rsidRPr="00841662" w:rsidR="001E0D5D" w:rsidP="001B0DB3" w:rsidRDefault="001E0D5D" w14:paraId="6DB4909D" w14:textId="4A89AC37">
            <w:pPr>
              <w:rPr>
                <w:rFonts w:cs="Calibri"/>
                <w:sz w:val="21"/>
                <w:szCs w:val="21"/>
              </w:rPr>
            </w:pPr>
          </w:p>
        </w:tc>
        <w:tc>
          <w:tcPr>
            <w:tcW w:w="1620" w:type="dxa"/>
            <w:vMerge w:val="restart"/>
            <w:shd w:val="clear" w:color="auto" w:fill="auto"/>
            <w:tcMar>
              <w:left w:w="58" w:type="dxa"/>
              <w:right w:w="58" w:type="dxa"/>
            </w:tcMar>
            <w:vAlign w:val="center"/>
          </w:tcPr>
          <w:p w:rsidRPr="00841662" w:rsidR="001E0D5D" w:rsidP="001D4009" w:rsidRDefault="007C2C53" w14:paraId="431CC481" w14:textId="4E5B135F">
            <w:pPr>
              <w:rPr>
                <w:rFonts w:cs="Calibri"/>
                <w:sz w:val="21"/>
                <w:szCs w:val="21"/>
              </w:rPr>
            </w:pPr>
            <w:r w:rsidRPr="00841662">
              <w:rPr>
                <w:rFonts w:cs="Calibri"/>
                <w:sz w:val="21"/>
                <w:szCs w:val="21"/>
              </w:rPr>
              <w:t xml:space="preserve">Subpart W </w:t>
            </w:r>
            <w:r w:rsidR="00E5209C">
              <w:rPr>
                <w:rFonts w:cs="Calibri"/>
                <w:sz w:val="21"/>
                <w:szCs w:val="21"/>
              </w:rPr>
              <w:t>U</w:t>
            </w:r>
            <w:r w:rsidRPr="00841662" w:rsidR="001E0D5D">
              <w:rPr>
                <w:rFonts w:cs="Calibri"/>
                <w:sz w:val="21"/>
                <w:szCs w:val="21"/>
              </w:rPr>
              <w:t>nprotected steel services EF</w:t>
            </w:r>
            <w:r w:rsidR="001E0D5D">
              <w:rPr>
                <w:rStyle w:val="FootnoteReference"/>
                <w:rFonts w:cs="Calibri"/>
                <w:sz w:val="21"/>
                <w:szCs w:val="21"/>
              </w:rPr>
              <w:footnoteReference w:id="76"/>
            </w:r>
            <w:r w:rsidRPr="00841662" w:rsidR="001E0D5D">
              <w:rPr>
                <w:rFonts w:cs="Calibri"/>
                <w:sz w:val="21"/>
                <w:szCs w:val="21"/>
              </w:rPr>
              <w:t xml:space="preserve"> </w:t>
            </w:r>
          </w:p>
        </w:tc>
        <w:tc>
          <w:tcPr>
            <w:tcW w:w="5225" w:type="dxa"/>
            <w:shd w:val="clear" w:color="auto" w:fill="auto"/>
            <w:tcMar>
              <w:left w:w="58" w:type="dxa"/>
              <w:right w:w="58" w:type="dxa"/>
            </w:tcMar>
            <w:vAlign w:val="center"/>
          </w:tcPr>
          <w:p w:rsidRPr="00841662" w:rsidR="001E0D5D" w:rsidP="001D4009" w:rsidRDefault="001E0D5D" w14:paraId="41AB713D" w14:textId="77777777">
            <w:pPr>
              <w:contextualSpacing/>
              <w:rPr>
                <w:rFonts w:cs="Calibri"/>
                <w:sz w:val="21"/>
                <w:szCs w:val="21"/>
              </w:rPr>
            </w:pPr>
            <w:r w:rsidRPr="00841662">
              <w:rPr>
                <w:rFonts w:cs="Calibri"/>
                <w:sz w:val="21"/>
                <w:szCs w:val="21"/>
              </w:rPr>
              <w:t>Total number of cast iron services</w:t>
            </w:r>
          </w:p>
        </w:tc>
        <w:tc>
          <w:tcPr>
            <w:tcW w:w="720" w:type="dxa"/>
            <w:shd w:val="clear" w:color="auto" w:fill="auto"/>
            <w:tcMar>
              <w:left w:w="58" w:type="dxa"/>
              <w:right w:w="58" w:type="dxa"/>
            </w:tcMar>
            <w:vAlign w:val="center"/>
          </w:tcPr>
          <w:p w:rsidRPr="00841662" w:rsidR="001E0D5D" w:rsidP="001D4009" w:rsidRDefault="001E0D5D" w14:paraId="69240BF9" w14:textId="77777777">
            <w:pPr>
              <w:contextualSpacing/>
              <w:jc w:val="center"/>
              <w:rPr>
                <w:rFonts w:cs="Calibri"/>
                <w:sz w:val="21"/>
                <w:szCs w:val="21"/>
              </w:rPr>
            </w:pPr>
          </w:p>
        </w:tc>
      </w:tr>
      <w:tr w:rsidRPr="00841662" w:rsidR="001E0D5D" w:rsidTr="005F56CB" w14:paraId="3055DD41" w14:textId="77777777">
        <w:trPr>
          <w:trHeight w:val="512"/>
          <w:jc w:val="center"/>
        </w:trPr>
        <w:tc>
          <w:tcPr>
            <w:tcW w:w="1795" w:type="dxa"/>
            <w:vMerge/>
            <w:shd w:val="clear" w:color="auto" w:fill="auto"/>
            <w:tcMar>
              <w:left w:w="58" w:type="dxa"/>
              <w:right w:w="58" w:type="dxa"/>
            </w:tcMar>
          </w:tcPr>
          <w:p w:rsidRPr="00841662" w:rsidR="001E0D5D" w:rsidP="00740134" w:rsidRDefault="001E0D5D" w14:paraId="4DD39074" w14:textId="77777777">
            <w:pPr>
              <w:rPr>
                <w:rFonts w:cs="Calibri"/>
                <w:sz w:val="21"/>
                <w:szCs w:val="21"/>
              </w:rPr>
            </w:pPr>
          </w:p>
        </w:tc>
        <w:tc>
          <w:tcPr>
            <w:tcW w:w="1620" w:type="dxa"/>
            <w:vMerge/>
            <w:shd w:val="clear" w:color="auto" w:fill="auto"/>
            <w:tcMar>
              <w:left w:w="58" w:type="dxa"/>
              <w:right w:w="58" w:type="dxa"/>
            </w:tcMar>
            <w:vAlign w:val="center"/>
          </w:tcPr>
          <w:p w:rsidRPr="00841662" w:rsidR="001E0D5D" w:rsidP="00740134" w:rsidRDefault="001E0D5D" w14:paraId="4859853C" w14:textId="77777777">
            <w:pPr>
              <w:rPr>
                <w:rFonts w:cs="Calibri"/>
                <w:sz w:val="21"/>
                <w:szCs w:val="21"/>
              </w:rPr>
            </w:pPr>
          </w:p>
        </w:tc>
        <w:tc>
          <w:tcPr>
            <w:tcW w:w="5225" w:type="dxa"/>
            <w:shd w:val="clear" w:color="auto" w:fill="auto"/>
            <w:tcMar>
              <w:left w:w="58" w:type="dxa"/>
              <w:right w:w="58" w:type="dxa"/>
            </w:tcMar>
            <w:vAlign w:val="center"/>
          </w:tcPr>
          <w:p w:rsidRPr="00841662" w:rsidR="001E0D5D" w:rsidP="00740134" w:rsidRDefault="001E0D5D" w14:paraId="2D59397F" w14:textId="77777777">
            <w:pPr>
              <w:contextualSpacing/>
              <w:rPr>
                <w:rFonts w:cs="Calibri"/>
                <w:sz w:val="21"/>
                <w:szCs w:val="21"/>
              </w:rPr>
            </w:pPr>
            <w:r w:rsidRPr="00841662">
              <w:rPr>
                <w:rFonts w:cs="Calibri"/>
                <w:sz w:val="21"/>
                <w:szCs w:val="21"/>
              </w:rPr>
              <w:t>Annual CH</w:t>
            </w:r>
            <w:r w:rsidRPr="00841662">
              <w:rPr>
                <w:rFonts w:cs="Calibri"/>
                <w:sz w:val="21"/>
                <w:szCs w:val="21"/>
                <w:vertAlign w:val="subscript"/>
              </w:rPr>
              <w:t>4</w:t>
            </w:r>
            <w:r w:rsidRPr="00841662">
              <w:rPr>
                <w:rFonts w:cs="Calibri"/>
                <w:sz w:val="21"/>
                <w:szCs w:val="21"/>
              </w:rPr>
              <w:t xml:space="preserve"> emissions (mt CH</w:t>
            </w:r>
            <w:r w:rsidRPr="00841662">
              <w:rPr>
                <w:rFonts w:cs="Calibri"/>
                <w:sz w:val="21"/>
                <w:szCs w:val="21"/>
                <w:vertAlign w:val="subscript"/>
              </w:rPr>
              <w:t>4</w:t>
            </w:r>
            <w:r w:rsidRPr="00841662">
              <w:rPr>
                <w:rFonts w:cs="Calibri"/>
                <w:sz w:val="21"/>
                <w:szCs w:val="21"/>
              </w:rPr>
              <w:t>)</w:t>
            </w:r>
          </w:p>
        </w:tc>
        <w:tc>
          <w:tcPr>
            <w:tcW w:w="720" w:type="dxa"/>
            <w:shd w:val="clear" w:color="auto" w:fill="auto"/>
            <w:tcMar>
              <w:left w:w="58" w:type="dxa"/>
              <w:right w:w="58" w:type="dxa"/>
            </w:tcMar>
            <w:vAlign w:val="center"/>
          </w:tcPr>
          <w:p w:rsidRPr="00841662" w:rsidR="001E0D5D" w:rsidP="00740134" w:rsidRDefault="001E0D5D" w14:paraId="52FF89CA" w14:textId="77777777">
            <w:pPr>
              <w:contextualSpacing/>
              <w:jc w:val="center"/>
              <w:rPr>
                <w:rFonts w:cs="Calibri"/>
                <w:sz w:val="21"/>
                <w:szCs w:val="21"/>
              </w:rPr>
            </w:pPr>
          </w:p>
        </w:tc>
      </w:tr>
      <w:tr w:rsidRPr="00841662" w:rsidR="00DD142E" w:rsidTr="005F56CB" w14:paraId="7B11CB9F" w14:textId="77777777">
        <w:tblPrEx>
          <w:jc w:val="left"/>
        </w:tblPrEx>
        <w:trPr>
          <w:trHeight w:val="458"/>
        </w:trPr>
        <w:tc>
          <w:tcPr>
            <w:tcW w:w="1795" w:type="dxa"/>
            <w:vMerge w:val="restart"/>
            <w:shd w:val="clear" w:color="auto" w:fill="D9D9D9" w:themeFill="background1" w:themeFillShade="D9"/>
            <w:tcMar>
              <w:left w:w="58" w:type="dxa"/>
              <w:right w:w="58" w:type="dxa"/>
            </w:tcMar>
          </w:tcPr>
          <w:p w:rsidRPr="00841662" w:rsidR="00DD142E" w:rsidP="001B0DB3" w:rsidRDefault="00DD142E" w14:paraId="6915DC67" w14:textId="4F46F7F8">
            <w:pPr>
              <w:rPr>
                <w:rFonts w:cs="Calibri"/>
                <w:sz w:val="21"/>
                <w:szCs w:val="21"/>
              </w:rPr>
            </w:pPr>
            <w:r w:rsidRPr="00841662">
              <w:rPr>
                <w:rFonts w:cs="Calibri"/>
                <w:sz w:val="21"/>
                <w:szCs w:val="21"/>
              </w:rPr>
              <w:lastRenderedPageBreak/>
              <w:t xml:space="preserve">Distribution </w:t>
            </w:r>
            <w:r w:rsidRPr="00841662" w:rsidR="00D50935">
              <w:rPr>
                <w:rFonts w:cs="Calibri"/>
                <w:sz w:val="21"/>
                <w:szCs w:val="21"/>
              </w:rPr>
              <w:t>s</w:t>
            </w:r>
            <w:r w:rsidRPr="00841662">
              <w:rPr>
                <w:rFonts w:cs="Calibri"/>
                <w:sz w:val="21"/>
                <w:szCs w:val="21"/>
              </w:rPr>
              <w:t xml:space="preserve">ervices - </w:t>
            </w:r>
            <w:r w:rsidRPr="00841662" w:rsidR="00D50935">
              <w:rPr>
                <w:rFonts w:cs="Calibri"/>
                <w:sz w:val="21"/>
                <w:szCs w:val="21"/>
              </w:rPr>
              <w:t>c</w:t>
            </w:r>
            <w:r w:rsidRPr="00841662">
              <w:rPr>
                <w:rFonts w:cs="Calibri"/>
                <w:sz w:val="21"/>
                <w:szCs w:val="21"/>
              </w:rPr>
              <w:t xml:space="preserve">opper - </w:t>
            </w:r>
            <w:r w:rsidRPr="00841662" w:rsidR="00D50935">
              <w:rPr>
                <w:rFonts w:cs="Calibri"/>
                <w:sz w:val="21"/>
                <w:szCs w:val="21"/>
              </w:rPr>
              <w:t>g</w:t>
            </w:r>
            <w:r w:rsidRPr="00841662">
              <w:rPr>
                <w:rFonts w:cs="Calibri"/>
                <w:sz w:val="21"/>
                <w:szCs w:val="21"/>
              </w:rPr>
              <w:t xml:space="preserve">as </w:t>
            </w:r>
            <w:r w:rsidRPr="00841662" w:rsidR="00D50935">
              <w:rPr>
                <w:rFonts w:cs="Calibri"/>
                <w:sz w:val="21"/>
                <w:szCs w:val="21"/>
              </w:rPr>
              <w:t>s</w:t>
            </w:r>
            <w:r w:rsidRPr="00841662">
              <w:rPr>
                <w:rFonts w:cs="Calibri"/>
                <w:sz w:val="21"/>
                <w:szCs w:val="21"/>
              </w:rPr>
              <w:t>ervice</w:t>
            </w:r>
          </w:p>
        </w:tc>
        <w:tc>
          <w:tcPr>
            <w:tcW w:w="1620" w:type="dxa"/>
            <w:vMerge w:val="restart"/>
            <w:shd w:val="clear" w:color="auto" w:fill="D9D9D9" w:themeFill="background1" w:themeFillShade="D9"/>
            <w:tcMar>
              <w:left w:w="58" w:type="dxa"/>
              <w:right w:w="58" w:type="dxa"/>
            </w:tcMar>
            <w:vAlign w:val="center"/>
          </w:tcPr>
          <w:p w:rsidRPr="00841662" w:rsidR="00DD142E" w:rsidP="001D4009" w:rsidRDefault="007C2C53" w14:paraId="06B55ACD" w14:textId="2CD7880A">
            <w:pPr>
              <w:rPr>
                <w:rFonts w:cs="Calibri"/>
                <w:sz w:val="21"/>
                <w:szCs w:val="21"/>
              </w:rPr>
            </w:pPr>
            <w:r w:rsidRPr="00841662">
              <w:rPr>
                <w:rFonts w:cs="Calibri"/>
                <w:sz w:val="21"/>
                <w:szCs w:val="21"/>
              </w:rPr>
              <w:t xml:space="preserve">Subpart W </w:t>
            </w:r>
            <w:r w:rsidR="00E5209C">
              <w:rPr>
                <w:rFonts w:cs="Calibri"/>
                <w:sz w:val="21"/>
                <w:szCs w:val="21"/>
              </w:rPr>
              <w:t>C</w:t>
            </w:r>
            <w:r w:rsidRPr="00841662" w:rsidR="00DD142E">
              <w:rPr>
                <w:rFonts w:cs="Calibri"/>
                <w:sz w:val="21"/>
                <w:szCs w:val="21"/>
              </w:rPr>
              <w:t xml:space="preserve">opper services </w:t>
            </w:r>
            <w:r w:rsidRPr="00841662" w:rsidR="000C19AA">
              <w:rPr>
                <w:rFonts w:cs="Calibri"/>
                <w:sz w:val="21"/>
                <w:szCs w:val="21"/>
              </w:rPr>
              <w:t>EF</w:t>
            </w:r>
          </w:p>
        </w:tc>
        <w:tc>
          <w:tcPr>
            <w:tcW w:w="5225" w:type="dxa"/>
            <w:shd w:val="clear" w:color="auto" w:fill="D9D9D9" w:themeFill="background1" w:themeFillShade="D9"/>
            <w:tcMar>
              <w:left w:w="58" w:type="dxa"/>
              <w:right w:w="58" w:type="dxa"/>
            </w:tcMar>
            <w:vAlign w:val="center"/>
          </w:tcPr>
          <w:p w:rsidRPr="00841662" w:rsidR="00DD142E" w:rsidP="001D4009" w:rsidRDefault="00DD142E" w14:paraId="766915DA" w14:textId="77777777">
            <w:pPr>
              <w:contextualSpacing/>
              <w:rPr>
                <w:rFonts w:cs="Calibri"/>
                <w:sz w:val="21"/>
                <w:szCs w:val="21"/>
              </w:rPr>
            </w:pPr>
            <w:r w:rsidRPr="00841662">
              <w:rPr>
                <w:rFonts w:cs="Calibri"/>
                <w:sz w:val="21"/>
                <w:szCs w:val="21"/>
              </w:rPr>
              <w:t>Total number of copper services</w:t>
            </w:r>
          </w:p>
        </w:tc>
        <w:tc>
          <w:tcPr>
            <w:tcW w:w="720" w:type="dxa"/>
            <w:shd w:val="clear" w:color="auto" w:fill="D9D9D9" w:themeFill="background1" w:themeFillShade="D9"/>
            <w:tcMar>
              <w:left w:w="58" w:type="dxa"/>
              <w:right w:w="58" w:type="dxa"/>
            </w:tcMar>
            <w:vAlign w:val="center"/>
          </w:tcPr>
          <w:p w:rsidRPr="00841662" w:rsidR="00DD142E" w:rsidP="001D4009" w:rsidRDefault="004F493D" w14:paraId="387852EB" w14:textId="77777777">
            <w:pPr>
              <w:contextualSpacing/>
              <w:jc w:val="center"/>
              <w:rPr>
                <w:rFonts w:cs="Calibri"/>
                <w:sz w:val="21"/>
                <w:szCs w:val="21"/>
              </w:rPr>
            </w:pPr>
            <w:r w:rsidRPr="00841662">
              <w:rPr>
                <w:rFonts w:cstheme="minorHAnsi"/>
                <w:sz w:val="21"/>
                <w:szCs w:val="21"/>
              </w:rPr>
              <w:t>X</w:t>
            </w:r>
          </w:p>
        </w:tc>
      </w:tr>
      <w:tr w:rsidRPr="00841662" w:rsidR="00DD142E" w:rsidTr="005F56CB" w14:paraId="405C3BC1" w14:textId="77777777">
        <w:tblPrEx>
          <w:jc w:val="left"/>
        </w:tblPrEx>
        <w:trPr>
          <w:trHeight w:val="233"/>
        </w:trPr>
        <w:tc>
          <w:tcPr>
            <w:tcW w:w="1795" w:type="dxa"/>
            <w:vMerge/>
            <w:shd w:val="clear" w:color="auto" w:fill="D9D9D9" w:themeFill="background1" w:themeFillShade="D9"/>
            <w:tcMar>
              <w:left w:w="58" w:type="dxa"/>
              <w:right w:w="58" w:type="dxa"/>
            </w:tcMar>
          </w:tcPr>
          <w:p w:rsidRPr="00841662" w:rsidR="00DD142E" w:rsidP="00740134" w:rsidRDefault="00DD142E" w14:paraId="74BD9330" w14:textId="77777777">
            <w:pPr>
              <w:rPr>
                <w:rFonts w:cs="Calibri"/>
                <w:sz w:val="21"/>
                <w:szCs w:val="21"/>
              </w:rPr>
            </w:pPr>
          </w:p>
        </w:tc>
        <w:tc>
          <w:tcPr>
            <w:tcW w:w="1620" w:type="dxa"/>
            <w:vMerge/>
            <w:shd w:val="clear" w:color="auto" w:fill="D9D9D9" w:themeFill="background1" w:themeFillShade="D9"/>
            <w:tcMar>
              <w:left w:w="58" w:type="dxa"/>
              <w:right w:w="58" w:type="dxa"/>
            </w:tcMar>
            <w:vAlign w:val="center"/>
          </w:tcPr>
          <w:p w:rsidRPr="00841662" w:rsidR="00DD142E" w:rsidP="00740134" w:rsidRDefault="00DD142E" w14:paraId="27C47F2A" w14:textId="77777777">
            <w:pPr>
              <w:rPr>
                <w:rFonts w:cs="Calibri"/>
                <w:sz w:val="21"/>
                <w:szCs w:val="21"/>
              </w:rPr>
            </w:pPr>
          </w:p>
        </w:tc>
        <w:tc>
          <w:tcPr>
            <w:tcW w:w="5225" w:type="dxa"/>
            <w:shd w:val="clear" w:color="auto" w:fill="D9D9D9" w:themeFill="background1" w:themeFillShade="D9"/>
            <w:tcMar>
              <w:left w:w="58" w:type="dxa"/>
              <w:right w:w="58" w:type="dxa"/>
            </w:tcMar>
            <w:vAlign w:val="center"/>
          </w:tcPr>
          <w:p w:rsidRPr="00841662" w:rsidR="00DD142E" w:rsidP="00740134" w:rsidRDefault="00DD142E" w14:paraId="384F494C" w14:textId="77777777">
            <w:pPr>
              <w:contextualSpacing/>
              <w:rPr>
                <w:rFonts w:cs="Calibri"/>
                <w:sz w:val="21"/>
                <w:szCs w:val="21"/>
              </w:rPr>
            </w:pPr>
            <w:r w:rsidRPr="00841662">
              <w:rPr>
                <w:rFonts w:cs="Calibri"/>
                <w:sz w:val="21"/>
                <w:szCs w:val="21"/>
              </w:rPr>
              <w:t>Annual CH</w:t>
            </w:r>
            <w:r w:rsidRPr="00841662">
              <w:rPr>
                <w:rFonts w:cs="Calibri"/>
                <w:sz w:val="21"/>
                <w:szCs w:val="21"/>
                <w:vertAlign w:val="subscript"/>
              </w:rPr>
              <w:t>4</w:t>
            </w:r>
            <w:r w:rsidRPr="00841662">
              <w:rPr>
                <w:rFonts w:cs="Calibri"/>
                <w:sz w:val="21"/>
                <w:szCs w:val="21"/>
              </w:rPr>
              <w:t xml:space="preserve"> emissions (mt </w:t>
            </w:r>
            <w:r w:rsidRPr="00841662" w:rsidR="00B50EFB">
              <w:rPr>
                <w:rFonts w:cs="Calibri"/>
                <w:sz w:val="21"/>
                <w:szCs w:val="21"/>
              </w:rPr>
              <w:t>CH</w:t>
            </w:r>
            <w:r w:rsidRPr="00841662" w:rsidR="00B50EFB">
              <w:rPr>
                <w:rFonts w:cs="Calibri"/>
                <w:sz w:val="21"/>
                <w:szCs w:val="21"/>
                <w:vertAlign w:val="subscript"/>
              </w:rPr>
              <w:t>4</w:t>
            </w:r>
            <w:r w:rsidRPr="00841662">
              <w:rPr>
                <w:rFonts w:cs="Calibri"/>
                <w:sz w:val="21"/>
                <w:szCs w:val="21"/>
              </w:rPr>
              <w:t>)</w:t>
            </w:r>
          </w:p>
        </w:tc>
        <w:tc>
          <w:tcPr>
            <w:tcW w:w="720" w:type="dxa"/>
            <w:shd w:val="clear" w:color="auto" w:fill="D9D9D9" w:themeFill="background1" w:themeFillShade="D9"/>
            <w:tcMar>
              <w:left w:w="58" w:type="dxa"/>
              <w:right w:w="58" w:type="dxa"/>
            </w:tcMar>
            <w:vAlign w:val="center"/>
          </w:tcPr>
          <w:p w:rsidRPr="00841662" w:rsidR="00DD142E" w:rsidP="00740134" w:rsidRDefault="007C2C53" w14:paraId="54BBB6AF" w14:textId="799BCACE">
            <w:pPr>
              <w:contextualSpacing/>
              <w:jc w:val="center"/>
              <w:rPr>
                <w:rFonts w:cs="Calibri"/>
                <w:sz w:val="21"/>
                <w:szCs w:val="21"/>
              </w:rPr>
            </w:pPr>
            <w:r>
              <w:rPr>
                <w:rFonts w:cs="Calibri"/>
                <w:sz w:val="21"/>
                <w:szCs w:val="21"/>
              </w:rPr>
              <w:t>X</w:t>
            </w:r>
          </w:p>
        </w:tc>
      </w:tr>
      <w:tr w:rsidRPr="00841662" w:rsidR="00DD142E" w:rsidTr="005F56CB" w14:paraId="2E2B9D3A" w14:textId="77777777">
        <w:tblPrEx>
          <w:jc w:val="left"/>
        </w:tblPrEx>
        <w:trPr>
          <w:trHeight w:val="431"/>
        </w:trPr>
        <w:tc>
          <w:tcPr>
            <w:tcW w:w="1795" w:type="dxa"/>
            <w:vMerge w:val="restart"/>
            <w:shd w:val="clear" w:color="auto" w:fill="auto"/>
            <w:tcMar>
              <w:left w:w="58" w:type="dxa"/>
              <w:right w:w="58" w:type="dxa"/>
            </w:tcMar>
          </w:tcPr>
          <w:p w:rsidRPr="00841662" w:rsidR="00DD142E" w:rsidP="001B0DB3" w:rsidRDefault="00DD142E" w14:paraId="2D6D2F56" w14:textId="0AC6BEBB">
            <w:pPr>
              <w:rPr>
                <w:rFonts w:cs="Calibri"/>
                <w:sz w:val="21"/>
                <w:szCs w:val="21"/>
              </w:rPr>
            </w:pPr>
            <w:r w:rsidRPr="00841662">
              <w:rPr>
                <w:rFonts w:cs="Calibri"/>
                <w:sz w:val="21"/>
                <w:szCs w:val="21"/>
              </w:rPr>
              <w:t xml:space="preserve">Distribution </w:t>
            </w:r>
            <w:r w:rsidRPr="00841662" w:rsidR="00D50935">
              <w:rPr>
                <w:rFonts w:cs="Calibri"/>
                <w:sz w:val="21"/>
                <w:szCs w:val="21"/>
              </w:rPr>
              <w:t>s</w:t>
            </w:r>
            <w:r w:rsidRPr="00841662">
              <w:rPr>
                <w:rFonts w:cs="Calibri"/>
                <w:sz w:val="21"/>
                <w:szCs w:val="21"/>
              </w:rPr>
              <w:t xml:space="preserve">ervices - </w:t>
            </w:r>
            <w:r w:rsidRPr="00841662" w:rsidR="00D50935">
              <w:rPr>
                <w:rFonts w:cs="Calibri"/>
                <w:sz w:val="21"/>
                <w:szCs w:val="21"/>
              </w:rPr>
              <w:t>p</w:t>
            </w:r>
            <w:r w:rsidRPr="00841662">
              <w:rPr>
                <w:rFonts w:cs="Calibri"/>
                <w:sz w:val="21"/>
                <w:szCs w:val="21"/>
              </w:rPr>
              <w:t xml:space="preserve">lastic - </w:t>
            </w:r>
            <w:r w:rsidRPr="00841662" w:rsidR="00D50935">
              <w:rPr>
                <w:rFonts w:cs="Calibri"/>
                <w:sz w:val="21"/>
                <w:szCs w:val="21"/>
              </w:rPr>
              <w:t>g</w:t>
            </w:r>
            <w:r w:rsidRPr="00841662">
              <w:rPr>
                <w:rFonts w:cs="Calibri"/>
                <w:sz w:val="21"/>
                <w:szCs w:val="21"/>
              </w:rPr>
              <w:t xml:space="preserve">as </w:t>
            </w:r>
            <w:r w:rsidRPr="00841662" w:rsidR="00D50935">
              <w:rPr>
                <w:rFonts w:cs="Calibri"/>
                <w:sz w:val="21"/>
                <w:szCs w:val="21"/>
              </w:rPr>
              <w:t>s</w:t>
            </w:r>
            <w:r w:rsidRPr="00841662">
              <w:rPr>
                <w:rFonts w:cs="Calibri"/>
                <w:sz w:val="21"/>
                <w:szCs w:val="21"/>
              </w:rPr>
              <w:t>ervice</w:t>
            </w:r>
          </w:p>
        </w:tc>
        <w:tc>
          <w:tcPr>
            <w:tcW w:w="1620" w:type="dxa"/>
            <w:vMerge w:val="restart"/>
            <w:shd w:val="clear" w:color="auto" w:fill="auto"/>
            <w:tcMar>
              <w:left w:w="58" w:type="dxa"/>
              <w:right w:w="58" w:type="dxa"/>
            </w:tcMar>
            <w:vAlign w:val="center"/>
          </w:tcPr>
          <w:p w:rsidRPr="00841662" w:rsidR="00DD142E" w:rsidP="001D4009" w:rsidRDefault="007C2C53" w14:paraId="50BDB003" w14:textId="39379A15">
            <w:pPr>
              <w:rPr>
                <w:rFonts w:cs="Calibri"/>
                <w:sz w:val="21"/>
                <w:szCs w:val="21"/>
              </w:rPr>
            </w:pPr>
            <w:r w:rsidRPr="00841662">
              <w:rPr>
                <w:rFonts w:cs="Calibri"/>
                <w:sz w:val="21"/>
                <w:szCs w:val="21"/>
              </w:rPr>
              <w:t xml:space="preserve">Subpart W </w:t>
            </w:r>
            <w:r w:rsidR="00E5209C">
              <w:rPr>
                <w:rFonts w:cs="Calibri"/>
                <w:sz w:val="21"/>
                <w:szCs w:val="21"/>
              </w:rPr>
              <w:t>P</w:t>
            </w:r>
            <w:r w:rsidRPr="00841662" w:rsidR="00DD142E">
              <w:rPr>
                <w:rFonts w:cs="Calibri"/>
                <w:sz w:val="21"/>
                <w:szCs w:val="21"/>
              </w:rPr>
              <w:t xml:space="preserve">lastic services </w:t>
            </w:r>
            <w:r w:rsidRPr="00841662" w:rsidR="000C19AA">
              <w:rPr>
                <w:rFonts w:cs="Calibri"/>
                <w:sz w:val="21"/>
                <w:szCs w:val="21"/>
              </w:rPr>
              <w:t>EF</w:t>
            </w:r>
          </w:p>
        </w:tc>
        <w:tc>
          <w:tcPr>
            <w:tcW w:w="5225" w:type="dxa"/>
            <w:shd w:val="clear" w:color="auto" w:fill="auto"/>
            <w:tcMar>
              <w:left w:w="58" w:type="dxa"/>
              <w:right w:w="58" w:type="dxa"/>
            </w:tcMar>
            <w:vAlign w:val="center"/>
          </w:tcPr>
          <w:p w:rsidRPr="00841662" w:rsidR="00DD142E" w:rsidP="001D4009" w:rsidRDefault="00DD142E" w14:paraId="18163EA8" w14:textId="77777777">
            <w:pPr>
              <w:contextualSpacing/>
              <w:rPr>
                <w:rFonts w:cs="Calibri"/>
                <w:sz w:val="21"/>
                <w:szCs w:val="21"/>
              </w:rPr>
            </w:pPr>
            <w:r w:rsidRPr="00841662">
              <w:rPr>
                <w:rFonts w:cs="Calibri"/>
                <w:sz w:val="21"/>
                <w:szCs w:val="21"/>
              </w:rPr>
              <w:t>Total number of plastic services</w:t>
            </w:r>
          </w:p>
        </w:tc>
        <w:tc>
          <w:tcPr>
            <w:tcW w:w="720" w:type="dxa"/>
            <w:shd w:val="clear" w:color="auto" w:fill="auto"/>
            <w:tcMar>
              <w:left w:w="58" w:type="dxa"/>
              <w:right w:w="58" w:type="dxa"/>
            </w:tcMar>
            <w:vAlign w:val="center"/>
          </w:tcPr>
          <w:p w:rsidRPr="00841662" w:rsidR="00DD142E" w:rsidP="001D4009" w:rsidRDefault="004F493D" w14:paraId="286E6529" w14:textId="77777777">
            <w:pPr>
              <w:contextualSpacing/>
              <w:jc w:val="center"/>
              <w:rPr>
                <w:rFonts w:cs="Calibri"/>
                <w:sz w:val="21"/>
                <w:szCs w:val="21"/>
              </w:rPr>
            </w:pPr>
            <w:r w:rsidRPr="00841662">
              <w:rPr>
                <w:rFonts w:cstheme="minorHAnsi"/>
                <w:sz w:val="21"/>
                <w:szCs w:val="21"/>
              </w:rPr>
              <w:t>X</w:t>
            </w:r>
          </w:p>
        </w:tc>
      </w:tr>
      <w:tr w:rsidRPr="00841662" w:rsidR="00DD142E" w:rsidTr="005F56CB" w14:paraId="03F9282A" w14:textId="77777777">
        <w:tblPrEx>
          <w:jc w:val="left"/>
        </w:tblPrEx>
        <w:trPr>
          <w:trHeight w:val="188"/>
        </w:trPr>
        <w:tc>
          <w:tcPr>
            <w:tcW w:w="1795" w:type="dxa"/>
            <w:vMerge/>
            <w:shd w:val="clear" w:color="auto" w:fill="auto"/>
            <w:tcMar>
              <w:left w:w="58" w:type="dxa"/>
              <w:right w:w="58" w:type="dxa"/>
            </w:tcMar>
          </w:tcPr>
          <w:p w:rsidRPr="00841662" w:rsidR="00DD142E" w:rsidP="00740134" w:rsidRDefault="00DD142E" w14:paraId="5A3B90E9" w14:textId="77777777">
            <w:pPr>
              <w:rPr>
                <w:rFonts w:cs="Calibri"/>
                <w:sz w:val="21"/>
                <w:szCs w:val="21"/>
              </w:rPr>
            </w:pPr>
          </w:p>
        </w:tc>
        <w:tc>
          <w:tcPr>
            <w:tcW w:w="1620" w:type="dxa"/>
            <w:vMerge/>
            <w:shd w:val="clear" w:color="auto" w:fill="auto"/>
            <w:tcMar>
              <w:left w:w="58" w:type="dxa"/>
              <w:right w:w="58" w:type="dxa"/>
            </w:tcMar>
            <w:vAlign w:val="center"/>
          </w:tcPr>
          <w:p w:rsidRPr="00841662" w:rsidR="00DD142E" w:rsidP="00740134" w:rsidRDefault="00DD142E" w14:paraId="3A33287D" w14:textId="77777777">
            <w:pPr>
              <w:rPr>
                <w:rFonts w:cs="Calibri"/>
                <w:sz w:val="21"/>
                <w:szCs w:val="21"/>
              </w:rPr>
            </w:pPr>
          </w:p>
        </w:tc>
        <w:tc>
          <w:tcPr>
            <w:tcW w:w="5225" w:type="dxa"/>
            <w:shd w:val="clear" w:color="auto" w:fill="auto"/>
            <w:tcMar>
              <w:left w:w="58" w:type="dxa"/>
              <w:right w:w="58" w:type="dxa"/>
            </w:tcMar>
            <w:vAlign w:val="center"/>
          </w:tcPr>
          <w:p w:rsidRPr="00841662" w:rsidR="00DD142E" w:rsidP="00740134" w:rsidRDefault="00DD142E" w14:paraId="57A52830" w14:textId="77777777">
            <w:pPr>
              <w:contextualSpacing/>
              <w:rPr>
                <w:rFonts w:cs="Calibri"/>
                <w:sz w:val="21"/>
                <w:szCs w:val="21"/>
              </w:rPr>
            </w:pPr>
            <w:r w:rsidRPr="00841662">
              <w:rPr>
                <w:rFonts w:cs="Calibri"/>
                <w:sz w:val="21"/>
                <w:szCs w:val="21"/>
              </w:rPr>
              <w:t>Annual CH</w:t>
            </w:r>
            <w:r w:rsidRPr="00841662">
              <w:rPr>
                <w:rFonts w:cs="Calibri"/>
                <w:sz w:val="21"/>
                <w:szCs w:val="21"/>
                <w:vertAlign w:val="subscript"/>
              </w:rPr>
              <w:t>4</w:t>
            </w:r>
            <w:r w:rsidRPr="00841662">
              <w:rPr>
                <w:rFonts w:cs="Calibri"/>
                <w:sz w:val="21"/>
                <w:szCs w:val="21"/>
              </w:rPr>
              <w:t xml:space="preserve"> emissions (mt </w:t>
            </w:r>
            <w:r w:rsidRPr="00841662" w:rsidR="00B50EFB">
              <w:rPr>
                <w:rFonts w:cs="Calibri"/>
                <w:sz w:val="21"/>
                <w:szCs w:val="21"/>
              </w:rPr>
              <w:t>CH</w:t>
            </w:r>
            <w:r w:rsidRPr="00841662" w:rsidR="00B50EFB">
              <w:rPr>
                <w:rFonts w:cs="Calibri"/>
                <w:sz w:val="21"/>
                <w:szCs w:val="21"/>
                <w:vertAlign w:val="subscript"/>
              </w:rPr>
              <w:t>4</w:t>
            </w:r>
            <w:r w:rsidRPr="00841662">
              <w:rPr>
                <w:rFonts w:cs="Calibri"/>
                <w:sz w:val="21"/>
                <w:szCs w:val="21"/>
              </w:rPr>
              <w:t>)</w:t>
            </w:r>
          </w:p>
        </w:tc>
        <w:tc>
          <w:tcPr>
            <w:tcW w:w="720" w:type="dxa"/>
            <w:shd w:val="clear" w:color="auto" w:fill="auto"/>
            <w:tcMar>
              <w:left w:w="58" w:type="dxa"/>
              <w:right w:w="58" w:type="dxa"/>
            </w:tcMar>
            <w:vAlign w:val="center"/>
          </w:tcPr>
          <w:p w:rsidRPr="00841662" w:rsidR="00DD142E" w:rsidP="00740134" w:rsidRDefault="007C2C53" w14:paraId="76039F0A" w14:textId="78FF1E71">
            <w:pPr>
              <w:contextualSpacing/>
              <w:jc w:val="center"/>
              <w:rPr>
                <w:rFonts w:cs="Calibri"/>
                <w:sz w:val="21"/>
                <w:szCs w:val="21"/>
              </w:rPr>
            </w:pPr>
            <w:r>
              <w:rPr>
                <w:rFonts w:cs="Calibri"/>
                <w:sz w:val="21"/>
                <w:szCs w:val="21"/>
              </w:rPr>
              <w:t>X</w:t>
            </w:r>
          </w:p>
        </w:tc>
      </w:tr>
      <w:tr w:rsidRPr="00841662" w:rsidR="00DD142E" w:rsidTr="005F56CB" w14:paraId="3413C9CD" w14:textId="77777777">
        <w:tblPrEx>
          <w:jc w:val="left"/>
        </w:tblPrEx>
        <w:trPr>
          <w:trHeight w:val="575"/>
        </w:trPr>
        <w:tc>
          <w:tcPr>
            <w:tcW w:w="1795" w:type="dxa"/>
            <w:vMerge w:val="restart"/>
            <w:shd w:val="clear" w:color="auto" w:fill="D9D9D9" w:themeFill="background1" w:themeFillShade="D9"/>
            <w:tcMar>
              <w:left w:w="58" w:type="dxa"/>
              <w:right w:w="58" w:type="dxa"/>
            </w:tcMar>
          </w:tcPr>
          <w:p w:rsidRPr="00841662" w:rsidR="00DD142E" w:rsidP="001B0DB3" w:rsidRDefault="00DD142E" w14:paraId="08868B88" w14:textId="207F6636">
            <w:pPr>
              <w:rPr>
                <w:rFonts w:cs="Calibri"/>
                <w:sz w:val="21"/>
                <w:szCs w:val="21"/>
              </w:rPr>
            </w:pPr>
            <w:r w:rsidRPr="00841662">
              <w:rPr>
                <w:rFonts w:cs="Calibri"/>
                <w:sz w:val="21"/>
                <w:szCs w:val="21"/>
              </w:rPr>
              <w:t xml:space="preserve">Distribution </w:t>
            </w:r>
            <w:r w:rsidRPr="00841662" w:rsidR="00D50935">
              <w:rPr>
                <w:rFonts w:cs="Calibri"/>
                <w:sz w:val="21"/>
                <w:szCs w:val="21"/>
              </w:rPr>
              <w:t>s</w:t>
            </w:r>
            <w:r w:rsidRPr="00841662">
              <w:rPr>
                <w:rFonts w:cs="Calibri"/>
                <w:sz w:val="21"/>
                <w:szCs w:val="21"/>
              </w:rPr>
              <w:t xml:space="preserve">ervices - </w:t>
            </w:r>
            <w:r w:rsidRPr="00841662" w:rsidR="00D50935">
              <w:rPr>
                <w:rFonts w:cs="Calibri"/>
                <w:sz w:val="21"/>
                <w:szCs w:val="21"/>
              </w:rPr>
              <w:t>p</w:t>
            </w:r>
            <w:r w:rsidRPr="00841662">
              <w:rPr>
                <w:rFonts w:cs="Calibri"/>
                <w:sz w:val="21"/>
                <w:szCs w:val="21"/>
              </w:rPr>
              <w:t xml:space="preserve">rotected </w:t>
            </w:r>
            <w:r w:rsidRPr="00841662" w:rsidR="00D50935">
              <w:rPr>
                <w:rFonts w:cs="Calibri"/>
                <w:sz w:val="21"/>
                <w:szCs w:val="21"/>
              </w:rPr>
              <w:t>s</w:t>
            </w:r>
            <w:r w:rsidRPr="00841662">
              <w:rPr>
                <w:rFonts w:cs="Calibri"/>
                <w:sz w:val="21"/>
                <w:szCs w:val="21"/>
              </w:rPr>
              <w:t xml:space="preserve">teel - </w:t>
            </w:r>
            <w:r w:rsidRPr="00841662" w:rsidR="00D50935">
              <w:rPr>
                <w:rFonts w:cs="Calibri"/>
                <w:sz w:val="21"/>
                <w:szCs w:val="21"/>
              </w:rPr>
              <w:t>g</w:t>
            </w:r>
            <w:r w:rsidRPr="00841662">
              <w:rPr>
                <w:rFonts w:cs="Calibri"/>
                <w:sz w:val="21"/>
                <w:szCs w:val="21"/>
              </w:rPr>
              <w:t xml:space="preserve">as </w:t>
            </w:r>
            <w:r w:rsidRPr="00841662" w:rsidR="00D50935">
              <w:rPr>
                <w:rFonts w:cs="Calibri"/>
                <w:sz w:val="21"/>
                <w:szCs w:val="21"/>
              </w:rPr>
              <w:t>s</w:t>
            </w:r>
            <w:r w:rsidRPr="00841662">
              <w:rPr>
                <w:rFonts w:cs="Calibri"/>
                <w:sz w:val="21"/>
                <w:szCs w:val="21"/>
              </w:rPr>
              <w:t>ervice</w:t>
            </w:r>
          </w:p>
        </w:tc>
        <w:tc>
          <w:tcPr>
            <w:tcW w:w="1620" w:type="dxa"/>
            <w:vMerge w:val="restart"/>
            <w:shd w:val="clear" w:color="auto" w:fill="D9D9D9" w:themeFill="background1" w:themeFillShade="D9"/>
            <w:tcMar>
              <w:left w:w="58" w:type="dxa"/>
              <w:right w:w="58" w:type="dxa"/>
            </w:tcMar>
            <w:vAlign w:val="center"/>
          </w:tcPr>
          <w:p w:rsidRPr="00841662" w:rsidR="00DD142E" w:rsidP="001E0D5D" w:rsidRDefault="007C2C53" w14:paraId="2CA3A3B2" w14:textId="620D0417">
            <w:pPr>
              <w:rPr>
                <w:rFonts w:cs="Calibri"/>
                <w:sz w:val="21"/>
                <w:szCs w:val="21"/>
              </w:rPr>
            </w:pPr>
            <w:r w:rsidRPr="00841662">
              <w:rPr>
                <w:rFonts w:cs="Calibri"/>
                <w:sz w:val="21"/>
                <w:szCs w:val="21"/>
              </w:rPr>
              <w:t xml:space="preserve">Subpart W </w:t>
            </w:r>
            <w:r w:rsidR="00E5209C">
              <w:rPr>
                <w:rFonts w:cs="Calibri"/>
                <w:sz w:val="21"/>
                <w:szCs w:val="21"/>
              </w:rPr>
              <w:t>P</w:t>
            </w:r>
            <w:r w:rsidRPr="00841662" w:rsidR="00DD142E">
              <w:rPr>
                <w:rFonts w:cs="Calibri"/>
                <w:sz w:val="21"/>
                <w:szCs w:val="21"/>
              </w:rPr>
              <w:t>rotected steel services</w:t>
            </w:r>
            <w:r w:rsidRPr="00841662" w:rsidR="000C19AA">
              <w:rPr>
                <w:rFonts w:cs="Calibri"/>
                <w:sz w:val="21"/>
                <w:szCs w:val="21"/>
              </w:rPr>
              <w:t xml:space="preserve"> EF</w:t>
            </w:r>
          </w:p>
        </w:tc>
        <w:tc>
          <w:tcPr>
            <w:tcW w:w="5225" w:type="dxa"/>
            <w:shd w:val="clear" w:color="auto" w:fill="D9D9D9" w:themeFill="background1" w:themeFillShade="D9"/>
            <w:tcMar>
              <w:left w:w="58" w:type="dxa"/>
              <w:right w:w="58" w:type="dxa"/>
            </w:tcMar>
            <w:vAlign w:val="center"/>
          </w:tcPr>
          <w:p w:rsidRPr="00841662" w:rsidR="00DD142E" w:rsidP="001E0D5D" w:rsidRDefault="00DD142E" w14:paraId="1CCB9B7D" w14:textId="77777777">
            <w:pPr>
              <w:contextualSpacing/>
              <w:rPr>
                <w:rFonts w:cs="Calibri"/>
                <w:sz w:val="21"/>
                <w:szCs w:val="21"/>
              </w:rPr>
            </w:pPr>
            <w:r w:rsidRPr="00841662">
              <w:rPr>
                <w:rFonts w:cs="Calibri"/>
                <w:sz w:val="21"/>
                <w:szCs w:val="21"/>
              </w:rPr>
              <w:t>Total number of protected steel services</w:t>
            </w:r>
          </w:p>
        </w:tc>
        <w:tc>
          <w:tcPr>
            <w:tcW w:w="720" w:type="dxa"/>
            <w:shd w:val="clear" w:color="auto" w:fill="D9D9D9" w:themeFill="background1" w:themeFillShade="D9"/>
            <w:tcMar>
              <w:left w:w="58" w:type="dxa"/>
              <w:right w:w="58" w:type="dxa"/>
            </w:tcMar>
            <w:vAlign w:val="center"/>
          </w:tcPr>
          <w:p w:rsidRPr="00841662" w:rsidR="00DD142E" w:rsidP="001E0D5D" w:rsidRDefault="004F493D" w14:paraId="4A18CA40" w14:textId="77777777">
            <w:pPr>
              <w:contextualSpacing/>
              <w:jc w:val="center"/>
              <w:rPr>
                <w:rFonts w:cs="Calibri"/>
                <w:sz w:val="21"/>
                <w:szCs w:val="21"/>
              </w:rPr>
            </w:pPr>
            <w:r w:rsidRPr="00841662">
              <w:rPr>
                <w:rFonts w:cstheme="minorHAnsi"/>
                <w:sz w:val="21"/>
                <w:szCs w:val="21"/>
              </w:rPr>
              <w:t>X</w:t>
            </w:r>
          </w:p>
        </w:tc>
      </w:tr>
      <w:tr w:rsidRPr="00841662" w:rsidR="00DD142E" w:rsidTr="005F56CB" w14:paraId="501B46CA" w14:textId="77777777">
        <w:tblPrEx>
          <w:jc w:val="left"/>
        </w:tblPrEx>
        <w:trPr>
          <w:trHeight w:val="350"/>
        </w:trPr>
        <w:tc>
          <w:tcPr>
            <w:tcW w:w="1795" w:type="dxa"/>
            <w:vMerge/>
            <w:shd w:val="clear" w:color="auto" w:fill="D9D9D9" w:themeFill="background1" w:themeFillShade="D9"/>
            <w:tcMar>
              <w:left w:w="58" w:type="dxa"/>
              <w:right w:w="58" w:type="dxa"/>
            </w:tcMar>
            <w:vAlign w:val="center"/>
          </w:tcPr>
          <w:p w:rsidRPr="00841662" w:rsidR="00DD142E" w:rsidP="00740134" w:rsidRDefault="00DD142E" w14:paraId="76317B10" w14:textId="77777777">
            <w:pPr>
              <w:rPr>
                <w:rFonts w:cs="Calibri"/>
                <w:sz w:val="21"/>
                <w:szCs w:val="21"/>
              </w:rPr>
            </w:pPr>
          </w:p>
        </w:tc>
        <w:tc>
          <w:tcPr>
            <w:tcW w:w="1620" w:type="dxa"/>
            <w:vMerge/>
            <w:shd w:val="clear" w:color="auto" w:fill="D9D9D9" w:themeFill="background1" w:themeFillShade="D9"/>
            <w:tcMar>
              <w:left w:w="58" w:type="dxa"/>
              <w:right w:w="58" w:type="dxa"/>
            </w:tcMar>
            <w:vAlign w:val="center"/>
          </w:tcPr>
          <w:p w:rsidRPr="00841662" w:rsidR="00DD142E" w:rsidP="00740134" w:rsidRDefault="00DD142E" w14:paraId="634AFA7D" w14:textId="77777777">
            <w:pPr>
              <w:rPr>
                <w:rFonts w:cs="Calibri"/>
                <w:sz w:val="21"/>
                <w:szCs w:val="21"/>
              </w:rPr>
            </w:pPr>
          </w:p>
        </w:tc>
        <w:tc>
          <w:tcPr>
            <w:tcW w:w="5225" w:type="dxa"/>
            <w:shd w:val="clear" w:color="auto" w:fill="D9D9D9" w:themeFill="background1" w:themeFillShade="D9"/>
            <w:tcMar>
              <w:left w:w="58" w:type="dxa"/>
              <w:right w:w="58" w:type="dxa"/>
            </w:tcMar>
            <w:vAlign w:val="center"/>
          </w:tcPr>
          <w:p w:rsidRPr="00841662" w:rsidR="00DD142E" w:rsidP="00740134" w:rsidRDefault="00DD142E" w14:paraId="4E7879FB" w14:textId="77777777">
            <w:pPr>
              <w:contextualSpacing/>
              <w:rPr>
                <w:rFonts w:cs="Calibri"/>
                <w:sz w:val="21"/>
                <w:szCs w:val="21"/>
              </w:rPr>
            </w:pPr>
            <w:r w:rsidRPr="00841662">
              <w:rPr>
                <w:rFonts w:cs="Calibri"/>
                <w:sz w:val="21"/>
                <w:szCs w:val="21"/>
              </w:rPr>
              <w:t>Annual CH</w:t>
            </w:r>
            <w:r w:rsidRPr="00841662">
              <w:rPr>
                <w:rFonts w:cs="Calibri"/>
                <w:sz w:val="21"/>
                <w:szCs w:val="21"/>
                <w:vertAlign w:val="subscript"/>
              </w:rPr>
              <w:t>4</w:t>
            </w:r>
            <w:r w:rsidRPr="00841662">
              <w:rPr>
                <w:rFonts w:cs="Calibri"/>
                <w:sz w:val="21"/>
                <w:szCs w:val="21"/>
              </w:rPr>
              <w:t xml:space="preserve"> emissions (mt </w:t>
            </w:r>
            <w:r w:rsidRPr="00841662" w:rsidR="00B50EFB">
              <w:rPr>
                <w:rFonts w:cs="Calibri"/>
                <w:sz w:val="21"/>
                <w:szCs w:val="21"/>
              </w:rPr>
              <w:t>CH</w:t>
            </w:r>
            <w:r w:rsidRPr="00841662" w:rsidR="00B50EFB">
              <w:rPr>
                <w:rFonts w:cs="Calibri"/>
                <w:sz w:val="21"/>
                <w:szCs w:val="21"/>
                <w:vertAlign w:val="subscript"/>
              </w:rPr>
              <w:t>4</w:t>
            </w:r>
            <w:r w:rsidRPr="00841662">
              <w:rPr>
                <w:rFonts w:cs="Calibri"/>
                <w:sz w:val="21"/>
                <w:szCs w:val="21"/>
              </w:rPr>
              <w:t>)</w:t>
            </w:r>
          </w:p>
        </w:tc>
        <w:tc>
          <w:tcPr>
            <w:tcW w:w="720" w:type="dxa"/>
            <w:shd w:val="clear" w:color="auto" w:fill="D9D9D9" w:themeFill="background1" w:themeFillShade="D9"/>
            <w:tcMar>
              <w:left w:w="58" w:type="dxa"/>
              <w:right w:w="58" w:type="dxa"/>
            </w:tcMar>
            <w:vAlign w:val="center"/>
          </w:tcPr>
          <w:p w:rsidRPr="00841662" w:rsidR="00DD142E" w:rsidP="00740134" w:rsidRDefault="007C2C53" w14:paraId="7EEC7396" w14:textId="7E5A3111">
            <w:pPr>
              <w:contextualSpacing/>
              <w:jc w:val="center"/>
              <w:rPr>
                <w:rFonts w:cs="Calibri"/>
                <w:sz w:val="21"/>
                <w:szCs w:val="21"/>
              </w:rPr>
            </w:pPr>
            <w:r>
              <w:rPr>
                <w:rFonts w:cs="Calibri"/>
                <w:sz w:val="21"/>
                <w:szCs w:val="21"/>
              </w:rPr>
              <w:t>X</w:t>
            </w:r>
          </w:p>
        </w:tc>
      </w:tr>
      <w:tr w:rsidRPr="00841662" w:rsidR="00076E37" w:rsidTr="005F56CB" w14:paraId="6C1D8FB1" w14:textId="77777777">
        <w:tblPrEx>
          <w:jc w:val="left"/>
        </w:tblPrEx>
        <w:tc>
          <w:tcPr>
            <w:tcW w:w="1795" w:type="dxa"/>
            <w:vMerge w:val="restart"/>
            <w:shd w:val="clear" w:color="auto" w:fill="auto"/>
            <w:tcMar>
              <w:left w:w="58" w:type="dxa"/>
              <w:right w:w="58" w:type="dxa"/>
            </w:tcMar>
          </w:tcPr>
          <w:p w:rsidRPr="00841662" w:rsidR="00076E37" w:rsidP="001B0DB3" w:rsidRDefault="00076E37" w14:paraId="5B4D839C" w14:textId="088651A7">
            <w:pPr>
              <w:rPr>
                <w:rFonts w:cs="Calibri"/>
                <w:sz w:val="21"/>
                <w:szCs w:val="21"/>
              </w:rPr>
            </w:pPr>
            <w:r w:rsidRPr="00841662">
              <w:rPr>
                <w:rFonts w:cs="Calibri"/>
                <w:sz w:val="21"/>
                <w:szCs w:val="21"/>
              </w:rPr>
              <w:t>Distribution services - unprotected steel - gas service</w:t>
            </w:r>
          </w:p>
        </w:tc>
        <w:tc>
          <w:tcPr>
            <w:tcW w:w="1620" w:type="dxa"/>
            <w:vMerge w:val="restart"/>
            <w:shd w:val="clear" w:color="auto" w:fill="auto"/>
            <w:tcMar>
              <w:left w:w="58" w:type="dxa"/>
              <w:right w:w="58" w:type="dxa"/>
            </w:tcMar>
            <w:vAlign w:val="center"/>
          </w:tcPr>
          <w:p w:rsidRPr="00841662" w:rsidR="00076E37" w:rsidP="00076E37" w:rsidRDefault="007C2C53" w14:paraId="47BED329" w14:textId="007CCA80">
            <w:pPr>
              <w:rPr>
                <w:rFonts w:cs="Calibri"/>
                <w:sz w:val="21"/>
                <w:szCs w:val="21"/>
              </w:rPr>
            </w:pPr>
            <w:r w:rsidRPr="00841662">
              <w:rPr>
                <w:rFonts w:cs="Calibri"/>
                <w:sz w:val="21"/>
                <w:szCs w:val="21"/>
              </w:rPr>
              <w:t xml:space="preserve">Subpart W </w:t>
            </w:r>
            <w:r w:rsidR="00E5209C">
              <w:rPr>
                <w:rFonts w:cs="Calibri"/>
                <w:sz w:val="21"/>
                <w:szCs w:val="21"/>
              </w:rPr>
              <w:t>U</w:t>
            </w:r>
            <w:r w:rsidRPr="00841662" w:rsidR="00076E37">
              <w:rPr>
                <w:rFonts w:cs="Calibri"/>
                <w:sz w:val="21"/>
                <w:szCs w:val="21"/>
              </w:rPr>
              <w:t>nprotected steel services EF</w:t>
            </w:r>
          </w:p>
        </w:tc>
        <w:tc>
          <w:tcPr>
            <w:tcW w:w="5225" w:type="dxa"/>
            <w:shd w:val="clear" w:color="auto" w:fill="auto"/>
            <w:tcMar>
              <w:left w:w="58" w:type="dxa"/>
              <w:right w:w="58" w:type="dxa"/>
            </w:tcMar>
            <w:vAlign w:val="center"/>
          </w:tcPr>
          <w:p w:rsidRPr="00841662" w:rsidR="00076E37" w:rsidP="00076E37" w:rsidRDefault="008817A4" w14:paraId="7EB79D6A" w14:textId="67591AC0">
            <w:pPr>
              <w:contextualSpacing/>
              <w:rPr>
                <w:rFonts w:cs="Calibri"/>
                <w:sz w:val="21"/>
                <w:szCs w:val="21"/>
              </w:rPr>
            </w:pPr>
            <w:r>
              <w:rPr>
                <w:rFonts w:cs="Calibri"/>
                <w:sz w:val="21"/>
                <w:szCs w:val="21"/>
              </w:rPr>
              <w:t xml:space="preserve">Initial number of unprotected steel services as of January 1 of the </w:t>
            </w:r>
            <w:r w:rsidR="005039B3">
              <w:rPr>
                <w:rFonts w:cs="Calibri"/>
                <w:sz w:val="21"/>
                <w:szCs w:val="21"/>
              </w:rPr>
              <w:t xml:space="preserve">first </w:t>
            </w:r>
            <w:r>
              <w:rPr>
                <w:rFonts w:cs="Calibri"/>
                <w:sz w:val="21"/>
                <w:szCs w:val="21"/>
              </w:rPr>
              <w:t xml:space="preserve">year of </w:t>
            </w:r>
            <w:r w:rsidR="005039B3">
              <w:rPr>
                <w:rFonts w:cs="Calibri"/>
                <w:sz w:val="21"/>
                <w:szCs w:val="21"/>
              </w:rPr>
              <w:t xml:space="preserve">current </w:t>
            </w:r>
            <w:r>
              <w:rPr>
                <w:rFonts w:cs="Calibri"/>
                <w:sz w:val="21"/>
                <w:szCs w:val="21"/>
              </w:rPr>
              <w:t>commitment</w:t>
            </w:r>
            <w:r w:rsidR="000441AF">
              <w:rPr>
                <w:rStyle w:val="FootnoteReference"/>
                <w:rFonts w:cs="Calibri"/>
                <w:sz w:val="21"/>
                <w:szCs w:val="21"/>
              </w:rPr>
              <w:footnoteReference w:id="77"/>
            </w:r>
          </w:p>
        </w:tc>
        <w:tc>
          <w:tcPr>
            <w:tcW w:w="720" w:type="dxa"/>
            <w:shd w:val="clear" w:color="auto" w:fill="auto"/>
            <w:tcMar>
              <w:left w:w="58" w:type="dxa"/>
              <w:right w:w="58" w:type="dxa"/>
            </w:tcMar>
            <w:vAlign w:val="center"/>
          </w:tcPr>
          <w:p w:rsidRPr="00841662" w:rsidR="00076E37" w:rsidP="00076E37" w:rsidRDefault="00076E37" w14:paraId="651EDD52" w14:textId="77777777">
            <w:pPr>
              <w:contextualSpacing/>
              <w:jc w:val="center"/>
              <w:rPr>
                <w:rFonts w:cstheme="minorHAnsi"/>
                <w:sz w:val="21"/>
                <w:szCs w:val="21"/>
              </w:rPr>
            </w:pPr>
          </w:p>
        </w:tc>
      </w:tr>
      <w:tr w:rsidRPr="00841662" w:rsidR="00076E37" w:rsidTr="005F56CB" w14:paraId="259D1BCD" w14:textId="77777777">
        <w:tblPrEx>
          <w:jc w:val="left"/>
        </w:tblPrEx>
        <w:trPr>
          <w:trHeight w:val="215"/>
        </w:trPr>
        <w:tc>
          <w:tcPr>
            <w:tcW w:w="1795" w:type="dxa"/>
            <w:vMerge/>
            <w:shd w:val="clear" w:color="auto" w:fill="auto"/>
            <w:tcMar>
              <w:left w:w="58" w:type="dxa"/>
              <w:right w:w="58" w:type="dxa"/>
            </w:tcMar>
          </w:tcPr>
          <w:p w:rsidRPr="00841662" w:rsidR="00076E37" w:rsidP="001B0DB3" w:rsidRDefault="00076E37" w14:paraId="4177929E" w14:textId="7A1DE76E">
            <w:pPr>
              <w:rPr>
                <w:rFonts w:cs="Calibri"/>
                <w:sz w:val="21"/>
                <w:szCs w:val="21"/>
              </w:rPr>
            </w:pPr>
          </w:p>
        </w:tc>
        <w:tc>
          <w:tcPr>
            <w:tcW w:w="1620" w:type="dxa"/>
            <w:vMerge/>
            <w:shd w:val="clear" w:color="auto" w:fill="auto"/>
            <w:tcMar>
              <w:left w:w="58" w:type="dxa"/>
              <w:right w:w="58" w:type="dxa"/>
            </w:tcMar>
            <w:vAlign w:val="center"/>
          </w:tcPr>
          <w:p w:rsidRPr="00841662" w:rsidR="00076E37" w:rsidP="00076E37" w:rsidRDefault="00076E37" w14:paraId="23408C12" w14:textId="54E30CFB">
            <w:pPr>
              <w:rPr>
                <w:rFonts w:cs="Calibri"/>
                <w:sz w:val="21"/>
                <w:szCs w:val="21"/>
              </w:rPr>
            </w:pPr>
          </w:p>
        </w:tc>
        <w:tc>
          <w:tcPr>
            <w:tcW w:w="5225" w:type="dxa"/>
            <w:shd w:val="clear" w:color="auto" w:fill="auto"/>
            <w:tcMar>
              <w:left w:w="58" w:type="dxa"/>
              <w:right w:w="58" w:type="dxa"/>
            </w:tcMar>
            <w:vAlign w:val="center"/>
          </w:tcPr>
          <w:p w:rsidRPr="00841662" w:rsidR="00076E37" w:rsidP="00076E37" w:rsidRDefault="00076E37" w14:paraId="7E4A4BC1" w14:textId="77777777">
            <w:pPr>
              <w:contextualSpacing/>
              <w:rPr>
                <w:rFonts w:cs="Calibri"/>
                <w:sz w:val="21"/>
                <w:szCs w:val="21"/>
              </w:rPr>
            </w:pPr>
            <w:r w:rsidRPr="00841662">
              <w:rPr>
                <w:rFonts w:cs="Calibri"/>
                <w:sz w:val="21"/>
                <w:szCs w:val="21"/>
              </w:rPr>
              <w:t>Total number of unprotected steel services</w:t>
            </w:r>
          </w:p>
        </w:tc>
        <w:tc>
          <w:tcPr>
            <w:tcW w:w="720" w:type="dxa"/>
            <w:shd w:val="clear" w:color="auto" w:fill="auto"/>
            <w:tcMar>
              <w:left w:w="58" w:type="dxa"/>
              <w:right w:w="58" w:type="dxa"/>
            </w:tcMar>
            <w:vAlign w:val="center"/>
          </w:tcPr>
          <w:p w:rsidRPr="00841662" w:rsidR="00076E37" w:rsidP="00076E37" w:rsidRDefault="00076E37" w14:paraId="03491451" w14:textId="77777777">
            <w:pPr>
              <w:contextualSpacing/>
              <w:jc w:val="center"/>
              <w:rPr>
                <w:rFonts w:cs="Calibri"/>
                <w:sz w:val="21"/>
                <w:szCs w:val="21"/>
              </w:rPr>
            </w:pPr>
            <w:r w:rsidRPr="00841662">
              <w:rPr>
                <w:rFonts w:cstheme="minorHAnsi"/>
                <w:sz w:val="21"/>
                <w:szCs w:val="21"/>
              </w:rPr>
              <w:t>X</w:t>
            </w:r>
          </w:p>
        </w:tc>
      </w:tr>
      <w:tr w:rsidRPr="00841662" w:rsidR="00076E37" w:rsidTr="005F56CB" w14:paraId="58E0D223" w14:textId="77777777">
        <w:trPr>
          <w:trHeight w:val="206"/>
          <w:jc w:val="center"/>
        </w:trPr>
        <w:tc>
          <w:tcPr>
            <w:tcW w:w="1795" w:type="dxa"/>
            <w:vMerge/>
            <w:shd w:val="clear" w:color="auto" w:fill="auto"/>
            <w:tcMar>
              <w:left w:w="58" w:type="dxa"/>
              <w:right w:w="58" w:type="dxa"/>
            </w:tcMar>
          </w:tcPr>
          <w:p w:rsidRPr="00841662" w:rsidR="00076E37" w:rsidP="00740134" w:rsidRDefault="00076E37" w14:paraId="1740600B" w14:textId="77777777">
            <w:pPr>
              <w:rPr>
                <w:rFonts w:cs="Calibri"/>
                <w:sz w:val="21"/>
                <w:szCs w:val="21"/>
              </w:rPr>
            </w:pPr>
          </w:p>
        </w:tc>
        <w:tc>
          <w:tcPr>
            <w:tcW w:w="1620" w:type="dxa"/>
            <w:vMerge/>
            <w:shd w:val="clear" w:color="auto" w:fill="auto"/>
            <w:tcMar>
              <w:left w:w="58" w:type="dxa"/>
              <w:right w:w="58" w:type="dxa"/>
            </w:tcMar>
            <w:vAlign w:val="center"/>
          </w:tcPr>
          <w:p w:rsidRPr="00841662" w:rsidR="00076E37" w:rsidP="00740134" w:rsidRDefault="00076E37" w14:paraId="1BB144F0" w14:textId="77777777">
            <w:pPr>
              <w:rPr>
                <w:rFonts w:cs="Calibri"/>
                <w:sz w:val="21"/>
                <w:szCs w:val="21"/>
              </w:rPr>
            </w:pPr>
          </w:p>
        </w:tc>
        <w:tc>
          <w:tcPr>
            <w:tcW w:w="5225" w:type="dxa"/>
            <w:shd w:val="clear" w:color="auto" w:fill="auto"/>
            <w:tcMar>
              <w:left w:w="58" w:type="dxa"/>
              <w:right w:w="58" w:type="dxa"/>
            </w:tcMar>
            <w:vAlign w:val="center"/>
          </w:tcPr>
          <w:p w:rsidRPr="00841662" w:rsidR="00076E37" w:rsidP="00DA5571" w:rsidRDefault="00076E37" w14:paraId="7AAE74D7" w14:textId="77777777">
            <w:pPr>
              <w:spacing w:after="0"/>
              <w:rPr>
                <w:rFonts w:cs="Calibri"/>
                <w:sz w:val="21"/>
                <w:szCs w:val="21"/>
              </w:rPr>
            </w:pPr>
            <w:r w:rsidRPr="00841662">
              <w:rPr>
                <w:rFonts w:cs="Calibri"/>
                <w:sz w:val="21"/>
                <w:szCs w:val="21"/>
              </w:rPr>
              <w:t>Annual CH</w:t>
            </w:r>
            <w:r w:rsidRPr="00841662">
              <w:rPr>
                <w:rFonts w:cs="Calibri"/>
                <w:sz w:val="21"/>
                <w:szCs w:val="21"/>
                <w:vertAlign w:val="subscript"/>
              </w:rPr>
              <w:t>4</w:t>
            </w:r>
            <w:r w:rsidRPr="00841662">
              <w:rPr>
                <w:rFonts w:cs="Calibri"/>
                <w:sz w:val="21"/>
                <w:szCs w:val="21"/>
              </w:rPr>
              <w:t xml:space="preserve"> emissions (mt CH</w:t>
            </w:r>
            <w:r w:rsidRPr="00841662">
              <w:rPr>
                <w:rFonts w:cs="Calibri"/>
                <w:sz w:val="21"/>
                <w:szCs w:val="21"/>
                <w:vertAlign w:val="subscript"/>
              </w:rPr>
              <w:t>4</w:t>
            </w:r>
            <w:r w:rsidRPr="00841662">
              <w:rPr>
                <w:rFonts w:cs="Calibri"/>
                <w:sz w:val="21"/>
                <w:szCs w:val="21"/>
              </w:rPr>
              <w:t>)</w:t>
            </w:r>
          </w:p>
        </w:tc>
        <w:tc>
          <w:tcPr>
            <w:tcW w:w="720" w:type="dxa"/>
            <w:shd w:val="clear" w:color="auto" w:fill="auto"/>
            <w:tcMar>
              <w:left w:w="58" w:type="dxa"/>
              <w:right w:w="58" w:type="dxa"/>
            </w:tcMar>
            <w:vAlign w:val="center"/>
          </w:tcPr>
          <w:p w:rsidRPr="00841662" w:rsidR="00076E37" w:rsidP="00DA5571" w:rsidRDefault="007C2C53" w14:paraId="11C54B27" w14:textId="32F779A0">
            <w:pPr>
              <w:contextualSpacing/>
              <w:jc w:val="center"/>
              <w:rPr>
                <w:rFonts w:cs="Calibri"/>
                <w:sz w:val="21"/>
                <w:szCs w:val="21"/>
              </w:rPr>
            </w:pPr>
            <w:r>
              <w:rPr>
                <w:rFonts w:cs="Calibri"/>
                <w:sz w:val="21"/>
                <w:szCs w:val="21"/>
              </w:rPr>
              <w:t>X</w:t>
            </w:r>
          </w:p>
        </w:tc>
      </w:tr>
      <w:tr w:rsidRPr="00841662" w:rsidR="00076E37" w:rsidTr="005F56CB" w14:paraId="2360DE68" w14:textId="77777777">
        <w:tblPrEx>
          <w:jc w:val="left"/>
        </w:tblPrEx>
        <w:trPr>
          <w:trHeight w:val="782"/>
        </w:trPr>
        <w:tc>
          <w:tcPr>
            <w:tcW w:w="1795" w:type="dxa"/>
            <w:vMerge w:val="restart"/>
            <w:shd w:val="clear" w:color="auto" w:fill="D9D9D9" w:themeFill="background1" w:themeFillShade="D9"/>
            <w:tcMar>
              <w:left w:w="58" w:type="dxa"/>
              <w:right w:w="58" w:type="dxa"/>
            </w:tcMar>
          </w:tcPr>
          <w:p w:rsidRPr="00841662" w:rsidR="00076E37" w:rsidP="001B0DB3" w:rsidRDefault="00076E37" w14:paraId="43EA60AE" w14:textId="0B5FD78F">
            <w:pPr>
              <w:rPr>
                <w:rFonts w:cs="Calibri"/>
                <w:sz w:val="21"/>
                <w:szCs w:val="21"/>
              </w:rPr>
            </w:pPr>
            <w:r w:rsidRPr="00841662">
              <w:rPr>
                <w:rFonts w:cs="Calibri"/>
                <w:sz w:val="21"/>
                <w:szCs w:val="21"/>
              </w:rPr>
              <w:t>Distribution services - cast Iron or unprotected steel with plastic liners or inserts - gas service</w:t>
            </w:r>
          </w:p>
        </w:tc>
        <w:tc>
          <w:tcPr>
            <w:tcW w:w="1620" w:type="dxa"/>
            <w:vMerge w:val="restart"/>
            <w:shd w:val="clear" w:color="auto" w:fill="D9D9D9" w:themeFill="background1" w:themeFillShade="D9"/>
            <w:tcMar>
              <w:left w:w="58" w:type="dxa"/>
              <w:right w:w="58" w:type="dxa"/>
            </w:tcMar>
            <w:vAlign w:val="center"/>
          </w:tcPr>
          <w:p w:rsidRPr="00841662" w:rsidR="00076E37" w:rsidP="001B0DB3" w:rsidRDefault="007C2C53" w14:paraId="118BD67E" w14:textId="363007E5">
            <w:pPr>
              <w:rPr>
                <w:rFonts w:cs="Calibri"/>
                <w:sz w:val="21"/>
                <w:szCs w:val="21"/>
              </w:rPr>
            </w:pPr>
            <w:r w:rsidRPr="00841662">
              <w:rPr>
                <w:rFonts w:cs="Calibri"/>
                <w:sz w:val="21"/>
                <w:szCs w:val="21"/>
              </w:rPr>
              <w:t xml:space="preserve">Subpart W </w:t>
            </w:r>
            <w:r w:rsidR="00E5209C">
              <w:rPr>
                <w:rFonts w:cs="Calibri"/>
                <w:sz w:val="21"/>
                <w:szCs w:val="21"/>
              </w:rPr>
              <w:t>P</w:t>
            </w:r>
            <w:r w:rsidRPr="00841662" w:rsidR="00076E37">
              <w:rPr>
                <w:rFonts w:cs="Calibri"/>
                <w:sz w:val="21"/>
                <w:szCs w:val="21"/>
              </w:rPr>
              <w:t>lastic services EF</w:t>
            </w:r>
          </w:p>
        </w:tc>
        <w:tc>
          <w:tcPr>
            <w:tcW w:w="5225" w:type="dxa"/>
            <w:shd w:val="clear" w:color="auto" w:fill="D9D9D9" w:themeFill="background1" w:themeFillShade="D9"/>
            <w:tcMar>
              <w:left w:w="58" w:type="dxa"/>
              <w:right w:w="58" w:type="dxa"/>
            </w:tcMar>
            <w:vAlign w:val="center"/>
          </w:tcPr>
          <w:p w:rsidRPr="00841662" w:rsidR="00076E37" w:rsidP="001B0DB3" w:rsidRDefault="00076E37" w14:paraId="3CB06D1A" w14:textId="3C4A8A26">
            <w:pPr>
              <w:contextualSpacing/>
              <w:rPr>
                <w:rFonts w:cs="Calibri"/>
                <w:sz w:val="21"/>
                <w:szCs w:val="21"/>
              </w:rPr>
            </w:pPr>
            <w:r w:rsidRPr="00841662">
              <w:rPr>
                <w:rFonts w:cs="Calibri"/>
                <w:sz w:val="21"/>
                <w:szCs w:val="21"/>
              </w:rPr>
              <w:t>Total number of cast iron or unprotected steel services with plastic liners or inserts</w:t>
            </w:r>
          </w:p>
        </w:tc>
        <w:tc>
          <w:tcPr>
            <w:tcW w:w="720" w:type="dxa"/>
            <w:shd w:val="clear" w:color="auto" w:fill="D9D9D9" w:themeFill="background1" w:themeFillShade="D9"/>
            <w:tcMar>
              <w:left w:w="58" w:type="dxa"/>
              <w:right w:w="58" w:type="dxa"/>
            </w:tcMar>
            <w:vAlign w:val="center"/>
          </w:tcPr>
          <w:p w:rsidRPr="00841662" w:rsidR="00076E37" w:rsidP="001B0DB3" w:rsidRDefault="00076E37" w14:paraId="5756434E" w14:textId="77777777">
            <w:pPr>
              <w:contextualSpacing/>
              <w:jc w:val="center"/>
              <w:rPr>
                <w:rFonts w:cs="Calibri"/>
                <w:sz w:val="21"/>
                <w:szCs w:val="21"/>
              </w:rPr>
            </w:pPr>
          </w:p>
        </w:tc>
      </w:tr>
      <w:tr w:rsidRPr="00841662" w:rsidR="00076E37" w:rsidTr="005F56CB" w14:paraId="4637CC47" w14:textId="77777777">
        <w:tblPrEx>
          <w:jc w:val="left"/>
        </w:tblPrEx>
        <w:trPr>
          <w:trHeight w:val="440"/>
        </w:trPr>
        <w:tc>
          <w:tcPr>
            <w:tcW w:w="1795" w:type="dxa"/>
            <w:vMerge/>
            <w:shd w:val="clear" w:color="auto" w:fill="D9D9D9" w:themeFill="background1" w:themeFillShade="D9"/>
            <w:tcMar>
              <w:left w:w="58" w:type="dxa"/>
              <w:right w:w="58" w:type="dxa"/>
            </w:tcMar>
            <w:vAlign w:val="center"/>
          </w:tcPr>
          <w:p w:rsidRPr="00841662" w:rsidR="00076E37" w:rsidP="00740134" w:rsidRDefault="00076E37" w14:paraId="5640F1CE" w14:textId="77777777">
            <w:pPr>
              <w:rPr>
                <w:rFonts w:cs="Calibri"/>
                <w:sz w:val="21"/>
                <w:szCs w:val="21"/>
              </w:rPr>
            </w:pPr>
          </w:p>
        </w:tc>
        <w:tc>
          <w:tcPr>
            <w:tcW w:w="1620" w:type="dxa"/>
            <w:vMerge/>
            <w:shd w:val="clear" w:color="auto" w:fill="D9D9D9" w:themeFill="background1" w:themeFillShade="D9"/>
            <w:tcMar>
              <w:left w:w="58" w:type="dxa"/>
              <w:right w:w="58" w:type="dxa"/>
            </w:tcMar>
            <w:vAlign w:val="center"/>
          </w:tcPr>
          <w:p w:rsidRPr="00841662" w:rsidR="00076E37" w:rsidP="00740134" w:rsidRDefault="00076E37" w14:paraId="14894441" w14:textId="77777777">
            <w:pPr>
              <w:rPr>
                <w:rFonts w:cs="Calibri"/>
                <w:sz w:val="21"/>
                <w:szCs w:val="21"/>
              </w:rPr>
            </w:pPr>
          </w:p>
        </w:tc>
        <w:tc>
          <w:tcPr>
            <w:tcW w:w="5225" w:type="dxa"/>
            <w:shd w:val="clear" w:color="auto" w:fill="D9D9D9" w:themeFill="background1" w:themeFillShade="D9"/>
            <w:tcMar>
              <w:left w:w="58" w:type="dxa"/>
              <w:right w:w="58" w:type="dxa"/>
            </w:tcMar>
            <w:vAlign w:val="center"/>
          </w:tcPr>
          <w:p w:rsidRPr="009C7875" w:rsidR="00076E37" w:rsidP="00740134" w:rsidRDefault="00076E37" w14:paraId="710C31F9" w14:textId="0AA3E746">
            <w:pPr>
              <w:contextualSpacing/>
              <w:rPr>
                <w:rFonts w:cs="Calibri"/>
                <w:strike/>
                <w:sz w:val="21"/>
                <w:szCs w:val="21"/>
                <w:highlight w:val="yellow"/>
              </w:rPr>
            </w:pPr>
            <w:r w:rsidRPr="009C7875">
              <w:rPr>
                <w:rFonts w:cs="Calibri"/>
                <w:strike/>
                <w:sz w:val="21"/>
                <w:szCs w:val="21"/>
                <w:highlight w:val="yellow"/>
              </w:rPr>
              <w:t>Annual CH</w:t>
            </w:r>
            <w:r w:rsidRPr="009C7875">
              <w:rPr>
                <w:rFonts w:cs="Calibri"/>
                <w:strike/>
                <w:sz w:val="21"/>
                <w:szCs w:val="21"/>
                <w:highlight w:val="yellow"/>
                <w:vertAlign w:val="subscript"/>
              </w:rPr>
              <w:t>4</w:t>
            </w:r>
            <w:r w:rsidRPr="009C7875">
              <w:rPr>
                <w:rFonts w:cs="Calibri"/>
                <w:strike/>
                <w:sz w:val="21"/>
                <w:szCs w:val="21"/>
                <w:highlight w:val="yellow"/>
              </w:rPr>
              <w:t xml:space="preserve"> emissions (mt CH</w:t>
            </w:r>
            <w:r w:rsidRPr="009C7875">
              <w:rPr>
                <w:rFonts w:cs="Calibri"/>
                <w:strike/>
                <w:sz w:val="21"/>
                <w:szCs w:val="21"/>
                <w:highlight w:val="yellow"/>
                <w:vertAlign w:val="subscript"/>
              </w:rPr>
              <w:t>4</w:t>
            </w:r>
            <w:r w:rsidRPr="009C7875">
              <w:rPr>
                <w:rFonts w:cs="Calibri"/>
                <w:strike/>
                <w:sz w:val="21"/>
                <w:szCs w:val="21"/>
                <w:highlight w:val="yellow"/>
              </w:rPr>
              <w:t>)</w:t>
            </w:r>
          </w:p>
        </w:tc>
        <w:tc>
          <w:tcPr>
            <w:tcW w:w="720" w:type="dxa"/>
            <w:shd w:val="clear" w:color="auto" w:fill="D9D9D9" w:themeFill="background1" w:themeFillShade="D9"/>
            <w:tcMar>
              <w:left w:w="58" w:type="dxa"/>
              <w:right w:w="58" w:type="dxa"/>
            </w:tcMar>
            <w:vAlign w:val="center"/>
          </w:tcPr>
          <w:p w:rsidRPr="00841662" w:rsidR="00076E37" w:rsidP="00740134" w:rsidRDefault="00076E37" w14:paraId="7BE61EC8" w14:textId="77777777">
            <w:pPr>
              <w:contextualSpacing/>
              <w:jc w:val="center"/>
              <w:rPr>
                <w:rFonts w:cs="Calibri"/>
                <w:sz w:val="21"/>
                <w:szCs w:val="21"/>
              </w:rPr>
            </w:pPr>
          </w:p>
        </w:tc>
      </w:tr>
      <w:tr w:rsidRPr="00841662" w:rsidR="00076E37" w:rsidTr="005F56CB" w14:paraId="1FD9BD1F" w14:textId="77777777">
        <w:tblPrEx>
          <w:jc w:val="left"/>
        </w:tblPrEx>
        <w:trPr>
          <w:trHeight w:val="287"/>
        </w:trPr>
        <w:tc>
          <w:tcPr>
            <w:tcW w:w="1795" w:type="dxa"/>
            <w:vMerge w:val="restart"/>
            <w:shd w:val="clear" w:color="auto" w:fill="auto"/>
            <w:tcMar>
              <w:left w:w="58" w:type="dxa"/>
              <w:right w:w="58" w:type="dxa"/>
            </w:tcMar>
            <w:vAlign w:val="center"/>
          </w:tcPr>
          <w:p w:rsidRPr="00841662" w:rsidR="00076E37" w:rsidP="000441AF" w:rsidRDefault="00076E37" w14:paraId="65A48FBD" w14:textId="2D408473">
            <w:pPr>
              <w:rPr>
                <w:rFonts w:cs="Calibri"/>
                <w:sz w:val="21"/>
                <w:szCs w:val="21"/>
              </w:rPr>
            </w:pPr>
            <w:r w:rsidRPr="00841662">
              <w:rPr>
                <w:rFonts w:cstheme="minorHAnsi"/>
                <w:sz w:val="21"/>
                <w:szCs w:val="21"/>
              </w:rPr>
              <w:t>Voluntary action to reduce methane emissions during the reporting year</w:t>
            </w:r>
          </w:p>
        </w:tc>
        <w:tc>
          <w:tcPr>
            <w:tcW w:w="1620" w:type="dxa"/>
            <w:vMerge w:val="restart"/>
            <w:shd w:val="clear" w:color="auto" w:fill="auto"/>
            <w:tcMar>
              <w:left w:w="58" w:type="dxa"/>
              <w:right w:w="58" w:type="dxa"/>
            </w:tcMar>
            <w:vAlign w:val="center"/>
          </w:tcPr>
          <w:p w:rsidRPr="00841662" w:rsidR="00076E37" w:rsidP="000441AF" w:rsidRDefault="00076E37" w14:paraId="752B3E97" w14:textId="77777777">
            <w:pPr>
              <w:rPr>
                <w:rFonts w:cs="Calibri"/>
                <w:sz w:val="21"/>
                <w:szCs w:val="21"/>
              </w:rPr>
            </w:pPr>
            <w:r w:rsidRPr="00841662">
              <w:rPr>
                <w:rFonts w:cstheme="minorHAnsi"/>
                <w:sz w:val="21"/>
                <w:szCs w:val="21"/>
              </w:rPr>
              <w:t>Difference in emissions before and after mitigation</w:t>
            </w:r>
            <w:r w:rsidRPr="00841662">
              <w:rPr>
                <w:rStyle w:val="FootnoteReference"/>
                <w:rFonts w:cstheme="minorHAnsi"/>
                <w:sz w:val="21"/>
                <w:szCs w:val="21"/>
              </w:rPr>
              <w:footnoteReference w:id="78"/>
            </w:r>
            <w:r w:rsidRPr="00841662">
              <w:rPr>
                <w:rFonts w:cstheme="minorHAnsi"/>
                <w:sz w:val="21"/>
                <w:szCs w:val="21"/>
              </w:rPr>
              <w:t xml:space="preserve"> </w:t>
            </w:r>
          </w:p>
        </w:tc>
        <w:tc>
          <w:tcPr>
            <w:tcW w:w="5225" w:type="dxa"/>
            <w:shd w:val="clear" w:color="auto" w:fill="auto"/>
            <w:tcMar>
              <w:left w:w="58" w:type="dxa"/>
              <w:right w:w="58" w:type="dxa"/>
            </w:tcMar>
            <w:vAlign w:val="center"/>
          </w:tcPr>
          <w:p w:rsidRPr="00841662" w:rsidR="00076E37" w:rsidP="000441AF" w:rsidRDefault="00076E37" w14:paraId="170D2D81" w14:textId="6242C885">
            <w:pPr>
              <w:contextualSpacing/>
              <w:rPr>
                <w:rFonts w:cs="Calibri"/>
                <w:sz w:val="21"/>
                <w:szCs w:val="21"/>
              </w:rPr>
            </w:pPr>
            <w:r w:rsidRPr="00841662">
              <w:rPr>
                <w:rFonts w:cstheme="minorHAnsi"/>
                <w:sz w:val="21"/>
                <w:szCs w:val="21"/>
              </w:rPr>
              <w:t>Nu</w:t>
            </w:r>
            <w:r>
              <w:rPr>
                <w:rFonts w:cstheme="minorHAnsi"/>
                <w:sz w:val="21"/>
                <w:szCs w:val="21"/>
              </w:rPr>
              <w:t>mber of cast iron services:</w:t>
            </w:r>
          </w:p>
        </w:tc>
        <w:tc>
          <w:tcPr>
            <w:tcW w:w="720" w:type="dxa"/>
            <w:shd w:val="clear" w:color="auto" w:fill="auto"/>
            <w:tcMar>
              <w:left w:w="58" w:type="dxa"/>
              <w:right w:w="58" w:type="dxa"/>
            </w:tcMar>
            <w:vAlign w:val="center"/>
          </w:tcPr>
          <w:p w:rsidRPr="00841662" w:rsidR="00076E37" w:rsidP="000441AF" w:rsidRDefault="00076E37" w14:paraId="6F977112" w14:textId="77777777">
            <w:pPr>
              <w:contextualSpacing/>
              <w:jc w:val="center"/>
              <w:rPr>
                <w:rFonts w:cs="Calibri"/>
                <w:sz w:val="21"/>
                <w:szCs w:val="21"/>
              </w:rPr>
            </w:pPr>
          </w:p>
        </w:tc>
      </w:tr>
      <w:tr w:rsidRPr="00841662" w:rsidR="00076E37" w:rsidTr="005F56CB" w14:paraId="0DB9B47B" w14:textId="77777777">
        <w:tblPrEx>
          <w:jc w:val="left"/>
        </w:tblPrEx>
        <w:trPr>
          <w:trHeight w:val="287"/>
        </w:trPr>
        <w:tc>
          <w:tcPr>
            <w:tcW w:w="1795" w:type="dxa"/>
            <w:vMerge/>
            <w:shd w:val="clear" w:color="auto" w:fill="auto"/>
            <w:tcMar>
              <w:left w:w="58" w:type="dxa"/>
              <w:right w:w="58" w:type="dxa"/>
            </w:tcMar>
            <w:vAlign w:val="center"/>
          </w:tcPr>
          <w:p w:rsidRPr="00841662" w:rsidR="00076E37" w:rsidP="00740134" w:rsidRDefault="00076E37" w14:paraId="72B999F4" w14:textId="77777777">
            <w:pPr>
              <w:rPr>
                <w:rFonts w:cstheme="minorHAnsi"/>
                <w:sz w:val="21"/>
                <w:szCs w:val="21"/>
              </w:rPr>
            </w:pPr>
          </w:p>
        </w:tc>
        <w:tc>
          <w:tcPr>
            <w:tcW w:w="1620" w:type="dxa"/>
            <w:vMerge/>
            <w:shd w:val="clear" w:color="auto" w:fill="auto"/>
            <w:tcMar>
              <w:left w:w="58" w:type="dxa"/>
              <w:right w:w="58" w:type="dxa"/>
            </w:tcMar>
            <w:vAlign w:val="center"/>
          </w:tcPr>
          <w:p w:rsidRPr="00841662" w:rsidR="00076E37" w:rsidP="00740134" w:rsidRDefault="00076E37" w14:paraId="555414C2" w14:textId="77777777">
            <w:pPr>
              <w:rPr>
                <w:rFonts w:cstheme="minorHAnsi"/>
                <w:sz w:val="21"/>
                <w:szCs w:val="21"/>
              </w:rPr>
            </w:pPr>
          </w:p>
        </w:tc>
        <w:tc>
          <w:tcPr>
            <w:tcW w:w="5225" w:type="dxa"/>
            <w:shd w:val="clear" w:color="auto" w:fill="auto"/>
            <w:tcMar>
              <w:left w:w="58" w:type="dxa"/>
              <w:right w:w="58" w:type="dxa"/>
            </w:tcMar>
            <w:vAlign w:val="center"/>
          </w:tcPr>
          <w:p w:rsidRPr="00841662" w:rsidR="00076E37" w:rsidP="00740134" w:rsidRDefault="00076E37" w14:paraId="15AD3EB4" w14:textId="26F16FBD">
            <w:pPr>
              <w:ind w:left="288"/>
              <w:contextualSpacing/>
              <w:rPr>
                <w:rFonts w:cstheme="minorHAnsi"/>
                <w:sz w:val="21"/>
                <w:szCs w:val="21"/>
              </w:rPr>
            </w:pPr>
            <w:r>
              <w:rPr>
                <w:rFonts w:cstheme="minorHAnsi"/>
                <w:sz w:val="21"/>
                <w:szCs w:val="21"/>
              </w:rPr>
              <w:t>R</w:t>
            </w:r>
            <w:r w:rsidRPr="00D462E9">
              <w:rPr>
                <w:rFonts w:cstheme="minorHAnsi"/>
                <w:sz w:val="21"/>
                <w:szCs w:val="21"/>
              </w:rPr>
              <w:t>eplaced with plastic</w:t>
            </w:r>
          </w:p>
        </w:tc>
        <w:tc>
          <w:tcPr>
            <w:tcW w:w="720" w:type="dxa"/>
            <w:shd w:val="clear" w:color="auto" w:fill="auto"/>
            <w:tcMar>
              <w:left w:w="58" w:type="dxa"/>
              <w:right w:w="58" w:type="dxa"/>
            </w:tcMar>
            <w:vAlign w:val="center"/>
          </w:tcPr>
          <w:p w:rsidRPr="00841662" w:rsidR="00076E37" w:rsidP="00740134" w:rsidRDefault="00076E37" w14:paraId="324B4C45" w14:textId="77777777">
            <w:pPr>
              <w:contextualSpacing/>
              <w:jc w:val="center"/>
              <w:rPr>
                <w:rFonts w:cs="Calibri"/>
                <w:sz w:val="21"/>
                <w:szCs w:val="21"/>
              </w:rPr>
            </w:pPr>
          </w:p>
        </w:tc>
      </w:tr>
      <w:tr w:rsidRPr="00841662" w:rsidR="00076E37" w:rsidTr="005F56CB" w14:paraId="4A77ADF5" w14:textId="77777777">
        <w:tblPrEx>
          <w:jc w:val="left"/>
        </w:tblPrEx>
        <w:trPr>
          <w:trHeight w:val="242"/>
        </w:trPr>
        <w:tc>
          <w:tcPr>
            <w:tcW w:w="1795" w:type="dxa"/>
            <w:vMerge/>
            <w:shd w:val="clear" w:color="auto" w:fill="auto"/>
            <w:tcMar>
              <w:left w:w="58" w:type="dxa"/>
              <w:right w:w="58" w:type="dxa"/>
            </w:tcMar>
            <w:vAlign w:val="center"/>
          </w:tcPr>
          <w:p w:rsidRPr="00841662" w:rsidR="00076E37" w:rsidP="00740134" w:rsidRDefault="00076E37" w14:paraId="7F391238" w14:textId="77777777">
            <w:pPr>
              <w:rPr>
                <w:rFonts w:cstheme="minorHAnsi"/>
                <w:sz w:val="21"/>
                <w:szCs w:val="21"/>
                <w:u w:val="single"/>
              </w:rPr>
            </w:pPr>
          </w:p>
        </w:tc>
        <w:tc>
          <w:tcPr>
            <w:tcW w:w="1620" w:type="dxa"/>
            <w:vMerge/>
            <w:shd w:val="clear" w:color="auto" w:fill="auto"/>
            <w:tcMar>
              <w:left w:w="58" w:type="dxa"/>
              <w:right w:w="58" w:type="dxa"/>
            </w:tcMar>
            <w:vAlign w:val="center"/>
          </w:tcPr>
          <w:p w:rsidRPr="00841662" w:rsidR="00076E37" w:rsidP="00740134" w:rsidRDefault="00076E37" w14:paraId="4B7CE4E1" w14:textId="77777777">
            <w:pPr>
              <w:rPr>
                <w:rFonts w:cstheme="minorHAnsi"/>
                <w:sz w:val="21"/>
                <w:szCs w:val="21"/>
              </w:rPr>
            </w:pPr>
          </w:p>
        </w:tc>
        <w:tc>
          <w:tcPr>
            <w:tcW w:w="5225" w:type="dxa"/>
            <w:shd w:val="clear" w:color="auto" w:fill="auto"/>
            <w:tcMar>
              <w:left w:w="58" w:type="dxa"/>
              <w:right w:w="58" w:type="dxa"/>
            </w:tcMar>
            <w:vAlign w:val="center"/>
          </w:tcPr>
          <w:p w:rsidRPr="00841662" w:rsidR="00076E37" w:rsidP="00740134" w:rsidRDefault="00076E37" w14:paraId="1165735E" w14:textId="0A005A81">
            <w:pPr>
              <w:ind w:left="288"/>
              <w:contextualSpacing/>
              <w:rPr>
                <w:rFonts w:cstheme="minorHAnsi"/>
                <w:sz w:val="21"/>
                <w:szCs w:val="21"/>
              </w:rPr>
            </w:pPr>
            <w:r>
              <w:rPr>
                <w:rFonts w:cstheme="minorHAnsi"/>
                <w:sz w:val="21"/>
                <w:szCs w:val="21"/>
              </w:rPr>
              <w:t>R</w:t>
            </w:r>
            <w:r w:rsidRPr="00841662">
              <w:rPr>
                <w:rFonts w:cstheme="minorHAnsi"/>
                <w:sz w:val="21"/>
                <w:szCs w:val="21"/>
              </w:rPr>
              <w:t>eplaced with protected steel</w:t>
            </w:r>
          </w:p>
        </w:tc>
        <w:tc>
          <w:tcPr>
            <w:tcW w:w="720" w:type="dxa"/>
            <w:shd w:val="clear" w:color="auto" w:fill="auto"/>
            <w:tcMar>
              <w:left w:w="58" w:type="dxa"/>
              <w:right w:w="58" w:type="dxa"/>
            </w:tcMar>
            <w:vAlign w:val="center"/>
          </w:tcPr>
          <w:p w:rsidRPr="00841662" w:rsidR="00076E37" w:rsidP="00740134" w:rsidRDefault="00076E37" w14:paraId="7C0798A3" w14:textId="77777777">
            <w:pPr>
              <w:contextualSpacing/>
              <w:jc w:val="center"/>
              <w:rPr>
                <w:rFonts w:cs="Calibri"/>
                <w:sz w:val="21"/>
                <w:szCs w:val="21"/>
              </w:rPr>
            </w:pPr>
          </w:p>
        </w:tc>
      </w:tr>
      <w:tr w:rsidRPr="00841662" w:rsidR="00076E37" w:rsidTr="005F56CB" w14:paraId="097F4FC5" w14:textId="77777777">
        <w:tblPrEx>
          <w:jc w:val="left"/>
        </w:tblPrEx>
        <w:trPr>
          <w:trHeight w:val="170"/>
        </w:trPr>
        <w:tc>
          <w:tcPr>
            <w:tcW w:w="1795" w:type="dxa"/>
            <w:vMerge/>
            <w:shd w:val="clear" w:color="auto" w:fill="auto"/>
            <w:tcMar>
              <w:left w:w="58" w:type="dxa"/>
              <w:right w:w="58" w:type="dxa"/>
            </w:tcMar>
            <w:vAlign w:val="center"/>
          </w:tcPr>
          <w:p w:rsidRPr="00841662" w:rsidR="00076E37" w:rsidP="00740134" w:rsidRDefault="00076E37" w14:paraId="6C597CDF" w14:textId="77777777">
            <w:pPr>
              <w:rPr>
                <w:rFonts w:cstheme="minorHAnsi"/>
                <w:sz w:val="21"/>
                <w:szCs w:val="21"/>
                <w:u w:val="single"/>
              </w:rPr>
            </w:pPr>
          </w:p>
        </w:tc>
        <w:tc>
          <w:tcPr>
            <w:tcW w:w="1620" w:type="dxa"/>
            <w:vMerge/>
            <w:shd w:val="clear" w:color="auto" w:fill="auto"/>
            <w:tcMar>
              <w:left w:w="58" w:type="dxa"/>
              <w:right w:w="58" w:type="dxa"/>
            </w:tcMar>
            <w:vAlign w:val="center"/>
          </w:tcPr>
          <w:p w:rsidRPr="00841662" w:rsidR="00076E37" w:rsidP="00740134" w:rsidRDefault="00076E37" w14:paraId="4018744B" w14:textId="77777777">
            <w:pPr>
              <w:rPr>
                <w:rFonts w:cstheme="minorHAnsi"/>
                <w:sz w:val="21"/>
                <w:szCs w:val="21"/>
              </w:rPr>
            </w:pPr>
          </w:p>
        </w:tc>
        <w:tc>
          <w:tcPr>
            <w:tcW w:w="5225" w:type="dxa"/>
            <w:shd w:val="clear" w:color="auto" w:fill="auto"/>
            <w:tcMar>
              <w:left w:w="58" w:type="dxa"/>
              <w:right w:w="58" w:type="dxa"/>
            </w:tcMar>
            <w:vAlign w:val="center"/>
          </w:tcPr>
          <w:p w:rsidRPr="00841662" w:rsidR="00076E37" w:rsidP="00740134" w:rsidRDefault="00076E37" w14:paraId="05322FB3" w14:textId="7A4C25C6">
            <w:pPr>
              <w:ind w:left="288"/>
              <w:contextualSpacing/>
              <w:rPr>
                <w:rFonts w:cstheme="minorHAnsi"/>
                <w:sz w:val="21"/>
                <w:szCs w:val="21"/>
              </w:rPr>
            </w:pPr>
            <w:r>
              <w:rPr>
                <w:rFonts w:cstheme="minorHAnsi"/>
                <w:sz w:val="21"/>
                <w:szCs w:val="21"/>
              </w:rPr>
              <w:t>R</w:t>
            </w:r>
            <w:r w:rsidRPr="00841662">
              <w:rPr>
                <w:rFonts w:cstheme="minorHAnsi"/>
                <w:sz w:val="21"/>
                <w:szCs w:val="21"/>
              </w:rPr>
              <w:t>eplaced with copper</w:t>
            </w:r>
          </w:p>
        </w:tc>
        <w:tc>
          <w:tcPr>
            <w:tcW w:w="720" w:type="dxa"/>
            <w:shd w:val="clear" w:color="auto" w:fill="auto"/>
            <w:tcMar>
              <w:left w:w="58" w:type="dxa"/>
              <w:right w:w="58" w:type="dxa"/>
            </w:tcMar>
            <w:vAlign w:val="center"/>
          </w:tcPr>
          <w:p w:rsidRPr="00841662" w:rsidR="00076E37" w:rsidP="00740134" w:rsidRDefault="00076E37" w14:paraId="715CA052" w14:textId="77777777">
            <w:pPr>
              <w:contextualSpacing/>
              <w:jc w:val="center"/>
              <w:rPr>
                <w:rFonts w:cs="Calibri"/>
                <w:sz w:val="21"/>
                <w:szCs w:val="21"/>
              </w:rPr>
            </w:pPr>
          </w:p>
        </w:tc>
      </w:tr>
      <w:tr w:rsidRPr="00841662" w:rsidR="00076E37" w:rsidTr="005F56CB" w14:paraId="4D9CFB44" w14:textId="77777777">
        <w:tblPrEx>
          <w:jc w:val="left"/>
        </w:tblPrEx>
        <w:trPr>
          <w:trHeight w:val="233"/>
        </w:trPr>
        <w:tc>
          <w:tcPr>
            <w:tcW w:w="1795" w:type="dxa"/>
            <w:vMerge/>
            <w:shd w:val="clear" w:color="auto" w:fill="auto"/>
            <w:tcMar>
              <w:left w:w="58" w:type="dxa"/>
              <w:right w:w="58" w:type="dxa"/>
            </w:tcMar>
            <w:vAlign w:val="center"/>
          </w:tcPr>
          <w:p w:rsidRPr="00841662" w:rsidR="00076E37" w:rsidP="00740134" w:rsidRDefault="00076E37" w14:paraId="7423F448" w14:textId="77777777">
            <w:pPr>
              <w:rPr>
                <w:rFonts w:cstheme="minorHAnsi"/>
                <w:sz w:val="21"/>
                <w:szCs w:val="21"/>
                <w:u w:val="single"/>
              </w:rPr>
            </w:pPr>
          </w:p>
        </w:tc>
        <w:tc>
          <w:tcPr>
            <w:tcW w:w="1620" w:type="dxa"/>
            <w:vMerge/>
            <w:shd w:val="clear" w:color="auto" w:fill="auto"/>
            <w:tcMar>
              <w:left w:w="58" w:type="dxa"/>
              <w:right w:w="58" w:type="dxa"/>
            </w:tcMar>
            <w:vAlign w:val="center"/>
          </w:tcPr>
          <w:p w:rsidRPr="00841662" w:rsidR="00076E37" w:rsidP="00740134" w:rsidRDefault="00076E37" w14:paraId="225F6572" w14:textId="77777777">
            <w:pPr>
              <w:rPr>
                <w:rFonts w:cstheme="minorHAnsi"/>
                <w:sz w:val="21"/>
                <w:szCs w:val="21"/>
              </w:rPr>
            </w:pPr>
          </w:p>
        </w:tc>
        <w:tc>
          <w:tcPr>
            <w:tcW w:w="5225" w:type="dxa"/>
            <w:shd w:val="clear" w:color="auto" w:fill="auto"/>
            <w:tcMar>
              <w:left w:w="58" w:type="dxa"/>
              <w:right w:w="58" w:type="dxa"/>
            </w:tcMar>
            <w:vAlign w:val="center"/>
          </w:tcPr>
          <w:p w:rsidRPr="00841662" w:rsidR="00076E37" w:rsidP="00740134" w:rsidRDefault="00076E37" w14:paraId="40C3807C" w14:textId="25D00323">
            <w:pPr>
              <w:ind w:left="288"/>
              <w:contextualSpacing/>
              <w:rPr>
                <w:rFonts w:cstheme="minorHAnsi"/>
                <w:sz w:val="21"/>
                <w:szCs w:val="21"/>
              </w:rPr>
            </w:pPr>
            <w:r>
              <w:rPr>
                <w:rFonts w:cstheme="minorHAnsi"/>
                <w:sz w:val="21"/>
                <w:szCs w:val="21"/>
              </w:rPr>
              <w:t>R</w:t>
            </w:r>
            <w:r w:rsidRPr="00841662">
              <w:rPr>
                <w:rFonts w:cstheme="minorHAnsi"/>
                <w:sz w:val="21"/>
                <w:szCs w:val="21"/>
              </w:rPr>
              <w:t xml:space="preserve">ehabilitated with plastic pipe inserts </w:t>
            </w:r>
          </w:p>
        </w:tc>
        <w:tc>
          <w:tcPr>
            <w:tcW w:w="720" w:type="dxa"/>
            <w:shd w:val="clear" w:color="auto" w:fill="auto"/>
            <w:tcMar>
              <w:left w:w="58" w:type="dxa"/>
              <w:right w:w="58" w:type="dxa"/>
            </w:tcMar>
            <w:vAlign w:val="center"/>
          </w:tcPr>
          <w:p w:rsidRPr="00841662" w:rsidR="00076E37" w:rsidP="00740134" w:rsidRDefault="00076E37" w14:paraId="2724E61F" w14:textId="77777777">
            <w:pPr>
              <w:contextualSpacing/>
              <w:jc w:val="center"/>
              <w:rPr>
                <w:rFonts w:cs="Calibri"/>
                <w:sz w:val="21"/>
                <w:szCs w:val="21"/>
              </w:rPr>
            </w:pPr>
          </w:p>
        </w:tc>
      </w:tr>
      <w:tr w:rsidRPr="00841662" w:rsidR="008F2EBF" w:rsidTr="005F56CB" w14:paraId="094EFA03" w14:textId="77777777">
        <w:tblPrEx>
          <w:jc w:val="left"/>
        </w:tblPrEx>
        <w:trPr>
          <w:trHeight w:val="233"/>
        </w:trPr>
        <w:tc>
          <w:tcPr>
            <w:tcW w:w="1795" w:type="dxa"/>
            <w:vMerge/>
            <w:shd w:val="clear" w:color="auto" w:fill="auto"/>
            <w:tcMar>
              <w:left w:w="58" w:type="dxa"/>
              <w:right w:w="58" w:type="dxa"/>
            </w:tcMar>
            <w:vAlign w:val="center"/>
          </w:tcPr>
          <w:p w:rsidRPr="00841662" w:rsidR="008F2EBF" w:rsidP="00740134" w:rsidRDefault="008F2EBF" w14:paraId="53C7FD09" w14:textId="77777777">
            <w:pPr>
              <w:rPr>
                <w:rFonts w:cstheme="minorHAnsi"/>
                <w:sz w:val="21"/>
                <w:szCs w:val="21"/>
                <w:u w:val="single"/>
              </w:rPr>
            </w:pPr>
          </w:p>
        </w:tc>
        <w:tc>
          <w:tcPr>
            <w:tcW w:w="1620" w:type="dxa"/>
            <w:vMerge/>
            <w:shd w:val="clear" w:color="auto" w:fill="auto"/>
            <w:tcMar>
              <w:left w:w="58" w:type="dxa"/>
              <w:right w:w="58" w:type="dxa"/>
            </w:tcMar>
            <w:vAlign w:val="center"/>
          </w:tcPr>
          <w:p w:rsidRPr="00841662" w:rsidR="008F2EBF" w:rsidP="00740134" w:rsidRDefault="008F2EBF" w14:paraId="3A43289F" w14:textId="77777777">
            <w:pPr>
              <w:rPr>
                <w:rFonts w:cstheme="minorHAnsi"/>
                <w:sz w:val="21"/>
                <w:szCs w:val="21"/>
              </w:rPr>
            </w:pPr>
          </w:p>
        </w:tc>
        <w:tc>
          <w:tcPr>
            <w:tcW w:w="5225" w:type="dxa"/>
            <w:shd w:val="clear" w:color="auto" w:fill="auto"/>
            <w:tcMar>
              <w:left w:w="58" w:type="dxa"/>
              <w:right w:w="58" w:type="dxa"/>
            </w:tcMar>
            <w:vAlign w:val="center"/>
          </w:tcPr>
          <w:p w:rsidR="008F2EBF" w:rsidP="00740134" w:rsidRDefault="008F2EBF" w14:paraId="3D7A3A3F" w14:textId="35DA042E">
            <w:pPr>
              <w:ind w:left="288"/>
              <w:contextualSpacing/>
              <w:rPr>
                <w:rFonts w:cstheme="minorHAnsi"/>
                <w:sz w:val="21"/>
                <w:szCs w:val="21"/>
              </w:rPr>
            </w:pPr>
            <w:r w:rsidRPr="005533C3">
              <w:rPr>
                <w:rFonts w:cstheme="minorHAnsi"/>
                <w:sz w:val="21"/>
                <w:szCs w:val="21"/>
                <w:highlight w:val="yellow"/>
              </w:rPr>
              <w:t>Retired without replacement</w:t>
            </w:r>
          </w:p>
        </w:tc>
        <w:tc>
          <w:tcPr>
            <w:tcW w:w="720" w:type="dxa"/>
            <w:shd w:val="clear" w:color="auto" w:fill="auto"/>
            <w:tcMar>
              <w:left w:w="58" w:type="dxa"/>
              <w:right w:w="58" w:type="dxa"/>
            </w:tcMar>
            <w:vAlign w:val="center"/>
          </w:tcPr>
          <w:p w:rsidRPr="00841662" w:rsidR="008F2EBF" w:rsidP="00740134" w:rsidRDefault="008F2EBF" w14:paraId="15195E9A" w14:textId="77777777">
            <w:pPr>
              <w:contextualSpacing/>
              <w:jc w:val="center"/>
              <w:rPr>
                <w:rFonts w:cs="Calibri"/>
                <w:sz w:val="21"/>
                <w:szCs w:val="21"/>
              </w:rPr>
            </w:pPr>
          </w:p>
        </w:tc>
      </w:tr>
      <w:tr w:rsidRPr="00841662" w:rsidR="00076E37" w:rsidTr="005F56CB" w14:paraId="3FFFBA29" w14:textId="77777777">
        <w:tblPrEx>
          <w:jc w:val="left"/>
        </w:tblPrEx>
        <w:trPr>
          <w:trHeight w:val="233"/>
        </w:trPr>
        <w:tc>
          <w:tcPr>
            <w:tcW w:w="1795" w:type="dxa"/>
            <w:vMerge/>
            <w:shd w:val="clear" w:color="auto" w:fill="auto"/>
            <w:tcMar>
              <w:left w:w="58" w:type="dxa"/>
              <w:right w:w="58" w:type="dxa"/>
            </w:tcMar>
            <w:vAlign w:val="center"/>
          </w:tcPr>
          <w:p w:rsidRPr="00841662" w:rsidR="00076E37" w:rsidP="00740134" w:rsidRDefault="00076E37" w14:paraId="1A604EE6" w14:textId="77777777">
            <w:pPr>
              <w:rPr>
                <w:rFonts w:cstheme="minorHAnsi"/>
                <w:sz w:val="21"/>
                <w:szCs w:val="21"/>
                <w:u w:val="single"/>
              </w:rPr>
            </w:pPr>
          </w:p>
        </w:tc>
        <w:tc>
          <w:tcPr>
            <w:tcW w:w="1620" w:type="dxa"/>
            <w:vMerge/>
            <w:shd w:val="clear" w:color="auto" w:fill="auto"/>
            <w:tcMar>
              <w:left w:w="58" w:type="dxa"/>
              <w:right w:w="58" w:type="dxa"/>
            </w:tcMar>
            <w:vAlign w:val="center"/>
          </w:tcPr>
          <w:p w:rsidRPr="00841662" w:rsidR="00076E37" w:rsidP="00740134" w:rsidRDefault="00076E37" w14:paraId="7BBF964F" w14:textId="77777777">
            <w:pPr>
              <w:rPr>
                <w:rFonts w:cstheme="minorHAnsi"/>
                <w:sz w:val="21"/>
                <w:szCs w:val="21"/>
              </w:rPr>
            </w:pPr>
          </w:p>
        </w:tc>
        <w:tc>
          <w:tcPr>
            <w:tcW w:w="5225" w:type="dxa"/>
            <w:shd w:val="clear" w:color="auto" w:fill="auto"/>
            <w:tcMar>
              <w:left w:w="58" w:type="dxa"/>
              <w:right w:w="58" w:type="dxa"/>
            </w:tcMar>
            <w:vAlign w:val="center"/>
          </w:tcPr>
          <w:p w:rsidRPr="00841662" w:rsidR="00076E37" w:rsidP="00740134" w:rsidRDefault="00076E37" w14:paraId="7FF63CD9" w14:textId="7B66A374">
            <w:pPr>
              <w:contextualSpacing/>
              <w:rPr>
                <w:rFonts w:cstheme="minorHAnsi"/>
                <w:sz w:val="21"/>
                <w:szCs w:val="21"/>
              </w:rPr>
            </w:pPr>
            <w:r w:rsidRPr="00841662">
              <w:rPr>
                <w:rFonts w:cstheme="minorHAnsi"/>
                <w:sz w:val="21"/>
                <w:szCs w:val="21"/>
              </w:rPr>
              <w:t>Number of un</w:t>
            </w:r>
            <w:r>
              <w:rPr>
                <w:rFonts w:cstheme="minorHAnsi"/>
                <w:sz w:val="21"/>
                <w:szCs w:val="21"/>
              </w:rPr>
              <w:t>protected steel services:</w:t>
            </w:r>
          </w:p>
        </w:tc>
        <w:tc>
          <w:tcPr>
            <w:tcW w:w="720" w:type="dxa"/>
            <w:shd w:val="clear" w:color="auto" w:fill="auto"/>
            <w:tcMar>
              <w:left w:w="58" w:type="dxa"/>
              <w:right w:w="58" w:type="dxa"/>
            </w:tcMar>
            <w:vAlign w:val="center"/>
          </w:tcPr>
          <w:p w:rsidRPr="00841662" w:rsidR="00076E37" w:rsidP="00740134" w:rsidRDefault="00076E37" w14:paraId="24893D41" w14:textId="77777777">
            <w:pPr>
              <w:contextualSpacing/>
              <w:jc w:val="center"/>
              <w:rPr>
                <w:rFonts w:cs="Calibri"/>
                <w:sz w:val="21"/>
                <w:szCs w:val="21"/>
              </w:rPr>
            </w:pPr>
          </w:p>
        </w:tc>
      </w:tr>
      <w:tr w:rsidRPr="00841662" w:rsidR="00076E37" w:rsidTr="005F56CB" w14:paraId="5926BFF2" w14:textId="77777777">
        <w:tblPrEx>
          <w:jc w:val="left"/>
        </w:tblPrEx>
        <w:trPr>
          <w:trHeight w:val="70"/>
        </w:trPr>
        <w:tc>
          <w:tcPr>
            <w:tcW w:w="1795" w:type="dxa"/>
            <w:vMerge/>
            <w:shd w:val="clear" w:color="auto" w:fill="auto"/>
            <w:tcMar>
              <w:left w:w="58" w:type="dxa"/>
              <w:right w:w="58" w:type="dxa"/>
            </w:tcMar>
            <w:vAlign w:val="center"/>
          </w:tcPr>
          <w:p w:rsidRPr="00841662" w:rsidR="00076E37" w:rsidP="00740134" w:rsidRDefault="00076E37" w14:paraId="3396050D" w14:textId="77777777">
            <w:pPr>
              <w:rPr>
                <w:rFonts w:cstheme="minorHAnsi"/>
                <w:sz w:val="21"/>
                <w:szCs w:val="21"/>
                <w:u w:val="single"/>
              </w:rPr>
            </w:pPr>
          </w:p>
        </w:tc>
        <w:tc>
          <w:tcPr>
            <w:tcW w:w="1620" w:type="dxa"/>
            <w:vMerge/>
            <w:shd w:val="clear" w:color="auto" w:fill="auto"/>
            <w:tcMar>
              <w:left w:w="58" w:type="dxa"/>
              <w:right w:w="58" w:type="dxa"/>
            </w:tcMar>
            <w:vAlign w:val="center"/>
          </w:tcPr>
          <w:p w:rsidRPr="00841662" w:rsidR="00076E37" w:rsidP="00740134" w:rsidRDefault="00076E37" w14:paraId="1D4C861D" w14:textId="77777777">
            <w:pPr>
              <w:rPr>
                <w:rFonts w:cstheme="minorHAnsi"/>
                <w:sz w:val="21"/>
                <w:szCs w:val="21"/>
              </w:rPr>
            </w:pPr>
          </w:p>
        </w:tc>
        <w:tc>
          <w:tcPr>
            <w:tcW w:w="5225" w:type="dxa"/>
            <w:shd w:val="clear" w:color="auto" w:fill="auto"/>
            <w:tcMar>
              <w:left w:w="58" w:type="dxa"/>
              <w:right w:w="58" w:type="dxa"/>
            </w:tcMar>
            <w:vAlign w:val="center"/>
          </w:tcPr>
          <w:p w:rsidRPr="00841662" w:rsidR="00076E37" w:rsidP="00740134" w:rsidRDefault="00076E37" w14:paraId="1BC1B777" w14:textId="2D776ACF">
            <w:pPr>
              <w:ind w:left="288"/>
              <w:contextualSpacing/>
              <w:rPr>
                <w:rFonts w:cstheme="minorHAnsi"/>
                <w:sz w:val="21"/>
                <w:szCs w:val="21"/>
              </w:rPr>
            </w:pPr>
            <w:r>
              <w:rPr>
                <w:rFonts w:cstheme="minorHAnsi"/>
                <w:sz w:val="21"/>
                <w:szCs w:val="21"/>
              </w:rPr>
              <w:t>C</w:t>
            </w:r>
            <w:r w:rsidRPr="00D462E9">
              <w:rPr>
                <w:rFonts w:cstheme="minorHAnsi"/>
                <w:sz w:val="21"/>
                <w:szCs w:val="21"/>
              </w:rPr>
              <w:t>athodically protected or replaced with protected steel</w:t>
            </w:r>
          </w:p>
        </w:tc>
        <w:tc>
          <w:tcPr>
            <w:tcW w:w="720" w:type="dxa"/>
            <w:shd w:val="clear" w:color="auto" w:fill="auto"/>
            <w:tcMar>
              <w:left w:w="58" w:type="dxa"/>
              <w:right w:w="58" w:type="dxa"/>
            </w:tcMar>
            <w:vAlign w:val="center"/>
          </w:tcPr>
          <w:p w:rsidRPr="00841662" w:rsidR="00076E37" w:rsidP="00740134" w:rsidRDefault="00076E37" w14:paraId="71A81B28" w14:textId="77777777">
            <w:pPr>
              <w:contextualSpacing/>
              <w:jc w:val="center"/>
              <w:rPr>
                <w:rFonts w:cs="Calibri"/>
                <w:sz w:val="21"/>
                <w:szCs w:val="21"/>
              </w:rPr>
            </w:pPr>
          </w:p>
        </w:tc>
      </w:tr>
      <w:tr w:rsidRPr="00841662" w:rsidR="00076E37" w:rsidTr="005F56CB" w14:paraId="6FC05C40" w14:textId="77777777">
        <w:tblPrEx>
          <w:jc w:val="left"/>
        </w:tblPrEx>
        <w:trPr>
          <w:trHeight w:val="197"/>
        </w:trPr>
        <w:tc>
          <w:tcPr>
            <w:tcW w:w="1795" w:type="dxa"/>
            <w:vMerge/>
            <w:shd w:val="clear" w:color="auto" w:fill="auto"/>
            <w:tcMar>
              <w:left w:w="58" w:type="dxa"/>
              <w:right w:w="58" w:type="dxa"/>
            </w:tcMar>
            <w:vAlign w:val="center"/>
          </w:tcPr>
          <w:p w:rsidRPr="00841662" w:rsidR="00076E37" w:rsidP="00740134" w:rsidRDefault="00076E37" w14:paraId="50957EAD" w14:textId="77777777">
            <w:pPr>
              <w:rPr>
                <w:rFonts w:cstheme="minorHAnsi"/>
                <w:sz w:val="21"/>
                <w:szCs w:val="21"/>
                <w:u w:val="single"/>
              </w:rPr>
            </w:pPr>
          </w:p>
        </w:tc>
        <w:tc>
          <w:tcPr>
            <w:tcW w:w="1620" w:type="dxa"/>
            <w:vMerge/>
            <w:shd w:val="clear" w:color="auto" w:fill="auto"/>
            <w:tcMar>
              <w:left w:w="58" w:type="dxa"/>
              <w:right w:w="58" w:type="dxa"/>
            </w:tcMar>
            <w:vAlign w:val="center"/>
          </w:tcPr>
          <w:p w:rsidRPr="00841662" w:rsidR="00076E37" w:rsidP="00740134" w:rsidRDefault="00076E37" w14:paraId="12298D24" w14:textId="77777777">
            <w:pPr>
              <w:rPr>
                <w:rFonts w:cstheme="minorHAnsi"/>
                <w:sz w:val="21"/>
                <w:szCs w:val="21"/>
              </w:rPr>
            </w:pPr>
          </w:p>
        </w:tc>
        <w:tc>
          <w:tcPr>
            <w:tcW w:w="5225" w:type="dxa"/>
            <w:shd w:val="clear" w:color="auto" w:fill="auto"/>
            <w:tcMar>
              <w:left w:w="58" w:type="dxa"/>
              <w:right w:w="58" w:type="dxa"/>
            </w:tcMar>
            <w:vAlign w:val="center"/>
          </w:tcPr>
          <w:p w:rsidRPr="00841662" w:rsidR="00076E37" w:rsidP="00740134" w:rsidRDefault="00076E37" w14:paraId="5F184CD5" w14:textId="1ACC89BA">
            <w:pPr>
              <w:ind w:left="288"/>
              <w:contextualSpacing/>
              <w:rPr>
                <w:rFonts w:cstheme="minorHAnsi"/>
                <w:sz w:val="21"/>
                <w:szCs w:val="21"/>
              </w:rPr>
            </w:pPr>
            <w:r>
              <w:rPr>
                <w:rFonts w:cstheme="minorHAnsi"/>
                <w:sz w:val="21"/>
                <w:szCs w:val="21"/>
              </w:rPr>
              <w:t>R</w:t>
            </w:r>
            <w:r w:rsidRPr="00841662">
              <w:rPr>
                <w:rFonts w:cstheme="minorHAnsi"/>
                <w:sz w:val="21"/>
                <w:szCs w:val="21"/>
              </w:rPr>
              <w:t>eplaced with plastic</w:t>
            </w:r>
          </w:p>
        </w:tc>
        <w:tc>
          <w:tcPr>
            <w:tcW w:w="720" w:type="dxa"/>
            <w:shd w:val="clear" w:color="auto" w:fill="auto"/>
            <w:tcMar>
              <w:left w:w="58" w:type="dxa"/>
              <w:right w:w="58" w:type="dxa"/>
            </w:tcMar>
            <w:vAlign w:val="center"/>
          </w:tcPr>
          <w:p w:rsidRPr="00841662" w:rsidR="00076E37" w:rsidP="00740134" w:rsidRDefault="00076E37" w14:paraId="42486E68" w14:textId="77777777">
            <w:pPr>
              <w:contextualSpacing/>
              <w:jc w:val="center"/>
              <w:rPr>
                <w:rFonts w:cs="Calibri"/>
                <w:sz w:val="21"/>
                <w:szCs w:val="21"/>
              </w:rPr>
            </w:pPr>
          </w:p>
        </w:tc>
      </w:tr>
      <w:tr w:rsidRPr="00841662" w:rsidR="00076E37" w:rsidTr="005F56CB" w14:paraId="378A722D" w14:textId="77777777">
        <w:tblPrEx>
          <w:jc w:val="left"/>
        </w:tblPrEx>
        <w:trPr>
          <w:trHeight w:val="107"/>
        </w:trPr>
        <w:tc>
          <w:tcPr>
            <w:tcW w:w="1795" w:type="dxa"/>
            <w:vMerge/>
            <w:shd w:val="clear" w:color="auto" w:fill="auto"/>
            <w:tcMar>
              <w:left w:w="58" w:type="dxa"/>
              <w:right w:w="58" w:type="dxa"/>
            </w:tcMar>
            <w:vAlign w:val="center"/>
          </w:tcPr>
          <w:p w:rsidRPr="00841662" w:rsidR="00076E37" w:rsidP="00740134" w:rsidRDefault="00076E37" w14:paraId="41A00699" w14:textId="77777777">
            <w:pPr>
              <w:rPr>
                <w:rFonts w:cstheme="minorHAnsi"/>
                <w:sz w:val="21"/>
                <w:szCs w:val="21"/>
                <w:u w:val="single"/>
              </w:rPr>
            </w:pPr>
          </w:p>
        </w:tc>
        <w:tc>
          <w:tcPr>
            <w:tcW w:w="1620" w:type="dxa"/>
            <w:vMerge/>
            <w:shd w:val="clear" w:color="auto" w:fill="auto"/>
            <w:tcMar>
              <w:left w:w="58" w:type="dxa"/>
              <w:right w:w="58" w:type="dxa"/>
            </w:tcMar>
            <w:vAlign w:val="center"/>
          </w:tcPr>
          <w:p w:rsidRPr="00841662" w:rsidR="00076E37" w:rsidP="00740134" w:rsidRDefault="00076E37" w14:paraId="332A0575" w14:textId="77777777">
            <w:pPr>
              <w:rPr>
                <w:rFonts w:cstheme="minorHAnsi"/>
                <w:sz w:val="21"/>
                <w:szCs w:val="21"/>
              </w:rPr>
            </w:pPr>
          </w:p>
        </w:tc>
        <w:tc>
          <w:tcPr>
            <w:tcW w:w="5225" w:type="dxa"/>
            <w:shd w:val="clear" w:color="auto" w:fill="auto"/>
            <w:tcMar>
              <w:left w:w="58" w:type="dxa"/>
              <w:right w:w="58" w:type="dxa"/>
            </w:tcMar>
            <w:vAlign w:val="center"/>
          </w:tcPr>
          <w:p w:rsidRPr="00841662" w:rsidR="00076E37" w:rsidP="00740134" w:rsidRDefault="00076E37" w14:paraId="6E20263A" w14:textId="40FD6756">
            <w:pPr>
              <w:ind w:left="288"/>
              <w:contextualSpacing/>
              <w:rPr>
                <w:rFonts w:cstheme="minorHAnsi"/>
                <w:sz w:val="21"/>
                <w:szCs w:val="21"/>
              </w:rPr>
            </w:pPr>
            <w:r>
              <w:rPr>
                <w:rFonts w:cstheme="minorHAnsi"/>
                <w:sz w:val="21"/>
                <w:szCs w:val="21"/>
              </w:rPr>
              <w:t>R</w:t>
            </w:r>
            <w:r w:rsidRPr="00841662">
              <w:rPr>
                <w:rFonts w:cstheme="minorHAnsi"/>
                <w:sz w:val="21"/>
                <w:szCs w:val="21"/>
              </w:rPr>
              <w:t>eplaced with copper</w:t>
            </w:r>
          </w:p>
        </w:tc>
        <w:tc>
          <w:tcPr>
            <w:tcW w:w="720" w:type="dxa"/>
            <w:shd w:val="clear" w:color="auto" w:fill="auto"/>
            <w:tcMar>
              <w:left w:w="58" w:type="dxa"/>
              <w:right w:w="58" w:type="dxa"/>
            </w:tcMar>
            <w:vAlign w:val="center"/>
          </w:tcPr>
          <w:p w:rsidRPr="00841662" w:rsidR="00076E37" w:rsidP="00740134" w:rsidRDefault="00076E37" w14:paraId="62677F45" w14:textId="77777777">
            <w:pPr>
              <w:contextualSpacing/>
              <w:jc w:val="center"/>
              <w:rPr>
                <w:rFonts w:cs="Calibri"/>
                <w:sz w:val="21"/>
                <w:szCs w:val="21"/>
              </w:rPr>
            </w:pPr>
          </w:p>
        </w:tc>
      </w:tr>
      <w:tr w:rsidRPr="00841662" w:rsidR="00076E37" w:rsidTr="005F56CB" w14:paraId="0F1B98FE" w14:textId="77777777">
        <w:tblPrEx>
          <w:jc w:val="left"/>
        </w:tblPrEx>
        <w:trPr>
          <w:trHeight w:val="152"/>
        </w:trPr>
        <w:tc>
          <w:tcPr>
            <w:tcW w:w="1795" w:type="dxa"/>
            <w:vMerge/>
            <w:shd w:val="clear" w:color="auto" w:fill="auto"/>
            <w:tcMar>
              <w:left w:w="58" w:type="dxa"/>
              <w:right w:w="58" w:type="dxa"/>
            </w:tcMar>
            <w:vAlign w:val="center"/>
          </w:tcPr>
          <w:p w:rsidRPr="00841662" w:rsidR="00076E37" w:rsidP="00740134" w:rsidRDefault="00076E37" w14:paraId="554B08B4" w14:textId="77777777">
            <w:pPr>
              <w:rPr>
                <w:rFonts w:cstheme="minorHAnsi"/>
                <w:sz w:val="21"/>
                <w:szCs w:val="21"/>
                <w:u w:val="single"/>
              </w:rPr>
            </w:pPr>
          </w:p>
        </w:tc>
        <w:tc>
          <w:tcPr>
            <w:tcW w:w="1620" w:type="dxa"/>
            <w:vMerge/>
            <w:shd w:val="clear" w:color="auto" w:fill="auto"/>
            <w:tcMar>
              <w:left w:w="58" w:type="dxa"/>
              <w:right w:w="58" w:type="dxa"/>
            </w:tcMar>
            <w:vAlign w:val="center"/>
          </w:tcPr>
          <w:p w:rsidRPr="00841662" w:rsidR="00076E37" w:rsidP="00740134" w:rsidRDefault="00076E37" w14:paraId="3A99D1DC" w14:textId="77777777">
            <w:pPr>
              <w:rPr>
                <w:rFonts w:cstheme="minorHAnsi"/>
                <w:sz w:val="21"/>
                <w:szCs w:val="21"/>
              </w:rPr>
            </w:pPr>
          </w:p>
        </w:tc>
        <w:tc>
          <w:tcPr>
            <w:tcW w:w="5225" w:type="dxa"/>
            <w:shd w:val="clear" w:color="auto" w:fill="auto"/>
            <w:tcMar>
              <w:left w:w="58" w:type="dxa"/>
              <w:right w:w="58" w:type="dxa"/>
            </w:tcMar>
            <w:vAlign w:val="center"/>
          </w:tcPr>
          <w:p w:rsidRPr="00841662" w:rsidR="00076E37" w:rsidP="00740134" w:rsidRDefault="00076E37" w14:paraId="3A14B10D" w14:textId="3905AFFC">
            <w:pPr>
              <w:ind w:left="288"/>
              <w:contextualSpacing/>
              <w:rPr>
                <w:rFonts w:cstheme="minorHAnsi"/>
                <w:sz w:val="21"/>
                <w:szCs w:val="21"/>
              </w:rPr>
            </w:pPr>
            <w:r>
              <w:rPr>
                <w:rFonts w:cstheme="minorHAnsi"/>
                <w:sz w:val="21"/>
                <w:szCs w:val="21"/>
              </w:rPr>
              <w:t>R</w:t>
            </w:r>
            <w:r w:rsidRPr="00841662">
              <w:rPr>
                <w:rFonts w:cstheme="minorHAnsi"/>
                <w:sz w:val="21"/>
                <w:szCs w:val="21"/>
              </w:rPr>
              <w:t xml:space="preserve">ehabilitated with plastic pipe inserts </w:t>
            </w:r>
          </w:p>
        </w:tc>
        <w:tc>
          <w:tcPr>
            <w:tcW w:w="720" w:type="dxa"/>
            <w:shd w:val="clear" w:color="auto" w:fill="auto"/>
            <w:tcMar>
              <w:left w:w="58" w:type="dxa"/>
              <w:right w:w="58" w:type="dxa"/>
            </w:tcMar>
            <w:vAlign w:val="center"/>
          </w:tcPr>
          <w:p w:rsidRPr="00841662" w:rsidR="00076E37" w:rsidP="00740134" w:rsidRDefault="00076E37" w14:paraId="46D9082E" w14:textId="77777777">
            <w:pPr>
              <w:contextualSpacing/>
              <w:jc w:val="center"/>
              <w:rPr>
                <w:rFonts w:cs="Calibri"/>
                <w:sz w:val="21"/>
                <w:szCs w:val="21"/>
              </w:rPr>
            </w:pPr>
          </w:p>
        </w:tc>
      </w:tr>
      <w:tr w:rsidRPr="00841662" w:rsidR="008F2EBF" w:rsidTr="005F56CB" w14:paraId="7F329950" w14:textId="77777777">
        <w:tblPrEx>
          <w:jc w:val="left"/>
        </w:tblPrEx>
        <w:trPr>
          <w:trHeight w:val="152"/>
        </w:trPr>
        <w:tc>
          <w:tcPr>
            <w:tcW w:w="1795" w:type="dxa"/>
            <w:vMerge/>
            <w:shd w:val="clear" w:color="auto" w:fill="auto"/>
            <w:tcMar>
              <w:left w:w="58" w:type="dxa"/>
              <w:right w:w="58" w:type="dxa"/>
            </w:tcMar>
            <w:vAlign w:val="center"/>
          </w:tcPr>
          <w:p w:rsidRPr="00841662" w:rsidR="008F2EBF" w:rsidP="00740134" w:rsidRDefault="008F2EBF" w14:paraId="642A11BD" w14:textId="77777777">
            <w:pPr>
              <w:rPr>
                <w:rFonts w:cstheme="minorHAnsi"/>
                <w:sz w:val="21"/>
                <w:szCs w:val="21"/>
                <w:u w:val="single"/>
              </w:rPr>
            </w:pPr>
          </w:p>
        </w:tc>
        <w:tc>
          <w:tcPr>
            <w:tcW w:w="1620" w:type="dxa"/>
            <w:vMerge/>
            <w:shd w:val="clear" w:color="auto" w:fill="auto"/>
            <w:tcMar>
              <w:left w:w="58" w:type="dxa"/>
              <w:right w:w="58" w:type="dxa"/>
            </w:tcMar>
            <w:vAlign w:val="center"/>
          </w:tcPr>
          <w:p w:rsidRPr="00841662" w:rsidR="008F2EBF" w:rsidP="00740134" w:rsidRDefault="008F2EBF" w14:paraId="3CF77659" w14:textId="77777777">
            <w:pPr>
              <w:rPr>
                <w:rFonts w:cstheme="minorHAnsi"/>
                <w:sz w:val="21"/>
                <w:szCs w:val="21"/>
              </w:rPr>
            </w:pPr>
          </w:p>
        </w:tc>
        <w:tc>
          <w:tcPr>
            <w:tcW w:w="5225" w:type="dxa"/>
            <w:shd w:val="clear" w:color="auto" w:fill="auto"/>
            <w:tcMar>
              <w:left w:w="58" w:type="dxa"/>
              <w:right w:w="58" w:type="dxa"/>
            </w:tcMar>
            <w:vAlign w:val="center"/>
          </w:tcPr>
          <w:p w:rsidR="008F2EBF" w:rsidP="00740134" w:rsidRDefault="008F2EBF" w14:paraId="7C840361" w14:textId="53308514">
            <w:pPr>
              <w:ind w:left="288"/>
              <w:contextualSpacing/>
              <w:rPr>
                <w:rFonts w:cstheme="minorHAnsi"/>
                <w:sz w:val="21"/>
                <w:szCs w:val="21"/>
              </w:rPr>
            </w:pPr>
            <w:r w:rsidRPr="005533C3">
              <w:rPr>
                <w:rFonts w:cstheme="minorHAnsi"/>
                <w:sz w:val="21"/>
                <w:szCs w:val="21"/>
                <w:highlight w:val="yellow"/>
              </w:rPr>
              <w:t>Retired without replacement</w:t>
            </w:r>
          </w:p>
        </w:tc>
        <w:tc>
          <w:tcPr>
            <w:tcW w:w="720" w:type="dxa"/>
            <w:shd w:val="clear" w:color="auto" w:fill="auto"/>
            <w:tcMar>
              <w:left w:w="58" w:type="dxa"/>
              <w:right w:w="58" w:type="dxa"/>
            </w:tcMar>
            <w:vAlign w:val="center"/>
          </w:tcPr>
          <w:p w:rsidRPr="00841662" w:rsidR="008F2EBF" w:rsidP="00740134" w:rsidRDefault="008F2EBF" w14:paraId="6F829247" w14:textId="77777777">
            <w:pPr>
              <w:contextualSpacing/>
              <w:jc w:val="center"/>
              <w:rPr>
                <w:rFonts w:cs="Calibri"/>
                <w:sz w:val="21"/>
                <w:szCs w:val="21"/>
              </w:rPr>
            </w:pPr>
          </w:p>
        </w:tc>
      </w:tr>
      <w:tr w:rsidRPr="00841662" w:rsidR="00076E37" w:rsidTr="005F56CB" w14:paraId="78CD6379" w14:textId="77777777">
        <w:tblPrEx>
          <w:jc w:val="left"/>
        </w:tblPrEx>
        <w:trPr>
          <w:trHeight w:val="260"/>
        </w:trPr>
        <w:tc>
          <w:tcPr>
            <w:tcW w:w="1795" w:type="dxa"/>
            <w:vMerge/>
            <w:shd w:val="clear" w:color="auto" w:fill="auto"/>
            <w:tcMar>
              <w:left w:w="58" w:type="dxa"/>
              <w:right w:w="58" w:type="dxa"/>
            </w:tcMar>
            <w:vAlign w:val="center"/>
          </w:tcPr>
          <w:p w:rsidRPr="00841662" w:rsidR="00076E37" w:rsidP="00740134" w:rsidRDefault="00076E37" w14:paraId="30C8F84E" w14:textId="77777777">
            <w:pPr>
              <w:rPr>
                <w:rFonts w:cstheme="minorHAnsi"/>
                <w:sz w:val="21"/>
                <w:szCs w:val="21"/>
                <w:u w:val="single"/>
              </w:rPr>
            </w:pPr>
          </w:p>
        </w:tc>
        <w:tc>
          <w:tcPr>
            <w:tcW w:w="1620" w:type="dxa"/>
            <w:vMerge/>
            <w:shd w:val="clear" w:color="auto" w:fill="auto"/>
            <w:tcMar>
              <w:left w:w="58" w:type="dxa"/>
              <w:right w:w="58" w:type="dxa"/>
            </w:tcMar>
            <w:vAlign w:val="center"/>
          </w:tcPr>
          <w:p w:rsidRPr="00841662" w:rsidR="00076E37" w:rsidP="00740134" w:rsidRDefault="00076E37" w14:paraId="28EA8C5F" w14:textId="77777777">
            <w:pPr>
              <w:rPr>
                <w:rFonts w:cstheme="minorHAnsi"/>
                <w:sz w:val="21"/>
                <w:szCs w:val="21"/>
              </w:rPr>
            </w:pPr>
          </w:p>
        </w:tc>
        <w:tc>
          <w:tcPr>
            <w:tcW w:w="5225" w:type="dxa"/>
            <w:shd w:val="clear" w:color="auto" w:fill="auto"/>
            <w:tcMar>
              <w:left w:w="58" w:type="dxa"/>
              <w:right w:w="58" w:type="dxa"/>
            </w:tcMar>
            <w:vAlign w:val="center"/>
          </w:tcPr>
          <w:p w:rsidRPr="00841662" w:rsidR="00076E37" w:rsidP="00740134" w:rsidRDefault="00076E37" w14:paraId="4917EFA7" w14:textId="5199E1AD">
            <w:pPr>
              <w:contextualSpacing/>
              <w:rPr>
                <w:rFonts w:cstheme="minorHAnsi"/>
                <w:sz w:val="21"/>
                <w:szCs w:val="21"/>
              </w:rPr>
            </w:pPr>
            <w:r w:rsidRPr="00841662">
              <w:rPr>
                <w:rFonts w:cstheme="minorHAnsi"/>
                <w:sz w:val="21"/>
                <w:szCs w:val="21"/>
              </w:rPr>
              <w:t>Emission reductions from voluntary action (mt CH</w:t>
            </w:r>
            <w:r w:rsidRPr="003B721A">
              <w:rPr>
                <w:rFonts w:cstheme="minorHAnsi"/>
                <w:sz w:val="21"/>
                <w:szCs w:val="21"/>
                <w:vertAlign w:val="subscript"/>
              </w:rPr>
              <w:t>4</w:t>
            </w:r>
            <w:r w:rsidRPr="00841662">
              <w:rPr>
                <w:rFonts w:cstheme="minorHAnsi"/>
                <w:sz w:val="21"/>
                <w:szCs w:val="21"/>
              </w:rPr>
              <w:t>)</w:t>
            </w:r>
          </w:p>
        </w:tc>
        <w:tc>
          <w:tcPr>
            <w:tcW w:w="720" w:type="dxa"/>
            <w:shd w:val="clear" w:color="auto" w:fill="auto"/>
            <w:tcMar>
              <w:left w:w="58" w:type="dxa"/>
              <w:right w:w="58" w:type="dxa"/>
            </w:tcMar>
            <w:vAlign w:val="center"/>
          </w:tcPr>
          <w:p w:rsidRPr="00841662" w:rsidR="00076E37" w:rsidP="00740134" w:rsidRDefault="00076E37" w14:paraId="3651BD06" w14:textId="77777777">
            <w:pPr>
              <w:contextualSpacing/>
              <w:jc w:val="center"/>
              <w:rPr>
                <w:rFonts w:cs="Calibri"/>
                <w:sz w:val="21"/>
                <w:szCs w:val="21"/>
              </w:rPr>
            </w:pPr>
          </w:p>
        </w:tc>
      </w:tr>
    </w:tbl>
    <w:p w:rsidR="0030161A" w:rsidP="005D3B44" w:rsidRDefault="00DD1159" w14:paraId="1A01C9B4" w14:textId="1EF9FEB7">
      <w:bookmarkStart w:name="_Toc431980568" w:id="37"/>
      <w:r>
        <w:br w:type="page"/>
      </w:r>
    </w:p>
    <w:p w:rsidRPr="00390BD3" w:rsidR="001F0154" w:rsidP="00084222" w:rsidRDefault="001F0154" w14:paraId="07BED42A" w14:textId="77777777">
      <w:pPr>
        <w:pStyle w:val="Heading2"/>
      </w:pPr>
      <w:bookmarkStart w:name="_Toc431980564" w:id="38"/>
      <w:bookmarkStart w:name="_Toc67322589" w:id="39"/>
      <w:r w:rsidRPr="00390BD3">
        <w:lastRenderedPageBreak/>
        <w:t>Distribution Pipeline Blowdowns</w:t>
      </w:r>
      <w:bookmarkEnd w:id="38"/>
      <w:bookmarkEnd w:id="39"/>
      <w:r w:rsidRPr="00390BD3">
        <w:t xml:space="preserve"> </w:t>
      </w:r>
    </w:p>
    <w:p w:rsidRPr="009B0364" w:rsidR="001F0154" w:rsidP="001F0154" w:rsidRDefault="001F0154" w14:paraId="3EDE0342" w14:textId="77777777">
      <w:pPr>
        <w:rPr>
          <w:rFonts w:ascii="Calibri" w:hAnsi="Calibri" w:cs="Calibri"/>
          <w:szCs w:val="22"/>
          <w:u w:val="single"/>
        </w:rPr>
      </w:pPr>
      <w:r>
        <w:rPr>
          <w:rFonts w:ascii="Calibri" w:hAnsi="Calibri" w:cs="Calibri"/>
          <w:szCs w:val="22"/>
          <w:u w:val="single"/>
        </w:rPr>
        <w:t>Applicable Segments:</w:t>
      </w:r>
      <w:r w:rsidRPr="00053AA8">
        <w:rPr>
          <w:rFonts w:ascii="Calibri" w:hAnsi="Calibri" w:cs="Calibri"/>
          <w:szCs w:val="22"/>
        </w:rPr>
        <w:t xml:space="preserve"> </w:t>
      </w:r>
      <w:r>
        <w:rPr>
          <w:rFonts w:ascii="Calibri" w:hAnsi="Calibri" w:cs="Calibri"/>
          <w:szCs w:val="22"/>
        </w:rPr>
        <w:t>Distribution</w:t>
      </w:r>
    </w:p>
    <w:p w:rsidRPr="00483605" w:rsidR="001F0154" w:rsidP="001F0154" w:rsidRDefault="001F0154" w14:paraId="662FD710" w14:textId="77777777">
      <w:pPr>
        <w:rPr>
          <w:rFonts w:cstheme="minorHAnsi"/>
          <w:szCs w:val="22"/>
        </w:rPr>
      </w:pPr>
      <w:r w:rsidRPr="00483605">
        <w:rPr>
          <w:rFonts w:cstheme="minorHAnsi"/>
          <w:szCs w:val="22"/>
          <w:u w:val="single"/>
        </w:rPr>
        <w:t>Source Description</w:t>
      </w:r>
      <w:r w:rsidRPr="00483605">
        <w:rPr>
          <w:rFonts w:cstheme="minorHAnsi"/>
          <w:szCs w:val="22"/>
        </w:rPr>
        <w:t xml:space="preserve">: Blowdown means the release of gas from a pipeline or section of pipeline that causes a reduction in system pressure or a complete depressurization. </w:t>
      </w:r>
    </w:p>
    <w:p w:rsidRPr="00483605" w:rsidR="001F0154" w:rsidP="001F0154" w:rsidRDefault="001F0154" w14:paraId="545A63B8" w14:textId="77777777">
      <w:r w:rsidRPr="00483605">
        <w:rPr>
          <w:rFonts w:cstheme="minorHAnsi"/>
          <w:szCs w:val="22"/>
          <w:u w:val="single"/>
        </w:rPr>
        <w:t>Mitigation Options</w:t>
      </w:r>
      <w:r w:rsidRPr="00483605">
        <w:rPr>
          <w:rFonts w:cstheme="minorHAnsi"/>
          <w:szCs w:val="22"/>
        </w:rPr>
        <w:t>:</w:t>
      </w:r>
      <w:r w:rsidRPr="00483605">
        <w:t xml:space="preserve"> </w:t>
      </w:r>
    </w:p>
    <w:p w:rsidRPr="00483605" w:rsidR="001F0154" w:rsidP="009C7875" w:rsidRDefault="001F0154" w14:paraId="2AB05AB1" w14:textId="77777777">
      <w:pPr>
        <w:numPr>
          <w:ilvl w:val="0"/>
          <w:numId w:val="6"/>
        </w:numPr>
        <w:contextualSpacing/>
        <w:rPr>
          <w:rFonts w:ascii="Calibri" w:hAnsi="Calibri" w:cs="Calibri"/>
          <w:szCs w:val="22"/>
        </w:rPr>
      </w:pPr>
      <w:r w:rsidRPr="00483605">
        <w:rPr>
          <w:rFonts w:ascii="Calibri" w:hAnsi="Calibri" w:cs="Calibri"/>
          <w:color w:val="000000"/>
          <w:szCs w:val="22"/>
        </w:rPr>
        <w:t>Route gas to a compressor or capture system for beneficial use, or</w:t>
      </w:r>
    </w:p>
    <w:p w:rsidRPr="00483605" w:rsidR="001F0154" w:rsidP="009C7875" w:rsidRDefault="001F0154" w14:paraId="4A9411C4" w14:textId="77777777">
      <w:pPr>
        <w:numPr>
          <w:ilvl w:val="0"/>
          <w:numId w:val="6"/>
        </w:numPr>
        <w:contextualSpacing/>
        <w:rPr>
          <w:rFonts w:ascii="Calibri" w:hAnsi="Calibri" w:cs="Calibri"/>
          <w:color w:val="000000"/>
          <w:szCs w:val="22"/>
        </w:rPr>
      </w:pPr>
      <w:r w:rsidRPr="00483605">
        <w:rPr>
          <w:rFonts w:ascii="Calibri" w:hAnsi="Calibri" w:cs="Calibri"/>
          <w:color w:val="000000"/>
          <w:szCs w:val="22"/>
        </w:rPr>
        <w:t>Route gas to a flare, or</w:t>
      </w:r>
    </w:p>
    <w:p w:rsidRPr="00483605" w:rsidR="001F0154" w:rsidP="009C7875" w:rsidRDefault="001F0154" w14:paraId="2D7A6166" w14:textId="77777777">
      <w:pPr>
        <w:numPr>
          <w:ilvl w:val="0"/>
          <w:numId w:val="6"/>
        </w:numPr>
        <w:contextualSpacing/>
        <w:rPr>
          <w:rFonts w:ascii="Calibri" w:hAnsi="Calibri" w:cs="Calibri"/>
          <w:color w:val="000000"/>
          <w:szCs w:val="22"/>
        </w:rPr>
      </w:pPr>
      <w:r w:rsidRPr="00483605">
        <w:rPr>
          <w:rFonts w:ascii="Calibri" w:hAnsi="Calibri" w:cs="Calibri"/>
          <w:color w:val="000000"/>
          <w:szCs w:val="22"/>
        </w:rPr>
        <w:t>Route gas to a low-pressure system by taking advantage of existing piping connections between high- and low-pressure systems, temporarily resetting or bypassing pressure regulators to reduce system pressure prior to maintenance, or installing temporary connections between high and low</w:t>
      </w:r>
      <w:r>
        <w:rPr>
          <w:rFonts w:ascii="Calibri" w:hAnsi="Calibri" w:cs="Calibri"/>
          <w:color w:val="000000"/>
          <w:szCs w:val="22"/>
        </w:rPr>
        <w:t>-</w:t>
      </w:r>
      <w:r w:rsidRPr="00483605">
        <w:rPr>
          <w:rFonts w:ascii="Calibri" w:hAnsi="Calibri" w:cs="Calibri"/>
          <w:color w:val="000000"/>
          <w:szCs w:val="22"/>
        </w:rPr>
        <w:t>pressure systems, or</w:t>
      </w:r>
    </w:p>
    <w:p w:rsidR="001F0154" w:rsidP="009C7875" w:rsidRDefault="001F0154" w14:paraId="4AF74DB0" w14:textId="77777777">
      <w:pPr>
        <w:numPr>
          <w:ilvl w:val="0"/>
          <w:numId w:val="6"/>
        </w:numPr>
        <w:spacing w:after="0"/>
        <w:contextualSpacing/>
        <w:rPr>
          <w:rFonts w:ascii="Calibri" w:hAnsi="Calibri" w:cs="Calibri"/>
          <w:color w:val="000000"/>
          <w:szCs w:val="22"/>
        </w:rPr>
      </w:pPr>
      <w:r w:rsidRPr="00483605">
        <w:rPr>
          <w:rFonts w:ascii="Calibri" w:hAnsi="Calibri" w:cs="Calibri"/>
          <w:color w:val="000000"/>
          <w:szCs w:val="22"/>
        </w:rPr>
        <w:t>Utilize hot tapping, a procedure that makes a new pipeline connection while the pipeline remains in service, flowing natural gas under pressure, to avoid the need to blow down gas</w:t>
      </w:r>
      <w:r>
        <w:rPr>
          <w:rFonts w:ascii="Calibri" w:hAnsi="Calibri" w:cs="Calibri"/>
          <w:color w:val="000000"/>
          <w:szCs w:val="22"/>
        </w:rPr>
        <w:t>, or</w:t>
      </w:r>
    </w:p>
    <w:p w:rsidRPr="007E597F" w:rsidR="001F0154" w:rsidP="009C7875" w:rsidRDefault="001F0154" w14:paraId="0C6C254B" w14:textId="77777777">
      <w:pPr>
        <w:pStyle w:val="ListParagraph"/>
        <w:numPr>
          <w:ilvl w:val="0"/>
          <w:numId w:val="6"/>
        </w:numPr>
        <w:spacing w:after="120" w:line="240" w:lineRule="auto"/>
        <w:contextualSpacing w:val="0"/>
        <w:rPr>
          <w:rFonts w:ascii="Calibri" w:hAnsi="Calibri" w:cs="Calibri"/>
          <w:color w:val="000000"/>
        </w:rPr>
      </w:pPr>
      <w:r>
        <w:t xml:space="preserve">Use stopoff/stopple equipment and fittings to reduce the length of pipe and the associated volume of gas being blown down. </w:t>
      </w:r>
    </w:p>
    <w:p w:rsidRPr="00483605" w:rsidR="001F0154" w:rsidP="001F0154" w:rsidRDefault="001F0154" w14:paraId="2BDF653F" w14:textId="0DA3E874">
      <w:pPr>
        <w:rPr>
          <w:rFonts w:ascii="Calibri" w:hAnsi="Calibri" w:cs="Calibri"/>
          <w:szCs w:val="22"/>
        </w:rPr>
      </w:pPr>
      <w:r>
        <w:rPr>
          <w:rFonts w:ascii="Calibri" w:hAnsi="Calibri" w:cs="Calibri"/>
          <w:color w:val="000000"/>
          <w:szCs w:val="22"/>
        </w:rPr>
        <w:t>P</w:t>
      </w:r>
      <w:r w:rsidRPr="00483605">
        <w:rPr>
          <w:rFonts w:ascii="Calibri" w:hAnsi="Calibri" w:cs="Calibri"/>
          <w:color w:val="000000"/>
          <w:szCs w:val="22"/>
        </w:rPr>
        <w:t xml:space="preserve">artners commit to maximize blowdown gas recovery and/or emission reductions through utilization of one or more of these options to reduce methane emissions from non-emergency blowdowns </w:t>
      </w:r>
      <w:r>
        <w:rPr>
          <w:rFonts w:ascii="Calibri" w:hAnsi="Calibri" w:cs="Calibri"/>
          <w:color w:val="000000"/>
          <w:szCs w:val="22"/>
        </w:rPr>
        <w:t>of pipelines o</w:t>
      </w:r>
      <w:r w:rsidRPr="00483605">
        <w:rPr>
          <w:rFonts w:ascii="Calibri" w:hAnsi="Calibri" w:cs="Calibri"/>
          <w:color w:val="000000"/>
          <w:szCs w:val="22"/>
        </w:rPr>
        <w:t xml:space="preserve">perating </w:t>
      </w:r>
      <w:r>
        <w:rPr>
          <w:rFonts w:ascii="Calibri" w:hAnsi="Calibri" w:cs="Calibri"/>
          <w:color w:val="000000"/>
          <w:szCs w:val="22"/>
        </w:rPr>
        <w:t>greater than</w:t>
      </w:r>
      <w:r w:rsidRPr="00483605">
        <w:rPr>
          <w:rFonts w:ascii="Calibri" w:hAnsi="Calibri" w:cs="Calibri"/>
          <w:color w:val="000000"/>
          <w:szCs w:val="22"/>
        </w:rPr>
        <w:t xml:space="preserve"> 60 psi by at least 50%</w:t>
      </w:r>
      <w:r>
        <w:rPr>
          <w:rStyle w:val="FootnoteReference"/>
          <w:rFonts w:ascii="Calibri" w:hAnsi="Calibri" w:cs="Calibri"/>
          <w:color w:val="000000"/>
          <w:szCs w:val="22"/>
        </w:rPr>
        <w:footnoteReference w:id="79"/>
      </w:r>
      <w:r w:rsidRPr="00483605">
        <w:rPr>
          <w:rFonts w:ascii="Calibri" w:hAnsi="Calibri" w:cs="Calibri"/>
          <w:color w:val="000000"/>
          <w:szCs w:val="22"/>
        </w:rPr>
        <w:t xml:space="preserve"> from total potential emissions each year. </w:t>
      </w:r>
      <w:r>
        <w:rPr>
          <w:rFonts w:ascii="Calibri" w:hAnsi="Calibri" w:cs="Calibri"/>
          <w:color w:val="000000"/>
          <w:szCs w:val="22"/>
        </w:rPr>
        <w:t>T</w:t>
      </w:r>
      <w:r w:rsidRPr="00483605">
        <w:rPr>
          <w:rFonts w:ascii="Calibri" w:hAnsi="Calibri" w:cs="Calibri"/>
          <w:color w:val="000000"/>
          <w:szCs w:val="22"/>
        </w:rPr>
        <w:t xml:space="preserve">otal potential emissions </w:t>
      </w:r>
      <w:r>
        <w:rPr>
          <w:rFonts w:ascii="Calibri" w:hAnsi="Calibri" w:cs="Calibri"/>
          <w:color w:val="000000"/>
          <w:szCs w:val="22"/>
        </w:rPr>
        <w:t>equal</w:t>
      </w:r>
      <w:r w:rsidRPr="00483605">
        <w:rPr>
          <w:rFonts w:ascii="Calibri" w:hAnsi="Calibri" w:cs="Calibri"/>
          <w:color w:val="000000"/>
          <w:szCs w:val="22"/>
        </w:rPr>
        <w:t xml:space="preserve"> calculated emissions from all </w:t>
      </w:r>
      <w:r w:rsidRPr="00502B56">
        <w:rPr>
          <w:rFonts w:ascii="Calibri" w:hAnsi="Calibri" w:cs="Calibri"/>
          <w:color w:val="000000"/>
          <w:szCs w:val="22"/>
        </w:rPr>
        <w:t>planned</w:t>
      </w:r>
      <w:r w:rsidRPr="00483605">
        <w:rPr>
          <w:rFonts w:ascii="Calibri" w:hAnsi="Calibri" w:cs="Calibri"/>
          <w:color w:val="000000"/>
          <w:szCs w:val="22"/>
        </w:rPr>
        <w:t xml:space="preserve"> maintenance activities in a calendar year</w:t>
      </w:r>
      <w:r w:rsidRPr="00483605">
        <w:rPr>
          <w:rFonts w:ascii="Calibri" w:hAnsi="Calibri" w:cs="Calibri"/>
          <w:color w:val="000000"/>
          <w:szCs w:val="22"/>
          <w:vertAlign w:val="superscript"/>
        </w:rPr>
        <w:footnoteReference w:id="80"/>
      </w:r>
      <w:r w:rsidRPr="00483605">
        <w:rPr>
          <w:rFonts w:ascii="Calibri" w:hAnsi="Calibri" w:cs="Calibri"/>
          <w:color w:val="000000"/>
          <w:szCs w:val="22"/>
        </w:rPr>
        <w:t>, assuming the pipeline is mechanically evacuated or mechanically displaced using non-hazardous means down to atmospheric pressure and no mitigation is used.</w:t>
      </w:r>
      <w:r>
        <w:rPr>
          <w:rStyle w:val="FootnoteReference"/>
          <w:rFonts w:ascii="Calibri" w:hAnsi="Calibri" w:cs="Calibri"/>
          <w:color w:val="000000"/>
          <w:szCs w:val="22"/>
        </w:rPr>
        <w:footnoteReference w:id="81"/>
      </w:r>
      <w:r w:rsidRPr="00483605">
        <w:rPr>
          <w:rFonts w:ascii="Calibri" w:hAnsi="Calibri" w:cs="Calibri"/>
          <w:color w:val="000000"/>
          <w:szCs w:val="22"/>
        </w:rPr>
        <w:t xml:space="preserve"> </w:t>
      </w:r>
    </w:p>
    <w:p w:rsidRPr="00390BD3" w:rsidR="001F0154" w:rsidP="001F0154" w:rsidRDefault="001F0154" w14:paraId="343BE1CD" w14:textId="77777777">
      <w:pPr>
        <w:rPr>
          <w:rFonts w:ascii="Calibri" w:hAnsi="Calibri" w:cs="Calibri"/>
          <w:color w:val="000000"/>
          <w:szCs w:val="22"/>
        </w:rPr>
      </w:pPr>
      <w:r w:rsidRPr="001D2EEE">
        <w:rPr>
          <w:rFonts w:ascii="Calibri" w:hAnsi="Calibri" w:cs="Calibri"/>
          <w:color w:val="000000"/>
          <w:szCs w:val="22"/>
          <w:u w:val="single"/>
        </w:rPr>
        <w:t>Commitment Timeframe</w:t>
      </w:r>
      <w:r>
        <w:rPr>
          <w:rFonts w:ascii="Calibri" w:hAnsi="Calibri" w:cs="Calibri"/>
          <w:color w:val="000000"/>
          <w:szCs w:val="22"/>
        </w:rPr>
        <w:t xml:space="preserve">: </w:t>
      </w:r>
      <w:r>
        <w:rPr>
          <w:rFonts w:ascii="Calibri" w:hAnsi="Calibri" w:cs="Calibri" w:eastAsiaTheme="minorEastAsia"/>
          <w:szCs w:val="22"/>
        </w:rPr>
        <w:t>P</w:t>
      </w:r>
      <w:r w:rsidRPr="003A4E80">
        <w:rPr>
          <w:rFonts w:ascii="Calibri" w:hAnsi="Calibri" w:cs="Calibri" w:eastAsiaTheme="minorEastAsia"/>
          <w:color w:val="000000"/>
          <w:szCs w:val="22"/>
        </w:rPr>
        <w:t xml:space="preserve">artners commit to achieve the specified annual </w:t>
      </w:r>
      <w:r>
        <w:rPr>
          <w:rFonts w:ascii="Calibri" w:hAnsi="Calibri" w:cs="Calibri" w:eastAsiaTheme="minorEastAsia"/>
          <w:color w:val="000000"/>
          <w:szCs w:val="22"/>
        </w:rPr>
        <w:t xml:space="preserve">reduction </w:t>
      </w:r>
      <w:r w:rsidRPr="003A4E80">
        <w:rPr>
          <w:rFonts w:ascii="Calibri" w:hAnsi="Calibri" w:cs="Calibri" w:eastAsiaTheme="minorEastAsia"/>
          <w:color w:val="000000"/>
          <w:szCs w:val="22"/>
        </w:rPr>
        <w:t xml:space="preserve">rate </w:t>
      </w:r>
      <w:r>
        <w:rPr>
          <w:rFonts w:ascii="Calibri" w:hAnsi="Calibri" w:cs="Calibri" w:eastAsiaTheme="minorEastAsia"/>
          <w:color w:val="000000"/>
          <w:szCs w:val="22"/>
        </w:rPr>
        <w:t>by their designated commitment achievement date</w:t>
      </w:r>
      <w:r w:rsidRPr="00A808E0">
        <w:rPr>
          <w:rFonts w:ascii="Calibri" w:hAnsi="Calibri" w:cs="Calibri" w:eastAsiaTheme="minorEastAsia"/>
          <w:color w:val="000000"/>
          <w:szCs w:val="22"/>
        </w:rPr>
        <w:t>, not to exceed five (5) years from the commitment start date</w:t>
      </w:r>
      <w:r>
        <w:rPr>
          <w:rFonts w:ascii="Calibri" w:hAnsi="Calibri" w:cs="Calibri" w:eastAsiaTheme="minorEastAsia"/>
          <w:color w:val="000000"/>
          <w:szCs w:val="22"/>
        </w:rPr>
        <w:t>,</w:t>
      </w:r>
      <w:r w:rsidRPr="003A4E80">
        <w:rPr>
          <w:rFonts w:eastAsiaTheme="minorEastAsia" w:cstheme="minorBidi"/>
          <w:szCs w:val="22"/>
        </w:rPr>
        <w:t xml:space="preserve"> </w:t>
      </w:r>
      <w:r w:rsidRPr="003A4E80">
        <w:rPr>
          <w:rFonts w:ascii="Calibri" w:hAnsi="Calibri" w:cs="Calibri" w:eastAsiaTheme="minorEastAsia"/>
          <w:color w:val="000000"/>
          <w:szCs w:val="22"/>
        </w:rPr>
        <w:t>and maintain at least that rate moving forward.</w:t>
      </w:r>
    </w:p>
    <w:p w:rsidR="001F0154" w:rsidP="00355B46" w:rsidRDefault="001F0154" w14:paraId="78524CFC" w14:textId="77777777">
      <w:pPr>
        <w:keepNext/>
        <w:rPr>
          <w:rFonts w:ascii="Calibri" w:hAnsi="Calibri" w:cs="Calibri"/>
          <w:u w:val="single"/>
        </w:rPr>
      </w:pPr>
      <w:r w:rsidRPr="00390BD3">
        <w:rPr>
          <w:rFonts w:ascii="Calibri" w:hAnsi="Calibri" w:cs="Calibri"/>
          <w:u w:val="single"/>
        </w:rPr>
        <w:lastRenderedPageBreak/>
        <w:t>Reporting:</w:t>
      </w:r>
    </w:p>
    <w:tbl>
      <w:tblPr>
        <w:tblStyle w:val="TableGrid631"/>
        <w:tblW w:w="9360" w:type="dxa"/>
        <w:jc w:val="center"/>
        <w:tblLayout w:type="fixed"/>
        <w:tblCellMar>
          <w:left w:w="43" w:type="dxa"/>
          <w:right w:w="43" w:type="dxa"/>
        </w:tblCellMar>
        <w:tblLook w:val="04A0" w:firstRow="1" w:lastRow="0" w:firstColumn="1" w:lastColumn="0" w:noHBand="0" w:noVBand="1"/>
        <w:tblDescription w:val="Reporting for Distribution Pipeline Blowdowns"/>
      </w:tblPr>
      <w:tblGrid>
        <w:gridCol w:w="1440"/>
        <w:gridCol w:w="1526"/>
        <w:gridCol w:w="5674"/>
        <w:gridCol w:w="720"/>
      </w:tblGrid>
      <w:tr w:rsidRPr="00841662" w:rsidR="001F0154" w:rsidTr="00A14F8D" w14:paraId="2B1E17EA" w14:textId="77777777">
        <w:trPr>
          <w:tblHeader/>
          <w:jc w:val="center"/>
        </w:trPr>
        <w:tc>
          <w:tcPr>
            <w:tcW w:w="1440" w:type="dxa"/>
            <w:tcBorders>
              <w:bottom w:val="single" w:color="auto" w:sz="4" w:space="0"/>
            </w:tcBorders>
            <w:shd w:val="clear" w:color="auto" w:fill="A6A6A6" w:themeFill="background1" w:themeFillShade="A6"/>
            <w:tcMar>
              <w:left w:w="115" w:type="dxa"/>
              <w:right w:w="115" w:type="dxa"/>
            </w:tcMar>
          </w:tcPr>
          <w:p w:rsidRPr="00841662" w:rsidR="001F0154" w:rsidP="00355B46" w:rsidRDefault="001F0154" w14:paraId="086065BF" w14:textId="77777777">
            <w:pPr>
              <w:keepNext/>
              <w:rPr>
                <w:rFonts w:cs="Calibri"/>
                <w:b/>
                <w:sz w:val="20"/>
                <w:szCs w:val="21"/>
              </w:rPr>
            </w:pPr>
            <w:r w:rsidRPr="00841662">
              <w:rPr>
                <w:rFonts w:cs="Calibri"/>
                <w:b/>
                <w:sz w:val="20"/>
                <w:szCs w:val="21"/>
              </w:rPr>
              <w:t>Emission Source</w:t>
            </w:r>
          </w:p>
        </w:tc>
        <w:tc>
          <w:tcPr>
            <w:tcW w:w="1526" w:type="dxa"/>
            <w:tcBorders>
              <w:bottom w:val="single" w:color="auto" w:sz="4" w:space="0"/>
            </w:tcBorders>
            <w:shd w:val="clear" w:color="auto" w:fill="A6A6A6" w:themeFill="background1" w:themeFillShade="A6"/>
            <w:tcMar>
              <w:left w:w="115" w:type="dxa"/>
              <w:right w:w="115" w:type="dxa"/>
            </w:tcMar>
          </w:tcPr>
          <w:p w:rsidRPr="00841662" w:rsidR="001F0154" w:rsidP="00355B46" w:rsidRDefault="001F0154" w14:paraId="752C1026" w14:textId="77777777">
            <w:pPr>
              <w:keepNext/>
              <w:rPr>
                <w:rFonts w:cs="Calibri"/>
                <w:b/>
                <w:sz w:val="20"/>
                <w:szCs w:val="21"/>
              </w:rPr>
            </w:pPr>
            <w:r w:rsidRPr="00841662">
              <w:rPr>
                <w:rFonts w:cs="Calibri"/>
                <w:b/>
                <w:sz w:val="20"/>
                <w:szCs w:val="21"/>
              </w:rPr>
              <w:t>Quantification Method</w:t>
            </w:r>
          </w:p>
        </w:tc>
        <w:tc>
          <w:tcPr>
            <w:tcW w:w="5674" w:type="dxa"/>
            <w:tcBorders>
              <w:bottom w:val="single" w:color="auto" w:sz="4" w:space="0"/>
            </w:tcBorders>
            <w:shd w:val="clear" w:color="auto" w:fill="A6A6A6" w:themeFill="background1" w:themeFillShade="A6"/>
            <w:tcMar>
              <w:left w:w="115" w:type="dxa"/>
              <w:right w:w="115" w:type="dxa"/>
            </w:tcMar>
          </w:tcPr>
          <w:p w:rsidRPr="00841662" w:rsidR="001F0154" w:rsidP="00355B46" w:rsidRDefault="001F0154" w14:paraId="367471C0" w14:textId="77777777">
            <w:pPr>
              <w:keepNext/>
              <w:rPr>
                <w:rFonts w:cs="Calibri"/>
                <w:b/>
                <w:sz w:val="20"/>
                <w:szCs w:val="21"/>
              </w:rPr>
            </w:pPr>
            <w:r w:rsidRPr="00A6540C">
              <w:rPr>
                <w:rFonts w:cs="Calibri"/>
                <w:b/>
                <w:sz w:val="20"/>
                <w:szCs w:val="21"/>
              </w:rPr>
              <w:t>Data Elements Collected via Facility-Level Reporting</w:t>
            </w:r>
          </w:p>
        </w:tc>
        <w:tc>
          <w:tcPr>
            <w:tcW w:w="720" w:type="dxa"/>
            <w:tcBorders>
              <w:bottom w:val="single" w:color="auto" w:sz="4" w:space="0"/>
            </w:tcBorders>
            <w:shd w:val="clear" w:color="auto" w:fill="A6A6A6" w:themeFill="background1" w:themeFillShade="A6"/>
          </w:tcPr>
          <w:p w:rsidRPr="00841662" w:rsidR="001F0154" w:rsidP="00355B46" w:rsidRDefault="001F0154" w14:paraId="2C3C949D" w14:textId="77777777">
            <w:pPr>
              <w:keepNext/>
              <w:contextualSpacing/>
              <w:rPr>
                <w:rFonts w:cs="Calibri"/>
                <w:b/>
                <w:sz w:val="20"/>
                <w:szCs w:val="21"/>
              </w:rPr>
            </w:pPr>
            <w:r w:rsidRPr="00841662">
              <w:rPr>
                <w:rFonts w:cs="Calibri"/>
                <w:b/>
                <w:sz w:val="20"/>
                <w:szCs w:val="21"/>
              </w:rPr>
              <w:t>GHGRP</w:t>
            </w:r>
          </w:p>
        </w:tc>
      </w:tr>
      <w:tr w:rsidRPr="00841662" w:rsidR="001F0154" w:rsidTr="00A14F8D" w14:paraId="6E7D6190" w14:textId="77777777">
        <w:tblPrEx>
          <w:jc w:val="left"/>
        </w:tblPrEx>
        <w:trPr>
          <w:trHeight w:val="70"/>
        </w:trPr>
        <w:tc>
          <w:tcPr>
            <w:tcW w:w="1440" w:type="dxa"/>
            <w:vMerge w:val="restart"/>
            <w:shd w:val="clear" w:color="auto" w:fill="FFFFFF" w:themeFill="background1"/>
            <w:vAlign w:val="center"/>
          </w:tcPr>
          <w:p w:rsidRPr="00841662" w:rsidR="001F0154" w:rsidP="00355B46" w:rsidRDefault="001F0154" w14:paraId="3C882D6C" w14:textId="77777777">
            <w:pPr>
              <w:keepNext/>
              <w:rPr>
                <w:rFonts w:cs="Calibri"/>
                <w:sz w:val="21"/>
                <w:szCs w:val="21"/>
              </w:rPr>
            </w:pPr>
            <w:r w:rsidRPr="00841662">
              <w:rPr>
                <w:rFonts w:cstheme="minorHAnsi"/>
                <w:sz w:val="21"/>
                <w:szCs w:val="21"/>
              </w:rPr>
              <w:t>Distribution Pipeline Blowdowns</w:t>
            </w:r>
            <w:r w:rsidRPr="00841662">
              <w:rPr>
                <w:rStyle w:val="FootnoteReference"/>
                <w:rFonts w:cstheme="minorHAnsi"/>
                <w:sz w:val="21"/>
                <w:szCs w:val="21"/>
              </w:rPr>
              <w:footnoteReference w:id="82"/>
            </w:r>
          </w:p>
        </w:tc>
        <w:tc>
          <w:tcPr>
            <w:tcW w:w="1526" w:type="dxa"/>
            <w:vMerge w:val="restart"/>
            <w:shd w:val="clear" w:color="auto" w:fill="FFFFFF" w:themeFill="background1"/>
            <w:vAlign w:val="center"/>
          </w:tcPr>
          <w:p w:rsidRPr="00841662" w:rsidR="001F0154" w:rsidP="00355B46" w:rsidRDefault="001F0154" w14:paraId="4F4351AA" w14:textId="77777777">
            <w:pPr>
              <w:keepNext/>
              <w:rPr>
                <w:rFonts w:cs="Calibri"/>
                <w:sz w:val="21"/>
                <w:szCs w:val="21"/>
              </w:rPr>
            </w:pPr>
            <w:r w:rsidRPr="00841662">
              <w:rPr>
                <w:rFonts w:cs="Calibri"/>
                <w:sz w:val="21"/>
                <w:szCs w:val="21"/>
              </w:rPr>
              <w:t xml:space="preserve">Subpart W calculation method 1 or 2 </w:t>
            </w:r>
            <w:r w:rsidRPr="00841662">
              <w:rPr>
                <w:rFonts w:cs="Calibri"/>
                <w:sz w:val="21"/>
                <w:szCs w:val="21"/>
                <w:vertAlign w:val="superscript"/>
              </w:rPr>
              <w:footnoteReference w:id="83"/>
            </w:r>
            <w:r w:rsidRPr="00B83492">
              <w:rPr>
                <w:rFonts w:cs="Calibri"/>
                <w:sz w:val="21"/>
                <w:szCs w:val="21"/>
                <w:vertAlign w:val="superscript"/>
              </w:rPr>
              <w:t>,</w:t>
            </w:r>
            <w:r w:rsidRPr="00841662">
              <w:rPr>
                <w:rFonts w:cs="Calibri"/>
                <w:sz w:val="21"/>
                <w:szCs w:val="21"/>
                <w:vertAlign w:val="superscript"/>
              </w:rPr>
              <w:footnoteReference w:id="84"/>
            </w:r>
          </w:p>
        </w:tc>
        <w:tc>
          <w:tcPr>
            <w:tcW w:w="5674" w:type="dxa"/>
            <w:shd w:val="clear" w:color="auto" w:fill="FFFFFF" w:themeFill="background1"/>
            <w:vAlign w:val="center"/>
          </w:tcPr>
          <w:p w:rsidRPr="00841662" w:rsidR="001F0154" w:rsidP="00355B46" w:rsidRDefault="001F0154" w14:paraId="64A0C0E5" w14:textId="77777777">
            <w:pPr>
              <w:keepNext/>
              <w:rPr>
                <w:rFonts w:cstheme="minorHAnsi"/>
                <w:sz w:val="21"/>
                <w:szCs w:val="21"/>
              </w:rPr>
            </w:pPr>
            <w:r w:rsidRPr="00841662">
              <w:rPr>
                <w:rFonts w:cstheme="minorHAnsi"/>
                <w:sz w:val="21"/>
                <w:szCs w:val="21"/>
              </w:rPr>
              <w:t xml:space="preserve">Number of blowdowns </w:t>
            </w:r>
          </w:p>
        </w:tc>
        <w:tc>
          <w:tcPr>
            <w:tcW w:w="720" w:type="dxa"/>
            <w:shd w:val="clear" w:color="auto" w:fill="FFFFFF" w:themeFill="background1"/>
            <w:vAlign w:val="center"/>
          </w:tcPr>
          <w:p w:rsidRPr="00841662" w:rsidR="001F0154" w:rsidP="00355B46" w:rsidRDefault="001F0154" w14:paraId="0614FEBE" w14:textId="77777777">
            <w:pPr>
              <w:keepNext/>
              <w:jc w:val="center"/>
              <w:rPr>
                <w:rFonts w:cs="Calibri"/>
                <w:sz w:val="21"/>
                <w:szCs w:val="21"/>
              </w:rPr>
            </w:pPr>
          </w:p>
        </w:tc>
      </w:tr>
      <w:tr w:rsidRPr="00841662" w:rsidR="001F0154" w:rsidTr="00A14F8D" w14:paraId="304DE4BA" w14:textId="77777777">
        <w:tblPrEx>
          <w:jc w:val="left"/>
        </w:tblPrEx>
        <w:trPr>
          <w:trHeight w:val="710"/>
        </w:trPr>
        <w:tc>
          <w:tcPr>
            <w:tcW w:w="1440" w:type="dxa"/>
            <w:vMerge/>
            <w:tcBorders>
              <w:bottom w:val="single" w:color="auto" w:sz="4" w:space="0"/>
            </w:tcBorders>
            <w:shd w:val="clear" w:color="auto" w:fill="FFFFFF" w:themeFill="background1"/>
            <w:vAlign w:val="center"/>
          </w:tcPr>
          <w:p w:rsidRPr="00841662" w:rsidR="001F0154" w:rsidP="005F56CB" w:rsidRDefault="001F0154" w14:paraId="5B14C766" w14:textId="77777777">
            <w:pPr>
              <w:keepNext/>
              <w:jc w:val="center"/>
              <w:rPr>
                <w:rFonts w:cs="Calibri"/>
                <w:sz w:val="21"/>
                <w:szCs w:val="21"/>
              </w:rPr>
            </w:pPr>
          </w:p>
        </w:tc>
        <w:tc>
          <w:tcPr>
            <w:tcW w:w="1526" w:type="dxa"/>
            <w:vMerge/>
            <w:tcBorders>
              <w:bottom w:val="single" w:color="auto" w:sz="4" w:space="0"/>
            </w:tcBorders>
            <w:shd w:val="clear" w:color="auto" w:fill="FFFFFF" w:themeFill="background1"/>
            <w:vAlign w:val="center"/>
          </w:tcPr>
          <w:p w:rsidRPr="00841662" w:rsidR="001F0154" w:rsidP="005F56CB" w:rsidRDefault="001F0154" w14:paraId="47327815" w14:textId="77777777">
            <w:pPr>
              <w:keepNext/>
              <w:jc w:val="center"/>
              <w:rPr>
                <w:rFonts w:cs="Calibri"/>
                <w:sz w:val="21"/>
                <w:szCs w:val="21"/>
              </w:rPr>
            </w:pPr>
          </w:p>
        </w:tc>
        <w:tc>
          <w:tcPr>
            <w:tcW w:w="5674" w:type="dxa"/>
            <w:tcBorders>
              <w:bottom w:val="single" w:color="auto" w:sz="4" w:space="0"/>
            </w:tcBorders>
            <w:shd w:val="clear" w:color="auto" w:fill="FFFFFF" w:themeFill="background1"/>
            <w:vAlign w:val="center"/>
          </w:tcPr>
          <w:p w:rsidRPr="00841662" w:rsidR="001F0154" w:rsidP="005F56CB" w:rsidRDefault="001F0154" w14:paraId="7635AA46" w14:textId="77777777">
            <w:pPr>
              <w:keepNext/>
              <w:rPr>
                <w:rFonts w:cs="Calibri"/>
                <w:sz w:val="21"/>
                <w:szCs w:val="21"/>
              </w:rPr>
            </w:pPr>
            <w:r w:rsidRPr="00841662">
              <w:rPr>
                <w:rFonts w:cstheme="minorHAnsi"/>
                <w:sz w:val="21"/>
                <w:szCs w:val="21"/>
              </w:rPr>
              <w:t>Total CH</w:t>
            </w:r>
            <w:r w:rsidRPr="00841662">
              <w:rPr>
                <w:rFonts w:cstheme="minorHAnsi"/>
                <w:sz w:val="21"/>
                <w:szCs w:val="21"/>
                <w:vertAlign w:val="subscript"/>
              </w:rPr>
              <w:t>4</w:t>
            </w:r>
            <w:r w:rsidRPr="00841662">
              <w:rPr>
                <w:rFonts w:cstheme="minorHAnsi"/>
                <w:sz w:val="21"/>
                <w:szCs w:val="21"/>
              </w:rPr>
              <w:t xml:space="preserve"> emissions (</w:t>
            </w:r>
            <w:r>
              <w:rPr>
                <w:rFonts w:cstheme="minorHAnsi"/>
                <w:sz w:val="21"/>
                <w:szCs w:val="21"/>
              </w:rPr>
              <w:t>m</w:t>
            </w:r>
            <w:r w:rsidRPr="00841662">
              <w:rPr>
                <w:rFonts w:cstheme="minorHAnsi"/>
                <w:sz w:val="21"/>
                <w:szCs w:val="21"/>
              </w:rPr>
              <w:t xml:space="preserve">t </w:t>
            </w:r>
            <w:r w:rsidRPr="00841662">
              <w:rPr>
                <w:rFonts w:cs="Calibri"/>
                <w:sz w:val="21"/>
                <w:szCs w:val="21"/>
              </w:rPr>
              <w:t>CH</w:t>
            </w:r>
            <w:r w:rsidRPr="00841662">
              <w:rPr>
                <w:rFonts w:cs="Calibri"/>
                <w:sz w:val="21"/>
                <w:szCs w:val="21"/>
                <w:vertAlign w:val="subscript"/>
              </w:rPr>
              <w:t>4</w:t>
            </w:r>
            <w:r w:rsidRPr="00841662">
              <w:rPr>
                <w:rFonts w:cstheme="minorHAnsi"/>
                <w:sz w:val="21"/>
                <w:szCs w:val="21"/>
              </w:rPr>
              <w:t xml:space="preserve">) </w:t>
            </w:r>
          </w:p>
        </w:tc>
        <w:tc>
          <w:tcPr>
            <w:tcW w:w="720" w:type="dxa"/>
            <w:tcBorders>
              <w:bottom w:val="single" w:color="auto" w:sz="4" w:space="0"/>
            </w:tcBorders>
            <w:shd w:val="clear" w:color="auto" w:fill="FFFFFF" w:themeFill="background1"/>
            <w:vAlign w:val="center"/>
          </w:tcPr>
          <w:p w:rsidRPr="00841662" w:rsidR="001F0154" w:rsidP="005F56CB" w:rsidRDefault="001F0154" w14:paraId="03D227CF" w14:textId="77777777">
            <w:pPr>
              <w:keepNext/>
              <w:jc w:val="center"/>
              <w:rPr>
                <w:rFonts w:cs="Calibri"/>
                <w:sz w:val="21"/>
                <w:szCs w:val="21"/>
              </w:rPr>
            </w:pPr>
          </w:p>
        </w:tc>
      </w:tr>
      <w:tr w:rsidRPr="00841662" w:rsidR="001F0154" w:rsidTr="00A14F8D" w14:paraId="6AD870DA" w14:textId="77777777">
        <w:tblPrEx>
          <w:jc w:val="left"/>
        </w:tblPrEx>
        <w:trPr>
          <w:trHeight w:val="54"/>
        </w:trPr>
        <w:tc>
          <w:tcPr>
            <w:tcW w:w="1440" w:type="dxa"/>
            <w:vMerge w:val="restart"/>
            <w:shd w:val="clear" w:color="auto" w:fill="D9D9D9" w:themeFill="background1" w:themeFillShade="D9"/>
            <w:vAlign w:val="center"/>
          </w:tcPr>
          <w:p w:rsidRPr="00841662" w:rsidR="001F0154" w:rsidP="00355B46" w:rsidRDefault="001F0154" w14:paraId="374C73B6" w14:textId="77777777">
            <w:pPr>
              <w:keepNext/>
              <w:rPr>
                <w:rFonts w:cs="Calibri"/>
                <w:sz w:val="21"/>
                <w:szCs w:val="21"/>
              </w:rPr>
            </w:pPr>
            <w:r w:rsidRPr="00841662">
              <w:rPr>
                <w:rFonts w:cstheme="minorHAnsi"/>
                <w:sz w:val="21"/>
                <w:szCs w:val="21"/>
              </w:rPr>
              <w:t>Voluntary action to reduce methane emissions during the reporting year</w:t>
            </w:r>
          </w:p>
        </w:tc>
        <w:tc>
          <w:tcPr>
            <w:tcW w:w="1526" w:type="dxa"/>
            <w:vMerge w:val="restart"/>
            <w:shd w:val="clear" w:color="auto" w:fill="D9D9D9" w:themeFill="background1" w:themeFillShade="D9"/>
            <w:vAlign w:val="center"/>
          </w:tcPr>
          <w:p w:rsidRPr="00841662" w:rsidR="001F0154" w:rsidP="00D4777A" w:rsidRDefault="001F0154" w14:paraId="0AFFD32E" w14:textId="77777777">
            <w:pPr>
              <w:keepNext/>
              <w:rPr>
                <w:rFonts w:cs="Calibri"/>
                <w:sz w:val="21"/>
                <w:szCs w:val="21"/>
              </w:rPr>
            </w:pPr>
            <w:r w:rsidRPr="00841662">
              <w:rPr>
                <w:rFonts w:cstheme="minorHAnsi"/>
                <w:sz w:val="21"/>
                <w:szCs w:val="21"/>
              </w:rPr>
              <w:t>Difference in potential and actual emissions</w:t>
            </w:r>
            <w:r w:rsidRPr="00841662">
              <w:rPr>
                <w:rFonts w:cstheme="minorHAnsi"/>
                <w:sz w:val="21"/>
                <w:szCs w:val="21"/>
                <w:vertAlign w:val="superscript"/>
              </w:rPr>
              <w:footnoteReference w:id="85"/>
            </w:r>
          </w:p>
        </w:tc>
        <w:tc>
          <w:tcPr>
            <w:tcW w:w="5674" w:type="dxa"/>
            <w:shd w:val="clear" w:color="auto" w:fill="D9D9D9" w:themeFill="background1" w:themeFillShade="D9"/>
            <w:tcMar>
              <w:left w:w="43" w:type="dxa"/>
              <w:right w:w="43" w:type="dxa"/>
            </w:tcMar>
            <w:vAlign w:val="center"/>
          </w:tcPr>
          <w:p w:rsidRPr="00841662" w:rsidR="001F0154" w:rsidP="00355B46" w:rsidRDefault="001F0154" w14:paraId="135538D2" w14:textId="77777777">
            <w:pPr>
              <w:keepNext/>
              <w:rPr>
                <w:rFonts w:cs="Calibri"/>
                <w:sz w:val="21"/>
                <w:szCs w:val="21"/>
              </w:rPr>
            </w:pPr>
            <w:r w:rsidRPr="00841662">
              <w:rPr>
                <w:rFonts w:cs="Calibri"/>
                <w:sz w:val="21"/>
                <w:szCs w:val="21"/>
              </w:rPr>
              <w:t>Number of blowdowns that routed gas to</w:t>
            </w:r>
            <w:r>
              <w:rPr>
                <w:rFonts w:cs="Calibri"/>
                <w:sz w:val="21"/>
                <w:szCs w:val="21"/>
              </w:rPr>
              <w:t xml:space="preserve"> a:</w:t>
            </w:r>
          </w:p>
        </w:tc>
        <w:tc>
          <w:tcPr>
            <w:tcW w:w="720" w:type="dxa"/>
            <w:shd w:val="clear" w:color="auto" w:fill="D9D9D9" w:themeFill="background1" w:themeFillShade="D9"/>
            <w:vAlign w:val="center"/>
          </w:tcPr>
          <w:p w:rsidRPr="00841662" w:rsidR="001F0154" w:rsidP="00355B46" w:rsidRDefault="001F0154" w14:paraId="4771911A" w14:textId="77777777">
            <w:pPr>
              <w:keepNext/>
              <w:jc w:val="center"/>
              <w:rPr>
                <w:rFonts w:cs="Calibri"/>
                <w:sz w:val="21"/>
                <w:szCs w:val="21"/>
              </w:rPr>
            </w:pPr>
          </w:p>
        </w:tc>
      </w:tr>
      <w:tr w:rsidRPr="00841662" w:rsidR="001F0154" w:rsidTr="00A14F8D" w14:paraId="1D8BD1E7" w14:textId="77777777">
        <w:tblPrEx>
          <w:jc w:val="left"/>
        </w:tblPrEx>
        <w:trPr>
          <w:trHeight w:val="170"/>
        </w:trPr>
        <w:tc>
          <w:tcPr>
            <w:tcW w:w="1440" w:type="dxa"/>
            <w:vMerge/>
            <w:shd w:val="clear" w:color="auto" w:fill="D9D9D9" w:themeFill="background1" w:themeFillShade="D9"/>
            <w:vAlign w:val="center"/>
          </w:tcPr>
          <w:p w:rsidRPr="00841662" w:rsidR="001F0154" w:rsidP="00A14F8D" w:rsidRDefault="001F0154" w14:paraId="0C6E564E" w14:textId="77777777">
            <w:pPr>
              <w:jc w:val="center"/>
              <w:rPr>
                <w:rFonts w:cs="Calibri"/>
                <w:sz w:val="21"/>
                <w:szCs w:val="21"/>
              </w:rPr>
            </w:pPr>
          </w:p>
        </w:tc>
        <w:tc>
          <w:tcPr>
            <w:tcW w:w="1526" w:type="dxa"/>
            <w:vMerge/>
            <w:shd w:val="clear" w:color="auto" w:fill="D9D9D9" w:themeFill="background1" w:themeFillShade="D9"/>
            <w:vAlign w:val="center"/>
          </w:tcPr>
          <w:p w:rsidRPr="00841662" w:rsidR="001F0154" w:rsidP="00A14F8D" w:rsidRDefault="001F0154" w14:paraId="7FF1B298" w14:textId="77777777">
            <w:pPr>
              <w:jc w:val="center"/>
              <w:rPr>
                <w:rFonts w:cs="Calibri"/>
                <w:sz w:val="21"/>
                <w:szCs w:val="21"/>
              </w:rPr>
            </w:pPr>
          </w:p>
        </w:tc>
        <w:tc>
          <w:tcPr>
            <w:tcW w:w="5674" w:type="dxa"/>
            <w:shd w:val="clear" w:color="auto" w:fill="D9D9D9" w:themeFill="background1" w:themeFillShade="D9"/>
            <w:tcMar>
              <w:left w:w="43" w:type="dxa"/>
              <w:right w:w="43" w:type="dxa"/>
            </w:tcMar>
            <w:vAlign w:val="center"/>
          </w:tcPr>
          <w:p w:rsidRPr="00841662" w:rsidR="001F0154" w:rsidP="00A14F8D" w:rsidRDefault="001F0154" w14:paraId="765D5D43" w14:textId="77777777">
            <w:pPr>
              <w:ind w:left="288"/>
              <w:rPr>
                <w:rFonts w:cstheme="minorHAnsi"/>
                <w:sz w:val="21"/>
                <w:szCs w:val="21"/>
              </w:rPr>
            </w:pPr>
            <w:r>
              <w:rPr>
                <w:rFonts w:cs="Calibri"/>
                <w:sz w:val="21"/>
                <w:szCs w:val="21"/>
              </w:rPr>
              <w:t>C</w:t>
            </w:r>
            <w:r w:rsidRPr="00841662">
              <w:rPr>
                <w:rFonts w:cs="Calibri"/>
                <w:sz w:val="21"/>
                <w:szCs w:val="21"/>
              </w:rPr>
              <w:t>ompressor or capture system for beneficial use</w:t>
            </w:r>
          </w:p>
        </w:tc>
        <w:tc>
          <w:tcPr>
            <w:tcW w:w="720" w:type="dxa"/>
            <w:shd w:val="clear" w:color="auto" w:fill="D9D9D9" w:themeFill="background1" w:themeFillShade="D9"/>
            <w:vAlign w:val="center"/>
          </w:tcPr>
          <w:p w:rsidRPr="00841662" w:rsidR="001F0154" w:rsidP="00A14F8D" w:rsidRDefault="001F0154" w14:paraId="76CFD0D7" w14:textId="77777777">
            <w:pPr>
              <w:jc w:val="center"/>
              <w:rPr>
                <w:rFonts w:cs="Calibri"/>
                <w:sz w:val="21"/>
                <w:szCs w:val="21"/>
              </w:rPr>
            </w:pPr>
          </w:p>
        </w:tc>
      </w:tr>
      <w:tr w:rsidRPr="00841662" w:rsidR="001F0154" w:rsidTr="00A14F8D" w14:paraId="4D52B589" w14:textId="77777777">
        <w:tblPrEx>
          <w:jc w:val="left"/>
        </w:tblPrEx>
        <w:trPr>
          <w:trHeight w:val="260"/>
        </w:trPr>
        <w:tc>
          <w:tcPr>
            <w:tcW w:w="1440" w:type="dxa"/>
            <w:vMerge/>
            <w:shd w:val="clear" w:color="auto" w:fill="D9D9D9" w:themeFill="background1" w:themeFillShade="D9"/>
            <w:vAlign w:val="center"/>
          </w:tcPr>
          <w:p w:rsidRPr="00841662" w:rsidR="001F0154" w:rsidP="00A14F8D" w:rsidRDefault="001F0154" w14:paraId="18003FE5" w14:textId="77777777">
            <w:pPr>
              <w:jc w:val="center"/>
              <w:rPr>
                <w:rFonts w:cs="Calibri"/>
                <w:sz w:val="21"/>
                <w:szCs w:val="21"/>
              </w:rPr>
            </w:pPr>
          </w:p>
        </w:tc>
        <w:tc>
          <w:tcPr>
            <w:tcW w:w="1526" w:type="dxa"/>
            <w:vMerge/>
            <w:shd w:val="clear" w:color="auto" w:fill="D9D9D9" w:themeFill="background1" w:themeFillShade="D9"/>
            <w:vAlign w:val="center"/>
          </w:tcPr>
          <w:p w:rsidRPr="00841662" w:rsidR="001F0154" w:rsidP="00A14F8D" w:rsidRDefault="001F0154" w14:paraId="5C9FF7C6" w14:textId="77777777">
            <w:pPr>
              <w:jc w:val="center"/>
              <w:rPr>
                <w:rFonts w:cs="Calibri"/>
                <w:sz w:val="21"/>
                <w:szCs w:val="21"/>
              </w:rPr>
            </w:pPr>
          </w:p>
        </w:tc>
        <w:tc>
          <w:tcPr>
            <w:tcW w:w="5674" w:type="dxa"/>
            <w:shd w:val="clear" w:color="auto" w:fill="D9D9D9" w:themeFill="background1" w:themeFillShade="D9"/>
            <w:tcMar>
              <w:left w:w="43" w:type="dxa"/>
              <w:right w:w="43" w:type="dxa"/>
            </w:tcMar>
            <w:vAlign w:val="center"/>
          </w:tcPr>
          <w:p w:rsidRPr="00841662" w:rsidR="001F0154" w:rsidP="00A14F8D" w:rsidRDefault="001F0154" w14:paraId="7FF160FC" w14:textId="77777777">
            <w:pPr>
              <w:ind w:left="288"/>
              <w:rPr>
                <w:rFonts w:cs="Calibri"/>
                <w:sz w:val="21"/>
                <w:szCs w:val="21"/>
              </w:rPr>
            </w:pPr>
            <w:r>
              <w:rPr>
                <w:rFonts w:cs="Calibri"/>
                <w:sz w:val="21"/>
                <w:szCs w:val="21"/>
              </w:rPr>
              <w:t>F</w:t>
            </w:r>
            <w:r w:rsidRPr="00841662">
              <w:rPr>
                <w:rFonts w:cs="Calibri"/>
                <w:sz w:val="21"/>
                <w:szCs w:val="21"/>
              </w:rPr>
              <w:t>lare</w:t>
            </w:r>
            <w:r>
              <w:rPr>
                <w:rStyle w:val="FootnoteReference"/>
                <w:rFonts w:cs="Calibri"/>
                <w:sz w:val="21"/>
                <w:szCs w:val="21"/>
              </w:rPr>
              <w:footnoteReference w:id="86"/>
            </w:r>
          </w:p>
        </w:tc>
        <w:tc>
          <w:tcPr>
            <w:tcW w:w="720" w:type="dxa"/>
            <w:shd w:val="clear" w:color="auto" w:fill="D9D9D9" w:themeFill="background1" w:themeFillShade="D9"/>
            <w:vAlign w:val="center"/>
          </w:tcPr>
          <w:p w:rsidRPr="00841662" w:rsidR="001F0154" w:rsidP="00A14F8D" w:rsidRDefault="001F0154" w14:paraId="6A229FA0" w14:textId="77777777">
            <w:pPr>
              <w:jc w:val="center"/>
              <w:rPr>
                <w:rFonts w:cs="Calibri"/>
                <w:sz w:val="21"/>
                <w:szCs w:val="21"/>
              </w:rPr>
            </w:pPr>
          </w:p>
        </w:tc>
      </w:tr>
      <w:tr w:rsidRPr="00841662" w:rsidR="001F0154" w:rsidTr="00A14F8D" w14:paraId="3DD22764" w14:textId="77777777">
        <w:tblPrEx>
          <w:jc w:val="left"/>
        </w:tblPrEx>
        <w:trPr>
          <w:trHeight w:val="260"/>
        </w:trPr>
        <w:tc>
          <w:tcPr>
            <w:tcW w:w="1440" w:type="dxa"/>
            <w:vMerge/>
            <w:shd w:val="clear" w:color="auto" w:fill="D9D9D9" w:themeFill="background1" w:themeFillShade="D9"/>
            <w:vAlign w:val="center"/>
          </w:tcPr>
          <w:p w:rsidRPr="00841662" w:rsidR="001F0154" w:rsidP="00A14F8D" w:rsidRDefault="001F0154" w14:paraId="790B1EA2" w14:textId="77777777">
            <w:pPr>
              <w:jc w:val="center"/>
              <w:rPr>
                <w:rFonts w:cs="Calibri"/>
                <w:sz w:val="21"/>
                <w:szCs w:val="21"/>
              </w:rPr>
            </w:pPr>
          </w:p>
        </w:tc>
        <w:tc>
          <w:tcPr>
            <w:tcW w:w="1526" w:type="dxa"/>
            <w:vMerge/>
            <w:shd w:val="clear" w:color="auto" w:fill="D9D9D9" w:themeFill="background1" w:themeFillShade="D9"/>
            <w:vAlign w:val="center"/>
          </w:tcPr>
          <w:p w:rsidRPr="00841662" w:rsidR="001F0154" w:rsidP="00A14F8D" w:rsidRDefault="001F0154" w14:paraId="3AA33333" w14:textId="77777777">
            <w:pPr>
              <w:jc w:val="center"/>
              <w:rPr>
                <w:rFonts w:cs="Calibri"/>
                <w:sz w:val="21"/>
                <w:szCs w:val="21"/>
              </w:rPr>
            </w:pPr>
          </w:p>
        </w:tc>
        <w:tc>
          <w:tcPr>
            <w:tcW w:w="5674" w:type="dxa"/>
            <w:shd w:val="clear" w:color="auto" w:fill="D9D9D9" w:themeFill="background1" w:themeFillShade="D9"/>
            <w:tcMar>
              <w:left w:w="43" w:type="dxa"/>
              <w:right w:w="43" w:type="dxa"/>
            </w:tcMar>
            <w:vAlign w:val="center"/>
          </w:tcPr>
          <w:p w:rsidRPr="00841662" w:rsidR="001F0154" w:rsidP="00A14F8D" w:rsidRDefault="001F0154" w14:paraId="21EFF93B" w14:textId="77777777">
            <w:pPr>
              <w:ind w:left="288"/>
              <w:rPr>
                <w:rFonts w:cs="Calibri"/>
                <w:sz w:val="21"/>
                <w:szCs w:val="21"/>
              </w:rPr>
            </w:pPr>
            <w:r>
              <w:rPr>
                <w:rFonts w:cs="Calibri"/>
                <w:sz w:val="21"/>
                <w:szCs w:val="21"/>
              </w:rPr>
              <w:t>L</w:t>
            </w:r>
            <w:r w:rsidRPr="00841662">
              <w:rPr>
                <w:rFonts w:cs="Calibri"/>
                <w:sz w:val="21"/>
                <w:szCs w:val="21"/>
              </w:rPr>
              <w:t>ow-pressure system</w:t>
            </w:r>
          </w:p>
        </w:tc>
        <w:tc>
          <w:tcPr>
            <w:tcW w:w="720" w:type="dxa"/>
            <w:shd w:val="clear" w:color="auto" w:fill="D9D9D9" w:themeFill="background1" w:themeFillShade="D9"/>
            <w:vAlign w:val="center"/>
          </w:tcPr>
          <w:p w:rsidRPr="00841662" w:rsidR="001F0154" w:rsidP="00A14F8D" w:rsidRDefault="001F0154" w14:paraId="0E390DC6" w14:textId="77777777">
            <w:pPr>
              <w:jc w:val="center"/>
              <w:rPr>
                <w:rFonts w:cs="Calibri"/>
                <w:sz w:val="21"/>
                <w:szCs w:val="21"/>
              </w:rPr>
            </w:pPr>
          </w:p>
        </w:tc>
      </w:tr>
      <w:tr w:rsidRPr="00841662" w:rsidR="001F0154" w:rsidTr="00A14F8D" w14:paraId="715D3292" w14:textId="77777777">
        <w:tblPrEx>
          <w:jc w:val="left"/>
        </w:tblPrEx>
        <w:trPr>
          <w:trHeight w:val="260"/>
        </w:trPr>
        <w:tc>
          <w:tcPr>
            <w:tcW w:w="1440" w:type="dxa"/>
            <w:vMerge/>
            <w:shd w:val="clear" w:color="auto" w:fill="D9D9D9" w:themeFill="background1" w:themeFillShade="D9"/>
            <w:vAlign w:val="center"/>
          </w:tcPr>
          <w:p w:rsidRPr="00841662" w:rsidR="001F0154" w:rsidP="00A14F8D" w:rsidRDefault="001F0154" w14:paraId="423E0597" w14:textId="77777777">
            <w:pPr>
              <w:jc w:val="center"/>
              <w:rPr>
                <w:rFonts w:cs="Calibri"/>
                <w:sz w:val="21"/>
                <w:szCs w:val="21"/>
              </w:rPr>
            </w:pPr>
          </w:p>
        </w:tc>
        <w:tc>
          <w:tcPr>
            <w:tcW w:w="1526" w:type="dxa"/>
            <w:vMerge/>
            <w:shd w:val="clear" w:color="auto" w:fill="D9D9D9" w:themeFill="background1" w:themeFillShade="D9"/>
            <w:vAlign w:val="center"/>
          </w:tcPr>
          <w:p w:rsidRPr="00841662" w:rsidR="001F0154" w:rsidP="00A14F8D" w:rsidRDefault="001F0154" w14:paraId="606938A9" w14:textId="77777777">
            <w:pPr>
              <w:jc w:val="center"/>
              <w:rPr>
                <w:rFonts w:cs="Calibri"/>
                <w:sz w:val="21"/>
                <w:szCs w:val="21"/>
              </w:rPr>
            </w:pPr>
          </w:p>
        </w:tc>
        <w:tc>
          <w:tcPr>
            <w:tcW w:w="5674" w:type="dxa"/>
            <w:shd w:val="clear" w:color="auto" w:fill="D9D9D9" w:themeFill="background1" w:themeFillShade="D9"/>
            <w:tcMar>
              <w:left w:w="43" w:type="dxa"/>
              <w:right w:w="43" w:type="dxa"/>
            </w:tcMar>
            <w:vAlign w:val="center"/>
          </w:tcPr>
          <w:p w:rsidRPr="00841662" w:rsidR="001F0154" w:rsidP="00A14F8D" w:rsidRDefault="001F0154" w14:paraId="3FAF9E2F" w14:textId="77777777">
            <w:pPr>
              <w:rPr>
                <w:rFonts w:cs="Calibri"/>
                <w:sz w:val="21"/>
                <w:szCs w:val="21"/>
              </w:rPr>
            </w:pPr>
            <w:r w:rsidRPr="00841662">
              <w:rPr>
                <w:rFonts w:cstheme="minorHAnsi"/>
                <w:sz w:val="21"/>
                <w:szCs w:val="21"/>
              </w:rPr>
              <w:t>Number of hot taps utilized that avoided the need to blowdown gas to the atmosphere</w:t>
            </w:r>
          </w:p>
        </w:tc>
        <w:tc>
          <w:tcPr>
            <w:tcW w:w="720" w:type="dxa"/>
            <w:shd w:val="clear" w:color="auto" w:fill="D9D9D9" w:themeFill="background1" w:themeFillShade="D9"/>
            <w:vAlign w:val="center"/>
          </w:tcPr>
          <w:p w:rsidRPr="00841662" w:rsidR="001F0154" w:rsidP="00A14F8D" w:rsidRDefault="001F0154" w14:paraId="4F545567" w14:textId="77777777">
            <w:pPr>
              <w:jc w:val="center"/>
              <w:rPr>
                <w:rFonts w:cs="Calibri"/>
                <w:sz w:val="21"/>
                <w:szCs w:val="21"/>
              </w:rPr>
            </w:pPr>
          </w:p>
        </w:tc>
      </w:tr>
      <w:tr w:rsidRPr="00841662" w:rsidR="001F0154" w:rsidTr="00A14F8D" w14:paraId="1E23DEED" w14:textId="77777777">
        <w:tblPrEx>
          <w:jc w:val="left"/>
        </w:tblPrEx>
        <w:trPr>
          <w:trHeight w:val="287"/>
        </w:trPr>
        <w:tc>
          <w:tcPr>
            <w:tcW w:w="1440" w:type="dxa"/>
            <w:vMerge/>
            <w:shd w:val="clear" w:color="auto" w:fill="D9D9D9" w:themeFill="background1" w:themeFillShade="D9"/>
            <w:vAlign w:val="center"/>
          </w:tcPr>
          <w:p w:rsidRPr="00841662" w:rsidR="001F0154" w:rsidP="00A14F8D" w:rsidRDefault="001F0154" w14:paraId="1F6A094C" w14:textId="77777777">
            <w:pPr>
              <w:rPr>
                <w:rFonts w:cs="Calibri"/>
                <w:sz w:val="21"/>
                <w:szCs w:val="21"/>
              </w:rPr>
            </w:pPr>
          </w:p>
        </w:tc>
        <w:tc>
          <w:tcPr>
            <w:tcW w:w="1526" w:type="dxa"/>
            <w:vMerge/>
            <w:shd w:val="clear" w:color="auto" w:fill="D9D9D9" w:themeFill="background1" w:themeFillShade="D9"/>
            <w:vAlign w:val="center"/>
          </w:tcPr>
          <w:p w:rsidRPr="00841662" w:rsidR="001F0154" w:rsidP="00A14F8D" w:rsidRDefault="001F0154" w14:paraId="41F35EA2" w14:textId="77777777">
            <w:pPr>
              <w:jc w:val="center"/>
              <w:rPr>
                <w:rFonts w:cs="Calibri"/>
                <w:sz w:val="21"/>
                <w:szCs w:val="21"/>
              </w:rPr>
            </w:pPr>
          </w:p>
        </w:tc>
        <w:tc>
          <w:tcPr>
            <w:tcW w:w="5674" w:type="dxa"/>
            <w:shd w:val="clear" w:color="auto" w:fill="D9D9D9" w:themeFill="background1" w:themeFillShade="D9"/>
            <w:tcMar>
              <w:left w:w="43" w:type="dxa"/>
              <w:right w:w="43" w:type="dxa"/>
            </w:tcMar>
            <w:vAlign w:val="center"/>
          </w:tcPr>
          <w:p w:rsidRPr="00841662" w:rsidR="001F0154" w:rsidP="00A14F8D" w:rsidRDefault="001F0154" w14:paraId="30824545" w14:textId="77777777">
            <w:pPr>
              <w:rPr>
                <w:rFonts w:cstheme="minorHAnsi"/>
                <w:sz w:val="21"/>
                <w:szCs w:val="21"/>
              </w:rPr>
            </w:pPr>
            <w:r w:rsidRPr="00841662">
              <w:rPr>
                <w:rFonts w:cstheme="minorHAnsi"/>
                <w:sz w:val="21"/>
                <w:szCs w:val="21"/>
              </w:rPr>
              <w:t>Total potential emissions (mt CH</w:t>
            </w:r>
            <w:r w:rsidRPr="00841662">
              <w:rPr>
                <w:rFonts w:cstheme="minorHAnsi"/>
                <w:sz w:val="21"/>
                <w:szCs w:val="21"/>
                <w:vertAlign w:val="subscript"/>
              </w:rPr>
              <w:t>4</w:t>
            </w:r>
            <w:r w:rsidRPr="00841662">
              <w:rPr>
                <w:rFonts w:cstheme="minorHAnsi"/>
                <w:sz w:val="21"/>
                <w:szCs w:val="21"/>
              </w:rPr>
              <w:t>)</w:t>
            </w:r>
          </w:p>
        </w:tc>
        <w:tc>
          <w:tcPr>
            <w:tcW w:w="720" w:type="dxa"/>
            <w:shd w:val="clear" w:color="auto" w:fill="D9D9D9" w:themeFill="background1" w:themeFillShade="D9"/>
            <w:vAlign w:val="center"/>
          </w:tcPr>
          <w:p w:rsidRPr="00841662" w:rsidR="001F0154" w:rsidP="00A14F8D" w:rsidRDefault="001F0154" w14:paraId="10A8286F" w14:textId="77777777">
            <w:pPr>
              <w:jc w:val="center"/>
              <w:rPr>
                <w:rFonts w:cs="Calibri"/>
                <w:sz w:val="21"/>
                <w:szCs w:val="21"/>
              </w:rPr>
            </w:pPr>
          </w:p>
        </w:tc>
      </w:tr>
      <w:tr w:rsidRPr="00841662" w:rsidR="001F0154" w:rsidTr="00A14F8D" w14:paraId="27C9A342" w14:textId="77777777">
        <w:tblPrEx>
          <w:jc w:val="left"/>
        </w:tblPrEx>
        <w:trPr>
          <w:trHeight w:val="260"/>
        </w:trPr>
        <w:tc>
          <w:tcPr>
            <w:tcW w:w="1440" w:type="dxa"/>
            <w:vMerge/>
            <w:shd w:val="clear" w:color="auto" w:fill="D9D9D9" w:themeFill="background1" w:themeFillShade="D9"/>
            <w:vAlign w:val="center"/>
          </w:tcPr>
          <w:p w:rsidRPr="00841662" w:rsidR="001F0154" w:rsidP="00A14F8D" w:rsidRDefault="001F0154" w14:paraId="612BF134" w14:textId="77777777">
            <w:pPr>
              <w:jc w:val="center"/>
              <w:rPr>
                <w:rFonts w:cs="Calibri"/>
                <w:sz w:val="21"/>
                <w:szCs w:val="21"/>
              </w:rPr>
            </w:pPr>
          </w:p>
        </w:tc>
        <w:tc>
          <w:tcPr>
            <w:tcW w:w="1526" w:type="dxa"/>
            <w:vMerge/>
            <w:shd w:val="clear" w:color="auto" w:fill="D9D9D9" w:themeFill="background1" w:themeFillShade="D9"/>
            <w:vAlign w:val="center"/>
          </w:tcPr>
          <w:p w:rsidRPr="00841662" w:rsidR="001F0154" w:rsidP="00A14F8D" w:rsidRDefault="001F0154" w14:paraId="6DD14030" w14:textId="77777777">
            <w:pPr>
              <w:jc w:val="center"/>
              <w:rPr>
                <w:rFonts w:cs="Calibri"/>
                <w:sz w:val="21"/>
                <w:szCs w:val="21"/>
              </w:rPr>
            </w:pPr>
          </w:p>
        </w:tc>
        <w:tc>
          <w:tcPr>
            <w:tcW w:w="5674" w:type="dxa"/>
            <w:shd w:val="clear" w:color="auto" w:fill="D9D9D9" w:themeFill="background1" w:themeFillShade="D9"/>
            <w:tcMar>
              <w:left w:w="43" w:type="dxa"/>
              <w:right w:w="43" w:type="dxa"/>
            </w:tcMar>
            <w:vAlign w:val="center"/>
          </w:tcPr>
          <w:p w:rsidRPr="00841662" w:rsidR="001F0154" w:rsidP="00A14F8D" w:rsidRDefault="001F0154" w14:paraId="0F986BA6" w14:textId="77777777">
            <w:pPr>
              <w:rPr>
                <w:rFonts w:cstheme="minorHAnsi"/>
                <w:sz w:val="21"/>
                <w:szCs w:val="21"/>
              </w:rPr>
            </w:pPr>
            <w:r w:rsidRPr="00841662">
              <w:rPr>
                <w:rFonts w:cstheme="minorHAnsi"/>
                <w:sz w:val="21"/>
                <w:szCs w:val="21"/>
              </w:rPr>
              <w:t>Emission reductions from voluntary action (mt CH</w:t>
            </w:r>
            <w:r w:rsidRPr="003B721A">
              <w:rPr>
                <w:rFonts w:cstheme="minorHAnsi"/>
                <w:sz w:val="21"/>
                <w:szCs w:val="21"/>
                <w:vertAlign w:val="subscript"/>
              </w:rPr>
              <w:t>4</w:t>
            </w:r>
            <w:r w:rsidRPr="00841662">
              <w:rPr>
                <w:rFonts w:cstheme="minorHAnsi"/>
                <w:sz w:val="21"/>
                <w:szCs w:val="21"/>
              </w:rPr>
              <w:t>)</w:t>
            </w:r>
          </w:p>
        </w:tc>
        <w:tc>
          <w:tcPr>
            <w:tcW w:w="720" w:type="dxa"/>
            <w:shd w:val="clear" w:color="auto" w:fill="D9D9D9" w:themeFill="background1" w:themeFillShade="D9"/>
            <w:vAlign w:val="center"/>
          </w:tcPr>
          <w:p w:rsidRPr="00841662" w:rsidR="001F0154" w:rsidP="00A14F8D" w:rsidRDefault="001F0154" w14:paraId="65667CAB" w14:textId="77777777">
            <w:pPr>
              <w:jc w:val="center"/>
              <w:rPr>
                <w:rFonts w:cs="Calibri"/>
                <w:sz w:val="21"/>
                <w:szCs w:val="21"/>
              </w:rPr>
            </w:pPr>
          </w:p>
        </w:tc>
      </w:tr>
    </w:tbl>
    <w:p w:rsidRPr="00B01543" w:rsidR="001F0154" w:rsidP="001F0154" w:rsidRDefault="001F0154" w14:paraId="7D88ED78" w14:textId="77777777">
      <w:pPr>
        <w:rPr>
          <w:rFonts w:cstheme="minorHAnsi"/>
          <w:szCs w:val="22"/>
        </w:rPr>
      </w:pPr>
    </w:p>
    <w:p w:rsidR="001F0154" w:rsidP="001F0154" w:rsidRDefault="001F0154" w14:paraId="090B1446" w14:textId="77777777">
      <w:pPr>
        <w:spacing w:after="200" w:line="276" w:lineRule="auto"/>
        <w:rPr>
          <w:rFonts w:ascii="Cambria" w:hAnsi="Cambria"/>
          <w:color w:val="243F60" w:themeColor="accent1" w:themeShade="7F"/>
          <w:sz w:val="24"/>
        </w:rPr>
      </w:pPr>
      <w:r>
        <w:br w:type="page"/>
      </w:r>
    </w:p>
    <w:p w:rsidRPr="00B01543" w:rsidR="00B01543" w:rsidP="00084222" w:rsidRDefault="00B01543" w14:paraId="034C01C6" w14:textId="5C701311">
      <w:pPr>
        <w:pStyle w:val="Heading2"/>
      </w:pPr>
      <w:bookmarkStart w:name="_Toc67322590" w:id="40"/>
      <w:r w:rsidRPr="00B01543">
        <w:lastRenderedPageBreak/>
        <w:t>Excavation Damages</w:t>
      </w:r>
      <w:bookmarkEnd w:id="37"/>
      <w:bookmarkEnd w:id="40"/>
    </w:p>
    <w:p w:rsidRPr="009B0364" w:rsidR="00867CF3" w:rsidP="00867CF3" w:rsidRDefault="00867CF3" w14:paraId="6FDE0304" w14:textId="77777777">
      <w:pPr>
        <w:rPr>
          <w:rFonts w:ascii="Calibri" w:hAnsi="Calibri" w:cs="Calibri"/>
          <w:szCs w:val="22"/>
          <w:u w:val="single"/>
        </w:rPr>
      </w:pPr>
      <w:r>
        <w:rPr>
          <w:rFonts w:ascii="Calibri" w:hAnsi="Calibri" w:cs="Calibri"/>
          <w:szCs w:val="22"/>
          <w:u w:val="single"/>
        </w:rPr>
        <w:t>Applicable Segments:</w:t>
      </w:r>
      <w:r w:rsidRPr="00053AA8">
        <w:rPr>
          <w:rFonts w:ascii="Calibri" w:hAnsi="Calibri" w:cs="Calibri"/>
          <w:szCs w:val="22"/>
        </w:rPr>
        <w:t xml:space="preserve"> </w:t>
      </w:r>
      <w:r>
        <w:rPr>
          <w:rFonts w:ascii="Calibri" w:hAnsi="Calibri" w:cs="Calibri"/>
          <w:szCs w:val="22"/>
        </w:rPr>
        <w:t>Distribution</w:t>
      </w:r>
    </w:p>
    <w:p w:rsidRPr="00B01543" w:rsidR="00B01543" w:rsidP="00740134" w:rsidRDefault="00B01543" w14:paraId="33C2ED73" w14:textId="0E9183D8">
      <w:pPr>
        <w:rPr>
          <w:rFonts w:cstheme="minorHAnsi"/>
          <w:szCs w:val="22"/>
        </w:rPr>
      </w:pPr>
      <w:r w:rsidRPr="00B01543">
        <w:rPr>
          <w:rFonts w:cstheme="minorHAnsi"/>
          <w:szCs w:val="22"/>
          <w:u w:val="single"/>
        </w:rPr>
        <w:t>Source Description</w:t>
      </w:r>
      <w:r w:rsidRPr="00B01543">
        <w:rPr>
          <w:rFonts w:cstheme="minorHAnsi"/>
          <w:szCs w:val="22"/>
        </w:rPr>
        <w:t>: Excavation damage may include damage to the external coating of the pipe, or dents, scrapes, cuts, or punctures directly into the pipeline itself. Excavation damage often occurs when required One-Call notifications are not made prior to beginning excavation, digging, or plowing activities</w:t>
      </w:r>
      <w:r w:rsidR="005B7781">
        <w:rPr>
          <w:rFonts w:cstheme="minorHAnsi"/>
          <w:szCs w:val="22"/>
        </w:rPr>
        <w:t>, or when calls are made but pipe is still damaged</w:t>
      </w:r>
      <w:r w:rsidRPr="00B01543">
        <w:rPr>
          <w:rFonts w:cstheme="minorHAnsi"/>
          <w:szCs w:val="22"/>
        </w:rPr>
        <w:t>. When the location of underground facilities is not properly determined, the excavator may inadvertently – and sometimes unknowingly – damage the pipeline and its protective coating.</w:t>
      </w:r>
      <w:r w:rsidRPr="00B01543">
        <w:rPr>
          <w:rFonts w:cstheme="minorHAnsi"/>
          <w:szCs w:val="22"/>
          <w:vertAlign w:val="superscript"/>
        </w:rPr>
        <w:footnoteReference w:id="87"/>
      </w:r>
      <w:r w:rsidRPr="00B01543">
        <w:rPr>
          <w:rFonts w:cstheme="minorHAnsi"/>
          <w:szCs w:val="22"/>
        </w:rPr>
        <w:t xml:space="preserve"> </w:t>
      </w:r>
      <w:r w:rsidR="006B7771">
        <w:rPr>
          <w:rFonts w:cstheme="minorHAnsi"/>
          <w:szCs w:val="22"/>
        </w:rPr>
        <w:t>This source covers both distribution mains and service</w:t>
      </w:r>
      <w:r w:rsidR="00906EE4">
        <w:rPr>
          <w:rFonts w:cstheme="minorHAnsi"/>
          <w:szCs w:val="22"/>
        </w:rPr>
        <w:t>s</w:t>
      </w:r>
      <w:r w:rsidR="006B7771">
        <w:rPr>
          <w:rFonts w:cstheme="minorHAnsi"/>
          <w:szCs w:val="22"/>
        </w:rPr>
        <w:t>.</w:t>
      </w:r>
    </w:p>
    <w:p w:rsidRPr="00B01543" w:rsidR="00B01543" w:rsidP="00740134" w:rsidRDefault="00B01543" w14:paraId="4D3DA92C" w14:textId="77777777">
      <w:pPr>
        <w:rPr>
          <w:rFonts w:cstheme="minorHAnsi"/>
          <w:szCs w:val="22"/>
        </w:rPr>
      </w:pPr>
      <w:r w:rsidRPr="00B01543">
        <w:rPr>
          <w:rFonts w:cstheme="minorHAnsi"/>
          <w:szCs w:val="22"/>
          <w:u w:val="single"/>
        </w:rPr>
        <w:t>Mitigation Options</w:t>
      </w:r>
      <w:r w:rsidRPr="00B01543">
        <w:rPr>
          <w:rFonts w:cstheme="minorHAnsi"/>
          <w:szCs w:val="22"/>
        </w:rPr>
        <w:t>:</w:t>
      </w:r>
    </w:p>
    <w:p w:rsidRPr="00B01543" w:rsidR="00D66A3C" w:rsidP="009C7875" w:rsidRDefault="00D66A3C" w14:paraId="7242FAA0" w14:textId="61DDB9A0">
      <w:pPr>
        <w:numPr>
          <w:ilvl w:val="0"/>
          <w:numId w:val="8"/>
        </w:numPr>
        <w:contextualSpacing/>
        <w:rPr>
          <w:rFonts w:eastAsiaTheme="minorEastAsia" w:cstheme="minorHAnsi"/>
          <w:szCs w:val="22"/>
        </w:rPr>
      </w:pPr>
      <w:r w:rsidRPr="00B01543">
        <w:rPr>
          <w:rFonts w:eastAsiaTheme="minorEastAsia" w:cstheme="minorHAnsi"/>
          <w:szCs w:val="22"/>
        </w:rPr>
        <w:t xml:space="preserve">Conduct incident analyses </w:t>
      </w:r>
      <w:r>
        <w:rPr>
          <w:rFonts w:eastAsiaTheme="minorEastAsia" w:cstheme="minorHAnsi"/>
          <w:szCs w:val="22"/>
        </w:rPr>
        <w:t xml:space="preserve">(e.g. </w:t>
      </w:r>
      <w:r w:rsidRPr="00B01543">
        <w:rPr>
          <w:rFonts w:eastAsiaTheme="minorEastAsia" w:cstheme="minorHAnsi"/>
          <w:szCs w:val="22"/>
        </w:rPr>
        <w:t>by identifying whether excavation</w:t>
      </w:r>
      <w:r>
        <w:rPr>
          <w:rFonts w:eastAsiaTheme="minorEastAsia" w:cstheme="minorHAnsi"/>
          <w:szCs w:val="22"/>
        </w:rPr>
        <w:t>, locating, or One-Call practices</w:t>
      </w:r>
      <w:r w:rsidRPr="00B01543">
        <w:rPr>
          <w:rFonts w:eastAsiaTheme="minorEastAsia" w:cstheme="minorHAnsi"/>
          <w:szCs w:val="22"/>
        </w:rPr>
        <w:t xml:space="preserve"> were not sufficien</w:t>
      </w:r>
      <w:r>
        <w:rPr>
          <w:rFonts w:eastAsiaTheme="minorEastAsia" w:cstheme="minorHAnsi"/>
          <w:szCs w:val="22"/>
        </w:rPr>
        <w:t>t)</w:t>
      </w:r>
      <w:r w:rsidRPr="00B01543">
        <w:rPr>
          <w:rFonts w:eastAsiaTheme="minorEastAsia" w:cstheme="minorHAnsi"/>
          <w:szCs w:val="22"/>
        </w:rPr>
        <w:t xml:space="preserve"> to inform</w:t>
      </w:r>
      <w:r>
        <w:rPr>
          <w:rFonts w:eastAsiaTheme="minorEastAsia" w:cstheme="minorHAnsi"/>
          <w:szCs w:val="22"/>
        </w:rPr>
        <w:t xml:space="preserve"> process</w:t>
      </w:r>
      <w:r w:rsidRPr="00B01543">
        <w:rPr>
          <w:rFonts w:eastAsiaTheme="minorEastAsia" w:cstheme="minorHAnsi"/>
          <w:szCs w:val="22"/>
        </w:rPr>
        <w:t xml:space="preserve"> improvements</w:t>
      </w:r>
      <w:r>
        <w:rPr>
          <w:rFonts w:eastAsiaTheme="minorEastAsia" w:cstheme="minorHAnsi"/>
          <w:szCs w:val="22"/>
        </w:rPr>
        <w:t xml:space="preserve"> and reduce excavation damages</w:t>
      </w:r>
      <w:r w:rsidR="00C859EC">
        <w:rPr>
          <w:rFonts w:eastAsiaTheme="minorEastAsia" w:cstheme="minorHAnsi"/>
          <w:szCs w:val="22"/>
        </w:rPr>
        <w:t>, or</w:t>
      </w:r>
    </w:p>
    <w:p w:rsidRPr="00B01543" w:rsidR="00B01543" w:rsidP="009C7875" w:rsidRDefault="00B01543" w14:paraId="3AA555A3" w14:textId="020235B4">
      <w:pPr>
        <w:numPr>
          <w:ilvl w:val="0"/>
          <w:numId w:val="8"/>
        </w:numPr>
        <w:rPr>
          <w:rFonts w:eastAsiaTheme="minorEastAsia" w:cstheme="minorBidi"/>
          <w:szCs w:val="22"/>
        </w:rPr>
      </w:pPr>
      <w:r w:rsidRPr="00B01543">
        <w:rPr>
          <w:rFonts w:eastAsiaTheme="minorEastAsia" w:cstheme="minorHAnsi"/>
          <w:szCs w:val="22"/>
        </w:rPr>
        <w:t>Undertake targeted programs to reduce excavation damages</w:t>
      </w:r>
      <w:r w:rsidR="005B7781">
        <w:rPr>
          <w:rFonts w:eastAsiaTheme="minorEastAsia" w:cstheme="minorHAnsi"/>
          <w:szCs w:val="22"/>
        </w:rPr>
        <w:t xml:space="preserve"> and/or shorten time to shut-in when damages do occur</w:t>
      </w:r>
      <w:r w:rsidRPr="00B01543">
        <w:rPr>
          <w:rFonts w:eastAsiaTheme="minorEastAsia" w:cstheme="minorHAnsi"/>
          <w:szCs w:val="22"/>
        </w:rPr>
        <w:t xml:space="preserve">, including </w:t>
      </w:r>
      <w:r w:rsidRPr="00B01543">
        <w:rPr>
          <w:rFonts w:eastAsiaTheme="minorEastAsia" w:cstheme="minorBidi"/>
          <w:szCs w:val="22"/>
        </w:rPr>
        <w:t>patrolling systems when construction activity is higher, excavator education programs (811, call before you dig), identifying and implementing steps to minimize repeat offenders, and stand-by efforts</w:t>
      </w:r>
      <w:r w:rsidR="00C859EC">
        <w:rPr>
          <w:rFonts w:eastAsiaTheme="minorEastAsia" w:cstheme="minorBidi"/>
          <w:szCs w:val="22"/>
        </w:rPr>
        <w:t>.</w:t>
      </w:r>
    </w:p>
    <w:p w:rsidRPr="00FF1A0F" w:rsidR="00FF1A0F" w:rsidP="00740134" w:rsidRDefault="00463EFA" w14:paraId="5D44E75E" w14:textId="1D49323B">
      <w:pPr>
        <w:rPr>
          <w:rFonts w:eastAsiaTheme="minorEastAsia" w:cstheme="minorBidi"/>
          <w:szCs w:val="22"/>
        </w:rPr>
      </w:pPr>
      <w:r>
        <w:rPr>
          <w:rFonts w:cstheme="minorHAnsi"/>
        </w:rPr>
        <w:t>P</w:t>
      </w:r>
      <w:r w:rsidR="004E46B4">
        <w:rPr>
          <w:rFonts w:cstheme="minorHAnsi"/>
        </w:rPr>
        <w:t>artner companies</w:t>
      </w:r>
      <w:r w:rsidR="0010403A">
        <w:rPr>
          <w:rFonts w:cstheme="minorHAnsi"/>
        </w:rPr>
        <w:t>’ collection and reporting of data on all excavation damages is a significant part of this commitment</w:t>
      </w:r>
      <w:r w:rsidR="007B6E34">
        <w:rPr>
          <w:rFonts w:cstheme="minorHAnsi"/>
        </w:rPr>
        <w:t>.</w:t>
      </w:r>
      <w:r w:rsidR="004901DE">
        <w:rPr>
          <w:rStyle w:val="FootnoteReference"/>
          <w:rFonts w:cstheme="minorHAnsi"/>
        </w:rPr>
        <w:footnoteReference w:id="88"/>
      </w:r>
      <w:r w:rsidR="0010403A">
        <w:rPr>
          <w:rFonts w:cstheme="minorHAnsi"/>
        </w:rPr>
        <w:t xml:space="preserve">  Partners</w:t>
      </w:r>
      <w:r w:rsidR="004E46B4">
        <w:rPr>
          <w:rFonts w:cstheme="minorHAnsi"/>
        </w:rPr>
        <w:t xml:space="preserve"> will</w:t>
      </w:r>
      <w:r w:rsidR="00FF1A0F">
        <w:rPr>
          <w:rFonts w:eastAsiaTheme="minorEastAsia" w:cstheme="minorBidi"/>
          <w:szCs w:val="22"/>
        </w:rPr>
        <w:t xml:space="preserve"> u</w:t>
      </w:r>
      <w:r w:rsidRPr="00FF1A0F" w:rsidR="00FF1A0F">
        <w:rPr>
          <w:rFonts w:eastAsiaTheme="minorEastAsia" w:cstheme="minorBidi"/>
          <w:szCs w:val="22"/>
        </w:rPr>
        <w:t xml:space="preserve">se </w:t>
      </w:r>
      <w:r w:rsidR="004E46B4">
        <w:rPr>
          <w:rFonts w:eastAsiaTheme="minorEastAsia" w:cstheme="minorBidi"/>
          <w:szCs w:val="22"/>
        </w:rPr>
        <w:t xml:space="preserve">the </w:t>
      </w:r>
      <w:r w:rsidRPr="00FF1A0F" w:rsidR="00FF1A0F">
        <w:rPr>
          <w:rFonts w:eastAsiaTheme="minorEastAsia" w:cstheme="minorBidi"/>
          <w:szCs w:val="22"/>
        </w:rPr>
        <w:t>collected data to set a company-specific goal for</w:t>
      </w:r>
      <w:r w:rsidR="00EE4131">
        <w:rPr>
          <w:rFonts w:eastAsiaTheme="minorEastAsia" w:cstheme="minorBidi"/>
          <w:szCs w:val="22"/>
        </w:rPr>
        <w:t xml:space="preserve"> reducing</w:t>
      </w:r>
      <w:r w:rsidRPr="00FF1A0F" w:rsidR="00FF1A0F">
        <w:rPr>
          <w:rFonts w:eastAsiaTheme="minorEastAsia" w:cstheme="minorBidi"/>
          <w:szCs w:val="22"/>
        </w:rPr>
        <w:t xml:space="preserve"> </w:t>
      </w:r>
      <w:r w:rsidR="00DC618E">
        <w:rPr>
          <w:rFonts w:cstheme="minorHAnsi"/>
          <w:sz w:val="21"/>
          <w:szCs w:val="21"/>
        </w:rPr>
        <w:t xml:space="preserve">excavation damages and/or </w:t>
      </w:r>
      <w:r w:rsidRPr="004A6D7C" w:rsidR="00DC618E">
        <w:rPr>
          <w:rFonts w:cstheme="minorHAnsi"/>
          <w:sz w:val="21"/>
          <w:szCs w:val="21"/>
        </w:rPr>
        <w:t>methane emissions from excavation damages</w:t>
      </w:r>
      <w:r w:rsidR="00DC618E">
        <w:rPr>
          <w:rFonts w:cstheme="minorHAnsi"/>
          <w:sz w:val="21"/>
          <w:szCs w:val="21"/>
        </w:rPr>
        <w:t>.</w:t>
      </w:r>
      <w:r w:rsidRPr="00FF1A0F" w:rsidDel="00DC618E" w:rsidR="00DC618E">
        <w:rPr>
          <w:rFonts w:eastAsiaTheme="minorEastAsia" w:cstheme="minorBidi"/>
          <w:szCs w:val="22"/>
        </w:rPr>
        <w:t xml:space="preserve"> </w:t>
      </w:r>
    </w:p>
    <w:p w:rsidR="004901DE" w:rsidP="00740134" w:rsidRDefault="004901DE" w14:paraId="3CC70308" w14:textId="30515817">
      <w:pPr>
        <w:rPr>
          <w:rFonts w:ascii="Calibri" w:hAnsi="Calibri" w:cs="Calibri"/>
          <w:color w:val="000000"/>
          <w:szCs w:val="22"/>
        </w:rPr>
      </w:pPr>
      <w:r w:rsidRPr="001D2EEE">
        <w:rPr>
          <w:rFonts w:ascii="Calibri" w:hAnsi="Calibri" w:cs="Calibri"/>
          <w:color w:val="000000"/>
          <w:szCs w:val="22"/>
          <w:u w:val="single"/>
        </w:rPr>
        <w:t>Commitment Timeframe:</w:t>
      </w:r>
      <w:r>
        <w:rPr>
          <w:rFonts w:ascii="Calibri" w:hAnsi="Calibri" w:cs="Calibri"/>
          <w:color w:val="000000"/>
          <w:szCs w:val="22"/>
        </w:rPr>
        <w:t xml:space="preserve"> </w:t>
      </w:r>
      <w:r>
        <w:rPr>
          <w:rFonts w:ascii="Calibri" w:hAnsi="Calibri" w:cs="Calibri" w:eastAsiaTheme="minorEastAsia"/>
          <w:szCs w:val="22"/>
        </w:rPr>
        <w:t>P</w:t>
      </w:r>
      <w:r w:rsidRPr="003A4E80">
        <w:rPr>
          <w:rFonts w:ascii="Calibri" w:hAnsi="Calibri" w:cs="Calibri" w:eastAsiaTheme="minorEastAsia"/>
          <w:color w:val="000000"/>
          <w:szCs w:val="22"/>
        </w:rPr>
        <w:t>artners</w:t>
      </w:r>
      <w:r w:rsidRPr="000C11A4" w:rsidR="000C11A4">
        <w:t xml:space="preserve"> </w:t>
      </w:r>
      <w:r w:rsidRPr="000C11A4" w:rsidR="000C11A4">
        <w:rPr>
          <w:rFonts w:ascii="Calibri" w:hAnsi="Calibri" w:cs="Calibri" w:eastAsiaTheme="minorEastAsia"/>
          <w:color w:val="000000"/>
          <w:szCs w:val="22"/>
        </w:rPr>
        <w:t>commit to report as many data elements as possible annually and to</w:t>
      </w:r>
      <w:r w:rsidR="00913A8B">
        <w:rPr>
          <w:rFonts w:ascii="Calibri" w:hAnsi="Calibri" w:cs="Calibri" w:eastAsiaTheme="minorEastAsia"/>
          <w:color w:val="000000"/>
          <w:szCs w:val="22"/>
        </w:rPr>
        <w:t xml:space="preserve"> </w:t>
      </w:r>
      <w:r w:rsidR="00DD2454">
        <w:rPr>
          <w:rFonts w:ascii="Calibri" w:hAnsi="Calibri" w:cs="Calibri" w:eastAsiaTheme="minorEastAsia"/>
          <w:color w:val="000000"/>
          <w:szCs w:val="22"/>
        </w:rPr>
        <w:t xml:space="preserve">be </w:t>
      </w:r>
      <w:r w:rsidRPr="000C11A4" w:rsidR="000C11A4">
        <w:rPr>
          <w:rFonts w:ascii="Calibri" w:hAnsi="Calibri" w:cs="Calibri" w:eastAsiaTheme="minorEastAsia"/>
          <w:color w:val="000000"/>
          <w:szCs w:val="22"/>
        </w:rPr>
        <w:t>report</w:t>
      </w:r>
      <w:r w:rsidR="00DD2454">
        <w:rPr>
          <w:rFonts w:ascii="Calibri" w:hAnsi="Calibri" w:cs="Calibri" w:eastAsiaTheme="minorEastAsia"/>
          <w:color w:val="000000"/>
          <w:szCs w:val="22"/>
        </w:rPr>
        <w:t>ing</w:t>
      </w:r>
      <w:r w:rsidRPr="000C11A4" w:rsidR="000C11A4">
        <w:rPr>
          <w:rFonts w:ascii="Calibri" w:hAnsi="Calibri" w:cs="Calibri" w:eastAsiaTheme="minorEastAsia"/>
          <w:color w:val="000000"/>
          <w:szCs w:val="22"/>
        </w:rPr>
        <w:t xml:space="preserve"> all data elements by the designated commitment achievement date</w:t>
      </w:r>
      <w:r w:rsidRPr="00A808E0">
        <w:rPr>
          <w:rFonts w:ascii="Calibri" w:hAnsi="Calibri" w:cs="Calibri" w:eastAsiaTheme="minorEastAsia"/>
          <w:color w:val="000000"/>
          <w:szCs w:val="22"/>
        </w:rPr>
        <w:t>, not to exceed five (5) years from the commitment start date</w:t>
      </w:r>
      <w:r w:rsidR="00551221">
        <w:rPr>
          <w:rFonts w:ascii="Calibri" w:hAnsi="Calibri" w:cs="Calibri" w:eastAsiaTheme="minorEastAsia"/>
          <w:color w:val="000000"/>
          <w:szCs w:val="22"/>
        </w:rPr>
        <w:t>.</w:t>
      </w:r>
    </w:p>
    <w:p w:rsidR="00B01543" w:rsidP="00BB1941" w:rsidRDefault="00B01543" w14:paraId="661CCD73" w14:textId="77777777">
      <w:pPr>
        <w:keepNext/>
        <w:keepLines/>
        <w:rPr>
          <w:rFonts w:cstheme="minorHAnsi"/>
          <w:u w:val="single"/>
        </w:rPr>
      </w:pPr>
      <w:r w:rsidRPr="00B01543">
        <w:rPr>
          <w:rFonts w:cstheme="minorHAnsi"/>
          <w:u w:val="single"/>
        </w:rPr>
        <w:lastRenderedPageBreak/>
        <w:t>Reporting:</w:t>
      </w:r>
    </w:p>
    <w:tbl>
      <w:tblPr>
        <w:tblStyle w:val="TableGrid64"/>
        <w:tblW w:w="9360" w:type="dxa"/>
        <w:jc w:val="center"/>
        <w:tblLayout w:type="fixed"/>
        <w:tblCellMar>
          <w:left w:w="58" w:type="dxa"/>
          <w:right w:w="58" w:type="dxa"/>
        </w:tblCellMar>
        <w:tblLook w:val="04A0" w:firstRow="1" w:lastRow="0" w:firstColumn="1" w:lastColumn="0" w:noHBand="0" w:noVBand="1"/>
        <w:tblDescription w:val="Reporting for Excavation Damages"/>
      </w:tblPr>
      <w:tblGrid>
        <w:gridCol w:w="1440"/>
        <w:gridCol w:w="1526"/>
        <w:gridCol w:w="5674"/>
        <w:gridCol w:w="720"/>
      </w:tblGrid>
      <w:tr w:rsidRPr="004A6D7C" w:rsidR="00856129" w:rsidTr="00D82B30" w14:paraId="0D593C31" w14:textId="77777777">
        <w:trPr>
          <w:tblHeader/>
          <w:jc w:val="center"/>
        </w:trPr>
        <w:tc>
          <w:tcPr>
            <w:tcW w:w="1440" w:type="dxa"/>
            <w:shd w:val="clear" w:color="auto" w:fill="A6A6A6" w:themeFill="background1" w:themeFillShade="A6"/>
            <w:tcMar>
              <w:left w:w="115" w:type="dxa"/>
              <w:right w:w="115" w:type="dxa"/>
            </w:tcMar>
          </w:tcPr>
          <w:p w:rsidRPr="004A6D7C" w:rsidR="00856129" w:rsidP="00BB1941" w:rsidRDefault="00856129" w14:paraId="4D3935D7" w14:textId="77777777">
            <w:pPr>
              <w:keepNext/>
              <w:keepLines/>
              <w:rPr>
                <w:rFonts w:cs="Calibri"/>
                <w:b/>
                <w:sz w:val="20"/>
                <w:szCs w:val="21"/>
              </w:rPr>
            </w:pPr>
            <w:r w:rsidRPr="004A6D7C">
              <w:rPr>
                <w:rFonts w:cs="Calibri"/>
                <w:b/>
                <w:sz w:val="20"/>
                <w:szCs w:val="21"/>
              </w:rPr>
              <w:t>Emission Source</w:t>
            </w:r>
          </w:p>
        </w:tc>
        <w:tc>
          <w:tcPr>
            <w:tcW w:w="1526" w:type="dxa"/>
            <w:shd w:val="clear" w:color="auto" w:fill="A6A6A6" w:themeFill="background1" w:themeFillShade="A6"/>
            <w:tcMar>
              <w:left w:w="115" w:type="dxa"/>
              <w:right w:w="115" w:type="dxa"/>
            </w:tcMar>
          </w:tcPr>
          <w:p w:rsidRPr="004A6D7C" w:rsidR="00856129" w:rsidP="00BB1941" w:rsidRDefault="00856129" w14:paraId="26D35F76" w14:textId="77777777">
            <w:pPr>
              <w:keepNext/>
              <w:keepLines/>
              <w:rPr>
                <w:rFonts w:cs="Calibri"/>
                <w:b/>
                <w:sz w:val="20"/>
                <w:szCs w:val="21"/>
              </w:rPr>
            </w:pPr>
            <w:r w:rsidRPr="004A6D7C">
              <w:rPr>
                <w:rFonts w:cs="Calibri"/>
                <w:b/>
                <w:sz w:val="20"/>
                <w:szCs w:val="21"/>
              </w:rPr>
              <w:t xml:space="preserve">Quantification Method </w:t>
            </w:r>
          </w:p>
        </w:tc>
        <w:tc>
          <w:tcPr>
            <w:tcW w:w="5674" w:type="dxa"/>
            <w:shd w:val="clear" w:color="auto" w:fill="A6A6A6" w:themeFill="background1" w:themeFillShade="A6"/>
            <w:tcMar>
              <w:left w:w="115" w:type="dxa"/>
              <w:right w:w="115" w:type="dxa"/>
            </w:tcMar>
          </w:tcPr>
          <w:p w:rsidRPr="004A6D7C" w:rsidR="00856129" w:rsidP="00BB1941" w:rsidRDefault="00856129" w14:paraId="1601E9FE" w14:textId="28D8435B">
            <w:pPr>
              <w:keepNext/>
              <w:keepLines/>
              <w:rPr>
                <w:rFonts w:cs="Calibri"/>
                <w:b/>
                <w:sz w:val="20"/>
                <w:szCs w:val="21"/>
              </w:rPr>
            </w:pPr>
            <w:r w:rsidRPr="00A6540C">
              <w:rPr>
                <w:rFonts w:cs="Calibri"/>
                <w:b/>
                <w:sz w:val="20"/>
                <w:szCs w:val="21"/>
              </w:rPr>
              <w:t>Data Elements Collected via Facility-Level Reporting</w:t>
            </w:r>
          </w:p>
        </w:tc>
        <w:tc>
          <w:tcPr>
            <w:tcW w:w="720" w:type="dxa"/>
            <w:shd w:val="clear" w:color="auto" w:fill="A6A6A6" w:themeFill="background1" w:themeFillShade="A6"/>
            <w:tcMar>
              <w:left w:w="0" w:type="dxa"/>
              <w:right w:w="0" w:type="dxa"/>
            </w:tcMar>
          </w:tcPr>
          <w:p w:rsidRPr="004A6D7C" w:rsidR="00856129" w:rsidP="00BB1941" w:rsidRDefault="00856129" w14:paraId="627A6A9F" w14:textId="19717C21">
            <w:pPr>
              <w:keepNext/>
              <w:keepLines/>
              <w:rPr>
                <w:rFonts w:cs="Calibri"/>
                <w:b/>
                <w:sz w:val="20"/>
                <w:szCs w:val="21"/>
              </w:rPr>
            </w:pPr>
            <w:r w:rsidRPr="00841662">
              <w:rPr>
                <w:rFonts w:cs="Calibri"/>
                <w:b/>
                <w:sz w:val="20"/>
                <w:szCs w:val="21"/>
              </w:rPr>
              <w:t>GHGRP</w:t>
            </w:r>
          </w:p>
        </w:tc>
      </w:tr>
      <w:tr w:rsidRPr="004A6D7C" w:rsidR="001D2EEE" w:rsidTr="00D82B30" w14:paraId="2FAA06DC" w14:textId="77777777">
        <w:trPr>
          <w:trHeight w:val="260"/>
          <w:jc w:val="center"/>
        </w:trPr>
        <w:tc>
          <w:tcPr>
            <w:tcW w:w="1440" w:type="dxa"/>
            <w:vMerge w:val="restart"/>
            <w:shd w:val="clear" w:color="auto" w:fill="auto"/>
            <w:tcMar>
              <w:left w:w="115" w:type="dxa"/>
              <w:right w:w="115" w:type="dxa"/>
            </w:tcMar>
            <w:vAlign w:val="center"/>
          </w:tcPr>
          <w:p w:rsidRPr="004A6D7C" w:rsidR="001D2EEE" w:rsidP="00BB1941" w:rsidRDefault="001D2EEE" w14:paraId="3366E2E4" w14:textId="77777777">
            <w:pPr>
              <w:keepNext/>
              <w:keepLines/>
              <w:rPr>
                <w:rFonts w:cs="Calibri"/>
                <w:sz w:val="21"/>
                <w:szCs w:val="21"/>
              </w:rPr>
            </w:pPr>
            <w:r w:rsidRPr="004A6D7C">
              <w:rPr>
                <w:rFonts w:cs="Calibri"/>
                <w:sz w:val="21"/>
                <w:szCs w:val="21"/>
              </w:rPr>
              <w:t>Excavation damages – natural gas distribution network</w:t>
            </w:r>
          </w:p>
        </w:tc>
        <w:tc>
          <w:tcPr>
            <w:tcW w:w="1526" w:type="dxa"/>
            <w:vMerge w:val="restart"/>
            <w:shd w:val="clear" w:color="auto" w:fill="auto"/>
            <w:tcMar>
              <w:left w:w="115" w:type="dxa"/>
              <w:right w:w="115" w:type="dxa"/>
            </w:tcMar>
            <w:vAlign w:val="center"/>
          </w:tcPr>
          <w:p w:rsidRPr="004A6D7C" w:rsidR="001D2EEE" w:rsidP="00BB1941" w:rsidRDefault="001D2EEE" w14:paraId="0D1B1C6C" w14:textId="0E713686">
            <w:pPr>
              <w:keepNext/>
              <w:keepLines/>
              <w:rPr>
                <w:rFonts w:cs="Calibri"/>
                <w:sz w:val="21"/>
                <w:szCs w:val="21"/>
              </w:rPr>
            </w:pPr>
            <w:r>
              <w:rPr>
                <w:rFonts w:cs="Calibri"/>
                <w:sz w:val="21"/>
                <w:szCs w:val="21"/>
              </w:rPr>
              <w:t>NA</w:t>
            </w:r>
          </w:p>
        </w:tc>
        <w:tc>
          <w:tcPr>
            <w:tcW w:w="5674" w:type="dxa"/>
            <w:shd w:val="clear" w:color="auto" w:fill="auto"/>
            <w:tcMar>
              <w:left w:w="29" w:type="dxa"/>
              <w:right w:w="29" w:type="dxa"/>
            </w:tcMar>
            <w:vAlign w:val="center"/>
          </w:tcPr>
          <w:p w:rsidRPr="004A6D7C" w:rsidR="001D2EEE" w:rsidP="00BB1941" w:rsidRDefault="001D2EEE" w14:paraId="641E1BAC" w14:textId="28455A65">
            <w:pPr>
              <w:keepNext/>
              <w:keepLines/>
              <w:rPr>
                <w:rFonts w:cs="Calibri"/>
                <w:sz w:val="21"/>
                <w:szCs w:val="21"/>
              </w:rPr>
            </w:pPr>
            <w:r>
              <w:rPr>
                <w:rFonts w:cstheme="minorHAnsi"/>
                <w:sz w:val="21"/>
                <w:szCs w:val="21"/>
              </w:rPr>
              <w:t>Total number of excavation damages</w:t>
            </w:r>
          </w:p>
        </w:tc>
        <w:tc>
          <w:tcPr>
            <w:tcW w:w="720" w:type="dxa"/>
            <w:shd w:val="clear" w:color="auto" w:fill="auto"/>
            <w:vAlign w:val="center"/>
          </w:tcPr>
          <w:p w:rsidRPr="004A6D7C" w:rsidR="001D2EEE" w:rsidP="00BB1941" w:rsidRDefault="001D2EEE" w14:paraId="7218776A" w14:textId="77777777">
            <w:pPr>
              <w:keepNext/>
              <w:keepLines/>
              <w:jc w:val="center"/>
              <w:rPr>
                <w:rFonts w:cs="Calibri"/>
                <w:sz w:val="21"/>
                <w:szCs w:val="21"/>
              </w:rPr>
            </w:pPr>
          </w:p>
        </w:tc>
      </w:tr>
      <w:tr w:rsidRPr="004A6D7C" w:rsidR="001D2EEE" w:rsidTr="00D82B30" w14:paraId="1ECB16C6" w14:textId="77777777">
        <w:tblPrEx>
          <w:jc w:val="left"/>
        </w:tblPrEx>
        <w:trPr>
          <w:trHeight w:val="260"/>
        </w:trPr>
        <w:tc>
          <w:tcPr>
            <w:tcW w:w="1440" w:type="dxa"/>
            <w:vMerge/>
            <w:shd w:val="clear" w:color="auto" w:fill="auto"/>
            <w:vAlign w:val="center"/>
          </w:tcPr>
          <w:p w:rsidRPr="004A6D7C" w:rsidR="001D2EEE" w:rsidP="00BB1941" w:rsidRDefault="001D2EEE" w14:paraId="28D5E863" w14:textId="77777777">
            <w:pPr>
              <w:keepNext/>
              <w:keepLines/>
              <w:jc w:val="center"/>
              <w:rPr>
                <w:rFonts w:cs="Calibri"/>
                <w:sz w:val="21"/>
                <w:szCs w:val="21"/>
              </w:rPr>
            </w:pPr>
          </w:p>
        </w:tc>
        <w:tc>
          <w:tcPr>
            <w:tcW w:w="1526" w:type="dxa"/>
            <w:vMerge/>
            <w:shd w:val="clear" w:color="auto" w:fill="auto"/>
            <w:vAlign w:val="center"/>
          </w:tcPr>
          <w:p w:rsidRPr="004A6D7C" w:rsidR="001D2EEE" w:rsidP="00BB1941" w:rsidRDefault="001D2EEE" w14:paraId="3140D5DD" w14:textId="77777777">
            <w:pPr>
              <w:keepNext/>
              <w:keepLines/>
              <w:jc w:val="center"/>
              <w:rPr>
                <w:rFonts w:cs="Calibri"/>
                <w:sz w:val="21"/>
                <w:szCs w:val="21"/>
              </w:rPr>
            </w:pPr>
          </w:p>
        </w:tc>
        <w:tc>
          <w:tcPr>
            <w:tcW w:w="5674" w:type="dxa"/>
            <w:shd w:val="clear" w:color="auto" w:fill="auto"/>
            <w:tcMar>
              <w:left w:w="29" w:type="dxa"/>
              <w:right w:w="29" w:type="dxa"/>
            </w:tcMar>
            <w:vAlign w:val="center"/>
          </w:tcPr>
          <w:p w:rsidRPr="004A6D7C" w:rsidR="001D2EEE" w:rsidP="00BB1941" w:rsidRDefault="001D2EEE" w14:paraId="1F594618" w14:textId="07A99283">
            <w:pPr>
              <w:keepNext/>
              <w:keepLines/>
              <w:tabs>
                <w:tab w:val="left" w:pos="413"/>
              </w:tabs>
              <w:ind w:right="65"/>
              <w:rPr>
                <w:rFonts w:eastAsiaTheme="minorEastAsia" w:cstheme="minorHAnsi"/>
                <w:b/>
                <w:sz w:val="21"/>
                <w:szCs w:val="21"/>
              </w:rPr>
            </w:pPr>
            <w:r w:rsidRPr="004A6D7C">
              <w:rPr>
                <w:rFonts w:eastAsiaTheme="minorEastAsia" w:cstheme="minorHAnsi"/>
                <w:sz w:val="21"/>
                <w:szCs w:val="21"/>
              </w:rPr>
              <w:t>Total number of excavation damages per thousand locate calls</w:t>
            </w:r>
          </w:p>
        </w:tc>
        <w:tc>
          <w:tcPr>
            <w:tcW w:w="720" w:type="dxa"/>
            <w:shd w:val="clear" w:color="auto" w:fill="auto"/>
            <w:vAlign w:val="center"/>
          </w:tcPr>
          <w:p w:rsidRPr="004A6D7C" w:rsidR="001D2EEE" w:rsidP="00BB1941" w:rsidRDefault="001D2EEE" w14:paraId="3EE2D325" w14:textId="77777777">
            <w:pPr>
              <w:keepNext/>
              <w:keepLines/>
              <w:jc w:val="center"/>
              <w:rPr>
                <w:rFonts w:cs="Calibri"/>
                <w:sz w:val="21"/>
                <w:szCs w:val="21"/>
              </w:rPr>
            </w:pPr>
          </w:p>
        </w:tc>
      </w:tr>
      <w:tr w:rsidRPr="004A6D7C" w:rsidR="001D2EEE" w:rsidTr="00D82B30" w14:paraId="237E3475" w14:textId="77777777">
        <w:trPr>
          <w:trHeight w:val="260"/>
          <w:jc w:val="center"/>
        </w:trPr>
        <w:tc>
          <w:tcPr>
            <w:tcW w:w="1440" w:type="dxa"/>
            <w:vMerge/>
            <w:shd w:val="clear" w:color="auto" w:fill="auto"/>
            <w:tcMar>
              <w:left w:w="115" w:type="dxa"/>
              <w:right w:w="115" w:type="dxa"/>
            </w:tcMar>
            <w:vAlign w:val="center"/>
          </w:tcPr>
          <w:p w:rsidRPr="004A6D7C" w:rsidR="001D2EEE" w:rsidP="00BB1941" w:rsidRDefault="001D2EEE" w14:paraId="703565B8" w14:textId="77777777">
            <w:pPr>
              <w:keepNext/>
              <w:keepLines/>
              <w:jc w:val="center"/>
              <w:rPr>
                <w:rFonts w:cs="Calibri"/>
                <w:sz w:val="21"/>
                <w:szCs w:val="21"/>
              </w:rPr>
            </w:pPr>
          </w:p>
        </w:tc>
        <w:tc>
          <w:tcPr>
            <w:tcW w:w="1526" w:type="dxa"/>
            <w:vMerge/>
            <w:shd w:val="clear" w:color="auto" w:fill="auto"/>
            <w:tcMar>
              <w:left w:w="115" w:type="dxa"/>
              <w:right w:w="115" w:type="dxa"/>
            </w:tcMar>
            <w:vAlign w:val="center"/>
          </w:tcPr>
          <w:p w:rsidRPr="004A6D7C" w:rsidR="001D2EEE" w:rsidP="00BB1941" w:rsidRDefault="001D2EEE" w14:paraId="4B8C4219" w14:textId="77777777">
            <w:pPr>
              <w:keepNext/>
              <w:keepLines/>
              <w:jc w:val="center"/>
              <w:rPr>
                <w:rFonts w:cs="Calibri"/>
                <w:sz w:val="21"/>
                <w:szCs w:val="21"/>
              </w:rPr>
            </w:pPr>
          </w:p>
        </w:tc>
        <w:tc>
          <w:tcPr>
            <w:tcW w:w="5674" w:type="dxa"/>
            <w:shd w:val="clear" w:color="auto" w:fill="auto"/>
            <w:tcMar>
              <w:left w:w="29" w:type="dxa"/>
              <w:right w:w="29" w:type="dxa"/>
            </w:tcMar>
            <w:vAlign w:val="center"/>
          </w:tcPr>
          <w:p w:rsidRPr="004A6D7C" w:rsidR="001D2EEE" w:rsidP="00BB1941" w:rsidRDefault="001D2EEE" w14:paraId="5ED09578" w14:textId="756B1BC3">
            <w:pPr>
              <w:keepNext/>
              <w:keepLines/>
              <w:tabs>
                <w:tab w:val="left" w:pos="413"/>
              </w:tabs>
              <w:ind w:right="65"/>
              <w:rPr>
                <w:rFonts w:eastAsiaTheme="minorEastAsia" w:cstheme="minorHAnsi"/>
                <w:b/>
                <w:sz w:val="21"/>
                <w:szCs w:val="21"/>
              </w:rPr>
            </w:pPr>
            <w:r>
              <w:rPr>
                <w:rFonts w:eastAsiaTheme="minorEastAsia" w:cstheme="minorBidi"/>
                <w:sz w:val="21"/>
                <w:szCs w:val="21"/>
              </w:rPr>
              <w:t>Total number of excavation damages per class location</w:t>
            </w:r>
            <w:r w:rsidR="00A01D9A">
              <w:rPr>
                <w:rFonts w:eastAsiaTheme="minorEastAsia" w:cstheme="minorBidi"/>
                <w:sz w:val="21"/>
                <w:szCs w:val="21"/>
              </w:rPr>
              <w:t xml:space="preserve"> (optional)</w:t>
            </w:r>
          </w:p>
        </w:tc>
        <w:tc>
          <w:tcPr>
            <w:tcW w:w="720" w:type="dxa"/>
            <w:shd w:val="clear" w:color="auto" w:fill="auto"/>
            <w:vAlign w:val="center"/>
          </w:tcPr>
          <w:p w:rsidRPr="004A6D7C" w:rsidR="001D2EEE" w:rsidP="00BB1941" w:rsidRDefault="001D2EEE" w14:paraId="0302F503" w14:textId="77777777">
            <w:pPr>
              <w:keepNext/>
              <w:keepLines/>
              <w:jc w:val="center"/>
              <w:rPr>
                <w:rFonts w:cs="Calibri"/>
                <w:sz w:val="21"/>
                <w:szCs w:val="21"/>
              </w:rPr>
            </w:pPr>
          </w:p>
        </w:tc>
      </w:tr>
      <w:tr w:rsidRPr="004A6D7C" w:rsidR="001D2EEE" w:rsidTr="00D82B30" w14:paraId="2CFC3467" w14:textId="77777777">
        <w:trPr>
          <w:trHeight w:val="260"/>
          <w:jc w:val="center"/>
        </w:trPr>
        <w:tc>
          <w:tcPr>
            <w:tcW w:w="1440" w:type="dxa"/>
            <w:vMerge/>
            <w:shd w:val="clear" w:color="auto" w:fill="auto"/>
            <w:tcMar>
              <w:left w:w="115" w:type="dxa"/>
              <w:right w:w="115" w:type="dxa"/>
            </w:tcMar>
            <w:vAlign w:val="center"/>
          </w:tcPr>
          <w:p w:rsidRPr="004A6D7C" w:rsidR="001D2EEE" w:rsidP="00BB1941" w:rsidRDefault="001D2EEE" w14:paraId="3BAF211B" w14:textId="77777777">
            <w:pPr>
              <w:keepNext/>
              <w:keepLines/>
              <w:jc w:val="center"/>
              <w:rPr>
                <w:rFonts w:cs="Calibri"/>
                <w:sz w:val="21"/>
                <w:szCs w:val="21"/>
              </w:rPr>
            </w:pPr>
          </w:p>
        </w:tc>
        <w:tc>
          <w:tcPr>
            <w:tcW w:w="1526" w:type="dxa"/>
            <w:vMerge/>
            <w:shd w:val="clear" w:color="auto" w:fill="auto"/>
            <w:tcMar>
              <w:left w:w="115" w:type="dxa"/>
              <w:right w:w="115" w:type="dxa"/>
            </w:tcMar>
            <w:vAlign w:val="center"/>
          </w:tcPr>
          <w:p w:rsidRPr="004A6D7C" w:rsidR="001D2EEE" w:rsidP="00BB1941" w:rsidRDefault="001D2EEE" w14:paraId="4895E6EB" w14:textId="77777777">
            <w:pPr>
              <w:keepNext/>
              <w:keepLines/>
              <w:jc w:val="center"/>
              <w:rPr>
                <w:rFonts w:cs="Calibri"/>
                <w:sz w:val="21"/>
                <w:szCs w:val="21"/>
              </w:rPr>
            </w:pPr>
          </w:p>
        </w:tc>
        <w:tc>
          <w:tcPr>
            <w:tcW w:w="5674" w:type="dxa"/>
            <w:shd w:val="clear" w:color="auto" w:fill="auto"/>
            <w:tcMar>
              <w:left w:w="29" w:type="dxa"/>
              <w:right w:w="29" w:type="dxa"/>
            </w:tcMar>
            <w:vAlign w:val="center"/>
          </w:tcPr>
          <w:p w:rsidRPr="004A6D7C" w:rsidR="001D2EEE" w:rsidP="00BB1941" w:rsidRDefault="001D2EEE" w14:paraId="39C8A49B" w14:textId="7572B86B">
            <w:pPr>
              <w:keepNext/>
              <w:keepLines/>
              <w:rPr>
                <w:rFonts w:cs="Calibri"/>
                <w:sz w:val="21"/>
                <w:szCs w:val="21"/>
              </w:rPr>
            </w:pPr>
            <w:r>
              <w:rPr>
                <w:rFonts w:eastAsiaTheme="minorEastAsia" w:cstheme="minorBidi"/>
                <w:sz w:val="21"/>
                <w:szCs w:val="21"/>
              </w:rPr>
              <w:t>Total number of excavation damages by pipe material</w:t>
            </w:r>
            <w:r w:rsidRPr="004A6D7C">
              <w:rPr>
                <w:rFonts w:eastAsiaTheme="minorEastAsia" w:cstheme="minorBidi"/>
                <w:sz w:val="21"/>
                <w:szCs w:val="21"/>
              </w:rPr>
              <w:t xml:space="preserve"> (steel, cast iron, copper, plastic etc.)</w:t>
            </w:r>
            <w:r>
              <w:rPr>
                <w:rFonts w:eastAsiaTheme="minorEastAsia" w:cstheme="minorBidi"/>
                <w:sz w:val="21"/>
                <w:szCs w:val="21"/>
              </w:rPr>
              <w:t xml:space="preserve"> and part of system involved (main, service, inside meter/regulator set, etc.)</w:t>
            </w:r>
          </w:p>
        </w:tc>
        <w:tc>
          <w:tcPr>
            <w:tcW w:w="720" w:type="dxa"/>
            <w:shd w:val="clear" w:color="auto" w:fill="auto"/>
            <w:vAlign w:val="center"/>
          </w:tcPr>
          <w:p w:rsidRPr="004A6D7C" w:rsidR="001D2EEE" w:rsidP="00BB1941" w:rsidRDefault="001D2EEE" w14:paraId="615FA2FA" w14:textId="77777777">
            <w:pPr>
              <w:keepNext/>
              <w:keepLines/>
              <w:jc w:val="center"/>
              <w:rPr>
                <w:rFonts w:cs="Calibri"/>
                <w:sz w:val="21"/>
                <w:szCs w:val="21"/>
              </w:rPr>
            </w:pPr>
          </w:p>
        </w:tc>
      </w:tr>
      <w:tr w:rsidRPr="004A6D7C" w:rsidR="00A01D9A" w:rsidTr="00D82B30" w14:paraId="422E0F1F" w14:textId="77777777">
        <w:trPr>
          <w:trHeight w:val="260"/>
          <w:jc w:val="center"/>
        </w:trPr>
        <w:tc>
          <w:tcPr>
            <w:tcW w:w="1440" w:type="dxa"/>
            <w:vMerge/>
            <w:shd w:val="clear" w:color="auto" w:fill="auto"/>
            <w:tcMar>
              <w:left w:w="115" w:type="dxa"/>
              <w:right w:w="115" w:type="dxa"/>
            </w:tcMar>
            <w:vAlign w:val="center"/>
          </w:tcPr>
          <w:p w:rsidRPr="004A6D7C" w:rsidR="00A01D9A" w:rsidP="00BB1941" w:rsidRDefault="00A01D9A" w14:paraId="2EA998F9" w14:textId="77777777">
            <w:pPr>
              <w:keepNext/>
              <w:keepLines/>
              <w:jc w:val="center"/>
              <w:rPr>
                <w:rFonts w:cs="Calibri"/>
                <w:sz w:val="21"/>
                <w:szCs w:val="21"/>
              </w:rPr>
            </w:pPr>
          </w:p>
        </w:tc>
        <w:tc>
          <w:tcPr>
            <w:tcW w:w="1526" w:type="dxa"/>
            <w:vMerge/>
            <w:shd w:val="clear" w:color="auto" w:fill="auto"/>
            <w:tcMar>
              <w:left w:w="115" w:type="dxa"/>
              <w:right w:w="115" w:type="dxa"/>
            </w:tcMar>
            <w:vAlign w:val="center"/>
          </w:tcPr>
          <w:p w:rsidRPr="004A6D7C" w:rsidR="00A01D9A" w:rsidP="00BB1941" w:rsidRDefault="00A01D9A" w14:paraId="3B5E4D9E" w14:textId="77777777">
            <w:pPr>
              <w:keepNext/>
              <w:keepLines/>
              <w:jc w:val="center"/>
              <w:rPr>
                <w:rFonts w:cs="Calibri"/>
                <w:sz w:val="21"/>
                <w:szCs w:val="21"/>
              </w:rPr>
            </w:pPr>
          </w:p>
        </w:tc>
        <w:tc>
          <w:tcPr>
            <w:tcW w:w="5674" w:type="dxa"/>
            <w:shd w:val="clear" w:color="auto" w:fill="auto"/>
            <w:tcMar>
              <w:left w:w="29" w:type="dxa"/>
              <w:right w:w="29" w:type="dxa"/>
            </w:tcMar>
            <w:vAlign w:val="center"/>
          </w:tcPr>
          <w:p w:rsidR="00A01D9A" w:rsidP="00BB1941" w:rsidRDefault="00A01D9A" w14:paraId="2BD472FA" w14:textId="0D44A66C">
            <w:pPr>
              <w:keepNext/>
              <w:keepLines/>
              <w:rPr>
                <w:rFonts w:eastAsiaTheme="minorEastAsia" w:cstheme="minorBidi"/>
                <w:sz w:val="21"/>
                <w:szCs w:val="21"/>
              </w:rPr>
            </w:pPr>
            <w:r>
              <w:rPr>
                <w:rFonts w:eastAsiaTheme="minorEastAsia" w:cstheme="minorBidi"/>
                <w:sz w:val="21"/>
                <w:szCs w:val="21"/>
              </w:rPr>
              <w:t>Total number of excavation damages which resulted in a release of natural gas</w:t>
            </w:r>
          </w:p>
        </w:tc>
        <w:tc>
          <w:tcPr>
            <w:tcW w:w="720" w:type="dxa"/>
            <w:shd w:val="clear" w:color="auto" w:fill="auto"/>
            <w:vAlign w:val="center"/>
          </w:tcPr>
          <w:p w:rsidRPr="004A6D7C" w:rsidR="00A01D9A" w:rsidP="00BB1941" w:rsidRDefault="00A01D9A" w14:paraId="104BACBA" w14:textId="77777777">
            <w:pPr>
              <w:keepNext/>
              <w:keepLines/>
              <w:jc w:val="center"/>
              <w:rPr>
                <w:rFonts w:cs="Calibri"/>
                <w:sz w:val="21"/>
                <w:szCs w:val="21"/>
              </w:rPr>
            </w:pPr>
          </w:p>
        </w:tc>
      </w:tr>
      <w:tr w:rsidRPr="004A6D7C" w:rsidR="001D2EEE" w:rsidTr="00D82B30" w14:paraId="768A2B2A" w14:textId="77777777">
        <w:trPr>
          <w:trHeight w:val="260"/>
          <w:jc w:val="center"/>
        </w:trPr>
        <w:tc>
          <w:tcPr>
            <w:tcW w:w="1440" w:type="dxa"/>
            <w:vMerge/>
            <w:shd w:val="clear" w:color="auto" w:fill="auto"/>
            <w:tcMar>
              <w:left w:w="115" w:type="dxa"/>
              <w:right w:w="115" w:type="dxa"/>
            </w:tcMar>
            <w:vAlign w:val="center"/>
          </w:tcPr>
          <w:p w:rsidRPr="004A6D7C" w:rsidR="001D2EEE" w:rsidP="00BB1941" w:rsidRDefault="001D2EEE" w14:paraId="2602CA7C" w14:textId="77777777">
            <w:pPr>
              <w:keepNext/>
              <w:keepLines/>
              <w:jc w:val="center"/>
              <w:rPr>
                <w:rFonts w:cs="Calibri"/>
                <w:sz w:val="21"/>
                <w:szCs w:val="21"/>
              </w:rPr>
            </w:pPr>
          </w:p>
        </w:tc>
        <w:tc>
          <w:tcPr>
            <w:tcW w:w="1526" w:type="dxa"/>
            <w:vMerge/>
            <w:shd w:val="clear" w:color="auto" w:fill="auto"/>
            <w:tcMar>
              <w:left w:w="115" w:type="dxa"/>
              <w:right w:w="115" w:type="dxa"/>
            </w:tcMar>
            <w:vAlign w:val="center"/>
          </w:tcPr>
          <w:p w:rsidRPr="004A6D7C" w:rsidR="001D2EEE" w:rsidP="00BB1941" w:rsidRDefault="001D2EEE" w14:paraId="541EAE91" w14:textId="77777777">
            <w:pPr>
              <w:keepNext/>
              <w:keepLines/>
              <w:jc w:val="center"/>
              <w:rPr>
                <w:rFonts w:cs="Calibri"/>
                <w:sz w:val="21"/>
                <w:szCs w:val="21"/>
              </w:rPr>
            </w:pPr>
          </w:p>
        </w:tc>
        <w:tc>
          <w:tcPr>
            <w:tcW w:w="5674" w:type="dxa"/>
            <w:shd w:val="clear" w:color="auto" w:fill="auto"/>
            <w:tcMar>
              <w:left w:w="29" w:type="dxa"/>
              <w:right w:w="29" w:type="dxa"/>
            </w:tcMar>
            <w:vAlign w:val="center"/>
          </w:tcPr>
          <w:p w:rsidRPr="004A6D7C" w:rsidR="001D2EEE" w:rsidP="00BB1941" w:rsidRDefault="001D2EEE" w14:paraId="381BE15E" w14:textId="1AA7F3EE">
            <w:pPr>
              <w:keepNext/>
              <w:keepLines/>
              <w:tabs>
                <w:tab w:val="left" w:pos="413"/>
              </w:tabs>
              <w:ind w:right="65"/>
              <w:rPr>
                <w:rFonts w:cstheme="minorHAnsi"/>
                <w:sz w:val="21"/>
                <w:szCs w:val="21"/>
              </w:rPr>
            </w:pPr>
            <w:r>
              <w:rPr>
                <w:rFonts w:cstheme="minorHAnsi"/>
                <w:sz w:val="21"/>
                <w:szCs w:val="21"/>
              </w:rPr>
              <w:t>Total number of excavation damages which</w:t>
            </w:r>
            <w:r w:rsidR="00A01D9A">
              <w:rPr>
                <w:rFonts w:cstheme="minorHAnsi"/>
                <w:sz w:val="21"/>
                <w:szCs w:val="21"/>
              </w:rPr>
              <w:t xml:space="preserve"> resulted in </w:t>
            </w:r>
            <w:r w:rsidR="006A6A7D">
              <w:rPr>
                <w:rFonts w:cstheme="minorHAnsi"/>
                <w:sz w:val="21"/>
                <w:szCs w:val="21"/>
              </w:rPr>
              <w:t>the</w:t>
            </w:r>
            <w:r>
              <w:rPr>
                <w:rFonts w:cstheme="minorHAnsi"/>
                <w:sz w:val="21"/>
                <w:szCs w:val="21"/>
              </w:rPr>
              <w:t xml:space="preserve"> pipeline </w:t>
            </w:r>
            <w:r w:rsidR="006A6A7D">
              <w:rPr>
                <w:rFonts w:cstheme="minorHAnsi"/>
                <w:sz w:val="21"/>
                <w:szCs w:val="21"/>
              </w:rPr>
              <w:t xml:space="preserve">being </w:t>
            </w:r>
            <w:r>
              <w:rPr>
                <w:rFonts w:cstheme="minorHAnsi"/>
                <w:sz w:val="21"/>
                <w:szCs w:val="21"/>
              </w:rPr>
              <w:t>shut</w:t>
            </w:r>
            <w:r w:rsidR="006A6A7D">
              <w:rPr>
                <w:rFonts w:cstheme="minorHAnsi"/>
                <w:sz w:val="21"/>
                <w:szCs w:val="21"/>
              </w:rPr>
              <w:t xml:space="preserve"> </w:t>
            </w:r>
            <w:r w:rsidR="00A01D9A">
              <w:rPr>
                <w:rFonts w:cstheme="minorHAnsi"/>
                <w:sz w:val="21"/>
                <w:szCs w:val="21"/>
              </w:rPr>
              <w:t>down</w:t>
            </w:r>
          </w:p>
        </w:tc>
        <w:tc>
          <w:tcPr>
            <w:tcW w:w="720" w:type="dxa"/>
            <w:shd w:val="clear" w:color="auto" w:fill="auto"/>
            <w:vAlign w:val="center"/>
          </w:tcPr>
          <w:p w:rsidRPr="004A6D7C" w:rsidR="001D2EEE" w:rsidP="00BB1941" w:rsidRDefault="001D2EEE" w14:paraId="20A1B42F" w14:textId="77777777">
            <w:pPr>
              <w:keepNext/>
              <w:keepLines/>
              <w:jc w:val="center"/>
              <w:rPr>
                <w:rFonts w:cs="Calibri"/>
                <w:sz w:val="21"/>
                <w:szCs w:val="21"/>
              </w:rPr>
            </w:pPr>
          </w:p>
        </w:tc>
      </w:tr>
      <w:tr w:rsidRPr="004A6D7C" w:rsidR="001D2EEE" w:rsidTr="00D82B30" w14:paraId="1D3D2F2D" w14:textId="77777777">
        <w:trPr>
          <w:trHeight w:val="260"/>
          <w:jc w:val="center"/>
        </w:trPr>
        <w:tc>
          <w:tcPr>
            <w:tcW w:w="1440" w:type="dxa"/>
            <w:vMerge/>
            <w:shd w:val="clear" w:color="auto" w:fill="auto"/>
            <w:tcMar>
              <w:left w:w="115" w:type="dxa"/>
              <w:right w:w="115" w:type="dxa"/>
            </w:tcMar>
            <w:vAlign w:val="center"/>
          </w:tcPr>
          <w:p w:rsidRPr="004A6D7C" w:rsidR="001D2EEE" w:rsidP="00BB1941" w:rsidRDefault="001D2EEE" w14:paraId="1B972126" w14:textId="77777777">
            <w:pPr>
              <w:keepNext/>
              <w:keepLines/>
              <w:jc w:val="center"/>
              <w:rPr>
                <w:rFonts w:cs="Calibri"/>
                <w:sz w:val="21"/>
                <w:szCs w:val="21"/>
              </w:rPr>
            </w:pPr>
          </w:p>
        </w:tc>
        <w:tc>
          <w:tcPr>
            <w:tcW w:w="1526" w:type="dxa"/>
            <w:vMerge/>
            <w:shd w:val="clear" w:color="auto" w:fill="auto"/>
            <w:tcMar>
              <w:left w:w="115" w:type="dxa"/>
              <w:right w:w="115" w:type="dxa"/>
            </w:tcMar>
            <w:vAlign w:val="center"/>
          </w:tcPr>
          <w:p w:rsidRPr="004A6D7C" w:rsidR="001D2EEE" w:rsidP="00BB1941" w:rsidRDefault="001D2EEE" w14:paraId="0FDF770A" w14:textId="77777777">
            <w:pPr>
              <w:keepNext/>
              <w:keepLines/>
              <w:jc w:val="center"/>
              <w:rPr>
                <w:rFonts w:cs="Calibri"/>
                <w:sz w:val="21"/>
                <w:szCs w:val="21"/>
              </w:rPr>
            </w:pPr>
          </w:p>
        </w:tc>
        <w:tc>
          <w:tcPr>
            <w:tcW w:w="5674" w:type="dxa"/>
            <w:shd w:val="clear" w:color="auto" w:fill="auto"/>
            <w:tcMar>
              <w:left w:w="29" w:type="dxa"/>
              <w:right w:w="29" w:type="dxa"/>
            </w:tcMar>
            <w:vAlign w:val="center"/>
          </w:tcPr>
          <w:p w:rsidRPr="004A6D7C" w:rsidR="001D2EEE" w:rsidP="00BB1941" w:rsidRDefault="001D2EEE" w14:paraId="0AE67202" w14:textId="0E5AA771">
            <w:pPr>
              <w:keepNext/>
              <w:keepLines/>
              <w:rPr>
                <w:rFonts w:cs="Calibri"/>
                <w:sz w:val="21"/>
                <w:szCs w:val="21"/>
              </w:rPr>
            </w:pPr>
            <w:r w:rsidRPr="004A6D7C">
              <w:rPr>
                <w:rFonts w:eastAsiaTheme="minorEastAsia" w:cstheme="minorHAnsi"/>
                <w:sz w:val="21"/>
                <w:szCs w:val="21"/>
              </w:rPr>
              <w:t>Total number of excavation damage</w:t>
            </w:r>
            <w:r>
              <w:rPr>
                <w:rFonts w:eastAsiaTheme="minorEastAsia" w:cstheme="minorHAnsi"/>
                <w:sz w:val="21"/>
                <w:szCs w:val="21"/>
              </w:rPr>
              <w:t>s</w:t>
            </w:r>
            <w:r w:rsidRPr="004A6D7C">
              <w:rPr>
                <w:rFonts w:eastAsiaTheme="minorEastAsia" w:cstheme="minorHAnsi"/>
                <w:sz w:val="21"/>
                <w:szCs w:val="21"/>
              </w:rPr>
              <w:t xml:space="preserve"> where the operator was given prior notification of excavation activity </w:t>
            </w:r>
          </w:p>
        </w:tc>
        <w:tc>
          <w:tcPr>
            <w:tcW w:w="720" w:type="dxa"/>
            <w:shd w:val="clear" w:color="auto" w:fill="auto"/>
            <w:vAlign w:val="center"/>
          </w:tcPr>
          <w:p w:rsidRPr="004A6D7C" w:rsidR="001D2EEE" w:rsidP="00BB1941" w:rsidRDefault="001D2EEE" w14:paraId="45B0731E" w14:textId="77777777">
            <w:pPr>
              <w:keepNext/>
              <w:keepLines/>
              <w:jc w:val="center"/>
              <w:rPr>
                <w:rFonts w:cs="Calibri"/>
                <w:sz w:val="21"/>
                <w:szCs w:val="21"/>
              </w:rPr>
            </w:pPr>
          </w:p>
        </w:tc>
      </w:tr>
      <w:tr w:rsidRPr="004A6D7C" w:rsidR="001D2EEE" w:rsidTr="00D82B30" w14:paraId="2400F9B5" w14:textId="77777777">
        <w:trPr>
          <w:trHeight w:val="260"/>
          <w:jc w:val="center"/>
        </w:trPr>
        <w:tc>
          <w:tcPr>
            <w:tcW w:w="1440" w:type="dxa"/>
            <w:vMerge/>
            <w:shd w:val="clear" w:color="auto" w:fill="auto"/>
            <w:tcMar>
              <w:left w:w="115" w:type="dxa"/>
              <w:right w:w="115" w:type="dxa"/>
            </w:tcMar>
            <w:vAlign w:val="center"/>
          </w:tcPr>
          <w:p w:rsidRPr="004A6D7C" w:rsidR="001D2EEE" w:rsidP="00BB1941" w:rsidRDefault="001D2EEE" w14:paraId="4F478CB1" w14:textId="77777777">
            <w:pPr>
              <w:keepNext/>
              <w:keepLines/>
              <w:jc w:val="center"/>
              <w:rPr>
                <w:rFonts w:cs="Calibri"/>
                <w:sz w:val="21"/>
                <w:szCs w:val="21"/>
              </w:rPr>
            </w:pPr>
          </w:p>
        </w:tc>
        <w:tc>
          <w:tcPr>
            <w:tcW w:w="1526" w:type="dxa"/>
            <w:vMerge/>
            <w:shd w:val="clear" w:color="auto" w:fill="auto"/>
            <w:tcMar>
              <w:left w:w="115" w:type="dxa"/>
              <w:right w:w="115" w:type="dxa"/>
            </w:tcMar>
            <w:vAlign w:val="center"/>
          </w:tcPr>
          <w:p w:rsidRPr="004A6D7C" w:rsidR="001D2EEE" w:rsidP="00BB1941" w:rsidRDefault="001D2EEE" w14:paraId="06ED36C0" w14:textId="77777777">
            <w:pPr>
              <w:keepNext/>
              <w:keepLines/>
              <w:jc w:val="center"/>
              <w:rPr>
                <w:rFonts w:cs="Calibri"/>
                <w:sz w:val="21"/>
                <w:szCs w:val="21"/>
              </w:rPr>
            </w:pPr>
          </w:p>
        </w:tc>
        <w:tc>
          <w:tcPr>
            <w:tcW w:w="5674" w:type="dxa"/>
            <w:shd w:val="clear" w:color="auto" w:fill="auto"/>
            <w:tcMar>
              <w:left w:w="29" w:type="dxa"/>
              <w:right w:w="29" w:type="dxa"/>
            </w:tcMar>
            <w:vAlign w:val="center"/>
          </w:tcPr>
          <w:p w:rsidRPr="004A6D7C" w:rsidR="001D2EEE" w:rsidP="00BB1941" w:rsidRDefault="001D2EEE" w14:paraId="555A0C0F" w14:textId="2BF148B1">
            <w:pPr>
              <w:keepNext/>
              <w:keepLines/>
              <w:rPr>
                <w:rFonts w:cs="Calibri"/>
                <w:sz w:val="21"/>
                <w:szCs w:val="21"/>
              </w:rPr>
            </w:pPr>
            <w:r w:rsidRPr="004A6D7C">
              <w:rPr>
                <w:rFonts w:eastAsiaTheme="minorEastAsia" w:cstheme="minorHAnsi"/>
                <w:sz w:val="21"/>
                <w:szCs w:val="21"/>
              </w:rPr>
              <w:t xml:space="preserve">Total number of </w:t>
            </w:r>
            <w:r>
              <w:rPr>
                <w:rFonts w:eastAsiaTheme="minorEastAsia" w:cstheme="minorHAnsi"/>
                <w:sz w:val="21"/>
                <w:szCs w:val="21"/>
              </w:rPr>
              <w:t xml:space="preserve">excavation damages </w:t>
            </w:r>
            <w:r w:rsidRPr="004A6D7C">
              <w:rPr>
                <w:rFonts w:eastAsiaTheme="minorEastAsia" w:cstheme="minorHAnsi"/>
                <w:sz w:val="21"/>
                <w:szCs w:val="21"/>
              </w:rPr>
              <w:t>by type that caused excavation damage incidents</w:t>
            </w:r>
            <w:r w:rsidRPr="004A6D7C">
              <w:rPr>
                <w:rFonts w:eastAsiaTheme="minorEastAsia" w:cstheme="minorHAnsi"/>
                <w:sz w:val="21"/>
                <w:szCs w:val="21"/>
                <w:vertAlign w:val="superscript"/>
              </w:rPr>
              <w:footnoteReference w:id="89"/>
            </w:r>
          </w:p>
        </w:tc>
        <w:tc>
          <w:tcPr>
            <w:tcW w:w="720" w:type="dxa"/>
            <w:shd w:val="clear" w:color="auto" w:fill="auto"/>
            <w:vAlign w:val="center"/>
          </w:tcPr>
          <w:p w:rsidRPr="004A6D7C" w:rsidR="001D2EEE" w:rsidP="00BB1941" w:rsidRDefault="001D2EEE" w14:paraId="7A8D9102" w14:textId="77777777">
            <w:pPr>
              <w:keepNext/>
              <w:keepLines/>
              <w:jc w:val="center"/>
              <w:rPr>
                <w:rFonts w:cs="Calibri"/>
                <w:sz w:val="21"/>
                <w:szCs w:val="21"/>
              </w:rPr>
            </w:pPr>
          </w:p>
        </w:tc>
      </w:tr>
      <w:tr w:rsidRPr="004A6D7C" w:rsidR="001D2EEE" w:rsidTr="00D82B30" w14:paraId="5E5F559F" w14:textId="77777777">
        <w:trPr>
          <w:trHeight w:val="260"/>
          <w:jc w:val="center"/>
        </w:trPr>
        <w:tc>
          <w:tcPr>
            <w:tcW w:w="1440" w:type="dxa"/>
            <w:vMerge/>
            <w:shd w:val="clear" w:color="auto" w:fill="auto"/>
            <w:tcMar>
              <w:left w:w="115" w:type="dxa"/>
              <w:right w:w="115" w:type="dxa"/>
            </w:tcMar>
            <w:vAlign w:val="center"/>
          </w:tcPr>
          <w:p w:rsidRPr="004A6D7C" w:rsidR="001D2EEE" w:rsidP="00BB1941" w:rsidRDefault="001D2EEE" w14:paraId="54785185" w14:textId="77777777">
            <w:pPr>
              <w:keepNext/>
              <w:keepLines/>
              <w:jc w:val="center"/>
              <w:rPr>
                <w:rFonts w:cs="Calibri"/>
                <w:sz w:val="21"/>
                <w:szCs w:val="21"/>
              </w:rPr>
            </w:pPr>
          </w:p>
        </w:tc>
        <w:tc>
          <w:tcPr>
            <w:tcW w:w="1526" w:type="dxa"/>
            <w:vMerge/>
            <w:shd w:val="clear" w:color="auto" w:fill="auto"/>
            <w:tcMar>
              <w:left w:w="115" w:type="dxa"/>
              <w:right w:w="115" w:type="dxa"/>
            </w:tcMar>
            <w:vAlign w:val="center"/>
          </w:tcPr>
          <w:p w:rsidRPr="004A6D7C" w:rsidR="001D2EEE" w:rsidP="00BB1941" w:rsidRDefault="001D2EEE" w14:paraId="26DC4112" w14:textId="77777777">
            <w:pPr>
              <w:keepNext/>
              <w:keepLines/>
              <w:jc w:val="center"/>
              <w:rPr>
                <w:rFonts w:cs="Calibri"/>
                <w:sz w:val="21"/>
                <w:szCs w:val="21"/>
              </w:rPr>
            </w:pPr>
          </w:p>
        </w:tc>
        <w:tc>
          <w:tcPr>
            <w:tcW w:w="5674" w:type="dxa"/>
            <w:shd w:val="clear" w:color="auto" w:fill="auto"/>
            <w:tcMar>
              <w:left w:w="29" w:type="dxa"/>
              <w:right w:w="29" w:type="dxa"/>
            </w:tcMar>
            <w:vAlign w:val="center"/>
          </w:tcPr>
          <w:p w:rsidRPr="004A6D7C" w:rsidR="001D2EEE" w:rsidP="00BB1941" w:rsidRDefault="001D2EEE" w14:paraId="6AB91CA3" w14:textId="1DBDB163">
            <w:pPr>
              <w:keepNext/>
              <w:keepLines/>
              <w:rPr>
                <w:rFonts w:cs="Calibri"/>
                <w:sz w:val="21"/>
                <w:szCs w:val="21"/>
              </w:rPr>
            </w:pPr>
            <w:r w:rsidRPr="004A6D7C">
              <w:rPr>
                <w:rFonts w:cstheme="minorHAnsi"/>
                <w:sz w:val="21"/>
                <w:szCs w:val="21"/>
              </w:rPr>
              <w:t>Total number of excavation damages by apparent root cause</w:t>
            </w:r>
            <w:r w:rsidRPr="004A6D7C">
              <w:rPr>
                <w:sz w:val="21"/>
                <w:szCs w:val="21"/>
                <w:vertAlign w:val="superscript"/>
              </w:rPr>
              <w:footnoteReference w:id="90"/>
            </w:r>
          </w:p>
        </w:tc>
        <w:tc>
          <w:tcPr>
            <w:tcW w:w="720" w:type="dxa"/>
            <w:shd w:val="clear" w:color="auto" w:fill="auto"/>
            <w:vAlign w:val="center"/>
          </w:tcPr>
          <w:p w:rsidRPr="004A6D7C" w:rsidR="001D2EEE" w:rsidP="00BB1941" w:rsidRDefault="001D2EEE" w14:paraId="5A8C95E5" w14:textId="77777777">
            <w:pPr>
              <w:keepNext/>
              <w:keepLines/>
              <w:jc w:val="center"/>
              <w:rPr>
                <w:rFonts w:cs="Calibri"/>
                <w:sz w:val="21"/>
                <w:szCs w:val="21"/>
              </w:rPr>
            </w:pPr>
          </w:p>
        </w:tc>
      </w:tr>
      <w:tr w:rsidRPr="004A6D7C" w:rsidR="001D2EEE" w:rsidTr="00D826EA" w14:paraId="46ABC277" w14:textId="77777777">
        <w:trPr>
          <w:trHeight w:val="692"/>
          <w:jc w:val="center"/>
        </w:trPr>
        <w:tc>
          <w:tcPr>
            <w:tcW w:w="1440" w:type="dxa"/>
            <w:vMerge w:val="restart"/>
            <w:shd w:val="clear" w:color="auto" w:fill="D9D9D9" w:themeFill="background1" w:themeFillShade="D9"/>
            <w:tcMar>
              <w:left w:w="115" w:type="dxa"/>
              <w:right w:w="115" w:type="dxa"/>
            </w:tcMar>
            <w:vAlign w:val="center"/>
          </w:tcPr>
          <w:p w:rsidRPr="004A6D7C" w:rsidR="001D2EEE" w:rsidP="00740134" w:rsidRDefault="001D2EEE" w14:paraId="6A9AFAC1" w14:textId="77777777">
            <w:pPr>
              <w:rPr>
                <w:rFonts w:cs="Calibri"/>
                <w:sz w:val="21"/>
                <w:szCs w:val="21"/>
              </w:rPr>
            </w:pPr>
            <w:r w:rsidRPr="004A6D7C">
              <w:rPr>
                <w:rFonts w:cstheme="minorHAnsi"/>
                <w:sz w:val="21"/>
                <w:szCs w:val="21"/>
              </w:rPr>
              <w:t>Voluntary action to reduce methane emissions during the reporting year</w:t>
            </w:r>
          </w:p>
        </w:tc>
        <w:tc>
          <w:tcPr>
            <w:tcW w:w="1526" w:type="dxa"/>
            <w:vMerge w:val="restart"/>
            <w:shd w:val="clear" w:color="auto" w:fill="D9D9D9" w:themeFill="background1" w:themeFillShade="D9"/>
            <w:tcMar>
              <w:left w:w="115" w:type="dxa"/>
              <w:right w:w="115" w:type="dxa"/>
            </w:tcMar>
            <w:vAlign w:val="center"/>
          </w:tcPr>
          <w:p w:rsidRPr="004A6D7C" w:rsidR="001D2EEE" w:rsidP="00740134" w:rsidRDefault="001D2EEE" w14:paraId="5692BB18" w14:textId="46FE77EA">
            <w:pPr>
              <w:rPr>
                <w:rFonts w:cs="Calibri"/>
                <w:sz w:val="21"/>
                <w:szCs w:val="21"/>
              </w:rPr>
            </w:pPr>
            <w:r>
              <w:rPr>
                <w:rFonts w:cstheme="minorHAnsi"/>
                <w:sz w:val="21"/>
                <w:szCs w:val="21"/>
              </w:rPr>
              <w:t>NA</w:t>
            </w:r>
          </w:p>
        </w:tc>
        <w:tc>
          <w:tcPr>
            <w:tcW w:w="5674" w:type="dxa"/>
            <w:shd w:val="clear" w:color="auto" w:fill="D9D9D9" w:themeFill="background1" w:themeFillShade="D9"/>
            <w:tcMar>
              <w:left w:w="29" w:type="dxa"/>
              <w:right w:w="29" w:type="dxa"/>
            </w:tcMar>
            <w:vAlign w:val="center"/>
          </w:tcPr>
          <w:p w:rsidRPr="004A6D7C" w:rsidR="001D2EEE" w:rsidP="00740134" w:rsidRDefault="001D2EEE" w14:paraId="562060A8" w14:textId="77777777">
            <w:pPr>
              <w:rPr>
                <w:rFonts w:cstheme="minorHAnsi"/>
                <w:sz w:val="21"/>
                <w:szCs w:val="21"/>
              </w:rPr>
            </w:pPr>
            <w:r w:rsidRPr="004A6D7C">
              <w:rPr>
                <w:rFonts w:cstheme="minorHAnsi"/>
                <w:sz w:val="21"/>
                <w:szCs w:val="21"/>
              </w:rPr>
              <w:t>Actions taken to minimize excavation damages/reduce methane emissions from excavation damages</w:t>
            </w:r>
          </w:p>
        </w:tc>
        <w:tc>
          <w:tcPr>
            <w:tcW w:w="720" w:type="dxa"/>
            <w:shd w:val="clear" w:color="auto" w:fill="D9D9D9" w:themeFill="background1" w:themeFillShade="D9"/>
            <w:vAlign w:val="center"/>
          </w:tcPr>
          <w:p w:rsidRPr="004A6D7C" w:rsidR="001D2EEE" w:rsidP="00740134" w:rsidRDefault="001D2EEE" w14:paraId="3328FE2D" w14:textId="77777777">
            <w:pPr>
              <w:jc w:val="center"/>
              <w:rPr>
                <w:rFonts w:cs="Calibri"/>
                <w:sz w:val="21"/>
                <w:szCs w:val="21"/>
              </w:rPr>
            </w:pPr>
          </w:p>
        </w:tc>
      </w:tr>
      <w:tr w:rsidRPr="004A6D7C" w:rsidR="001D2EEE" w:rsidTr="00D826EA" w14:paraId="12773410" w14:textId="77777777">
        <w:trPr>
          <w:trHeight w:val="800"/>
          <w:jc w:val="center"/>
        </w:trPr>
        <w:tc>
          <w:tcPr>
            <w:tcW w:w="1440" w:type="dxa"/>
            <w:vMerge/>
            <w:shd w:val="clear" w:color="auto" w:fill="D9D9D9" w:themeFill="background1" w:themeFillShade="D9"/>
            <w:tcMar>
              <w:left w:w="115" w:type="dxa"/>
              <w:right w:w="115" w:type="dxa"/>
            </w:tcMar>
            <w:vAlign w:val="center"/>
          </w:tcPr>
          <w:p w:rsidRPr="004A6D7C" w:rsidR="001D2EEE" w:rsidP="00740134" w:rsidRDefault="001D2EEE" w14:paraId="465018F6" w14:textId="77777777">
            <w:pPr>
              <w:jc w:val="center"/>
              <w:rPr>
                <w:rFonts w:cstheme="minorHAnsi"/>
                <w:sz w:val="21"/>
                <w:szCs w:val="21"/>
                <w:u w:val="single"/>
              </w:rPr>
            </w:pPr>
          </w:p>
        </w:tc>
        <w:tc>
          <w:tcPr>
            <w:tcW w:w="1526" w:type="dxa"/>
            <w:vMerge/>
            <w:shd w:val="clear" w:color="auto" w:fill="D9D9D9" w:themeFill="background1" w:themeFillShade="D9"/>
            <w:tcMar>
              <w:left w:w="115" w:type="dxa"/>
              <w:right w:w="115" w:type="dxa"/>
            </w:tcMar>
            <w:vAlign w:val="center"/>
          </w:tcPr>
          <w:p w:rsidRPr="004A6D7C" w:rsidR="001D2EEE" w:rsidP="00740134" w:rsidRDefault="001D2EEE" w14:paraId="09DA6505" w14:textId="77777777">
            <w:pPr>
              <w:jc w:val="center"/>
              <w:rPr>
                <w:rFonts w:cstheme="minorHAnsi"/>
                <w:sz w:val="21"/>
                <w:szCs w:val="21"/>
              </w:rPr>
            </w:pPr>
          </w:p>
        </w:tc>
        <w:tc>
          <w:tcPr>
            <w:tcW w:w="5674" w:type="dxa"/>
            <w:shd w:val="clear" w:color="auto" w:fill="D9D9D9" w:themeFill="background1" w:themeFillShade="D9"/>
            <w:tcMar>
              <w:left w:w="29" w:type="dxa"/>
              <w:right w:w="29" w:type="dxa"/>
            </w:tcMar>
            <w:vAlign w:val="center"/>
          </w:tcPr>
          <w:p w:rsidRPr="004A6D7C" w:rsidR="001D2EEE" w:rsidP="00740134" w:rsidRDefault="001D2EEE" w14:paraId="1A622784" w14:textId="33C2253C">
            <w:pPr>
              <w:rPr>
                <w:rFonts w:cstheme="minorHAnsi"/>
                <w:sz w:val="21"/>
                <w:szCs w:val="21"/>
              </w:rPr>
            </w:pPr>
            <w:r w:rsidRPr="004A6D7C">
              <w:rPr>
                <w:rFonts w:cstheme="minorHAnsi"/>
                <w:sz w:val="21"/>
                <w:szCs w:val="21"/>
              </w:rPr>
              <w:t xml:space="preserve">Company-specific goal for reducing </w:t>
            </w:r>
            <w:r>
              <w:rPr>
                <w:rFonts w:cstheme="minorHAnsi"/>
                <w:sz w:val="21"/>
                <w:szCs w:val="21"/>
              </w:rPr>
              <w:t xml:space="preserve">excavation damages and/or </w:t>
            </w:r>
            <w:r w:rsidRPr="004A6D7C">
              <w:rPr>
                <w:rFonts w:cstheme="minorHAnsi"/>
                <w:sz w:val="21"/>
                <w:szCs w:val="21"/>
              </w:rPr>
              <w:t>methane emissions from excavation damages (when available)</w:t>
            </w:r>
          </w:p>
        </w:tc>
        <w:tc>
          <w:tcPr>
            <w:tcW w:w="720" w:type="dxa"/>
            <w:shd w:val="clear" w:color="auto" w:fill="D9D9D9" w:themeFill="background1" w:themeFillShade="D9"/>
            <w:vAlign w:val="center"/>
          </w:tcPr>
          <w:p w:rsidRPr="004A6D7C" w:rsidR="001D2EEE" w:rsidP="00740134" w:rsidRDefault="001D2EEE" w14:paraId="4292BD5B" w14:textId="77777777">
            <w:pPr>
              <w:jc w:val="center"/>
              <w:rPr>
                <w:rFonts w:cs="Calibri"/>
                <w:sz w:val="21"/>
                <w:szCs w:val="21"/>
              </w:rPr>
            </w:pPr>
          </w:p>
        </w:tc>
      </w:tr>
      <w:tr w:rsidRPr="004A6D7C" w:rsidR="001D2EEE" w:rsidTr="00D82B30" w14:paraId="14C4D08D" w14:textId="77777777">
        <w:trPr>
          <w:trHeight w:val="260"/>
          <w:jc w:val="center"/>
        </w:trPr>
        <w:tc>
          <w:tcPr>
            <w:tcW w:w="1440" w:type="dxa"/>
            <w:vMerge/>
            <w:shd w:val="clear" w:color="auto" w:fill="D9D9D9" w:themeFill="background1" w:themeFillShade="D9"/>
            <w:tcMar>
              <w:left w:w="115" w:type="dxa"/>
              <w:right w:w="115" w:type="dxa"/>
            </w:tcMar>
            <w:vAlign w:val="center"/>
          </w:tcPr>
          <w:p w:rsidRPr="004A6D7C" w:rsidR="001D2EEE" w:rsidP="00740134" w:rsidRDefault="001D2EEE" w14:paraId="021501CA" w14:textId="77777777">
            <w:pPr>
              <w:jc w:val="center"/>
              <w:rPr>
                <w:rFonts w:cstheme="minorHAnsi"/>
                <w:sz w:val="21"/>
                <w:szCs w:val="21"/>
                <w:u w:val="single"/>
              </w:rPr>
            </w:pPr>
          </w:p>
        </w:tc>
        <w:tc>
          <w:tcPr>
            <w:tcW w:w="1526" w:type="dxa"/>
            <w:vMerge/>
            <w:shd w:val="clear" w:color="auto" w:fill="D9D9D9" w:themeFill="background1" w:themeFillShade="D9"/>
            <w:tcMar>
              <w:left w:w="115" w:type="dxa"/>
              <w:right w:w="115" w:type="dxa"/>
            </w:tcMar>
            <w:vAlign w:val="center"/>
          </w:tcPr>
          <w:p w:rsidRPr="004A6D7C" w:rsidR="001D2EEE" w:rsidP="00740134" w:rsidRDefault="001D2EEE" w14:paraId="7AF249CB" w14:textId="77777777">
            <w:pPr>
              <w:jc w:val="center"/>
              <w:rPr>
                <w:rFonts w:cstheme="minorHAnsi"/>
                <w:sz w:val="21"/>
                <w:szCs w:val="21"/>
              </w:rPr>
            </w:pPr>
          </w:p>
        </w:tc>
        <w:tc>
          <w:tcPr>
            <w:tcW w:w="5674" w:type="dxa"/>
            <w:shd w:val="clear" w:color="auto" w:fill="D9D9D9" w:themeFill="background1" w:themeFillShade="D9"/>
            <w:tcMar>
              <w:left w:w="29" w:type="dxa"/>
              <w:right w:w="29" w:type="dxa"/>
            </w:tcMar>
            <w:vAlign w:val="center"/>
          </w:tcPr>
          <w:p w:rsidRPr="004A6D7C" w:rsidR="001D2EEE" w:rsidP="00740134" w:rsidRDefault="001D2EEE" w14:paraId="3C05DF6B" w14:textId="544E821C">
            <w:pPr>
              <w:rPr>
                <w:rFonts w:cstheme="minorHAnsi"/>
                <w:sz w:val="21"/>
                <w:szCs w:val="21"/>
              </w:rPr>
            </w:pPr>
            <w:r w:rsidRPr="004A6D7C">
              <w:rPr>
                <w:rFonts w:cstheme="minorHAnsi"/>
                <w:sz w:val="21"/>
                <w:szCs w:val="21"/>
              </w:rPr>
              <w:t>Progress in meeting company-specific goal</w:t>
            </w:r>
            <w:r>
              <w:rPr>
                <w:rFonts w:cstheme="minorHAnsi"/>
                <w:sz w:val="21"/>
                <w:szCs w:val="21"/>
              </w:rPr>
              <w:t xml:space="preserve"> </w:t>
            </w:r>
            <w:r w:rsidRPr="004A6D7C">
              <w:rPr>
                <w:rFonts w:cstheme="minorHAnsi"/>
                <w:sz w:val="21"/>
                <w:szCs w:val="21"/>
              </w:rPr>
              <w:t>(when available)</w:t>
            </w:r>
          </w:p>
        </w:tc>
        <w:tc>
          <w:tcPr>
            <w:tcW w:w="720" w:type="dxa"/>
            <w:shd w:val="clear" w:color="auto" w:fill="D9D9D9" w:themeFill="background1" w:themeFillShade="D9"/>
            <w:vAlign w:val="center"/>
          </w:tcPr>
          <w:p w:rsidRPr="004A6D7C" w:rsidR="001D2EEE" w:rsidP="00740134" w:rsidRDefault="001D2EEE" w14:paraId="4858E137" w14:textId="77777777">
            <w:pPr>
              <w:jc w:val="center"/>
              <w:rPr>
                <w:rFonts w:cs="Calibri"/>
                <w:sz w:val="21"/>
                <w:szCs w:val="21"/>
              </w:rPr>
            </w:pPr>
          </w:p>
        </w:tc>
      </w:tr>
    </w:tbl>
    <w:p w:rsidR="006956DD" w:rsidRDefault="006956DD" w14:paraId="7CD7526E" w14:textId="77777777">
      <w:pPr>
        <w:spacing w:after="200" w:line="276" w:lineRule="auto"/>
        <w:rPr>
          <w:rFonts w:ascii="Calibri" w:hAnsi="Calibri" w:eastAsia="Calibri"/>
          <w:szCs w:val="22"/>
        </w:rPr>
      </w:pPr>
      <w:r>
        <w:rPr>
          <w:rFonts w:ascii="Calibri" w:hAnsi="Calibri" w:eastAsia="Calibri"/>
          <w:szCs w:val="22"/>
        </w:rPr>
        <w:br w:type="page"/>
      </w:r>
    </w:p>
    <w:p w:rsidR="00A47CE7" w:rsidP="00084222" w:rsidRDefault="00A47CE7" w14:paraId="4DF6A6D6" w14:textId="2475F3E2">
      <w:pPr>
        <w:pStyle w:val="Heading2"/>
      </w:pPr>
      <w:bookmarkStart w:name="_Ref67321270" w:id="41"/>
      <w:bookmarkStart w:name="_Toc67322591" w:id="42"/>
      <w:bookmarkStart w:name="_Toc431980558" w:id="43"/>
      <w:r w:rsidRPr="0094159D">
        <w:rPr>
          <w:highlight w:val="yellow"/>
        </w:rPr>
        <w:lastRenderedPageBreak/>
        <w:t>Renewable Natural Gas</w:t>
      </w:r>
      <w:bookmarkEnd w:id="41"/>
      <w:bookmarkEnd w:id="42"/>
    </w:p>
    <w:p w:rsidRPr="009B0364" w:rsidR="00E27346" w:rsidP="00E27346" w:rsidRDefault="00E27346" w14:paraId="47CBB79E" w14:textId="77777777">
      <w:pPr>
        <w:rPr>
          <w:rFonts w:ascii="Calibri" w:hAnsi="Calibri" w:cs="Calibri"/>
          <w:u w:val="single"/>
        </w:rPr>
      </w:pPr>
      <w:r>
        <w:rPr>
          <w:rFonts w:ascii="Calibri" w:hAnsi="Calibri" w:cs="Calibri"/>
          <w:u w:val="single"/>
        </w:rPr>
        <w:t>Applicable Segments:</w:t>
      </w:r>
      <w:r w:rsidRPr="00053AA8">
        <w:rPr>
          <w:rFonts w:ascii="Calibri" w:hAnsi="Calibri" w:cs="Calibri"/>
        </w:rPr>
        <w:t xml:space="preserve"> </w:t>
      </w:r>
      <w:r>
        <w:rPr>
          <w:rFonts w:ascii="Calibri" w:hAnsi="Calibri" w:cs="Calibri"/>
        </w:rPr>
        <w:t xml:space="preserve">Transmission &amp; Storage; Distribution </w:t>
      </w:r>
    </w:p>
    <w:p w:rsidR="00E27346" w:rsidP="00E27346" w:rsidRDefault="00E27346" w14:paraId="6D4FFCD7" w14:textId="77777777">
      <w:r w:rsidRPr="007A580F">
        <w:rPr>
          <w:rFonts w:ascii="Calibri" w:hAnsi="Calibri" w:cs="Calibri"/>
          <w:u w:val="single"/>
        </w:rPr>
        <w:t>Source Description</w:t>
      </w:r>
      <w:r w:rsidRPr="007A580F">
        <w:rPr>
          <w:rFonts w:ascii="Calibri" w:hAnsi="Calibri" w:cs="Calibri"/>
        </w:rPr>
        <w:t xml:space="preserve">: </w:t>
      </w:r>
      <w:r>
        <w:t>This commitment addresses the supply of renewable natural gas (RNG) through natural gas transmission and distribution systems</w:t>
      </w:r>
      <w:r w:rsidRPr="006F20A4">
        <w:t>.</w:t>
      </w:r>
      <w:r>
        <w:t xml:space="preserve"> For the purposes of this commitment, “</w:t>
      </w:r>
      <w:r w:rsidRPr="000935CC">
        <w:t>biogas</w:t>
      </w:r>
      <w:r>
        <w:t>”</w:t>
      </w:r>
      <w:r w:rsidRPr="000935CC">
        <w:t xml:space="preserve"> </w:t>
      </w:r>
      <w:r>
        <w:t>is gas produced by the anaerobic digestion of organic matter at one or more of the following sources</w:t>
      </w:r>
      <w:r w:rsidRPr="00945C99">
        <w:t>: municipal solid waste (MSW) landfills, anaerobic digestion (AD) at municipal water resource recovery facilities (WRRFs), AD at livestock farms and AD at stand-alone organic waste management operations</w:t>
      </w:r>
      <w:r>
        <w:t>. For the purposes of this commitment, “renewable natural gas”</w:t>
      </w:r>
      <w:r>
        <w:rPr>
          <w:rStyle w:val="FootnoteReference"/>
        </w:rPr>
        <w:footnoteReference w:id="91"/>
      </w:r>
      <w:r>
        <w:t xml:space="preserve"> encompasses bio</w:t>
      </w:r>
      <w:r w:rsidRPr="000935CC">
        <w:t>gas that has been upgraded for use in place of fossil natural gas.</w:t>
      </w:r>
      <w:r>
        <w:t xml:space="preserve"> In the reporting form for this commitment, partners will also have the opportunity to provide general information about their companies’ strategies for supplying other “low carbon” fuels. </w:t>
      </w:r>
    </w:p>
    <w:p w:rsidR="00E27346" w:rsidP="00E27346" w:rsidRDefault="00E27346" w14:paraId="30A3B925" w14:textId="77777777">
      <w:r>
        <w:t xml:space="preserve">Raw biogas typically has a methane content between 45 and 65 percent, depending on the source of the feedstock, and must go through a series of steps to be converted into RNG. The treatments used will </w:t>
      </w:r>
      <w:r w:rsidRPr="00657BCE">
        <w:t>depend on the source of the raw biogas and the constituents found in the raw biogas.</w:t>
      </w:r>
      <w:r>
        <w:t xml:space="preserve"> These may include removing moisture, carbon dioxide (CO</w:t>
      </w:r>
      <w:r w:rsidRPr="00347FD2">
        <w:rPr>
          <w:vertAlign w:val="subscript"/>
        </w:rPr>
        <w:t>2</w:t>
      </w:r>
      <w:r>
        <w:t xml:space="preserve">) and trace level contaminants (which, depending on the biogas source, can include siloxanes, volatile organic compounds-- VOCs, and hydrogen sulfide), as well as reducing the nitrogen and oxygen content. Once upgraded, the gas has a methane content of 90 percent or greater. </w:t>
      </w:r>
    </w:p>
    <w:p w:rsidR="00E27346" w:rsidP="00E27346" w:rsidRDefault="00E27346" w14:paraId="14028FCB" w14:textId="77777777">
      <w:r>
        <w:t>As a substitute for natural gas, RNG has many end-uses, including in thermal applications,</w:t>
      </w:r>
      <w:r w:rsidRPr="00B54B44">
        <w:t xml:space="preserve"> </w:t>
      </w:r>
      <w:r>
        <w:t xml:space="preserve">to generate electricity, for vehicle fuel, or as a bio-product feedstock. For the purpose of this commitment option, the end-use is a requested, but not required, data element. To develop a greater understanding of the RNG market and the role of natural gas transmission and distribution systems in advancing use of RNG, the end use is a valuable piece of information. However, EPA recognizes that transmission and distribution companies may not be privy to the information about the end use of the RNG projects for RNG in their systems. </w:t>
      </w:r>
    </w:p>
    <w:p w:rsidR="00E27346" w:rsidP="00E27346" w:rsidRDefault="00E27346" w14:paraId="41531FEF" w14:textId="77777777">
      <w:r>
        <w:t xml:space="preserve">RNG can be used locally at the site where the gas is produced and upgraded, or it can be injected into natural gas transmission or distribution pipelines. This commitment option is focused on natural gas injected into transmission or distribution pipelines. </w:t>
      </w:r>
      <w:r w:rsidRPr="001E3BD0">
        <w:t>This commitment does not encompass RNG attributes that are purchased, unless the RNG is directly injected into the Partner’s system or another system that is physically connected to the Partner’s system.</w:t>
      </w:r>
    </w:p>
    <w:p w:rsidRPr="00D61FFD" w:rsidR="00E27346" w:rsidP="00E27346" w:rsidRDefault="00E27346" w14:paraId="2CFCEEB7" w14:textId="77777777">
      <w:pPr>
        <w:rPr>
          <w:b/>
          <w:bCs/>
        </w:rPr>
      </w:pPr>
      <w:r>
        <w:t xml:space="preserve">Additional information on renewable natural gas can be found in a discussion paper published by EPA’s voluntary methane programs in 2020: </w:t>
      </w:r>
      <w:hyperlink w:history="1" r:id="rId15">
        <w:r>
          <w:rPr>
            <w:rStyle w:val="Hyperlink"/>
          </w:rPr>
          <w:t>https://www.epa.gov/lmop/overview-renewable-natural-gas-biogas</w:t>
        </w:r>
      </w:hyperlink>
    </w:p>
    <w:p w:rsidRPr="007A580F" w:rsidR="00E27346" w:rsidP="00E27346" w:rsidRDefault="00E27346" w14:paraId="7E5EA29E" w14:textId="77777777">
      <w:pPr>
        <w:keepNext/>
        <w:rPr>
          <w:rFonts w:ascii="Calibri" w:hAnsi="Calibri" w:cs="Calibri"/>
          <w:u w:val="single"/>
        </w:rPr>
      </w:pPr>
      <w:r>
        <w:rPr>
          <w:rFonts w:ascii="Calibri" w:hAnsi="Calibri" w:cs="Calibri"/>
          <w:u w:val="single"/>
        </w:rPr>
        <w:lastRenderedPageBreak/>
        <w:t>Partners Commit To</w:t>
      </w:r>
      <w:r w:rsidRPr="007A580F">
        <w:rPr>
          <w:rFonts w:ascii="Calibri" w:hAnsi="Calibri" w:cs="Calibri"/>
          <w:u w:val="single"/>
        </w:rPr>
        <w:t xml:space="preserve">: </w:t>
      </w:r>
    </w:p>
    <w:p w:rsidR="00E27346" w:rsidP="00E27346" w:rsidRDefault="00E27346" w14:paraId="0F9173D3" w14:textId="77777777">
      <w:pPr>
        <w:pStyle w:val="ListParagraph"/>
        <w:keepNext/>
        <w:numPr>
          <w:ilvl w:val="0"/>
          <w:numId w:val="7"/>
        </w:numPr>
        <w:spacing w:after="160" w:line="259" w:lineRule="auto"/>
      </w:pPr>
      <w:r>
        <w:t>Annually report RNG data elements to the Program;</w:t>
      </w:r>
    </w:p>
    <w:p w:rsidRPr="00C03B39" w:rsidR="00E27346" w:rsidP="00E27346" w:rsidRDefault="00E27346" w14:paraId="5A1512D5" w14:textId="77777777">
      <w:pPr>
        <w:pStyle w:val="ListParagraph"/>
        <w:numPr>
          <w:ilvl w:val="0"/>
          <w:numId w:val="7"/>
        </w:numPr>
        <w:spacing w:after="160" w:line="259" w:lineRule="auto"/>
      </w:pPr>
      <w:r w:rsidRPr="00C03B39">
        <w:t xml:space="preserve">Research the nature and extent of RNG in its system (i.e., information about the biogas project that generated the gas and how the gas is being used by end users) so that the Partner can report as complete a representation of the RNG it has acquired, transported, and delivered as possible  by the end of its commitment. </w:t>
      </w:r>
    </w:p>
    <w:p w:rsidRPr="007A580F" w:rsidR="00E27346" w:rsidP="00E27346" w:rsidRDefault="00E27346" w14:paraId="75806385" w14:textId="77777777">
      <w:pPr>
        <w:rPr>
          <w:rFonts w:ascii="Calibri" w:hAnsi="Calibri" w:cs="Calibri"/>
        </w:rPr>
      </w:pPr>
      <w:r w:rsidRPr="007A580F">
        <w:rPr>
          <w:rFonts w:ascii="Calibri" w:hAnsi="Calibri" w:cs="Calibri"/>
          <w:u w:val="single"/>
        </w:rPr>
        <w:t>Commitment Timeframe</w:t>
      </w:r>
      <w:r w:rsidRPr="007A580F">
        <w:rPr>
          <w:rFonts w:ascii="Calibri" w:hAnsi="Calibri" w:cs="Calibri"/>
        </w:rPr>
        <w:t xml:space="preserve">: </w:t>
      </w:r>
      <w:r w:rsidRPr="00830034">
        <w:rPr>
          <w:rFonts w:ascii="Calibri" w:hAnsi="Calibri" w:cs="Calibri"/>
        </w:rPr>
        <w:t xml:space="preserve">Partners commit to </w:t>
      </w:r>
      <w:r>
        <w:rPr>
          <w:rFonts w:ascii="Calibri" w:hAnsi="Calibri" w:cs="Calibri"/>
        </w:rPr>
        <w:t xml:space="preserve">report as many data elements as possible annually and to </w:t>
      </w:r>
      <w:r>
        <w:t>re</w:t>
      </w:r>
      <w:r w:rsidRPr="00C03B39">
        <w:t xml:space="preserve">search the nature and extent of RNG in </w:t>
      </w:r>
      <w:r>
        <w:t>their</w:t>
      </w:r>
      <w:r w:rsidRPr="00C03B39">
        <w:t xml:space="preserve"> system</w:t>
      </w:r>
      <w:r>
        <w:t>s</w:t>
      </w:r>
      <w:r w:rsidRPr="00C03B39">
        <w:t xml:space="preserve"> </w:t>
      </w:r>
      <w:r>
        <w:rPr>
          <w:rFonts w:ascii="Calibri" w:hAnsi="Calibri" w:cs="Calibri"/>
        </w:rPr>
        <w:t xml:space="preserve">by the </w:t>
      </w:r>
      <w:r w:rsidRPr="00830034">
        <w:rPr>
          <w:rFonts w:ascii="Calibri" w:hAnsi="Calibri" w:cs="Calibri"/>
        </w:rPr>
        <w:t>designated commitment achievement date, not to exceed five (5) years from the commitment start date.</w:t>
      </w:r>
      <w:r>
        <w:rPr>
          <w:rFonts w:ascii="Calibri" w:hAnsi="Calibri" w:cs="Calibri"/>
        </w:rPr>
        <w:t xml:space="preserve"> If the project(s) from which a Partner receives its RNG permanently go(es) offline during its commitment, the Partner should report this to the Methane Challenge Program as soon as possible. If the Partner does not plan to source RNG from another project, it can change its ‘Commitment Achievement Year’ to the year the project went offline and would not be required to report when not sourcing RNG. </w:t>
      </w:r>
    </w:p>
    <w:p w:rsidR="00E27346" w:rsidP="00E27346" w:rsidRDefault="00E27346" w14:paraId="5976E5F8" w14:textId="77777777">
      <w:pPr>
        <w:rPr>
          <w:rFonts w:ascii="Calibri" w:hAnsi="Calibri" w:cs="Calibri"/>
          <w:u w:val="single"/>
        </w:rPr>
      </w:pPr>
      <w:r>
        <w:rPr>
          <w:rFonts w:ascii="Calibri" w:hAnsi="Calibri" w:cs="Calibri"/>
          <w:u w:val="single"/>
        </w:rPr>
        <w:t xml:space="preserve">Facility-level Annual </w:t>
      </w:r>
      <w:r w:rsidRPr="007A580F">
        <w:rPr>
          <w:rFonts w:ascii="Calibri" w:hAnsi="Calibri" w:cs="Calibri"/>
          <w:u w:val="single"/>
        </w:rPr>
        <w:t xml:space="preserve">Reporting: </w:t>
      </w:r>
    </w:p>
    <w:p w:rsidR="00E27346" w:rsidP="00E27346" w:rsidRDefault="00E27346" w14:paraId="4161304A" w14:textId="260F46E3">
      <w:r>
        <w:t xml:space="preserve">Data will be reported at the facility-level through e-GGRT as for other BMP commitments. The RNG reporting form tab </w:t>
      </w:r>
      <w:r w:rsidR="002E3312">
        <w:t>will allow</w:t>
      </w:r>
      <w:r>
        <w:t xml:space="preserve"> Partners </w:t>
      </w:r>
      <w:r w:rsidR="002E3312">
        <w:t>to</w:t>
      </w:r>
      <w:r>
        <w:t xml:space="preserve"> report the requested data elements for each biogas project (if more than one). Partners can also use multiple lines per category to indicate multiple interconnects, designated end uses, etc. Data should only be reported on RNG that is received directly from an interconnect with a biogas project or a virtual pipeline or that is received from</w:t>
      </w:r>
      <w:r w:rsidRPr="00E27346">
        <w:t xml:space="preserve"> another system that is physically connected to the Partner’s system</w:t>
      </w:r>
      <w:r w:rsidRPr="00B96E4F">
        <w:rPr>
          <w:b/>
          <w:bCs/>
        </w:rPr>
        <w:t xml:space="preserve"> </w:t>
      </w:r>
      <w:r>
        <w:t>and that is then delivered and/or supplied to customers by the partner.</w:t>
      </w:r>
    </w:p>
    <w:p w:rsidRPr="00DE5D7C" w:rsidR="00E27346" w:rsidP="00E27346" w:rsidRDefault="00E27346" w14:paraId="48864E84" w14:textId="77777777">
      <w:pPr>
        <w:rPr>
          <w:rFonts w:ascii="Calibri" w:hAnsi="Calibri" w:cs="Calibri"/>
          <w:b/>
          <w:bCs/>
          <w:u w:val="single"/>
        </w:rPr>
      </w:pPr>
      <w:r w:rsidRPr="008517E1">
        <w:rPr>
          <w:b/>
          <w:bCs/>
        </w:rPr>
        <w:t xml:space="preserve">All data elements for this commitment option are </w:t>
      </w:r>
      <w:r w:rsidRPr="008517E1">
        <w:rPr>
          <w:b/>
          <w:bCs/>
          <w:i/>
          <w:iCs/>
        </w:rPr>
        <w:t xml:space="preserve">OPTIONAL and to be provided if feasible. </w:t>
      </w:r>
      <w:r w:rsidRPr="008517E1">
        <w:rPr>
          <w:b/>
          <w:bCs/>
        </w:rPr>
        <w:t>If data are considered confidential (e.g., by the biogas project developer) and the partner cannot report them, the partner should not report these data and can indicate that the requested data are confidential and cannot be shared in the applicable free-text field.</w:t>
      </w:r>
      <w:r>
        <w:rPr>
          <w:b/>
          <w:bCs/>
        </w:rPr>
        <w:t xml:space="preserve"> </w:t>
      </w:r>
      <w:r w:rsidRPr="00A72114">
        <w:rPr>
          <w:b/>
          <w:bCs/>
        </w:rPr>
        <w:t>It is not expected that all partners will report all data elements and companies that cannot report all requested data will not be penalized.</w:t>
      </w:r>
    </w:p>
    <w:tbl>
      <w:tblPr>
        <w:tblStyle w:val="TableGrid61"/>
        <w:tblW w:w="9355" w:type="dxa"/>
        <w:tblInd w:w="0" w:type="dxa"/>
        <w:tblLayout w:type="fixed"/>
        <w:tblCellMar>
          <w:left w:w="58" w:type="dxa"/>
          <w:right w:w="58" w:type="dxa"/>
        </w:tblCellMar>
        <w:tblLook w:val="04A0" w:firstRow="1" w:lastRow="0" w:firstColumn="1" w:lastColumn="0" w:noHBand="0" w:noVBand="1"/>
        <w:tblDescription w:val="Reporting for Natural Gas Continuous Bleed Pneumatic Controllers"/>
      </w:tblPr>
      <w:tblGrid>
        <w:gridCol w:w="1440"/>
        <w:gridCol w:w="7915"/>
      </w:tblGrid>
      <w:tr w:rsidRPr="007A580F" w:rsidR="00E27346" w:rsidTr="009079DF" w14:paraId="7F6885F0" w14:textId="77777777">
        <w:trPr>
          <w:trHeight w:val="413"/>
          <w:tblHeader/>
        </w:trPr>
        <w:tc>
          <w:tcPr>
            <w:tcW w:w="1440" w:type="dxa"/>
            <w:tcBorders>
              <w:top w:val="single" w:color="auto" w:sz="4" w:space="0"/>
              <w:left w:val="single" w:color="auto" w:sz="4" w:space="0"/>
              <w:bottom w:val="single" w:color="auto" w:sz="4" w:space="0"/>
              <w:right w:val="single" w:color="auto" w:sz="4" w:space="0"/>
            </w:tcBorders>
            <w:shd w:val="clear" w:color="auto" w:fill="A6A6A6" w:themeFill="background1" w:themeFillShade="A6"/>
            <w:hideMark/>
          </w:tcPr>
          <w:p w:rsidRPr="007A580F" w:rsidR="00E27346" w:rsidP="009079DF" w:rsidRDefault="00E27346" w14:paraId="637EEA4E" w14:textId="77777777">
            <w:pPr>
              <w:rPr>
                <w:rFonts w:cstheme="minorHAnsi"/>
                <w:b/>
                <w:sz w:val="20"/>
                <w:szCs w:val="21"/>
              </w:rPr>
            </w:pPr>
            <w:r>
              <w:rPr>
                <w:rFonts w:cstheme="minorHAnsi"/>
                <w:b/>
                <w:sz w:val="20"/>
                <w:szCs w:val="21"/>
              </w:rPr>
              <w:t>Data Category</w:t>
            </w:r>
          </w:p>
        </w:tc>
        <w:tc>
          <w:tcPr>
            <w:tcW w:w="7915" w:type="dxa"/>
            <w:tcBorders>
              <w:top w:val="single" w:color="auto" w:sz="4" w:space="0"/>
              <w:left w:val="single" w:color="auto" w:sz="4" w:space="0"/>
              <w:bottom w:val="single" w:color="auto" w:sz="4" w:space="0"/>
              <w:right w:val="single" w:color="auto" w:sz="4" w:space="0"/>
            </w:tcBorders>
            <w:shd w:val="clear" w:color="auto" w:fill="A6A6A6" w:themeFill="background1" w:themeFillShade="A6"/>
            <w:hideMark/>
          </w:tcPr>
          <w:p w:rsidRPr="007A580F" w:rsidR="00E27346" w:rsidP="009079DF" w:rsidRDefault="00E27346" w14:paraId="16EF8FB3" w14:textId="77777777">
            <w:pPr>
              <w:rPr>
                <w:rFonts w:cstheme="minorHAnsi"/>
                <w:b/>
                <w:sz w:val="20"/>
                <w:szCs w:val="21"/>
              </w:rPr>
            </w:pPr>
            <w:r w:rsidRPr="007A580F">
              <w:rPr>
                <w:rFonts w:cstheme="minorHAnsi"/>
                <w:b/>
                <w:sz w:val="20"/>
                <w:szCs w:val="21"/>
              </w:rPr>
              <w:t>Data Elements Collected via Facility-Level Reporting</w:t>
            </w:r>
          </w:p>
        </w:tc>
      </w:tr>
      <w:tr w:rsidRPr="007A580F" w:rsidR="00E27346" w:rsidTr="009079DF" w14:paraId="46F364C7" w14:textId="77777777">
        <w:trPr>
          <w:trHeight w:val="395"/>
        </w:trPr>
        <w:tc>
          <w:tcPr>
            <w:tcW w:w="1440" w:type="dxa"/>
            <w:vMerge w:val="restart"/>
            <w:tcBorders>
              <w:top w:val="single" w:color="auto" w:sz="4" w:space="0"/>
              <w:left w:val="single" w:color="auto" w:sz="4" w:space="0"/>
              <w:right w:val="single" w:color="auto" w:sz="4" w:space="0"/>
            </w:tcBorders>
            <w:shd w:val="clear" w:color="auto" w:fill="auto"/>
            <w:vAlign w:val="center"/>
          </w:tcPr>
          <w:p w:rsidR="00E27346" w:rsidP="009079DF" w:rsidRDefault="00E27346" w14:paraId="67E74611" w14:textId="77777777">
            <w:pPr>
              <w:rPr>
                <w:rFonts w:cstheme="minorHAnsi"/>
                <w:sz w:val="21"/>
                <w:szCs w:val="21"/>
              </w:rPr>
            </w:pPr>
            <w:r>
              <w:rPr>
                <w:rFonts w:cstheme="minorHAnsi"/>
                <w:sz w:val="21"/>
                <w:szCs w:val="21"/>
              </w:rPr>
              <w:t>General Information</w:t>
            </w:r>
          </w:p>
        </w:tc>
        <w:tc>
          <w:tcPr>
            <w:tcW w:w="7915" w:type="dxa"/>
            <w:tcBorders>
              <w:top w:val="single" w:color="auto" w:sz="4" w:space="0"/>
              <w:left w:val="single" w:color="auto" w:sz="4" w:space="0"/>
              <w:bottom w:val="single" w:color="auto" w:sz="4" w:space="0"/>
              <w:right w:val="single" w:color="auto" w:sz="4" w:space="0"/>
            </w:tcBorders>
            <w:shd w:val="clear" w:color="auto" w:fill="auto"/>
            <w:vAlign w:val="center"/>
          </w:tcPr>
          <w:p w:rsidRPr="00502FE9" w:rsidR="00E27346" w:rsidP="009079DF" w:rsidRDefault="00E27346" w14:paraId="2E77DA03" w14:textId="77777777">
            <w:pPr>
              <w:pStyle w:val="CommentText"/>
              <w:rPr>
                <w:rFonts w:cstheme="minorHAnsi"/>
                <w:sz w:val="21"/>
                <w:szCs w:val="21"/>
              </w:rPr>
            </w:pPr>
            <w:r>
              <w:rPr>
                <w:rFonts w:cstheme="minorHAnsi"/>
                <w:sz w:val="21"/>
                <w:szCs w:val="21"/>
              </w:rPr>
              <w:t xml:space="preserve">What role(s) does your company play in the RNG process? (please check all that apply) [Investing in biogas projects; Directly interconnecting with biogas project; Delivering RNG to end users; Supplying RNG to end users; Purchasing environmental attributes for RNG that </w:t>
            </w:r>
            <w:r w:rsidRPr="00237CD4">
              <w:rPr>
                <w:rFonts w:cstheme="minorHAnsi"/>
                <w:i/>
                <w:iCs/>
                <w:sz w:val="21"/>
                <w:szCs w:val="21"/>
              </w:rPr>
              <w:t>is</w:t>
            </w:r>
            <w:r>
              <w:rPr>
                <w:rFonts w:cstheme="minorHAnsi"/>
                <w:sz w:val="21"/>
                <w:szCs w:val="21"/>
              </w:rPr>
              <w:t xml:space="preserve"> physically connected to the company’s system; Purchasing environmental attributes for RNG that </w:t>
            </w:r>
            <w:r w:rsidRPr="00237CD4">
              <w:rPr>
                <w:rFonts w:cstheme="minorHAnsi"/>
                <w:i/>
                <w:iCs/>
                <w:sz w:val="21"/>
                <w:szCs w:val="21"/>
              </w:rPr>
              <w:t>is not</w:t>
            </w:r>
            <w:r>
              <w:rPr>
                <w:rFonts w:cstheme="minorHAnsi"/>
                <w:sz w:val="21"/>
                <w:szCs w:val="21"/>
              </w:rPr>
              <w:t xml:space="preserve"> physically connected to the company’s system] </w:t>
            </w:r>
          </w:p>
        </w:tc>
      </w:tr>
      <w:tr w:rsidRPr="007A580F" w:rsidR="00E27346" w:rsidTr="009079DF" w14:paraId="61CC814A" w14:textId="77777777">
        <w:trPr>
          <w:trHeight w:val="395"/>
        </w:trPr>
        <w:tc>
          <w:tcPr>
            <w:tcW w:w="1440" w:type="dxa"/>
            <w:vMerge/>
            <w:tcBorders>
              <w:left w:val="single" w:color="auto" w:sz="4" w:space="0"/>
              <w:right w:val="single" w:color="auto" w:sz="4" w:space="0"/>
            </w:tcBorders>
            <w:shd w:val="clear" w:color="auto" w:fill="auto"/>
            <w:vAlign w:val="center"/>
          </w:tcPr>
          <w:p w:rsidR="00E27346" w:rsidP="009079DF" w:rsidRDefault="00E27346" w14:paraId="026E0F46" w14:textId="77777777">
            <w:pPr>
              <w:rPr>
                <w:rFonts w:cstheme="minorHAnsi"/>
                <w:sz w:val="21"/>
                <w:szCs w:val="21"/>
              </w:rPr>
            </w:pPr>
          </w:p>
        </w:tc>
        <w:tc>
          <w:tcPr>
            <w:tcW w:w="7915" w:type="dxa"/>
            <w:tcBorders>
              <w:top w:val="single" w:color="auto" w:sz="4" w:space="0"/>
              <w:left w:val="single" w:color="auto" w:sz="4" w:space="0"/>
              <w:bottom w:val="single" w:color="auto" w:sz="4" w:space="0"/>
              <w:right w:val="single" w:color="auto" w:sz="4" w:space="0"/>
            </w:tcBorders>
            <w:shd w:val="clear" w:color="auto" w:fill="auto"/>
            <w:vAlign w:val="center"/>
          </w:tcPr>
          <w:p w:rsidR="00E27346" w:rsidP="009079DF" w:rsidRDefault="00E27346" w14:paraId="534C8FE6" w14:textId="77777777">
            <w:pPr>
              <w:pStyle w:val="CommentText"/>
              <w:rPr>
                <w:rFonts w:cstheme="minorHAnsi"/>
                <w:sz w:val="21"/>
                <w:szCs w:val="21"/>
              </w:rPr>
            </w:pPr>
            <w:r>
              <w:rPr>
                <w:rFonts w:cstheme="minorHAnsi"/>
                <w:sz w:val="21"/>
                <w:szCs w:val="21"/>
              </w:rPr>
              <w:t>For Distribution Partners</w:t>
            </w:r>
            <w:r>
              <w:rPr>
                <w:rStyle w:val="FootnoteReference"/>
                <w:rFonts w:cstheme="minorHAnsi"/>
                <w:sz w:val="21"/>
                <w:szCs w:val="21"/>
              </w:rPr>
              <w:footnoteReference w:id="92"/>
            </w:r>
            <w:r>
              <w:rPr>
                <w:rFonts w:cstheme="minorHAnsi"/>
                <w:sz w:val="21"/>
                <w:szCs w:val="21"/>
              </w:rPr>
              <w:t xml:space="preserve"> – </w:t>
            </w:r>
          </w:p>
          <w:p w:rsidR="00E27346" w:rsidP="00E27346" w:rsidRDefault="00E27346" w14:paraId="3B394F7C" w14:textId="77777777">
            <w:pPr>
              <w:pStyle w:val="CommentText"/>
              <w:numPr>
                <w:ilvl w:val="0"/>
                <w:numId w:val="29"/>
              </w:numPr>
              <w:spacing w:after="0"/>
              <w:rPr>
                <w:rFonts w:cstheme="minorHAnsi"/>
                <w:sz w:val="21"/>
                <w:szCs w:val="21"/>
              </w:rPr>
            </w:pPr>
            <w:r>
              <w:rPr>
                <w:rFonts w:cstheme="minorHAnsi"/>
                <w:sz w:val="21"/>
                <w:szCs w:val="21"/>
              </w:rPr>
              <w:t>Does your company offer a ‘green gas’ option to residential customers?</w:t>
            </w:r>
          </w:p>
          <w:p w:rsidRPr="00502FE9" w:rsidR="00E27346" w:rsidP="00E27346" w:rsidRDefault="00E27346" w14:paraId="20AB2C3A" w14:textId="77777777">
            <w:pPr>
              <w:pStyle w:val="CommentText"/>
              <w:numPr>
                <w:ilvl w:val="0"/>
                <w:numId w:val="29"/>
              </w:numPr>
              <w:spacing w:after="0"/>
              <w:rPr>
                <w:rFonts w:cstheme="minorHAnsi"/>
                <w:sz w:val="21"/>
                <w:szCs w:val="21"/>
              </w:rPr>
            </w:pPr>
            <w:r>
              <w:rPr>
                <w:rFonts w:cstheme="minorHAnsi"/>
                <w:sz w:val="21"/>
                <w:szCs w:val="21"/>
              </w:rPr>
              <w:t>Is your company in the process of offering a ‘green gas’ option?</w:t>
            </w:r>
          </w:p>
        </w:tc>
      </w:tr>
      <w:tr w:rsidRPr="007A580F" w:rsidR="00E27346" w:rsidTr="009079DF" w14:paraId="2F416718" w14:textId="77777777">
        <w:trPr>
          <w:trHeight w:val="395"/>
        </w:trPr>
        <w:tc>
          <w:tcPr>
            <w:tcW w:w="1440" w:type="dxa"/>
            <w:vMerge/>
            <w:tcBorders>
              <w:left w:val="single" w:color="auto" w:sz="4" w:space="0"/>
              <w:right w:val="single" w:color="auto" w:sz="4" w:space="0"/>
            </w:tcBorders>
            <w:shd w:val="clear" w:color="auto" w:fill="auto"/>
            <w:vAlign w:val="center"/>
          </w:tcPr>
          <w:p w:rsidR="00E27346" w:rsidP="009079DF" w:rsidRDefault="00E27346" w14:paraId="7D88D403" w14:textId="77777777">
            <w:pPr>
              <w:rPr>
                <w:rFonts w:cstheme="minorHAnsi"/>
                <w:sz w:val="21"/>
                <w:szCs w:val="21"/>
              </w:rPr>
            </w:pPr>
          </w:p>
        </w:tc>
        <w:tc>
          <w:tcPr>
            <w:tcW w:w="7915" w:type="dxa"/>
            <w:tcBorders>
              <w:top w:val="single" w:color="auto" w:sz="4" w:space="0"/>
              <w:left w:val="single" w:color="auto" w:sz="4" w:space="0"/>
              <w:bottom w:val="single" w:color="auto" w:sz="4" w:space="0"/>
              <w:right w:val="single" w:color="auto" w:sz="4" w:space="0"/>
            </w:tcBorders>
            <w:shd w:val="clear" w:color="auto" w:fill="auto"/>
            <w:vAlign w:val="center"/>
          </w:tcPr>
          <w:p w:rsidR="00E27346" w:rsidP="009079DF" w:rsidRDefault="00E27346" w14:paraId="053A7905" w14:textId="77777777">
            <w:pPr>
              <w:pStyle w:val="CommentText"/>
              <w:rPr>
                <w:rFonts w:cstheme="minorHAnsi"/>
                <w:sz w:val="21"/>
                <w:szCs w:val="21"/>
              </w:rPr>
            </w:pPr>
            <w:r>
              <w:rPr>
                <w:rFonts w:cstheme="minorHAnsi"/>
                <w:sz w:val="21"/>
                <w:szCs w:val="21"/>
              </w:rPr>
              <w:t xml:space="preserve"> Any additional information on the role(s) your company plays in the RNG process, or about ‘green gas’ offerings?</w:t>
            </w:r>
          </w:p>
        </w:tc>
      </w:tr>
      <w:tr w:rsidRPr="007A580F" w:rsidR="00E27346" w:rsidTr="009079DF" w14:paraId="20FAD9E6" w14:textId="77777777">
        <w:trPr>
          <w:trHeight w:val="395"/>
        </w:trPr>
        <w:tc>
          <w:tcPr>
            <w:tcW w:w="1440" w:type="dxa"/>
            <w:vMerge w:val="restart"/>
            <w:tcBorders>
              <w:top w:val="single" w:color="auto" w:sz="4" w:space="0"/>
              <w:left w:val="single" w:color="auto" w:sz="4" w:space="0"/>
              <w:right w:val="single" w:color="auto" w:sz="4" w:space="0"/>
            </w:tcBorders>
            <w:shd w:val="clear" w:color="auto" w:fill="auto"/>
            <w:vAlign w:val="center"/>
          </w:tcPr>
          <w:p w:rsidR="00E27346" w:rsidP="009079DF" w:rsidRDefault="00E27346" w14:paraId="7B1CD8FC" w14:textId="77777777">
            <w:pPr>
              <w:rPr>
                <w:rFonts w:cstheme="minorHAnsi"/>
                <w:sz w:val="21"/>
                <w:szCs w:val="21"/>
              </w:rPr>
            </w:pPr>
            <w:r>
              <w:rPr>
                <w:rFonts w:cstheme="minorHAnsi"/>
                <w:sz w:val="21"/>
                <w:szCs w:val="21"/>
              </w:rPr>
              <w:lastRenderedPageBreak/>
              <w:t>Information about the biogas source</w:t>
            </w:r>
          </w:p>
        </w:tc>
        <w:tc>
          <w:tcPr>
            <w:tcW w:w="7915" w:type="dxa"/>
            <w:tcBorders>
              <w:top w:val="single" w:color="auto" w:sz="4" w:space="0"/>
              <w:left w:val="single" w:color="auto" w:sz="4" w:space="0"/>
              <w:bottom w:val="single" w:color="auto" w:sz="4" w:space="0"/>
              <w:right w:val="single" w:color="auto" w:sz="4" w:space="0"/>
            </w:tcBorders>
            <w:shd w:val="clear" w:color="auto" w:fill="auto"/>
            <w:vAlign w:val="center"/>
          </w:tcPr>
          <w:p w:rsidRPr="00502FE9" w:rsidR="00E27346" w:rsidP="009079DF" w:rsidRDefault="00E27346" w14:paraId="1CBD3083" w14:textId="77777777">
            <w:pPr>
              <w:pStyle w:val="CommentText"/>
              <w:rPr>
                <w:rFonts w:cstheme="minorHAnsi"/>
                <w:sz w:val="21"/>
                <w:szCs w:val="21"/>
              </w:rPr>
            </w:pPr>
            <w:r>
              <w:rPr>
                <w:rFonts w:cstheme="minorHAnsi"/>
                <w:sz w:val="21"/>
                <w:szCs w:val="21"/>
              </w:rPr>
              <w:t>Biogas Project ID</w:t>
            </w:r>
            <w:r>
              <w:rPr>
                <w:rStyle w:val="FootnoteReference"/>
                <w:rFonts w:cstheme="minorHAnsi"/>
                <w:sz w:val="21"/>
                <w:szCs w:val="21"/>
              </w:rPr>
              <w:footnoteReference w:id="93"/>
            </w:r>
          </w:p>
        </w:tc>
      </w:tr>
      <w:tr w:rsidRPr="007A580F" w:rsidR="00E27346" w:rsidTr="009079DF" w14:paraId="32EA754D" w14:textId="77777777">
        <w:trPr>
          <w:trHeight w:val="395"/>
        </w:trPr>
        <w:tc>
          <w:tcPr>
            <w:tcW w:w="1440" w:type="dxa"/>
            <w:vMerge/>
            <w:tcBorders>
              <w:left w:val="single" w:color="auto" w:sz="4" w:space="0"/>
              <w:right w:val="single" w:color="auto" w:sz="4" w:space="0"/>
            </w:tcBorders>
            <w:shd w:val="clear" w:color="auto" w:fill="auto"/>
            <w:vAlign w:val="center"/>
          </w:tcPr>
          <w:p w:rsidRPr="007A580F" w:rsidR="00E27346" w:rsidP="009079DF" w:rsidRDefault="00E27346" w14:paraId="52860AE5" w14:textId="77777777">
            <w:pPr>
              <w:rPr>
                <w:rFonts w:cstheme="minorHAnsi"/>
                <w:sz w:val="21"/>
                <w:szCs w:val="21"/>
              </w:rPr>
            </w:pPr>
          </w:p>
        </w:tc>
        <w:tc>
          <w:tcPr>
            <w:tcW w:w="7915" w:type="dxa"/>
            <w:tcBorders>
              <w:top w:val="single" w:color="auto" w:sz="4" w:space="0"/>
              <w:left w:val="single" w:color="auto" w:sz="4" w:space="0"/>
              <w:bottom w:val="single" w:color="auto" w:sz="4" w:space="0"/>
              <w:right w:val="single" w:color="auto" w:sz="4" w:space="0"/>
            </w:tcBorders>
            <w:shd w:val="clear" w:color="auto" w:fill="auto"/>
            <w:vAlign w:val="center"/>
          </w:tcPr>
          <w:p w:rsidRPr="007A580F" w:rsidR="00E27346" w:rsidP="009079DF" w:rsidRDefault="00E27346" w14:paraId="7B5CD1D3" w14:textId="77777777">
            <w:pPr>
              <w:pStyle w:val="CommentText"/>
              <w:rPr>
                <w:rFonts w:cstheme="minorHAnsi"/>
                <w:sz w:val="21"/>
                <w:szCs w:val="21"/>
              </w:rPr>
            </w:pPr>
            <w:r w:rsidRPr="00502FE9">
              <w:rPr>
                <w:rFonts w:cstheme="minorHAnsi"/>
                <w:sz w:val="21"/>
                <w:szCs w:val="21"/>
              </w:rPr>
              <w:t>What is the feedstock for the biogas</w:t>
            </w:r>
            <w:r>
              <w:rPr>
                <w:rFonts w:cstheme="minorHAnsi"/>
                <w:sz w:val="21"/>
                <w:szCs w:val="21"/>
              </w:rPr>
              <w:t>? (</w:t>
            </w:r>
            <w:r w:rsidRPr="001C6BD5">
              <w:rPr>
                <w:sz w:val="21"/>
                <w:szCs w:val="21"/>
              </w:rPr>
              <w:t>Anaerobic digester – livestock farm; Anaerobic digester – co-digestion; Anaerobic digester – food production facility; Anaerobic digester – organic waste management; Anaerobic digester – wastewater treatment plan; Landfill; Other (Specify)</w:t>
            </w:r>
            <w:r>
              <w:rPr>
                <w:rStyle w:val="FootnoteReference"/>
                <w:sz w:val="21"/>
                <w:szCs w:val="21"/>
              </w:rPr>
              <w:footnoteReference w:id="94"/>
            </w:r>
            <w:r w:rsidRPr="001C6BD5">
              <w:rPr>
                <w:sz w:val="21"/>
                <w:szCs w:val="21"/>
              </w:rPr>
              <w:t>)</w:t>
            </w:r>
          </w:p>
        </w:tc>
      </w:tr>
      <w:tr w:rsidRPr="007A580F" w:rsidR="00E27346" w:rsidTr="009079DF" w14:paraId="175895A1" w14:textId="77777777">
        <w:trPr>
          <w:trHeight w:val="350"/>
        </w:trPr>
        <w:tc>
          <w:tcPr>
            <w:tcW w:w="1440" w:type="dxa"/>
            <w:vMerge/>
            <w:tcBorders>
              <w:left w:val="single" w:color="auto" w:sz="4" w:space="0"/>
              <w:right w:val="single" w:color="auto" w:sz="4" w:space="0"/>
            </w:tcBorders>
            <w:shd w:val="clear" w:color="auto" w:fill="auto"/>
            <w:vAlign w:val="center"/>
          </w:tcPr>
          <w:p w:rsidR="00E27346" w:rsidP="009079DF" w:rsidRDefault="00E27346" w14:paraId="67A2E94E" w14:textId="77777777">
            <w:pPr>
              <w:rPr>
                <w:rFonts w:cstheme="minorHAnsi"/>
                <w:sz w:val="21"/>
                <w:szCs w:val="21"/>
              </w:rPr>
            </w:pPr>
          </w:p>
        </w:tc>
        <w:tc>
          <w:tcPr>
            <w:tcW w:w="7915" w:type="dxa"/>
            <w:tcBorders>
              <w:top w:val="single" w:color="auto" w:sz="4" w:space="0"/>
              <w:left w:val="single" w:color="auto" w:sz="4" w:space="0"/>
              <w:bottom w:val="single" w:color="auto" w:sz="4" w:space="0"/>
              <w:right w:val="single" w:color="auto" w:sz="4" w:space="0"/>
            </w:tcBorders>
            <w:shd w:val="clear" w:color="auto" w:fill="auto"/>
            <w:vAlign w:val="center"/>
          </w:tcPr>
          <w:p w:rsidRPr="0050669A" w:rsidR="00E27346" w:rsidP="009079DF" w:rsidRDefault="00E27346" w14:paraId="6FDD4979" w14:textId="77777777">
            <w:pPr>
              <w:rPr>
                <w:rFonts w:cstheme="minorHAnsi"/>
                <w:sz w:val="21"/>
                <w:szCs w:val="21"/>
              </w:rPr>
            </w:pPr>
            <w:r w:rsidRPr="002807F4">
              <w:rPr>
                <w:rFonts w:cstheme="minorHAnsi"/>
                <w:sz w:val="21"/>
                <w:szCs w:val="21"/>
              </w:rPr>
              <w:t>Name the specific municipal solid waste landfill</w:t>
            </w:r>
            <w:r>
              <w:rPr>
                <w:rFonts w:cstheme="minorHAnsi"/>
                <w:sz w:val="21"/>
                <w:szCs w:val="21"/>
              </w:rPr>
              <w:t xml:space="preserve"> or</w:t>
            </w:r>
            <w:r w:rsidRPr="002807F4">
              <w:rPr>
                <w:rFonts w:cstheme="minorHAnsi"/>
                <w:sz w:val="21"/>
                <w:szCs w:val="21"/>
              </w:rPr>
              <w:t xml:space="preserve"> digester </w:t>
            </w:r>
            <w:r>
              <w:rPr>
                <w:rFonts w:cstheme="minorHAnsi"/>
                <w:sz w:val="21"/>
                <w:szCs w:val="21"/>
              </w:rPr>
              <w:t xml:space="preserve">(i.e., </w:t>
            </w:r>
            <w:r w:rsidRPr="002807F4">
              <w:rPr>
                <w:rFonts w:cstheme="minorHAnsi"/>
                <w:sz w:val="21"/>
                <w:szCs w:val="21"/>
              </w:rPr>
              <w:t xml:space="preserve">at water resource recovery facilities (wastewater treatment plants), livestock farms, food production facilities </w:t>
            </w:r>
            <w:r>
              <w:rPr>
                <w:rFonts w:cstheme="minorHAnsi"/>
                <w:sz w:val="21"/>
                <w:szCs w:val="21"/>
              </w:rPr>
              <w:t>or</w:t>
            </w:r>
            <w:r w:rsidRPr="002807F4">
              <w:rPr>
                <w:rFonts w:cstheme="minorHAnsi"/>
                <w:sz w:val="21"/>
                <w:szCs w:val="21"/>
              </w:rPr>
              <w:t xml:space="preserve"> organic waste management operations</w:t>
            </w:r>
            <w:r>
              <w:rPr>
                <w:rFonts w:cstheme="minorHAnsi"/>
                <w:sz w:val="21"/>
                <w:szCs w:val="21"/>
              </w:rPr>
              <w:t>)</w:t>
            </w:r>
            <w:r w:rsidRPr="002807F4">
              <w:rPr>
                <w:rFonts w:cstheme="minorHAnsi"/>
                <w:sz w:val="21"/>
                <w:szCs w:val="21"/>
              </w:rPr>
              <w:t xml:space="preserve"> from which the RNG was generated</w:t>
            </w:r>
          </w:p>
        </w:tc>
      </w:tr>
      <w:tr w:rsidRPr="007A580F" w:rsidR="00E27346" w:rsidTr="009079DF" w14:paraId="2AD0A1D9" w14:textId="77777777">
        <w:trPr>
          <w:trHeight w:val="359"/>
        </w:trPr>
        <w:tc>
          <w:tcPr>
            <w:tcW w:w="1440" w:type="dxa"/>
            <w:vMerge/>
            <w:tcBorders>
              <w:left w:val="single" w:color="auto" w:sz="4" w:space="0"/>
              <w:right w:val="single" w:color="auto" w:sz="4" w:space="0"/>
            </w:tcBorders>
            <w:shd w:val="clear" w:color="auto" w:fill="auto"/>
            <w:vAlign w:val="center"/>
          </w:tcPr>
          <w:p w:rsidR="00E27346" w:rsidP="009079DF" w:rsidRDefault="00E27346" w14:paraId="3C70FFE7" w14:textId="77777777">
            <w:pPr>
              <w:rPr>
                <w:rFonts w:cstheme="minorHAnsi"/>
                <w:sz w:val="21"/>
                <w:szCs w:val="21"/>
              </w:rPr>
            </w:pPr>
          </w:p>
        </w:tc>
        <w:tc>
          <w:tcPr>
            <w:tcW w:w="7915" w:type="dxa"/>
            <w:tcBorders>
              <w:top w:val="single" w:color="auto" w:sz="4" w:space="0"/>
              <w:left w:val="single" w:color="auto" w:sz="4" w:space="0"/>
              <w:bottom w:val="single" w:color="auto" w:sz="4" w:space="0"/>
              <w:right w:val="single" w:color="auto" w:sz="4" w:space="0"/>
            </w:tcBorders>
            <w:shd w:val="clear" w:color="auto" w:fill="auto"/>
            <w:vAlign w:val="center"/>
          </w:tcPr>
          <w:p w:rsidRPr="00371089" w:rsidR="00E27346" w:rsidP="009079DF" w:rsidRDefault="00E27346" w14:paraId="56162685" w14:textId="77777777">
            <w:pPr>
              <w:rPr>
                <w:rFonts w:cstheme="minorHAnsi"/>
                <w:sz w:val="21"/>
                <w:szCs w:val="21"/>
              </w:rPr>
            </w:pPr>
            <w:r w:rsidRPr="00502FE9">
              <w:rPr>
                <w:rFonts w:cstheme="minorHAnsi"/>
                <w:sz w:val="21"/>
                <w:szCs w:val="21"/>
              </w:rPr>
              <w:t>What upgrading technology was used</w:t>
            </w:r>
            <w:r>
              <w:rPr>
                <w:rFonts w:cstheme="minorHAnsi"/>
                <w:sz w:val="21"/>
                <w:szCs w:val="21"/>
              </w:rPr>
              <w:t>? [</w:t>
            </w:r>
            <w:r>
              <w:rPr>
                <w:rFonts w:cstheme="minorHAnsi"/>
                <w:i/>
                <w:iCs/>
                <w:sz w:val="21"/>
                <w:szCs w:val="21"/>
              </w:rPr>
              <w:t>to be selected from a list</w:t>
            </w:r>
            <w:r>
              <w:rPr>
                <w:rFonts w:cstheme="minorHAnsi"/>
                <w:sz w:val="21"/>
                <w:szCs w:val="21"/>
              </w:rPr>
              <w:t>]</w:t>
            </w:r>
          </w:p>
        </w:tc>
      </w:tr>
      <w:tr w:rsidRPr="007A580F" w:rsidR="00E27346" w:rsidTr="009079DF" w14:paraId="47084A03" w14:textId="77777777">
        <w:trPr>
          <w:trHeight w:val="350"/>
        </w:trPr>
        <w:tc>
          <w:tcPr>
            <w:tcW w:w="1440" w:type="dxa"/>
            <w:vMerge/>
            <w:tcBorders>
              <w:left w:val="single" w:color="auto" w:sz="4" w:space="0"/>
              <w:right w:val="single" w:color="auto" w:sz="4" w:space="0"/>
            </w:tcBorders>
            <w:shd w:val="clear" w:color="auto" w:fill="auto"/>
            <w:vAlign w:val="center"/>
          </w:tcPr>
          <w:p w:rsidR="00E27346" w:rsidP="009079DF" w:rsidRDefault="00E27346" w14:paraId="20DDBA08" w14:textId="77777777">
            <w:pPr>
              <w:rPr>
                <w:rFonts w:cstheme="minorHAnsi"/>
                <w:sz w:val="21"/>
                <w:szCs w:val="21"/>
              </w:rPr>
            </w:pPr>
          </w:p>
        </w:tc>
        <w:tc>
          <w:tcPr>
            <w:tcW w:w="7915" w:type="dxa"/>
            <w:tcBorders>
              <w:top w:val="single" w:color="auto" w:sz="4" w:space="0"/>
              <w:left w:val="single" w:color="auto" w:sz="4" w:space="0"/>
              <w:bottom w:val="single" w:color="auto" w:sz="4" w:space="0"/>
              <w:right w:val="single" w:color="auto" w:sz="4" w:space="0"/>
            </w:tcBorders>
            <w:shd w:val="clear" w:color="auto" w:fill="auto"/>
            <w:vAlign w:val="center"/>
          </w:tcPr>
          <w:p w:rsidRPr="00502FE9" w:rsidR="00E27346" w:rsidP="009079DF" w:rsidRDefault="00E27346" w14:paraId="75368138" w14:textId="77777777">
            <w:pPr>
              <w:rPr>
                <w:rFonts w:cstheme="minorHAnsi"/>
                <w:sz w:val="21"/>
                <w:szCs w:val="21"/>
              </w:rPr>
            </w:pPr>
            <w:r>
              <w:rPr>
                <w:rFonts w:cstheme="minorHAnsi"/>
                <w:sz w:val="21"/>
                <w:szCs w:val="21"/>
              </w:rPr>
              <w:t>Any additional information on the biogas project/upgrading process you wish to share?</w:t>
            </w:r>
          </w:p>
        </w:tc>
      </w:tr>
      <w:tr w:rsidRPr="007A580F" w:rsidR="00E27346" w:rsidTr="009079DF" w14:paraId="379F4A3F" w14:textId="77777777">
        <w:trPr>
          <w:trHeight w:val="341"/>
        </w:trPr>
        <w:tc>
          <w:tcPr>
            <w:tcW w:w="1440" w:type="dxa"/>
            <w:vMerge w:val="restart"/>
            <w:tcBorders>
              <w:top w:val="single" w:color="auto" w:sz="4" w:space="0"/>
              <w:left w:val="single" w:color="auto" w:sz="4" w:space="0"/>
              <w:right w:val="single" w:color="auto" w:sz="4" w:space="0"/>
            </w:tcBorders>
            <w:shd w:val="clear" w:color="auto" w:fill="D9D9D9" w:themeFill="background1" w:themeFillShade="D9"/>
            <w:vAlign w:val="center"/>
          </w:tcPr>
          <w:p w:rsidR="00E27346" w:rsidP="009079DF" w:rsidRDefault="00E27346" w14:paraId="240C3AEB" w14:textId="77777777">
            <w:pPr>
              <w:rPr>
                <w:rFonts w:cstheme="minorHAnsi"/>
                <w:sz w:val="21"/>
                <w:szCs w:val="21"/>
              </w:rPr>
            </w:pPr>
            <w:r>
              <w:rPr>
                <w:rFonts w:cstheme="minorHAnsi"/>
                <w:sz w:val="21"/>
                <w:szCs w:val="21"/>
              </w:rPr>
              <w:t>Information about the pipeline interconnect(s)</w:t>
            </w:r>
          </w:p>
        </w:tc>
        <w:tc>
          <w:tcPr>
            <w:tcW w:w="791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200B13" w:rsidR="00E27346" w:rsidP="009079DF" w:rsidRDefault="00E27346" w14:paraId="043D1D72" w14:textId="77777777">
            <w:pPr>
              <w:ind w:left="22"/>
              <w:rPr>
                <w:rFonts w:cstheme="minorHAnsi"/>
                <w:sz w:val="21"/>
                <w:szCs w:val="21"/>
              </w:rPr>
            </w:pPr>
            <w:r w:rsidRPr="00200B13">
              <w:rPr>
                <w:rFonts w:cstheme="minorHAnsi"/>
                <w:sz w:val="21"/>
                <w:szCs w:val="21"/>
              </w:rPr>
              <w:t xml:space="preserve">Type of interconnect [Direct interconnect with biogas project; </w:t>
            </w:r>
            <w:r w:rsidRPr="0049146B">
              <w:rPr>
                <w:rFonts w:cstheme="minorHAnsi"/>
                <w:sz w:val="21"/>
                <w:szCs w:val="21"/>
              </w:rPr>
              <w:t xml:space="preserve">Interconnect with natural gas transmission company </w:t>
            </w:r>
            <w:r w:rsidRPr="00545D5D">
              <w:rPr>
                <w:rFonts w:cstheme="minorHAnsi"/>
                <w:i/>
                <w:iCs/>
                <w:sz w:val="21"/>
                <w:szCs w:val="21"/>
              </w:rPr>
              <w:t>delivering</w:t>
            </w:r>
            <w:r>
              <w:rPr>
                <w:rFonts w:cstheme="minorHAnsi"/>
                <w:sz w:val="21"/>
                <w:szCs w:val="21"/>
              </w:rPr>
              <w:t>/</w:t>
            </w:r>
            <w:r w:rsidRPr="00F96F70">
              <w:rPr>
                <w:rFonts w:cstheme="minorHAnsi"/>
                <w:i/>
                <w:iCs/>
                <w:sz w:val="21"/>
                <w:szCs w:val="21"/>
              </w:rPr>
              <w:t>transporting</w:t>
            </w:r>
            <w:r w:rsidRPr="00F96F70">
              <w:rPr>
                <w:rFonts w:cstheme="minorHAnsi"/>
                <w:sz w:val="21"/>
                <w:szCs w:val="21"/>
              </w:rPr>
              <w:t xml:space="preserve"> RNG; Interconnect with natural gas distribution company </w:t>
            </w:r>
            <w:r w:rsidRPr="00545D5D">
              <w:rPr>
                <w:rFonts w:cstheme="minorHAnsi"/>
                <w:i/>
                <w:iCs/>
                <w:sz w:val="21"/>
                <w:szCs w:val="21"/>
              </w:rPr>
              <w:t>delivering</w:t>
            </w:r>
            <w:r>
              <w:rPr>
                <w:rFonts w:cstheme="minorHAnsi"/>
                <w:sz w:val="21"/>
                <w:szCs w:val="21"/>
              </w:rPr>
              <w:t>/</w:t>
            </w:r>
            <w:r w:rsidRPr="00200B13">
              <w:rPr>
                <w:rFonts w:cstheme="minorHAnsi"/>
                <w:i/>
                <w:iCs/>
                <w:sz w:val="21"/>
                <w:szCs w:val="21"/>
              </w:rPr>
              <w:t>transporting</w:t>
            </w:r>
            <w:r w:rsidRPr="00200B13">
              <w:rPr>
                <w:rFonts w:cstheme="minorHAnsi"/>
                <w:sz w:val="21"/>
                <w:szCs w:val="21"/>
              </w:rPr>
              <w:t xml:space="preserve"> RNG; Interconnect with natural gas distribution company </w:t>
            </w:r>
            <w:r w:rsidRPr="00545D5D">
              <w:rPr>
                <w:rFonts w:cstheme="minorHAnsi"/>
                <w:i/>
                <w:iCs/>
                <w:sz w:val="21"/>
                <w:szCs w:val="21"/>
              </w:rPr>
              <w:t>delivering</w:t>
            </w:r>
            <w:r>
              <w:rPr>
                <w:rFonts w:cstheme="minorHAnsi"/>
                <w:i/>
                <w:iCs/>
                <w:sz w:val="21"/>
                <w:szCs w:val="21"/>
              </w:rPr>
              <w:t xml:space="preserve"> and </w:t>
            </w:r>
            <w:r w:rsidRPr="00200B13">
              <w:rPr>
                <w:rFonts w:cstheme="minorHAnsi"/>
                <w:i/>
                <w:iCs/>
                <w:sz w:val="21"/>
                <w:szCs w:val="21"/>
              </w:rPr>
              <w:t>supplying</w:t>
            </w:r>
            <w:r w:rsidRPr="00200B13">
              <w:rPr>
                <w:rFonts w:cstheme="minorHAnsi"/>
                <w:sz w:val="21"/>
                <w:szCs w:val="21"/>
              </w:rPr>
              <w:t xml:space="preserve"> RNG]</w:t>
            </w:r>
          </w:p>
        </w:tc>
      </w:tr>
      <w:tr w:rsidRPr="007A580F" w:rsidR="00E27346" w:rsidTr="009079DF" w14:paraId="42C80072" w14:textId="77777777">
        <w:trPr>
          <w:trHeight w:val="341"/>
        </w:trPr>
        <w:tc>
          <w:tcPr>
            <w:tcW w:w="1440" w:type="dxa"/>
            <w:vMerge/>
            <w:tcBorders>
              <w:left w:val="single" w:color="auto" w:sz="4" w:space="0"/>
              <w:right w:val="single" w:color="auto" w:sz="4" w:space="0"/>
            </w:tcBorders>
            <w:shd w:val="clear" w:color="auto" w:fill="D9D9D9" w:themeFill="background1" w:themeFillShade="D9"/>
            <w:vAlign w:val="center"/>
          </w:tcPr>
          <w:p w:rsidR="00E27346" w:rsidP="009079DF" w:rsidRDefault="00E27346" w14:paraId="74F036B0" w14:textId="77777777">
            <w:pPr>
              <w:rPr>
                <w:rFonts w:cstheme="minorHAnsi"/>
                <w:sz w:val="21"/>
                <w:szCs w:val="21"/>
              </w:rPr>
            </w:pPr>
          </w:p>
        </w:tc>
        <w:tc>
          <w:tcPr>
            <w:tcW w:w="791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F96F70" w:rsidR="00E27346" w:rsidP="009079DF" w:rsidRDefault="00E27346" w14:paraId="3E6EFC0B" w14:textId="77777777">
            <w:pPr>
              <w:ind w:left="22"/>
              <w:rPr>
                <w:rFonts w:cstheme="minorHAnsi"/>
                <w:sz w:val="21"/>
                <w:szCs w:val="21"/>
              </w:rPr>
            </w:pPr>
            <w:r w:rsidRPr="00200B13">
              <w:rPr>
                <w:rFonts w:cstheme="minorHAnsi"/>
                <w:sz w:val="21"/>
                <w:szCs w:val="21"/>
              </w:rPr>
              <w:t>If interconnect with natural gas transmission company or distribution company</w:t>
            </w:r>
            <w:r w:rsidRPr="0049146B">
              <w:rPr>
                <w:rFonts w:cstheme="minorHAnsi"/>
                <w:sz w:val="21"/>
                <w:szCs w:val="21"/>
              </w:rPr>
              <w:t xml:space="preserve">, name of </w:t>
            </w:r>
            <w:r w:rsidRPr="00F96F70">
              <w:rPr>
                <w:rFonts w:cstheme="minorHAnsi"/>
                <w:sz w:val="21"/>
                <w:szCs w:val="21"/>
              </w:rPr>
              <w:t>interconnecting company</w:t>
            </w:r>
          </w:p>
        </w:tc>
      </w:tr>
      <w:tr w:rsidRPr="007A580F" w:rsidR="00E27346" w:rsidTr="009079DF" w14:paraId="416707F6" w14:textId="77777777">
        <w:trPr>
          <w:trHeight w:val="341"/>
        </w:trPr>
        <w:tc>
          <w:tcPr>
            <w:tcW w:w="1440" w:type="dxa"/>
            <w:vMerge/>
            <w:tcBorders>
              <w:left w:val="single" w:color="auto" w:sz="4" w:space="0"/>
              <w:right w:val="single" w:color="auto" w:sz="4" w:space="0"/>
            </w:tcBorders>
            <w:shd w:val="clear" w:color="auto" w:fill="D9D9D9" w:themeFill="background1" w:themeFillShade="D9"/>
            <w:vAlign w:val="center"/>
          </w:tcPr>
          <w:p w:rsidR="00E27346" w:rsidP="009079DF" w:rsidRDefault="00E27346" w14:paraId="0DC5F613" w14:textId="77777777">
            <w:pPr>
              <w:rPr>
                <w:rFonts w:cstheme="minorHAnsi"/>
                <w:sz w:val="21"/>
                <w:szCs w:val="21"/>
              </w:rPr>
            </w:pPr>
          </w:p>
        </w:tc>
        <w:tc>
          <w:tcPr>
            <w:tcW w:w="791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49146B" w:rsidR="00E27346" w:rsidP="009079DF" w:rsidRDefault="00E27346" w14:paraId="7E7DF683" w14:textId="77777777">
            <w:pPr>
              <w:ind w:left="22"/>
              <w:rPr>
                <w:rFonts w:cstheme="minorHAnsi"/>
                <w:sz w:val="21"/>
                <w:szCs w:val="21"/>
              </w:rPr>
            </w:pPr>
            <w:r w:rsidRPr="00200B13">
              <w:rPr>
                <w:rFonts w:cstheme="minorHAnsi"/>
                <w:sz w:val="21"/>
                <w:szCs w:val="21"/>
              </w:rPr>
              <w:t>If interconnect with biogas project</w:t>
            </w:r>
            <w:r w:rsidRPr="0049146B">
              <w:rPr>
                <w:rFonts w:cstheme="minorHAnsi"/>
                <w:sz w:val="21"/>
                <w:szCs w:val="21"/>
              </w:rPr>
              <w:t>:</w:t>
            </w:r>
          </w:p>
        </w:tc>
      </w:tr>
      <w:tr w:rsidRPr="007A580F" w:rsidR="00E27346" w:rsidTr="009079DF" w14:paraId="54D5F8AA" w14:textId="77777777">
        <w:trPr>
          <w:trHeight w:val="341"/>
        </w:trPr>
        <w:tc>
          <w:tcPr>
            <w:tcW w:w="1440" w:type="dxa"/>
            <w:vMerge/>
            <w:tcBorders>
              <w:left w:val="single" w:color="auto" w:sz="4" w:space="0"/>
              <w:right w:val="single" w:color="auto" w:sz="4" w:space="0"/>
            </w:tcBorders>
            <w:shd w:val="clear" w:color="auto" w:fill="D9D9D9" w:themeFill="background1" w:themeFillShade="D9"/>
            <w:vAlign w:val="center"/>
          </w:tcPr>
          <w:p w:rsidR="00E27346" w:rsidP="009079DF" w:rsidRDefault="00E27346" w14:paraId="28A93253" w14:textId="77777777">
            <w:pPr>
              <w:rPr>
                <w:rFonts w:cstheme="minorHAnsi"/>
                <w:sz w:val="21"/>
                <w:szCs w:val="21"/>
              </w:rPr>
            </w:pPr>
          </w:p>
        </w:tc>
        <w:tc>
          <w:tcPr>
            <w:tcW w:w="791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2344DE" w:rsidR="00E27346" w:rsidP="00E27346" w:rsidRDefault="00E27346" w14:paraId="7DFC5857" w14:textId="77777777">
            <w:pPr>
              <w:pStyle w:val="ListParagraph"/>
              <w:numPr>
                <w:ilvl w:val="0"/>
                <w:numId w:val="28"/>
              </w:numPr>
              <w:spacing w:after="0" w:line="240" w:lineRule="auto"/>
              <w:rPr>
                <w:rFonts w:cstheme="minorHAnsi"/>
                <w:sz w:val="21"/>
                <w:szCs w:val="21"/>
              </w:rPr>
            </w:pPr>
            <w:r w:rsidRPr="002344DE">
              <w:rPr>
                <w:rFonts w:cstheme="minorHAnsi"/>
                <w:sz w:val="21"/>
                <w:szCs w:val="21"/>
              </w:rPr>
              <w:t>Biogas Project ID</w:t>
            </w:r>
            <w:r w:rsidRPr="00200B13">
              <w:rPr>
                <w:rStyle w:val="FootnoteReference"/>
                <w:rFonts w:cstheme="minorHAnsi"/>
                <w:sz w:val="21"/>
                <w:szCs w:val="21"/>
              </w:rPr>
              <w:footnoteReference w:id="95"/>
            </w:r>
          </w:p>
        </w:tc>
      </w:tr>
      <w:tr w:rsidRPr="007A580F" w:rsidR="00E27346" w:rsidTr="009079DF" w14:paraId="3D4A2DCC" w14:textId="77777777">
        <w:trPr>
          <w:trHeight w:val="341"/>
        </w:trPr>
        <w:tc>
          <w:tcPr>
            <w:tcW w:w="1440" w:type="dxa"/>
            <w:vMerge/>
            <w:tcBorders>
              <w:left w:val="single" w:color="auto" w:sz="4" w:space="0"/>
              <w:right w:val="single" w:color="auto" w:sz="4" w:space="0"/>
            </w:tcBorders>
            <w:shd w:val="clear" w:color="auto" w:fill="D9D9D9" w:themeFill="background1" w:themeFillShade="D9"/>
            <w:vAlign w:val="center"/>
          </w:tcPr>
          <w:p w:rsidR="00E27346" w:rsidP="009079DF" w:rsidRDefault="00E27346" w14:paraId="2FB183BA" w14:textId="77777777">
            <w:pPr>
              <w:rPr>
                <w:rFonts w:cstheme="minorHAnsi"/>
                <w:sz w:val="21"/>
                <w:szCs w:val="21"/>
              </w:rPr>
            </w:pPr>
          </w:p>
        </w:tc>
        <w:tc>
          <w:tcPr>
            <w:tcW w:w="791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2344DE" w:rsidR="00E27346" w:rsidP="00E27346" w:rsidRDefault="00E27346" w14:paraId="4817349C" w14:textId="77777777">
            <w:pPr>
              <w:pStyle w:val="ListParagraph"/>
              <w:numPr>
                <w:ilvl w:val="0"/>
                <w:numId w:val="28"/>
              </w:numPr>
              <w:spacing w:after="0" w:line="240" w:lineRule="auto"/>
              <w:rPr>
                <w:rFonts w:cstheme="minorHAnsi"/>
                <w:sz w:val="21"/>
                <w:szCs w:val="21"/>
              </w:rPr>
            </w:pPr>
            <w:r w:rsidRPr="002344DE">
              <w:rPr>
                <w:rFonts w:cstheme="minorHAnsi"/>
                <w:sz w:val="21"/>
                <w:szCs w:val="21"/>
              </w:rPr>
              <w:t>Location of the interconnect (</w:t>
            </w:r>
            <w:r w:rsidRPr="002344DE">
              <w:rPr>
                <w:rFonts w:cstheme="minorHAnsi"/>
                <w:i/>
                <w:sz w:val="21"/>
                <w:szCs w:val="21"/>
              </w:rPr>
              <w:t>latitude/longitude</w:t>
            </w:r>
            <w:r w:rsidRPr="002344DE">
              <w:rPr>
                <w:rFonts w:cstheme="minorHAnsi"/>
                <w:sz w:val="21"/>
                <w:szCs w:val="21"/>
              </w:rPr>
              <w:t>)</w:t>
            </w:r>
          </w:p>
        </w:tc>
      </w:tr>
      <w:tr w:rsidRPr="007A580F" w:rsidR="00E27346" w:rsidTr="009079DF" w14:paraId="5B3F1586" w14:textId="77777777">
        <w:trPr>
          <w:trHeight w:val="350"/>
        </w:trPr>
        <w:tc>
          <w:tcPr>
            <w:tcW w:w="1440" w:type="dxa"/>
            <w:vMerge/>
            <w:tcBorders>
              <w:left w:val="single" w:color="auto" w:sz="4" w:space="0"/>
              <w:right w:val="single" w:color="auto" w:sz="4" w:space="0"/>
            </w:tcBorders>
            <w:shd w:val="clear" w:color="auto" w:fill="D9D9D9" w:themeFill="background1" w:themeFillShade="D9"/>
            <w:vAlign w:val="center"/>
          </w:tcPr>
          <w:p w:rsidR="00E27346" w:rsidP="009079DF" w:rsidRDefault="00E27346" w14:paraId="61CBBEE1" w14:textId="77777777">
            <w:pPr>
              <w:rPr>
                <w:rFonts w:cstheme="minorHAnsi"/>
                <w:sz w:val="21"/>
                <w:szCs w:val="21"/>
              </w:rPr>
            </w:pPr>
          </w:p>
        </w:tc>
        <w:tc>
          <w:tcPr>
            <w:tcW w:w="791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2344DE" w:rsidR="00E27346" w:rsidP="00E27346" w:rsidRDefault="00E27346" w14:paraId="60669A6C" w14:textId="77777777">
            <w:pPr>
              <w:pStyle w:val="ListParagraph"/>
              <w:numPr>
                <w:ilvl w:val="0"/>
                <w:numId w:val="28"/>
              </w:numPr>
              <w:spacing w:after="0" w:line="240" w:lineRule="auto"/>
              <w:rPr>
                <w:rFonts w:cstheme="minorHAnsi"/>
                <w:sz w:val="21"/>
                <w:szCs w:val="21"/>
              </w:rPr>
            </w:pPr>
            <w:r w:rsidRPr="002344DE">
              <w:rPr>
                <w:rFonts w:cstheme="minorHAnsi"/>
                <w:sz w:val="21"/>
                <w:szCs w:val="21"/>
              </w:rPr>
              <w:t>Volume of gas received this year (</w:t>
            </w:r>
            <w:r w:rsidRPr="002344DE">
              <w:rPr>
                <w:rFonts w:cstheme="minorHAnsi"/>
                <w:i/>
                <w:iCs/>
                <w:sz w:val="21"/>
                <w:szCs w:val="21"/>
              </w:rPr>
              <w:t>scf gas</w:t>
            </w:r>
            <w:r w:rsidRPr="002344DE">
              <w:rPr>
                <w:rFonts w:cstheme="minorHAnsi"/>
                <w:sz w:val="21"/>
                <w:szCs w:val="21"/>
              </w:rPr>
              <w:t>)</w:t>
            </w:r>
          </w:p>
        </w:tc>
      </w:tr>
      <w:tr w:rsidRPr="007A580F" w:rsidR="00E27346" w:rsidTr="009079DF" w14:paraId="3372928D" w14:textId="77777777">
        <w:trPr>
          <w:trHeight w:val="350"/>
        </w:trPr>
        <w:tc>
          <w:tcPr>
            <w:tcW w:w="1440" w:type="dxa"/>
            <w:vMerge/>
            <w:tcBorders>
              <w:left w:val="single" w:color="auto" w:sz="4" w:space="0"/>
              <w:right w:val="single" w:color="auto" w:sz="4" w:space="0"/>
            </w:tcBorders>
            <w:shd w:val="clear" w:color="auto" w:fill="D9D9D9" w:themeFill="background1" w:themeFillShade="D9"/>
            <w:vAlign w:val="center"/>
          </w:tcPr>
          <w:p w:rsidR="00E27346" w:rsidP="009079DF" w:rsidRDefault="00E27346" w14:paraId="1E298BED" w14:textId="77777777">
            <w:pPr>
              <w:rPr>
                <w:rFonts w:cstheme="minorHAnsi"/>
                <w:sz w:val="21"/>
                <w:szCs w:val="21"/>
              </w:rPr>
            </w:pPr>
          </w:p>
        </w:tc>
        <w:tc>
          <w:tcPr>
            <w:tcW w:w="791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200B13" w:rsidR="00E27346" w:rsidP="00E27346" w:rsidRDefault="00E27346" w14:paraId="3AE9B932" w14:textId="77777777">
            <w:pPr>
              <w:pStyle w:val="ListParagraph"/>
              <w:numPr>
                <w:ilvl w:val="0"/>
                <w:numId w:val="28"/>
              </w:numPr>
              <w:spacing w:after="0" w:line="240" w:lineRule="auto"/>
              <w:rPr>
                <w:rFonts w:cstheme="minorHAnsi"/>
                <w:sz w:val="21"/>
                <w:szCs w:val="21"/>
              </w:rPr>
            </w:pPr>
            <w:r w:rsidRPr="0049146B">
              <w:rPr>
                <w:rFonts w:cstheme="minorHAnsi"/>
                <w:sz w:val="21"/>
                <w:szCs w:val="21"/>
              </w:rPr>
              <w:t>R</w:t>
            </w:r>
            <w:r w:rsidRPr="002344DE">
              <w:rPr>
                <w:sz w:val="21"/>
                <w:szCs w:val="21"/>
              </w:rPr>
              <w:t>eference to the company’s</w:t>
            </w:r>
            <w:r>
              <w:rPr>
                <w:sz w:val="21"/>
                <w:szCs w:val="21"/>
              </w:rPr>
              <w:t xml:space="preserve"> gas</w:t>
            </w:r>
            <w:r w:rsidRPr="002344DE">
              <w:rPr>
                <w:sz w:val="21"/>
                <w:szCs w:val="21"/>
              </w:rPr>
              <w:t xml:space="preserve"> quality standards that are applicable to this project</w:t>
            </w:r>
            <w:r>
              <w:rPr>
                <w:sz w:val="21"/>
                <w:szCs w:val="21"/>
              </w:rPr>
              <w:t xml:space="preserve"> (e.g., pipeline tariff)</w:t>
            </w:r>
          </w:p>
        </w:tc>
      </w:tr>
      <w:tr w:rsidRPr="007A580F" w:rsidR="00E27346" w:rsidTr="009079DF" w14:paraId="0D74F3A1" w14:textId="77777777">
        <w:trPr>
          <w:trHeight w:val="359"/>
        </w:trPr>
        <w:tc>
          <w:tcPr>
            <w:tcW w:w="1440" w:type="dxa"/>
            <w:vMerge/>
            <w:tcBorders>
              <w:left w:val="single" w:color="auto" w:sz="4" w:space="0"/>
              <w:right w:val="single" w:color="auto" w:sz="4" w:space="0"/>
            </w:tcBorders>
            <w:shd w:val="clear" w:color="auto" w:fill="D9D9D9" w:themeFill="background1" w:themeFillShade="D9"/>
            <w:vAlign w:val="center"/>
          </w:tcPr>
          <w:p w:rsidR="00E27346" w:rsidP="009079DF" w:rsidRDefault="00E27346" w14:paraId="4D6CE777" w14:textId="77777777">
            <w:pPr>
              <w:rPr>
                <w:rFonts w:cstheme="minorHAnsi"/>
                <w:sz w:val="21"/>
                <w:szCs w:val="21"/>
              </w:rPr>
            </w:pPr>
          </w:p>
        </w:tc>
        <w:tc>
          <w:tcPr>
            <w:tcW w:w="791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3F4665" w:rsidR="00E27346" w:rsidP="00E27346" w:rsidRDefault="00E27346" w14:paraId="65F89B91" w14:textId="77777777">
            <w:pPr>
              <w:pStyle w:val="ListParagraph"/>
              <w:numPr>
                <w:ilvl w:val="0"/>
                <w:numId w:val="28"/>
              </w:numPr>
              <w:spacing w:after="0" w:line="240" w:lineRule="auto"/>
              <w:rPr>
                <w:sz w:val="21"/>
                <w:szCs w:val="21"/>
              </w:rPr>
            </w:pPr>
            <w:r w:rsidRPr="003F4665">
              <w:rPr>
                <w:rFonts w:cstheme="minorHAnsi"/>
                <w:sz w:val="21"/>
                <w:szCs w:val="21"/>
              </w:rPr>
              <w:t>How far is the interconnect from the feedstock source (km)?</w:t>
            </w:r>
          </w:p>
        </w:tc>
      </w:tr>
      <w:tr w:rsidRPr="007A580F" w:rsidR="00E27346" w:rsidTr="009079DF" w14:paraId="661828C5" w14:textId="77777777">
        <w:trPr>
          <w:trHeight w:val="359"/>
        </w:trPr>
        <w:tc>
          <w:tcPr>
            <w:tcW w:w="1440" w:type="dxa"/>
            <w:vMerge/>
            <w:tcBorders>
              <w:left w:val="single" w:color="auto" w:sz="4" w:space="0"/>
              <w:right w:val="single" w:color="auto" w:sz="4" w:space="0"/>
            </w:tcBorders>
            <w:shd w:val="clear" w:color="auto" w:fill="D9D9D9" w:themeFill="background1" w:themeFillShade="D9"/>
            <w:vAlign w:val="center"/>
          </w:tcPr>
          <w:p w:rsidR="00E27346" w:rsidP="009079DF" w:rsidRDefault="00E27346" w14:paraId="5AB314D2" w14:textId="77777777">
            <w:pPr>
              <w:rPr>
                <w:rFonts w:cstheme="minorHAnsi"/>
                <w:sz w:val="21"/>
                <w:szCs w:val="21"/>
              </w:rPr>
            </w:pPr>
          </w:p>
        </w:tc>
        <w:tc>
          <w:tcPr>
            <w:tcW w:w="791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3F4665" w:rsidR="00E27346" w:rsidP="00E27346" w:rsidRDefault="00E27346" w14:paraId="23329202" w14:textId="77777777">
            <w:pPr>
              <w:pStyle w:val="ListParagraph"/>
              <w:numPr>
                <w:ilvl w:val="0"/>
                <w:numId w:val="28"/>
              </w:numPr>
              <w:spacing w:after="0" w:line="240" w:lineRule="auto"/>
              <w:rPr>
                <w:sz w:val="21"/>
                <w:szCs w:val="21"/>
              </w:rPr>
            </w:pPr>
            <w:r w:rsidRPr="003F4665">
              <w:rPr>
                <w:rFonts w:cstheme="minorHAnsi"/>
                <w:sz w:val="21"/>
                <w:szCs w:val="21"/>
              </w:rPr>
              <w:t>Is there a virtual pipeline?</w:t>
            </w:r>
          </w:p>
        </w:tc>
      </w:tr>
      <w:tr w:rsidRPr="007A580F" w:rsidR="00E27346" w:rsidTr="009079DF" w14:paraId="3719E158" w14:textId="77777777">
        <w:trPr>
          <w:trHeight w:val="359"/>
        </w:trPr>
        <w:tc>
          <w:tcPr>
            <w:tcW w:w="1440" w:type="dxa"/>
            <w:vMerge/>
            <w:tcBorders>
              <w:left w:val="single" w:color="auto" w:sz="4" w:space="0"/>
              <w:right w:val="single" w:color="auto" w:sz="4" w:space="0"/>
            </w:tcBorders>
            <w:shd w:val="clear" w:color="auto" w:fill="D9D9D9" w:themeFill="background1" w:themeFillShade="D9"/>
            <w:vAlign w:val="center"/>
          </w:tcPr>
          <w:p w:rsidR="00E27346" w:rsidP="009079DF" w:rsidRDefault="00E27346" w14:paraId="47E109CC" w14:textId="77777777">
            <w:pPr>
              <w:rPr>
                <w:rFonts w:cstheme="minorHAnsi"/>
                <w:sz w:val="21"/>
                <w:szCs w:val="21"/>
              </w:rPr>
            </w:pPr>
          </w:p>
        </w:tc>
        <w:tc>
          <w:tcPr>
            <w:tcW w:w="791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3F4665" w:rsidR="00E27346" w:rsidP="00E27346" w:rsidRDefault="00E27346" w14:paraId="1F41B718" w14:textId="77777777">
            <w:pPr>
              <w:pStyle w:val="ListParagraph"/>
              <w:numPr>
                <w:ilvl w:val="1"/>
                <w:numId w:val="28"/>
              </w:numPr>
              <w:spacing w:after="0" w:line="240" w:lineRule="auto"/>
              <w:rPr>
                <w:rFonts w:cstheme="minorHAnsi"/>
                <w:sz w:val="21"/>
                <w:szCs w:val="21"/>
              </w:rPr>
            </w:pPr>
            <w:r w:rsidRPr="003F4665">
              <w:rPr>
                <w:rFonts w:cstheme="minorHAnsi"/>
                <w:sz w:val="21"/>
                <w:szCs w:val="21"/>
              </w:rPr>
              <w:t>If yes, details about the virtual pipeline</w:t>
            </w:r>
          </w:p>
        </w:tc>
      </w:tr>
      <w:tr w:rsidRPr="007A580F" w:rsidR="00E27346" w:rsidTr="009079DF" w14:paraId="128C867F" w14:textId="77777777">
        <w:trPr>
          <w:trHeight w:val="359"/>
        </w:trPr>
        <w:tc>
          <w:tcPr>
            <w:tcW w:w="1440" w:type="dxa"/>
            <w:vMerge/>
            <w:tcBorders>
              <w:left w:val="single" w:color="auto" w:sz="4" w:space="0"/>
              <w:right w:val="single" w:color="auto" w:sz="4" w:space="0"/>
            </w:tcBorders>
            <w:shd w:val="clear" w:color="auto" w:fill="D9D9D9" w:themeFill="background1" w:themeFillShade="D9"/>
            <w:vAlign w:val="center"/>
          </w:tcPr>
          <w:p w:rsidR="00E27346" w:rsidP="009079DF" w:rsidRDefault="00E27346" w14:paraId="76E6CDB3" w14:textId="77777777">
            <w:pPr>
              <w:rPr>
                <w:rFonts w:cstheme="minorHAnsi"/>
                <w:sz w:val="21"/>
                <w:szCs w:val="21"/>
              </w:rPr>
            </w:pPr>
          </w:p>
        </w:tc>
        <w:tc>
          <w:tcPr>
            <w:tcW w:w="791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2B3938" w:rsidR="00E27346" w:rsidP="009079DF" w:rsidRDefault="00E27346" w14:paraId="0F6E38FA" w14:textId="77777777">
            <w:pPr>
              <w:rPr>
                <w:rFonts w:cstheme="minorHAnsi"/>
                <w:sz w:val="21"/>
                <w:szCs w:val="21"/>
              </w:rPr>
            </w:pPr>
            <w:r w:rsidRPr="002B3938">
              <w:rPr>
                <w:rFonts w:cstheme="minorHAnsi"/>
                <w:sz w:val="21"/>
                <w:szCs w:val="21"/>
              </w:rPr>
              <w:t>Any additional information on the interconnect process you wish to share?</w:t>
            </w:r>
          </w:p>
        </w:tc>
      </w:tr>
      <w:tr w:rsidRPr="007A580F" w:rsidR="00E27346" w:rsidTr="009079DF" w14:paraId="50265F68" w14:textId="77777777">
        <w:trPr>
          <w:trHeight w:val="503"/>
        </w:trPr>
        <w:tc>
          <w:tcPr>
            <w:tcW w:w="1440" w:type="dxa"/>
            <w:vMerge w:val="restart"/>
            <w:tcBorders>
              <w:left w:val="single" w:color="auto" w:sz="4" w:space="0"/>
              <w:right w:val="single" w:color="auto" w:sz="4" w:space="0"/>
            </w:tcBorders>
            <w:shd w:val="clear" w:color="auto" w:fill="auto"/>
            <w:vAlign w:val="center"/>
          </w:tcPr>
          <w:p w:rsidR="00E27346" w:rsidP="009079DF" w:rsidRDefault="00E27346" w14:paraId="3410680A" w14:textId="77777777">
            <w:pPr>
              <w:rPr>
                <w:rFonts w:cstheme="minorHAnsi"/>
                <w:sz w:val="21"/>
                <w:szCs w:val="21"/>
              </w:rPr>
            </w:pPr>
            <w:r>
              <w:rPr>
                <w:rFonts w:cstheme="minorHAnsi"/>
                <w:sz w:val="21"/>
                <w:szCs w:val="21"/>
              </w:rPr>
              <w:t>Information about the end use(s) and environmental attributes</w:t>
            </w:r>
          </w:p>
          <w:p w:rsidR="00E27346" w:rsidP="009079DF" w:rsidRDefault="00E27346" w14:paraId="7474206C" w14:textId="77777777">
            <w:pPr>
              <w:rPr>
                <w:rFonts w:cstheme="minorHAnsi"/>
                <w:sz w:val="21"/>
                <w:szCs w:val="21"/>
              </w:rPr>
            </w:pPr>
          </w:p>
        </w:tc>
        <w:tc>
          <w:tcPr>
            <w:tcW w:w="7915" w:type="dxa"/>
            <w:tcBorders>
              <w:top w:val="single" w:color="auto" w:sz="4" w:space="0"/>
              <w:left w:val="single" w:color="auto" w:sz="4" w:space="0"/>
              <w:bottom w:val="single" w:color="auto" w:sz="4" w:space="0"/>
              <w:right w:val="single" w:color="auto" w:sz="4" w:space="0"/>
            </w:tcBorders>
            <w:shd w:val="clear" w:color="auto" w:fill="auto"/>
            <w:vAlign w:val="center"/>
          </w:tcPr>
          <w:p w:rsidRPr="00F34562" w:rsidR="00E27346" w:rsidP="009079DF" w:rsidRDefault="00E27346" w14:paraId="260CB271" w14:textId="77777777">
            <w:pPr>
              <w:rPr>
                <w:rFonts w:cstheme="minorHAnsi"/>
                <w:sz w:val="21"/>
                <w:szCs w:val="21"/>
              </w:rPr>
            </w:pPr>
            <w:r>
              <w:rPr>
                <w:rFonts w:cstheme="minorHAnsi"/>
                <w:sz w:val="21"/>
                <w:szCs w:val="21"/>
              </w:rPr>
              <w:t>Biogas Project ID [</w:t>
            </w:r>
            <w:r>
              <w:rPr>
                <w:rFonts w:cstheme="minorHAnsi"/>
                <w:i/>
                <w:iCs/>
                <w:sz w:val="21"/>
                <w:szCs w:val="21"/>
              </w:rPr>
              <w:t>if known</w:t>
            </w:r>
            <w:r w:rsidRPr="00F36C86">
              <w:rPr>
                <w:rFonts w:cstheme="minorHAnsi"/>
                <w:sz w:val="21"/>
                <w:szCs w:val="21"/>
              </w:rPr>
              <w:t>]</w:t>
            </w:r>
            <w:r>
              <w:rPr>
                <w:rStyle w:val="FootnoteReference"/>
                <w:rFonts w:cstheme="minorHAnsi"/>
                <w:sz w:val="21"/>
                <w:szCs w:val="21"/>
              </w:rPr>
              <w:footnoteReference w:id="96"/>
            </w:r>
          </w:p>
        </w:tc>
      </w:tr>
      <w:tr w:rsidRPr="007A580F" w:rsidR="00E27346" w:rsidTr="009079DF" w14:paraId="791A2568" w14:textId="77777777">
        <w:trPr>
          <w:trHeight w:val="350"/>
        </w:trPr>
        <w:tc>
          <w:tcPr>
            <w:tcW w:w="1440" w:type="dxa"/>
            <w:vMerge/>
            <w:tcBorders>
              <w:left w:val="single" w:color="auto" w:sz="4" w:space="0"/>
              <w:right w:val="single" w:color="auto" w:sz="4" w:space="0"/>
            </w:tcBorders>
            <w:shd w:val="clear" w:color="auto" w:fill="auto"/>
            <w:vAlign w:val="center"/>
          </w:tcPr>
          <w:p w:rsidR="00E27346" w:rsidP="009079DF" w:rsidRDefault="00E27346" w14:paraId="6B27081F" w14:textId="77777777">
            <w:pPr>
              <w:rPr>
                <w:rFonts w:cstheme="minorHAnsi"/>
                <w:sz w:val="21"/>
                <w:szCs w:val="21"/>
              </w:rPr>
            </w:pPr>
          </w:p>
        </w:tc>
        <w:tc>
          <w:tcPr>
            <w:tcW w:w="7915" w:type="dxa"/>
            <w:tcBorders>
              <w:top w:val="single" w:color="auto" w:sz="4" w:space="0"/>
              <w:left w:val="single" w:color="auto" w:sz="4" w:space="0"/>
              <w:bottom w:val="single" w:color="auto" w:sz="4" w:space="0"/>
              <w:right w:val="single" w:color="auto" w:sz="4" w:space="0"/>
            </w:tcBorders>
            <w:shd w:val="clear" w:color="auto" w:fill="auto"/>
            <w:vAlign w:val="center"/>
          </w:tcPr>
          <w:p w:rsidRPr="00841662" w:rsidR="00E27346" w:rsidP="009079DF" w:rsidRDefault="00E27346" w14:paraId="536F8A51" w14:textId="77777777">
            <w:pPr>
              <w:rPr>
                <w:sz w:val="21"/>
                <w:szCs w:val="21"/>
              </w:rPr>
            </w:pPr>
            <w:r>
              <w:t>What is the destinated market for the RNG (region/city/state/facility) [</w:t>
            </w:r>
            <w:r>
              <w:rPr>
                <w:i/>
                <w:iCs/>
              </w:rPr>
              <w:t>if known]</w:t>
            </w:r>
            <w:r>
              <w:t>?</w:t>
            </w:r>
            <w:r>
              <w:rPr>
                <w:rFonts w:cstheme="minorHAnsi"/>
                <w:sz w:val="21"/>
                <w:szCs w:val="21"/>
              </w:rPr>
              <w:t xml:space="preserve"> </w:t>
            </w:r>
          </w:p>
        </w:tc>
      </w:tr>
      <w:tr w:rsidRPr="007A580F" w:rsidR="00E27346" w:rsidTr="009079DF" w14:paraId="1F9AA8A2" w14:textId="77777777">
        <w:trPr>
          <w:trHeight w:val="359"/>
        </w:trPr>
        <w:tc>
          <w:tcPr>
            <w:tcW w:w="1440" w:type="dxa"/>
            <w:vMerge/>
            <w:tcBorders>
              <w:left w:val="single" w:color="auto" w:sz="4" w:space="0"/>
              <w:right w:val="single" w:color="auto" w:sz="4" w:space="0"/>
            </w:tcBorders>
            <w:shd w:val="clear" w:color="auto" w:fill="auto"/>
            <w:vAlign w:val="center"/>
          </w:tcPr>
          <w:p w:rsidR="00E27346" w:rsidP="009079DF" w:rsidRDefault="00E27346" w14:paraId="7B19FAC4" w14:textId="77777777">
            <w:pPr>
              <w:rPr>
                <w:rFonts w:cstheme="minorHAnsi"/>
                <w:sz w:val="21"/>
                <w:szCs w:val="21"/>
              </w:rPr>
            </w:pPr>
          </w:p>
        </w:tc>
        <w:tc>
          <w:tcPr>
            <w:tcW w:w="7915" w:type="dxa"/>
            <w:tcBorders>
              <w:top w:val="single" w:color="auto" w:sz="4" w:space="0"/>
              <w:left w:val="single" w:color="auto" w:sz="4" w:space="0"/>
              <w:bottom w:val="single" w:color="auto" w:sz="4" w:space="0"/>
              <w:right w:val="single" w:color="auto" w:sz="4" w:space="0"/>
            </w:tcBorders>
            <w:shd w:val="clear" w:color="auto" w:fill="auto"/>
            <w:vAlign w:val="center"/>
          </w:tcPr>
          <w:p w:rsidRPr="00841662" w:rsidR="00E27346" w:rsidP="009079DF" w:rsidRDefault="00E27346" w14:paraId="2EB6384D" w14:textId="77777777">
            <w:pPr>
              <w:rPr>
                <w:rFonts w:cs="Calibri"/>
                <w:sz w:val="21"/>
                <w:szCs w:val="21"/>
              </w:rPr>
            </w:pPr>
            <w:r w:rsidRPr="00F34562">
              <w:rPr>
                <w:rFonts w:cstheme="minorHAnsi"/>
                <w:sz w:val="21"/>
                <w:szCs w:val="21"/>
              </w:rPr>
              <w:t>What is the designated end use</w:t>
            </w:r>
            <w:r>
              <w:rPr>
                <w:rFonts w:cstheme="minorHAnsi"/>
                <w:sz w:val="21"/>
                <w:szCs w:val="21"/>
              </w:rPr>
              <w:t xml:space="preserve"> [</w:t>
            </w:r>
            <w:r>
              <w:rPr>
                <w:rFonts w:cstheme="minorHAnsi"/>
                <w:i/>
                <w:iCs/>
                <w:sz w:val="21"/>
                <w:szCs w:val="21"/>
              </w:rPr>
              <w:t>if known</w:t>
            </w:r>
            <w:r w:rsidRPr="002B3938">
              <w:rPr>
                <w:rFonts w:cstheme="minorHAnsi"/>
                <w:sz w:val="21"/>
                <w:szCs w:val="21"/>
              </w:rPr>
              <w:t>]</w:t>
            </w:r>
            <w:r>
              <w:rPr>
                <w:rFonts w:cstheme="minorHAnsi"/>
                <w:sz w:val="21"/>
                <w:szCs w:val="21"/>
              </w:rPr>
              <w:t>? (T</w:t>
            </w:r>
            <w:r w:rsidRPr="00BC5468">
              <w:rPr>
                <w:rFonts w:cstheme="minorHAnsi"/>
                <w:sz w:val="21"/>
                <w:szCs w:val="21"/>
              </w:rPr>
              <w:t>hermal applications</w:t>
            </w:r>
            <w:r>
              <w:rPr>
                <w:rFonts w:cstheme="minorHAnsi"/>
                <w:sz w:val="21"/>
                <w:szCs w:val="21"/>
              </w:rPr>
              <w:t>; E</w:t>
            </w:r>
            <w:r w:rsidRPr="00BC5468">
              <w:rPr>
                <w:rFonts w:cstheme="minorHAnsi"/>
                <w:sz w:val="21"/>
                <w:szCs w:val="21"/>
              </w:rPr>
              <w:t>lectricity</w:t>
            </w:r>
            <w:r>
              <w:rPr>
                <w:rFonts w:cstheme="minorHAnsi"/>
                <w:sz w:val="21"/>
                <w:szCs w:val="21"/>
              </w:rPr>
              <w:t xml:space="preserve"> generation;</w:t>
            </w:r>
            <w:r w:rsidRPr="00BC5468">
              <w:rPr>
                <w:rFonts w:cstheme="minorHAnsi"/>
                <w:sz w:val="21"/>
                <w:szCs w:val="21"/>
              </w:rPr>
              <w:t xml:space="preserve"> </w:t>
            </w:r>
            <w:r>
              <w:rPr>
                <w:rFonts w:cstheme="minorHAnsi"/>
                <w:sz w:val="21"/>
                <w:szCs w:val="21"/>
              </w:rPr>
              <w:t>V</w:t>
            </w:r>
            <w:r w:rsidRPr="00BC5468">
              <w:rPr>
                <w:rFonts w:cstheme="minorHAnsi"/>
                <w:sz w:val="21"/>
                <w:szCs w:val="21"/>
              </w:rPr>
              <w:t>ehicle fuel</w:t>
            </w:r>
            <w:r>
              <w:rPr>
                <w:rFonts w:cstheme="minorHAnsi"/>
                <w:sz w:val="21"/>
                <w:szCs w:val="21"/>
              </w:rPr>
              <w:t>; B</w:t>
            </w:r>
            <w:r w:rsidRPr="00BC5468">
              <w:rPr>
                <w:rFonts w:cstheme="minorHAnsi"/>
                <w:sz w:val="21"/>
                <w:szCs w:val="21"/>
              </w:rPr>
              <w:t>io-product feedstock</w:t>
            </w:r>
            <w:r>
              <w:rPr>
                <w:rFonts w:cstheme="minorHAnsi"/>
                <w:sz w:val="21"/>
                <w:szCs w:val="21"/>
              </w:rPr>
              <w:t>; Interconnect with other natural gas company (specify company); Not designated; Other (specify end use); Unknown)</w:t>
            </w:r>
          </w:p>
        </w:tc>
      </w:tr>
      <w:tr w:rsidRPr="007A580F" w:rsidR="00E27346" w:rsidTr="009079DF" w14:paraId="170D32C2" w14:textId="77777777">
        <w:trPr>
          <w:trHeight w:val="359"/>
        </w:trPr>
        <w:tc>
          <w:tcPr>
            <w:tcW w:w="1440" w:type="dxa"/>
            <w:vMerge/>
            <w:tcBorders>
              <w:left w:val="single" w:color="auto" w:sz="4" w:space="0"/>
              <w:right w:val="single" w:color="auto" w:sz="4" w:space="0"/>
            </w:tcBorders>
            <w:shd w:val="clear" w:color="auto" w:fill="auto"/>
            <w:vAlign w:val="center"/>
          </w:tcPr>
          <w:p w:rsidR="00E27346" w:rsidP="009079DF" w:rsidRDefault="00E27346" w14:paraId="0B440D58" w14:textId="77777777">
            <w:pPr>
              <w:rPr>
                <w:rFonts w:cstheme="minorHAnsi"/>
                <w:sz w:val="21"/>
                <w:szCs w:val="21"/>
              </w:rPr>
            </w:pPr>
          </w:p>
        </w:tc>
        <w:tc>
          <w:tcPr>
            <w:tcW w:w="7915" w:type="dxa"/>
            <w:tcBorders>
              <w:top w:val="single" w:color="auto" w:sz="4" w:space="0"/>
              <w:left w:val="single" w:color="auto" w:sz="4" w:space="0"/>
              <w:bottom w:val="single" w:color="auto" w:sz="4" w:space="0"/>
              <w:right w:val="single" w:color="auto" w:sz="4" w:space="0"/>
            </w:tcBorders>
            <w:shd w:val="clear" w:color="auto" w:fill="auto"/>
            <w:vAlign w:val="center"/>
          </w:tcPr>
          <w:p w:rsidRPr="00F34562" w:rsidR="00E27346" w:rsidP="009079DF" w:rsidRDefault="00E27346" w14:paraId="4CC0AF2D" w14:textId="77777777">
            <w:pPr>
              <w:rPr>
                <w:rFonts w:cstheme="minorHAnsi"/>
                <w:sz w:val="21"/>
                <w:szCs w:val="21"/>
              </w:rPr>
            </w:pPr>
            <w:r>
              <w:rPr>
                <w:rFonts w:cstheme="minorHAnsi"/>
                <w:sz w:val="21"/>
                <w:szCs w:val="21"/>
              </w:rPr>
              <w:t>Volume of RNG going to this end use, this year (</w:t>
            </w:r>
            <w:r w:rsidRPr="0081273E">
              <w:rPr>
                <w:rFonts w:cstheme="minorHAnsi"/>
                <w:i/>
                <w:iCs/>
                <w:sz w:val="21"/>
                <w:szCs w:val="21"/>
              </w:rPr>
              <w:t>scf gas</w:t>
            </w:r>
            <w:r>
              <w:rPr>
                <w:rFonts w:cstheme="minorHAnsi"/>
                <w:sz w:val="21"/>
                <w:szCs w:val="21"/>
              </w:rPr>
              <w:t>) [</w:t>
            </w:r>
            <w:r>
              <w:rPr>
                <w:rFonts w:cstheme="minorHAnsi"/>
                <w:i/>
                <w:iCs/>
                <w:sz w:val="21"/>
                <w:szCs w:val="21"/>
              </w:rPr>
              <w:t>if known</w:t>
            </w:r>
            <w:r w:rsidRPr="00660CD4">
              <w:rPr>
                <w:rFonts w:cstheme="minorHAnsi"/>
                <w:sz w:val="21"/>
                <w:szCs w:val="21"/>
              </w:rPr>
              <w:t>]</w:t>
            </w:r>
          </w:p>
        </w:tc>
      </w:tr>
      <w:tr w:rsidRPr="007A580F" w:rsidR="00E27346" w:rsidTr="009079DF" w14:paraId="38D8382B" w14:textId="77777777">
        <w:trPr>
          <w:trHeight w:val="350"/>
        </w:trPr>
        <w:tc>
          <w:tcPr>
            <w:tcW w:w="1440" w:type="dxa"/>
            <w:vMerge/>
            <w:tcBorders>
              <w:left w:val="single" w:color="auto" w:sz="4" w:space="0"/>
              <w:right w:val="single" w:color="auto" w:sz="4" w:space="0"/>
            </w:tcBorders>
            <w:shd w:val="clear" w:color="auto" w:fill="auto"/>
            <w:vAlign w:val="center"/>
          </w:tcPr>
          <w:p w:rsidR="00E27346" w:rsidP="009079DF" w:rsidRDefault="00E27346" w14:paraId="7060F50B" w14:textId="77777777">
            <w:pPr>
              <w:rPr>
                <w:rFonts w:cstheme="minorHAnsi"/>
                <w:sz w:val="21"/>
                <w:szCs w:val="21"/>
              </w:rPr>
            </w:pPr>
          </w:p>
        </w:tc>
        <w:tc>
          <w:tcPr>
            <w:tcW w:w="7915" w:type="dxa"/>
            <w:tcBorders>
              <w:top w:val="single" w:color="auto" w:sz="4" w:space="0"/>
              <w:left w:val="single" w:color="auto" w:sz="4" w:space="0"/>
              <w:bottom w:val="single" w:color="auto" w:sz="4" w:space="0"/>
              <w:right w:val="single" w:color="auto" w:sz="4" w:space="0"/>
            </w:tcBorders>
            <w:shd w:val="clear" w:color="auto" w:fill="auto"/>
            <w:vAlign w:val="center"/>
          </w:tcPr>
          <w:p w:rsidRPr="008322BB" w:rsidR="00E27346" w:rsidP="009079DF" w:rsidRDefault="00E27346" w14:paraId="52A5AC84" w14:textId="77777777">
            <w:pPr>
              <w:rPr>
                <w:rFonts w:cstheme="minorHAnsi"/>
                <w:i/>
                <w:iCs/>
                <w:sz w:val="21"/>
                <w:szCs w:val="21"/>
              </w:rPr>
            </w:pPr>
            <w:r>
              <w:rPr>
                <w:rFonts w:cstheme="minorHAnsi"/>
                <w:sz w:val="21"/>
                <w:szCs w:val="21"/>
              </w:rPr>
              <w:t>Any additional information on the end use you wish to share?</w:t>
            </w:r>
          </w:p>
        </w:tc>
      </w:tr>
      <w:tr w:rsidRPr="007A580F" w:rsidR="00E27346" w:rsidTr="009079DF" w14:paraId="64EBAFF0" w14:textId="77777777">
        <w:trPr>
          <w:trHeight w:val="350"/>
        </w:trPr>
        <w:tc>
          <w:tcPr>
            <w:tcW w:w="1440" w:type="dxa"/>
            <w:vMerge/>
            <w:tcBorders>
              <w:left w:val="single" w:color="auto" w:sz="4" w:space="0"/>
              <w:right w:val="single" w:color="auto" w:sz="4" w:space="0"/>
            </w:tcBorders>
            <w:shd w:val="clear" w:color="auto" w:fill="auto"/>
            <w:vAlign w:val="center"/>
          </w:tcPr>
          <w:p w:rsidR="00E27346" w:rsidP="009079DF" w:rsidRDefault="00E27346" w14:paraId="59EF98E5" w14:textId="77777777">
            <w:pPr>
              <w:rPr>
                <w:rFonts w:cstheme="minorHAnsi"/>
                <w:sz w:val="21"/>
                <w:szCs w:val="21"/>
              </w:rPr>
            </w:pPr>
          </w:p>
        </w:tc>
        <w:tc>
          <w:tcPr>
            <w:tcW w:w="7915" w:type="dxa"/>
            <w:tcBorders>
              <w:top w:val="single" w:color="auto" w:sz="4" w:space="0"/>
              <w:left w:val="single" w:color="auto" w:sz="4" w:space="0"/>
              <w:bottom w:val="single" w:color="auto" w:sz="4" w:space="0"/>
              <w:right w:val="single" w:color="auto" w:sz="4" w:space="0"/>
            </w:tcBorders>
            <w:shd w:val="clear" w:color="auto" w:fill="auto"/>
            <w:vAlign w:val="center"/>
          </w:tcPr>
          <w:p w:rsidR="00E27346" w:rsidP="009079DF" w:rsidRDefault="00E27346" w14:paraId="57C969C6" w14:textId="77777777">
            <w:pPr>
              <w:rPr>
                <w:rFonts w:cstheme="minorHAnsi"/>
                <w:sz w:val="21"/>
                <w:szCs w:val="21"/>
              </w:rPr>
            </w:pPr>
            <w:r>
              <w:rPr>
                <w:rFonts w:cstheme="minorHAnsi"/>
                <w:sz w:val="21"/>
                <w:szCs w:val="21"/>
              </w:rPr>
              <w:t>Does your company currently own the environmental attributes for the RNG? [Yes; No; Unknown]</w:t>
            </w:r>
          </w:p>
        </w:tc>
      </w:tr>
      <w:tr w:rsidRPr="007A580F" w:rsidR="00E27346" w:rsidTr="009079DF" w14:paraId="4C221770" w14:textId="77777777">
        <w:trPr>
          <w:trHeight w:val="350"/>
        </w:trPr>
        <w:tc>
          <w:tcPr>
            <w:tcW w:w="1440" w:type="dxa"/>
            <w:vMerge/>
            <w:tcBorders>
              <w:left w:val="single" w:color="auto" w:sz="4" w:space="0"/>
              <w:right w:val="single" w:color="auto" w:sz="4" w:space="0"/>
            </w:tcBorders>
            <w:shd w:val="clear" w:color="auto" w:fill="auto"/>
            <w:vAlign w:val="center"/>
          </w:tcPr>
          <w:p w:rsidR="00E27346" w:rsidP="009079DF" w:rsidRDefault="00E27346" w14:paraId="40C97051" w14:textId="77777777">
            <w:pPr>
              <w:rPr>
                <w:rFonts w:cstheme="minorHAnsi"/>
                <w:sz w:val="21"/>
                <w:szCs w:val="21"/>
              </w:rPr>
            </w:pPr>
          </w:p>
        </w:tc>
        <w:tc>
          <w:tcPr>
            <w:tcW w:w="7915" w:type="dxa"/>
            <w:tcBorders>
              <w:top w:val="single" w:color="auto" w:sz="4" w:space="0"/>
              <w:left w:val="single" w:color="auto" w:sz="4" w:space="0"/>
              <w:bottom w:val="single" w:color="auto" w:sz="4" w:space="0"/>
              <w:right w:val="single" w:color="auto" w:sz="4" w:space="0"/>
            </w:tcBorders>
            <w:shd w:val="clear" w:color="auto" w:fill="auto"/>
            <w:vAlign w:val="center"/>
          </w:tcPr>
          <w:p w:rsidR="00E27346" w:rsidP="009079DF" w:rsidRDefault="00E27346" w14:paraId="0AE69D02" w14:textId="77777777">
            <w:pPr>
              <w:rPr>
                <w:rFonts w:cstheme="minorHAnsi"/>
                <w:sz w:val="21"/>
                <w:szCs w:val="21"/>
              </w:rPr>
            </w:pPr>
            <w:r>
              <w:rPr>
                <w:rFonts w:cstheme="minorHAnsi"/>
                <w:sz w:val="21"/>
                <w:szCs w:val="21"/>
              </w:rPr>
              <w:t>If your company does not own the environmental attributes now, who does? [</w:t>
            </w:r>
            <w:r>
              <w:rPr>
                <w:rFonts w:cstheme="minorHAnsi"/>
                <w:i/>
                <w:iCs/>
                <w:sz w:val="21"/>
                <w:szCs w:val="21"/>
              </w:rPr>
              <w:t>If known</w:t>
            </w:r>
            <w:r w:rsidRPr="00806BC8">
              <w:rPr>
                <w:rFonts w:cstheme="minorHAnsi"/>
                <w:sz w:val="21"/>
                <w:szCs w:val="21"/>
              </w:rPr>
              <w:t>]</w:t>
            </w:r>
          </w:p>
        </w:tc>
      </w:tr>
      <w:tr w:rsidRPr="007A580F" w:rsidR="00E27346" w:rsidTr="009079DF" w14:paraId="62879024" w14:textId="77777777">
        <w:trPr>
          <w:trHeight w:val="350"/>
        </w:trPr>
        <w:tc>
          <w:tcPr>
            <w:tcW w:w="1440" w:type="dxa"/>
            <w:vMerge/>
            <w:tcBorders>
              <w:left w:val="single" w:color="auto" w:sz="4" w:space="0"/>
              <w:right w:val="single" w:color="auto" w:sz="4" w:space="0"/>
            </w:tcBorders>
            <w:shd w:val="clear" w:color="auto" w:fill="auto"/>
            <w:vAlign w:val="center"/>
          </w:tcPr>
          <w:p w:rsidR="00E27346" w:rsidP="009079DF" w:rsidRDefault="00E27346" w14:paraId="52EA08FD" w14:textId="77777777">
            <w:pPr>
              <w:rPr>
                <w:rFonts w:cstheme="minorHAnsi"/>
                <w:sz w:val="21"/>
                <w:szCs w:val="21"/>
              </w:rPr>
            </w:pPr>
          </w:p>
        </w:tc>
        <w:tc>
          <w:tcPr>
            <w:tcW w:w="7915" w:type="dxa"/>
            <w:tcBorders>
              <w:top w:val="single" w:color="auto" w:sz="4" w:space="0"/>
              <w:left w:val="single" w:color="auto" w:sz="4" w:space="0"/>
              <w:bottom w:val="single" w:color="auto" w:sz="4" w:space="0"/>
              <w:right w:val="single" w:color="auto" w:sz="4" w:space="0"/>
            </w:tcBorders>
            <w:shd w:val="clear" w:color="auto" w:fill="auto"/>
            <w:vAlign w:val="center"/>
          </w:tcPr>
          <w:p w:rsidRPr="00D82599" w:rsidR="00E27346" w:rsidP="009079DF" w:rsidRDefault="00E27346" w14:paraId="7767C1ED" w14:textId="77777777">
            <w:r w:rsidRPr="00806BC8">
              <w:rPr>
                <w:rFonts w:cstheme="minorHAnsi"/>
                <w:sz w:val="21"/>
                <w:szCs w:val="21"/>
              </w:rPr>
              <w:t>If,</w:t>
            </w:r>
            <w:r>
              <w:rPr>
                <w:rFonts w:cstheme="minorHAnsi"/>
                <w:sz w:val="21"/>
                <w:szCs w:val="21"/>
              </w:rPr>
              <w:t xml:space="preserve"> your company does, or at one point did, own the attributes for RNG,</w:t>
            </w:r>
            <w:r w:rsidRPr="00806BC8">
              <w:rPr>
                <w:rFonts w:cstheme="minorHAnsi"/>
                <w:sz w:val="21"/>
                <w:szCs w:val="21"/>
              </w:rPr>
              <w:t xml:space="preserve"> </w:t>
            </w:r>
            <w:r w:rsidRPr="00806BC8">
              <w:t>does your supply contract for “renewable</w:t>
            </w:r>
            <w:r>
              <w:t>”</w:t>
            </w:r>
            <w:r w:rsidRPr="00806BC8">
              <w:t xml:space="preserve"> natural gas include conveyance of environmental attributes to your company (e.g., </w:t>
            </w:r>
            <w:r>
              <w:t>by way of a contract</w:t>
            </w:r>
            <w:r w:rsidRPr="00806BC8">
              <w:t xml:space="preserve"> clause, attestation)?</w:t>
            </w:r>
            <w:r>
              <w:t xml:space="preserve"> </w:t>
            </w:r>
            <w:r w:rsidRPr="00F759C9">
              <w:t xml:space="preserve">[Yes; No; Unknown]  </w:t>
            </w:r>
          </w:p>
        </w:tc>
      </w:tr>
      <w:tr w:rsidRPr="007A580F" w:rsidR="00E27346" w:rsidTr="009079DF" w14:paraId="30979F74" w14:textId="77777777">
        <w:trPr>
          <w:trHeight w:val="350"/>
        </w:trPr>
        <w:tc>
          <w:tcPr>
            <w:tcW w:w="1440" w:type="dxa"/>
            <w:vMerge/>
            <w:tcBorders>
              <w:left w:val="single" w:color="auto" w:sz="4" w:space="0"/>
              <w:right w:val="single" w:color="auto" w:sz="4" w:space="0"/>
            </w:tcBorders>
            <w:shd w:val="clear" w:color="auto" w:fill="auto"/>
            <w:vAlign w:val="center"/>
          </w:tcPr>
          <w:p w:rsidR="00E27346" w:rsidP="009079DF" w:rsidRDefault="00E27346" w14:paraId="05B1966A" w14:textId="77777777">
            <w:pPr>
              <w:rPr>
                <w:rFonts w:cstheme="minorHAnsi"/>
                <w:sz w:val="21"/>
                <w:szCs w:val="21"/>
              </w:rPr>
            </w:pPr>
          </w:p>
        </w:tc>
        <w:tc>
          <w:tcPr>
            <w:tcW w:w="7915" w:type="dxa"/>
            <w:tcBorders>
              <w:top w:val="single" w:color="auto" w:sz="4" w:space="0"/>
              <w:left w:val="single" w:color="auto" w:sz="4" w:space="0"/>
              <w:bottom w:val="single" w:color="auto" w:sz="4" w:space="0"/>
              <w:right w:val="single" w:color="auto" w:sz="4" w:space="0"/>
            </w:tcBorders>
            <w:shd w:val="clear" w:color="auto" w:fill="auto"/>
            <w:vAlign w:val="center"/>
          </w:tcPr>
          <w:p w:rsidR="00E27346" w:rsidP="009079DF" w:rsidRDefault="00E27346" w14:paraId="08E4121D" w14:textId="77777777">
            <w:pPr>
              <w:rPr>
                <w:rFonts w:cstheme="minorHAnsi"/>
                <w:sz w:val="21"/>
                <w:szCs w:val="21"/>
              </w:rPr>
            </w:pPr>
            <w:r w:rsidRPr="00BF0A06">
              <w:rPr>
                <w:rFonts w:cs="Calibri"/>
              </w:rPr>
              <w:t>If your company is selling “renewable” natural gas supply to another downstream entity (e.g., distributor, end consumer etc.), have you contractually conveyed the RNG environmental attributes to the downstream buyer?</w:t>
            </w:r>
            <w:r>
              <w:rPr>
                <w:rFonts w:cs="Calibri"/>
              </w:rPr>
              <w:t xml:space="preserve"> </w:t>
            </w:r>
            <w:r w:rsidRPr="00F759C9">
              <w:rPr>
                <w:rFonts w:cs="Calibri"/>
              </w:rPr>
              <w:t xml:space="preserve">[Yes; No; Unknown]  </w:t>
            </w:r>
          </w:p>
        </w:tc>
      </w:tr>
      <w:tr w:rsidRPr="007A580F" w:rsidR="00E27346" w:rsidTr="009079DF" w14:paraId="1E5DFB36" w14:textId="77777777">
        <w:trPr>
          <w:trHeight w:val="350"/>
        </w:trPr>
        <w:tc>
          <w:tcPr>
            <w:tcW w:w="1440" w:type="dxa"/>
            <w:vMerge/>
            <w:tcBorders>
              <w:left w:val="single" w:color="auto" w:sz="4" w:space="0"/>
              <w:right w:val="single" w:color="auto" w:sz="4" w:space="0"/>
            </w:tcBorders>
            <w:shd w:val="clear" w:color="auto" w:fill="auto"/>
            <w:vAlign w:val="center"/>
          </w:tcPr>
          <w:p w:rsidR="00E27346" w:rsidP="009079DF" w:rsidRDefault="00E27346" w14:paraId="43CCF277" w14:textId="77777777">
            <w:pPr>
              <w:rPr>
                <w:rFonts w:cstheme="minorHAnsi"/>
                <w:sz w:val="21"/>
                <w:szCs w:val="21"/>
              </w:rPr>
            </w:pPr>
          </w:p>
        </w:tc>
        <w:tc>
          <w:tcPr>
            <w:tcW w:w="7915" w:type="dxa"/>
            <w:tcBorders>
              <w:top w:val="single" w:color="auto" w:sz="4" w:space="0"/>
              <w:left w:val="single" w:color="auto" w:sz="4" w:space="0"/>
              <w:bottom w:val="single" w:color="auto" w:sz="4" w:space="0"/>
              <w:right w:val="single" w:color="auto" w:sz="4" w:space="0"/>
            </w:tcBorders>
            <w:shd w:val="clear" w:color="auto" w:fill="auto"/>
            <w:vAlign w:val="center"/>
          </w:tcPr>
          <w:p w:rsidRPr="00BF0A06" w:rsidR="00E27346" w:rsidP="009079DF" w:rsidRDefault="00E27346" w14:paraId="287EAA74" w14:textId="77777777">
            <w:pPr>
              <w:rPr>
                <w:rFonts w:cs="Calibri"/>
              </w:rPr>
            </w:pPr>
            <w:r>
              <w:rPr>
                <w:rFonts w:cs="Calibri"/>
              </w:rPr>
              <w:t>Is your company using a third party provider to certify or track attributes? If so, which one(s)?</w:t>
            </w:r>
          </w:p>
        </w:tc>
      </w:tr>
      <w:tr w:rsidRPr="007A580F" w:rsidR="00E27346" w:rsidTr="009079DF" w14:paraId="7C48B1FF" w14:textId="77777777">
        <w:trPr>
          <w:trHeight w:val="350"/>
        </w:trPr>
        <w:tc>
          <w:tcPr>
            <w:tcW w:w="1440" w:type="dxa"/>
            <w:vMerge/>
            <w:tcBorders>
              <w:left w:val="single" w:color="auto" w:sz="4" w:space="0"/>
              <w:right w:val="single" w:color="auto" w:sz="4" w:space="0"/>
            </w:tcBorders>
            <w:shd w:val="clear" w:color="auto" w:fill="auto"/>
            <w:vAlign w:val="center"/>
          </w:tcPr>
          <w:p w:rsidR="00E27346" w:rsidP="009079DF" w:rsidRDefault="00E27346" w14:paraId="167AFCA5" w14:textId="77777777">
            <w:pPr>
              <w:rPr>
                <w:rFonts w:cstheme="minorHAnsi"/>
                <w:sz w:val="21"/>
                <w:szCs w:val="21"/>
              </w:rPr>
            </w:pPr>
          </w:p>
        </w:tc>
        <w:tc>
          <w:tcPr>
            <w:tcW w:w="7915" w:type="dxa"/>
            <w:tcBorders>
              <w:top w:val="single" w:color="auto" w:sz="4" w:space="0"/>
              <w:left w:val="single" w:color="auto" w:sz="4" w:space="0"/>
              <w:bottom w:val="single" w:color="auto" w:sz="4" w:space="0"/>
              <w:right w:val="single" w:color="auto" w:sz="4" w:space="0"/>
            </w:tcBorders>
            <w:shd w:val="clear" w:color="auto" w:fill="auto"/>
            <w:vAlign w:val="center"/>
          </w:tcPr>
          <w:p w:rsidR="00E27346" w:rsidP="009079DF" w:rsidRDefault="00E27346" w14:paraId="073AF7FF" w14:textId="77777777">
            <w:pPr>
              <w:rPr>
                <w:rFonts w:cstheme="minorHAnsi"/>
                <w:sz w:val="21"/>
                <w:szCs w:val="21"/>
              </w:rPr>
            </w:pPr>
            <w:r>
              <w:rPr>
                <w:rFonts w:cstheme="minorHAnsi"/>
                <w:sz w:val="21"/>
                <w:szCs w:val="21"/>
              </w:rPr>
              <w:t>Any additional information about environmental attributes that you wish to share?</w:t>
            </w:r>
          </w:p>
        </w:tc>
      </w:tr>
      <w:tr w:rsidRPr="007A580F" w:rsidR="00E27346" w:rsidTr="009079DF" w14:paraId="2EC9BFC9" w14:textId="77777777">
        <w:trPr>
          <w:trHeight w:val="872"/>
        </w:trPr>
        <w:tc>
          <w:tcPr>
            <w:tcW w:w="1440" w:type="dxa"/>
            <w:vMerge w:val="restart"/>
            <w:tcBorders>
              <w:left w:val="single" w:color="auto" w:sz="4" w:space="0"/>
              <w:right w:val="single" w:color="auto" w:sz="4" w:space="0"/>
            </w:tcBorders>
            <w:shd w:val="clear" w:color="auto" w:fill="D9D9D9" w:themeFill="background1" w:themeFillShade="D9"/>
            <w:vAlign w:val="center"/>
          </w:tcPr>
          <w:p w:rsidR="00E27346" w:rsidP="009079DF" w:rsidRDefault="00E27346" w14:paraId="0BE184F7" w14:textId="77777777">
            <w:pPr>
              <w:rPr>
                <w:rFonts w:cstheme="minorHAnsi"/>
                <w:sz w:val="21"/>
                <w:szCs w:val="21"/>
              </w:rPr>
            </w:pPr>
            <w:r>
              <w:rPr>
                <w:rFonts w:cstheme="minorHAnsi"/>
                <w:sz w:val="21"/>
                <w:szCs w:val="21"/>
              </w:rPr>
              <w:t>Information about the Company’s strategy for supply of “low carbon fuels”</w:t>
            </w:r>
          </w:p>
        </w:tc>
        <w:tc>
          <w:tcPr>
            <w:tcW w:w="791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C830A6" w:rsidR="00E27346" w:rsidP="009079DF" w:rsidRDefault="00E27346" w14:paraId="65B6BEFC" w14:textId="77777777">
            <w:pPr>
              <w:rPr>
                <w:rFonts w:cstheme="minorHAnsi"/>
                <w:sz w:val="21"/>
                <w:szCs w:val="21"/>
              </w:rPr>
            </w:pPr>
            <w:r>
              <w:rPr>
                <w:rFonts w:cstheme="minorHAnsi"/>
                <w:sz w:val="21"/>
                <w:szCs w:val="21"/>
              </w:rPr>
              <w:t xml:space="preserve">Company-specific goals or strategies for supply of “low carbon fuels” (such as upgraded biogas, hydrogen, etc.) (e.g., percent of natural gas supply to be RNG by a certain year; convert vehicle fleet to run on natural gas and use RNG for fuel), </w:t>
            </w:r>
            <w:r>
              <w:rPr>
                <w:rFonts w:cstheme="minorHAnsi"/>
                <w:i/>
                <w:iCs/>
                <w:sz w:val="21"/>
                <w:szCs w:val="21"/>
              </w:rPr>
              <w:t xml:space="preserve">if applicable. </w:t>
            </w:r>
          </w:p>
        </w:tc>
      </w:tr>
      <w:tr w:rsidRPr="007A580F" w:rsidR="00E27346" w:rsidTr="009079DF" w14:paraId="78568161" w14:textId="77777777">
        <w:trPr>
          <w:trHeight w:val="665"/>
        </w:trPr>
        <w:tc>
          <w:tcPr>
            <w:tcW w:w="1440" w:type="dxa"/>
            <w:vMerge/>
            <w:tcBorders>
              <w:left w:val="single" w:color="auto" w:sz="4" w:space="0"/>
              <w:right w:val="single" w:color="auto" w:sz="4" w:space="0"/>
            </w:tcBorders>
            <w:shd w:val="clear" w:color="auto" w:fill="D9D9D9" w:themeFill="background1" w:themeFillShade="D9"/>
            <w:vAlign w:val="center"/>
          </w:tcPr>
          <w:p w:rsidR="00E27346" w:rsidP="009079DF" w:rsidRDefault="00E27346" w14:paraId="0CCF4DA0" w14:textId="77777777">
            <w:pPr>
              <w:rPr>
                <w:rFonts w:cstheme="minorHAnsi"/>
                <w:sz w:val="21"/>
                <w:szCs w:val="21"/>
              </w:rPr>
            </w:pPr>
          </w:p>
        </w:tc>
        <w:tc>
          <w:tcPr>
            <w:tcW w:w="791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00E27346" w:rsidP="009079DF" w:rsidRDefault="00E27346" w14:paraId="07E1B12B" w14:textId="77777777">
            <w:pPr>
              <w:rPr>
                <w:rFonts w:cstheme="minorHAnsi"/>
                <w:sz w:val="21"/>
                <w:szCs w:val="21"/>
              </w:rPr>
            </w:pPr>
            <w:r>
              <w:rPr>
                <w:rFonts w:cstheme="minorHAnsi"/>
                <w:sz w:val="21"/>
                <w:szCs w:val="21"/>
              </w:rPr>
              <w:t>Is your company blending hydrogen into its natural gas supply? [Yes; Planning to; Researching; No; Unknown]</w:t>
            </w:r>
          </w:p>
        </w:tc>
      </w:tr>
      <w:tr w:rsidRPr="007A580F" w:rsidR="00E27346" w:rsidTr="009079DF" w14:paraId="1071A733" w14:textId="77777777">
        <w:trPr>
          <w:trHeight w:val="418"/>
        </w:trPr>
        <w:tc>
          <w:tcPr>
            <w:tcW w:w="1440" w:type="dxa"/>
            <w:vMerge/>
            <w:tcBorders>
              <w:left w:val="single" w:color="auto" w:sz="4" w:space="0"/>
              <w:right w:val="single" w:color="auto" w:sz="4" w:space="0"/>
            </w:tcBorders>
            <w:shd w:val="clear" w:color="auto" w:fill="D9D9D9" w:themeFill="background1" w:themeFillShade="D9"/>
            <w:vAlign w:val="center"/>
          </w:tcPr>
          <w:p w:rsidR="00E27346" w:rsidP="009079DF" w:rsidRDefault="00E27346" w14:paraId="29AE6060" w14:textId="77777777">
            <w:pPr>
              <w:rPr>
                <w:rFonts w:cstheme="minorHAnsi"/>
                <w:sz w:val="21"/>
                <w:szCs w:val="21"/>
              </w:rPr>
            </w:pPr>
          </w:p>
        </w:tc>
        <w:tc>
          <w:tcPr>
            <w:tcW w:w="791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00E27346" w:rsidP="009079DF" w:rsidRDefault="00E27346" w14:paraId="21B3F95A" w14:textId="77777777">
            <w:pPr>
              <w:rPr>
                <w:rFonts w:cstheme="minorHAnsi"/>
                <w:sz w:val="21"/>
                <w:szCs w:val="21"/>
              </w:rPr>
            </w:pPr>
            <w:r>
              <w:rPr>
                <w:rFonts w:cstheme="minorHAnsi"/>
                <w:sz w:val="21"/>
                <w:szCs w:val="21"/>
              </w:rPr>
              <w:t>If yes, or planning to:</w:t>
            </w:r>
          </w:p>
        </w:tc>
      </w:tr>
      <w:tr w:rsidRPr="007A580F" w:rsidR="00E27346" w:rsidTr="009079DF" w14:paraId="7DC04AEE" w14:textId="77777777">
        <w:trPr>
          <w:trHeight w:val="418"/>
        </w:trPr>
        <w:tc>
          <w:tcPr>
            <w:tcW w:w="1440" w:type="dxa"/>
            <w:vMerge/>
            <w:tcBorders>
              <w:left w:val="single" w:color="auto" w:sz="4" w:space="0"/>
              <w:right w:val="single" w:color="auto" w:sz="4" w:space="0"/>
            </w:tcBorders>
            <w:shd w:val="clear" w:color="auto" w:fill="D9D9D9" w:themeFill="background1" w:themeFillShade="D9"/>
            <w:vAlign w:val="center"/>
          </w:tcPr>
          <w:p w:rsidR="00E27346" w:rsidP="009079DF" w:rsidRDefault="00E27346" w14:paraId="7327F729" w14:textId="77777777">
            <w:pPr>
              <w:rPr>
                <w:rFonts w:cstheme="minorHAnsi"/>
                <w:sz w:val="21"/>
                <w:szCs w:val="21"/>
              </w:rPr>
            </w:pPr>
          </w:p>
        </w:tc>
        <w:tc>
          <w:tcPr>
            <w:tcW w:w="791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1B6072" w:rsidR="00E27346" w:rsidP="00E27346" w:rsidRDefault="00E27346" w14:paraId="5F41E378" w14:textId="77777777">
            <w:pPr>
              <w:pStyle w:val="ListParagraph"/>
              <w:numPr>
                <w:ilvl w:val="0"/>
                <w:numId w:val="30"/>
              </w:numPr>
              <w:spacing w:after="0" w:line="240" w:lineRule="auto"/>
              <w:rPr>
                <w:rFonts w:cstheme="minorHAnsi"/>
                <w:sz w:val="21"/>
                <w:szCs w:val="21"/>
              </w:rPr>
            </w:pPr>
            <w:r w:rsidRPr="001B6072">
              <w:rPr>
                <w:rFonts w:cstheme="minorHAnsi"/>
                <w:sz w:val="21"/>
                <w:szCs w:val="21"/>
              </w:rPr>
              <w:t xml:space="preserve">At what rate will you be blending (% hydrogen by volume) </w:t>
            </w:r>
          </w:p>
        </w:tc>
      </w:tr>
      <w:tr w:rsidRPr="007A580F" w:rsidR="00E27346" w:rsidTr="009079DF" w14:paraId="7831ED73" w14:textId="77777777">
        <w:trPr>
          <w:trHeight w:val="418"/>
        </w:trPr>
        <w:tc>
          <w:tcPr>
            <w:tcW w:w="1440" w:type="dxa"/>
            <w:vMerge/>
            <w:tcBorders>
              <w:left w:val="single" w:color="auto" w:sz="4" w:space="0"/>
              <w:right w:val="single" w:color="auto" w:sz="4" w:space="0"/>
            </w:tcBorders>
            <w:shd w:val="clear" w:color="auto" w:fill="D9D9D9" w:themeFill="background1" w:themeFillShade="D9"/>
            <w:vAlign w:val="center"/>
          </w:tcPr>
          <w:p w:rsidR="00E27346" w:rsidP="009079DF" w:rsidRDefault="00E27346" w14:paraId="55079295" w14:textId="77777777">
            <w:pPr>
              <w:rPr>
                <w:rFonts w:cstheme="minorHAnsi"/>
                <w:sz w:val="21"/>
                <w:szCs w:val="21"/>
              </w:rPr>
            </w:pPr>
          </w:p>
        </w:tc>
        <w:tc>
          <w:tcPr>
            <w:tcW w:w="791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1B6072" w:rsidR="00E27346" w:rsidP="00E27346" w:rsidRDefault="00E27346" w14:paraId="1E8F3D5D" w14:textId="77777777">
            <w:pPr>
              <w:pStyle w:val="ListParagraph"/>
              <w:numPr>
                <w:ilvl w:val="0"/>
                <w:numId w:val="30"/>
              </w:numPr>
              <w:spacing w:after="0" w:line="240" w:lineRule="auto"/>
              <w:rPr>
                <w:rFonts w:cstheme="minorHAnsi"/>
                <w:sz w:val="21"/>
                <w:szCs w:val="21"/>
              </w:rPr>
            </w:pPr>
            <w:r w:rsidRPr="001B6072">
              <w:rPr>
                <w:rFonts w:cstheme="minorHAnsi"/>
                <w:sz w:val="21"/>
                <w:szCs w:val="21"/>
              </w:rPr>
              <w:t>What is the source and/or feedstock of the hydrogen? (e.g., renewable/nuclear/etc.)</w:t>
            </w:r>
          </w:p>
        </w:tc>
      </w:tr>
      <w:tr w:rsidRPr="007A580F" w:rsidR="00E27346" w:rsidTr="009079DF" w14:paraId="4B053A9B" w14:textId="77777777">
        <w:trPr>
          <w:trHeight w:val="418"/>
        </w:trPr>
        <w:tc>
          <w:tcPr>
            <w:tcW w:w="1440" w:type="dxa"/>
            <w:vMerge/>
            <w:tcBorders>
              <w:left w:val="single" w:color="auto" w:sz="4" w:space="0"/>
              <w:right w:val="single" w:color="auto" w:sz="4" w:space="0"/>
            </w:tcBorders>
            <w:shd w:val="clear" w:color="auto" w:fill="D9D9D9" w:themeFill="background1" w:themeFillShade="D9"/>
            <w:vAlign w:val="center"/>
          </w:tcPr>
          <w:p w:rsidR="00E27346" w:rsidP="009079DF" w:rsidRDefault="00E27346" w14:paraId="2E6F5EB9" w14:textId="77777777">
            <w:pPr>
              <w:rPr>
                <w:rFonts w:cstheme="minorHAnsi"/>
                <w:sz w:val="21"/>
                <w:szCs w:val="21"/>
              </w:rPr>
            </w:pPr>
          </w:p>
        </w:tc>
        <w:tc>
          <w:tcPr>
            <w:tcW w:w="791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1B6072" w:rsidR="00E27346" w:rsidP="00E27346" w:rsidRDefault="00E27346" w14:paraId="0191A21F" w14:textId="77777777">
            <w:pPr>
              <w:pStyle w:val="ListParagraph"/>
              <w:numPr>
                <w:ilvl w:val="0"/>
                <w:numId w:val="30"/>
              </w:numPr>
              <w:spacing w:after="0" w:line="240" w:lineRule="auto"/>
              <w:rPr>
                <w:rFonts w:cstheme="minorHAnsi"/>
                <w:sz w:val="21"/>
                <w:szCs w:val="21"/>
              </w:rPr>
            </w:pPr>
            <w:r w:rsidRPr="001B6072">
              <w:rPr>
                <w:rFonts w:cstheme="minorHAnsi"/>
                <w:sz w:val="21"/>
                <w:szCs w:val="21"/>
              </w:rPr>
              <w:t>Is any upgrading/cleaning of the hydrogen required before injection?</w:t>
            </w:r>
          </w:p>
        </w:tc>
      </w:tr>
      <w:tr w:rsidRPr="007A580F" w:rsidR="00E27346" w:rsidTr="009079DF" w14:paraId="66B692CB" w14:textId="77777777">
        <w:trPr>
          <w:trHeight w:val="418"/>
        </w:trPr>
        <w:tc>
          <w:tcPr>
            <w:tcW w:w="1440" w:type="dxa"/>
            <w:vMerge/>
            <w:tcBorders>
              <w:left w:val="single" w:color="auto" w:sz="4" w:space="0"/>
              <w:right w:val="single" w:color="auto" w:sz="4" w:space="0"/>
            </w:tcBorders>
            <w:shd w:val="clear" w:color="auto" w:fill="D9D9D9" w:themeFill="background1" w:themeFillShade="D9"/>
            <w:vAlign w:val="center"/>
          </w:tcPr>
          <w:p w:rsidR="00E27346" w:rsidP="009079DF" w:rsidRDefault="00E27346" w14:paraId="22A620C2" w14:textId="77777777">
            <w:pPr>
              <w:rPr>
                <w:rFonts w:cstheme="minorHAnsi"/>
                <w:sz w:val="21"/>
                <w:szCs w:val="21"/>
              </w:rPr>
            </w:pPr>
          </w:p>
        </w:tc>
        <w:tc>
          <w:tcPr>
            <w:tcW w:w="791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1B6072" w:rsidR="00E27346" w:rsidP="00E27346" w:rsidRDefault="00E27346" w14:paraId="5A436640" w14:textId="77777777">
            <w:pPr>
              <w:pStyle w:val="ListParagraph"/>
              <w:numPr>
                <w:ilvl w:val="0"/>
                <w:numId w:val="30"/>
              </w:numPr>
              <w:spacing w:after="0" w:line="240" w:lineRule="auto"/>
              <w:rPr>
                <w:rFonts w:cstheme="minorHAnsi"/>
                <w:sz w:val="21"/>
                <w:szCs w:val="21"/>
              </w:rPr>
            </w:pPr>
            <w:r w:rsidRPr="001B6072">
              <w:rPr>
                <w:rFonts w:cstheme="minorHAnsi"/>
                <w:sz w:val="21"/>
                <w:szCs w:val="21"/>
              </w:rPr>
              <w:t>What pipeline types does your company inject hydrogen into (material and pressure)?</w:t>
            </w:r>
          </w:p>
        </w:tc>
      </w:tr>
      <w:tr w:rsidRPr="007A580F" w:rsidR="00E27346" w:rsidTr="009079DF" w14:paraId="22631461" w14:textId="77777777">
        <w:trPr>
          <w:trHeight w:val="418"/>
        </w:trPr>
        <w:tc>
          <w:tcPr>
            <w:tcW w:w="1440" w:type="dxa"/>
            <w:vMerge/>
            <w:tcBorders>
              <w:left w:val="single" w:color="auto" w:sz="4" w:space="0"/>
              <w:right w:val="single" w:color="auto" w:sz="4" w:space="0"/>
            </w:tcBorders>
            <w:shd w:val="clear" w:color="auto" w:fill="D9D9D9" w:themeFill="background1" w:themeFillShade="D9"/>
            <w:vAlign w:val="center"/>
          </w:tcPr>
          <w:p w:rsidR="00E27346" w:rsidP="009079DF" w:rsidRDefault="00E27346" w14:paraId="052A6505" w14:textId="77777777">
            <w:pPr>
              <w:rPr>
                <w:rFonts w:cstheme="minorHAnsi"/>
                <w:sz w:val="21"/>
                <w:szCs w:val="21"/>
              </w:rPr>
            </w:pPr>
          </w:p>
        </w:tc>
        <w:tc>
          <w:tcPr>
            <w:tcW w:w="791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1B6072" w:rsidR="00E27346" w:rsidP="00E27346" w:rsidRDefault="00E27346" w14:paraId="46721A2D" w14:textId="77777777">
            <w:pPr>
              <w:pStyle w:val="ListParagraph"/>
              <w:numPr>
                <w:ilvl w:val="0"/>
                <w:numId w:val="30"/>
              </w:numPr>
              <w:spacing w:after="0" w:line="240" w:lineRule="auto"/>
              <w:rPr>
                <w:rFonts w:cstheme="minorHAnsi"/>
                <w:sz w:val="21"/>
                <w:szCs w:val="21"/>
              </w:rPr>
            </w:pPr>
            <w:r w:rsidRPr="001B6072">
              <w:rPr>
                <w:rFonts w:cstheme="minorHAnsi"/>
                <w:sz w:val="21"/>
                <w:szCs w:val="21"/>
              </w:rPr>
              <w:t>Have you done any related customer engagement?</w:t>
            </w:r>
          </w:p>
        </w:tc>
      </w:tr>
      <w:tr w:rsidRPr="007A580F" w:rsidR="00E27346" w:rsidTr="009079DF" w14:paraId="482C8A1D" w14:textId="77777777">
        <w:trPr>
          <w:trHeight w:val="418"/>
        </w:trPr>
        <w:tc>
          <w:tcPr>
            <w:tcW w:w="1440" w:type="dxa"/>
            <w:vMerge/>
            <w:tcBorders>
              <w:left w:val="single" w:color="auto" w:sz="4" w:space="0"/>
              <w:right w:val="single" w:color="auto" w:sz="4" w:space="0"/>
            </w:tcBorders>
            <w:shd w:val="clear" w:color="auto" w:fill="D9D9D9" w:themeFill="background1" w:themeFillShade="D9"/>
            <w:vAlign w:val="center"/>
          </w:tcPr>
          <w:p w:rsidR="00E27346" w:rsidP="009079DF" w:rsidRDefault="00E27346" w14:paraId="4E119385" w14:textId="77777777">
            <w:pPr>
              <w:rPr>
                <w:rFonts w:cstheme="minorHAnsi"/>
                <w:sz w:val="21"/>
                <w:szCs w:val="21"/>
              </w:rPr>
            </w:pPr>
          </w:p>
        </w:tc>
        <w:tc>
          <w:tcPr>
            <w:tcW w:w="791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1B6072" w:rsidR="00E27346" w:rsidP="00E27346" w:rsidRDefault="00E27346" w14:paraId="13553DB2" w14:textId="77777777">
            <w:pPr>
              <w:pStyle w:val="ListParagraph"/>
              <w:numPr>
                <w:ilvl w:val="0"/>
                <w:numId w:val="30"/>
              </w:numPr>
              <w:spacing w:after="0" w:line="240" w:lineRule="auto"/>
              <w:rPr>
                <w:rFonts w:cstheme="minorHAnsi"/>
                <w:sz w:val="21"/>
                <w:szCs w:val="21"/>
              </w:rPr>
            </w:pPr>
            <w:r w:rsidRPr="001B6072">
              <w:rPr>
                <w:rFonts w:cstheme="minorHAnsi"/>
                <w:sz w:val="21"/>
                <w:szCs w:val="21"/>
              </w:rPr>
              <w:t>Has anything been done to customer appliances (if yes, what)?</w:t>
            </w:r>
          </w:p>
        </w:tc>
      </w:tr>
    </w:tbl>
    <w:p w:rsidR="00A94A80" w:rsidRDefault="00A94A80" w14:paraId="0A9352C9" w14:textId="77777777">
      <w:pPr>
        <w:spacing w:after="200" w:line="276" w:lineRule="auto"/>
      </w:pPr>
      <w:r>
        <w:br w:type="page"/>
      </w:r>
    </w:p>
    <w:p w:rsidR="00A94A80" w:rsidP="00084222" w:rsidRDefault="00A94A80" w14:paraId="435EDD29" w14:textId="68FB2EB1">
      <w:pPr>
        <w:pStyle w:val="Heading2"/>
      </w:pPr>
      <w:bookmarkStart w:name="_Ref67321811" w:id="44"/>
      <w:bookmarkStart w:name="_Toc67322592" w:id="45"/>
      <w:bookmarkStart w:name="_Hlk58335858" w:id="46"/>
      <w:r w:rsidRPr="002A03E2">
        <w:rPr>
          <w:highlight w:val="yellow"/>
        </w:rPr>
        <w:lastRenderedPageBreak/>
        <w:t>Innovative Technologies, Practices, and Approaches</w:t>
      </w:r>
      <w:bookmarkEnd w:id="44"/>
      <w:bookmarkEnd w:id="45"/>
    </w:p>
    <w:p w:rsidR="002615A7" w:rsidP="00432147" w:rsidRDefault="002615A7" w14:paraId="349929CD" w14:textId="2C9EFF65">
      <w:r>
        <w:rPr>
          <w:rFonts w:ascii="Calibri" w:hAnsi="Calibri" w:cs="Calibri"/>
          <w:szCs w:val="22"/>
          <w:u w:val="single"/>
        </w:rPr>
        <w:t>Applicable Segments: All</w:t>
      </w:r>
    </w:p>
    <w:p w:rsidR="00C85BC6" w:rsidP="00432147" w:rsidRDefault="0001095C" w14:paraId="56D7D13D" w14:textId="3563113D">
      <w:r>
        <w:t xml:space="preserve">The Methane Challenge program encourages partners to share information on innovative technologies, practices, and approaches they are using to </w:t>
      </w:r>
      <w:r w:rsidR="00C85BC6">
        <w:t xml:space="preserve">measure, track, and/or </w:t>
      </w:r>
      <w:r>
        <w:t xml:space="preserve">mitigate their emissions that are not covered by the other BMP data elements. </w:t>
      </w:r>
      <w:bookmarkStart w:name="_Hlk58336235" w:id="47"/>
      <w:r w:rsidR="00C85BC6">
        <w:t>Partners may provide information on technologies/practices/approaches to mitigate emissions from existing emission sources in the program, or for emission sources not currently included in the program.</w:t>
      </w:r>
      <w:bookmarkEnd w:id="47"/>
    </w:p>
    <w:p w:rsidRPr="00432147" w:rsidR="00432147" w:rsidP="00432147" w:rsidRDefault="0001095C" w14:paraId="073B2D4C" w14:textId="3082E395">
      <w:r>
        <w:t xml:space="preserve">Under this Innovation Reporting mechanism, partners can share this information by providing the following details:  </w:t>
      </w:r>
      <w:r w:rsidR="00432147">
        <w:t xml:space="preserve">  </w:t>
      </w:r>
    </w:p>
    <w:p w:rsidR="00A94A80" w:rsidP="0001095C" w:rsidRDefault="00A94A80" w14:paraId="0A5E34D8" w14:textId="77777777">
      <w:pPr>
        <w:pStyle w:val="ListParagraph"/>
        <w:numPr>
          <w:ilvl w:val="0"/>
          <w:numId w:val="16"/>
        </w:numPr>
      </w:pPr>
      <w:r>
        <w:t>Applicable emission source(s)</w:t>
      </w:r>
    </w:p>
    <w:p w:rsidR="00A94A80" w:rsidP="0001095C" w:rsidRDefault="00A94A80" w14:paraId="1D2480B1" w14:textId="77777777">
      <w:pPr>
        <w:pStyle w:val="ListParagraph"/>
        <w:numPr>
          <w:ilvl w:val="0"/>
          <w:numId w:val="16"/>
        </w:numPr>
      </w:pPr>
      <w:r>
        <w:t>Applicable industry segments</w:t>
      </w:r>
    </w:p>
    <w:p w:rsidR="00A94A80" w:rsidP="0001095C" w:rsidRDefault="00A94A80" w14:paraId="5CAC303D" w14:textId="1A4530F2">
      <w:pPr>
        <w:pStyle w:val="ListParagraph"/>
        <w:numPr>
          <w:ilvl w:val="0"/>
          <w:numId w:val="16"/>
        </w:numPr>
      </w:pPr>
      <w:r>
        <w:t>Name of technology/practice(s) to mitigate emissions from that source</w:t>
      </w:r>
    </w:p>
    <w:p w:rsidR="00B4775E" w:rsidP="0001095C" w:rsidRDefault="00B4775E" w14:paraId="6B73850F" w14:textId="45ABE90D">
      <w:pPr>
        <w:pStyle w:val="ListParagraph"/>
        <w:numPr>
          <w:ilvl w:val="0"/>
          <w:numId w:val="16"/>
        </w:numPr>
      </w:pPr>
      <w:r>
        <w:t>Scope of implementation</w:t>
      </w:r>
    </w:p>
    <w:p w:rsidR="00B4775E" w:rsidP="0001095C" w:rsidRDefault="00B4775E" w14:paraId="6F1877B4" w14:textId="25D47EB7">
      <w:pPr>
        <w:pStyle w:val="ListParagraph"/>
        <w:numPr>
          <w:ilvl w:val="0"/>
          <w:numId w:val="16"/>
        </w:numPr>
      </w:pPr>
      <w:r>
        <w:t xml:space="preserve">Confirmation the </w:t>
      </w:r>
      <w:r w:rsidR="002615A7">
        <w:t>technology/practice is covered by regulation (federal, state, local)</w:t>
      </w:r>
    </w:p>
    <w:p w:rsidR="00A94A80" w:rsidP="0001095C" w:rsidRDefault="00A94A80" w14:paraId="4ABBDB47" w14:textId="77777777">
      <w:pPr>
        <w:pStyle w:val="ListParagraph"/>
        <w:numPr>
          <w:ilvl w:val="0"/>
          <w:numId w:val="16"/>
        </w:numPr>
      </w:pPr>
      <w:r>
        <w:t>For each technology/practice</w:t>
      </w:r>
    </w:p>
    <w:p w:rsidR="00A94A80" w:rsidP="0001095C" w:rsidRDefault="00A94A80" w14:paraId="37294630" w14:textId="6FC3EF2F">
      <w:pPr>
        <w:pStyle w:val="ListParagraph"/>
        <w:numPr>
          <w:ilvl w:val="1"/>
          <w:numId w:val="16"/>
        </w:numPr>
      </w:pPr>
      <w:r>
        <w:t>A description of the technology/practice(s)</w:t>
      </w:r>
    </w:p>
    <w:p w:rsidR="00A94A80" w:rsidP="0001095C" w:rsidRDefault="00A94A80" w14:paraId="62CEFFBC" w14:textId="01BD6851">
      <w:pPr>
        <w:pStyle w:val="ListParagraph"/>
        <w:numPr>
          <w:ilvl w:val="1"/>
          <w:numId w:val="16"/>
        </w:numPr>
      </w:pPr>
      <w:r>
        <w:t>Description of how widely available technology is</w:t>
      </w:r>
    </w:p>
    <w:p w:rsidR="00A94A80" w:rsidP="0001095C" w:rsidRDefault="00A94A80" w14:paraId="09E7ECB8" w14:textId="02927382">
      <w:pPr>
        <w:pStyle w:val="ListParagraph"/>
        <w:numPr>
          <w:ilvl w:val="1"/>
          <w:numId w:val="16"/>
        </w:numPr>
      </w:pPr>
      <w:r>
        <w:t>Description</w:t>
      </w:r>
      <w:r w:rsidR="00605771">
        <w:t xml:space="preserve"> of any</w:t>
      </w:r>
      <w:r>
        <w:t xml:space="preserve"> technical infeasibilities/issues that need to be addressed</w:t>
      </w:r>
    </w:p>
    <w:p w:rsidR="00A94A80" w:rsidP="0001095C" w:rsidRDefault="00A94A80" w14:paraId="1D198328" w14:textId="36830B79">
      <w:pPr>
        <w:pStyle w:val="ListParagraph"/>
        <w:numPr>
          <w:ilvl w:val="1"/>
          <w:numId w:val="16"/>
        </w:numPr>
      </w:pPr>
      <w:r>
        <w:t>Estimated range of emission reductions achievable</w:t>
      </w:r>
      <w:r w:rsidR="00B1476D">
        <w:t xml:space="preserve"> and methodology used to develop the estimate</w:t>
      </w:r>
    </w:p>
    <w:p w:rsidR="00A94A80" w:rsidP="0001095C" w:rsidRDefault="00A94A80" w14:paraId="5ABCEB67" w14:textId="77777777">
      <w:pPr>
        <w:pStyle w:val="ListParagraph"/>
        <w:numPr>
          <w:ilvl w:val="1"/>
          <w:numId w:val="16"/>
        </w:numPr>
      </w:pPr>
      <w:r>
        <w:t xml:space="preserve">Assessment of cost-effectiveness </w:t>
      </w:r>
    </w:p>
    <w:p w:rsidR="00A94A80" w:rsidP="0001095C" w:rsidRDefault="00A94A80" w14:paraId="27826613" w14:textId="77777777">
      <w:pPr>
        <w:pStyle w:val="ListParagraph"/>
        <w:numPr>
          <w:ilvl w:val="1"/>
          <w:numId w:val="16"/>
        </w:numPr>
      </w:pPr>
      <w:r>
        <w:t xml:space="preserve">Data elements needed to monitor progress in reducing methane emissions </w:t>
      </w:r>
    </w:p>
    <w:p w:rsidRPr="00432147" w:rsidR="00605771" w:rsidP="0001095C" w:rsidRDefault="00A94A80" w14:paraId="01B8268F" w14:textId="006CCCD8">
      <w:pPr>
        <w:pStyle w:val="ListParagraph"/>
        <w:numPr>
          <w:ilvl w:val="0"/>
          <w:numId w:val="16"/>
        </w:numPr>
        <w:rPr>
          <w:rFonts w:eastAsia="Times New Roman"/>
          <w:color w:val="243F60" w:themeColor="accent1" w:themeShade="7F"/>
        </w:rPr>
      </w:pPr>
      <w:r>
        <w:t xml:space="preserve">Any other </w:t>
      </w:r>
      <w:r w:rsidR="00605771">
        <w:t>information</w:t>
      </w:r>
      <w:r>
        <w:t xml:space="preserve"> needed to fully understand </w:t>
      </w:r>
      <w:r w:rsidR="00432147">
        <w:t>the technology/practice/approach</w:t>
      </w:r>
    </w:p>
    <w:p w:rsidR="00432147" w:rsidP="00432147" w:rsidRDefault="00432147" w14:paraId="703D0E50" w14:textId="13F21191">
      <w:r>
        <w:t>Methane Challenge will publish these data and may use them to inform future commitment options</w:t>
      </w:r>
      <w:r w:rsidR="00374217">
        <w:t xml:space="preserve"> and its library of technical information</w:t>
      </w:r>
      <w:r>
        <w:t xml:space="preserve">. </w:t>
      </w:r>
    </w:p>
    <w:p w:rsidR="0008428E" w:rsidP="00432147" w:rsidRDefault="0008428E" w14:paraId="4898A079" w14:textId="379AA07A"/>
    <w:p w:rsidRPr="004E14FB" w:rsidR="0008428E" w:rsidP="00432147" w:rsidRDefault="0008428E" w14:paraId="420B39FE" w14:textId="5F259499">
      <w:pPr>
        <w:rPr>
          <w:b/>
          <w:bCs/>
        </w:rPr>
      </w:pPr>
      <w:r w:rsidRPr="004E14FB">
        <w:rPr>
          <w:b/>
          <w:bCs/>
        </w:rPr>
        <w:t xml:space="preserve">Before reporting under this mechanism, Partners should email the program managers at </w:t>
      </w:r>
      <w:hyperlink w:history="1" r:id="rId16">
        <w:r w:rsidRPr="004E14FB">
          <w:rPr>
            <w:rStyle w:val="Hyperlink"/>
            <w:b/>
            <w:bCs/>
          </w:rPr>
          <w:t>gasstar@epa.gov</w:t>
        </w:r>
      </w:hyperlink>
      <w:r w:rsidRPr="004E14FB">
        <w:rPr>
          <w:b/>
          <w:bCs/>
        </w:rPr>
        <w:t xml:space="preserve"> to </w:t>
      </w:r>
      <w:r w:rsidRPr="004E14FB" w:rsidR="008C34C1">
        <w:rPr>
          <w:b/>
          <w:bCs/>
        </w:rPr>
        <w:t xml:space="preserve">get approval for each topic they wish to submit data on. </w:t>
      </w:r>
      <w:r w:rsidR="004E14FB">
        <w:rPr>
          <w:b/>
          <w:bCs/>
        </w:rPr>
        <w:t>On approval, Partners will receive instructions how to submit this information.</w:t>
      </w:r>
    </w:p>
    <w:bookmarkEnd w:id="46"/>
    <w:p w:rsidRPr="00432147" w:rsidR="00A47CE7" w:rsidP="00C76707" w:rsidRDefault="00A47CE7" w14:paraId="1D587F7F" w14:textId="6432142E">
      <w:pPr>
        <w:rPr>
          <w:rFonts w:cstheme="minorBidi"/>
          <w:color w:val="243F60" w:themeColor="accent1" w:themeShade="7F"/>
        </w:rPr>
      </w:pPr>
      <w:r>
        <w:br w:type="page"/>
      </w:r>
    </w:p>
    <w:p w:rsidRPr="00A0706C" w:rsidR="003D094D" w:rsidP="003D094D" w:rsidRDefault="003D094D" w14:paraId="4E60E0CC" w14:textId="01E084EF">
      <w:pPr>
        <w:pStyle w:val="Heading1"/>
        <w:widowControl/>
      </w:pPr>
      <w:bookmarkStart w:name="_Toc67322593" w:id="48"/>
      <w:r>
        <w:lastRenderedPageBreak/>
        <w:t>Non-Finalized</w:t>
      </w:r>
      <w:r w:rsidRPr="00A0706C">
        <w:t xml:space="preserve"> Emission Sources</w:t>
      </w:r>
      <w:bookmarkEnd w:id="48"/>
    </w:p>
    <w:p w:rsidR="003D094D" w:rsidP="003D094D" w:rsidRDefault="003D094D" w14:paraId="4C64D104" w14:textId="77777777">
      <w:r>
        <w:t xml:space="preserve">At this time, EPA is not finalizing BMP commitment details for these sources.  Details will be released as soon as they are available. </w:t>
      </w:r>
    </w:p>
    <w:p w:rsidR="00530E9C" w:rsidP="0007229F" w:rsidRDefault="00530E9C" w14:paraId="369A2039" w14:textId="00216CED">
      <w:pPr>
        <w:rPr>
          <w:rFonts w:asciiTheme="majorHAnsi" w:hAnsiTheme="majorHAnsi"/>
          <w:color w:val="002060"/>
          <w:sz w:val="24"/>
        </w:rPr>
      </w:pPr>
      <w:r>
        <w:rPr>
          <w:rFonts w:asciiTheme="majorHAnsi" w:hAnsiTheme="majorHAnsi"/>
          <w:color w:val="002060"/>
          <w:sz w:val="24"/>
        </w:rPr>
        <w:t>Equipment Leaks</w:t>
      </w:r>
      <w:r>
        <w:rPr>
          <w:rStyle w:val="FootnoteReference"/>
          <w:rFonts w:asciiTheme="majorHAnsi" w:hAnsiTheme="majorHAnsi"/>
          <w:color w:val="002060"/>
          <w:sz w:val="24"/>
        </w:rPr>
        <w:footnoteReference w:id="97"/>
      </w:r>
    </w:p>
    <w:p w:rsidRPr="0007229F" w:rsidR="009603C1" w:rsidP="0007229F" w:rsidRDefault="009603C1" w14:paraId="61B62FF3" w14:textId="2B6E03F2">
      <w:pPr>
        <w:rPr>
          <w:rFonts w:asciiTheme="majorHAnsi" w:hAnsiTheme="majorHAnsi"/>
          <w:color w:val="002060"/>
          <w:sz w:val="24"/>
        </w:rPr>
      </w:pPr>
      <w:r w:rsidRPr="0007229F">
        <w:rPr>
          <w:rFonts w:asciiTheme="majorHAnsi" w:hAnsiTheme="majorHAnsi"/>
          <w:color w:val="002060"/>
          <w:sz w:val="24"/>
        </w:rPr>
        <w:t>Liquids Unloading</w:t>
      </w:r>
    </w:p>
    <w:p w:rsidRPr="0007229F" w:rsidR="009603C1" w:rsidP="0007229F" w:rsidRDefault="009603C1" w14:paraId="255A625C" w14:textId="77777777">
      <w:pPr>
        <w:rPr>
          <w:rFonts w:asciiTheme="majorHAnsi" w:hAnsiTheme="majorHAnsi"/>
          <w:color w:val="002060"/>
          <w:sz w:val="24"/>
        </w:rPr>
      </w:pPr>
      <w:r w:rsidRPr="0007229F">
        <w:rPr>
          <w:rFonts w:asciiTheme="majorHAnsi" w:hAnsiTheme="majorHAnsi"/>
          <w:color w:val="002060"/>
          <w:sz w:val="24"/>
        </w:rPr>
        <w:t>Pneumatic Pumps</w:t>
      </w:r>
    </w:p>
    <w:p w:rsidRPr="0007229F" w:rsidR="006956DD" w:rsidP="0007229F" w:rsidRDefault="006956DD" w14:paraId="19C73D4E" w14:textId="3E675E5B">
      <w:pPr>
        <w:rPr>
          <w:rFonts w:asciiTheme="majorHAnsi" w:hAnsiTheme="majorHAnsi"/>
          <w:color w:val="002060"/>
          <w:sz w:val="24"/>
        </w:rPr>
      </w:pPr>
      <w:r w:rsidRPr="0007229F">
        <w:rPr>
          <w:rFonts w:asciiTheme="majorHAnsi" w:hAnsiTheme="majorHAnsi"/>
          <w:color w:val="002060"/>
          <w:sz w:val="24"/>
        </w:rPr>
        <w:t>Metering and Regulating (M&amp;R) Stations/City Gates</w:t>
      </w:r>
    </w:p>
    <w:p w:rsidR="0030161A" w:rsidP="0030161A" w:rsidRDefault="0030161A" w14:paraId="76014A62" w14:textId="50375DF9"/>
    <w:p w:rsidRPr="0030161A" w:rsidR="003D094D" w:rsidP="0030161A" w:rsidRDefault="003D094D" w14:paraId="771D06ED" w14:textId="77777777"/>
    <w:bookmarkEnd w:id="43"/>
    <w:p w:rsidR="006956DD" w:rsidRDefault="006956DD" w14:paraId="3C16430B" w14:textId="2EF80B54">
      <w:pPr>
        <w:spacing w:after="200" w:line="276" w:lineRule="auto"/>
        <w:rPr>
          <w:rFonts w:ascii="Calibri" w:hAnsi="Calibri" w:eastAsia="Calibri"/>
          <w:szCs w:val="22"/>
        </w:rPr>
      </w:pPr>
      <w:r>
        <w:rPr>
          <w:rFonts w:ascii="Calibri" w:hAnsi="Calibri" w:eastAsia="Calibri"/>
          <w:szCs w:val="22"/>
        </w:rPr>
        <w:br w:type="page"/>
      </w:r>
    </w:p>
    <w:p w:rsidRPr="001C315B" w:rsidR="006956DD" w:rsidP="006956DD" w:rsidRDefault="006956DD" w14:paraId="3E6B80F2" w14:textId="77777777">
      <w:pPr>
        <w:pStyle w:val="Heading1"/>
        <w:widowControl/>
      </w:pPr>
      <w:bookmarkStart w:name="_Toc445292735" w:id="49"/>
      <w:bookmarkStart w:name="_Toc67322594" w:id="50"/>
      <w:r>
        <w:lastRenderedPageBreak/>
        <w:t>Appendix A: Segment and Facility Definitions</w:t>
      </w:r>
      <w:bookmarkEnd w:id="49"/>
      <w:bookmarkEnd w:id="50"/>
    </w:p>
    <w:p w:rsidRPr="00B01543" w:rsidR="006956DD" w:rsidP="00084222" w:rsidRDefault="006956DD" w14:paraId="3D3EAB9E" w14:textId="77777777">
      <w:pPr>
        <w:pStyle w:val="Heading2"/>
      </w:pPr>
      <w:bookmarkStart w:name="_Toc431980571" w:id="51"/>
      <w:bookmarkStart w:name="_Toc445292736" w:id="52"/>
      <w:bookmarkStart w:name="_Toc67322595" w:id="53"/>
      <w:r>
        <w:t>Onshore Production</w:t>
      </w:r>
      <w:bookmarkEnd w:id="51"/>
      <w:bookmarkEnd w:id="52"/>
      <w:bookmarkEnd w:id="53"/>
    </w:p>
    <w:p w:rsidRPr="001C315B" w:rsidR="006956DD" w:rsidP="006956DD" w:rsidRDefault="006956DD" w14:paraId="284A8EDD" w14:textId="77777777">
      <w:pPr>
        <w:rPr>
          <w:rFonts w:ascii="Calibri" w:hAnsi="Calibri" w:cs="Calibri"/>
          <w:szCs w:val="22"/>
        </w:rPr>
      </w:pPr>
      <w:r w:rsidRPr="001C315B">
        <w:rPr>
          <w:rFonts w:ascii="Calibri" w:hAnsi="Calibri" w:cs="Calibri"/>
          <w:szCs w:val="22"/>
        </w:rPr>
        <w:t>For purposes of the Methane Challenge Program, onshore petroleum and natural gas production means all equipment on a single well-pad or associated with a single well-pad (including but not limited to compressors, generators, dehydrators, storage vessels, engines, boilers, heaters, flares, separation and processing equipment, and portable non-self-propelled equipment, which includes well drilling and completion equipment, workover equipment, and leased, rented or contracted equipment) used in the production, extraction, recovery, lifting, stabilization, separation or treating of petroleum and/or natural gas (including condensate). This equipment also includes associated storage or measurement vessels, all petroleum and natural gas production equipment located on islands, artificial islands, or structures connected by a causeway to land, an island, or an artificial island. Onshore petroleum and natural gas production also means all equipment on or associated with a single enhanced oil recovery (EOR) well pad using CO</w:t>
      </w:r>
      <w:r w:rsidRPr="0052138E">
        <w:rPr>
          <w:rFonts w:ascii="Calibri" w:hAnsi="Calibri" w:cs="Calibri"/>
          <w:szCs w:val="22"/>
          <w:vertAlign w:val="subscript"/>
        </w:rPr>
        <w:t xml:space="preserve">2 </w:t>
      </w:r>
      <w:r w:rsidRPr="001C315B">
        <w:rPr>
          <w:rFonts w:ascii="Calibri" w:hAnsi="Calibri" w:cs="Calibri"/>
          <w:szCs w:val="22"/>
        </w:rPr>
        <w:t>or natural gas injection.</w:t>
      </w:r>
    </w:p>
    <w:p w:rsidR="006956DD" w:rsidP="006956DD" w:rsidRDefault="006956DD" w14:paraId="67DE0DE1" w14:textId="77777777">
      <w:pPr>
        <w:rPr>
          <w:rFonts w:ascii="Calibri" w:hAnsi="Calibri" w:cs="Calibri"/>
          <w:szCs w:val="22"/>
        </w:rPr>
      </w:pPr>
      <w:r w:rsidRPr="001C315B">
        <w:rPr>
          <w:rFonts w:ascii="Calibri" w:hAnsi="Calibri" w:cs="Calibri"/>
          <w:szCs w:val="22"/>
        </w:rPr>
        <w:t>A facility means all natural gas equipment on a single well-pad or associated with a single well-pad and CO</w:t>
      </w:r>
      <w:r w:rsidRPr="0052138E">
        <w:rPr>
          <w:rFonts w:ascii="Calibri" w:hAnsi="Calibri" w:cs="Calibri"/>
          <w:szCs w:val="22"/>
          <w:vertAlign w:val="subscript"/>
        </w:rPr>
        <w:t>2</w:t>
      </w:r>
      <w:r w:rsidRPr="001C315B">
        <w:rPr>
          <w:rFonts w:ascii="Calibri" w:hAnsi="Calibri" w:cs="Calibri"/>
          <w:szCs w:val="22"/>
        </w:rPr>
        <w:t xml:space="preserve"> EOR operations that are under common ownership or common control including leased, rented, or contracted activities by an onshore natural gas production owner or operator and that are located in a single hydrocarbon basin as defined in 40 CFR 98.238. Where a person or entity owns or operates more than one well in a basin, then all onshore natural gas production equipment associated with all wells that the person or entity owns or operates in the basin would be considered one facility.</w:t>
      </w:r>
    </w:p>
    <w:p w:rsidRPr="00BC439C" w:rsidR="006956DD" w:rsidP="00084222" w:rsidRDefault="006956DD" w14:paraId="18421660" w14:textId="77777777">
      <w:pPr>
        <w:pStyle w:val="Heading2"/>
      </w:pPr>
      <w:bookmarkStart w:name="_Toc431980572" w:id="54"/>
      <w:bookmarkStart w:name="_Toc445292737" w:id="55"/>
      <w:bookmarkStart w:name="_Toc67322596" w:id="56"/>
      <w:r>
        <w:t>Gathering and Boosting</w:t>
      </w:r>
      <w:bookmarkEnd w:id="54"/>
      <w:bookmarkEnd w:id="55"/>
      <w:bookmarkEnd w:id="56"/>
    </w:p>
    <w:p w:rsidRPr="0091446B" w:rsidR="006956DD" w:rsidP="006956DD" w:rsidRDefault="006956DD" w14:paraId="3A611CAB" w14:textId="77777777">
      <w:pPr>
        <w:rPr>
          <w:rFonts w:ascii="Calibri" w:hAnsi="Calibri" w:eastAsia="Calibri"/>
          <w:szCs w:val="22"/>
        </w:rPr>
      </w:pPr>
      <w:r w:rsidRPr="0091446B">
        <w:rPr>
          <w:rFonts w:ascii="Calibri" w:hAnsi="Calibri" w:eastAsia="Calibri"/>
          <w:szCs w:val="22"/>
        </w:rPr>
        <w:t xml:space="preserve">For purposes of the Methane Challenge Program, onshore petroleum and natural gas gathering and boosting means gathering pipelines and other equipment used to collect petroleum and/or natural gas from onshore production gas or oil wells and used to compress, dehydrate, sweeten, or transport the petroleum and/or natural gas to a natural gas processing facility, a natural gas transmission pipeline, or a natural gas distribution pipeline. Gathering and boosting equipment includes, but is not limited to, gathering pipelines, separators, compressors, acid gas removal units, dehydrators, pneumatic devices/pumps, storage vessels, engines, boilers, heaters, and flares. </w:t>
      </w:r>
      <w:r w:rsidRPr="0091446B">
        <w:rPr>
          <w:rFonts w:ascii="Calibri" w:hAnsi="Calibri"/>
        </w:rPr>
        <w:t>Gathering and boosting equipment does not include equipment reported under any other industry segment defined in subpart W. Gathering pipelines operating on a vacuum and gathering pipelines with a gas to oil ratio (GOR) less than 300 standard cubic feet per stock tank barrel (scf/STB) are not included in this industry segment (oil here refers to hydrocarbon liquids of all API gravities).</w:t>
      </w:r>
    </w:p>
    <w:p w:rsidRPr="0091446B" w:rsidR="006956DD" w:rsidP="006956DD" w:rsidRDefault="006956DD" w14:paraId="19C1E367" w14:textId="77777777">
      <w:pPr>
        <w:rPr>
          <w:rFonts w:ascii="Calibri" w:hAnsi="Calibri" w:eastAsia="Calibri"/>
          <w:szCs w:val="22"/>
        </w:rPr>
      </w:pPr>
      <w:r w:rsidRPr="0091446B">
        <w:rPr>
          <w:rFonts w:ascii="Calibri" w:hAnsi="Calibri" w:eastAsia="Calibri"/>
          <w:szCs w:val="22"/>
        </w:rPr>
        <w:t>A gathering and boosting facility for purposes of reporting under Methane Challenge means all gathering pipelines and other equipment located along those pipelines that are under common ownership or common control by a gathering and boosting system owner or operator and that are located in a single hydrocarbon basin as defined in 40 CFR 98.238. Where a person owns or operates more than one gathering and boosting system in a basin (for example, separate gathering lines that are not connected), then all gathering and boosting equipment that the person owns or operates in the basin would be considered one facility. Any gathering and boosting equipment that is associated with a single gathering and boosting system, including leased, rented, or contracted activities, is considered to be under common control of the owner or operator of the gathering and boosting system that contains the pipeline.  The facility does not include equipment and pipelines that are part of any other industry segment defined in subpart W.</w:t>
      </w:r>
    </w:p>
    <w:p w:rsidRPr="00BC439C" w:rsidR="006956DD" w:rsidP="00084222" w:rsidRDefault="006956DD" w14:paraId="60C38422" w14:textId="77777777">
      <w:pPr>
        <w:pStyle w:val="Heading2"/>
      </w:pPr>
      <w:bookmarkStart w:name="_Toc431980573" w:id="57"/>
      <w:bookmarkStart w:name="_Toc445292738" w:id="58"/>
      <w:bookmarkStart w:name="_Toc67322597" w:id="59"/>
      <w:r>
        <w:t>Natural Gas Processing</w:t>
      </w:r>
      <w:bookmarkEnd w:id="57"/>
      <w:bookmarkEnd w:id="58"/>
      <w:bookmarkEnd w:id="59"/>
    </w:p>
    <w:p w:rsidRPr="006331B5" w:rsidR="006956DD" w:rsidP="006956DD" w:rsidRDefault="006956DD" w14:paraId="47B0E6F1" w14:textId="77777777">
      <w:pPr>
        <w:rPr>
          <w:rFonts w:ascii="Calibri" w:hAnsi="Calibri" w:eastAsia="Calibri"/>
          <w:szCs w:val="22"/>
        </w:rPr>
      </w:pPr>
      <w:r w:rsidRPr="006331B5">
        <w:rPr>
          <w:rFonts w:ascii="Calibri" w:hAnsi="Calibri" w:eastAsia="Calibri"/>
          <w:szCs w:val="22"/>
        </w:rPr>
        <w:lastRenderedPageBreak/>
        <w:t>For purposes of the Methane Challenge Program, natural gas processing means the separation of natural gas liquids (NGLs) or non-methane gases from produced natural gas, or the separation of NGLs into one or more component mixtures. Separation includes one or more of the following: forced extraction of natural gas liquids, sulfur and carbon dioxide removal, fractionation of NGLs, or the capture of CO2 separated from natural gas streams. This segment also includes all residue gas compression equipment owned or operated by the natural gas processing plant. This industry segment includes processing plants that fractionate gas liquids, and processing plants that do not fractionate gas liquids but have an annual average throughput of 25 MMscf per day or greater.</w:t>
      </w:r>
    </w:p>
    <w:p w:rsidRPr="006331B5" w:rsidR="006956DD" w:rsidP="006956DD" w:rsidRDefault="006956DD" w14:paraId="3BFA9941" w14:textId="77777777">
      <w:pPr>
        <w:rPr>
          <w:rFonts w:ascii="Calibri" w:hAnsi="Calibri" w:eastAsia="Calibri"/>
          <w:szCs w:val="22"/>
        </w:rPr>
      </w:pPr>
      <w:r w:rsidRPr="006331B5">
        <w:rPr>
          <w:rFonts w:ascii="Calibri" w:hAnsi="Calibri" w:eastAsia="Calibri"/>
          <w:szCs w:val="22"/>
        </w:rPr>
        <w:t>A natural gas processing facility for the purposes of reporting under the Methane Challenge is any physical property, plant, building, structure, source, or stationary equipment in the natural gas processing industry segment located on one or more contiguous or adjacent properties in actual physical contact or separated solely by a public roadway or other public right-of-way and under common ownership or common control, that emits or may emit any greenhouse gas. Operators of military installations may classify such installations as more than a single facility based on distinct and independent functional groupings within contiguous military properties.</w:t>
      </w:r>
    </w:p>
    <w:p w:rsidRPr="00BC439C" w:rsidR="006956DD" w:rsidP="00084222" w:rsidRDefault="006956DD" w14:paraId="0D465D65" w14:textId="4F2A2F4C">
      <w:pPr>
        <w:pStyle w:val="Heading2"/>
      </w:pPr>
      <w:bookmarkStart w:name="_Toc428198066" w:id="60"/>
      <w:bookmarkStart w:name="_Toc445292739" w:id="61"/>
      <w:bookmarkStart w:name="_Toc67322598" w:id="62"/>
      <w:r w:rsidRPr="00967548">
        <w:t>N</w:t>
      </w:r>
      <w:r>
        <w:t>atural Gas</w:t>
      </w:r>
      <w:r w:rsidRPr="00967548">
        <w:t xml:space="preserve"> Transmission &amp; Underground Storage</w:t>
      </w:r>
      <w:bookmarkEnd w:id="60"/>
      <w:bookmarkEnd w:id="61"/>
      <w:bookmarkEnd w:id="62"/>
    </w:p>
    <w:p w:rsidR="004D0AC2" w:rsidP="006956DD" w:rsidRDefault="006956DD" w14:paraId="050FA5AB" w14:textId="70D64DC3">
      <w:pPr>
        <w:rPr>
          <w:rFonts w:ascii="Calibri" w:hAnsi="Calibri" w:eastAsia="Calibri"/>
          <w:szCs w:val="22"/>
        </w:rPr>
      </w:pPr>
      <w:r w:rsidRPr="006331B5">
        <w:rPr>
          <w:rFonts w:ascii="Calibri" w:hAnsi="Calibri" w:eastAsia="Calibri"/>
          <w:szCs w:val="22"/>
        </w:rPr>
        <w:t>For purpose</w:t>
      </w:r>
      <w:r>
        <w:rPr>
          <w:rFonts w:ascii="Calibri" w:hAnsi="Calibri" w:eastAsia="Calibri"/>
          <w:szCs w:val="22"/>
        </w:rPr>
        <w:t>s</w:t>
      </w:r>
      <w:r w:rsidRPr="006331B5">
        <w:rPr>
          <w:rFonts w:ascii="Calibri" w:hAnsi="Calibri" w:eastAsia="Calibri"/>
          <w:szCs w:val="22"/>
        </w:rPr>
        <w:t xml:space="preserve"> of the Methane Challenge Program,</w:t>
      </w:r>
      <w:r w:rsidR="004D0AC2">
        <w:rPr>
          <w:rFonts w:ascii="Calibri" w:hAnsi="Calibri" w:eastAsia="Calibri"/>
          <w:szCs w:val="22"/>
        </w:rPr>
        <w:t xml:space="preserve"> BMP option, natural gas transmission compression and natural gas transmission pipelines are both included in the ‘Natural Gas Transmission &amp; Underground Natural Gas Storage’ segmen</w:t>
      </w:r>
      <w:r w:rsidR="007E57F7">
        <w:rPr>
          <w:rFonts w:ascii="Calibri" w:hAnsi="Calibri" w:eastAsia="Calibri"/>
          <w:szCs w:val="22"/>
        </w:rPr>
        <w:t>t.</w:t>
      </w:r>
    </w:p>
    <w:p w:rsidRPr="006331B5" w:rsidR="006956DD" w:rsidP="006956DD" w:rsidRDefault="004D0AC2" w14:paraId="5F79A96E" w14:textId="7ECFD38B">
      <w:pPr>
        <w:rPr>
          <w:rFonts w:ascii="Calibri" w:hAnsi="Calibri" w:eastAsia="Calibri"/>
          <w:szCs w:val="22"/>
        </w:rPr>
      </w:pPr>
      <w:r>
        <w:rPr>
          <w:rFonts w:ascii="Calibri" w:hAnsi="Calibri" w:eastAsia="Calibri"/>
          <w:szCs w:val="22"/>
        </w:rPr>
        <w:t>O</w:t>
      </w:r>
      <w:r w:rsidRPr="006331B5" w:rsidR="006956DD">
        <w:rPr>
          <w:rFonts w:ascii="Calibri" w:hAnsi="Calibri" w:eastAsia="Calibri"/>
          <w:szCs w:val="22"/>
        </w:rPr>
        <w:t>nshore natural gas transmission compression means any stationary combination of compressors that move natural gas from production fields, natural gas processing plants, or other transmission compressors through transmission pipelines to natural gas distribution pipelines, LNG storage facilities, or into underground storage. In addition, a transmission compressor station includes equipment for liquids separation, and tanks for the storage of water and hydrocarbon liquids. Residue (sales) gas compression that is part of onshore natural gas processing plants are included in the onshore natural gas processing segment and are excluded from this segment.</w:t>
      </w:r>
    </w:p>
    <w:p w:rsidRPr="006331B5" w:rsidR="004D0AC2" w:rsidP="004D0AC2" w:rsidRDefault="004D0AC2" w14:paraId="7117E8D4" w14:textId="70D21EB6">
      <w:pPr>
        <w:rPr>
          <w:rFonts w:ascii="Calibri" w:hAnsi="Calibri" w:eastAsia="Calibri"/>
          <w:szCs w:val="22"/>
        </w:rPr>
      </w:pPr>
      <w:r>
        <w:rPr>
          <w:rFonts w:ascii="Calibri" w:hAnsi="Calibri" w:eastAsia="Calibri"/>
          <w:szCs w:val="22"/>
        </w:rPr>
        <w:t>O</w:t>
      </w:r>
      <w:r w:rsidRPr="006331B5">
        <w:rPr>
          <w:rFonts w:ascii="Calibri" w:hAnsi="Calibri" w:eastAsia="Calibri"/>
          <w:szCs w:val="22"/>
        </w:rPr>
        <w:t xml:space="preserve">nshore natural gas transmission pipeline means all natural gas pipelines that are a Federal Energy Regulatory Commission rate-regulated Interstate pipeline, a state rate-regulated Intrastate pipeline, or a pipeline that falls under the “Hinshaw Exemption” as referenced in section 1(c) of the Natural Gas Act, 15 I.S.C. 717-717(w)(1994). </w:t>
      </w:r>
    </w:p>
    <w:p w:rsidRPr="006331B5" w:rsidR="006956DD" w:rsidP="006956DD" w:rsidRDefault="006956DD" w14:paraId="3298EFA8" w14:textId="049AFCBA">
      <w:pPr>
        <w:rPr>
          <w:rFonts w:ascii="Calibri" w:hAnsi="Calibri" w:eastAsia="Calibri"/>
          <w:szCs w:val="22"/>
        </w:rPr>
      </w:pPr>
      <w:r w:rsidRPr="006331B5">
        <w:rPr>
          <w:rFonts w:ascii="Calibri" w:hAnsi="Calibri" w:eastAsia="Calibri"/>
          <w:szCs w:val="22"/>
        </w:rPr>
        <w:t>Underground natural gas storage means subsurface storage, including depleted gas or oil reservoirs and salt dome caverns that store natural gas that has been transferred from its original location for the primary purpose of load balancing (the process of equalizing the receipt and delivery of natural gas); natural gas underground storage processes and operations (including compression, dehydration and flow measurement, and excluding transmission pipelines); and all the wellheads connected to the compression units located at the facility that inject and recover natural gas into and from the underground reservoirs</w:t>
      </w:r>
    </w:p>
    <w:p w:rsidR="004D0AC2" w:rsidP="004D0AC2" w:rsidRDefault="006956DD" w14:paraId="5FD13361" w14:textId="77777777">
      <w:pPr>
        <w:rPr>
          <w:rFonts w:ascii="Calibri" w:hAnsi="Calibri" w:eastAsia="Calibri"/>
          <w:szCs w:val="22"/>
        </w:rPr>
      </w:pPr>
      <w:r w:rsidRPr="006331B5">
        <w:rPr>
          <w:rFonts w:ascii="Calibri" w:hAnsi="Calibri" w:eastAsia="Calibri"/>
          <w:szCs w:val="22"/>
        </w:rPr>
        <w:t xml:space="preserve">A natural gas transmission compression facility or underground natural gas storage facility for the purposes of reporting under the Methane Challenge is any physical property, plant, building, structure, source, or stationary equipment in the natural gas transmission compression industry segment or underground natural gas storage industry segment located on one or more contiguous or adjacent properties in actual physical contact or separated solely by a public roadway or other public right-of-way and under common ownership or common control, that emits or may emit any greenhouse gas. </w:t>
      </w:r>
      <w:r w:rsidRPr="006331B5">
        <w:rPr>
          <w:rFonts w:ascii="Calibri" w:hAnsi="Calibri" w:eastAsia="Calibri"/>
          <w:szCs w:val="22"/>
        </w:rPr>
        <w:lastRenderedPageBreak/>
        <w:t>Operators of military installations may classify such installations as more than a single facility based on distinct and independent functional groupings within contiguous military properties.</w:t>
      </w:r>
    </w:p>
    <w:p w:rsidRPr="006331B5" w:rsidR="004D0AC2" w:rsidP="004D0AC2" w:rsidRDefault="004D0AC2" w14:paraId="5B32836C" w14:textId="2D3EDDD6">
      <w:pPr>
        <w:rPr>
          <w:rFonts w:ascii="Calibri" w:hAnsi="Calibri" w:eastAsia="Calibri"/>
          <w:szCs w:val="22"/>
        </w:rPr>
      </w:pPr>
      <w:r w:rsidRPr="006331B5">
        <w:rPr>
          <w:rFonts w:ascii="Calibri" w:hAnsi="Calibri" w:eastAsia="Calibri"/>
          <w:szCs w:val="22"/>
        </w:rPr>
        <w:t>An onshore natural gas transmission pipeline facility for the purpose of reporting under the Methane Challenge is the total U.S. mileage of natural gas transmission pipelines owned or operated by an onshore natural gas transmission pipeline owner or operator. If an owner or operator has multiple pipelines in the United States, the facility is considered the aggregate of those pipelines, even if they are not interconnected.</w:t>
      </w:r>
    </w:p>
    <w:p w:rsidRPr="006956DD" w:rsidR="006956DD" w:rsidP="00084222" w:rsidRDefault="006956DD" w14:paraId="7321DFFA" w14:textId="7A152AA6">
      <w:pPr>
        <w:pStyle w:val="Heading2"/>
      </w:pPr>
      <w:bookmarkStart w:name="_Toc431980575" w:id="63"/>
      <w:bookmarkStart w:name="_Toc67322599" w:id="64"/>
      <w:r w:rsidRPr="006956DD">
        <w:t>Natural Gas Distribution</w:t>
      </w:r>
      <w:bookmarkEnd w:id="63"/>
      <w:bookmarkEnd w:id="64"/>
      <w:r w:rsidRPr="006956DD">
        <w:t xml:space="preserve"> </w:t>
      </w:r>
    </w:p>
    <w:p w:rsidRPr="006331B5" w:rsidR="006956DD" w:rsidP="006956DD" w:rsidRDefault="006956DD" w14:paraId="759A779F" w14:textId="35CB8704">
      <w:pPr>
        <w:rPr>
          <w:rFonts w:ascii="Calibri" w:hAnsi="Calibri" w:eastAsia="Calibri"/>
          <w:szCs w:val="22"/>
        </w:rPr>
      </w:pPr>
      <w:r w:rsidRPr="006331B5">
        <w:rPr>
          <w:rFonts w:ascii="Calibri" w:hAnsi="Calibri" w:eastAsia="Calibri"/>
          <w:szCs w:val="22"/>
        </w:rPr>
        <w:t>For purposes of the Methane Challenge Program, natural gas distribution means the distribution pipelines and metering and regulating equipment at metering-regulating stations that are operated by a Local Distribution Company (LDC) within a single state that is regulated as a separate operating company by a public utility commission or that is operated as an independent municipally-owned distribution system. This segment excludes customer meters and regulators, infrastructure, and pipelines (both interstate and intrastate) delivering natural gas directly to major industrial users and farm taps upstream of the local distribution company inlet.</w:t>
      </w:r>
    </w:p>
    <w:p w:rsidR="006956DD" w:rsidP="006956DD" w:rsidRDefault="006956DD" w14:paraId="41EC0E11" w14:textId="77777777">
      <w:pPr>
        <w:rPr>
          <w:rFonts w:ascii="Calibri" w:hAnsi="Calibri" w:eastAsia="Calibri"/>
          <w:szCs w:val="22"/>
        </w:rPr>
      </w:pPr>
      <w:r w:rsidRPr="006331B5">
        <w:rPr>
          <w:rFonts w:ascii="Calibri" w:hAnsi="Calibri" w:eastAsia="Calibri"/>
          <w:szCs w:val="22"/>
        </w:rPr>
        <w:t xml:space="preserve">A natural gas distribution facility for the purposes of reporting under the Methane Challenge is the collection of all distribution pipelines and metering-regulating stations that are operated by </w:t>
      </w:r>
      <w:r>
        <w:rPr>
          <w:rFonts w:ascii="Calibri" w:hAnsi="Calibri" w:eastAsia="Calibri"/>
          <w:szCs w:val="22"/>
        </w:rPr>
        <w:t xml:space="preserve">an </w:t>
      </w:r>
      <w:r w:rsidRPr="006331B5">
        <w:rPr>
          <w:rFonts w:ascii="Calibri" w:hAnsi="Calibri" w:eastAsia="Calibri"/>
          <w:szCs w:val="22"/>
        </w:rPr>
        <w:t>LDC within a single state that is regulated as a separate operating company by a public utility commission or that are operated as an independent municipally-owned distribution system.</w:t>
      </w:r>
    </w:p>
    <w:p w:rsidRPr="006331B5" w:rsidR="00FC0EF4" w:rsidP="00740134" w:rsidRDefault="00FC0EF4" w14:paraId="362C34E5" w14:textId="77777777">
      <w:pPr>
        <w:rPr>
          <w:rFonts w:ascii="Calibri" w:hAnsi="Calibri" w:eastAsia="Calibri"/>
          <w:szCs w:val="22"/>
        </w:rPr>
      </w:pPr>
    </w:p>
    <w:sectPr w:rsidRPr="006331B5" w:rsidR="00FC0EF4" w:rsidSect="005C3BB4">
      <w:headerReference w:type="default" r:id="rId17"/>
      <w:footerReference w:type="default" r:id="rId1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8D4145" w14:textId="77777777" w:rsidR="00FA3A65" w:rsidRDefault="00FA3A65" w:rsidP="00E37061">
      <w:r>
        <w:separator/>
      </w:r>
    </w:p>
  </w:endnote>
  <w:endnote w:type="continuationSeparator" w:id="0">
    <w:p w14:paraId="225346F0" w14:textId="77777777" w:rsidR="00FA3A65" w:rsidRDefault="00FA3A65" w:rsidP="00E37061">
      <w:r>
        <w:continuationSeparator/>
      </w:r>
    </w:p>
  </w:endnote>
  <w:endnote w:type="continuationNotice" w:id="1">
    <w:p w14:paraId="5F02EDB4" w14:textId="77777777" w:rsidR="00FA3A65" w:rsidRDefault="00FA3A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3447434"/>
      <w:docPartObj>
        <w:docPartGallery w:val="Page Numbers (Bottom of Page)"/>
        <w:docPartUnique/>
      </w:docPartObj>
    </w:sdtPr>
    <w:sdtEndPr>
      <w:rPr>
        <w:b/>
        <w:noProof/>
        <w:color w:val="ECC331"/>
      </w:rPr>
    </w:sdtEndPr>
    <w:sdtContent>
      <w:p w14:paraId="0F7B2E7A" w14:textId="1201F846" w:rsidR="002E09F6" w:rsidRPr="00B6733B" w:rsidRDefault="00FC3A99" w:rsidP="00B6733B">
        <w:pPr>
          <w:pStyle w:val="Footer"/>
          <w:shd w:val="clear" w:color="auto" w:fill="003366"/>
          <w:jc w:val="right"/>
          <w:rPr>
            <w:b/>
            <w:color w:val="ECC331"/>
          </w:rPr>
        </w:pPr>
        <w:r>
          <w:rPr>
            <w:b/>
            <w:color w:val="F2A900"/>
          </w:rPr>
          <w:fldChar w:fldCharType="begin"/>
        </w:r>
        <w:r>
          <w:rPr>
            <w:b/>
            <w:color w:val="F2A900"/>
          </w:rPr>
          <w:instrText xml:space="preserve"> PAGE   \* MERGEFORMAT </w:instrText>
        </w:r>
        <w:r>
          <w:rPr>
            <w:b/>
            <w:color w:val="F2A900"/>
          </w:rPr>
          <w:fldChar w:fldCharType="separate"/>
        </w:r>
        <w:r>
          <w:rPr>
            <w:b/>
            <w:noProof/>
            <w:color w:val="F2A900"/>
          </w:rPr>
          <w:t>1</w:t>
        </w:r>
        <w:r>
          <w:rPr>
            <w:b/>
            <w:color w:val="F2A900"/>
          </w:rPr>
          <w:fldChar w:fldCharType="end"/>
        </w:r>
      </w:p>
    </w:sdtContent>
  </w:sdt>
  <w:p w14:paraId="78A3B90E" w14:textId="28951D32" w:rsidR="002E09F6" w:rsidRDefault="002E09F6" w:rsidP="0077326C">
    <w:pPr>
      <w:jc w:val="center"/>
    </w:pPr>
    <w:r>
      <w:t>Document last updated 31 March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E2085E" w14:textId="77777777" w:rsidR="00FA3A65" w:rsidRDefault="00FA3A65" w:rsidP="00E37061">
      <w:r>
        <w:separator/>
      </w:r>
    </w:p>
  </w:footnote>
  <w:footnote w:type="continuationSeparator" w:id="0">
    <w:p w14:paraId="2859B99D" w14:textId="77777777" w:rsidR="00FA3A65" w:rsidRDefault="00FA3A65" w:rsidP="00E37061">
      <w:r>
        <w:continuationSeparator/>
      </w:r>
    </w:p>
  </w:footnote>
  <w:footnote w:type="continuationNotice" w:id="1">
    <w:p w14:paraId="503F48F6" w14:textId="77777777" w:rsidR="00FA3A65" w:rsidRDefault="00FA3A65"/>
  </w:footnote>
  <w:footnote w:id="2">
    <w:p w14:paraId="43144EF2" w14:textId="3CE9B0F0" w:rsidR="002E09F6" w:rsidRPr="004F226C" w:rsidRDefault="002E09F6" w:rsidP="00C00708">
      <w:pPr>
        <w:pStyle w:val="FootnoteText"/>
        <w:spacing w:after="0"/>
        <w:rPr>
          <w:sz w:val="19"/>
          <w:szCs w:val="19"/>
        </w:rPr>
      </w:pPr>
      <w:r w:rsidRPr="004F226C">
        <w:rPr>
          <w:rStyle w:val="FootnoteReference"/>
          <w:sz w:val="19"/>
          <w:szCs w:val="19"/>
        </w:rPr>
        <w:footnoteRef/>
      </w:r>
      <w:r w:rsidRPr="004F226C">
        <w:rPr>
          <w:sz w:val="19"/>
          <w:szCs w:val="19"/>
        </w:rPr>
        <w:t xml:space="preserve"> The Methane Challenge Program:  Best Management Practices (BMP) Framework document can be found on the Natural Gas STAR website at </w:t>
      </w:r>
      <w:r w:rsidRPr="004F226C">
        <w:rPr>
          <w:rStyle w:val="Hyperlink"/>
          <w:sz w:val="19"/>
          <w:szCs w:val="19"/>
        </w:rPr>
        <w:t>https://www.epa.gov/natural-gas-star-program/methane-challenge-program-best-management-practice-bmp-commitment-framework</w:t>
      </w:r>
      <w:r w:rsidRPr="004F226C">
        <w:rPr>
          <w:sz w:val="19"/>
          <w:szCs w:val="19"/>
        </w:rPr>
        <w:t>.</w:t>
      </w:r>
    </w:p>
  </w:footnote>
  <w:footnote w:id="3">
    <w:p w14:paraId="5BD251F0" w14:textId="7A6270DB" w:rsidR="002E09F6" w:rsidRPr="004F226C" w:rsidRDefault="002E09F6" w:rsidP="00C00708">
      <w:pPr>
        <w:pStyle w:val="FootnoteText"/>
        <w:spacing w:after="0"/>
        <w:rPr>
          <w:sz w:val="19"/>
          <w:szCs w:val="19"/>
        </w:rPr>
      </w:pPr>
      <w:r w:rsidRPr="004F226C">
        <w:rPr>
          <w:rStyle w:val="FootnoteReference"/>
          <w:sz w:val="19"/>
          <w:szCs w:val="19"/>
        </w:rPr>
        <w:footnoteRef/>
      </w:r>
      <w:r w:rsidRPr="004F226C">
        <w:rPr>
          <w:sz w:val="19"/>
          <w:szCs w:val="19"/>
        </w:rPr>
        <w:t xml:space="preserve"> </w:t>
      </w:r>
      <w:bookmarkStart w:id="8" w:name="_Hlk510520224"/>
      <w:r w:rsidRPr="004F226C">
        <w:rPr>
          <w:sz w:val="19"/>
          <w:szCs w:val="19"/>
        </w:rPr>
        <w:t>In the Methane Challenge module in e-GGRT, the system will auto-generate IDs for all non-GHGRP facilities created by the partner’s Implementation Manager (IM) or the IM’s Delegates.</w:t>
      </w:r>
      <w:bookmarkEnd w:id="8"/>
    </w:p>
  </w:footnote>
  <w:footnote w:id="4">
    <w:p w14:paraId="6F33AD96" w14:textId="08967381" w:rsidR="002E09F6" w:rsidRPr="002D30F2" w:rsidRDefault="002E09F6" w:rsidP="00C00708">
      <w:pPr>
        <w:pStyle w:val="FootnoteText"/>
        <w:spacing w:after="0"/>
      </w:pPr>
      <w:r w:rsidRPr="004F226C">
        <w:rPr>
          <w:rStyle w:val="FootnoteReference"/>
          <w:sz w:val="19"/>
          <w:szCs w:val="19"/>
        </w:rPr>
        <w:footnoteRef/>
      </w:r>
      <w:r w:rsidRPr="004F226C">
        <w:rPr>
          <w:sz w:val="19"/>
          <w:szCs w:val="19"/>
        </w:rPr>
        <w:t xml:space="preserve"> Partners will only provide supplemental data for sources for which they have made commitments.</w:t>
      </w:r>
    </w:p>
  </w:footnote>
  <w:footnote w:id="5">
    <w:p w14:paraId="10A6731D" w14:textId="555B594D" w:rsidR="002E09F6" w:rsidRDefault="002E09F6">
      <w:pPr>
        <w:pStyle w:val="FootnoteText"/>
      </w:pPr>
      <w:r>
        <w:rPr>
          <w:rStyle w:val="FootnoteReference"/>
        </w:rPr>
        <w:footnoteRef/>
      </w:r>
      <w:r>
        <w:t xml:space="preserve"> </w:t>
      </w:r>
      <w:r w:rsidRPr="00FE5033">
        <w:rPr>
          <w:sz w:val="19"/>
          <w:szCs w:val="19"/>
        </w:rPr>
        <w:t>This creates a copy of the Subpart W data in the Methane Challenge reporting module. Methane Challenge reports cannot edit/update data reported to the GHGRP.</w:t>
      </w:r>
    </w:p>
  </w:footnote>
  <w:footnote w:id="6">
    <w:p w14:paraId="65A340B5" w14:textId="25B256D1" w:rsidR="002E09F6" w:rsidRPr="004F226C" w:rsidRDefault="002E09F6" w:rsidP="00343B81">
      <w:pPr>
        <w:pStyle w:val="FootnoteText"/>
        <w:rPr>
          <w:sz w:val="19"/>
          <w:szCs w:val="19"/>
        </w:rPr>
      </w:pPr>
      <w:r w:rsidRPr="004F226C">
        <w:rPr>
          <w:rStyle w:val="FootnoteReference"/>
          <w:sz w:val="19"/>
          <w:szCs w:val="19"/>
        </w:rPr>
        <w:footnoteRef/>
      </w:r>
      <w:r w:rsidRPr="004F226C">
        <w:rPr>
          <w:sz w:val="19"/>
          <w:szCs w:val="19"/>
        </w:rPr>
        <w:t xml:space="preserve"> </w:t>
      </w:r>
      <w:r>
        <w:rPr>
          <w:sz w:val="19"/>
          <w:szCs w:val="19"/>
        </w:rPr>
        <w:t>The program only uses non-confidential data from Subpart W; additionally, a</w:t>
      </w:r>
      <w:r w:rsidRPr="004F226C">
        <w:rPr>
          <w:sz w:val="19"/>
          <w:szCs w:val="19"/>
        </w:rPr>
        <w:t xml:space="preserve">ll Methane Challenge supplemental data must be non-confidential. </w:t>
      </w:r>
    </w:p>
  </w:footnote>
  <w:footnote w:id="7">
    <w:p w14:paraId="7844761B" w14:textId="15E8D2B1" w:rsidR="002E09F6" w:rsidRPr="004F226C" w:rsidRDefault="002E09F6" w:rsidP="004F226C">
      <w:pPr>
        <w:pStyle w:val="FootnoteText"/>
        <w:spacing w:after="0"/>
        <w:rPr>
          <w:sz w:val="19"/>
          <w:szCs w:val="19"/>
        </w:rPr>
      </w:pPr>
      <w:r w:rsidRPr="004F226C">
        <w:rPr>
          <w:rStyle w:val="FootnoteReference"/>
          <w:sz w:val="19"/>
          <w:szCs w:val="19"/>
        </w:rPr>
        <w:footnoteRef/>
      </w:r>
      <w:r w:rsidRPr="004F226C">
        <w:rPr>
          <w:sz w:val="19"/>
          <w:szCs w:val="19"/>
        </w:rPr>
        <w:t xml:space="preserve"> Pneumatic device data for onshore production and gathering and boosting facilities </w:t>
      </w:r>
      <w:r>
        <w:rPr>
          <w:sz w:val="19"/>
          <w:szCs w:val="19"/>
        </w:rPr>
        <w:t>are</w:t>
      </w:r>
      <w:r w:rsidRPr="004F226C">
        <w:rPr>
          <w:sz w:val="19"/>
          <w:szCs w:val="19"/>
        </w:rPr>
        <w:t xml:space="preserve"> aggregated at the basin level for reporting under </w:t>
      </w:r>
      <w:r>
        <w:rPr>
          <w:sz w:val="19"/>
          <w:szCs w:val="19"/>
        </w:rPr>
        <w:t>S</w:t>
      </w:r>
      <w:r w:rsidRPr="004F226C">
        <w:rPr>
          <w:sz w:val="19"/>
          <w:szCs w:val="19"/>
        </w:rPr>
        <w:t>ubpart W, which is equivalent to reporting at the facility level. Data for the transmission compression and underground storage industry segments are aggregated at the facility level.</w:t>
      </w:r>
    </w:p>
  </w:footnote>
  <w:footnote w:id="8">
    <w:p w14:paraId="7573D747" w14:textId="77777777" w:rsidR="002E09F6" w:rsidRPr="004F226C" w:rsidRDefault="002E09F6" w:rsidP="004F226C">
      <w:pPr>
        <w:pStyle w:val="FootnoteText"/>
        <w:spacing w:after="0"/>
        <w:rPr>
          <w:sz w:val="19"/>
          <w:szCs w:val="19"/>
        </w:rPr>
      </w:pPr>
      <w:r w:rsidRPr="004F226C">
        <w:rPr>
          <w:rStyle w:val="FootnoteReference"/>
          <w:sz w:val="19"/>
          <w:szCs w:val="19"/>
        </w:rPr>
        <w:footnoteRef/>
      </w:r>
      <w:r w:rsidRPr="004F226C">
        <w:rPr>
          <w:sz w:val="19"/>
          <w:szCs w:val="19"/>
        </w:rPr>
        <w:t xml:space="preserve"> 40 CFR 98.233(a)</w:t>
      </w:r>
    </w:p>
  </w:footnote>
  <w:footnote w:id="9">
    <w:p w14:paraId="7816A72A" w14:textId="77777777" w:rsidR="002E09F6" w:rsidRPr="00961270" w:rsidRDefault="002E09F6" w:rsidP="004F226C">
      <w:pPr>
        <w:pStyle w:val="FootnoteText"/>
        <w:spacing w:after="0"/>
        <w:rPr>
          <w:sz w:val="18"/>
          <w:szCs w:val="18"/>
        </w:rPr>
      </w:pPr>
      <w:r w:rsidRPr="004F226C">
        <w:rPr>
          <w:rStyle w:val="FootnoteReference"/>
          <w:sz w:val="19"/>
          <w:szCs w:val="19"/>
        </w:rPr>
        <w:footnoteRef/>
      </w:r>
      <w:r w:rsidRPr="004F226C">
        <w:rPr>
          <w:sz w:val="19"/>
          <w:szCs w:val="19"/>
        </w:rPr>
        <w:t xml:space="preserve"> This source is equivalent to GHGRP “pneumatic devices”</w:t>
      </w:r>
    </w:p>
  </w:footnote>
  <w:footnote w:id="10">
    <w:p w14:paraId="1817F783" w14:textId="77777777" w:rsidR="002E09F6" w:rsidRPr="004F226C" w:rsidRDefault="002E09F6" w:rsidP="004F226C">
      <w:pPr>
        <w:pStyle w:val="FootnoteText"/>
        <w:spacing w:after="0"/>
        <w:rPr>
          <w:sz w:val="19"/>
          <w:szCs w:val="19"/>
        </w:rPr>
      </w:pPr>
      <w:r w:rsidRPr="004F226C">
        <w:rPr>
          <w:rStyle w:val="FootnoteReference"/>
          <w:sz w:val="19"/>
          <w:szCs w:val="19"/>
        </w:rPr>
        <w:footnoteRef/>
      </w:r>
      <w:r w:rsidRPr="004F226C">
        <w:rPr>
          <w:sz w:val="19"/>
          <w:szCs w:val="19"/>
        </w:rPr>
        <w:t xml:space="preserve"> 40 CFR 98.233(a) </w:t>
      </w:r>
    </w:p>
  </w:footnote>
  <w:footnote w:id="11">
    <w:p w14:paraId="6A7F1CCD" w14:textId="77777777" w:rsidR="002E09F6" w:rsidRPr="004F226C" w:rsidRDefault="002E09F6" w:rsidP="004F226C">
      <w:pPr>
        <w:pStyle w:val="FootnoteText"/>
        <w:spacing w:after="0"/>
        <w:rPr>
          <w:sz w:val="19"/>
          <w:szCs w:val="19"/>
        </w:rPr>
      </w:pPr>
      <w:r w:rsidRPr="004F226C">
        <w:rPr>
          <w:rStyle w:val="FootnoteReference"/>
          <w:sz w:val="19"/>
          <w:szCs w:val="19"/>
        </w:rPr>
        <w:footnoteRef/>
      </w:r>
      <w:r w:rsidRPr="004F226C">
        <w:rPr>
          <w:sz w:val="19"/>
          <w:szCs w:val="19"/>
        </w:rPr>
        <w:t xml:space="preserve"> This source is equivalent to GHGRP “pneumatic devices”</w:t>
      </w:r>
    </w:p>
  </w:footnote>
  <w:footnote w:id="12">
    <w:p w14:paraId="2980D7DD" w14:textId="77777777" w:rsidR="002E09F6" w:rsidRPr="00961270" w:rsidRDefault="002E09F6" w:rsidP="004F226C">
      <w:pPr>
        <w:pStyle w:val="FootnoteText"/>
        <w:spacing w:after="0"/>
        <w:rPr>
          <w:sz w:val="18"/>
          <w:szCs w:val="18"/>
        </w:rPr>
      </w:pPr>
      <w:r w:rsidRPr="004F226C">
        <w:rPr>
          <w:rStyle w:val="FootnoteReference"/>
          <w:sz w:val="19"/>
          <w:szCs w:val="19"/>
        </w:rPr>
        <w:footnoteRef/>
      </w:r>
      <w:r w:rsidRPr="004F226C">
        <w:rPr>
          <w:sz w:val="19"/>
          <w:szCs w:val="19"/>
        </w:rPr>
        <w:t xml:space="preserve"> As calculated per the specified emission quantification methodologies for each source.</w:t>
      </w:r>
      <w:r w:rsidRPr="00961270">
        <w:rPr>
          <w:sz w:val="18"/>
          <w:szCs w:val="18"/>
        </w:rPr>
        <w:t xml:space="preserve"> </w:t>
      </w:r>
    </w:p>
  </w:footnote>
  <w:footnote w:id="13">
    <w:p w14:paraId="61A7E6FE" w14:textId="77777777" w:rsidR="002E09F6" w:rsidRPr="004F226C" w:rsidRDefault="002E09F6" w:rsidP="004F226C">
      <w:pPr>
        <w:pStyle w:val="FootnoteText"/>
        <w:spacing w:after="0"/>
        <w:rPr>
          <w:sz w:val="19"/>
          <w:szCs w:val="19"/>
        </w:rPr>
      </w:pPr>
      <w:r w:rsidRPr="004F226C">
        <w:rPr>
          <w:rStyle w:val="FootnoteReference"/>
          <w:sz w:val="19"/>
          <w:szCs w:val="19"/>
        </w:rPr>
        <w:footnoteRef/>
      </w:r>
      <w:r w:rsidRPr="004F226C">
        <w:rPr>
          <w:sz w:val="19"/>
          <w:szCs w:val="19"/>
        </w:rPr>
        <w:t xml:space="preserve"> Beneficial use means routing natural gas for use such that the gas is not vented to the atmosphere or flared. This includes natural gas reinjection, electricity generation, natural gas liquefaction, and natural gas sales.</w:t>
      </w:r>
    </w:p>
  </w:footnote>
  <w:footnote w:id="14">
    <w:p w14:paraId="015584C8" w14:textId="77777777" w:rsidR="002E09F6" w:rsidRPr="004F226C" w:rsidRDefault="002E09F6" w:rsidP="004F226C">
      <w:pPr>
        <w:pStyle w:val="FootnoteText"/>
        <w:spacing w:after="0"/>
        <w:rPr>
          <w:sz w:val="19"/>
          <w:szCs w:val="19"/>
        </w:rPr>
      </w:pPr>
      <w:r w:rsidRPr="004F226C">
        <w:rPr>
          <w:rStyle w:val="FootnoteReference"/>
          <w:sz w:val="19"/>
          <w:szCs w:val="19"/>
        </w:rPr>
        <w:footnoteRef/>
      </w:r>
      <w:r w:rsidRPr="004F226C">
        <w:rPr>
          <w:sz w:val="19"/>
          <w:szCs w:val="19"/>
        </w:rPr>
        <w:t xml:space="preserve"> May be used in conjunction with a vapor recovery tower. </w:t>
      </w:r>
    </w:p>
  </w:footnote>
  <w:footnote w:id="15">
    <w:p w14:paraId="48D38C5A" w14:textId="77777777" w:rsidR="002E09F6" w:rsidRPr="004F226C" w:rsidRDefault="002E09F6" w:rsidP="004F226C">
      <w:pPr>
        <w:pStyle w:val="FootnoteText"/>
        <w:spacing w:after="0"/>
        <w:rPr>
          <w:sz w:val="19"/>
          <w:szCs w:val="19"/>
        </w:rPr>
      </w:pPr>
      <w:r w:rsidRPr="004F226C">
        <w:rPr>
          <w:rStyle w:val="FootnoteReference"/>
          <w:sz w:val="19"/>
          <w:szCs w:val="19"/>
        </w:rPr>
        <w:footnoteRef/>
      </w:r>
      <w:r w:rsidRPr="004F226C">
        <w:rPr>
          <w:sz w:val="19"/>
          <w:szCs w:val="19"/>
        </w:rPr>
        <w:t xml:space="preserve"> Control device means any equipment used for oxidizing methane vapors. Such equipment includes, but is not limited to, enclosed combustion devices, flares, boilers, and process heaters.</w:t>
      </w:r>
    </w:p>
  </w:footnote>
  <w:footnote w:id="16">
    <w:p w14:paraId="76BC2C2A" w14:textId="2371C45B" w:rsidR="002E09F6" w:rsidRPr="004F226C" w:rsidRDefault="002E09F6" w:rsidP="004F226C">
      <w:pPr>
        <w:pStyle w:val="FootnoteText"/>
        <w:spacing w:after="0"/>
        <w:rPr>
          <w:sz w:val="19"/>
          <w:szCs w:val="19"/>
        </w:rPr>
      </w:pPr>
      <w:r w:rsidRPr="004F226C">
        <w:rPr>
          <w:rStyle w:val="FootnoteReference"/>
          <w:sz w:val="19"/>
          <w:szCs w:val="19"/>
        </w:rPr>
        <w:footnoteRef/>
      </w:r>
      <w:r w:rsidRPr="004F226C">
        <w:rPr>
          <w:sz w:val="19"/>
          <w:szCs w:val="19"/>
        </w:rPr>
        <w:t xml:space="preserve"> For reporting under </w:t>
      </w:r>
      <w:r>
        <w:rPr>
          <w:sz w:val="19"/>
          <w:szCs w:val="19"/>
        </w:rPr>
        <w:t>S</w:t>
      </w:r>
      <w:r w:rsidRPr="004F226C">
        <w:rPr>
          <w:sz w:val="19"/>
          <w:szCs w:val="19"/>
        </w:rPr>
        <w:t>ubpart W, atmospheric tank counts and emissions data are aggregated at the sub-basin level for onshore production facilities, and at the county level for onshore gathering and boosting facilities.</w:t>
      </w:r>
    </w:p>
  </w:footnote>
  <w:footnote w:id="17">
    <w:p w14:paraId="5BD3048D" w14:textId="77777777" w:rsidR="002E09F6" w:rsidRDefault="002E09F6" w:rsidP="004F226C">
      <w:pPr>
        <w:pStyle w:val="FootnoteText"/>
        <w:spacing w:after="0"/>
      </w:pPr>
      <w:r w:rsidRPr="004F226C">
        <w:rPr>
          <w:rStyle w:val="FootnoteReference"/>
          <w:sz w:val="19"/>
          <w:szCs w:val="19"/>
        </w:rPr>
        <w:footnoteRef/>
      </w:r>
      <w:r w:rsidRPr="004F226C">
        <w:rPr>
          <w:sz w:val="19"/>
          <w:szCs w:val="19"/>
        </w:rPr>
        <w:t xml:space="preserve"> 40 CFR 98.233(j)(1); 40 CFR 98.233(j)(2)</w:t>
      </w:r>
    </w:p>
  </w:footnote>
  <w:footnote w:id="18">
    <w:p w14:paraId="296A6C38" w14:textId="77777777" w:rsidR="002E09F6" w:rsidRPr="004F226C" w:rsidRDefault="002E09F6" w:rsidP="004F226C">
      <w:pPr>
        <w:pStyle w:val="FootnoteText"/>
        <w:spacing w:after="0"/>
        <w:rPr>
          <w:sz w:val="19"/>
          <w:szCs w:val="19"/>
        </w:rPr>
      </w:pPr>
      <w:r w:rsidRPr="004F226C">
        <w:rPr>
          <w:rStyle w:val="FootnoteReference"/>
          <w:sz w:val="19"/>
          <w:szCs w:val="19"/>
        </w:rPr>
        <w:footnoteRef/>
      </w:r>
      <w:r w:rsidRPr="004F226C">
        <w:rPr>
          <w:sz w:val="19"/>
          <w:szCs w:val="19"/>
        </w:rPr>
        <w:t xml:space="preserve"> 40 CFR 98.233(j)(3)</w:t>
      </w:r>
    </w:p>
  </w:footnote>
  <w:footnote w:id="19">
    <w:p w14:paraId="59E9A524" w14:textId="77777777" w:rsidR="002E09F6" w:rsidRDefault="002E09F6" w:rsidP="004F226C">
      <w:pPr>
        <w:pStyle w:val="FootnoteText"/>
        <w:spacing w:after="0"/>
      </w:pPr>
      <w:r w:rsidRPr="004F226C">
        <w:rPr>
          <w:rStyle w:val="FootnoteReference"/>
          <w:sz w:val="19"/>
          <w:szCs w:val="19"/>
        </w:rPr>
        <w:footnoteRef/>
      </w:r>
      <w:r w:rsidRPr="004F226C">
        <w:rPr>
          <w:sz w:val="19"/>
          <w:szCs w:val="19"/>
        </w:rPr>
        <w:t xml:space="preserve"> As calculated per the specified emission quantification methodologies for each source.</w:t>
      </w:r>
    </w:p>
  </w:footnote>
  <w:footnote w:id="20">
    <w:p w14:paraId="53DB5937" w14:textId="77777777" w:rsidR="002E09F6" w:rsidRPr="005C7CC9" w:rsidRDefault="002E09F6" w:rsidP="00131EFF">
      <w:pPr>
        <w:pStyle w:val="FootnoteText"/>
      </w:pPr>
      <w:r w:rsidRPr="005C7CC9">
        <w:rPr>
          <w:rStyle w:val="FootnoteReference"/>
        </w:rPr>
        <w:footnoteRef/>
      </w:r>
      <w:r w:rsidRPr="005C7CC9">
        <w:t xml:space="preserve"> Control device means any equipment used for oxidizing methane vapors. Such equipment includes, but is not limited to, enclosed combustion devices, flares, boilers, and process heaters.</w:t>
      </w:r>
    </w:p>
  </w:footnote>
  <w:footnote w:id="21">
    <w:p w14:paraId="20FA761D" w14:textId="77777777" w:rsidR="002E09F6" w:rsidRPr="005C7CC9" w:rsidRDefault="002E09F6" w:rsidP="00131EFF">
      <w:pPr>
        <w:pStyle w:val="FootnoteText"/>
      </w:pPr>
      <w:r w:rsidRPr="005C7CC9">
        <w:rPr>
          <w:rStyle w:val="FootnoteReference"/>
        </w:rPr>
        <w:footnoteRef/>
      </w:r>
      <w:r w:rsidRPr="005C7CC9">
        <w:t xml:space="preserve"> Wet seals on centrifugal compressors and rod packing on reciprocating compressors are outside of the scope of this commitment and will not be included in the reporting requirements for this commitment.</w:t>
      </w:r>
    </w:p>
  </w:footnote>
  <w:footnote w:id="22">
    <w:p w14:paraId="4391F5ED" w14:textId="77777777" w:rsidR="002E09F6" w:rsidRDefault="002E09F6" w:rsidP="00131EFF">
      <w:pPr>
        <w:pStyle w:val="FootnoteText"/>
      </w:pPr>
      <w:r>
        <w:rPr>
          <w:rStyle w:val="FootnoteReference"/>
        </w:rPr>
        <w:footnoteRef/>
      </w:r>
      <w:r>
        <w:t xml:space="preserve"> “Enhanced” maintenance refers to a data-driven approach that uses measurement to target certain valves for maintenance and will likely go beyond “recommended” maintenance.</w:t>
      </w:r>
    </w:p>
  </w:footnote>
  <w:footnote w:id="23">
    <w:p w14:paraId="65EB4FB3" w14:textId="77777777" w:rsidR="002E09F6" w:rsidRDefault="002E09F6" w:rsidP="00C76707">
      <w:pPr>
        <w:pStyle w:val="FootnoteText"/>
        <w:spacing w:after="0"/>
      </w:pPr>
      <w:r w:rsidRPr="005C7CC9">
        <w:rPr>
          <w:rStyle w:val="FootnoteReference"/>
        </w:rPr>
        <w:footnoteRef/>
      </w:r>
      <w:r w:rsidRPr="005C7CC9">
        <w:t xml:space="preserve"> </w:t>
      </w:r>
      <w:r>
        <w:t xml:space="preserve">Reciprocating: </w:t>
      </w:r>
      <w:r w:rsidRPr="005C7CC9">
        <w:t>40 CFR 98.233(p)</w:t>
      </w:r>
      <w:r>
        <w:t xml:space="preserve">(1)(i),(p)(1)(iii), (p)(2),(p)(4),(p)(6),(p)(8),(p)(11); </w:t>
      </w:r>
    </w:p>
    <w:p w14:paraId="031155D8" w14:textId="20A20D2B" w:rsidR="002E09F6" w:rsidRPr="005C7CC9" w:rsidRDefault="002E09F6" w:rsidP="0072784D">
      <w:pPr>
        <w:pStyle w:val="FootnoteText"/>
        <w:spacing w:after="0"/>
      </w:pPr>
      <w:r>
        <w:t xml:space="preserve">Centrifugal: </w:t>
      </w:r>
      <w:r w:rsidRPr="004F226C">
        <w:rPr>
          <w:sz w:val="19"/>
          <w:szCs w:val="19"/>
        </w:rPr>
        <w:t>40 CFR 98.233(o)</w:t>
      </w:r>
      <w:r>
        <w:rPr>
          <w:sz w:val="19"/>
          <w:szCs w:val="19"/>
        </w:rPr>
        <w:t xml:space="preserve">(1)(i)(1)(iii),(o)(2),(o)(4),(o)(6),(o)(8),(o)(11)  </w:t>
      </w:r>
    </w:p>
  </w:footnote>
  <w:footnote w:id="24">
    <w:p w14:paraId="1EF46AF3" w14:textId="77777777" w:rsidR="002E09F6" w:rsidRDefault="002E09F6" w:rsidP="00C76707">
      <w:pPr>
        <w:pStyle w:val="FootnoteText"/>
        <w:spacing w:after="0"/>
      </w:pPr>
      <w:r w:rsidRPr="005C7CC9">
        <w:rPr>
          <w:rStyle w:val="FootnoteReference"/>
        </w:rPr>
        <w:footnoteRef/>
      </w:r>
      <w:r w:rsidRPr="005C7CC9">
        <w:t xml:space="preserve"> </w:t>
      </w:r>
      <w:r>
        <w:t xml:space="preserve">Reciprocating: </w:t>
      </w:r>
      <w:r w:rsidRPr="005C7CC9">
        <w:t>40 CFR 98.233(p)</w:t>
      </w:r>
      <w:r>
        <w:t xml:space="preserve">(1)(ii),(p)(1)(iv),(p)(3),(p)(5),(p)(7),(p)(9),(p)(11); </w:t>
      </w:r>
    </w:p>
    <w:p w14:paraId="2A1C1B75" w14:textId="533509EC" w:rsidR="002E09F6" w:rsidRPr="005C7CC9" w:rsidRDefault="002E09F6" w:rsidP="0072784D">
      <w:pPr>
        <w:pStyle w:val="FootnoteText"/>
        <w:spacing w:after="0"/>
      </w:pPr>
      <w:r>
        <w:t xml:space="preserve">Centrifugal: </w:t>
      </w:r>
      <w:r w:rsidRPr="004F226C">
        <w:rPr>
          <w:sz w:val="19"/>
          <w:szCs w:val="19"/>
        </w:rPr>
        <w:t>40 CFR 98.233(o)</w:t>
      </w:r>
      <w:r>
        <w:rPr>
          <w:sz w:val="19"/>
          <w:szCs w:val="19"/>
        </w:rPr>
        <w:t>(1)(ii),(o)(1)(iv),</w:t>
      </w:r>
      <w:r w:rsidRPr="004F226C">
        <w:rPr>
          <w:sz w:val="19"/>
          <w:szCs w:val="19"/>
        </w:rPr>
        <w:t>(o)</w:t>
      </w:r>
      <w:r>
        <w:rPr>
          <w:sz w:val="19"/>
          <w:szCs w:val="19"/>
        </w:rPr>
        <w:t xml:space="preserve">(3),(o)(5),(o)(7),(o)(9),(o)(11)  </w:t>
      </w:r>
    </w:p>
  </w:footnote>
  <w:footnote w:id="25">
    <w:p w14:paraId="51945233" w14:textId="77777777" w:rsidR="002E09F6" w:rsidRPr="005C7CC9" w:rsidRDefault="002E09F6" w:rsidP="0072784D">
      <w:pPr>
        <w:pStyle w:val="FootnoteText"/>
        <w:spacing w:after="0"/>
      </w:pPr>
      <w:r w:rsidRPr="005C7CC9">
        <w:rPr>
          <w:rStyle w:val="FootnoteReference"/>
        </w:rPr>
        <w:footnoteRef/>
      </w:r>
      <w:r w:rsidRPr="005C7CC9">
        <w:t xml:space="preserve"> Under this Methane Challenge commitment, partners should report measurements from all surveys conducted during the calendar year. The reporting form will be set up to accommodate this.</w:t>
      </w:r>
    </w:p>
  </w:footnote>
  <w:footnote w:id="26">
    <w:p w14:paraId="33A3E629" w14:textId="4FD060C9" w:rsidR="002E09F6" w:rsidRPr="00C76707" w:rsidRDefault="002E09F6" w:rsidP="0072784D">
      <w:pPr>
        <w:pStyle w:val="FootnoteText"/>
        <w:spacing w:after="0"/>
      </w:pPr>
      <w:r w:rsidRPr="005C7CC9">
        <w:rPr>
          <w:rStyle w:val="FootnoteReference"/>
        </w:rPr>
        <w:footnoteRef/>
      </w:r>
      <w:r w:rsidRPr="005C7CC9">
        <w:t xml:space="preserve"> </w:t>
      </w:r>
      <w:r>
        <w:t>For reciprocating compressors, t</w:t>
      </w:r>
      <w:r w:rsidRPr="005C7CC9">
        <w:t xml:space="preserve">he site-specific emissions factor approach is used </w:t>
      </w:r>
      <w:r>
        <w:t xml:space="preserve">for blowdown valves </w:t>
      </w:r>
      <w:r w:rsidRPr="005C7CC9">
        <w:t>when an as found measurement is not conducted in operating mode</w:t>
      </w:r>
      <w:r>
        <w:t xml:space="preserve"> or stand-by pressurized mode and for isolation valves when </w:t>
      </w:r>
      <w:r w:rsidRPr="005C7CC9">
        <w:t xml:space="preserve">an as found measurement is not conducted in </w:t>
      </w:r>
      <w:r>
        <w:t>not-</w:t>
      </w:r>
      <w:r w:rsidRPr="005C7CC9">
        <w:t>operating</w:t>
      </w:r>
      <w:r>
        <w:t xml:space="preserve"> depressurized</w:t>
      </w:r>
      <w:r w:rsidRPr="005C7CC9">
        <w:t xml:space="preserve"> mode</w:t>
      </w:r>
      <w:r>
        <w:t xml:space="preserve">. </w:t>
      </w:r>
      <w:r w:rsidRPr="005C7CC9">
        <w:t xml:space="preserve">The site-specific emissions factor is developed from </w:t>
      </w:r>
      <w:r>
        <w:t>applicable</w:t>
      </w:r>
      <w:r w:rsidRPr="005C7CC9">
        <w:t xml:space="preserve"> measurements from other compressors during the same year and the 2 previous years. 40 CFR</w:t>
      </w:r>
      <w:r>
        <w:t xml:space="preserve"> 98.233(p)(6)(iii) and (iv)</w:t>
      </w:r>
      <w:r w:rsidRPr="005C7CC9">
        <w:t>.</w:t>
      </w:r>
      <w:r>
        <w:t xml:space="preserve"> </w:t>
      </w:r>
    </w:p>
  </w:footnote>
  <w:footnote w:id="27">
    <w:p w14:paraId="2D424065" w14:textId="67BFA6C1" w:rsidR="002E09F6" w:rsidRDefault="002E09F6" w:rsidP="0072784D">
      <w:pPr>
        <w:pStyle w:val="FootnoteText"/>
        <w:spacing w:after="0"/>
      </w:pPr>
      <w:r>
        <w:rPr>
          <w:rStyle w:val="FootnoteReference"/>
        </w:rPr>
        <w:footnoteRef/>
      </w:r>
      <w:r>
        <w:t xml:space="preserve"> </w:t>
      </w:r>
      <w:r>
        <w:rPr>
          <w:sz w:val="19"/>
          <w:szCs w:val="19"/>
        </w:rPr>
        <w:t>For centrifugal compressors, t</w:t>
      </w:r>
      <w:r w:rsidRPr="004F226C">
        <w:rPr>
          <w:sz w:val="19"/>
          <w:szCs w:val="19"/>
        </w:rPr>
        <w:t xml:space="preserve">he site-specific emissions factor approach is used </w:t>
      </w:r>
      <w:r>
        <w:t xml:space="preserve">for blowdown valves </w:t>
      </w:r>
      <w:r w:rsidRPr="005C7CC9">
        <w:t>when an as found measurement is not conducted in operating mode</w:t>
      </w:r>
      <w:r>
        <w:t xml:space="preserve"> and for isolation valves when </w:t>
      </w:r>
      <w:r w:rsidRPr="005C7CC9">
        <w:t xml:space="preserve">an as found measurement is not conducted in </w:t>
      </w:r>
      <w:r>
        <w:t>not-</w:t>
      </w:r>
      <w:r w:rsidRPr="005C7CC9">
        <w:t>operating</w:t>
      </w:r>
      <w:r>
        <w:t xml:space="preserve"> </w:t>
      </w:r>
      <w:r w:rsidRPr="005C7CC9">
        <w:t>mode</w:t>
      </w:r>
      <w:r>
        <w:t xml:space="preserve">. </w:t>
      </w:r>
      <w:r w:rsidRPr="004F226C">
        <w:rPr>
          <w:sz w:val="19"/>
          <w:szCs w:val="19"/>
        </w:rPr>
        <w:t xml:space="preserve">The site-specific emissions factor is developed from </w:t>
      </w:r>
      <w:r>
        <w:rPr>
          <w:sz w:val="19"/>
          <w:szCs w:val="19"/>
        </w:rPr>
        <w:t>applicable measurements</w:t>
      </w:r>
      <w:r w:rsidRPr="004F226C">
        <w:rPr>
          <w:sz w:val="19"/>
          <w:szCs w:val="19"/>
        </w:rPr>
        <w:t xml:space="preserve"> from other compressors during the same year and the 2 previous years. 40 CFR</w:t>
      </w:r>
      <w:r>
        <w:rPr>
          <w:sz w:val="19"/>
          <w:szCs w:val="19"/>
        </w:rPr>
        <w:t xml:space="preserve"> </w:t>
      </w:r>
      <w:r w:rsidRPr="00F34246">
        <w:t>98.233(o)(6)(iii) and (iv)</w:t>
      </w:r>
      <w:r>
        <w:rPr>
          <w:sz w:val="19"/>
          <w:szCs w:val="19"/>
        </w:rPr>
        <w:t>.</w:t>
      </w:r>
    </w:p>
  </w:footnote>
  <w:footnote w:id="28">
    <w:p w14:paraId="2EDBCB82" w14:textId="6537942B" w:rsidR="002E09F6" w:rsidRDefault="002E09F6" w:rsidP="0072784D">
      <w:pPr>
        <w:pStyle w:val="FootnoteText"/>
        <w:spacing w:after="0"/>
      </w:pPr>
      <w:r>
        <w:rPr>
          <w:rStyle w:val="FootnoteReference"/>
        </w:rPr>
        <w:footnoteRef/>
      </w:r>
      <w:r>
        <w:t xml:space="preserve"> As detailed in the continuous improvement document for this source, partners are encouraged to work up to a biannual (or more frequent) survey, timing the surveys so both the isolation and blowdown valve can be surveyed on each unit, each year.</w:t>
      </w:r>
      <w:r w:rsidRPr="0072784D">
        <w:t xml:space="preserve"> </w:t>
      </w:r>
      <w:r>
        <w:t xml:space="preserve"> </w:t>
      </w:r>
      <w:r w:rsidRPr="0072784D">
        <w:t>https://www.epa.gov/sites/production/files/2020-07/documents/mc_ci_equipleaks-compvalves_techdoc_final.pdf</w:t>
      </w:r>
    </w:p>
  </w:footnote>
  <w:footnote w:id="29">
    <w:p w14:paraId="5BD95BE8" w14:textId="77777777" w:rsidR="002E09F6" w:rsidRPr="005C7CC9" w:rsidRDefault="002E09F6" w:rsidP="00131EFF">
      <w:pPr>
        <w:pStyle w:val="FootnoteText"/>
      </w:pPr>
      <w:r w:rsidRPr="005C7CC9">
        <w:rPr>
          <w:rStyle w:val="FootnoteReference"/>
        </w:rPr>
        <w:footnoteRef/>
      </w:r>
      <w:r w:rsidRPr="005C7CC9">
        <w:t xml:space="preserve"> This should be calculated on a compressor-by-compressor basis, subtracting emissions after mitigation from emissions before mitigation. Emissions after mitigation should be measured within 90 days of implementing the mitigation action.</w:t>
      </w:r>
    </w:p>
  </w:footnote>
  <w:footnote w:id="30">
    <w:p w14:paraId="28262D5E" w14:textId="77777777" w:rsidR="002E09F6" w:rsidRPr="004F226C" w:rsidRDefault="002E09F6" w:rsidP="004F226C">
      <w:pPr>
        <w:pStyle w:val="FootnoteText"/>
        <w:spacing w:after="0"/>
        <w:rPr>
          <w:sz w:val="19"/>
          <w:szCs w:val="19"/>
        </w:rPr>
      </w:pPr>
      <w:r w:rsidRPr="004F226C">
        <w:rPr>
          <w:rStyle w:val="FootnoteReference"/>
          <w:sz w:val="19"/>
          <w:szCs w:val="19"/>
        </w:rPr>
        <w:footnoteRef/>
      </w:r>
      <w:r w:rsidRPr="004F226C">
        <w:rPr>
          <w:sz w:val="19"/>
          <w:szCs w:val="19"/>
        </w:rPr>
        <w:t xml:space="preserve"> Control device means any equipment used for oxidizing methane vapors. Such equipment includes, but is not limited to, enclosed combustion devices, flares, boilers, and process heaters.</w:t>
      </w:r>
    </w:p>
  </w:footnote>
  <w:footnote w:id="31">
    <w:p w14:paraId="5BA7362E" w14:textId="77777777" w:rsidR="002E09F6" w:rsidRPr="00961270" w:rsidRDefault="002E09F6" w:rsidP="004F226C">
      <w:pPr>
        <w:pStyle w:val="FootnoteText"/>
        <w:spacing w:after="0"/>
        <w:rPr>
          <w:sz w:val="18"/>
          <w:szCs w:val="18"/>
        </w:rPr>
      </w:pPr>
      <w:r w:rsidRPr="004F226C">
        <w:rPr>
          <w:rStyle w:val="FootnoteReference"/>
          <w:sz w:val="19"/>
          <w:szCs w:val="19"/>
        </w:rPr>
        <w:footnoteRef/>
      </w:r>
      <w:r w:rsidRPr="004F226C">
        <w:rPr>
          <w:sz w:val="19"/>
          <w:szCs w:val="19"/>
        </w:rPr>
        <w:t xml:space="preserve"> 40 CFR 98.233(p)(10)</w:t>
      </w:r>
    </w:p>
  </w:footnote>
  <w:footnote w:id="32">
    <w:p w14:paraId="38D6640B" w14:textId="77777777" w:rsidR="002E09F6" w:rsidRPr="004F226C" w:rsidRDefault="002E09F6" w:rsidP="004F226C">
      <w:pPr>
        <w:pStyle w:val="FootnoteText"/>
        <w:spacing w:after="0"/>
        <w:rPr>
          <w:sz w:val="19"/>
          <w:szCs w:val="19"/>
        </w:rPr>
      </w:pPr>
      <w:r w:rsidRPr="004F226C">
        <w:rPr>
          <w:rStyle w:val="FootnoteReference"/>
          <w:sz w:val="19"/>
          <w:szCs w:val="19"/>
        </w:rPr>
        <w:footnoteRef/>
      </w:r>
      <w:r w:rsidRPr="004F226C">
        <w:rPr>
          <w:sz w:val="19"/>
          <w:szCs w:val="19"/>
        </w:rPr>
        <w:t xml:space="preserve"> Partners can use a methodology of their choosing to calculate voluntary methane emission reductions from this source and must specify what that methodology is.</w:t>
      </w:r>
    </w:p>
  </w:footnote>
  <w:footnote w:id="33">
    <w:p w14:paraId="13C8D1F7" w14:textId="77777777" w:rsidR="002E09F6" w:rsidRPr="00961270" w:rsidRDefault="002E09F6" w:rsidP="004F226C">
      <w:pPr>
        <w:pStyle w:val="FootnoteText"/>
        <w:spacing w:after="0"/>
        <w:rPr>
          <w:sz w:val="18"/>
          <w:szCs w:val="18"/>
        </w:rPr>
      </w:pPr>
      <w:r w:rsidRPr="004F226C">
        <w:rPr>
          <w:rStyle w:val="FootnoteReference"/>
          <w:sz w:val="19"/>
          <w:szCs w:val="19"/>
        </w:rPr>
        <w:footnoteRef/>
      </w:r>
      <w:r w:rsidRPr="004F226C">
        <w:rPr>
          <w:sz w:val="19"/>
          <w:szCs w:val="19"/>
        </w:rPr>
        <w:t xml:space="preserve"> Subpart W requires facilities to report certain information per compressor and other information per vent.  Information reported per individual compressor vent is also specific to that one compressor.</w:t>
      </w:r>
      <w:r w:rsidRPr="00961270">
        <w:rPr>
          <w:sz w:val="18"/>
          <w:szCs w:val="18"/>
        </w:rPr>
        <w:t xml:space="preserve"> </w:t>
      </w:r>
    </w:p>
  </w:footnote>
  <w:footnote w:id="34">
    <w:p w14:paraId="1A2BADA6" w14:textId="77777777" w:rsidR="002E09F6" w:rsidRPr="004F226C" w:rsidRDefault="002E09F6" w:rsidP="001F0154">
      <w:pPr>
        <w:pStyle w:val="FootnoteText"/>
        <w:spacing w:after="0"/>
        <w:rPr>
          <w:sz w:val="19"/>
          <w:szCs w:val="19"/>
        </w:rPr>
      </w:pPr>
      <w:r w:rsidRPr="004F226C">
        <w:rPr>
          <w:rStyle w:val="FootnoteReference"/>
          <w:sz w:val="19"/>
          <w:szCs w:val="19"/>
        </w:rPr>
        <w:footnoteRef/>
      </w:r>
      <w:r w:rsidRPr="004F226C">
        <w:rPr>
          <w:sz w:val="19"/>
          <w:szCs w:val="19"/>
        </w:rPr>
        <w:t xml:space="preserve"> 40 CFR 98.233(p)(1)(i)(A), (p)(2)(ii), (p)(6)(i), and (p)(11)</w:t>
      </w:r>
    </w:p>
  </w:footnote>
  <w:footnote w:id="35">
    <w:p w14:paraId="18B186A2" w14:textId="77777777" w:rsidR="002E09F6" w:rsidRPr="004F226C" w:rsidRDefault="002E09F6" w:rsidP="001F0154">
      <w:pPr>
        <w:pStyle w:val="FootnoteText"/>
        <w:spacing w:after="0"/>
        <w:rPr>
          <w:sz w:val="19"/>
          <w:szCs w:val="19"/>
        </w:rPr>
      </w:pPr>
      <w:r w:rsidRPr="004F226C">
        <w:rPr>
          <w:rStyle w:val="FootnoteReference"/>
          <w:sz w:val="19"/>
          <w:szCs w:val="19"/>
        </w:rPr>
        <w:footnoteRef/>
      </w:r>
      <w:r w:rsidRPr="004F226C">
        <w:rPr>
          <w:sz w:val="19"/>
          <w:szCs w:val="19"/>
        </w:rPr>
        <w:t xml:space="preserve"> 40 CFR 98.233(p)(1)(ii), (p)(3), (p)(7), and (p)(11)</w:t>
      </w:r>
    </w:p>
  </w:footnote>
  <w:footnote w:id="36">
    <w:p w14:paraId="6D86B9B5" w14:textId="77777777" w:rsidR="002E09F6" w:rsidRPr="004F226C" w:rsidRDefault="002E09F6" w:rsidP="001F0154">
      <w:pPr>
        <w:pStyle w:val="FootnoteText"/>
        <w:spacing w:after="0"/>
        <w:rPr>
          <w:sz w:val="19"/>
          <w:szCs w:val="19"/>
        </w:rPr>
      </w:pPr>
      <w:r w:rsidRPr="004F226C">
        <w:rPr>
          <w:rStyle w:val="FootnoteReference"/>
          <w:sz w:val="19"/>
          <w:szCs w:val="19"/>
        </w:rPr>
        <w:footnoteRef/>
      </w:r>
      <w:r w:rsidRPr="004F226C">
        <w:rPr>
          <w:sz w:val="19"/>
          <w:szCs w:val="19"/>
        </w:rPr>
        <w:t xml:space="preserve"> The site-specific emissions factor approach is used when an as found measurement for the compressor is conducted in standby-pressurized-mode or in not-operating-depressurized-mode during the year (and an as found measurement is not conducted in operating mode).  The site-specific emissions factor is developed from as found measurements of individual rod packing vent emissions from other compressors during the same year and the 2 previous years.  40 CFR 98.233(p)(1)(i)(A), (p)(2)(ii), (p)(6), and (p)(11).</w:t>
      </w:r>
    </w:p>
  </w:footnote>
  <w:footnote w:id="37">
    <w:p w14:paraId="082787E1" w14:textId="3E9AB7D5" w:rsidR="002E09F6" w:rsidRDefault="002E09F6" w:rsidP="009C7875">
      <w:pPr>
        <w:pStyle w:val="FootnoteText"/>
        <w:spacing w:after="0"/>
      </w:pPr>
      <w:r w:rsidRPr="009C7875">
        <w:rPr>
          <w:rStyle w:val="FootnoteReference"/>
          <w:highlight w:val="yellow"/>
        </w:rPr>
        <w:footnoteRef/>
      </w:r>
      <w:r w:rsidRPr="009C7875">
        <w:rPr>
          <w:highlight w:val="yellow"/>
        </w:rPr>
        <w:t xml:space="preserve"> Alternate calculation method using average company EF based on all company-specific Subpart W reciprocating compressor measurements (for Processing and Transmission &amp; Storage </w:t>
      </w:r>
      <w:r w:rsidRPr="009C7875">
        <w:rPr>
          <w:b/>
          <w:bCs/>
          <w:highlight w:val="yellow"/>
        </w:rPr>
        <w:t>facilities not reporting to Subpart W only</w:t>
      </w:r>
      <w:r w:rsidRPr="009C7875">
        <w:rPr>
          <w:highlight w:val="yellow"/>
        </w:rPr>
        <w:t>)</w:t>
      </w:r>
    </w:p>
  </w:footnote>
  <w:footnote w:id="38">
    <w:p w14:paraId="648F522F" w14:textId="77777777" w:rsidR="002E09F6" w:rsidRPr="00353EF2" w:rsidRDefault="002E09F6" w:rsidP="001F0154">
      <w:pPr>
        <w:pStyle w:val="FootnoteText"/>
        <w:spacing w:after="0"/>
      </w:pPr>
      <w:r w:rsidRPr="004F226C">
        <w:rPr>
          <w:rStyle w:val="FootnoteReference"/>
          <w:sz w:val="19"/>
          <w:szCs w:val="19"/>
        </w:rPr>
        <w:footnoteRef/>
      </w:r>
      <w:r w:rsidRPr="004F226C">
        <w:rPr>
          <w:sz w:val="19"/>
          <w:szCs w:val="19"/>
        </w:rPr>
        <w:t xml:space="preserve"> As calculated per the specified emission quantification methodologies for each source.</w:t>
      </w:r>
    </w:p>
  </w:footnote>
  <w:footnote w:id="39">
    <w:p w14:paraId="26F490D1" w14:textId="77777777" w:rsidR="002E09F6" w:rsidRPr="004F226C" w:rsidRDefault="002E09F6" w:rsidP="004F226C">
      <w:pPr>
        <w:pStyle w:val="FootnoteText"/>
        <w:spacing w:after="0"/>
        <w:rPr>
          <w:sz w:val="19"/>
          <w:szCs w:val="19"/>
        </w:rPr>
      </w:pPr>
      <w:r w:rsidRPr="004F226C">
        <w:rPr>
          <w:rStyle w:val="FootnoteReference"/>
          <w:sz w:val="19"/>
          <w:szCs w:val="19"/>
        </w:rPr>
        <w:footnoteRef/>
      </w:r>
      <w:r w:rsidRPr="004F226C">
        <w:rPr>
          <w:sz w:val="19"/>
          <w:szCs w:val="19"/>
        </w:rPr>
        <w:t xml:space="preserve"> Control device means any equipment used for oxidizing methane vapors. Such equipment includes, but is not limited to, enclosed combustion devices, flares, boilers, and process heaters.</w:t>
      </w:r>
    </w:p>
  </w:footnote>
  <w:footnote w:id="40">
    <w:p w14:paraId="0F64794C" w14:textId="77777777" w:rsidR="002E09F6" w:rsidRPr="004F226C" w:rsidRDefault="002E09F6" w:rsidP="004F226C">
      <w:pPr>
        <w:pStyle w:val="FootnoteText"/>
        <w:spacing w:after="0"/>
        <w:rPr>
          <w:sz w:val="19"/>
          <w:szCs w:val="19"/>
        </w:rPr>
      </w:pPr>
      <w:r w:rsidRPr="004F226C">
        <w:rPr>
          <w:rStyle w:val="FootnoteReference"/>
          <w:sz w:val="19"/>
          <w:szCs w:val="19"/>
        </w:rPr>
        <w:footnoteRef/>
      </w:r>
      <w:r w:rsidRPr="004F226C">
        <w:rPr>
          <w:sz w:val="19"/>
          <w:szCs w:val="19"/>
        </w:rPr>
        <w:t xml:space="preserve"> 40 CFR 98.233(o)(10)</w:t>
      </w:r>
    </w:p>
  </w:footnote>
  <w:footnote w:id="41">
    <w:p w14:paraId="1C8E0425" w14:textId="77777777" w:rsidR="002E09F6" w:rsidRPr="00961270" w:rsidRDefault="002E09F6" w:rsidP="004F226C">
      <w:pPr>
        <w:pStyle w:val="FootnoteText"/>
        <w:spacing w:after="0"/>
        <w:rPr>
          <w:sz w:val="18"/>
          <w:szCs w:val="18"/>
        </w:rPr>
      </w:pPr>
      <w:r w:rsidRPr="004F226C">
        <w:rPr>
          <w:rStyle w:val="FootnoteReference"/>
          <w:sz w:val="19"/>
          <w:szCs w:val="19"/>
        </w:rPr>
        <w:footnoteRef/>
      </w:r>
      <w:r w:rsidRPr="004F226C">
        <w:rPr>
          <w:sz w:val="19"/>
          <w:szCs w:val="19"/>
        </w:rPr>
        <w:t xml:space="preserve"> Partners can use a methodology of their choosing to calculate voluntary methane emission reductions from this source and must specify what that methodology is.</w:t>
      </w:r>
    </w:p>
  </w:footnote>
  <w:footnote w:id="42">
    <w:p w14:paraId="0F41C760" w14:textId="05ECBA04" w:rsidR="002E09F6" w:rsidRPr="004F226C" w:rsidRDefault="002E09F6" w:rsidP="004F226C">
      <w:pPr>
        <w:pStyle w:val="FootnoteText"/>
        <w:spacing w:after="0"/>
        <w:rPr>
          <w:sz w:val="19"/>
          <w:szCs w:val="19"/>
        </w:rPr>
      </w:pPr>
      <w:r w:rsidRPr="004F226C">
        <w:rPr>
          <w:rStyle w:val="FootnoteReference"/>
          <w:sz w:val="19"/>
          <w:szCs w:val="19"/>
        </w:rPr>
        <w:footnoteRef/>
      </w:r>
      <w:r w:rsidRPr="004F226C">
        <w:rPr>
          <w:sz w:val="19"/>
          <w:szCs w:val="19"/>
        </w:rPr>
        <w:t xml:space="preserve"> Inventory of U.S. Greenhouse Gas Emissions and Sinks:  1990-201</w:t>
      </w:r>
      <w:r>
        <w:rPr>
          <w:sz w:val="19"/>
          <w:szCs w:val="19"/>
        </w:rPr>
        <w:t>6</w:t>
      </w:r>
      <w:r w:rsidRPr="004F226C">
        <w:rPr>
          <w:sz w:val="19"/>
          <w:szCs w:val="19"/>
        </w:rPr>
        <w:t xml:space="preserve">, Annex 3.6 (Table 3.6-2), Gas Processing, </w:t>
      </w:r>
      <w:hyperlink r:id="rId1" w:history="1">
        <w:r w:rsidRPr="003312EA">
          <w:rPr>
            <w:rStyle w:val="Hyperlink"/>
          </w:rPr>
          <w:t>https://www.epa.gov/sites/production/files/2018-04/2018_ghgi_natural_gas_systems_annex_tables.xlsx</w:t>
        </w:r>
      </w:hyperlink>
    </w:p>
  </w:footnote>
  <w:footnote w:id="43">
    <w:p w14:paraId="698A6FBC" w14:textId="77777777" w:rsidR="002E09F6" w:rsidRPr="00961270" w:rsidRDefault="002E09F6" w:rsidP="004F226C">
      <w:pPr>
        <w:pStyle w:val="FootnoteText"/>
        <w:spacing w:after="0"/>
        <w:rPr>
          <w:sz w:val="18"/>
          <w:szCs w:val="18"/>
        </w:rPr>
      </w:pPr>
      <w:r w:rsidRPr="004F226C">
        <w:rPr>
          <w:rStyle w:val="FootnoteReference"/>
          <w:sz w:val="19"/>
          <w:szCs w:val="19"/>
        </w:rPr>
        <w:footnoteRef/>
      </w:r>
      <w:r w:rsidRPr="004F226C">
        <w:rPr>
          <w:sz w:val="19"/>
          <w:szCs w:val="19"/>
        </w:rPr>
        <w:t xml:space="preserve"> Subpart W requires facilities to report certain information per compressor and other information per vent.  Information reported per individual compressor vent is also specific to that one compressor.</w:t>
      </w:r>
      <w:r w:rsidRPr="00961270">
        <w:rPr>
          <w:sz w:val="18"/>
          <w:szCs w:val="18"/>
        </w:rPr>
        <w:t xml:space="preserve"> </w:t>
      </w:r>
    </w:p>
  </w:footnote>
  <w:footnote w:id="44">
    <w:p w14:paraId="7EED7288" w14:textId="77777777" w:rsidR="002E09F6" w:rsidRPr="004F226C" w:rsidRDefault="002E09F6" w:rsidP="004F226C">
      <w:pPr>
        <w:pStyle w:val="FootnoteText"/>
        <w:spacing w:after="0"/>
        <w:rPr>
          <w:sz w:val="19"/>
          <w:szCs w:val="19"/>
          <w:lang w:val="es-CO"/>
        </w:rPr>
      </w:pPr>
      <w:r w:rsidRPr="004F226C">
        <w:rPr>
          <w:rStyle w:val="FootnoteReference"/>
          <w:sz w:val="19"/>
          <w:szCs w:val="19"/>
        </w:rPr>
        <w:footnoteRef/>
      </w:r>
      <w:r w:rsidRPr="004F226C">
        <w:rPr>
          <w:sz w:val="19"/>
          <w:szCs w:val="19"/>
          <w:lang w:val="es-CO"/>
        </w:rPr>
        <w:t xml:space="preserve"> 40 CFR 98.233(o)(1)(i)(A), (o)(2)(ii), (o)(6)(i), and (o)(11)</w:t>
      </w:r>
    </w:p>
  </w:footnote>
  <w:footnote w:id="45">
    <w:p w14:paraId="764FD98B" w14:textId="77777777" w:rsidR="002E09F6" w:rsidRPr="004F226C" w:rsidRDefault="002E09F6" w:rsidP="004F226C">
      <w:pPr>
        <w:pStyle w:val="FootnoteText"/>
        <w:spacing w:after="0"/>
        <w:rPr>
          <w:sz w:val="19"/>
          <w:szCs w:val="19"/>
          <w:lang w:val="es-CO"/>
        </w:rPr>
      </w:pPr>
      <w:r w:rsidRPr="004F226C">
        <w:rPr>
          <w:rStyle w:val="FootnoteReference"/>
          <w:sz w:val="19"/>
          <w:szCs w:val="19"/>
        </w:rPr>
        <w:footnoteRef/>
      </w:r>
      <w:r w:rsidRPr="004F226C">
        <w:rPr>
          <w:sz w:val="19"/>
          <w:szCs w:val="19"/>
          <w:lang w:val="es-CO"/>
        </w:rPr>
        <w:t xml:space="preserve"> 40 CFR 98.233(o)(1)(ii), (o)(3), (o)(7), and (o)(11)</w:t>
      </w:r>
    </w:p>
  </w:footnote>
  <w:footnote w:id="46">
    <w:p w14:paraId="7059995D" w14:textId="77777777" w:rsidR="002E09F6" w:rsidRPr="004F226C" w:rsidRDefault="002E09F6" w:rsidP="004F226C">
      <w:pPr>
        <w:pStyle w:val="FootnoteText"/>
        <w:spacing w:after="0"/>
        <w:rPr>
          <w:sz w:val="19"/>
          <w:szCs w:val="19"/>
        </w:rPr>
      </w:pPr>
      <w:r w:rsidRPr="004F226C">
        <w:rPr>
          <w:rStyle w:val="FootnoteReference"/>
          <w:sz w:val="19"/>
          <w:szCs w:val="19"/>
        </w:rPr>
        <w:footnoteRef/>
      </w:r>
      <w:r w:rsidRPr="004F226C">
        <w:rPr>
          <w:sz w:val="19"/>
          <w:szCs w:val="19"/>
        </w:rPr>
        <w:t xml:space="preserve"> The site-specific emissions factor approach is used when an as found measurement for the compressor is conducted in not-operating-depressurized-mode during the year (and an as found measurement is not conducted in operating mode).  The site-specific emissions factor is developed from as found measurements of individual seal oil degassing vent emissions from other compressors during the same year and the 2 previous years.  40 CFR 98.233(o)(1)(i)(A), (o)(2)(ii), (o)(6), and (o)(11)</w:t>
      </w:r>
    </w:p>
  </w:footnote>
  <w:footnote w:id="47">
    <w:p w14:paraId="6F8D5E0C" w14:textId="05D2FFDE" w:rsidR="002E09F6" w:rsidRPr="00C76707" w:rsidRDefault="002E09F6" w:rsidP="00723DB9">
      <w:pPr>
        <w:pStyle w:val="FootnoteText"/>
        <w:spacing w:after="0"/>
        <w:rPr>
          <w:sz w:val="19"/>
          <w:szCs w:val="19"/>
        </w:rPr>
      </w:pPr>
      <w:r w:rsidRPr="00C76707">
        <w:rPr>
          <w:rStyle w:val="FootnoteReference"/>
          <w:highlight w:val="yellow"/>
        </w:rPr>
        <w:footnoteRef/>
      </w:r>
      <w:r w:rsidRPr="00C76707">
        <w:rPr>
          <w:highlight w:val="yellow"/>
        </w:rPr>
        <w:t xml:space="preserve"> </w:t>
      </w:r>
      <w:r w:rsidRPr="00C76707">
        <w:rPr>
          <w:sz w:val="19"/>
          <w:szCs w:val="19"/>
          <w:highlight w:val="yellow"/>
        </w:rPr>
        <w:t xml:space="preserve">Alternate calculation method </w:t>
      </w:r>
      <w:r w:rsidRPr="00C76707">
        <w:rPr>
          <w:rFonts w:ascii="Calibri" w:hAnsi="Calibri" w:cs="Calibri"/>
          <w:sz w:val="19"/>
          <w:szCs w:val="19"/>
          <w:highlight w:val="yellow"/>
          <w:shd w:val="clear" w:color="auto" w:fill="FFFFFF"/>
        </w:rPr>
        <w:t xml:space="preserve">using average company EF based on all company-specific Subpart W measurements (for Processing and Transmission &amp; Storage </w:t>
      </w:r>
      <w:r w:rsidRPr="00C76707">
        <w:rPr>
          <w:rFonts w:ascii="Calibri" w:hAnsi="Calibri" w:cs="Calibri"/>
          <w:b/>
          <w:bCs/>
          <w:sz w:val="19"/>
          <w:szCs w:val="19"/>
          <w:highlight w:val="yellow"/>
          <w:shd w:val="clear" w:color="auto" w:fill="FFFFFF"/>
        </w:rPr>
        <w:t>facilities</w:t>
      </w:r>
      <w:r w:rsidRPr="00C76707">
        <w:rPr>
          <w:rFonts w:ascii="Calibri" w:hAnsi="Calibri" w:cs="Calibri"/>
          <w:sz w:val="19"/>
          <w:szCs w:val="19"/>
          <w:highlight w:val="yellow"/>
          <w:shd w:val="clear" w:color="auto" w:fill="FFFFFF"/>
        </w:rPr>
        <w:t xml:space="preserve"> </w:t>
      </w:r>
      <w:r w:rsidRPr="00C76707">
        <w:rPr>
          <w:rFonts w:ascii="Calibri" w:hAnsi="Calibri" w:cs="Calibri"/>
          <w:b/>
          <w:bCs/>
          <w:sz w:val="19"/>
          <w:szCs w:val="19"/>
          <w:highlight w:val="yellow"/>
          <w:shd w:val="clear" w:color="auto" w:fill="FFFFFF"/>
        </w:rPr>
        <w:t>not reporting to Subpart W only</w:t>
      </w:r>
      <w:r w:rsidRPr="00C76707">
        <w:rPr>
          <w:rFonts w:ascii="Calibri" w:hAnsi="Calibri" w:cs="Calibri"/>
          <w:sz w:val="19"/>
          <w:szCs w:val="19"/>
          <w:highlight w:val="yellow"/>
          <w:shd w:val="clear" w:color="auto" w:fill="FFFFFF"/>
        </w:rPr>
        <w:t>)</w:t>
      </w:r>
    </w:p>
  </w:footnote>
  <w:footnote w:id="48">
    <w:p w14:paraId="385D65F8" w14:textId="77777777" w:rsidR="002E09F6" w:rsidRPr="00961270" w:rsidRDefault="002E09F6" w:rsidP="004F226C">
      <w:pPr>
        <w:pStyle w:val="FootnoteText"/>
        <w:spacing w:after="0"/>
        <w:rPr>
          <w:sz w:val="18"/>
          <w:szCs w:val="18"/>
        </w:rPr>
      </w:pPr>
      <w:r w:rsidRPr="004F226C">
        <w:rPr>
          <w:rStyle w:val="FootnoteReference"/>
          <w:sz w:val="19"/>
          <w:szCs w:val="19"/>
        </w:rPr>
        <w:footnoteRef/>
      </w:r>
      <w:r w:rsidRPr="004F226C">
        <w:rPr>
          <w:sz w:val="19"/>
          <w:szCs w:val="19"/>
        </w:rPr>
        <w:t xml:space="preserve"> As calculated per the specified emission quantification methodologies for each source.</w:t>
      </w:r>
    </w:p>
  </w:footnote>
  <w:footnote w:id="49">
    <w:p w14:paraId="7D22259F" w14:textId="77777777" w:rsidR="002E09F6" w:rsidRPr="00353EF2" w:rsidRDefault="002E09F6" w:rsidP="00353EF2">
      <w:pPr>
        <w:pStyle w:val="Footnotes"/>
        <w:rPr>
          <w:sz w:val="19"/>
          <w:szCs w:val="19"/>
        </w:rPr>
      </w:pPr>
      <w:r w:rsidRPr="00353EF2">
        <w:rPr>
          <w:rStyle w:val="FootnoteReference"/>
          <w:sz w:val="19"/>
          <w:szCs w:val="19"/>
        </w:rPr>
        <w:footnoteRef/>
      </w:r>
      <w:r w:rsidRPr="00353EF2">
        <w:rPr>
          <w:sz w:val="19"/>
          <w:szCs w:val="19"/>
        </w:rPr>
        <w:t xml:space="preserve"> Partners are encouraged to designate a higher reduction rate.</w:t>
      </w:r>
    </w:p>
  </w:footnote>
  <w:footnote w:id="50">
    <w:p w14:paraId="220A50CE" w14:textId="77777777" w:rsidR="002E09F6" w:rsidRPr="00353EF2" w:rsidRDefault="002E09F6" w:rsidP="00353EF2">
      <w:pPr>
        <w:pStyle w:val="Footnotes"/>
        <w:rPr>
          <w:sz w:val="19"/>
          <w:szCs w:val="19"/>
        </w:rPr>
      </w:pPr>
      <w:r w:rsidRPr="00353EF2">
        <w:rPr>
          <w:rStyle w:val="FootnoteReference"/>
          <w:sz w:val="19"/>
          <w:szCs w:val="19"/>
        </w:rPr>
        <w:footnoteRef/>
      </w:r>
      <w:r w:rsidRPr="00353EF2">
        <w:rPr>
          <w:sz w:val="19"/>
          <w:szCs w:val="19"/>
        </w:rPr>
        <w:t xml:space="preserve"> Total potential emissions amounts will likely be different each year.</w:t>
      </w:r>
    </w:p>
  </w:footnote>
  <w:footnote w:id="51">
    <w:p w14:paraId="00CAB50C" w14:textId="77777777" w:rsidR="002E09F6" w:rsidRPr="00353EF2" w:rsidRDefault="002E09F6" w:rsidP="00353EF2">
      <w:pPr>
        <w:pStyle w:val="Footnotes"/>
        <w:rPr>
          <w:sz w:val="19"/>
          <w:szCs w:val="19"/>
        </w:rPr>
      </w:pPr>
      <w:r w:rsidRPr="00353EF2">
        <w:rPr>
          <w:rStyle w:val="FootnoteReference"/>
          <w:sz w:val="19"/>
          <w:szCs w:val="19"/>
        </w:rPr>
        <w:footnoteRef/>
      </w:r>
      <w:r w:rsidRPr="00353EF2">
        <w:rPr>
          <w:sz w:val="19"/>
          <w:szCs w:val="19"/>
        </w:rPr>
        <w:t xml:space="preserve"> The reference to atmospheric pressure is intended to assist in defining total potential emissions, not an indication that companies must reduce pressure to atmospheric pressure for every blowdown. </w:t>
      </w:r>
    </w:p>
  </w:footnote>
  <w:footnote w:id="52">
    <w:p w14:paraId="7B904866" w14:textId="298DC4B1" w:rsidR="002E09F6" w:rsidRPr="00353EF2" w:rsidRDefault="002E09F6" w:rsidP="00353EF2">
      <w:pPr>
        <w:pStyle w:val="Footnotes"/>
        <w:rPr>
          <w:sz w:val="19"/>
          <w:szCs w:val="19"/>
        </w:rPr>
      </w:pPr>
      <w:r w:rsidRPr="00353EF2">
        <w:rPr>
          <w:rStyle w:val="FootnoteReference"/>
          <w:sz w:val="19"/>
          <w:szCs w:val="19"/>
        </w:rPr>
        <w:footnoteRef/>
      </w:r>
      <w:r w:rsidRPr="00353EF2">
        <w:rPr>
          <w:sz w:val="19"/>
          <w:szCs w:val="19"/>
        </w:rPr>
        <w:t xml:space="preserve"> Under Calculation Method 1, </w:t>
      </w:r>
      <w:r>
        <w:rPr>
          <w:sz w:val="19"/>
          <w:szCs w:val="19"/>
        </w:rPr>
        <w:t>S</w:t>
      </w:r>
      <w:r w:rsidRPr="00353EF2">
        <w:rPr>
          <w:sz w:val="19"/>
          <w:szCs w:val="19"/>
        </w:rPr>
        <w:t xml:space="preserve">ubpart W requires aggregated reporting of blowdown counts and emissions per equipment or event type at the facility level.  Under Calculation Method 2, </w:t>
      </w:r>
      <w:r>
        <w:rPr>
          <w:sz w:val="19"/>
          <w:szCs w:val="19"/>
        </w:rPr>
        <w:t>S</w:t>
      </w:r>
      <w:r w:rsidRPr="00353EF2">
        <w:rPr>
          <w:sz w:val="19"/>
          <w:szCs w:val="19"/>
        </w:rPr>
        <w:t xml:space="preserve">ubpart W requires aggregated reporting of the emissions per facility, but the number of blowdown events or number of stacks monitored is not reported.  For transmission pipeline facilities, </w:t>
      </w:r>
      <w:r>
        <w:rPr>
          <w:sz w:val="19"/>
          <w:szCs w:val="19"/>
        </w:rPr>
        <w:t>S</w:t>
      </w:r>
      <w:r w:rsidRPr="00353EF2">
        <w:rPr>
          <w:sz w:val="19"/>
          <w:szCs w:val="19"/>
        </w:rPr>
        <w:t>ubpart W also requires reporting the total number of blowdown events and total emissions aggregated over both methods at the state level.</w:t>
      </w:r>
    </w:p>
  </w:footnote>
  <w:footnote w:id="53">
    <w:p w14:paraId="6936765A" w14:textId="77777777" w:rsidR="002E09F6" w:rsidRPr="00353EF2" w:rsidRDefault="002E09F6" w:rsidP="00353EF2">
      <w:pPr>
        <w:pStyle w:val="Footnotes"/>
        <w:rPr>
          <w:sz w:val="19"/>
          <w:szCs w:val="19"/>
        </w:rPr>
      </w:pPr>
      <w:r w:rsidRPr="00353EF2">
        <w:rPr>
          <w:rStyle w:val="FootnoteReference"/>
          <w:sz w:val="19"/>
          <w:szCs w:val="19"/>
        </w:rPr>
        <w:footnoteRef/>
      </w:r>
      <w:r w:rsidRPr="00353EF2">
        <w:rPr>
          <w:sz w:val="19"/>
          <w:szCs w:val="19"/>
        </w:rPr>
        <w:t xml:space="preserve"> Emergency blowdown events are not included in this source for the BMP Option.</w:t>
      </w:r>
    </w:p>
  </w:footnote>
  <w:footnote w:id="54">
    <w:p w14:paraId="69674577" w14:textId="77777777" w:rsidR="002E09F6" w:rsidRPr="00353EF2" w:rsidRDefault="002E09F6" w:rsidP="00353EF2">
      <w:pPr>
        <w:pStyle w:val="Footnotes"/>
        <w:rPr>
          <w:sz w:val="19"/>
          <w:szCs w:val="19"/>
        </w:rPr>
      </w:pPr>
      <w:r w:rsidRPr="00353EF2">
        <w:rPr>
          <w:rStyle w:val="FootnoteReference"/>
          <w:sz w:val="19"/>
          <w:szCs w:val="19"/>
        </w:rPr>
        <w:footnoteRef/>
      </w:r>
      <w:r w:rsidRPr="00353EF2">
        <w:rPr>
          <w:sz w:val="19"/>
          <w:szCs w:val="19"/>
        </w:rPr>
        <w:t xml:space="preserve"> 98.233(i)(2), based on the volume of pipeline segment between isolation valves and the pressure and temperature of the gas within the pipeline</w:t>
      </w:r>
    </w:p>
  </w:footnote>
  <w:footnote w:id="55">
    <w:p w14:paraId="39E0E037" w14:textId="77777777" w:rsidR="002E09F6" w:rsidRPr="00047DB3" w:rsidRDefault="002E09F6" w:rsidP="00353EF2">
      <w:pPr>
        <w:pStyle w:val="Footnotes"/>
        <w:rPr>
          <w:sz w:val="19"/>
          <w:szCs w:val="19"/>
        </w:rPr>
      </w:pPr>
      <w:r w:rsidRPr="00353EF2">
        <w:rPr>
          <w:rStyle w:val="FootnoteReference"/>
          <w:sz w:val="19"/>
          <w:szCs w:val="19"/>
        </w:rPr>
        <w:footnoteRef/>
      </w:r>
      <w:r w:rsidRPr="00353EF2">
        <w:rPr>
          <w:sz w:val="19"/>
          <w:szCs w:val="19"/>
        </w:rPr>
        <w:t xml:space="preserve"> Event types are as follows: pipeline integrity work (e.g., the preparation work of modifying facilities, ongoing assessments, maintenance or mitigation), traditional operations or pipeline maintenance, equipment replacement or repair (e.g., valves), pipe abandonment, new construction or modification of pipelines including commissioning</w:t>
      </w:r>
      <w:r w:rsidRPr="00E66BDB">
        <w:rPr>
          <w:szCs w:val="18"/>
        </w:rPr>
        <w:t xml:space="preserve"> and </w:t>
      </w:r>
      <w:r w:rsidRPr="00047DB3">
        <w:rPr>
          <w:sz w:val="19"/>
          <w:szCs w:val="19"/>
        </w:rPr>
        <w:t>change of service, operational precaution during activities (e.g. excavation near pipelines), and all other pipeline segments with a physical volume greater than or equal to 50 ft</w:t>
      </w:r>
      <w:r w:rsidRPr="00F371C5">
        <w:rPr>
          <w:sz w:val="19"/>
          <w:szCs w:val="19"/>
          <w:vertAlign w:val="superscript"/>
        </w:rPr>
        <w:t>3</w:t>
      </w:r>
      <w:r w:rsidRPr="00047DB3">
        <w:rPr>
          <w:sz w:val="19"/>
          <w:szCs w:val="19"/>
        </w:rPr>
        <w:t>.</w:t>
      </w:r>
    </w:p>
  </w:footnote>
  <w:footnote w:id="56">
    <w:p w14:paraId="03066CBC" w14:textId="77777777" w:rsidR="002E09F6" w:rsidRPr="00047DB3" w:rsidRDefault="002E09F6" w:rsidP="00353EF2">
      <w:pPr>
        <w:pStyle w:val="FootnoteText"/>
        <w:spacing w:after="0"/>
        <w:rPr>
          <w:sz w:val="19"/>
          <w:szCs w:val="19"/>
        </w:rPr>
      </w:pPr>
      <w:r w:rsidRPr="00047DB3">
        <w:rPr>
          <w:rStyle w:val="FootnoteReference"/>
          <w:sz w:val="19"/>
          <w:szCs w:val="19"/>
        </w:rPr>
        <w:footnoteRef/>
      </w:r>
      <w:r w:rsidRPr="00047DB3">
        <w:rPr>
          <w:sz w:val="19"/>
          <w:szCs w:val="19"/>
        </w:rPr>
        <w:t xml:space="preserve"> 98.233(i)(3), based on the measurement of emissions using a flow meter.</w:t>
      </w:r>
    </w:p>
  </w:footnote>
  <w:footnote w:id="57">
    <w:p w14:paraId="75453955" w14:textId="0810A6A6" w:rsidR="002E09F6" w:rsidRPr="00EB3012" w:rsidRDefault="002E09F6" w:rsidP="00EB3012">
      <w:pPr>
        <w:pStyle w:val="FootnoteText"/>
        <w:spacing w:after="0"/>
        <w:rPr>
          <w:sz w:val="19"/>
          <w:szCs w:val="19"/>
        </w:rPr>
      </w:pPr>
      <w:r w:rsidRPr="009C7875">
        <w:rPr>
          <w:rStyle w:val="FootnoteReference"/>
          <w:sz w:val="19"/>
          <w:szCs w:val="19"/>
          <w:highlight w:val="yellow"/>
        </w:rPr>
        <w:footnoteRef/>
      </w:r>
      <w:r w:rsidRPr="009C7875">
        <w:rPr>
          <w:sz w:val="19"/>
          <w:szCs w:val="19"/>
          <w:highlight w:val="yellow"/>
        </w:rPr>
        <w:t xml:space="preserve"> Alternate calculation method using actual event counts multiplied by the average emission factor as calculated from all company-specific Subpart W facility events (for Transmission Pipeline facilities </w:t>
      </w:r>
      <w:r w:rsidRPr="009C7875">
        <w:rPr>
          <w:b/>
          <w:bCs/>
          <w:sz w:val="19"/>
          <w:szCs w:val="19"/>
          <w:highlight w:val="yellow"/>
        </w:rPr>
        <w:t>not reporting to Subpart W only</w:t>
      </w:r>
      <w:r w:rsidRPr="009C7875">
        <w:rPr>
          <w:sz w:val="19"/>
          <w:szCs w:val="19"/>
          <w:highlight w:val="yellow"/>
        </w:rPr>
        <w:t>).</w:t>
      </w:r>
    </w:p>
  </w:footnote>
  <w:footnote w:id="58">
    <w:p w14:paraId="2886181A" w14:textId="77777777" w:rsidR="002E09F6" w:rsidRPr="00047DB3" w:rsidRDefault="002E09F6" w:rsidP="00353EF2">
      <w:pPr>
        <w:pStyle w:val="FootnoteText"/>
        <w:spacing w:after="0"/>
        <w:rPr>
          <w:sz w:val="19"/>
          <w:szCs w:val="19"/>
        </w:rPr>
      </w:pPr>
      <w:r w:rsidRPr="00047DB3">
        <w:rPr>
          <w:rStyle w:val="FootnoteReference"/>
          <w:sz w:val="19"/>
          <w:szCs w:val="19"/>
        </w:rPr>
        <w:footnoteRef/>
      </w:r>
      <w:r w:rsidRPr="00047DB3">
        <w:rPr>
          <w:sz w:val="19"/>
          <w:szCs w:val="19"/>
        </w:rPr>
        <w:t xml:space="preserve"> As calculated per the specified emission quantification methodologies for each source.</w:t>
      </w:r>
    </w:p>
  </w:footnote>
  <w:footnote w:id="59">
    <w:p w14:paraId="3B5772F1" w14:textId="77777777" w:rsidR="002E09F6" w:rsidRPr="00047DB3" w:rsidRDefault="002E09F6" w:rsidP="00353EF2">
      <w:pPr>
        <w:pStyle w:val="FootnoteText"/>
        <w:spacing w:after="0"/>
        <w:rPr>
          <w:sz w:val="19"/>
          <w:szCs w:val="19"/>
        </w:rPr>
      </w:pPr>
      <w:r w:rsidRPr="00047DB3">
        <w:rPr>
          <w:rStyle w:val="FootnoteReference"/>
          <w:sz w:val="19"/>
          <w:szCs w:val="19"/>
        </w:rPr>
        <w:footnoteRef/>
      </w:r>
      <w:r w:rsidRPr="00047DB3">
        <w:rPr>
          <w:sz w:val="19"/>
          <w:szCs w:val="19"/>
        </w:rPr>
        <w:t xml:space="preserve"> 98.233 (n) provides flaring quantification guidance.</w:t>
      </w:r>
    </w:p>
  </w:footnote>
  <w:footnote w:id="60">
    <w:p w14:paraId="7BB66829" w14:textId="2BCDCF42" w:rsidR="002E09F6" w:rsidRPr="004F226C" w:rsidRDefault="002E09F6" w:rsidP="00740134">
      <w:pPr>
        <w:pStyle w:val="FootnoteText"/>
        <w:spacing w:after="0"/>
        <w:rPr>
          <w:sz w:val="19"/>
          <w:szCs w:val="19"/>
        </w:rPr>
      </w:pPr>
      <w:r w:rsidRPr="004F226C">
        <w:rPr>
          <w:rStyle w:val="FootnoteReference"/>
          <w:sz w:val="19"/>
          <w:szCs w:val="19"/>
        </w:rPr>
        <w:footnoteRef/>
      </w:r>
      <w:r w:rsidRPr="004F226C">
        <w:rPr>
          <w:sz w:val="19"/>
          <w:szCs w:val="19"/>
        </w:rPr>
        <w:t xml:space="preserve"> </w:t>
      </w:r>
      <w:hyperlink r:id="rId2" w:anchor="Main" w:history="1">
        <w:r w:rsidRPr="004F226C">
          <w:rPr>
            <w:rStyle w:val="Hyperlink"/>
            <w:sz w:val="19"/>
            <w:szCs w:val="19"/>
          </w:rPr>
          <w:t>http://primis.phmsa.dot.gov/comm/glossary/index.htm?nocache=1606#Main</w:t>
        </w:r>
      </w:hyperlink>
      <w:r w:rsidRPr="004F226C">
        <w:rPr>
          <w:sz w:val="19"/>
          <w:szCs w:val="19"/>
        </w:rPr>
        <w:t xml:space="preserve"> </w:t>
      </w:r>
    </w:p>
  </w:footnote>
  <w:footnote w:id="61">
    <w:p w14:paraId="1FC6EFF2" w14:textId="6C5A2993" w:rsidR="002E09F6" w:rsidRPr="004F226C" w:rsidRDefault="002E09F6" w:rsidP="00740134">
      <w:pPr>
        <w:pStyle w:val="FootnoteText"/>
        <w:spacing w:after="0"/>
        <w:rPr>
          <w:sz w:val="19"/>
          <w:szCs w:val="19"/>
        </w:rPr>
      </w:pPr>
      <w:r w:rsidRPr="004F226C">
        <w:rPr>
          <w:rStyle w:val="FootnoteReference"/>
          <w:sz w:val="19"/>
          <w:szCs w:val="19"/>
        </w:rPr>
        <w:footnoteRef/>
      </w:r>
      <w:r w:rsidRPr="004F226C">
        <w:rPr>
          <w:sz w:val="19"/>
          <w:szCs w:val="19"/>
        </w:rPr>
        <w:t xml:space="preserve"> </w:t>
      </w:r>
      <w:hyperlink r:id="rId3" w:history="1">
        <w:r>
          <w:rPr>
            <w:rStyle w:val="Hyperlink"/>
          </w:rPr>
          <w:t>https://www.istt.com/main/task.guidelinedetail/id.113</w:t>
        </w:r>
      </w:hyperlink>
      <w:r w:rsidRPr="004F226C">
        <w:rPr>
          <w:sz w:val="19"/>
          <w:szCs w:val="19"/>
        </w:rPr>
        <w:t xml:space="preserve"> </w:t>
      </w:r>
    </w:p>
  </w:footnote>
  <w:footnote w:id="62">
    <w:p w14:paraId="2DEFE4EA" w14:textId="19AD0C94" w:rsidR="002E09F6" w:rsidRPr="004F226C" w:rsidRDefault="002E09F6" w:rsidP="00740134">
      <w:pPr>
        <w:pStyle w:val="FootnoteText"/>
        <w:spacing w:after="0"/>
        <w:rPr>
          <w:sz w:val="19"/>
          <w:szCs w:val="19"/>
        </w:rPr>
      </w:pPr>
      <w:r w:rsidRPr="004F226C">
        <w:rPr>
          <w:rStyle w:val="FootnoteReference"/>
          <w:sz w:val="19"/>
          <w:szCs w:val="19"/>
        </w:rPr>
        <w:footnoteRef/>
      </w:r>
      <w:r w:rsidRPr="004F226C">
        <w:rPr>
          <w:sz w:val="19"/>
          <w:szCs w:val="19"/>
        </w:rPr>
        <w:t xml:space="preserve"> </w:t>
      </w:r>
      <w:hyperlink r:id="rId4" w:history="1">
        <w:r w:rsidRPr="004F226C">
          <w:rPr>
            <w:rStyle w:val="Hyperlink"/>
            <w:sz w:val="19"/>
            <w:szCs w:val="19"/>
          </w:rPr>
          <w:t>http://www.astm.org/Standards/F1504.htm</w:t>
        </w:r>
      </w:hyperlink>
      <w:r w:rsidRPr="004F226C">
        <w:rPr>
          <w:sz w:val="19"/>
          <w:szCs w:val="19"/>
        </w:rPr>
        <w:t xml:space="preserve"> </w:t>
      </w:r>
    </w:p>
  </w:footnote>
  <w:footnote w:id="63">
    <w:p w14:paraId="6180B6AF" w14:textId="67C27456" w:rsidR="002E09F6" w:rsidRPr="004F226C" w:rsidRDefault="002E09F6" w:rsidP="00740134">
      <w:pPr>
        <w:pStyle w:val="FootnoteText"/>
        <w:spacing w:after="0"/>
        <w:rPr>
          <w:sz w:val="19"/>
          <w:szCs w:val="19"/>
        </w:rPr>
      </w:pPr>
      <w:r w:rsidRPr="004F226C">
        <w:rPr>
          <w:rStyle w:val="FootnoteReference"/>
          <w:sz w:val="19"/>
          <w:szCs w:val="19"/>
        </w:rPr>
        <w:footnoteRef/>
      </w:r>
      <w:r w:rsidRPr="004F226C">
        <w:rPr>
          <w:sz w:val="19"/>
          <w:szCs w:val="19"/>
        </w:rPr>
        <w:t xml:space="preserve"> </w:t>
      </w:r>
      <w:hyperlink r:id="rId5" w:history="1">
        <w:r w:rsidRPr="004F226C">
          <w:rPr>
            <w:rStyle w:val="Hyperlink"/>
            <w:sz w:val="19"/>
            <w:szCs w:val="19"/>
          </w:rPr>
          <w:t>http://www.astm.org/Standards/F2207.htm</w:t>
        </w:r>
      </w:hyperlink>
      <w:r w:rsidRPr="004F226C">
        <w:rPr>
          <w:sz w:val="19"/>
          <w:szCs w:val="19"/>
        </w:rPr>
        <w:t xml:space="preserve"> </w:t>
      </w:r>
    </w:p>
  </w:footnote>
  <w:footnote w:id="64">
    <w:p w14:paraId="5C59F577" w14:textId="464CEFB8" w:rsidR="002E09F6" w:rsidRPr="004F226C" w:rsidRDefault="002E09F6" w:rsidP="00740134">
      <w:pPr>
        <w:pStyle w:val="FootnoteText"/>
        <w:spacing w:after="0"/>
        <w:rPr>
          <w:sz w:val="19"/>
          <w:szCs w:val="19"/>
        </w:rPr>
      </w:pPr>
      <w:r w:rsidRPr="004F226C">
        <w:rPr>
          <w:rStyle w:val="FootnoteReference"/>
          <w:sz w:val="19"/>
          <w:szCs w:val="19"/>
        </w:rPr>
        <w:footnoteRef/>
      </w:r>
      <w:r w:rsidRPr="004F226C">
        <w:rPr>
          <w:sz w:val="19"/>
          <w:szCs w:val="19"/>
        </w:rPr>
        <w:t xml:space="preserve"> Includes wrought iron.</w:t>
      </w:r>
    </w:p>
  </w:footnote>
  <w:footnote w:id="65">
    <w:p w14:paraId="6B71F34B" w14:textId="710D1773" w:rsidR="002E09F6" w:rsidRPr="00FF45DD" w:rsidRDefault="002E09F6" w:rsidP="00740134">
      <w:pPr>
        <w:pStyle w:val="FootnoteText"/>
        <w:spacing w:after="0"/>
        <w:rPr>
          <w:sz w:val="18"/>
          <w:szCs w:val="18"/>
        </w:rPr>
      </w:pPr>
      <w:r w:rsidRPr="004F226C">
        <w:rPr>
          <w:rStyle w:val="FootnoteReference"/>
          <w:sz w:val="19"/>
          <w:szCs w:val="19"/>
        </w:rPr>
        <w:footnoteRef/>
      </w:r>
      <w:r w:rsidRPr="004F226C">
        <w:rPr>
          <w:sz w:val="19"/>
          <w:szCs w:val="19"/>
        </w:rPr>
        <w:t xml:space="preserve"> Excluding cast iron and unprotected steel mains that have been rehabilitated using specified mitigation methods.</w:t>
      </w:r>
    </w:p>
  </w:footnote>
  <w:footnote w:id="66">
    <w:p w14:paraId="70F7BB5B" w14:textId="2A62EC26" w:rsidR="002E09F6" w:rsidRPr="00EB3154" w:rsidRDefault="002E09F6" w:rsidP="004C0E5F">
      <w:pPr>
        <w:pStyle w:val="FootnoteText"/>
        <w:spacing w:after="0"/>
        <w:rPr>
          <w:sz w:val="19"/>
          <w:szCs w:val="19"/>
        </w:rPr>
      </w:pPr>
      <w:r w:rsidRPr="00EB3154">
        <w:rPr>
          <w:rStyle w:val="FootnoteReference"/>
          <w:sz w:val="19"/>
          <w:szCs w:val="19"/>
        </w:rPr>
        <w:footnoteRef/>
      </w:r>
      <w:r w:rsidRPr="00EB3154">
        <w:rPr>
          <w:sz w:val="19"/>
          <w:szCs w:val="19"/>
        </w:rPr>
        <w:t xml:space="preserve"> Excluding cast iron and unprotected steel mains that have been rehabilitated using specified mitigation methods.</w:t>
      </w:r>
    </w:p>
  </w:footnote>
  <w:footnote w:id="67">
    <w:p w14:paraId="21ED3756" w14:textId="0EB7211C" w:rsidR="002E09F6" w:rsidRPr="00EB3154" w:rsidRDefault="002E09F6" w:rsidP="004C0E5F">
      <w:pPr>
        <w:pStyle w:val="FootnoteText"/>
        <w:spacing w:after="0"/>
        <w:rPr>
          <w:sz w:val="19"/>
          <w:szCs w:val="19"/>
        </w:rPr>
      </w:pPr>
      <w:r w:rsidRPr="00EB3154">
        <w:rPr>
          <w:rStyle w:val="FootnoteReference"/>
          <w:sz w:val="19"/>
          <w:szCs w:val="19"/>
        </w:rPr>
        <w:footnoteRef/>
      </w:r>
      <w:bookmarkStart w:id="33" w:name="_Hlk525821031"/>
      <w:r>
        <w:rPr>
          <w:sz w:val="19"/>
          <w:szCs w:val="19"/>
        </w:rPr>
        <w:t xml:space="preserve"> </w:t>
      </w:r>
      <w:r w:rsidRPr="00B532B2">
        <w:rPr>
          <w:sz w:val="19"/>
          <w:szCs w:val="19"/>
        </w:rPr>
        <w:t xml:space="preserve">40 CFR 98.233(r) </w:t>
      </w:r>
      <w:r>
        <w:rPr>
          <w:sz w:val="19"/>
          <w:szCs w:val="19"/>
        </w:rPr>
        <w:t>; b</w:t>
      </w:r>
      <w:r w:rsidRPr="00B532B2">
        <w:rPr>
          <w:sz w:val="19"/>
          <w:szCs w:val="19"/>
        </w:rPr>
        <w:t>ased on comments received on the Continuous Improvement proposal published August 13, 2018, the Methane Challenge Program will continue to use the Subpart W emission factors (40 CFR 98.233(r) and Table W-7) for the Distribution Mains source. EPA will continue to evaluate the Methane Challenge reporting methodology for this so</w:t>
      </w:r>
      <w:r>
        <w:rPr>
          <w:sz w:val="19"/>
          <w:szCs w:val="19"/>
        </w:rPr>
        <w:t>urce for future reporting years</w:t>
      </w:r>
      <w:r w:rsidRPr="00035924">
        <w:rPr>
          <w:sz w:val="18"/>
          <w:szCs w:val="18"/>
        </w:rPr>
        <w:t>.</w:t>
      </w:r>
      <w:bookmarkEnd w:id="33"/>
    </w:p>
  </w:footnote>
  <w:footnote w:id="68">
    <w:p w14:paraId="40043BCF" w14:textId="3A43538E" w:rsidR="002E09F6" w:rsidRPr="00EB3154" w:rsidRDefault="002E09F6" w:rsidP="004C0E5F">
      <w:pPr>
        <w:pStyle w:val="FootnoteText"/>
        <w:spacing w:after="0"/>
        <w:rPr>
          <w:sz w:val="19"/>
          <w:szCs w:val="19"/>
        </w:rPr>
      </w:pPr>
      <w:r w:rsidRPr="00EB3154">
        <w:rPr>
          <w:rStyle w:val="FootnoteReference"/>
          <w:sz w:val="19"/>
          <w:szCs w:val="19"/>
        </w:rPr>
        <w:footnoteRef/>
      </w:r>
      <w:r w:rsidRPr="00EB3154">
        <w:rPr>
          <w:sz w:val="19"/>
          <w:szCs w:val="19"/>
        </w:rPr>
        <w:t xml:space="preserve"> For example, if a partner made a Mains commitment in March 20</w:t>
      </w:r>
      <w:r>
        <w:rPr>
          <w:sz w:val="19"/>
          <w:szCs w:val="19"/>
        </w:rPr>
        <w:t>20</w:t>
      </w:r>
      <w:r w:rsidRPr="00EB3154">
        <w:rPr>
          <w:sz w:val="19"/>
          <w:szCs w:val="19"/>
        </w:rPr>
        <w:t xml:space="preserve"> and submits a report for this commitment for the first time in 20</w:t>
      </w:r>
      <w:r>
        <w:rPr>
          <w:sz w:val="19"/>
          <w:szCs w:val="19"/>
        </w:rPr>
        <w:t>22</w:t>
      </w:r>
      <w:r w:rsidRPr="00EB3154">
        <w:rPr>
          <w:sz w:val="19"/>
          <w:szCs w:val="19"/>
        </w:rPr>
        <w:t>, in th</w:t>
      </w:r>
      <w:r>
        <w:rPr>
          <w:sz w:val="19"/>
          <w:szCs w:val="19"/>
        </w:rPr>
        <w:t xml:space="preserve">is </w:t>
      </w:r>
      <w:r w:rsidRPr="00EB3154">
        <w:rPr>
          <w:sz w:val="19"/>
          <w:szCs w:val="19"/>
        </w:rPr>
        <w:t>report they will include their inventory as of January 1, 20</w:t>
      </w:r>
      <w:r>
        <w:rPr>
          <w:sz w:val="19"/>
          <w:szCs w:val="19"/>
        </w:rPr>
        <w:t>20</w:t>
      </w:r>
      <w:r w:rsidRPr="00EB3154">
        <w:rPr>
          <w:sz w:val="19"/>
          <w:szCs w:val="19"/>
        </w:rPr>
        <w:t xml:space="preserve">. </w:t>
      </w:r>
      <w:r>
        <w:rPr>
          <w:sz w:val="19"/>
          <w:szCs w:val="19"/>
        </w:rPr>
        <w:t xml:space="preserve">In subsequent years, the reporting system will prepopulate this cell with the value reported in the previous year. It should not be changed year-over-year unless there was an error in the value initially reported; </w:t>
      </w:r>
      <w:r w:rsidRPr="00E521DA">
        <w:rPr>
          <w:b/>
          <w:bCs/>
          <w:sz w:val="19"/>
          <w:szCs w:val="19"/>
        </w:rPr>
        <w:t>this inventory should not be adjusted each year as replacements are made</w:t>
      </w:r>
      <w:r>
        <w:rPr>
          <w:sz w:val="19"/>
          <w:szCs w:val="19"/>
        </w:rPr>
        <w:t>.</w:t>
      </w:r>
    </w:p>
  </w:footnote>
  <w:footnote w:id="69">
    <w:p w14:paraId="06E30F0C" w14:textId="6C73A364" w:rsidR="002E09F6" w:rsidRPr="00EB3154" w:rsidRDefault="002E09F6" w:rsidP="004C0E5F">
      <w:pPr>
        <w:pStyle w:val="FootnoteText"/>
        <w:spacing w:after="0"/>
        <w:rPr>
          <w:sz w:val="19"/>
          <w:szCs w:val="19"/>
        </w:rPr>
      </w:pPr>
      <w:r w:rsidRPr="00EB3154">
        <w:rPr>
          <w:rStyle w:val="FootnoteReference"/>
          <w:sz w:val="19"/>
          <w:szCs w:val="19"/>
        </w:rPr>
        <w:footnoteRef/>
      </w:r>
      <w:r w:rsidRPr="00EB3154">
        <w:rPr>
          <w:sz w:val="19"/>
          <w:szCs w:val="19"/>
        </w:rPr>
        <w:t xml:space="preserve"> </w:t>
      </w:r>
      <w:r w:rsidRPr="00EB3154">
        <w:rPr>
          <w:i/>
          <w:sz w:val="19"/>
          <w:szCs w:val="19"/>
        </w:rPr>
        <w:t>Ibid</w:t>
      </w:r>
      <w:r>
        <w:rPr>
          <w:i/>
          <w:sz w:val="19"/>
          <w:szCs w:val="19"/>
        </w:rPr>
        <w:t>.</w:t>
      </w:r>
    </w:p>
  </w:footnote>
  <w:footnote w:id="70">
    <w:p w14:paraId="0E5C4877" w14:textId="77777777" w:rsidR="002E09F6" w:rsidRPr="00E22D98" w:rsidRDefault="002E09F6" w:rsidP="004C0E5F">
      <w:pPr>
        <w:pStyle w:val="FootnoteText"/>
        <w:spacing w:after="0"/>
        <w:rPr>
          <w:sz w:val="19"/>
          <w:szCs w:val="19"/>
        </w:rPr>
      </w:pPr>
      <w:r w:rsidRPr="00E22D98">
        <w:rPr>
          <w:rStyle w:val="FootnoteReference"/>
          <w:sz w:val="19"/>
          <w:szCs w:val="19"/>
        </w:rPr>
        <w:footnoteRef/>
      </w:r>
      <w:r w:rsidRPr="00E22D98">
        <w:rPr>
          <w:sz w:val="19"/>
          <w:szCs w:val="19"/>
        </w:rPr>
        <w:t xml:space="preserve"> As calculated per the specified emission quantification methodologies for each source.</w:t>
      </w:r>
    </w:p>
  </w:footnote>
  <w:footnote w:id="71">
    <w:p w14:paraId="0554C2B1" w14:textId="36EC492C" w:rsidR="002E09F6" w:rsidRPr="006514EC" w:rsidRDefault="002E09F6" w:rsidP="001D4009">
      <w:pPr>
        <w:pStyle w:val="FootnoteText"/>
        <w:spacing w:after="0"/>
        <w:rPr>
          <w:sz w:val="19"/>
          <w:szCs w:val="19"/>
        </w:rPr>
      </w:pPr>
      <w:r w:rsidRPr="006514EC">
        <w:rPr>
          <w:rStyle w:val="FootnoteReference"/>
          <w:sz w:val="19"/>
          <w:szCs w:val="19"/>
        </w:rPr>
        <w:footnoteRef/>
      </w:r>
      <w:r w:rsidRPr="006514EC">
        <w:rPr>
          <w:sz w:val="19"/>
          <w:szCs w:val="19"/>
        </w:rPr>
        <w:t xml:space="preserve"> </w:t>
      </w:r>
      <w:hyperlink r:id="rId6" w:anchor="ServiceLine" w:history="1">
        <w:r w:rsidRPr="006514EC">
          <w:rPr>
            <w:rStyle w:val="Hyperlink"/>
            <w:sz w:val="19"/>
            <w:szCs w:val="19"/>
          </w:rPr>
          <w:t>http://primis.phmsa.dot.gov/comm/glossary/index.htm?nocache=1606#ServiceLine</w:t>
        </w:r>
      </w:hyperlink>
      <w:r w:rsidRPr="006514EC">
        <w:rPr>
          <w:sz w:val="19"/>
          <w:szCs w:val="19"/>
        </w:rPr>
        <w:t xml:space="preserve"> </w:t>
      </w:r>
    </w:p>
  </w:footnote>
  <w:footnote w:id="72">
    <w:p w14:paraId="177BC7B2" w14:textId="5B14E65E" w:rsidR="002E09F6" w:rsidRPr="006514EC" w:rsidRDefault="002E09F6" w:rsidP="001D4009">
      <w:pPr>
        <w:pStyle w:val="FootnoteText"/>
        <w:spacing w:after="0"/>
        <w:rPr>
          <w:sz w:val="19"/>
          <w:szCs w:val="19"/>
        </w:rPr>
      </w:pPr>
      <w:r w:rsidRPr="006514EC">
        <w:rPr>
          <w:rStyle w:val="FootnoteReference"/>
          <w:sz w:val="19"/>
          <w:szCs w:val="19"/>
        </w:rPr>
        <w:footnoteRef/>
      </w:r>
      <w:r w:rsidRPr="006514EC">
        <w:rPr>
          <w:sz w:val="19"/>
          <w:szCs w:val="19"/>
        </w:rPr>
        <w:t xml:space="preserve"> “Service Ts” are included in this source category. </w:t>
      </w:r>
    </w:p>
  </w:footnote>
  <w:footnote w:id="73">
    <w:p w14:paraId="1FBDC264" w14:textId="7C2ACB01" w:rsidR="002E09F6" w:rsidRPr="006514EC" w:rsidRDefault="002E09F6" w:rsidP="001D4009">
      <w:pPr>
        <w:pStyle w:val="FootnoteText"/>
        <w:spacing w:after="0"/>
        <w:rPr>
          <w:sz w:val="19"/>
          <w:szCs w:val="19"/>
        </w:rPr>
      </w:pPr>
      <w:r w:rsidRPr="006514EC">
        <w:rPr>
          <w:rStyle w:val="FootnoteReference"/>
          <w:sz w:val="19"/>
          <w:szCs w:val="19"/>
        </w:rPr>
        <w:footnoteRef/>
      </w:r>
      <w:r w:rsidRPr="006514EC">
        <w:rPr>
          <w:sz w:val="19"/>
          <w:szCs w:val="19"/>
        </w:rPr>
        <w:t xml:space="preserve"> </w:t>
      </w:r>
      <w:hyperlink r:id="rId7" w:history="1">
        <w:r w:rsidRPr="006514EC">
          <w:rPr>
            <w:rStyle w:val="Hyperlink"/>
            <w:sz w:val="19"/>
            <w:szCs w:val="19"/>
          </w:rPr>
          <w:t>http://www.ecfr.gov/cgi-bin/text-idx?SID=06dfe10fe465d0ee1b352dad32b2c248&amp;mc=true&amp;node=sp49.3.192.b&amp;rgn=div6</w:t>
        </w:r>
      </w:hyperlink>
      <w:r w:rsidRPr="006514EC">
        <w:rPr>
          <w:sz w:val="19"/>
          <w:szCs w:val="19"/>
        </w:rPr>
        <w:t xml:space="preserve"> </w:t>
      </w:r>
    </w:p>
  </w:footnote>
  <w:footnote w:id="74">
    <w:p w14:paraId="4DD731BF" w14:textId="75FB36A6" w:rsidR="002E09F6" w:rsidRPr="006514EC" w:rsidRDefault="002E09F6" w:rsidP="001D4009">
      <w:pPr>
        <w:pStyle w:val="FootnoteText"/>
        <w:spacing w:after="0"/>
        <w:rPr>
          <w:sz w:val="19"/>
          <w:szCs w:val="19"/>
        </w:rPr>
      </w:pPr>
      <w:r w:rsidRPr="006514EC">
        <w:rPr>
          <w:rStyle w:val="FootnoteReference"/>
          <w:sz w:val="19"/>
          <w:szCs w:val="19"/>
        </w:rPr>
        <w:footnoteRef/>
      </w:r>
      <w:r w:rsidRPr="00B261C7">
        <w:rPr>
          <w:sz w:val="19"/>
          <w:szCs w:val="19"/>
        </w:rPr>
        <w:t xml:space="preserve"> </w:t>
      </w:r>
      <w:r w:rsidRPr="00B532B2">
        <w:rPr>
          <w:sz w:val="19"/>
          <w:szCs w:val="19"/>
        </w:rPr>
        <w:t xml:space="preserve">Based on comments received on the Continuous Improvement proposal published August 13, 2018, the Methane Challenge Program will continue to use the Subpart W emission factors (40 CFR 98.233(r) and Table W-7) for the Distribution </w:t>
      </w:r>
      <w:r>
        <w:rPr>
          <w:sz w:val="19"/>
          <w:szCs w:val="19"/>
        </w:rPr>
        <w:t>Services</w:t>
      </w:r>
      <w:r w:rsidRPr="00B532B2">
        <w:rPr>
          <w:sz w:val="19"/>
          <w:szCs w:val="19"/>
        </w:rPr>
        <w:t xml:space="preserve"> source. EPA will continue to evaluate the Methane Challenge reporting methodology for this so</w:t>
      </w:r>
      <w:r>
        <w:rPr>
          <w:sz w:val="19"/>
          <w:szCs w:val="19"/>
        </w:rPr>
        <w:t>urce for future reporting years</w:t>
      </w:r>
      <w:r w:rsidRPr="00035924">
        <w:rPr>
          <w:sz w:val="18"/>
          <w:szCs w:val="18"/>
        </w:rPr>
        <w:t>.</w:t>
      </w:r>
    </w:p>
  </w:footnote>
  <w:footnote w:id="75">
    <w:p w14:paraId="19CBE4C3" w14:textId="19B5012C" w:rsidR="002E09F6" w:rsidRPr="006514EC" w:rsidRDefault="002E09F6" w:rsidP="000441AF">
      <w:pPr>
        <w:pStyle w:val="FootnoteText"/>
        <w:spacing w:after="0"/>
        <w:rPr>
          <w:sz w:val="19"/>
          <w:szCs w:val="19"/>
        </w:rPr>
      </w:pPr>
      <w:r w:rsidRPr="006514EC">
        <w:rPr>
          <w:rStyle w:val="FootnoteReference"/>
          <w:sz w:val="19"/>
          <w:szCs w:val="19"/>
        </w:rPr>
        <w:footnoteRef/>
      </w:r>
      <w:r w:rsidRPr="006514EC">
        <w:rPr>
          <w:sz w:val="19"/>
          <w:szCs w:val="19"/>
        </w:rPr>
        <w:t xml:space="preserve"> For example, if a partner made a Services commitment in March 20</w:t>
      </w:r>
      <w:r>
        <w:rPr>
          <w:sz w:val="19"/>
          <w:szCs w:val="19"/>
        </w:rPr>
        <w:t>20</w:t>
      </w:r>
      <w:r w:rsidRPr="006514EC">
        <w:rPr>
          <w:sz w:val="19"/>
          <w:szCs w:val="19"/>
        </w:rPr>
        <w:t xml:space="preserve"> and submits a report for this commitment for the first time in 20</w:t>
      </w:r>
      <w:r>
        <w:rPr>
          <w:sz w:val="19"/>
          <w:szCs w:val="19"/>
        </w:rPr>
        <w:t>22</w:t>
      </w:r>
      <w:r w:rsidRPr="006514EC">
        <w:rPr>
          <w:sz w:val="19"/>
          <w:szCs w:val="19"/>
        </w:rPr>
        <w:t xml:space="preserve">, in </w:t>
      </w:r>
      <w:r>
        <w:rPr>
          <w:sz w:val="19"/>
          <w:szCs w:val="19"/>
        </w:rPr>
        <w:t>this</w:t>
      </w:r>
      <w:r w:rsidRPr="006514EC">
        <w:rPr>
          <w:sz w:val="19"/>
          <w:szCs w:val="19"/>
        </w:rPr>
        <w:t xml:space="preserve"> report they will include their inventory as of January 1, 20</w:t>
      </w:r>
      <w:r>
        <w:rPr>
          <w:sz w:val="19"/>
          <w:szCs w:val="19"/>
        </w:rPr>
        <w:t>20</w:t>
      </w:r>
      <w:r w:rsidRPr="006514EC">
        <w:rPr>
          <w:sz w:val="19"/>
          <w:szCs w:val="19"/>
        </w:rPr>
        <w:t xml:space="preserve">. </w:t>
      </w:r>
      <w:r>
        <w:rPr>
          <w:sz w:val="19"/>
          <w:szCs w:val="19"/>
        </w:rPr>
        <w:t xml:space="preserve">In subsequent years, the reporting system will prepopulate this cell with the value reported in the previous year. It should not be changed year-over-year unless there was an error in the value initially reported; </w:t>
      </w:r>
      <w:r w:rsidRPr="00E521DA">
        <w:rPr>
          <w:b/>
          <w:bCs/>
          <w:sz w:val="19"/>
          <w:szCs w:val="19"/>
        </w:rPr>
        <w:t>this inventory should not be adjusted each year as replacements are made</w:t>
      </w:r>
      <w:r>
        <w:rPr>
          <w:sz w:val="19"/>
          <w:szCs w:val="19"/>
        </w:rPr>
        <w:t>.</w:t>
      </w:r>
    </w:p>
  </w:footnote>
  <w:footnote w:id="76">
    <w:p w14:paraId="7DFCECC2" w14:textId="552236E4" w:rsidR="002E09F6" w:rsidRPr="001D4009" w:rsidRDefault="002E09F6" w:rsidP="001D4009">
      <w:pPr>
        <w:pStyle w:val="FootnoteText"/>
        <w:spacing w:after="0"/>
        <w:rPr>
          <w:sz w:val="18"/>
          <w:szCs w:val="18"/>
        </w:rPr>
      </w:pPr>
      <w:r w:rsidRPr="006514EC">
        <w:rPr>
          <w:rStyle w:val="FootnoteReference"/>
          <w:sz w:val="19"/>
          <w:szCs w:val="19"/>
        </w:rPr>
        <w:footnoteRef/>
      </w:r>
      <w:r w:rsidRPr="006514EC">
        <w:rPr>
          <w:sz w:val="19"/>
          <w:szCs w:val="19"/>
        </w:rPr>
        <w:t xml:space="preserve"> EPA is using the unprotected steel EF as a proxy quantification method for this source.</w:t>
      </w:r>
      <w:r w:rsidRPr="001D4009">
        <w:rPr>
          <w:sz w:val="18"/>
          <w:szCs w:val="18"/>
        </w:rPr>
        <w:t xml:space="preserve"> </w:t>
      </w:r>
    </w:p>
  </w:footnote>
  <w:footnote w:id="77">
    <w:p w14:paraId="5BB9F60F" w14:textId="1F830608" w:rsidR="002E09F6" w:rsidRPr="006F4F35" w:rsidRDefault="002E09F6" w:rsidP="00740134">
      <w:pPr>
        <w:pStyle w:val="FootnoteText"/>
        <w:spacing w:after="0"/>
        <w:rPr>
          <w:sz w:val="19"/>
          <w:szCs w:val="19"/>
        </w:rPr>
      </w:pPr>
      <w:r w:rsidRPr="006F4F35">
        <w:rPr>
          <w:rStyle w:val="FootnoteReference"/>
          <w:sz w:val="19"/>
          <w:szCs w:val="19"/>
        </w:rPr>
        <w:footnoteRef/>
      </w:r>
      <w:r w:rsidRPr="006F4F35">
        <w:rPr>
          <w:sz w:val="19"/>
          <w:szCs w:val="19"/>
        </w:rPr>
        <w:t xml:space="preserve"> </w:t>
      </w:r>
      <w:r w:rsidRPr="006514EC">
        <w:rPr>
          <w:sz w:val="19"/>
          <w:szCs w:val="19"/>
        </w:rPr>
        <w:t>For example, if a partner made a Services commitment in March 20</w:t>
      </w:r>
      <w:r>
        <w:rPr>
          <w:sz w:val="19"/>
          <w:szCs w:val="19"/>
        </w:rPr>
        <w:t>20</w:t>
      </w:r>
      <w:r w:rsidRPr="006514EC">
        <w:rPr>
          <w:sz w:val="19"/>
          <w:szCs w:val="19"/>
        </w:rPr>
        <w:t xml:space="preserve"> and submits a report for this commitment for the first time in 20</w:t>
      </w:r>
      <w:r>
        <w:rPr>
          <w:sz w:val="19"/>
          <w:szCs w:val="19"/>
        </w:rPr>
        <w:t>22</w:t>
      </w:r>
      <w:r w:rsidRPr="006514EC">
        <w:rPr>
          <w:sz w:val="19"/>
          <w:szCs w:val="19"/>
        </w:rPr>
        <w:t xml:space="preserve">, in </w:t>
      </w:r>
      <w:r>
        <w:rPr>
          <w:sz w:val="19"/>
          <w:szCs w:val="19"/>
        </w:rPr>
        <w:t>this</w:t>
      </w:r>
      <w:r w:rsidRPr="006514EC">
        <w:rPr>
          <w:sz w:val="19"/>
          <w:szCs w:val="19"/>
        </w:rPr>
        <w:t xml:space="preserve"> report they will include their inventory as of January 1, 20</w:t>
      </w:r>
      <w:r>
        <w:rPr>
          <w:sz w:val="19"/>
          <w:szCs w:val="19"/>
        </w:rPr>
        <w:t>20</w:t>
      </w:r>
      <w:r w:rsidRPr="006514EC">
        <w:rPr>
          <w:sz w:val="19"/>
          <w:szCs w:val="19"/>
        </w:rPr>
        <w:t xml:space="preserve">. </w:t>
      </w:r>
      <w:r>
        <w:rPr>
          <w:sz w:val="19"/>
          <w:szCs w:val="19"/>
        </w:rPr>
        <w:t xml:space="preserve">In subsequent years, the reporting system will prepopulate this cell with the value reported in the previous year. It should not be changed year-over-year unless there was an error in the value initially reported; </w:t>
      </w:r>
      <w:r w:rsidRPr="009C7875">
        <w:rPr>
          <w:b/>
          <w:bCs/>
          <w:sz w:val="19"/>
          <w:szCs w:val="19"/>
        </w:rPr>
        <w:t>this inventory should not be adjusted each year as replacements are made</w:t>
      </w:r>
      <w:r>
        <w:rPr>
          <w:sz w:val="19"/>
          <w:szCs w:val="19"/>
        </w:rPr>
        <w:t>.</w:t>
      </w:r>
    </w:p>
  </w:footnote>
  <w:footnote w:id="78">
    <w:p w14:paraId="2D7B4E07" w14:textId="77777777" w:rsidR="002E09F6" w:rsidRPr="00FF45DD" w:rsidRDefault="002E09F6" w:rsidP="00190CE6">
      <w:pPr>
        <w:pStyle w:val="FootnoteText"/>
        <w:spacing w:after="0"/>
        <w:rPr>
          <w:sz w:val="18"/>
        </w:rPr>
      </w:pPr>
      <w:r w:rsidRPr="006F4F35">
        <w:rPr>
          <w:rStyle w:val="FootnoteReference"/>
          <w:sz w:val="19"/>
          <w:szCs w:val="19"/>
        </w:rPr>
        <w:footnoteRef/>
      </w:r>
      <w:r w:rsidRPr="006F4F35">
        <w:rPr>
          <w:sz w:val="19"/>
          <w:szCs w:val="19"/>
        </w:rPr>
        <w:t xml:space="preserve"> As calculated per the specified emission quantification methodologies for each source.</w:t>
      </w:r>
    </w:p>
  </w:footnote>
  <w:footnote w:id="79">
    <w:p w14:paraId="091588B1" w14:textId="77777777" w:rsidR="002E09F6" w:rsidRPr="00951D54" w:rsidRDefault="002E09F6" w:rsidP="001F0154">
      <w:pPr>
        <w:pStyle w:val="FootnoteText"/>
        <w:spacing w:after="0"/>
        <w:rPr>
          <w:sz w:val="19"/>
          <w:szCs w:val="19"/>
        </w:rPr>
      </w:pPr>
      <w:r w:rsidRPr="00951D54">
        <w:rPr>
          <w:rStyle w:val="FootnoteReference"/>
          <w:sz w:val="19"/>
          <w:szCs w:val="19"/>
        </w:rPr>
        <w:footnoteRef/>
      </w:r>
      <w:r w:rsidRPr="00951D54">
        <w:rPr>
          <w:sz w:val="19"/>
          <w:szCs w:val="19"/>
        </w:rPr>
        <w:t xml:space="preserve"> Partners are encouraged to designate a higher reduction rate. </w:t>
      </w:r>
    </w:p>
  </w:footnote>
  <w:footnote w:id="80">
    <w:p w14:paraId="1A2997D0" w14:textId="77777777" w:rsidR="002E09F6" w:rsidRPr="00951D54" w:rsidRDefault="002E09F6" w:rsidP="001F0154">
      <w:pPr>
        <w:pStyle w:val="FootnoteText"/>
        <w:spacing w:after="0"/>
        <w:rPr>
          <w:sz w:val="19"/>
          <w:szCs w:val="19"/>
        </w:rPr>
      </w:pPr>
      <w:r w:rsidRPr="00951D54">
        <w:rPr>
          <w:rStyle w:val="FootnoteReference"/>
          <w:sz w:val="19"/>
          <w:szCs w:val="19"/>
        </w:rPr>
        <w:footnoteRef/>
      </w:r>
      <w:r w:rsidRPr="00951D54">
        <w:rPr>
          <w:sz w:val="19"/>
          <w:szCs w:val="19"/>
        </w:rPr>
        <w:t xml:space="preserve"> Total potential emissions amounts will likely be different each year.</w:t>
      </w:r>
    </w:p>
  </w:footnote>
  <w:footnote w:id="81">
    <w:p w14:paraId="48B1D22A" w14:textId="77777777" w:rsidR="002E09F6" w:rsidRPr="00951D54" w:rsidRDefault="002E09F6" w:rsidP="001F0154">
      <w:pPr>
        <w:pStyle w:val="FootnoteText"/>
        <w:spacing w:after="0"/>
        <w:rPr>
          <w:sz w:val="19"/>
          <w:szCs w:val="19"/>
        </w:rPr>
      </w:pPr>
      <w:r w:rsidRPr="00951D54">
        <w:rPr>
          <w:rStyle w:val="FootnoteReference"/>
          <w:sz w:val="19"/>
          <w:szCs w:val="19"/>
        </w:rPr>
        <w:footnoteRef/>
      </w:r>
      <w:r w:rsidRPr="00951D54">
        <w:rPr>
          <w:sz w:val="19"/>
          <w:szCs w:val="19"/>
        </w:rPr>
        <w:t xml:space="preserve"> The reference to atmospheric pressure is intended to assist in defining total potential emissions, not an indication that companies must reduce pressure to atmospheric pressure for every blowdown. </w:t>
      </w:r>
    </w:p>
  </w:footnote>
  <w:footnote w:id="82">
    <w:p w14:paraId="68D879A9" w14:textId="77777777" w:rsidR="002E09F6" w:rsidRPr="00951D54" w:rsidRDefault="002E09F6" w:rsidP="001F0154">
      <w:pPr>
        <w:pStyle w:val="FootnoteText"/>
        <w:spacing w:after="0"/>
        <w:rPr>
          <w:sz w:val="19"/>
          <w:szCs w:val="19"/>
        </w:rPr>
      </w:pPr>
      <w:r w:rsidRPr="00951D54">
        <w:rPr>
          <w:rStyle w:val="FootnoteReference"/>
          <w:sz w:val="19"/>
          <w:szCs w:val="19"/>
        </w:rPr>
        <w:footnoteRef/>
      </w:r>
      <w:r w:rsidRPr="00951D54">
        <w:rPr>
          <w:sz w:val="19"/>
          <w:szCs w:val="19"/>
        </w:rPr>
        <w:t xml:space="preserve"> Emergency blowdown events and blowdowns of pipelines operating at 60 psi or less are not included in this source for the BMP Option.</w:t>
      </w:r>
    </w:p>
  </w:footnote>
  <w:footnote w:id="83">
    <w:p w14:paraId="53C03185" w14:textId="77777777" w:rsidR="002E09F6" w:rsidRPr="00951D54" w:rsidRDefault="002E09F6" w:rsidP="001F0154">
      <w:pPr>
        <w:pStyle w:val="FootnoteText"/>
        <w:spacing w:after="0"/>
        <w:rPr>
          <w:sz w:val="19"/>
          <w:szCs w:val="19"/>
        </w:rPr>
      </w:pPr>
      <w:r w:rsidRPr="00951D54">
        <w:rPr>
          <w:rStyle w:val="FootnoteReference"/>
          <w:sz w:val="19"/>
          <w:szCs w:val="19"/>
        </w:rPr>
        <w:footnoteRef/>
      </w:r>
      <w:r w:rsidRPr="00951D54">
        <w:rPr>
          <w:sz w:val="19"/>
          <w:szCs w:val="19"/>
        </w:rPr>
        <w:t xml:space="preserve"> 40 CFR 98.233(i)(2), based on the volume of pipeline segment between isolation valves and the pressure and temperature of the gas within the pipeline.</w:t>
      </w:r>
    </w:p>
  </w:footnote>
  <w:footnote w:id="84">
    <w:p w14:paraId="0F388F17" w14:textId="77777777" w:rsidR="002E09F6" w:rsidRPr="00D83244" w:rsidRDefault="002E09F6" w:rsidP="001F0154">
      <w:pPr>
        <w:pStyle w:val="FootnoteText"/>
        <w:spacing w:after="0"/>
        <w:rPr>
          <w:sz w:val="18"/>
          <w:szCs w:val="18"/>
        </w:rPr>
      </w:pPr>
      <w:r w:rsidRPr="00951D54">
        <w:rPr>
          <w:rStyle w:val="FootnoteReference"/>
          <w:sz w:val="19"/>
          <w:szCs w:val="19"/>
        </w:rPr>
        <w:footnoteRef/>
      </w:r>
      <w:r w:rsidRPr="00951D54">
        <w:rPr>
          <w:sz w:val="19"/>
          <w:szCs w:val="19"/>
        </w:rPr>
        <w:t xml:space="preserve"> 40 CFR 98.233(i)(3), based on the measurement of emissions using a flow meter.</w:t>
      </w:r>
    </w:p>
  </w:footnote>
  <w:footnote w:id="85">
    <w:p w14:paraId="07D61BAF" w14:textId="77777777" w:rsidR="002E09F6" w:rsidRPr="00951D54" w:rsidRDefault="002E09F6" w:rsidP="001F0154">
      <w:pPr>
        <w:pStyle w:val="FootnoteText"/>
        <w:spacing w:after="0"/>
        <w:rPr>
          <w:sz w:val="19"/>
          <w:szCs w:val="19"/>
        </w:rPr>
      </w:pPr>
      <w:r w:rsidRPr="00951D54">
        <w:rPr>
          <w:rStyle w:val="FootnoteReference"/>
          <w:sz w:val="19"/>
          <w:szCs w:val="19"/>
        </w:rPr>
        <w:footnoteRef/>
      </w:r>
      <w:r w:rsidRPr="00951D54">
        <w:rPr>
          <w:sz w:val="19"/>
          <w:szCs w:val="19"/>
        </w:rPr>
        <w:t xml:space="preserve"> As calculated per the specified emission quantification methodologies for each source.</w:t>
      </w:r>
    </w:p>
  </w:footnote>
  <w:footnote w:id="86">
    <w:p w14:paraId="3BF0B023" w14:textId="77777777" w:rsidR="002E09F6" w:rsidRPr="00D83244" w:rsidRDefault="002E09F6" w:rsidP="001F0154">
      <w:pPr>
        <w:pStyle w:val="FootnoteText"/>
        <w:spacing w:after="0"/>
        <w:rPr>
          <w:sz w:val="18"/>
          <w:szCs w:val="18"/>
        </w:rPr>
      </w:pPr>
      <w:r w:rsidRPr="00951D54">
        <w:rPr>
          <w:rStyle w:val="FootnoteReference"/>
          <w:sz w:val="19"/>
          <w:szCs w:val="19"/>
        </w:rPr>
        <w:footnoteRef/>
      </w:r>
      <w:r w:rsidRPr="00951D54">
        <w:rPr>
          <w:sz w:val="19"/>
          <w:szCs w:val="19"/>
        </w:rPr>
        <w:t xml:space="preserve"> 40 CFR 98.233 (n) provides flaring quantification guidance.</w:t>
      </w:r>
    </w:p>
  </w:footnote>
  <w:footnote w:id="87">
    <w:p w14:paraId="6E6D321D" w14:textId="7613529A" w:rsidR="002E09F6" w:rsidRPr="00951D54" w:rsidRDefault="002E09F6" w:rsidP="00CE4F23">
      <w:pPr>
        <w:pStyle w:val="FootnoteText"/>
        <w:spacing w:after="0"/>
        <w:rPr>
          <w:sz w:val="19"/>
          <w:szCs w:val="19"/>
        </w:rPr>
      </w:pPr>
      <w:r w:rsidRPr="00951D54">
        <w:rPr>
          <w:rStyle w:val="FootnoteReference"/>
          <w:sz w:val="19"/>
          <w:szCs w:val="19"/>
        </w:rPr>
        <w:footnoteRef/>
      </w:r>
      <w:r w:rsidRPr="00951D54">
        <w:rPr>
          <w:sz w:val="19"/>
          <w:szCs w:val="19"/>
        </w:rPr>
        <w:t xml:space="preserve"> </w:t>
      </w:r>
      <w:hyperlink r:id="rId8" w:history="1">
        <w:r w:rsidRPr="00951D54">
          <w:rPr>
            <w:rStyle w:val="Hyperlink"/>
            <w:sz w:val="19"/>
            <w:szCs w:val="19"/>
          </w:rPr>
          <w:t>http://primis.phmsa.dot.gov/comm/FactSheets/FSExcavationDamage.htm</w:t>
        </w:r>
      </w:hyperlink>
      <w:r w:rsidRPr="00951D54">
        <w:rPr>
          <w:sz w:val="19"/>
          <w:szCs w:val="19"/>
        </w:rPr>
        <w:t xml:space="preserve"> </w:t>
      </w:r>
    </w:p>
  </w:footnote>
  <w:footnote w:id="88">
    <w:p w14:paraId="163245B3" w14:textId="4D7C06EE" w:rsidR="002E09F6" w:rsidRPr="00FF45DD" w:rsidRDefault="002E09F6" w:rsidP="00CE4F23">
      <w:pPr>
        <w:pStyle w:val="FootnoteText"/>
        <w:spacing w:after="0"/>
        <w:rPr>
          <w:sz w:val="18"/>
        </w:rPr>
      </w:pPr>
      <w:r w:rsidRPr="00951D54">
        <w:rPr>
          <w:rStyle w:val="FootnoteReference"/>
          <w:sz w:val="19"/>
          <w:szCs w:val="19"/>
        </w:rPr>
        <w:footnoteRef/>
      </w:r>
      <w:r w:rsidRPr="00951D54">
        <w:rPr>
          <w:sz w:val="19"/>
          <w:szCs w:val="19"/>
        </w:rPr>
        <w:t xml:space="preserve"> The program is not requesting quantification of emissions/reductions due to lack of a quantification methodology that would result in consistent, comparable emissions calculations. EPA will evaluate adding quantification to this source in the future should an acceptable methodology become available.</w:t>
      </w:r>
      <w:r w:rsidRPr="00FF45DD">
        <w:rPr>
          <w:sz w:val="18"/>
        </w:rPr>
        <w:t xml:space="preserve"> </w:t>
      </w:r>
    </w:p>
  </w:footnote>
  <w:footnote w:id="89">
    <w:p w14:paraId="29F7AD3C" w14:textId="6F274E21" w:rsidR="002E09F6" w:rsidRPr="00951D54" w:rsidRDefault="002E09F6" w:rsidP="004C0E5F">
      <w:pPr>
        <w:pStyle w:val="FootnoteText"/>
        <w:spacing w:after="0"/>
        <w:rPr>
          <w:sz w:val="19"/>
          <w:szCs w:val="19"/>
        </w:rPr>
      </w:pPr>
      <w:r w:rsidRPr="00951D54">
        <w:rPr>
          <w:rStyle w:val="FootnoteReference"/>
          <w:sz w:val="19"/>
          <w:szCs w:val="19"/>
        </w:rPr>
        <w:footnoteRef/>
      </w:r>
      <w:r w:rsidRPr="00951D54">
        <w:rPr>
          <w:sz w:val="19"/>
          <w:szCs w:val="19"/>
        </w:rPr>
        <w:t xml:space="preserve"> Contractor, Railroad, County, State, Developer, Utility, Farmer, Municipality, Occupant, Unknown/Other</w:t>
      </w:r>
    </w:p>
  </w:footnote>
  <w:footnote w:id="90">
    <w:p w14:paraId="114AED99" w14:textId="30AA630E" w:rsidR="002E09F6" w:rsidRDefault="002E09F6" w:rsidP="004C0E5F">
      <w:pPr>
        <w:pStyle w:val="FootnoteText"/>
        <w:spacing w:after="0"/>
      </w:pPr>
      <w:r w:rsidRPr="00951D54">
        <w:rPr>
          <w:rStyle w:val="FootnoteReference"/>
          <w:sz w:val="19"/>
          <w:szCs w:val="19"/>
        </w:rPr>
        <w:footnoteRef/>
      </w:r>
      <w:r w:rsidRPr="00951D54">
        <w:rPr>
          <w:sz w:val="19"/>
          <w:szCs w:val="19"/>
        </w:rPr>
        <w:t xml:space="preserve"> One-Call Notification Practices, Locating Practices, or Excavation Practices Not Sufficient; One-Call Notification Center Error</w:t>
      </w:r>
      <w:r>
        <w:rPr>
          <w:sz w:val="19"/>
          <w:szCs w:val="19"/>
        </w:rPr>
        <w:t xml:space="preserve">; </w:t>
      </w:r>
      <w:r w:rsidRPr="00951D54">
        <w:rPr>
          <w:sz w:val="19"/>
          <w:szCs w:val="19"/>
        </w:rPr>
        <w:t>Abandoned Facility</w:t>
      </w:r>
      <w:r>
        <w:rPr>
          <w:sz w:val="19"/>
          <w:szCs w:val="19"/>
        </w:rPr>
        <w:t xml:space="preserve">; </w:t>
      </w:r>
      <w:r w:rsidRPr="00951D54">
        <w:rPr>
          <w:sz w:val="19"/>
          <w:szCs w:val="19"/>
        </w:rPr>
        <w:t>Deteriorated Facility</w:t>
      </w:r>
      <w:r>
        <w:rPr>
          <w:sz w:val="19"/>
          <w:szCs w:val="19"/>
        </w:rPr>
        <w:t>;</w:t>
      </w:r>
      <w:r w:rsidRPr="00951D54">
        <w:rPr>
          <w:sz w:val="19"/>
          <w:szCs w:val="19"/>
        </w:rPr>
        <w:t xml:space="preserve"> Previous Damage</w:t>
      </w:r>
      <w:r>
        <w:rPr>
          <w:sz w:val="19"/>
          <w:szCs w:val="19"/>
        </w:rPr>
        <w:t xml:space="preserve">; </w:t>
      </w:r>
      <w:r w:rsidRPr="00951D54">
        <w:rPr>
          <w:sz w:val="19"/>
          <w:szCs w:val="19"/>
        </w:rPr>
        <w:t>Other/Miscellaneous</w:t>
      </w:r>
      <w:r>
        <w:rPr>
          <w:sz w:val="19"/>
          <w:szCs w:val="19"/>
        </w:rPr>
        <w:t xml:space="preserve">. Note – </w:t>
      </w:r>
      <w:r>
        <w:t>for a damage root cause of “No Locate Call”, please use the “One-Call Notification Practices Not Sufficient” category.</w:t>
      </w:r>
    </w:p>
  </w:footnote>
  <w:footnote w:id="91">
    <w:p w14:paraId="6DBC1C16" w14:textId="77777777" w:rsidR="002E09F6" w:rsidRDefault="002E09F6" w:rsidP="00E27346">
      <w:pPr>
        <w:pStyle w:val="FootnoteText"/>
      </w:pPr>
      <w:r>
        <w:rPr>
          <w:rStyle w:val="FootnoteReference"/>
        </w:rPr>
        <w:footnoteRef/>
      </w:r>
      <w:r w:rsidRPr="00143230">
        <w:t xml:space="preserve"> </w:t>
      </w:r>
      <w:r>
        <w:t>There are many different definitions of renewable natural gas currently used; these definitions are specifically tailored to each context. For example, the American Gas Association has developed this consensus definition: “</w:t>
      </w:r>
      <w:r w:rsidRPr="00953BD3">
        <w:t>Renewable natural gas (RNG) is any pipeline compatible gaseous fuel derived from biogenic or other renewable sources that has lower lifecycle CO2e emissions than geological natural gas</w:t>
      </w:r>
      <w:r>
        <w:t xml:space="preserve">”. Further information on AGA’s definition can be found at this URL: </w:t>
      </w:r>
      <w:hyperlink r:id="rId9" w:history="1">
        <w:r w:rsidRPr="000758DD">
          <w:rPr>
            <w:rStyle w:val="Hyperlink"/>
          </w:rPr>
          <w:t>https://www.aga.org/natural-gas/renewable/</w:t>
        </w:r>
      </w:hyperlink>
    </w:p>
  </w:footnote>
  <w:footnote w:id="92">
    <w:p w14:paraId="648E70A0" w14:textId="77777777" w:rsidR="002E09F6" w:rsidRDefault="002E09F6" w:rsidP="00E27346">
      <w:pPr>
        <w:pStyle w:val="FootnoteText"/>
      </w:pPr>
      <w:r>
        <w:rPr>
          <w:rStyle w:val="FootnoteReference"/>
        </w:rPr>
        <w:footnoteRef/>
      </w:r>
      <w:r>
        <w:t xml:space="preserve"> If your company operates in multiple states and is in different phases of offering ‘green gas’ to customers in the different states, you can provide additional details in the ‘additional information’ free text field.</w:t>
      </w:r>
    </w:p>
  </w:footnote>
  <w:footnote w:id="93">
    <w:p w14:paraId="4783A070" w14:textId="77777777" w:rsidR="002E09F6" w:rsidRDefault="002E09F6" w:rsidP="00E27346">
      <w:pPr>
        <w:pStyle w:val="FootnoteText"/>
      </w:pPr>
      <w:r>
        <w:rPr>
          <w:rStyle w:val="FootnoteReference"/>
        </w:rPr>
        <w:footnoteRef/>
      </w:r>
      <w:r>
        <w:t xml:space="preserve"> This ID is to be generated by the reporting partner and can be of any alphanumeric format desired.</w:t>
      </w:r>
      <w:r w:rsidRPr="006B2D90">
        <w:t xml:space="preserve"> </w:t>
      </w:r>
      <w:r>
        <w:t>The same ID should be used for any given project across the different tables on the reporting form.</w:t>
      </w:r>
    </w:p>
  </w:footnote>
  <w:footnote w:id="94">
    <w:p w14:paraId="1FAEBB43" w14:textId="77777777" w:rsidR="002E09F6" w:rsidRDefault="002E09F6" w:rsidP="00E27346">
      <w:pPr>
        <w:pStyle w:val="FootnoteText"/>
      </w:pPr>
      <w:r>
        <w:rPr>
          <w:rStyle w:val="FootnoteReference"/>
        </w:rPr>
        <w:footnoteRef/>
      </w:r>
      <w:r>
        <w:t xml:space="preserve"> </w:t>
      </w:r>
      <w:r>
        <w:rPr>
          <w:sz w:val="21"/>
          <w:szCs w:val="21"/>
        </w:rPr>
        <w:t>If project feedstock is a combined waste stream, please select “Other” and specify the waste streams using the nomenclature from the drop-down list</w:t>
      </w:r>
    </w:p>
  </w:footnote>
  <w:footnote w:id="95">
    <w:p w14:paraId="0D52B343" w14:textId="77777777" w:rsidR="002E09F6" w:rsidRDefault="002E09F6" w:rsidP="00E27346">
      <w:pPr>
        <w:pStyle w:val="FootnoteText"/>
      </w:pPr>
      <w:r>
        <w:rPr>
          <w:rStyle w:val="FootnoteReference"/>
        </w:rPr>
        <w:footnoteRef/>
      </w:r>
      <w:r>
        <w:t xml:space="preserve"> This ID is to be generated by the reporting partner and can be of any alphanumeric format desired.</w:t>
      </w:r>
      <w:r w:rsidRPr="006B2D90">
        <w:t xml:space="preserve"> </w:t>
      </w:r>
      <w:r>
        <w:t>The same ID should be used for any given project across the different tables on the reporting form.</w:t>
      </w:r>
    </w:p>
  </w:footnote>
  <w:footnote w:id="96">
    <w:p w14:paraId="38B3D47A" w14:textId="77777777" w:rsidR="002E09F6" w:rsidRPr="00237CD4" w:rsidRDefault="002E09F6" w:rsidP="00E27346">
      <w:pPr>
        <w:pStyle w:val="FootnoteText"/>
        <w:rPr>
          <w:i/>
          <w:iCs/>
        </w:rPr>
      </w:pPr>
      <w:r>
        <w:rPr>
          <w:rStyle w:val="FootnoteReference"/>
        </w:rPr>
        <w:footnoteRef/>
      </w:r>
      <w:r>
        <w:t xml:space="preserve"> This ID is to be generated by the reporting partner and can be of any alphanumeric format desired.</w:t>
      </w:r>
      <w:r w:rsidRPr="006B2D90">
        <w:t xml:space="preserve"> </w:t>
      </w:r>
      <w:r>
        <w:t>The same ID should be used for any given project across the different tables on the reporting form.</w:t>
      </w:r>
    </w:p>
  </w:footnote>
  <w:footnote w:id="97">
    <w:p w14:paraId="1D5C7BD1" w14:textId="41626CA3" w:rsidR="002E09F6" w:rsidRDefault="002E09F6">
      <w:pPr>
        <w:pStyle w:val="FootnoteText"/>
      </w:pPr>
      <w:r>
        <w:rPr>
          <w:rStyle w:val="FootnoteReference"/>
        </w:rPr>
        <w:footnoteRef/>
      </w:r>
      <w:r>
        <w:t xml:space="preserve"> Generally; a commitment specifically for isolation and blowdown valves at compressor stations was finalized in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A8B658" w14:textId="2259E911" w:rsidR="002E09F6" w:rsidRDefault="00FA3A65" w:rsidP="00F57388">
    <w:pPr>
      <w:pStyle w:val="Header"/>
      <w:jc w:val="center"/>
    </w:pPr>
    <w:sdt>
      <w:sdtPr>
        <w:id w:val="-593636867"/>
        <w:docPartObj>
          <w:docPartGallery w:val="Watermarks"/>
          <w:docPartUnique/>
        </w:docPartObj>
      </w:sdtPr>
      <w:sdtEndPr/>
      <w:sdtContent>
        <w:r>
          <w:rPr>
            <w:noProof/>
          </w:rPr>
          <w:pict w14:anchorId="4D5448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2E09F6" w:rsidRPr="0021332D">
      <w:rPr>
        <w:i/>
        <w:noProof/>
      </w:rPr>
      <w:drawing>
        <wp:inline distT="0" distB="0" distL="0" distR="0" wp14:anchorId="53C8B3EC" wp14:editId="71501DA6">
          <wp:extent cx="542925" cy="537845"/>
          <wp:effectExtent l="0" t="0" r="9525" b="0"/>
          <wp:docPr id="2" name="Picture 2" descr="EPA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000px-EPA_logo.png"/>
                  <pic:cNvPicPr/>
                </pic:nvPicPr>
                <pic:blipFill>
                  <a:blip r:embed="rId1">
                    <a:extLst>
                      <a:ext uri="{28A0092B-C50C-407E-A947-70E740481C1C}">
                        <a14:useLocalDpi xmlns:a14="http://schemas.microsoft.com/office/drawing/2010/main" val="0"/>
                      </a:ext>
                    </a:extLst>
                  </a:blip>
                  <a:stretch>
                    <a:fillRect/>
                  </a:stretch>
                </pic:blipFill>
                <pic:spPr>
                  <a:xfrm>
                    <a:off x="0" y="0"/>
                    <a:ext cx="542925" cy="537845"/>
                  </a:xfrm>
                  <a:prstGeom prst="rect">
                    <a:avLst/>
                  </a:prstGeom>
                </pic:spPr>
              </pic:pic>
            </a:graphicData>
          </a:graphic>
        </wp:inline>
      </w:drawing>
    </w:r>
    <w:r w:rsidR="002E09F6">
      <w:tab/>
    </w:r>
    <w:r w:rsidR="002E09F6">
      <w:tab/>
    </w:r>
    <w:r w:rsidR="002E09F6" w:rsidRPr="0021332D">
      <w:rPr>
        <w:i/>
        <w:noProof/>
      </w:rPr>
      <w:drawing>
        <wp:inline distT="0" distB="0" distL="0" distR="0" wp14:anchorId="53159FCF" wp14:editId="4BE1B75E">
          <wp:extent cx="511810" cy="518469"/>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stretch>
                    <a:fillRect/>
                  </a:stretch>
                </pic:blipFill>
                <pic:spPr>
                  <a:xfrm>
                    <a:off x="0" y="0"/>
                    <a:ext cx="511810" cy="5184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740C7"/>
    <w:multiLevelType w:val="hybridMultilevel"/>
    <w:tmpl w:val="BF56F4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3987CF7"/>
    <w:multiLevelType w:val="hybridMultilevel"/>
    <w:tmpl w:val="D6E6CE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980936"/>
    <w:multiLevelType w:val="hybridMultilevel"/>
    <w:tmpl w:val="55AE6A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4763F9"/>
    <w:multiLevelType w:val="hybridMultilevel"/>
    <w:tmpl w:val="26E8F8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569E1"/>
    <w:multiLevelType w:val="hybridMultilevel"/>
    <w:tmpl w:val="503A5574"/>
    <w:lvl w:ilvl="0" w:tplc="04090019">
      <w:start w:val="1"/>
      <w:numFmt w:val="lowerLetter"/>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5" w15:restartNumberingAfterBreak="0">
    <w:nsid w:val="19DF2BFB"/>
    <w:multiLevelType w:val="hybridMultilevel"/>
    <w:tmpl w:val="E4DC7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574D80"/>
    <w:multiLevelType w:val="hybridMultilevel"/>
    <w:tmpl w:val="F04AF7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C1257F4"/>
    <w:multiLevelType w:val="hybridMultilevel"/>
    <w:tmpl w:val="E0442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F114DC"/>
    <w:multiLevelType w:val="hybridMultilevel"/>
    <w:tmpl w:val="CAE409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745202"/>
    <w:multiLevelType w:val="hybridMultilevel"/>
    <w:tmpl w:val="9CBED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7A5C1E"/>
    <w:multiLevelType w:val="hybridMultilevel"/>
    <w:tmpl w:val="C6AC67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E8E6320"/>
    <w:multiLevelType w:val="hybridMultilevel"/>
    <w:tmpl w:val="0088B6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59735951"/>
    <w:multiLevelType w:val="hybridMultilevel"/>
    <w:tmpl w:val="880EF9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594F63"/>
    <w:multiLevelType w:val="hybridMultilevel"/>
    <w:tmpl w:val="0D3042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FE51AA3"/>
    <w:multiLevelType w:val="hybridMultilevel"/>
    <w:tmpl w:val="16562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B60DCB"/>
    <w:multiLevelType w:val="hybridMultilevel"/>
    <w:tmpl w:val="DF0211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6B876DFB"/>
    <w:multiLevelType w:val="multilevel"/>
    <w:tmpl w:val="14F8CA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6C2F0F9C"/>
    <w:multiLevelType w:val="hybridMultilevel"/>
    <w:tmpl w:val="754670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6F9745B1"/>
    <w:multiLevelType w:val="hybridMultilevel"/>
    <w:tmpl w:val="90D23A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CC72A2C"/>
    <w:multiLevelType w:val="hybridMultilevel"/>
    <w:tmpl w:val="7578EC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7"/>
  </w:num>
  <w:num w:numId="3">
    <w:abstractNumId w:val="0"/>
  </w:num>
  <w:num w:numId="4">
    <w:abstractNumId w:val="11"/>
  </w:num>
  <w:num w:numId="5">
    <w:abstractNumId w:val="15"/>
  </w:num>
  <w:num w:numId="6">
    <w:abstractNumId w:val="13"/>
  </w:num>
  <w:num w:numId="7">
    <w:abstractNumId w:val="10"/>
  </w:num>
  <w:num w:numId="8">
    <w:abstractNumId w:val="18"/>
  </w:num>
  <w:num w:numId="9">
    <w:abstractNumId w:val="1"/>
  </w:num>
  <w:num w:numId="10">
    <w:abstractNumId w:val="19"/>
  </w:num>
  <w:num w:numId="11">
    <w:abstractNumId w:val="14"/>
  </w:num>
  <w:num w:numId="12">
    <w:abstractNumId w:val="12"/>
  </w:num>
  <w:num w:numId="13">
    <w:abstractNumId w:val="8"/>
  </w:num>
  <w:num w:numId="14">
    <w:abstractNumId w:val="3"/>
  </w:num>
  <w:num w:numId="15">
    <w:abstractNumId w:val="4"/>
  </w:num>
  <w:num w:numId="16">
    <w:abstractNumId w:val="5"/>
  </w:num>
  <w:num w:numId="17">
    <w:abstractNumId w:val="16"/>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9"/>
  </w:num>
  <w:num w:numId="30">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s-CO" w:vendorID="64" w:dllVersion="6" w:nlCheck="1" w:checkStyle="0"/>
  <w:activeWritingStyle w:appName="MSWord" w:lang="en-US" w:vendorID="64" w:dllVersion="6" w:nlCheck="1" w:checkStyle="1"/>
  <w:activeWritingStyle w:appName="MSWord" w:lang="en-US" w:vendorID="64" w:dllVersion="0" w:nlCheck="1" w:checkStyle="0"/>
  <w:activeWritingStyle w:appName="MSWord" w:lang="es-CO" w:vendorID="64" w:dllVersion="0" w:nlCheck="1" w:checkStyle="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061"/>
    <w:rsid w:val="0000099F"/>
    <w:rsid w:val="00001B42"/>
    <w:rsid w:val="00001B4D"/>
    <w:rsid w:val="00001D18"/>
    <w:rsid w:val="000035BE"/>
    <w:rsid w:val="000039FD"/>
    <w:rsid w:val="00003E91"/>
    <w:rsid w:val="000042E4"/>
    <w:rsid w:val="00004440"/>
    <w:rsid w:val="000047C8"/>
    <w:rsid w:val="00005ADC"/>
    <w:rsid w:val="000075DC"/>
    <w:rsid w:val="00007A44"/>
    <w:rsid w:val="0001095C"/>
    <w:rsid w:val="0001153E"/>
    <w:rsid w:val="000120F5"/>
    <w:rsid w:val="000128E9"/>
    <w:rsid w:val="00013C18"/>
    <w:rsid w:val="00015AD9"/>
    <w:rsid w:val="0001618E"/>
    <w:rsid w:val="00016237"/>
    <w:rsid w:val="00016568"/>
    <w:rsid w:val="00016DAD"/>
    <w:rsid w:val="00017444"/>
    <w:rsid w:val="00017B0F"/>
    <w:rsid w:val="000208FB"/>
    <w:rsid w:val="00022A2B"/>
    <w:rsid w:val="000248D7"/>
    <w:rsid w:val="00024911"/>
    <w:rsid w:val="00024FEB"/>
    <w:rsid w:val="00026136"/>
    <w:rsid w:val="00027076"/>
    <w:rsid w:val="00030E87"/>
    <w:rsid w:val="0003108D"/>
    <w:rsid w:val="0003189F"/>
    <w:rsid w:val="00033C05"/>
    <w:rsid w:val="00033DA7"/>
    <w:rsid w:val="00034845"/>
    <w:rsid w:val="00034C73"/>
    <w:rsid w:val="000355AC"/>
    <w:rsid w:val="00035924"/>
    <w:rsid w:val="000419E3"/>
    <w:rsid w:val="00043E95"/>
    <w:rsid w:val="000441AF"/>
    <w:rsid w:val="00045876"/>
    <w:rsid w:val="000465A5"/>
    <w:rsid w:val="00047443"/>
    <w:rsid w:val="00047DB3"/>
    <w:rsid w:val="00047DE6"/>
    <w:rsid w:val="00050246"/>
    <w:rsid w:val="00051822"/>
    <w:rsid w:val="00052EF9"/>
    <w:rsid w:val="00052FA1"/>
    <w:rsid w:val="00053036"/>
    <w:rsid w:val="00053AA8"/>
    <w:rsid w:val="00054D0C"/>
    <w:rsid w:val="00055406"/>
    <w:rsid w:val="0005567E"/>
    <w:rsid w:val="0005590C"/>
    <w:rsid w:val="000559FC"/>
    <w:rsid w:val="000568E6"/>
    <w:rsid w:val="00057B11"/>
    <w:rsid w:val="000601B8"/>
    <w:rsid w:val="000601E5"/>
    <w:rsid w:val="000608C1"/>
    <w:rsid w:val="00061215"/>
    <w:rsid w:val="0006127B"/>
    <w:rsid w:val="000612DD"/>
    <w:rsid w:val="0006194F"/>
    <w:rsid w:val="000624A3"/>
    <w:rsid w:val="00063D25"/>
    <w:rsid w:val="00064869"/>
    <w:rsid w:val="00064B08"/>
    <w:rsid w:val="00064BF8"/>
    <w:rsid w:val="000652BC"/>
    <w:rsid w:val="00065385"/>
    <w:rsid w:val="00065F58"/>
    <w:rsid w:val="00066726"/>
    <w:rsid w:val="000671F8"/>
    <w:rsid w:val="00070B73"/>
    <w:rsid w:val="00071A67"/>
    <w:rsid w:val="00071C10"/>
    <w:rsid w:val="0007229F"/>
    <w:rsid w:val="00072504"/>
    <w:rsid w:val="0007328F"/>
    <w:rsid w:val="00073474"/>
    <w:rsid w:val="00073731"/>
    <w:rsid w:val="000749A3"/>
    <w:rsid w:val="000749C1"/>
    <w:rsid w:val="00074C5C"/>
    <w:rsid w:val="00074D76"/>
    <w:rsid w:val="00074DD0"/>
    <w:rsid w:val="00075115"/>
    <w:rsid w:val="00075387"/>
    <w:rsid w:val="0007693E"/>
    <w:rsid w:val="00076E0C"/>
    <w:rsid w:val="00076E37"/>
    <w:rsid w:val="000778BF"/>
    <w:rsid w:val="00080143"/>
    <w:rsid w:val="000806D1"/>
    <w:rsid w:val="0008126B"/>
    <w:rsid w:val="00082143"/>
    <w:rsid w:val="000832CD"/>
    <w:rsid w:val="000834ED"/>
    <w:rsid w:val="00083DD8"/>
    <w:rsid w:val="00084222"/>
    <w:rsid w:val="0008428E"/>
    <w:rsid w:val="000843E1"/>
    <w:rsid w:val="00084B69"/>
    <w:rsid w:val="00084FD1"/>
    <w:rsid w:val="00087D8F"/>
    <w:rsid w:val="00087E48"/>
    <w:rsid w:val="00090973"/>
    <w:rsid w:val="000911AF"/>
    <w:rsid w:val="00091A97"/>
    <w:rsid w:val="00091B17"/>
    <w:rsid w:val="00093970"/>
    <w:rsid w:val="0009495C"/>
    <w:rsid w:val="00095381"/>
    <w:rsid w:val="00095472"/>
    <w:rsid w:val="000956C4"/>
    <w:rsid w:val="000957A3"/>
    <w:rsid w:val="00095CDF"/>
    <w:rsid w:val="00095EDA"/>
    <w:rsid w:val="000966AF"/>
    <w:rsid w:val="00096778"/>
    <w:rsid w:val="00096FF3"/>
    <w:rsid w:val="00097467"/>
    <w:rsid w:val="000975EF"/>
    <w:rsid w:val="00097D9D"/>
    <w:rsid w:val="000A03DB"/>
    <w:rsid w:val="000A1E19"/>
    <w:rsid w:val="000A237F"/>
    <w:rsid w:val="000A27D6"/>
    <w:rsid w:val="000A2939"/>
    <w:rsid w:val="000A30F4"/>
    <w:rsid w:val="000A31F2"/>
    <w:rsid w:val="000A37F6"/>
    <w:rsid w:val="000A5669"/>
    <w:rsid w:val="000A6771"/>
    <w:rsid w:val="000A6EC9"/>
    <w:rsid w:val="000A799F"/>
    <w:rsid w:val="000A7E36"/>
    <w:rsid w:val="000B10AB"/>
    <w:rsid w:val="000B4461"/>
    <w:rsid w:val="000B47C8"/>
    <w:rsid w:val="000B52BE"/>
    <w:rsid w:val="000B5905"/>
    <w:rsid w:val="000B5A5C"/>
    <w:rsid w:val="000B61E3"/>
    <w:rsid w:val="000B63AE"/>
    <w:rsid w:val="000B6F6A"/>
    <w:rsid w:val="000B757A"/>
    <w:rsid w:val="000C04DA"/>
    <w:rsid w:val="000C097F"/>
    <w:rsid w:val="000C11A4"/>
    <w:rsid w:val="000C19AA"/>
    <w:rsid w:val="000C28DD"/>
    <w:rsid w:val="000C369A"/>
    <w:rsid w:val="000C4E2E"/>
    <w:rsid w:val="000C56D4"/>
    <w:rsid w:val="000C57BE"/>
    <w:rsid w:val="000C6443"/>
    <w:rsid w:val="000D18C1"/>
    <w:rsid w:val="000D1E29"/>
    <w:rsid w:val="000D3B28"/>
    <w:rsid w:val="000D7139"/>
    <w:rsid w:val="000D7701"/>
    <w:rsid w:val="000E0759"/>
    <w:rsid w:val="000E0F65"/>
    <w:rsid w:val="000E3462"/>
    <w:rsid w:val="000E36F3"/>
    <w:rsid w:val="000E3AE3"/>
    <w:rsid w:val="000E3CD0"/>
    <w:rsid w:val="000E4C1B"/>
    <w:rsid w:val="000E4F72"/>
    <w:rsid w:val="000E55EC"/>
    <w:rsid w:val="000E73BE"/>
    <w:rsid w:val="000E7550"/>
    <w:rsid w:val="000E7862"/>
    <w:rsid w:val="000E7B59"/>
    <w:rsid w:val="000E7ECD"/>
    <w:rsid w:val="000F0B43"/>
    <w:rsid w:val="000F2A01"/>
    <w:rsid w:val="000F3E24"/>
    <w:rsid w:val="000F5BDA"/>
    <w:rsid w:val="000F5E12"/>
    <w:rsid w:val="000F640C"/>
    <w:rsid w:val="000F6933"/>
    <w:rsid w:val="000F6FF3"/>
    <w:rsid w:val="00100273"/>
    <w:rsid w:val="00101703"/>
    <w:rsid w:val="00102153"/>
    <w:rsid w:val="00103060"/>
    <w:rsid w:val="0010403A"/>
    <w:rsid w:val="0010665C"/>
    <w:rsid w:val="001070E0"/>
    <w:rsid w:val="00107C44"/>
    <w:rsid w:val="0011103C"/>
    <w:rsid w:val="0011143A"/>
    <w:rsid w:val="00112DFE"/>
    <w:rsid w:val="00112E74"/>
    <w:rsid w:val="0011451E"/>
    <w:rsid w:val="00114AEA"/>
    <w:rsid w:val="001168D1"/>
    <w:rsid w:val="00117A10"/>
    <w:rsid w:val="00121CE9"/>
    <w:rsid w:val="00122F64"/>
    <w:rsid w:val="00123417"/>
    <w:rsid w:val="00123DB9"/>
    <w:rsid w:val="00123E8A"/>
    <w:rsid w:val="001241FC"/>
    <w:rsid w:val="00125DDC"/>
    <w:rsid w:val="00126ACB"/>
    <w:rsid w:val="001277BD"/>
    <w:rsid w:val="0012780D"/>
    <w:rsid w:val="00131EA5"/>
    <w:rsid w:val="00131EFF"/>
    <w:rsid w:val="001344B7"/>
    <w:rsid w:val="00136D8C"/>
    <w:rsid w:val="00136F7A"/>
    <w:rsid w:val="00140E1E"/>
    <w:rsid w:val="00140FA7"/>
    <w:rsid w:val="001424C7"/>
    <w:rsid w:val="00142F43"/>
    <w:rsid w:val="00144649"/>
    <w:rsid w:val="0014476D"/>
    <w:rsid w:val="00144856"/>
    <w:rsid w:val="00144A56"/>
    <w:rsid w:val="00145422"/>
    <w:rsid w:val="00145893"/>
    <w:rsid w:val="001458B1"/>
    <w:rsid w:val="00145BEB"/>
    <w:rsid w:val="001502AD"/>
    <w:rsid w:val="0015099D"/>
    <w:rsid w:val="001510A9"/>
    <w:rsid w:val="001514AD"/>
    <w:rsid w:val="00151AC5"/>
    <w:rsid w:val="00151E0F"/>
    <w:rsid w:val="00155375"/>
    <w:rsid w:val="00155686"/>
    <w:rsid w:val="00156E77"/>
    <w:rsid w:val="001571DD"/>
    <w:rsid w:val="00157DA2"/>
    <w:rsid w:val="00160E50"/>
    <w:rsid w:val="001610B4"/>
    <w:rsid w:val="001611A3"/>
    <w:rsid w:val="00162607"/>
    <w:rsid w:val="00162A2F"/>
    <w:rsid w:val="00162A64"/>
    <w:rsid w:val="001636E0"/>
    <w:rsid w:val="001639B1"/>
    <w:rsid w:val="00164965"/>
    <w:rsid w:val="00164C89"/>
    <w:rsid w:val="001660C0"/>
    <w:rsid w:val="001662F9"/>
    <w:rsid w:val="001663D4"/>
    <w:rsid w:val="001665A6"/>
    <w:rsid w:val="00167386"/>
    <w:rsid w:val="001703E8"/>
    <w:rsid w:val="00170C3D"/>
    <w:rsid w:val="00170F82"/>
    <w:rsid w:val="0017248C"/>
    <w:rsid w:val="0017649D"/>
    <w:rsid w:val="0017724A"/>
    <w:rsid w:val="001800B3"/>
    <w:rsid w:val="00180C4F"/>
    <w:rsid w:val="0018306E"/>
    <w:rsid w:val="0018311F"/>
    <w:rsid w:val="00184F49"/>
    <w:rsid w:val="00184FB9"/>
    <w:rsid w:val="00185367"/>
    <w:rsid w:val="00185500"/>
    <w:rsid w:val="00186181"/>
    <w:rsid w:val="0018756F"/>
    <w:rsid w:val="0018768B"/>
    <w:rsid w:val="0018787B"/>
    <w:rsid w:val="00190CE6"/>
    <w:rsid w:val="001914FE"/>
    <w:rsid w:val="00192163"/>
    <w:rsid w:val="001931A5"/>
    <w:rsid w:val="001941EC"/>
    <w:rsid w:val="0019547E"/>
    <w:rsid w:val="00196D08"/>
    <w:rsid w:val="001A06CC"/>
    <w:rsid w:val="001A157A"/>
    <w:rsid w:val="001A1A9F"/>
    <w:rsid w:val="001A26C9"/>
    <w:rsid w:val="001A3280"/>
    <w:rsid w:val="001A334A"/>
    <w:rsid w:val="001A47E3"/>
    <w:rsid w:val="001A4ECD"/>
    <w:rsid w:val="001A5B6F"/>
    <w:rsid w:val="001A69EB"/>
    <w:rsid w:val="001A755F"/>
    <w:rsid w:val="001A7718"/>
    <w:rsid w:val="001A77FD"/>
    <w:rsid w:val="001B0DB3"/>
    <w:rsid w:val="001B13ED"/>
    <w:rsid w:val="001B1A6C"/>
    <w:rsid w:val="001B2E77"/>
    <w:rsid w:val="001B3C59"/>
    <w:rsid w:val="001B47FD"/>
    <w:rsid w:val="001B4F79"/>
    <w:rsid w:val="001B646D"/>
    <w:rsid w:val="001B7BE6"/>
    <w:rsid w:val="001C07FD"/>
    <w:rsid w:val="001C0F5E"/>
    <w:rsid w:val="001C11E7"/>
    <w:rsid w:val="001C1239"/>
    <w:rsid w:val="001C315B"/>
    <w:rsid w:val="001C329B"/>
    <w:rsid w:val="001C34C6"/>
    <w:rsid w:val="001C3AC1"/>
    <w:rsid w:val="001C3B71"/>
    <w:rsid w:val="001C407B"/>
    <w:rsid w:val="001C54D4"/>
    <w:rsid w:val="001C6C3F"/>
    <w:rsid w:val="001C77D2"/>
    <w:rsid w:val="001D0496"/>
    <w:rsid w:val="001D0C35"/>
    <w:rsid w:val="001D2049"/>
    <w:rsid w:val="001D2EEE"/>
    <w:rsid w:val="001D4009"/>
    <w:rsid w:val="001D4209"/>
    <w:rsid w:val="001D46C9"/>
    <w:rsid w:val="001D4C4B"/>
    <w:rsid w:val="001D4D61"/>
    <w:rsid w:val="001D602A"/>
    <w:rsid w:val="001E0D5D"/>
    <w:rsid w:val="001E0E28"/>
    <w:rsid w:val="001E1265"/>
    <w:rsid w:val="001E15A9"/>
    <w:rsid w:val="001E1CDA"/>
    <w:rsid w:val="001E1DCD"/>
    <w:rsid w:val="001E21D8"/>
    <w:rsid w:val="001E21E6"/>
    <w:rsid w:val="001E32C2"/>
    <w:rsid w:val="001E3BD0"/>
    <w:rsid w:val="001E476A"/>
    <w:rsid w:val="001E4DA4"/>
    <w:rsid w:val="001E53E1"/>
    <w:rsid w:val="001E574C"/>
    <w:rsid w:val="001E64AD"/>
    <w:rsid w:val="001F0154"/>
    <w:rsid w:val="001F060E"/>
    <w:rsid w:val="001F1183"/>
    <w:rsid w:val="001F11AC"/>
    <w:rsid w:val="001F1624"/>
    <w:rsid w:val="001F220A"/>
    <w:rsid w:val="001F2AD4"/>
    <w:rsid w:val="001F33F1"/>
    <w:rsid w:val="001F706E"/>
    <w:rsid w:val="001F7DAD"/>
    <w:rsid w:val="0020082B"/>
    <w:rsid w:val="002029F3"/>
    <w:rsid w:val="00202A98"/>
    <w:rsid w:val="00204C78"/>
    <w:rsid w:val="00205FF6"/>
    <w:rsid w:val="002064F8"/>
    <w:rsid w:val="00206983"/>
    <w:rsid w:val="002069BB"/>
    <w:rsid w:val="0020730D"/>
    <w:rsid w:val="0021332D"/>
    <w:rsid w:val="0021486F"/>
    <w:rsid w:val="00215594"/>
    <w:rsid w:val="00215FB8"/>
    <w:rsid w:val="002167DC"/>
    <w:rsid w:val="00217E63"/>
    <w:rsid w:val="00217EBB"/>
    <w:rsid w:val="002203EC"/>
    <w:rsid w:val="00221B31"/>
    <w:rsid w:val="00221D3A"/>
    <w:rsid w:val="002227D0"/>
    <w:rsid w:val="00222F18"/>
    <w:rsid w:val="00223061"/>
    <w:rsid w:val="002233FC"/>
    <w:rsid w:val="00223CC5"/>
    <w:rsid w:val="0022408D"/>
    <w:rsid w:val="00224F2E"/>
    <w:rsid w:val="00224FFB"/>
    <w:rsid w:val="002252E6"/>
    <w:rsid w:val="00226614"/>
    <w:rsid w:val="00227710"/>
    <w:rsid w:val="00227AEC"/>
    <w:rsid w:val="00231A76"/>
    <w:rsid w:val="00231F91"/>
    <w:rsid w:val="0023299B"/>
    <w:rsid w:val="00232CAA"/>
    <w:rsid w:val="00233FBC"/>
    <w:rsid w:val="0023446C"/>
    <w:rsid w:val="00235029"/>
    <w:rsid w:val="0024003B"/>
    <w:rsid w:val="00240DB2"/>
    <w:rsid w:val="002416D9"/>
    <w:rsid w:val="002439EF"/>
    <w:rsid w:val="002448BE"/>
    <w:rsid w:val="00246CC2"/>
    <w:rsid w:val="0024761E"/>
    <w:rsid w:val="002506D2"/>
    <w:rsid w:val="00250901"/>
    <w:rsid w:val="002510E2"/>
    <w:rsid w:val="0025162A"/>
    <w:rsid w:val="00251EA3"/>
    <w:rsid w:val="00252068"/>
    <w:rsid w:val="00252459"/>
    <w:rsid w:val="0025283C"/>
    <w:rsid w:val="00252CA5"/>
    <w:rsid w:val="00253D42"/>
    <w:rsid w:val="00253F6C"/>
    <w:rsid w:val="002566B6"/>
    <w:rsid w:val="00256A9A"/>
    <w:rsid w:val="00256EEE"/>
    <w:rsid w:val="002579FD"/>
    <w:rsid w:val="00257A44"/>
    <w:rsid w:val="00260202"/>
    <w:rsid w:val="002603D2"/>
    <w:rsid w:val="002615A7"/>
    <w:rsid w:val="00261ADE"/>
    <w:rsid w:val="00262D00"/>
    <w:rsid w:val="0026308F"/>
    <w:rsid w:val="00266005"/>
    <w:rsid w:val="002668B4"/>
    <w:rsid w:val="00266E0E"/>
    <w:rsid w:val="0027075C"/>
    <w:rsid w:val="002708BE"/>
    <w:rsid w:val="0027181A"/>
    <w:rsid w:val="002719D6"/>
    <w:rsid w:val="00271ADA"/>
    <w:rsid w:val="00271F30"/>
    <w:rsid w:val="00273821"/>
    <w:rsid w:val="00273989"/>
    <w:rsid w:val="00274380"/>
    <w:rsid w:val="0027444A"/>
    <w:rsid w:val="00275788"/>
    <w:rsid w:val="00276499"/>
    <w:rsid w:val="00276D2C"/>
    <w:rsid w:val="002772B7"/>
    <w:rsid w:val="002777E1"/>
    <w:rsid w:val="00280B16"/>
    <w:rsid w:val="00281755"/>
    <w:rsid w:val="00281C9E"/>
    <w:rsid w:val="002831E3"/>
    <w:rsid w:val="002852D1"/>
    <w:rsid w:val="002852DF"/>
    <w:rsid w:val="002862DF"/>
    <w:rsid w:val="002879A8"/>
    <w:rsid w:val="00287EDE"/>
    <w:rsid w:val="002902C6"/>
    <w:rsid w:val="00290465"/>
    <w:rsid w:val="00292C2E"/>
    <w:rsid w:val="00292E68"/>
    <w:rsid w:val="00293306"/>
    <w:rsid w:val="00293654"/>
    <w:rsid w:val="00293967"/>
    <w:rsid w:val="002965F9"/>
    <w:rsid w:val="00296F16"/>
    <w:rsid w:val="00297112"/>
    <w:rsid w:val="002A03E2"/>
    <w:rsid w:val="002A081D"/>
    <w:rsid w:val="002A0AC7"/>
    <w:rsid w:val="002A1162"/>
    <w:rsid w:val="002A2818"/>
    <w:rsid w:val="002A29B8"/>
    <w:rsid w:val="002A2F3C"/>
    <w:rsid w:val="002A313A"/>
    <w:rsid w:val="002A3733"/>
    <w:rsid w:val="002A37BD"/>
    <w:rsid w:val="002A435C"/>
    <w:rsid w:val="002A495C"/>
    <w:rsid w:val="002A4BF3"/>
    <w:rsid w:val="002A677B"/>
    <w:rsid w:val="002B0968"/>
    <w:rsid w:val="002B0A6F"/>
    <w:rsid w:val="002B0ABB"/>
    <w:rsid w:val="002B0E7C"/>
    <w:rsid w:val="002B1211"/>
    <w:rsid w:val="002B24C2"/>
    <w:rsid w:val="002B26A7"/>
    <w:rsid w:val="002B3F0F"/>
    <w:rsid w:val="002B53AA"/>
    <w:rsid w:val="002B67E8"/>
    <w:rsid w:val="002B755D"/>
    <w:rsid w:val="002B7B5F"/>
    <w:rsid w:val="002C04EF"/>
    <w:rsid w:val="002C0951"/>
    <w:rsid w:val="002C0E09"/>
    <w:rsid w:val="002C5149"/>
    <w:rsid w:val="002C540F"/>
    <w:rsid w:val="002C568E"/>
    <w:rsid w:val="002C638B"/>
    <w:rsid w:val="002C69D2"/>
    <w:rsid w:val="002C6BAC"/>
    <w:rsid w:val="002C7057"/>
    <w:rsid w:val="002D0D81"/>
    <w:rsid w:val="002D10B1"/>
    <w:rsid w:val="002D14B0"/>
    <w:rsid w:val="002D1E4A"/>
    <w:rsid w:val="002D3338"/>
    <w:rsid w:val="002D4F82"/>
    <w:rsid w:val="002D5295"/>
    <w:rsid w:val="002D57E0"/>
    <w:rsid w:val="002D58DF"/>
    <w:rsid w:val="002E09F6"/>
    <w:rsid w:val="002E1366"/>
    <w:rsid w:val="002E15FE"/>
    <w:rsid w:val="002E20B7"/>
    <w:rsid w:val="002E30AC"/>
    <w:rsid w:val="002E3312"/>
    <w:rsid w:val="002E3377"/>
    <w:rsid w:val="002E3639"/>
    <w:rsid w:val="002E3A4B"/>
    <w:rsid w:val="002E4318"/>
    <w:rsid w:val="002E4EC1"/>
    <w:rsid w:val="002E641E"/>
    <w:rsid w:val="002E6672"/>
    <w:rsid w:val="002E77F8"/>
    <w:rsid w:val="002F0044"/>
    <w:rsid w:val="002F1090"/>
    <w:rsid w:val="002F12EF"/>
    <w:rsid w:val="002F14B0"/>
    <w:rsid w:val="002F1ADD"/>
    <w:rsid w:val="002F256B"/>
    <w:rsid w:val="002F399C"/>
    <w:rsid w:val="002F3B00"/>
    <w:rsid w:val="002F4317"/>
    <w:rsid w:val="002F4F46"/>
    <w:rsid w:val="002F52F6"/>
    <w:rsid w:val="002F5E0F"/>
    <w:rsid w:val="002F793B"/>
    <w:rsid w:val="003007C2"/>
    <w:rsid w:val="0030161A"/>
    <w:rsid w:val="003022EE"/>
    <w:rsid w:val="00302606"/>
    <w:rsid w:val="00302B92"/>
    <w:rsid w:val="00304214"/>
    <w:rsid w:val="00305A69"/>
    <w:rsid w:val="00305C74"/>
    <w:rsid w:val="003066D1"/>
    <w:rsid w:val="00307206"/>
    <w:rsid w:val="00313AB4"/>
    <w:rsid w:val="0031425A"/>
    <w:rsid w:val="0031451E"/>
    <w:rsid w:val="00314BD5"/>
    <w:rsid w:val="00315E99"/>
    <w:rsid w:val="00315EA5"/>
    <w:rsid w:val="0031614A"/>
    <w:rsid w:val="00317554"/>
    <w:rsid w:val="00317642"/>
    <w:rsid w:val="00317B65"/>
    <w:rsid w:val="003206B3"/>
    <w:rsid w:val="00320C3F"/>
    <w:rsid w:val="0032147E"/>
    <w:rsid w:val="003217A5"/>
    <w:rsid w:val="00321F75"/>
    <w:rsid w:val="0032250A"/>
    <w:rsid w:val="003240E6"/>
    <w:rsid w:val="0032415F"/>
    <w:rsid w:val="003249D0"/>
    <w:rsid w:val="00324F9C"/>
    <w:rsid w:val="003253E8"/>
    <w:rsid w:val="00325D9E"/>
    <w:rsid w:val="00325EBF"/>
    <w:rsid w:val="0032721A"/>
    <w:rsid w:val="0033215D"/>
    <w:rsid w:val="00332550"/>
    <w:rsid w:val="0033430B"/>
    <w:rsid w:val="00334D08"/>
    <w:rsid w:val="00335290"/>
    <w:rsid w:val="00335D07"/>
    <w:rsid w:val="00335F7E"/>
    <w:rsid w:val="00335FE7"/>
    <w:rsid w:val="00336107"/>
    <w:rsid w:val="0033734D"/>
    <w:rsid w:val="003373ED"/>
    <w:rsid w:val="003412B3"/>
    <w:rsid w:val="00342F96"/>
    <w:rsid w:val="00343A60"/>
    <w:rsid w:val="00343B81"/>
    <w:rsid w:val="003450BE"/>
    <w:rsid w:val="00346395"/>
    <w:rsid w:val="003468FD"/>
    <w:rsid w:val="00346D83"/>
    <w:rsid w:val="00346D93"/>
    <w:rsid w:val="00346F85"/>
    <w:rsid w:val="003473EF"/>
    <w:rsid w:val="00352208"/>
    <w:rsid w:val="003534DB"/>
    <w:rsid w:val="00353EF2"/>
    <w:rsid w:val="00354A32"/>
    <w:rsid w:val="00355524"/>
    <w:rsid w:val="00355B46"/>
    <w:rsid w:val="00355E7B"/>
    <w:rsid w:val="00360117"/>
    <w:rsid w:val="00360B98"/>
    <w:rsid w:val="00360EAB"/>
    <w:rsid w:val="00361597"/>
    <w:rsid w:val="003622AF"/>
    <w:rsid w:val="00362673"/>
    <w:rsid w:val="00363227"/>
    <w:rsid w:val="00364CED"/>
    <w:rsid w:val="00365685"/>
    <w:rsid w:val="00367B11"/>
    <w:rsid w:val="003700FE"/>
    <w:rsid w:val="00370B2D"/>
    <w:rsid w:val="00370B68"/>
    <w:rsid w:val="00372152"/>
    <w:rsid w:val="003729D3"/>
    <w:rsid w:val="00373045"/>
    <w:rsid w:val="00373C53"/>
    <w:rsid w:val="00374217"/>
    <w:rsid w:val="00374BF3"/>
    <w:rsid w:val="00374F4A"/>
    <w:rsid w:val="003750C1"/>
    <w:rsid w:val="0037644B"/>
    <w:rsid w:val="003765D5"/>
    <w:rsid w:val="0038054E"/>
    <w:rsid w:val="00382B87"/>
    <w:rsid w:val="00383388"/>
    <w:rsid w:val="00385D76"/>
    <w:rsid w:val="00387F76"/>
    <w:rsid w:val="00390B24"/>
    <w:rsid w:val="00390BD3"/>
    <w:rsid w:val="00391408"/>
    <w:rsid w:val="00391ED0"/>
    <w:rsid w:val="003920FA"/>
    <w:rsid w:val="0039231E"/>
    <w:rsid w:val="003928B1"/>
    <w:rsid w:val="00392FB2"/>
    <w:rsid w:val="00393AE2"/>
    <w:rsid w:val="00394268"/>
    <w:rsid w:val="00394D2C"/>
    <w:rsid w:val="00395AFF"/>
    <w:rsid w:val="00395BA7"/>
    <w:rsid w:val="00395ED2"/>
    <w:rsid w:val="003963E5"/>
    <w:rsid w:val="0039689A"/>
    <w:rsid w:val="003968AC"/>
    <w:rsid w:val="00396E30"/>
    <w:rsid w:val="00397444"/>
    <w:rsid w:val="003975F3"/>
    <w:rsid w:val="00397FDF"/>
    <w:rsid w:val="003A0233"/>
    <w:rsid w:val="003A17B6"/>
    <w:rsid w:val="003A3145"/>
    <w:rsid w:val="003A3AB9"/>
    <w:rsid w:val="003A4291"/>
    <w:rsid w:val="003A4E80"/>
    <w:rsid w:val="003A59D4"/>
    <w:rsid w:val="003A5E82"/>
    <w:rsid w:val="003A5F01"/>
    <w:rsid w:val="003A7562"/>
    <w:rsid w:val="003B1E2C"/>
    <w:rsid w:val="003B2087"/>
    <w:rsid w:val="003B23BF"/>
    <w:rsid w:val="003B25E0"/>
    <w:rsid w:val="003B3198"/>
    <w:rsid w:val="003B3E59"/>
    <w:rsid w:val="003B4B19"/>
    <w:rsid w:val="003B4DF0"/>
    <w:rsid w:val="003B594F"/>
    <w:rsid w:val="003B721A"/>
    <w:rsid w:val="003C1BFC"/>
    <w:rsid w:val="003C27AA"/>
    <w:rsid w:val="003C27DE"/>
    <w:rsid w:val="003C2876"/>
    <w:rsid w:val="003C2D1F"/>
    <w:rsid w:val="003C53FB"/>
    <w:rsid w:val="003C6915"/>
    <w:rsid w:val="003D0756"/>
    <w:rsid w:val="003D094D"/>
    <w:rsid w:val="003D0DF1"/>
    <w:rsid w:val="003D1101"/>
    <w:rsid w:val="003D1C51"/>
    <w:rsid w:val="003D2CDD"/>
    <w:rsid w:val="003D313E"/>
    <w:rsid w:val="003D3A3C"/>
    <w:rsid w:val="003D48E2"/>
    <w:rsid w:val="003D57C7"/>
    <w:rsid w:val="003D6BC1"/>
    <w:rsid w:val="003D7352"/>
    <w:rsid w:val="003E01C9"/>
    <w:rsid w:val="003E04A4"/>
    <w:rsid w:val="003E0905"/>
    <w:rsid w:val="003E25EE"/>
    <w:rsid w:val="003E284E"/>
    <w:rsid w:val="003E30A6"/>
    <w:rsid w:val="003E4B12"/>
    <w:rsid w:val="003E4E30"/>
    <w:rsid w:val="003E52B1"/>
    <w:rsid w:val="003E5371"/>
    <w:rsid w:val="003E53F0"/>
    <w:rsid w:val="003E56DA"/>
    <w:rsid w:val="003E5D05"/>
    <w:rsid w:val="003E6D3E"/>
    <w:rsid w:val="003E75ED"/>
    <w:rsid w:val="003F0304"/>
    <w:rsid w:val="003F0C38"/>
    <w:rsid w:val="003F28DB"/>
    <w:rsid w:val="003F2DE6"/>
    <w:rsid w:val="003F2F72"/>
    <w:rsid w:val="003F3133"/>
    <w:rsid w:val="003F343E"/>
    <w:rsid w:val="003F3455"/>
    <w:rsid w:val="003F3EDE"/>
    <w:rsid w:val="003F45DD"/>
    <w:rsid w:val="003F47B7"/>
    <w:rsid w:val="003F53E8"/>
    <w:rsid w:val="003F6457"/>
    <w:rsid w:val="003F6DE6"/>
    <w:rsid w:val="003F765D"/>
    <w:rsid w:val="00402638"/>
    <w:rsid w:val="0040278D"/>
    <w:rsid w:val="00402B2C"/>
    <w:rsid w:val="004031F0"/>
    <w:rsid w:val="004040BB"/>
    <w:rsid w:val="00404F87"/>
    <w:rsid w:val="004051D5"/>
    <w:rsid w:val="00406F75"/>
    <w:rsid w:val="00406FAB"/>
    <w:rsid w:val="004077AF"/>
    <w:rsid w:val="00411267"/>
    <w:rsid w:val="00411790"/>
    <w:rsid w:val="00413F33"/>
    <w:rsid w:val="00415F04"/>
    <w:rsid w:val="0041614C"/>
    <w:rsid w:val="00417136"/>
    <w:rsid w:val="00421425"/>
    <w:rsid w:val="00422F2C"/>
    <w:rsid w:val="00423530"/>
    <w:rsid w:val="00424818"/>
    <w:rsid w:val="00424889"/>
    <w:rsid w:val="004248D2"/>
    <w:rsid w:val="004249AD"/>
    <w:rsid w:val="00424BA8"/>
    <w:rsid w:val="00425F00"/>
    <w:rsid w:val="004263DF"/>
    <w:rsid w:val="00426708"/>
    <w:rsid w:val="00426F18"/>
    <w:rsid w:val="00427751"/>
    <w:rsid w:val="00431323"/>
    <w:rsid w:val="0043168B"/>
    <w:rsid w:val="00431720"/>
    <w:rsid w:val="00432147"/>
    <w:rsid w:val="00432F9A"/>
    <w:rsid w:val="004356C1"/>
    <w:rsid w:val="00436588"/>
    <w:rsid w:val="00436A09"/>
    <w:rsid w:val="004371CC"/>
    <w:rsid w:val="00437BC3"/>
    <w:rsid w:val="00440AFA"/>
    <w:rsid w:val="00440D43"/>
    <w:rsid w:val="00440D8F"/>
    <w:rsid w:val="00440F90"/>
    <w:rsid w:val="00441812"/>
    <w:rsid w:val="00441890"/>
    <w:rsid w:val="00441BB7"/>
    <w:rsid w:val="00444709"/>
    <w:rsid w:val="00445477"/>
    <w:rsid w:val="00445CCC"/>
    <w:rsid w:val="00447BA9"/>
    <w:rsid w:val="004521A6"/>
    <w:rsid w:val="00452478"/>
    <w:rsid w:val="00452FDD"/>
    <w:rsid w:val="00453254"/>
    <w:rsid w:val="00454672"/>
    <w:rsid w:val="0045540D"/>
    <w:rsid w:val="0045695E"/>
    <w:rsid w:val="0045756B"/>
    <w:rsid w:val="004576B9"/>
    <w:rsid w:val="00457F51"/>
    <w:rsid w:val="00461E8D"/>
    <w:rsid w:val="00462702"/>
    <w:rsid w:val="00463954"/>
    <w:rsid w:val="00463B72"/>
    <w:rsid w:val="00463EFA"/>
    <w:rsid w:val="004652AF"/>
    <w:rsid w:val="00465760"/>
    <w:rsid w:val="0046592D"/>
    <w:rsid w:val="00466E24"/>
    <w:rsid w:val="00470594"/>
    <w:rsid w:val="004735DD"/>
    <w:rsid w:val="00473B7B"/>
    <w:rsid w:val="0047512A"/>
    <w:rsid w:val="004752FF"/>
    <w:rsid w:val="0047553B"/>
    <w:rsid w:val="00477367"/>
    <w:rsid w:val="0048053E"/>
    <w:rsid w:val="00480A4A"/>
    <w:rsid w:val="00483092"/>
    <w:rsid w:val="00483605"/>
    <w:rsid w:val="00483FAB"/>
    <w:rsid w:val="00484338"/>
    <w:rsid w:val="00484485"/>
    <w:rsid w:val="00484B33"/>
    <w:rsid w:val="00485C8C"/>
    <w:rsid w:val="00486E34"/>
    <w:rsid w:val="00486F2B"/>
    <w:rsid w:val="004870A0"/>
    <w:rsid w:val="004901DE"/>
    <w:rsid w:val="00490589"/>
    <w:rsid w:val="0049096A"/>
    <w:rsid w:val="00490CDE"/>
    <w:rsid w:val="00492BA3"/>
    <w:rsid w:val="004946FB"/>
    <w:rsid w:val="00495020"/>
    <w:rsid w:val="004958A0"/>
    <w:rsid w:val="004960A1"/>
    <w:rsid w:val="00496AA5"/>
    <w:rsid w:val="004971ED"/>
    <w:rsid w:val="004A0BF7"/>
    <w:rsid w:val="004A0E10"/>
    <w:rsid w:val="004A0E57"/>
    <w:rsid w:val="004A142A"/>
    <w:rsid w:val="004A1E7A"/>
    <w:rsid w:val="004A2BF3"/>
    <w:rsid w:val="004A3F1D"/>
    <w:rsid w:val="004A4A16"/>
    <w:rsid w:val="004A51BA"/>
    <w:rsid w:val="004A5CD6"/>
    <w:rsid w:val="004A6D7C"/>
    <w:rsid w:val="004A6FDE"/>
    <w:rsid w:val="004A7690"/>
    <w:rsid w:val="004A7F2A"/>
    <w:rsid w:val="004B15F1"/>
    <w:rsid w:val="004B164B"/>
    <w:rsid w:val="004B27FA"/>
    <w:rsid w:val="004B34C4"/>
    <w:rsid w:val="004B3805"/>
    <w:rsid w:val="004B39F7"/>
    <w:rsid w:val="004B4E68"/>
    <w:rsid w:val="004B58B5"/>
    <w:rsid w:val="004C0E5F"/>
    <w:rsid w:val="004C1B4E"/>
    <w:rsid w:val="004C21D2"/>
    <w:rsid w:val="004C3073"/>
    <w:rsid w:val="004C3BF6"/>
    <w:rsid w:val="004C430A"/>
    <w:rsid w:val="004C4509"/>
    <w:rsid w:val="004C4A66"/>
    <w:rsid w:val="004C6C01"/>
    <w:rsid w:val="004C6F38"/>
    <w:rsid w:val="004C7266"/>
    <w:rsid w:val="004D0636"/>
    <w:rsid w:val="004D0AC2"/>
    <w:rsid w:val="004D1E5C"/>
    <w:rsid w:val="004D1F4D"/>
    <w:rsid w:val="004D45B0"/>
    <w:rsid w:val="004E0BA7"/>
    <w:rsid w:val="004E1079"/>
    <w:rsid w:val="004E14FB"/>
    <w:rsid w:val="004E1907"/>
    <w:rsid w:val="004E3225"/>
    <w:rsid w:val="004E46B4"/>
    <w:rsid w:val="004E4F34"/>
    <w:rsid w:val="004E558B"/>
    <w:rsid w:val="004E5D47"/>
    <w:rsid w:val="004E5EBD"/>
    <w:rsid w:val="004E6024"/>
    <w:rsid w:val="004E63FF"/>
    <w:rsid w:val="004E6DB8"/>
    <w:rsid w:val="004F13DA"/>
    <w:rsid w:val="004F226C"/>
    <w:rsid w:val="004F3D98"/>
    <w:rsid w:val="004F42CF"/>
    <w:rsid w:val="004F4449"/>
    <w:rsid w:val="004F45D4"/>
    <w:rsid w:val="004F493D"/>
    <w:rsid w:val="004F67F0"/>
    <w:rsid w:val="004F6EC6"/>
    <w:rsid w:val="004F7108"/>
    <w:rsid w:val="004F7627"/>
    <w:rsid w:val="004F77F1"/>
    <w:rsid w:val="004F7DB9"/>
    <w:rsid w:val="00502B56"/>
    <w:rsid w:val="005030DC"/>
    <w:rsid w:val="00503739"/>
    <w:rsid w:val="005039B3"/>
    <w:rsid w:val="00504D36"/>
    <w:rsid w:val="005050F8"/>
    <w:rsid w:val="00505487"/>
    <w:rsid w:val="00506006"/>
    <w:rsid w:val="00506C9A"/>
    <w:rsid w:val="005075DB"/>
    <w:rsid w:val="00507760"/>
    <w:rsid w:val="00507769"/>
    <w:rsid w:val="005114AE"/>
    <w:rsid w:val="00511A50"/>
    <w:rsid w:val="00511D41"/>
    <w:rsid w:val="005126E5"/>
    <w:rsid w:val="005133B9"/>
    <w:rsid w:val="00513ED1"/>
    <w:rsid w:val="00515267"/>
    <w:rsid w:val="005162AA"/>
    <w:rsid w:val="005164B8"/>
    <w:rsid w:val="005165E9"/>
    <w:rsid w:val="00517635"/>
    <w:rsid w:val="00520FCB"/>
    <w:rsid w:val="00521055"/>
    <w:rsid w:val="0052138E"/>
    <w:rsid w:val="005231BC"/>
    <w:rsid w:val="00523A8C"/>
    <w:rsid w:val="00524CB3"/>
    <w:rsid w:val="005255A4"/>
    <w:rsid w:val="005266A5"/>
    <w:rsid w:val="00526C32"/>
    <w:rsid w:val="00527EBE"/>
    <w:rsid w:val="005309FA"/>
    <w:rsid w:val="00530E9C"/>
    <w:rsid w:val="005311E4"/>
    <w:rsid w:val="0053175D"/>
    <w:rsid w:val="0053178F"/>
    <w:rsid w:val="00531954"/>
    <w:rsid w:val="00532936"/>
    <w:rsid w:val="00533B0A"/>
    <w:rsid w:val="00534187"/>
    <w:rsid w:val="00534509"/>
    <w:rsid w:val="00534A2A"/>
    <w:rsid w:val="00534A3A"/>
    <w:rsid w:val="005351EF"/>
    <w:rsid w:val="00535436"/>
    <w:rsid w:val="00535EEF"/>
    <w:rsid w:val="005368AA"/>
    <w:rsid w:val="00537A8A"/>
    <w:rsid w:val="00540623"/>
    <w:rsid w:val="00540E76"/>
    <w:rsid w:val="005412AF"/>
    <w:rsid w:val="00541AC0"/>
    <w:rsid w:val="00542515"/>
    <w:rsid w:val="005432B1"/>
    <w:rsid w:val="00544067"/>
    <w:rsid w:val="005446B9"/>
    <w:rsid w:val="00545D18"/>
    <w:rsid w:val="00545E75"/>
    <w:rsid w:val="005473EE"/>
    <w:rsid w:val="00547529"/>
    <w:rsid w:val="005478EE"/>
    <w:rsid w:val="00551221"/>
    <w:rsid w:val="00551226"/>
    <w:rsid w:val="00552046"/>
    <w:rsid w:val="00552348"/>
    <w:rsid w:val="005533C3"/>
    <w:rsid w:val="00554098"/>
    <w:rsid w:val="0055484F"/>
    <w:rsid w:val="00554865"/>
    <w:rsid w:val="00554A25"/>
    <w:rsid w:val="00554DDB"/>
    <w:rsid w:val="00554E64"/>
    <w:rsid w:val="00555CDC"/>
    <w:rsid w:val="00556E77"/>
    <w:rsid w:val="005576C1"/>
    <w:rsid w:val="00560C4B"/>
    <w:rsid w:val="005613A7"/>
    <w:rsid w:val="00561C6D"/>
    <w:rsid w:val="00561DB7"/>
    <w:rsid w:val="005632AB"/>
    <w:rsid w:val="00563678"/>
    <w:rsid w:val="00563E55"/>
    <w:rsid w:val="005649E9"/>
    <w:rsid w:val="00564C21"/>
    <w:rsid w:val="005665C5"/>
    <w:rsid w:val="00567E6B"/>
    <w:rsid w:val="00570243"/>
    <w:rsid w:val="00570E96"/>
    <w:rsid w:val="00570EBA"/>
    <w:rsid w:val="005723F8"/>
    <w:rsid w:val="00573AFA"/>
    <w:rsid w:val="005744EE"/>
    <w:rsid w:val="00575587"/>
    <w:rsid w:val="00575EC8"/>
    <w:rsid w:val="00576C86"/>
    <w:rsid w:val="005775BA"/>
    <w:rsid w:val="00577F90"/>
    <w:rsid w:val="00581177"/>
    <w:rsid w:val="00581895"/>
    <w:rsid w:val="00581C84"/>
    <w:rsid w:val="005820D2"/>
    <w:rsid w:val="00582A0C"/>
    <w:rsid w:val="00582F3A"/>
    <w:rsid w:val="00583CEE"/>
    <w:rsid w:val="0058414D"/>
    <w:rsid w:val="005843AB"/>
    <w:rsid w:val="00584D32"/>
    <w:rsid w:val="00584F2E"/>
    <w:rsid w:val="0058598A"/>
    <w:rsid w:val="00585B1C"/>
    <w:rsid w:val="00585D38"/>
    <w:rsid w:val="00585D3B"/>
    <w:rsid w:val="00587109"/>
    <w:rsid w:val="0058710E"/>
    <w:rsid w:val="00590C1F"/>
    <w:rsid w:val="00593CFE"/>
    <w:rsid w:val="00594851"/>
    <w:rsid w:val="00595EC4"/>
    <w:rsid w:val="00596270"/>
    <w:rsid w:val="00596C50"/>
    <w:rsid w:val="005972A3"/>
    <w:rsid w:val="00597A2A"/>
    <w:rsid w:val="005A00CD"/>
    <w:rsid w:val="005A060C"/>
    <w:rsid w:val="005A0FF5"/>
    <w:rsid w:val="005A1041"/>
    <w:rsid w:val="005A320D"/>
    <w:rsid w:val="005A47B3"/>
    <w:rsid w:val="005A52EA"/>
    <w:rsid w:val="005A6037"/>
    <w:rsid w:val="005A6083"/>
    <w:rsid w:val="005A66C3"/>
    <w:rsid w:val="005B1302"/>
    <w:rsid w:val="005B1413"/>
    <w:rsid w:val="005B2036"/>
    <w:rsid w:val="005B27DA"/>
    <w:rsid w:val="005B4948"/>
    <w:rsid w:val="005B50F2"/>
    <w:rsid w:val="005B5F15"/>
    <w:rsid w:val="005B7781"/>
    <w:rsid w:val="005B7CEA"/>
    <w:rsid w:val="005C0104"/>
    <w:rsid w:val="005C1B21"/>
    <w:rsid w:val="005C1ED3"/>
    <w:rsid w:val="005C30B0"/>
    <w:rsid w:val="005C362D"/>
    <w:rsid w:val="005C368B"/>
    <w:rsid w:val="005C3BB4"/>
    <w:rsid w:val="005C3C34"/>
    <w:rsid w:val="005C4A83"/>
    <w:rsid w:val="005C54F4"/>
    <w:rsid w:val="005D2E6D"/>
    <w:rsid w:val="005D3B44"/>
    <w:rsid w:val="005D3C8C"/>
    <w:rsid w:val="005D3D70"/>
    <w:rsid w:val="005D4AA3"/>
    <w:rsid w:val="005D573A"/>
    <w:rsid w:val="005D61EF"/>
    <w:rsid w:val="005D7CA6"/>
    <w:rsid w:val="005E004C"/>
    <w:rsid w:val="005E080B"/>
    <w:rsid w:val="005E09FD"/>
    <w:rsid w:val="005E17F4"/>
    <w:rsid w:val="005E1F63"/>
    <w:rsid w:val="005E2D08"/>
    <w:rsid w:val="005E397A"/>
    <w:rsid w:val="005E3B22"/>
    <w:rsid w:val="005E41D8"/>
    <w:rsid w:val="005E4910"/>
    <w:rsid w:val="005E5EC9"/>
    <w:rsid w:val="005E798B"/>
    <w:rsid w:val="005E7A38"/>
    <w:rsid w:val="005F0023"/>
    <w:rsid w:val="005F2741"/>
    <w:rsid w:val="005F397E"/>
    <w:rsid w:val="005F3BD3"/>
    <w:rsid w:val="005F5094"/>
    <w:rsid w:val="005F566A"/>
    <w:rsid w:val="005F56CB"/>
    <w:rsid w:val="00600417"/>
    <w:rsid w:val="00601B68"/>
    <w:rsid w:val="00604012"/>
    <w:rsid w:val="00604147"/>
    <w:rsid w:val="00604533"/>
    <w:rsid w:val="00605771"/>
    <w:rsid w:val="00605797"/>
    <w:rsid w:val="00611176"/>
    <w:rsid w:val="00611681"/>
    <w:rsid w:val="006116DC"/>
    <w:rsid w:val="006127DC"/>
    <w:rsid w:val="00612931"/>
    <w:rsid w:val="00612A53"/>
    <w:rsid w:val="006131E7"/>
    <w:rsid w:val="00613869"/>
    <w:rsid w:val="006156BA"/>
    <w:rsid w:val="00615DAD"/>
    <w:rsid w:val="0061608D"/>
    <w:rsid w:val="00616A56"/>
    <w:rsid w:val="00617B5F"/>
    <w:rsid w:val="00622838"/>
    <w:rsid w:val="00622AF9"/>
    <w:rsid w:val="00622F26"/>
    <w:rsid w:val="00624D53"/>
    <w:rsid w:val="00624DBC"/>
    <w:rsid w:val="00625B90"/>
    <w:rsid w:val="006260A3"/>
    <w:rsid w:val="0063007C"/>
    <w:rsid w:val="00631AA5"/>
    <w:rsid w:val="00632143"/>
    <w:rsid w:val="0063286D"/>
    <w:rsid w:val="006330E0"/>
    <w:rsid w:val="006331B5"/>
    <w:rsid w:val="00633294"/>
    <w:rsid w:val="0063333E"/>
    <w:rsid w:val="006338D0"/>
    <w:rsid w:val="00634826"/>
    <w:rsid w:val="006357FD"/>
    <w:rsid w:val="00635BAE"/>
    <w:rsid w:val="00635FFF"/>
    <w:rsid w:val="0063769F"/>
    <w:rsid w:val="0063782B"/>
    <w:rsid w:val="00637D52"/>
    <w:rsid w:val="006405B7"/>
    <w:rsid w:val="00642C78"/>
    <w:rsid w:val="00644705"/>
    <w:rsid w:val="0064493B"/>
    <w:rsid w:val="0064730A"/>
    <w:rsid w:val="00647E1F"/>
    <w:rsid w:val="00650564"/>
    <w:rsid w:val="00650873"/>
    <w:rsid w:val="006514EC"/>
    <w:rsid w:val="00652B91"/>
    <w:rsid w:val="00652FE1"/>
    <w:rsid w:val="006573C4"/>
    <w:rsid w:val="00662AA3"/>
    <w:rsid w:val="0066322C"/>
    <w:rsid w:val="00663532"/>
    <w:rsid w:val="0066409A"/>
    <w:rsid w:val="006643B0"/>
    <w:rsid w:val="00664C42"/>
    <w:rsid w:val="00664CB2"/>
    <w:rsid w:val="006660DC"/>
    <w:rsid w:val="00667801"/>
    <w:rsid w:val="006700C4"/>
    <w:rsid w:val="00670C16"/>
    <w:rsid w:val="00670E70"/>
    <w:rsid w:val="00671191"/>
    <w:rsid w:val="006716D3"/>
    <w:rsid w:val="00671D94"/>
    <w:rsid w:val="006731B8"/>
    <w:rsid w:val="00674394"/>
    <w:rsid w:val="00674493"/>
    <w:rsid w:val="00674753"/>
    <w:rsid w:val="00674FA6"/>
    <w:rsid w:val="006759C6"/>
    <w:rsid w:val="006763DC"/>
    <w:rsid w:val="00680F85"/>
    <w:rsid w:val="00681811"/>
    <w:rsid w:val="00682FEC"/>
    <w:rsid w:val="0068370D"/>
    <w:rsid w:val="00683B94"/>
    <w:rsid w:val="00684CE0"/>
    <w:rsid w:val="0068568F"/>
    <w:rsid w:val="0068684E"/>
    <w:rsid w:val="00686EF4"/>
    <w:rsid w:val="006903DB"/>
    <w:rsid w:val="0069079C"/>
    <w:rsid w:val="00691E96"/>
    <w:rsid w:val="006921D7"/>
    <w:rsid w:val="0069221F"/>
    <w:rsid w:val="006928CF"/>
    <w:rsid w:val="0069498A"/>
    <w:rsid w:val="00695042"/>
    <w:rsid w:val="006956DD"/>
    <w:rsid w:val="00697895"/>
    <w:rsid w:val="006979CB"/>
    <w:rsid w:val="006A0BF9"/>
    <w:rsid w:val="006A2516"/>
    <w:rsid w:val="006A2B10"/>
    <w:rsid w:val="006A35F3"/>
    <w:rsid w:val="006A3DBC"/>
    <w:rsid w:val="006A3FF1"/>
    <w:rsid w:val="006A4495"/>
    <w:rsid w:val="006A688A"/>
    <w:rsid w:val="006A6A7D"/>
    <w:rsid w:val="006A6AA6"/>
    <w:rsid w:val="006A6C33"/>
    <w:rsid w:val="006B060A"/>
    <w:rsid w:val="006B1CC2"/>
    <w:rsid w:val="006B2655"/>
    <w:rsid w:val="006B2DED"/>
    <w:rsid w:val="006B2EB9"/>
    <w:rsid w:val="006B462E"/>
    <w:rsid w:val="006B48BF"/>
    <w:rsid w:val="006B5844"/>
    <w:rsid w:val="006B5A6B"/>
    <w:rsid w:val="006B6646"/>
    <w:rsid w:val="006B7480"/>
    <w:rsid w:val="006B7771"/>
    <w:rsid w:val="006C025F"/>
    <w:rsid w:val="006C3E72"/>
    <w:rsid w:val="006C4CBD"/>
    <w:rsid w:val="006C5476"/>
    <w:rsid w:val="006C6CDB"/>
    <w:rsid w:val="006C6D54"/>
    <w:rsid w:val="006C7064"/>
    <w:rsid w:val="006D0862"/>
    <w:rsid w:val="006D100C"/>
    <w:rsid w:val="006D1490"/>
    <w:rsid w:val="006D1555"/>
    <w:rsid w:val="006D1843"/>
    <w:rsid w:val="006D1CD2"/>
    <w:rsid w:val="006D2C32"/>
    <w:rsid w:val="006D4819"/>
    <w:rsid w:val="006D6F6C"/>
    <w:rsid w:val="006E0594"/>
    <w:rsid w:val="006E2E40"/>
    <w:rsid w:val="006E3614"/>
    <w:rsid w:val="006E380D"/>
    <w:rsid w:val="006E3853"/>
    <w:rsid w:val="006E529A"/>
    <w:rsid w:val="006E578C"/>
    <w:rsid w:val="006E589E"/>
    <w:rsid w:val="006E5950"/>
    <w:rsid w:val="006F087F"/>
    <w:rsid w:val="006F0F54"/>
    <w:rsid w:val="006F1807"/>
    <w:rsid w:val="006F2238"/>
    <w:rsid w:val="006F2DB0"/>
    <w:rsid w:val="006F332D"/>
    <w:rsid w:val="006F445B"/>
    <w:rsid w:val="006F450B"/>
    <w:rsid w:val="006F4F35"/>
    <w:rsid w:val="006F5913"/>
    <w:rsid w:val="006F5DCE"/>
    <w:rsid w:val="006F5EB4"/>
    <w:rsid w:val="006F5F7B"/>
    <w:rsid w:val="006F78D8"/>
    <w:rsid w:val="00700934"/>
    <w:rsid w:val="00700C01"/>
    <w:rsid w:val="00702CC2"/>
    <w:rsid w:val="00702E00"/>
    <w:rsid w:val="007038AF"/>
    <w:rsid w:val="007045CE"/>
    <w:rsid w:val="0070522A"/>
    <w:rsid w:val="007056EA"/>
    <w:rsid w:val="00705751"/>
    <w:rsid w:val="007067AF"/>
    <w:rsid w:val="00706CE6"/>
    <w:rsid w:val="007075CF"/>
    <w:rsid w:val="0070782E"/>
    <w:rsid w:val="00707851"/>
    <w:rsid w:val="0070793D"/>
    <w:rsid w:val="007109A1"/>
    <w:rsid w:val="00710D29"/>
    <w:rsid w:val="00711A93"/>
    <w:rsid w:val="00711BEE"/>
    <w:rsid w:val="00713F9D"/>
    <w:rsid w:val="00715690"/>
    <w:rsid w:val="0071580C"/>
    <w:rsid w:val="00715BFE"/>
    <w:rsid w:val="007179F1"/>
    <w:rsid w:val="0072097D"/>
    <w:rsid w:val="007211DE"/>
    <w:rsid w:val="00721433"/>
    <w:rsid w:val="0072152A"/>
    <w:rsid w:val="007217AE"/>
    <w:rsid w:val="0072270E"/>
    <w:rsid w:val="007232C8"/>
    <w:rsid w:val="007232C9"/>
    <w:rsid w:val="00723319"/>
    <w:rsid w:val="00723873"/>
    <w:rsid w:val="00723DB9"/>
    <w:rsid w:val="007243BE"/>
    <w:rsid w:val="00724654"/>
    <w:rsid w:val="00724693"/>
    <w:rsid w:val="00724A3E"/>
    <w:rsid w:val="00726256"/>
    <w:rsid w:val="007264BF"/>
    <w:rsid w:val="00726F58"/>
    <w:rsid w:val="00727024"/>
    <w:rsid w:val="007271A0"/>
    <w:rsid w:val="0072784D"/>
    <w:rsid w:val="00727F75"/>
    <w:rsid w:val="00730403"/>
    <w:rsid w:val="00730954"/>
    <w:rsid w:val="00733928"/>
    <w:rsid w:val="00734E2A"/>
    <w:rsid w:val="00735A56"/>
    <w:rsid w:val="007365F0"/>
    <w:rsid w:val="0073678C"/>
    <w:rsid w:val="00737C33"/>
    <w:rsid w:val="00740134"/>
    <w:rsid w:val="0074014A"/>
    <w:rsid w:val="00740E4E"/>
    <w:rsid w:val="00740FB1"/>
    <w:rsid w:val="007416FE"/>
    <w:rsid w:val="00742498"/>
    <w:rsid w:val="00743730"/>
    <w:rsid w:val="00744020"/>
    <w:rsid w:val="00745195"/>
    <w:rsid w:val="00745E04"/>
    <w:rsid w:val="00746EAC"/>
    <w:rsid w:val="00747A4A"/>
    <w:rsid w:val="00752146"/>
    <w:rsid w:val="0075282B"/>
    <w:rsid w:val="00752985"/>
    <w:rsid w:val="00753520"/>
    <w:rsid w:val="0075418C"/>
    <w:rsid w:val="007609F5"/>
    <w:rsid w:val="00761146"/>
    <w:rsid w:val="00761221"/>
    <w:rsid w:val="00761282"/>
    <w:rsid w:val="00761E6D"/>
    <w:rsid w:val="0076284F"/>
    <w:rsid w:val="007631B8"/>
    <w:rsid w:val="00764E7D"/>
    <w:rsid w:val="0076546E"/>
    <w:rsid w:val="007677BA"/>
    <w:rsid w:val="007703DA"/>
    <w:rsid w:val="00770ECF"/>
    <w:rsid w:val="00771099"/>
    <w:rsid w:val="00771F63"/>
    <w:rsid w:val="007727DD"/>
    <w:rsid w:val="0077294D"/>
    <w:rsid w:val="00772D6B"/>
    <w:rsid w:val="0077326C"/>
    <w:rsid w:val="007743F6"/>
    <w:rsid w:val="00774977"/>
    <w:rsid w:val="00775C85"/>
    <w:rsid w:val="00775F74"/>
    <w:rsid w:val="0077768B"/>
    <w:rsid w:val="00783D0D"/>
    <w:rsid w:val="00786503"/>
    <w:rsid w:val="00786C5A"/>
    <w:rsid w:val="00787106"/>
    <w:rsid w:val="00787E2D"/>
    <w:rsid w:val="00787F30"/>
    <w:rsid w:val="007900B2"/>
    <w:rsid w:val="00790F36"/>
    <w:rsid w:val="007911A3"/>
    <w:rsid w:val="007943A1"/>
    <w:rsid w:val="00794614"/>
    <w:rsid w:val="00796C52"/>
    <w:rsid w:val="00797B88"/>
    <w:rsid w:val="00797CC2"/>
    <w:rsid w:val="007A03FF"/>
    <w:rsid w:val="007A2F8D"/>
    <w:rsid w:val="007A3050"/>
    <w:rsid w:val="007A3626"/>
    <w:rsid w:val="007A4E20"/>
    <w:rsid w:val="007A5830"/>
    <w:rsid w:val="007A657B"/>
    <w:rsid w:val="007A6954"/>
    <w:rsid w:val="007A6A0C"/>
    <w:rsid w:val="007A70EF"/>
    <w:rsid w:val="007A7361"/>
    <w:rsid w:val="007B085E"/>
    <w:rsid w:val="007B1B50"/>
    <w:rsid w:val="007B2F7A"/>
    <w:rsid w:val="007B349D"/>
    <w:rsid w:val="007B360D"/>
    <w:rsid w:val="007B369E"/>
    <w:rsid w:val="007B6E34"/>
    <w:rsid w:val="007B7960"/>
    <w:rsid w:val="007B7BB1"/>
    <w:rsid w:val="007C0074"/>
    <w:rsid w:val="007C242B"/>
    <w:rsid w:val="007C2C53"/>
    <w:rsid w:val="007C3B12"/>
    <w:rsid w:val="007C414E"/>
    <w:rsid w:val="007C4363"/>
    <w:rsid w:val="007C444C"/>
    <w:rsid w:val="007C5650"/>
    <w:rsid w:val="007C646D"/>
    <w:rsid w:val="007C77D4"/>
    <w:rsid w:val="007D0B22"/>
    <w:rsid w:val="007D14C5"/>
    <w:rsid w:val="007D21FF"/>
    <w:rsid w:val="007D264B"/>
    <w:rsid w:val="007D2940"/>
    <w:rsid w:val="007D53C7"/>
    <w:rsid w:val="007D5F17"/>
    <w:rsid w:val="007D6158"/>
    <w:rsid w:val="007D70F6"/>
    <w:rsid w:val="007D7F96"/>
    <w:rsid w:val="007E0AE6"/>
    <w:rsid w:val="007E14F6"/>
    <w:rsid w:val="007E151B"/>
    <w:rsid w:val="007E2F14"/>
    <w:rsid w:val="007E3815"/>
    <w:rsid w:val="007E3932"/>
    <w:rsid w:val="007E57F7"/>
    <w:rsid w:val="007E597F"/>
    <w:rsid w:val="007E6023"/>
    <w:rsid w:val="007E618C"/>
    <w:rsid w:val="007E7A90"/>
    <w:rsid w:val="007F02FF"/>
    <w:rsid w:val="007F0406"/>
    <w:rsid w:val="007F05B0"/>
    <w:rsid w:val="007F07B1"/>
    <w:rsid w:val="007F1022"/>
    <w:rsid w:val="007F243C"/>
    <w:rsid w:val="007F2C0E"/>
    <w:rsid w:val="007F313D"/>
    <w:rsid w:val="007F47B3"/>
    <w:rsid w:val="007F50F5"/>
    <w:rsid w:val="007F5B07"/>
    <w:rsid w:val="007F5EF5"/>
    <w:rsid w:val="007F619E"/>
    <w:rsid w:val="007F6A8D"/>
    <w:rsid w:val="007F74EC"/>
    <w:rsid w:val="008000AE"/>
    <w:rsid w:val="0080013D"/>
    <w:rsid w:val="008021CA"/>
    <w:rsid w:val="00802B4C"/>
    <w:rsid w:val="00803143"/>
    <w:rsid w:val="0080367E"/>
    <w:rsid w:val="00803893"/>
    <w:rsid w:val="0080680D"/>
    <w:rsid w:val="008119A4"/>
    <w:rsid w:val="0081216B"/>
    <w:rsid w:val="008121A5"/>
    <w:rsid w:val="008128AF"/>
    <w:rsid w:val="008128E6"/>
    <w:rsid w:val="00812BED"/>
    <w:rsid w:val="00813589"/>
    <w:rsid w:val="0081371F"/>
    <w:rsid w:val="00813E38"/>
    <w:rsid w:val="00814778"/>
    <w:rsid w:val="00814D97"/>
    <w:rsid w:val="0081505E"/>
    <w:rsid w:val="008164B7"/>
    <w:rsid w:val="00816B06"/>
    <w:rsid w:val="0082025C"/>
    <w:rsid w:val="00821535"/>
    <w:rsid w:val="00824345"/>
    <w:rsid w:val="008250E0"/>
    <w:rsid w:val="008302B9"/>
    <w:rsid w:val="0083110C"/>
    <w:rsid w:val="00831359"/>
    <w:rsid w:val="008314CA"/>
    <w:rsid w:val="008318A5"/>
    <w:rsid w:val="00831BD7"/>
    <w:rsid w:val="008323C8"/>
    <w:rsid w:val="00832854"/>
    <w:rsid w:val="00832B96"/>
    <w:rsid w:val="00832BBA"/>
    <w:rsid w:val="00832C3A"/>
    <w:rsid w:val="008334CC"/>
    <w:rsid w:val="00833598"/>
    <w:rsid w:val="00833B4D"/>
    <w:rsid w:val="00834702"/>
    <w:rsid w:val="00835188"/>
    <w:rsid w:val="0083565C"/>
    <w:rsid w:val="0083682B"/>
    <w:rsid w:val="008368C5"/>
    <w:rsid w:val="00837203"/>
    <w:rsid w:val="0083749B"/>
    <w:rsid w:val="008407D4"/>
    <w:rsid w:val="00841662"/>
    <w:rsid w:val="00841682"/>
    <w:rsid w:val="00841C73"/>
    <w:rsid w:val="00841F1A"/>
    <w:rsid w:val="0084306F"/>
    <w:rsid w:val="00843DC2"/>
    <w:rsid w:val="0084519D"/>
    <w:rsid w:val="0084620F"/>
    <w:rsid w:val="00846C70"/>
    <w:rsid w:val="00846C90"/>
    <w:rsid w:val="00846EC1"/>
    <w:rsid w:val="00850047"/>
    <w:rsid w:val="0085276A"/>
    <w:rsid w:val="00853229"/>
    <w:rsid w:val="008549D4"/>
    <w:rsid w:val="00856129"/>
    <w:rsid w:val="008566A9"/>
    <w:rsid w:val="00856812"/>
    <w:rsid w:val="008570C4"/>
    <w:rsid w:val="00861558"/>
    <w:rsid w:val="00861C33"/>
    <w:rsid w:val="008620AE"/>
    <w:rsid w:val="00862192"/>
    <w:rsid w:val="00862DEB"/>
    <w:rsid w:val="00863708"/>
    <w:rsid w:val="008641AC"/>
    <w:rsid w:val="00865142"/>
    <w:rsid w:val="0086554A"/>
    <w:rsid w:val="008657EB"/>
    <w:rsid w:val="00866F66"/>
    <w:rsid w:val="00866F89"/>
    <w:rsid w:val="00867086"/>
    <w:rsid w:val="00867CF3"/>
    <w:rsid w:val="00867F8D"/>
    <w:rsid w:val="008722CE"/>
    <w:rsid w:val="00875C16"/>
    <w:rsid w:val="008760C2"/>
    <w:rsid w:val="0087642F"/>
    <w:rsid w:val="00876633"/>
    <w:rsid w:val="00876FA7"/>
    <w:rsid w:val="0087706D"/>
    <w:rsid w:val="008814DE"/>
    <w:rsid w:val="0088152E"/>
    <w:rsid w:val="008817A4"/>
    <w:rsid w:val="00881B65"/>
    <w:rsid w:val="00884697"/>
    <w:rsid w:val="00885280"/>
    <w:rsid w:val="00887B75"/>
    <w:rsid w:val="00890BC1"/>
    <w:rsid w:val="00890CA5"/>
    <w:rsid w:val="008911FE"/>
    <w:rsid w:val="00891E84"/>
    <w:rsid w:val="00892659"/>
    <w:rsid w:val="008933E5"/>
    <w:rsid w:val="008942B7"/>
    <w:rsid w:val="0089470A"/>
    <w:rsid w:val="00894B4E"/>
    <w:rsid w:val="00894F6B"/>
    <w:rsid w:val="00896DAC"/>
    <w:rsid w:val="00897E71"/>
    <w:rsid w:val="008A0DBA"/>
    <w:rsid w:val="008A1CF3"/>
    <w:rsid w:val="008A1D8E"/>
    <w:rsid w:val="008A211D"/>
    <w:rsid w:val="008A3717"/>
    <w:rsid w:val="008A3752"/>
    <w:rsid w:val="008A37D8"/>
    <w:rsid w:val="008A5D00"/>
    <w:rsid w:val="008A64CC"/>
    <w:rsid w:val="008B1F1A"/>
    <w:rsid w:val="008B262A"/>
    <w:rsid w:val="008B2DCD"/>
    <w:rsid w:val="008B49A2"/>
    <w:rsid w:val="008B4C0C"/>
    <w:rsid w:val="008B7DA8"/>
    <w:rsid w:val="008B7E9F"/>
    <w:rsid w:val="008C01F5"/>
    <w:rsid w:val="008C037A"/>
    <w:rsid w:val="008C2EBD"/>
    <w:rsid w:val="008C34C1"/>
    <w:rsid w:val="008C50CD"/>
    <w:rsid w:val="008C5ED2"/>
    <w:rsid w:val="008C64FA"/>
    <w:rsid w:val="008C6B4A"/>
    <w:rsid w:val="008C6F4F"/>
    <w:rsid w:val="008C72ED"/>
    <w:rsid w:val="008D020C"/>
    <w:rsid w:val="008D0552"/>
    <w:rsid w:val="008D2839"/>
    <w:rsid w:val="008D3767"/>
    <w:rsid w:val="008D3AF9"/>
    <w:rsid w:val="008D4953"/>
    <w:rsid w:val="008D50F0"/>
    <w:rsid w:val="008D5623"/>
    <w:rsid w:val="008D67B5"/>
    <w:rsid w:val="008E0C98"/>
    <w:rsid w:val="008E1696"/>
    <w:rsid w:val="008E2082"/>
    <w:rsid w:val="008E21DA"/>
    <w:rsid w:val="008E3C12"/>
    <w:rsid w:val="008E4DF8"/>
    <w:rsid w:val="008E612A"/>
    <w:rsid w:val="008E6BBE"/>
    <w:rsid w:val="008F0066"/>
    <w:rsid w:val="008F00D7"/>
    <w:rsid w:val="008F0F69"/>
    <w:rsid w:val="008F2091"/>
    <w:rsid w:val="008F2EBF"/>
    <w:rsid w:val="008F318E"/>
    <w:rsid w:val="008F3249"/>
    <w:rsid w:val="008F51D1"/>
    <w:rsid w:val="008F589E"/>
    <w:rsid w:val="008F5D7C"/>
    <w:rsid w:val="008F6A75"/>
    <w:rsid w:val="00901B76"/>
    <w:rsid w:val="009022E9"/>
    <w:rsid w:val="0090311D"/>
    <w:rsid w:val="009049E5"/>
    <w:rsid w:val="009056AF"/>
    <w:rsid w:val="009062F4"/>
    <w:rsid w:val="00906EE4"/>
    <w:rsid w:val="0090760C"/>
    <w:rsid w:val="009079DF"/>
    <w:rsid w:val="009105CC"/>
    <w:rsid w:val="00910DBC"/>
    <w:rsid w:val="00910F90"/>
    <w:rsid w:val="00911188"/>
    <w:rsid w:val="00911AE5"/>
    <w:rsid w:val="00912F3D"/>
    <w:rsid w:val="00913A8B"/>
    <w:rsid w:val="00913F0C"/>
    <w:rsid w:val="0091446B"/>
    <w:rsid w:val="009155E1"/>
    <w:rsid w:val="00915E1B"/>
    <w:rsid w:val="009174CB"/>
    <w:rsid w:val="009176FF"/>
    <w:rsid w:val="009216AB"/>
    <w:rsid w:val="00921746"/>
    <w:rsid w:val="0092287C"/>
    <w:rsid w:val="00923CA5"/>
    <w:rsid w:val="00924C00"/>
    <w:rsid w:val="009250FD"/>
    <w:rsid w:val="00925AA7"/>
    <w:rsid w:val="00925BDE"/>
    <w:rsid w:val="009268CC"/>
    <w:rsid w:val="00926F7E"/>
    <w:rsid w:val="009275FA"/>
    <w:rsid w:val="00927924"/>
    <w:rsid w:val="009300E1"/>
    <w:rsid w:val="00930A62"/>
    <w:rsid w:val="00931A0E"/>
    <w:rsid w:val="00931E81"/>
    <w:rsid w:val="00932D65"/>
    <w:rsid w:val="009340C0"/>
    <w:rsid w:val="009341AF"/>
    <w:rsid w:val="00934FA5"/>
    <w:rsid w:val="00935E0F"/>
    <w:rsid w:val="00936F02"/>
    <w:rsid w:val="009372E5"/>
    <w:rsid w:val="00940E74"/>
    <w:rsid w:val="0094159D"/>
    <w:rsid w:val="00941A3B"/>
    <w:rsid w:val="009420C9"/>
    <w:rsid w:val="00942A1B"/>
    <w:rsid w:val="00943364"/>
    <w:rsid w:val="0094338C"/>
    <w:rsid w:val="009443FC"/>
    <w:rsid w:val="00944752"/>
    <w:rsid w:val="00944E38"/>
    <w:rsid w:val="009459DB"/>
    <w:rsid w:val="00945F5D"/>
    <w:rsid w:val="00946582"/>
    <w:rsid w:val="0095046F"/>
    <w:rsid w:val="00951667"/>
    <w:rsid w:val="00951D54"/>
    <w:rsid w:val="00952783"/>
    <w:rsid w:val="00953211"/>
    <w:rsid w:val="0095344B"/>
    <w:rsid w:val="009539B8"/>
    <w:rsid w:val="00954043"/>
    <w:rsid w:val="0095418C"/>
    <w:rsid w:val="009549D3"/>
    <w:rsid w:val="00954FAC"/>
    <w:rsid w:val="00954FFC"/>
    <w:rsid w:val="0095529C"/>
    <w:rsid w:val="00955CB7"/>
    <w:rsid w:val="009572D2"/>
    <w:rsid w:val="00957548"/>
    <w:rsid w:val="009603C1"/>
    <w:rsid w:val="009610FF"/>
    <w:rsid w:val="009611EB"/>
    <w:rsid w:val="00961F8E"/>
    <w:rsid w:val="0096458A"/>
    <w:rsid w:val="009653BC"/>
    <w:rsid w:val="00967548"/>
    <w:rsid w:val="00967E52"/>
    <w:rsid w:val="00970CA8"/>
    <w:rsid w:val="009712ED"/>
    <w:rsid w:val="009723D0"/>
    <w:rsid w:val="00973425"/>
    <w:rsid w:val="00973C9C"/>
    <w:rsid w:val="00974862"/>
    <w:rsid w:val="009752D3"/>
    <w:rsid w:val="0097628D"/>
    <w:rsid w:val="0097697C"/>
    <w:rsid w:val="00976DA7"/>
    <w:rsid w:val="009777EC"/>
    <w:rsid w:val="0098120D"/>
    <w:rsid w:val="009813C4"/>
    <w:rsid w:val="00981C46"/>
    <w:rsid w:val="0098246A"/>
    <w:rsid w:val="00982E70"/>
    <w:rsid w:val="009856BA"/>
    <w:rsid w:val="009859CB"/>
    <w:rsid w:val="00985CC4"/>
    <w:rsid w:val="00985E7C"/>
    <w:rsid w:val="00986AE8"/>
    <w:rsid w:val="009876E4"/>
    <w:rsid w:val="00991F86"/>
    <w:rsid w:val="009925A0"/>
    <w:rsid w:val="00992D72"/>
    <w:rsid w:val="0099319A"/>
    <w:rsid w:val="009931B5"/>
    <w:rsid w:val="009935CD"/>
    <w:rsid w:val="009945CD"/>
    <w:rsid w:val="009955D0"/>
    <w:rsid w:val="0099571C"/>
    <w:rsid w:val="00996050"/>
    <w:rsid w:val="00996608"/>
    <w:rsid w:val="009971D6"/>
    <w:rsid w:val="009A192D"/>
    <w:rsid w:val="009A21FA"/>
    <w:rsid w:val="009A2E2C"/>
    <w:rsid w:val="009A51BD"/>
    <w:rsid w:val="009A51C2"/>
    <w:rsid w:val="009A5872"/>
    <w:rsid w:val="009A5E25"/>
    <w:rsid w:val="009A5ECA"/>
    <w:rsid w:val="009A7C7E"/>
    <w:rsid w:val="009B021E"/>
    <w:rsid w:val="009B0364"/>
    <w:rsid w:val="009B10F2"/>
    <w:rsid w:val="009B122C"/>
    <w:rsid w:val="009B178B"/>
    <w:rsid w:val="009B1C36"/>
    <w:rsid w:val="009B4EB9"/>
    <w:rsid w:val="009B578A"/>
    <w:rsid w:val="009B57AE"/>
    <w:rsid w:val="009B5C32"/>
    <w:rsid w:val="009C076F"/>
    <w:rsid w:val="009C077A"/>
    <w:rsid w:val="009C0DE1"/>
    <w:rsid w:val="009C38E7"/>
    <w:rsid w:val="009C4C79"/>
    <w:rsid w:val="009C5C1A"/>
    <w:rsid w:val="009C7875"/>
    <w:rsid w:val="009D029E"/>
    <w:rsid w:val="009D02FC"/>
    <w:rsid w:val="009D06F8"/>
    <w:rsid w:val="009D09B1"/>
    <w:rsid w:val="009D1558"/>
    <w:rsid w:val="009D2D34"/>
    <w:rsid w:val="009D2DA8"/>
    <w:rsid w:val="009D3106"/>
    <w:rsid w:val="009D3694"/>
    <w:rsid w:val="009D4E27"/>
    <w:rsid w:val="009D5EB9"/>
    <w:rsid w:val="009D5FC4"/>
    <w:rsid w:val="009D6167"/>
    <w:rsid w:val="009D7961"/>
    <w:rsid w:val="009E0075"/>
    <w:rsid w:val="009E076D"/>
    <w:rsid w:val="009E0FF0"/>
    <w:rsid w:val="009E23C5"/>
    <w:rsid w:val="009E2C1C"/>
    <w:rsid w:val="009E2F35"/>
    <w:rsid w:val="009E2F9F"/>
    <w:rsid w:val="009E3594"/>
    <w:rsid w:val="009E5E26"/>
    <w:rsid w:val="009E600B"/>
    <w:rsid w:val="009E66A1"/>
    <w:rsid w:val="009E75B1"/>
    <w:rsid w:val="009F07FA"/>
    <w:rsid w:val="009F0C00"/>
    <w:rsid w:val="009F1292"/>
    <w:rsid w:val="009F1A5B"/>
    <w:rsid w:val="009F20C2"/>
    <w:rsid w:val="009F270C"/>
    <w:rsid w:val="009F2D63"/>
    <w:rsid w:val="009F2F41"/>
    <w:rsid w:val="009F318F"/>
    <w:rsid w:val="009F3685"/>
    <w:rsid w:val="009F5092"/>
    <w:rsid w:val="009F7594"/>
    <w:rsid w:val="00A00325"/>
    <w:rsid w:val="00A00953"/>
    <w:rsid w:val="00A0153E"/>
    <w:rsid w:val="00A0172F"/>
    <w:rsid w:val="00A01D9A"/>
    <w:rsid w:val="00A02ADC"/>
    <w:rsid w:val="00A02C26"/>
    <w:rsid w:val="00A02DDC"/>
    <w:rsid w:val="00A03BAE"/>
    <w:rsid w:val="00A03EB3"/>
    <w:rsid w:val="00A04437"/>
    <w:rsid w:val="00A05D4E"/>
    <w:rsid w:val="00A06052"/>
    <w:rsid w:val="00A06FDA"/>
    <w:rsid w:val="00A0702E"/>
    <w:rsid w:val="00A0706C"/>
    <w:rsid w:val="00A102AF"/>
    <w:rsid w:val="00A12C70"/>
    <w:rsid w:val="00A12CFE"/>
    <w:rsid w:val="00A132E9"/>
    <w:rsid w:val="00A1336D"/>
    <w:rsid w:val="00A13F7F"/>
    <w:rsid w:val="00A14F8D"/>
    <w:rsid w:val="00A151FB"/>
    <w:rsid w:val="00A15742"/>
    <w:rsid w:val="00A15803"/>
    <w:rsid w:val="00A15DDD"/>
    <w:rsid w:val="00A160DA"/>
    <w:rsid w:val="00A17F10"/>
    <w:rsid w:val="00A17F78"/>
    <w:rsid w:val="00A17FA5"/>
    <w:rsid w:val="00A20409"/>
    <w:rsid w:val="00A22641"/>
    <w:rsid w:val="00A22A5D"/>
    <w:rsid w:val="00A2321F"/>
    <w:rsid w:val="00A23DD5"/>
    <w:rsid w:val="00A23FA6"/>
    <w:rsid w:val="00A24951"/>
    <w:rsid w:val="00A24CBC"/>
    <w:rsid w:val="00A25194"/>
    <w:rsid w:val="00A256D3"/>
    <w:rsid w:val="00A258FE"/>
    <w:rsid w:val="00A26101"/>
    <w:rsid w:val="00A26F57"/>
    <w:rsid w:val="00A270ED"/>
    <w:rsid w:val="00A2754B"/>
    <w:rsid w:val="00A27AEA"/>
    <w:rsid w:val="00A27AF2"/>
    <w:rsid w:val="00A3030D"/>
    <w:rsid w:val="00A30B4F"/>
    <w:rsid w:val="00A33944"/>
    <w:rsid w:val="00A34FF1"/>
    <w:rsid w:val="00A35435"/>
    <w:rsid w:val="00A358CC"/>
    <w:rsid w:val="00A35B29"/>
    <w:rsid w:val="00A36CBB"/>
    <w:rsid w:val="00A40443"/>
    <w:rsid w:val="00A407D5"/>
    <w:rsid w:val="00A412E5"/>
    <w:rsid w:val="00A419E5"/>
    <w:rsid w:val="00A41B7F"/>
    <w:rsid w:val="00A42190"/>
    <w:rsid w:val="00A42BC0"/>
    <w:rsid w:val="00A42D5F"/>
    <w:rsid w:val="00A4330B"/>
    <w:rsid w:val="00A438A6"/>
    <w:rsid w:val="00A44447"/>
    <w:rsid w:val="00A44C66"/>
    <w:rsid w:val="00A44D24"/>
    <w:rsid w:val="00A4551E"/>
    <w:rsid w:val="00A45990"/>
    <w:rsid w:val="00A476E9"/>
    <w:rsid w:val="00A47CE7"/>
    <w:rsid w:val="00A51488"/>
    <w:rsid w:val="00A52B8C"/>
    <w:rsid w:val="00A53666"/>
    <w:rsid w:val="00A54AC6"/>
    <w:rsid w:val="00A568FF"/>
    <w:rsid w:val="00A57146"/>
    <w:rsid w:val="00A571BA"/>
    <w:rsid w:val="00A5765A"/>
    <w:rsid w:val="00A634A7"/>
    <w:rsid w:val="00A63555"/>
    <w:rsid w:val="00A63DDA"/>
    <w:rsid w:val="00A642F2"/>
    <w:rsid w:val="00A64ABF"/>
    <w:rsid w:val="00A65103"/>
    <w:rsid w:val="00A66697"/>
    <w:rsid w:val="00A667D0"/>
    <w:rsid w:val="00A67125"/>
    <w:rsid w:val="00A7087D"/>
    <w:rsid w:val="00A71F9B"/>
    <w:rsid w:val="00A728F9"/>
    <w:rsid w:val="00A72D2D"/>
    <w:rsid w:val="00A73CC1"/>
    <w:rsid w:val="00A7566A"/>
    <w:rsid w:val="00A75ED8"/>
    <w:rsid w:val="00A808E0"/>
    <w:rsid w:val="00A837CB"/>
    <w:rsid w:val="00A8458D"/>
    <w:rsid w:val="00A84CEF"/>
    <w:rsid w:val="00A85D9B"/>
    <w:rsid w:val="00A86E1A"/>
    <w:rsid w:val="00A9161D"/>
    <w:rsid w:val="00A92584"/>
    <w:rsid w:val="00A9382B"/>
    <w:rsid w:val="00A93BAB"/>
    <w:rsid w:val="00A9499A"/>
    <w:rsid w:val="00A94A80"/>
    <w:rsid w:val="00A9543F"/>
    <w:rsid w:val="00A95737"/>
    <w:rsid w:val="00A95F42"/>
    <w:rsid w:val="00A95FC4"/>
    <w:rsid w:val="00A962A7"/>
    <w:rsid w:val="00A96306"/>
    <w:rsid w:val="00A96F2A"/>
    <w:rsid w:val="00AA086B"/>
    <w:rsid w:val="00AA3F8C"/>
    <w:rsid w:val="00AA4B43"/>
    <w:rsid w:val="00AA5792"/>
    <w:rsid w:val="00AA6675"/>
    <w:rsid w:val="00AA6ECE"/>
    <w:rsid w:val="00AA7085"/>
    <w:rsid w:val="00AA7391"/>
    <w:rsid w:val="00AA7438"/>
    <w:rsid w:val="00AB0CCB"/>
    <w:rsid w:val="00AB1EBD"/>
    <w:rsid w:val="00AB1F8D"/>
    <w:rsid w:val="00AB2ACB"/>
    <w:rsid w:val="00AB4112"/>
    <w:rsid w:val="00AB50D9"/>
    <w:rsid w:val="00AB5431"/>
    <w:rsid w:val="00AB5805"/>
    <w:rsid w:val="00AB5DDA"/>
    <w:rsid w:val="00AB5E51"/>
    <w:rsid w:val="00AB6BD5"/>
    <w:rsid w:val="00AB70B0"/>
    <w:rsid w:val="00AC167D"/>
    <w:rsid w:val="00AC18D8"/>
    <w:rsid w:val="00AC27EC"/>
    <w:rsid w:val="00AC2B97"/>
    <w:rsid w:val="00AC3289"/>
    <w:rsid w:val="00AC3364"/>
    <w:rsid w:val="00AC3F53"/>
    <w:rsid w:val="00AC47DB"/>
    <w:rsid w:val="00AC4B0E"/>
    <w:rsid w:val="00AC5A57"/>
    <w:rsid w:val="00AC5D16"/>
    <w:rsid w:val="00AC60B2"/>
    <w:rsid w:val="00AC612F"/>
    <w:rsid w:val="00AC66C8"/>
    <w:rsid w:val="00AC67A8"/>
    <w:rsid w:val="00AD1521"/>
    <w:rsid w:val="00AD1C2D"/>
    <w:rsid w:val="00AD4954"/>
    <w:rsid w:val="00AD4CF5"/>
    <w:rsid w:val="00AD71E6"/>
    <w:rsid w:val="00AD756E"/>
    <w:rsid w:val="00AD765A"/>
    <w:rsid w:val="00AE0783"/>
    <w:rsid w:val="00AE098E"/>
    <w:rsid w:val="00AE09DA"/>
    <w:rsid w:val="00AE0BAC"/>
    <w:rsid w:val="00AE1B42"/>
    <w:rsid w:val="00AE4405"/>
    <w:rsid w:val="00AE47E5"/>
    <w:rsid w:val="00AE503E"/>
    <w:rsid w:val="00AE607D"/>
    <w:rsid w:val="00AE670B"/>
    <w:rsid w:val="00AE71CE"/>
    <w:rsid w:val="00AE7C60"/>
    <w:rsid w:val="00AF19D5"/>
    <w:rsid w:val="00AF1D89"/>
    <w:rsid w:val="00AF1F62"/>
    <w:rsid w:val="00AF44E8"/>
    <w:rsid w:val="00AF468E"/>
    <w:rsid w:val="00AF5242"/>
    <w:rsid w:val="00AF6776"/>
    <w:rsid w:val="00AF76FF"/>
    <w:rsid w:val="00B01218"/>
    <w:rsid w:val="00B01543"/>
    <w:rsid w:val="00B02CE3"/>
    <w:rsid w:val="00B0379F"/>
    <w:rsid w:val="00B03C2D"/>
    <w:rsid w:val="00B050C7"/>
    <w:rsid w:val="00B05650"/>
    <w:rsid w:val="00B06FAC"/>
    <w:rsid w:val="00B074A0"/>
    <w:rsid w:val="00B07C59"/>
    <w:rsid w:val="00B07E6A"/>
    <w:rsid w:val="00B1086B"/>
    <w:rsid w:val="00B108AC"/>
    <w:rsid w:val="00B11EBE"/>
    <w:rsid w:val="00B11FA2"/>
    <w:rsid w:val="00B123D0"/>
    <w:rsid w:val="00B12828"/>
    <w:rsid w:val="00B1310E"/>
    <w:rsid w:val="00B13B47"/>
    <w:rsid w:val="00B1476D"/>
    <w:rsid w:val="00B14C72"/>
    <w:rsid w:val="00B15FF6"/>
    <w:rsid w:val="00B16151"/>
    <w:rsid w:val="00B165DE"/>
    <w:rsid w:val="00B1724C"/>
    <w:rsid w:val="00B20C24"/>
    <w:rsid w:val="00B2172B"/>
    <w:rsid w:val="00B2250D"/>
    <w:rsid w:val="00B22F76"/>
    <w:rsid w:val="00B2421B"/>
    <w:rsid w:val="00B24861"/>
    <w:rsid w:val="00B2553C"/>
    <w:rsid w:val="00B25E39"/>
    <w:rsid w:val="00B25FA8"/>
    <w:rsid w:val="00B261C7"/>
    <w:rsid w:val="00B26624"/>
    <w:rsid w:val="00B26D9C"/>
    <w:rsid w:val="00B26EE3"/>
    <w:rsid w:val="00B2704A"/>
    <w:rsid w:val="00B271B2"/>
    <w:rsid w:val="00B2736E"/>
    <w:rsid w:val="00B27767"/>
    <w:rsid w:val="00B27976"/>
    <w:rsid w:val="00B306CB"/>
    <w:rsid w:val="00B3088E"/>
    <w:rsid w:val="00B30F27"/>
    <w:rsid w:val="00B318B7"/>
    <w:rsid w:val="00B32319"/>
    <w:rsid w:val="00B34FDA"/>
    <w:rsid w:val="00B359E0"/>
    <w:rsid w:val="00B35F7F"/>
    <w:rsid w:val="00B360E6"/>
    <w:rsid w:val="00B37099"/>
    <w:rsid w:val="00B37AB4"/>
    <w:rsid w:val="00B41F7E"/>
    <w:rsid w:val="00B4428A"/>
    <w:rsid w:val="00B44BE3"/>
    <w:rsid w:val="00B44FAA"/>
    <w:rsid w:val="00B4714F"/>
    <w:rsid w:val="00B4775E"/>
    <w:rsid w:val="00B479F7"/>
    <w:rsid w:val="00B47C28"/>
    <w:rsid w:val="00B505FF"/>
    <w:rsid w:val="00B50EFB"/>
    <w:rsid w:val="00B51058"/>
    <w:rsid w:val="00B511CC"/>
    <w:rsid w:val="00B51DD1"/>
    <w:rsid w:val="00B52245"/>
    <w:rsid w:val="00B52298"/>
    <w:rsid w:val="00B528AB"/>
    <w:rsid w:val="00B532B2"/>
    <w:rsid w:val="00B53F88"/>
    <w:rsid w:val="00B55961"/>
    <w:rsid w:val="00B55D0B"/>
    <w:rsid w:val="00B56AFE"/>
    <w:rsid w:val="00B60928"/>
    <w:rsid w:val="00B615F8"/>
    <w:rsid w:val="00B62B4D"/>
    <w:rsid w:val="00B6376A"/>
    <w:rsid w:val="00B64C0C"/>
    <w:rsid w:val="00B6506E"/>
    <w:rsid w:val="00B663E7"/>
    <w:rsid w:val="00B6733B"/>
    <w:rsid w:val="00B72254"/>
    <w:rsid w:val="00B74AEA"/>
    <w:rsid w:val="00B75710"/>
    <w:rsid w:val="00B75762"/>
    <w:rsid w:val="00B76A85"/>
    <w:rsid w:val="00B7735C"/>
    <w:rsid w:val="00B80C8A"/>
    <w:rsid w:val="00B81057"/>
    <w:rsid w:val="00B81D97"/>
    <w:rsid w:val="00B83492"/>
    <w:rsid w:val="00B834C3"/>
    <w:rsid w:val="00B83954"/>
    <w:rsid w:val="00B859BE"/>
    <w:rsid w:val="00B85C0F"/>
    <w:rsid w:val="00B85F4E"/>
    <w:rsid w:val="00B8784C"/>
    <w:rsid w:val="00B90935"/>
    <w:rsid w:val="00B90F8D"/>
    <w:rsid w:val="00B9107C"/>
    <w:rsid w:val="00B91226"/>
    <w:rsid w:val="00B9196A"/>
    <w:rsid w:val="00B91CE0"/>
    <w:rsid w:val="00B92CF8"/>
    <w:rsid w:val="00B9519E"/>
    <w:rsid w:val="00B952D6"/>
    <w:rsid w:val="00B95613"/>
    <w:rsid w:val="00B96666"/>
    <w:rsid w:val="00B9738F"/>
    <w:rsid w:val="00B973DA"/>
    <w:rsid w:val="00B975BE"/>
    <w:rsid w:val="00B97A06"/>
    <w:rsid w:val="00B97CC4"/>
    <w:rsid w:val="00B97EAC"/>
    <w:rsid w:val="00BA06FB"/>
    <w:rsid w:val="00BA0EBD"/>
    <w:rsid w:val="00BA1894"/>
    <w:rsid w:val="00BA1D82"/>
    <w:rsid w:val="00BA2978"/>
    <w:rsid w:val="00BA2FD9"/>
    <w:rsid w:val="00BA331E"/>
    <w:rsid w:val="00BA3415"/>
    <w:rsid w:val="00BA3A3B"/>
    <w:rsid w:val="00BA3A7F"/>
    <w:rsid w:val="00BA3AB6"/>
    <w:rsid w:val="00BA3FCE"/>
    <w:rsid w:val="00BA4CEC"/>
    <w:rsid w:val="00BA6743"/>
    <w:rsid w:val="00BA7D12"/>
    <w:rsid w:val="00BA7DB9"/>
    <w:rsid w:val="00BB01BD"/>
    <w:rsid w:val="00BB0595"/>
    <w:rsid w:val="00BB05E2"/>
    <w:rsid w:val="00BB1941"/>
    <w:rsid w:val="00BB2BE6"/>
    <w:rsid w:val="00BB2E52"/>
    <w:rsid w:val="00BB3D6C"/>
    <w:rsid w:val="00BB452C"/>
    <w:rsid w:val="00BB495C"/>
    <w:rsid w:val="00BB5169"/>
    <w:rsid w:val="00BB51BF"/>
    <w:rsid w:val="00BB5878"/>
    <w:rsid w:val="00BB596B"/>
    <w:rsid w:val="00BB6B37"/>
    <w:rsid w:val="00BB6C48"/>
    <w:rsid w:val="00BB7F51"/>
    <w:rsid w:val="00BC11A8"/>
    <w:rsid w:val="00BC41A1"/>
    <w:rsid w:val="00BC439C"/>
    <w:rsid w:val="00BC4528"/>
    <w:rsid w:val="00BC4730"/>
    <w:rsid w:val="00BC4736"/>
    <w:rsid w:val="00BC6399"/>
    <w:rsid w:val="00BC6667"/>
    <w:rsid w:val="00BC6BF8"/>
    <w:rsid w:val="00BC718A"/>
    <w:rsid w:val="00BD110E"/>
    <w:rsid w:val="00BD1A8F"/>
    <w:rsid w:val="00BD2769"/>
    <w:rsid w:val="00BD3775"/>
    <w:rsid w:val="00BD3D50"/>
    <w:rsid w:val="00BD40FB"/>
    <w:rsid w:val="00BD4D17"/>
    <w:rsid w:val="00BD511C"/>
    <w:rsid w:val="00BD5578"/>
    <w:rsid w:val="00BD5B42"/>
    <w:rsid w:val="00BD5EB4"/>
    <w:rsid w:val="00BD5F56"/>
    <w:rsid w:val="00BD7444"/>
    <w:rsid w:val="00BD7974"/>
    <w:rsid w:val="00BE0F24"/>
    <w:rsid w:val="00BE2E4C"/>
    <w:rsid w:val="00BE3DB0"/>
    <w:rsid w:val="00BE4D95"/>
    <w:rsid w:val="00BE544A"/>
    <w:rsid w:val="00BE5B33"/>
    <w:rsid w:val="00BE6EB7"/>
    <w:rsid w:val="00BE72FA"/>
    <w:rsid w:val="00BE7D8F"/>
    <w:rsid w:val="00BE7E89"/>
    <w:rsid w:val="00BF082D"/>
    <w:rsid w:val="00BF0882"/>
    <w:rsid w:val="00BF0E7C"/>
    <w:rsid w:val="00BF102A"/>
    <w:rsid w:val="00BF12C8"/>
    <w:rsid w:val="00BF1C94"/>
    <w:rsid w:val="00BF38D7"/>
    <w:rsid w:val="00BF4859"/>
    <w:rsid w:val="00BF4CD1"/>
    <w:rsid w:val="00BF4E08"/>
    <w:rsid w:val="00BF540A"/>
    <w:rsid w:val="00BF5DC6"/>
    <w:rsid w:val="00BF63BB"/>
    <w:rsid w:val="00BF7BAA"/>
    <w:rsid w:val="00C0068D"/>
    <w:rsid w:val="00C00708"/>
    <w:rsid w:val="00C007BC"/>
    <w:rsid w:val="00C0116C"/>
    <w:rsid w:val="00C013E4"/>
    <w:rsid w:val="00C02055"/>
    <w:rsid w:val="00C02177"/>
    <w:rsid w:val="00C023B1"/>
    <w:rsid w:val="00C04175"/>
    <w:rsid w:val="00C051A3"/>
    <w:rsid w:val="00C05828"/>
    <w:rsid w:val="00C06921"/>
    <w:rsid w:val="00C106EF"/>
    <w:rsid w:val="00C11392"/>
    <w:rsid w:val="00C11CBA"/>
    <w:rsid w:val="00C11CCD"/>
    <w:rsid w:val="00C11F47"/>
    <w:rsid w:val="00C1201B"/>
    <w:rsid w:val="00C126AC"/>
    <w:rsid w:val="00C14276"/>
    <w:rsid w:val="00C15198"/>
    <w:rsid w:val="00C15F51"/>
    <w:rsid w:val="00C166E9"/>
    <w:rsid w:val="00C16954"/>
    <w:rsid w:val="00C16D6E"/>
    <w:rsid w:val="00C16EDB"/>
    <w:rsid w:val="00C209E1"/>
    <w:rsid w:val="00C21800"/>
    <w:rsid w:val="00C21C57"/>
    <w:rsid w:val="00C226EF"/>
    <w:rsid w:val="00C23D62"/>
    <w:rsid w:val="00C23D73"/>
    <w:rsid w:val="00C24936"/>
    <w:rsid w:val="00C25442"/>
    <w:rsid w:val="00C305FA"/>
    <w:rsid w:val="00C32DE7"/>
    <w:rsid w:val="00C32E80"/>
    <w:rsid w:val="00C336FB"/>
    <w:rsid w:val="00C338DE"/>
    <w:rsid w:val="00C35016"/>
    <w:rsid w:val="00C3596F"/>
    <w:rsid w:val="00C35FD2"/>
    <w:rsid w:val="00C3703C"/>
    <w:rsid w:val="00C37E3E"/>
    <w:rsid w:val="00C40580"/>
    <w:rsid w:val="00C40978"/>
    <w:rsid w:val="00C40A04"/>
    <w:rsid w:val="00C4188E"/>
    <w:rsid w:val="00C42834"/>
    <w:rsid w:val="00C43EAB"/>
    <w:rsid w:val="00C44430"/>
    <w:rsid w:val="00C44A9A"/>
    <w:rsid w:val="00C44DF6"/>
    <w:rsid w:val="00C45545"/>
    <w:rsid w:val="00C457C4"/>
    <w:rsid w:val="00C45FD8"/>
    <w:rsid w:val="00C46918"/>
    <w:rsid w:val="00C5016A"/>
    <w:rsid w:val="00C50778"/>
    <w:rsid w:val="00C50D15"/>
    <w:rsid w:val="00C5147D"/>
    <w:rsid w:val="00C51C61"/>
    <w:rsid w:val="00C5223A"/>
    <w:rsid w:val="00C524E3"/>
    <w:rsid w:val="00C530A1"/>
    <w:rsid w:val="00C54879"/>
    <w:rsid w:val="00C5591B"/>
    <w:rsid w:val="00C55CC6"/>
    <w:rsid w:val="00C565F1"/>
    <w:rsid w:val="00C56BBA"/>
    <w:rsid w:val="00C57830"/>
    <w:rsid w:val="00C60F1F"/>
    <w:rsid w:val="00C623F5"/>
    <w:rsid w:val="00C63B73"/>
    <w:rsid w:val="00C65DEE"/>
    <w:rsid w:val="00C660CF"/>
    <w:rsid w:val="00C66F79"/>
    <w:rsid w:val="00C671DA"/>
    <w:rsid w:val="00C6722A"/>
    <w:rsid w:val="00C67C8B"/>
    <w:rsid w:val="00C704D1"/>
    <w:rsid w:val="00C7166E"/>
    <w:rsid w:val="00C7201C"/>
    <w:rsid w:val="00C7428A"/>
    <w:rsid w:val="00C74572"/>
    <w:rsid w:val="00C74CFC"/>
    <w:rsid w:val="00C76707"/>
    <w:rsid w:val="00C77621"/>
    <w:rsid w:val="00C77A4A"/>
    <w:rsid w:val="00C77BF3"/>
    <w:rsid w:val="00C81605"/>
    <w:rsid w:val="00C825BC"/>
    <w:rsid w:val="00C825FF"/>
    <w:rsid w:val="00C8454A"/>
    <w:rsid w:val="00C84B9B"/>
    <w:rsid w:val="00C85194"/>
    <w:rsid w:val="00C85469"/>
    <w:rsid w:val="00C8595B"/>
    <w:rsid w:val="00C859EC"/>
    <w:rsid w:val="00C85BC6"/>
    <w:rsid w:val="00C85CBD"/>
    <w:rsid w:val="00C8659B"/>
    <w:rsid w:val="00C86BFC"/>
    <w:rsid w:val="00C8794A"/>
    <w:rsid w:val="00C87E69"/>
    <w:rsid w:val="00C905F5"/>
    <w:rsid w:val="00C90A8A"/>
    <w:rsid w:val="00C9255A"/>
    <w:rsid w:val="00C935AF"/>
    <w:rsid w:val="00C93778"/>
    <w:rsid w:val="00C93823"/>
    <w:rsid w:val="00C93CEE"/>
    <w:rsid w:val="00C94677"/>
    <w:rsid w:val="00C9673B"/>
    <w:rsid w:val="00C96A36"/>
    <w:rsid w:val="00CA0882"/>
    <w:rsid w:val="00CA13F4"/>
    <w:rsid w:val="00CA1B60"/>
    <w:rsid w:val="00CA1DD5"/>
    <w:rsid w:val="00CA1FE1"/>
    <w:rsid w:val="00CA250F"/>
    <w:rsid w:val="00CA28D5"/>
    <w:rsid w:val="00CA29A5"/>
    <w:rsid w:val="00CA3E28"/>
    <w:rsid w:val="00CA3EB3"/>
    <w:rsid w:val="00CA5E60"/>
    <w:rsid w:val="00CA661E"/>
    <w:rsid w:val="00CA70C9"/>
    <w:rsid w:val="00CA7121"/>
    <w:rsid w:val="00CA7771"/>
    <w:rsid w:val="00CA7C47"/>
    <w:rsid w:val="00CB056B"/>
    <w:rsid w:val="00CB2892"/>
    <w:rsid w:val="00CB3862"/>
    <w:rsid w:val="00CB38F4"/>
    <w:rsid w:val="00CB4149"/>
    <w:rsid w:val="00CB4241"/>
    <w:rsid w:val="00CB521C"/>
    <w:rsid w:val="00CB6F4E"/>
    <w:rsid w:val="00CC1A5F"/>
    <w:rsid w:val="00CC3311"/>
    <w:rsid w:val="00CC38BE"/>
    <w:rsid w:val="00CC3D88"/>
    <w:rsid w:val="00CC5DB8"/>
    <w:rsid w:val="00CD275A"/>
    <w:rsid w:val="00CD3ACB"/>
    <w:rsid w:val="00CD4AA0"/>
    <w:rsid w:val="00CD6467"/>
    <w:rsid w:val="00CD6F90"/>
    <w:rsid w:val="00CD70E4"/>
    <w:rsid w:val="00CD747A"/>
    <w:rsid w:val="00CD7BD7"/>
    <w:rsid w:val="00CE0220"/>
    <w:rsid w:val="00CE180D"/>
    <w:rsid w:val="00CE20B0"/>
    <w:rsid w:val="00CE21CC"/>
    <w:rsid w:val="00CE30D3"/>
    <w:rsid w:val="00CE3AA8"/>
    <w:rsid w:val="00CE3DBE"/>
    <w:rsid w:val="00CE4BEA"/>
    <w:rsid w:val="00CE4D21"/>
    <w:rsid w:val="00CE4F23"/>
    <w:rsid w:val="00CE60DD"/>
    <w:rsid w:val="00CE7E3C"/>
    <w:rsid w:val="00CF02BE"/>
    <w:rsid w:val="00CF03A3"/>
    <w:rsid w:val="00CF04A8"/>
    <w:rsid w:val="00CF0515"/>
    <w:rsid w:val="00CF0AD3"/>
    <w:rsid w:val="00CF1FF2"/>
    <w:rsid w:val="00CF2279"/>
    <w:rsid w:val="00CF3555"/>
    <w:rsid w:val="00CF404A"/>
    <w:rsid w:val="00CF4505"/>
    <w:rsid w:val="00CF4803"/>
    <w:rsid w:val="00CF4F30"/>
    <w:rsid w:val="00CF518D"/>
    <w:rsid w:val="00CF55A6"/>
    <w:rsid w:val="00CF690E"/>
    <w:rsid w:val="00CF6965"/>
    <w:rsid w:val="00CF6AC6"/>
    <w:rsid w:val="00CF7898"/>
    <w:rsid w:val="00CF7941"/>
    <w:rsid w:val="00D00B86"/>
    <w:rsid w:val="00D03585"/>
    <w:rsid w:val="00D0389C"/>
    <w:rsid w:val="00D038EA"/>
    <w:rsid w:val="00D046F5"/>
    <w:rsid w:val="00D04EFD"/>
    <w:rsid w:val="00D05CDC"/>
    <w:rsid w:val="00D079AB"/>
    <w:rsid w:val="00D10F63"/>
    <w:rsid w:val="00D13C9B"/>
    <w:rsid w:val="00D1629C"/>
    <w:rsid w:val="00D16739"/>
    <w:rsid w:val="00D16A53"/>
    <w:rsid w:val="00D16F50"/>
    <w:rsid w:val="00D17FC2"/>
    <w:rsid w:val="00D20C14"/>
    <w:rsid w:val="00D21BFC"/>
    <w:rsid w:val="00D24BDB"/>
    <w:rsid w:val="00D2514E"/>
    <w:rsid w:val="00D252D7"/>
    <w:rsid w:val="00D25BC2"/>
    <w:rsid w:val="00D262CA"/>
    <w:rsid w:val="00D2645A"/>
    <w:rsid w:val="00D27859"/>
    <w:rsid w:val="00D278A6"/>
    <w:rsid w:val="00D318DF"/>
    <w:rsid w:val="00D31A2F"/>
    <w:rsid w:val="00D31D06"/>
    <w:rsid w:val="00D329A9"/>
    <w:rsid w:val="00D329F6"/>
    <w:rsid w:val="00D3328B"/>
    <w:rsid w:val="00D3385C"/>
    <w:rsid w:val="00D33B40"/>
    <w:rsid w:val="00D33B56"/>
    <w:rsid w:val="00D34702"/>
    <w:rsid w:val="00D35467"/>
    <w:rsid w:val="00D36A14"/>
    <w:rsid w:val="00D37C5C"/>
    <w:rsid w:val="00D40A48"/>
    <w:rsid w:val="00D415A8"/>
    <w:rsid w:val="00D41B9C"/>
    <w:rsid w:val="00D41FB0"/>
    <w:rsid w:val="00D421E7"/>
    <w:rsid w:val="00D4233E"/>
    <w:rsid w:val="00D424D3"/>
    <w:rsid w:val="00D42707"/>
    <w:rsid w:val="00D428C3"/>
    <w:rsid w:val="00D42BF6"/>
    <w:rsid w:val="00D460F3"/>
    <w:rsid w:val="00D462B5"/>
    <w:rsid w:val="00D462E9"/>
    <w:rsid w:val="00D47540"/>
    <w:rsid w:val="00D4777A"/>
    <w:rsid w:val="00D500F6"/>
    <w:rsid w:val="00D506B4"/>
    <w:rsid w:val="00D50935"/>
    <w:rsid w:val="00D50BF0"/>
    <w:rsid w:val="00D51E79"/>
    <w:rsid w:val="00D525DC"/>
    <w:rsid w:val="00D53397"/>
    <w:rsid w:val="00D53BDE"/>
    <w:rsid w:val="00D556FB"/>
    <w:rsid w:val="00D55E81"/>
    <w:rsid w:val="00D56CEB"/>
    <w:rsid w:val="00D60303"/>
    <w:rsid w:val="00D60B40"/>
    <w:rsid w:val="00D6173E"/>
    <w:rsid w:val="00D61CA2"/>
    <w:rsid w:val="00D63081"/>
    <w:rsid w:val="00D631EE"/>
    <w:rsid w:val="00D640F9"/>
    <w:rsid w:val="00D646B8"/>
    <w:rsid w:val="00D66A3C"/>
    <w:rsid w:val="00D66FDC"/>
    <w:rsid w:val="00D67701"/>
    <w:rsid w:val="00D702B6"/>
    <w:rsid w:val="00D703C9"/>
    <w:rsid w:val="00D70761"/>
    <w:rsid w:val="00D70A47"/>
    <w:rsid w:val="00D70F63"/>
    <w:rsid w:val="00D714D7"/>
    <w:rsid w:val="00D71637"/>
    <w:rsid w:val="00D72BBC"/>
    <w:rsid w:val="00D7319B"/>
    <w:rsid w:val="00D73B5B"/>
    <w:rsid w:val="00D75FC1"/>
    <w:rsid w:val="00D76C92"/>
    <w:rsid w:val="00D77C35"/>
    <w:rsid w:val="00D8032D"/>
    <w:rsid w:val="00D804FF"/>
    <w:rsid w:val="00D817CC"/>
    <w:rsid w:val="00D81920"/>
    <w:rsid w:val="00D826EA"/>
    <w:rsid w:val="00D82B30"/>
    <w:rsid w:val="00D83244"/>
    <w:rsid w:val="00D8426C"/>
    <w:rsid w:val="00D847A0"/>
    <w:rsid w:val="00D84A28"/>
    <w:rsid w:val="00D84E17"/>
    <w:rsid w:val="00D84EBE"/>
    <w:rsid w:val="00D85A0C"/>
    <w:rsid w:val="00D86305"/>
    <w:rsid w:val="00D86B04"/>
    <w:rsid w:val="00D86B93"/>
    <w:rsid w:val="00D86D3E"/>
    <w:rsid w:val="00D87C4E"/>
    <w:rsid w:val="00D87D78"/>
    <w:rsid w:val="00D87F3C"/>
    <w:rsid w:val="00D90DA9"/>
    <w:rsid w:val="00D915C8"/>
    <w:rsid w:val="00D9184D"/>
    <w:rsid w:val="00D91DF2"/>
    <w:rsid w:val="00D92021"/>
    <w:rsid w:val="00D927AB"/>
    <w:rsid w:val="00D93C9D"/>
    <w:rsid w:val="00D93D10"/>
    <w:rsid w:val="00D93EF2"/>
    <w:rsid w:val="00D94F71"/>
    <w:rsid w:val="00D95882"/>
    <w:rsid w:val="00D96226"/>
    <w:rsid w:val="00D96FD8"/>
    <w:rsid w:val="00D97368"/>
    <w:rsid w:val="00DA05D3"/>
    <w:rsid w:val="00DA21A5"/>
    <w:rsid w:val="00DA380A"/>
    <w:rsid w:val="00DA40F5"/>
    <w:rsid w:val="00DA469F"/>
    <w:rsid w:val="00DA5571"/>
    <w:rsid w:val="00DA5829"/>
    <w:rsid w:val="00DA5F9A"/>
    <w:rsid w:val="00DA6610"/>
    <w:rsid w:val="00DA690A"/>
    <w:rsid w:val="00DA7174"/>
    <w:rsid w:val="00DA7611"/>
    <w:rsid w:val="00DA7ECB"/>
    <w:rsid w:val="00DA7F5C"/>
    <w:rsid w:val="00DA7F85"/>
    <w:rsid w:val="00DB0422"/>
    <w:rsid w:val="00DB0BB9"/>
    <w:rsid w:val="00DB24E9"/>
    <w:rsid w:val="00DB3F1C"/>
    <w:rsid w:val="00DB436E"/>
    <w:rsid w:val="00DB4CDE"/>
    <w:rsid w:val="00DC0DFB"/>
    <w:rsid w:val="00DC0FCB"/>
    <w:rsid w:val="00DC3926"/>
    <w:rsid w:val="00DC3985"/>
    <w:rsid w:val="00DC496F"/>
    <w:rsid w:val="00DC4AC6"/>
    <w:rsid w:val="00DC532E"/>
    <w:rsid w:val="00DC5C40"/>
    <w:rsid w:val="00DC5E30"/>
    <w:rsid w:val="00DC618E"/>
    <w:rsid w:val="00DC6ABA"/>
    <w:rsid w:val="00DC7B36"/>
    <w:rsid w:val="00DD0495"/>
    <w:rsid w:val="00DD1159"/>
    <w:rsid w:val="00DD13C0"/>
    <w:rsid w:val="00DD142E"/>
    <w:rsid w:val="00DD1579"/>
    <w:rsid w:val="00DD188A"/>
    <w:rsid w:val="00DD1ACC"/>
    <w:rsid w:val="00DD217C"/>
    <w:rsid w:val="00DD2454"/>
    <w:rsid w:val="00DD349F"/>
    <w:rsid w:val="00DD4C27"/>
    <w:rsid w:val="00DD5EFC"/>
    <w:rsid w:val="00DD716B"/>
    <w:rsid w:val="00DD7F9B"/>
    <w:rsid w:val="00DE01AB"/>
    <w:rsid w:val="00DE01FD"/>
    <w:rsid w:val="00DE0BE0"/>
    <w:rsid w:val="00DE0C1F"/>
    <w:rsid w:val="00DE155D"/>
    <w:rsid w:val="00DE168A"/>
    <w:rsid w:val="00DE226D"/>
    <w:rsid w:val="00DE245B"/>
    <w:rsid w:val="00DE2972"/>
    <w:rsid w:val="00DE2C10"/>
    <w:rsid w:val="00DE3B62"/>
    <w:rsid w:val="00DE4668"/>
    <w:rsid w:val="00DE4B22"/>
    <w:rsid w:val="00DE4F9D"/>
    <w:rsid w:val="00DE7091"/>
    <w:rsid w:val="00DE7F5A"/>
    <w:rsid w:val="00DF0BC1"/>
    <w:rsid w:val="00DF1F7C"/>
    <w:rsid w:val="00DF24B4"/>
    <w:rsid w:val="00DF3D62"/>
    <w:rsid w:val="00DF47E9"/>
    <w:rsid w:val="00DF5A24"/>
    <w:rsid w:val="00DF665F"/>
    <w:rsid w:val="00DF77F1"/>
    <w:rsid w:val="00DF77F2"/>
    <w:rsid w:val="00E00CA5"/>
    <w:rsid w:val="00E00F2E"/>
    <w:rsid w:val="00E02200"/>
    <w:rsid w:val="00E027F0"/>
    <w:rsid w:val="00E029BD"/>
    <w:rsid w:val="00E02AA4"/>
    <w:rsid w:val="00E02E19"/>
    <w:rsid w:val="00E03BD6"/>
    <w:rsid w:val="00E03C66"/>
    <w:rsid w:val="00E045D4"/>
    <w:rsid w:val="00E051BD"/>
    <w:rsid w:val="00E058E2"/>
    <w:rsid w:val="00E06F4D"/>
    <w:rsid w:val="00E070FE"/>
    <w:rsid w:val="00E11CB5"/>
    <w:rsid w:val="00E12349"/>
    <w:rsid w:val="00E1308D"/>
    <w:rsid w:val="00E1371E"/>
    <w:rsid w:val="00E15C57"/>
    <w:rsid w:val="00E15DAD"/>
    <w:rsid w:val="00E1664C"/>
    <w:rsid w:val="00E16DA9"/>
    <w:rsid w:val="00E2122D"/>
    <w:rsid w:val="00E213FA"/>
    <w:rsid w:val="00E21F85"/>
    <w:rsid w:val="00E2237A"/>
    <w:rsid w:val="00E22D98"/>
    <w:rsid w:val="00E22E3A"/>
    <w:rsid w:val="00E237DD"/>
    <w:rsid w:val="00E23BE1"/>
    <w:rsid w:val="00E24B9B"/>
    <w:rsid w:val="00E24ED3"/>
    <w:rsid w:val="00E2539A"/>
    <w:rsid w:val="00E256EA"/>
    <w:rsid w:val="00E27346"/>
    <w:rsid w:val="00E27B16"/>
    <w:rsid w:val="00E30115"/>
    <w:rsid w:val="00E30473"/>
    <w:rsid w:val="00E30CC1"/>
    <w:rsid w:val="00E32E48"/>
    <w:rsid w:val="00E34C03"/>
    <w:rsid w:val="00E35205"/>
    <w:rsid w:val="00E37061"/>
    <w:rsid w:val="00E372CA"/>
    <w:rsid w:val="00E4013A"/>
    <w:rsid w:val="00E403A8"/>
    <w:rsid w:val="00E40793"/>
    <w:rsid w:val="00E41597"/>
    <w:rsid w:val="00E417F0"/>
    <w:rsid w:val="00E41E69"/>
    <w:rsid w:val="00E44EBD"/>
    <w:rsid w:val="00E456FF"/>
    <w:rsid w:val="00E504C1"/>
    <w:rsid w:val="00E50570"/>
    <w:rsid w:val="00E506E7"/>
    <w:rsid w:val="00E5209C"/>
    <w:rsid w:val="00E520F7"/>
    <w:rsid w:val="00E521DC"/>
    <w:rsid w:val="00E524CE"/>
    <w:rsid w:val="00E526ED"/>
    <w:rsid w:val="00E52E94"/>
    <w:rsid w:val="00E54B28"/>
    <w:rsid w:val="00E54C0E"/>
    <w:rsid w:val="00E55C4A"/>
    <w:rsid w:val="00E56479"/>
    <w:rsid w:val="00E56675"/>
    <w:rsid w:val="00E569BB"/>
    <w:rsid w:val="00E56E40"/>
    <w:rsid w:val="00E571A4"/>
    <w:rsid w:val="00E60F38"/>
    <w:rsid w:val="00E61E7E"/>
    <w:rsid w:val="00E6218A"/>
    <w:rsid w:val="00E62317"/>
    <w:rsid w:val="00E628F0"/>
    <w:rsid w:val="00E6387B"/>
    <w:rsid w:val="00E6448C"/>
    <w:rsid w:val="00E6541C"/>
    <w:rsid w:val="00E65504"/>
    <w:rsid w:val="00E66E23"/>
    <w:rsid w:val="00E67207"/>
    <w:rsid w:val="00E67C29"/>
    <w:rsid w:val="00E711F9"/>
    <w:rsid w:val="00E7161B"/>
    <w:rsid w:val="00E7197F"/>
    <w:rsid w:val="00E71B43"/>
    <w:rsid w:val="00E729A0"/>
    <w:rsid w:val="00E72FDF"/>
    <w:rsid w:val="00E7493D"/>
    <w:rsid w:val="00E74BAA"/>
    <w:rsid w:val="00E75D1D"/>
    <w:rsid w:val="00E77329"/>
    <w:rsid w:val="00E80F0B"/>
    <w:rsid w:val="00E82546"/>
    <w:rsid w:val="00E82E0D"/>
    <w:rsid w:val="00E8318C"/>
    <w:rsid w:val="00E83C62"/>
    <w:rsid w:val="00E83F0E"/>
    <w:rsid w:val="00E852D6"/>
    <w:rsid w:val="00E85642"/>
    <w:rsid w:val="00E85C19"/>
    <w:rsid w:val="00E86432"/>
    <w:rsid w:val="00E93069"/>
    <w:rsid w:val="00E931D3"/>
    <w:rsid w:val="00E956D6"/>
    <w:rsid w:val="00E95EA0"/>
    <w:rsid w:val="00E96344"/>
    <w:rsid w:val="00E9712C"/>
    <w:rsid w:val="00E9718F"/>
    <w:rsid w:val="00E97BBE"/>
    <w:rsid w:val="00E97CEE"/>
    <w:rsid w:val="00E97D4F"/>
    <w:rsid w:val="00E97D56"/>
    <w:rsid w:val="00EA0743"/>
    <w:rsid w:val="00EA1D27"/>
    <w:rsid w:val="00EA45A2"/>
    <w:rsid w:val="00EA6A45"/>
    <w:rsid w:val="00EA72F0"/>
    <w:rsid w:val="00EB0067"/>
    <w:rsid w:val="00EB03EE"/>
    <w:rsid w:val="00EB1417"/>
    <w:rsid w:val="00EB3012"/>
    <w:rsid w:val="00EB3154"/>
    <w:rsid w:val="00EB3194"/>
    <w:rsid w:val="00EB44D5"/>
    <w:rsid w:val="00EB4984"/>
    <w:rsid w:val="00EB5670"/>
    <w:rsid w:val="00EB5DFF"/>
    <w:rsid w:val="00EB5EEF"/>
    <w:rsid w:val="00EB6243"/>
    <w:rsid w:val="00EB6523"/>
    <w:rsid w:val="00EB6A52"/>
    <w:rsid w:val="00EB6DAD"/>
    <w:rsid w:val="00EB7B74"/>
    <w:rsid w:val="00EC0EC6"/>
    <w:rsid w:val="00EC17EF"/>
    <w:rsid w:val="00EC20F9"/>
    <w:rsid w:val="00EC2255"/>
    <w:rsid w:val="00EC34A4"/>
    <w:rsid w:val="00EC3556"/>
    <w:rsid w:val="00EC4761"/>
    <w:rsid w:val="00EC57D4"/>
    <w:rsid w:val="00EC5B92"/>
    <w:rsid w:val="00EC60EA"/>
    <w:rsid w:val="00EC6196"/>
    <w:rsid w:val="00EC6777"/>
    <w:rsid w:val="00EC7838"/>
    <w:rsid w:val="00ED16CE"/>
    <w:rsid w:val="00ED1E6E"/>
    <w:rsid w:val="00ED22EE"/>
    <w:rsid w:val="00ED2F49"/>
    <w:rsid w:val="00ED3ACF"/>
    <w:rsid w:val="00ED5A6E"/>
    <w:rsid w:val="00ED6271"/>
    <w:rsid w:val="00ED686B"/>
    <w:rsid w:val="00ED76A9"/>
    <w:rsid w:val="00EE1737"/>
    <w:rsid w:val="00EE1F8C"/>
    <w:rsid w:val="00EE2063"/>
    <w:rsid w:val="00EE240F"/>
    <w:rsid w:val="00EE4131"/>
    <w:rsid w:val="00EE5BEE"/>
    <w:rsid w:val="00EE601D"/>
    <w:rsid w:val="00EE67C5"/>
    <w:rsid w:val="00EE6BFD"/>
    <w:rsid w:val="00EE6C9B"/>
    <w:rsid w:val="00EE7B48"/>
    <w:rsid w:val="00EF01FB"/>
    <w:rsid w:val="00EF136E"/>
    <w:rsid w:val="00EF1FEA"/>
    <w:rsid w:val="00EF22C7"/>
    <w:rsid w:val="00EF2959"/>
    <w:rsid w:val="00EF3A06"/>
    <w:rsid w:val="00EF3C79"/>
    <w:rsid w:val="00EF582A"/>
    <w:rsid w:val="00EF7BC9"/>
    <w:rsid w:val="00F00468"/>
    <w:rsid w:val="00F00AE3"/>
    <w:rsid w:val="00F01D6F"/>
    <w:rsid w:val="00F0406E"/>
    <w:rsid w:val="00F05143"/>
    <w:rsid w:val="00F06D30"/>
    <w:rsid w:val="00F070C3"/>
    <w:rsid w:val="00F102E8"/>
    <w:rsid w:val="00F1056E"/>
    <w:rsid w:val="00F14340"/>
    <w:rsid w:val="00F14686"/>
    <w:rsid w:val="00F14A75"/>
    <w:rsid w:val="00F14BD1"/>
    <w:rsid w:val="00F14F02"/>
    <w:rsid w:val="00F15010"/>
    <w:rsid w:val="00F15C1D"/>
    <w:rsid w:val="00F16D0A"/>
    <w:rsid w:val="00F17240"/>
    <w:rsid w:val="00F20032"/>
    <w:rsid w:val="00F20E25"/>
    <w:rsid w:val="00F21156"/>
    <w:rsid w:val="00F22024"/>
    <w:rsid w:val="00F22729"/>
    <w:rsid w:val="00F23544"/>
    <w:rsid w:val="00F26F71"/>
    <w:rsid w:val="00F2752F"/>
    <w:rsid w:val="00F3063D"/>
    <w:rsid w:val="00F3094B"/>
    <w:rsid w:val="00F310DA"/>
    <w:rsid w:val="00F31C60"/>
    <w:rsid w:val="00F31FD5"/>
    <w:rsid w:val="00F32BCF"/>
    <w:rsid w:val="00F33372"/>
    <w:rsid w:val="00F36872"/>
    <w:rsid w:val="00F36CCD"/>
    <w:rsid w:val="00F37036"/>
    <w:rsid w:val="00F371C5"/>
    <w:rsid w:val="00F371E4"/>
    <w:rsid w:val="00F37645"/>
    <w:rsid w:val="00F4491B"/>
    <w:rsid w:val="00F44A07"/>
    <w:rsid w:val="00F44C77"/>
    <w:rsid w:val="00F453B9"/>
    <w:rsid w:val="00F454F2"/>
    <w:rsid w:val="00F46593"/>
    <w:rsid w:val="00F470F6"/>
    <w:rsid w:val="00F50928"/>
    <w:rsid w:val="00F50F61"/>
    <w:rsid w:val="00F51CAC"/>
    <w:rsid w:val="00F528DC"/>
    <w:rsid w:val="00F53DBC"/>
    <w:rsid w:val="00F54567"/>
    <w:rsid w:val="00F54F29"/>
    <w:rsid w:val="00F551CB"/>
    <w:rsid w:val="00F55DC3"/>
    <w:rsid w:val="00F57388"/>
    <w:rsid w:val="00F577C6"/>
    <w:rsid w:val="00F57C1A"/>
    <w:rsid w:val="00F57DF8"/>
    <w:rsid w:val="00F60EC4"/>
    <w:rsid w:val="00F6118C"/>
    <w:rsid w:val="00F61E4D"/>
    <w:rsid w:val="00F62C64"/>
    <w:rsid w:val="00F64FA2"/>
    <w:rsid w:val="00F65F60"/>
    <w:rsid w:val="00F66E2D"/>
    <w:rsid w:val="00F66E97"/>
    <w:rsid w:val="00F66F00"/>
    <w:rsid w:val="00F678C5"/>
    <w:rsid w:val="00F705EF"/>
    <w:rsid w:val="00F710D6"/>
    <w:rsid w:val="00F7136C"/>
    <w:rsid w:val="00F725E3"/>
    <w:rsid w:val="00F72930"/>
    <w:rsid w:val="00F7327B"/>
    <w:rsid w:val="00F74F50"/>
    <w:rsid w:val="00F756BB"/>
    <w:rsid w:val="00F76738"/>
    <w:rsid w:val="00F80249"/>
    <w:rsid w:val="00F808DD"/>
    <w:rsid w:val="00F828F6"/>
    <w:rsid w:val="00F82B8C"/>
    <w:rsid w:val="00F83251"/>
    <w:rsid w:val="00F83775"/>
    <w:rsid w:val="00F83F77"/>
    <w:rsid w:val="00F841FD"/>
    <w:rsid w:val="00F850FF"/>
    <w:rsid w:val="00F85D33"/>
    <w:rsid w:val="00F87299"/>
    <w:rsid w:val="00F872B9"/>
    <w:rsid w:val="00F875AA"/>
    <w:rsid w:val="00F903EC"/>
    <w:rsid w:val="00F906F0"/>
    <w:rsid w:val="00F9153B"/>
    <w:rsid w:val="00F92B80"/>
    <w:rsid w:val="00F92F6D"/>
    <w:rsid w:val="00F9352D"/>
    <w:rsid w:val="00F950CE"/>
    <w:rsid w:val="00F95489"/>
    <w:rsid w:val="00F95851"/>
    <w:rsid w:val="00F960AE"/>
    <w:rsid w:val="00F96141"/>
    <w:rsid w:val="00FA0526"/>
    <w:rsid w:val="00FA079B"/>
    <w:rsid w:val="00FA11AE"/>
    <w:rsid w:val="00FA20E8"/>
    <w:rsid w:val="00FA24B2"/>
    <w:rsid w:val="00FA3380"/>
    <w:rsid w:val="00FA371A"/>
    <w:rsid w:val="00FA3A65"/>
    <w:rsid w:val="00FA3EC1"/>
    <w:rsid w:val="00FA4130"/>
    <w:rsid w:val="00FA52C6"/>
    <w:rsid w:val="00FA556C"/>
    <w:rsid w:val="00FA65BC"/>
    <w:rsid w:val="00FA736F"/>
    <w:rsid w:val="00FB04C2"/>
    <w:rsid w:val="00FB0F6A"/>
    <w:rsid w:val="00FB15E2"/>
    <w:rsid w:val="00FB2345"/>
    <w:rsid w:val="00FB2B60"/>
    <w:rsid w:val="00FB5279"/>
    <w:rsid w:val="00FB57BF"/>
    <w:rsid w:val="00FB6529"/>
    <w:rsid w:val="00FC02D3"/>
    <w:rsid w:val="00FC0AC9"/>
    <w:rsid w:val="00FC0EF4"/>
    <w:rsid w:val="00FC20F4"/>
    <w:rsid w:val="00FC20FE"/>
    <w:rsid w:val="00FC262F"/>
    <w:rsid w:val="00FC2A08"/>
    <w:rsid w:val="00FC3A99"/>
    <w:rsid w:val="00FC3B25"/>
    <w:rsid w:val="00FC76D5"/>
    <w:rsid w:val="00FC77D8"/>
    <w:rsid w:val="00FD0262"/>
    <w:rsid w:val="00FD0C12"/>
    <w:rsid w:val="00FD1271"/>
    <w:rsid w:val="00FD1853"/>
    <w:rsid w:val="00FD187D"/>
    <w:rsid w:val="00FD3918"/>
    <w:rsid w:val="00FD3CB7"/>
    <w:rsid w:val="00FD40BA"/>
    <w:rsid w:val="00FD591E"/>
    <w:rsid w:val="00FD5D43"/>
    <w:rsid w:val="00FD651A"/>
    <w:rsid w:val="00FD7C81"/>
    <w:rsid w:val="00FE0608"/>
    <w:rsid w:val="00FE0F32"/>
    <w:rsid w:val="00FE2042"/>
    <w:rsid w:val="00FE5033"/>
    <w:rsid w:val="00FE53AF"/>
    <w:rsid w:val="00FE5552"/>
    <w:rsid w:val="00FF12D5"/>
    <w:rsid w:val="00FF1A0F"/>
    <w:rsid w:val="00FF1B8F"/>
    <w:rsid w:val="00FF1CEF"/>
    <w:rsid w:val="00FF2B79"/>
    <w:rsid w:val="00FF4314"/>
    <w:rsid w:val="00FF45DD"/>
    <w:rsid w:val="00FF5D1B"/>
    <w:rsid w:val="00FF673E"/>
    <w:rsid w:val="00FF7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C979AC6"/>
  <w15:docId w15:val="{AA8E66C6-D48C-49AC-BBBB-67F59C3FF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97F"/>
    <w:pPr>
      <w:spacing w:after="120" w:line="240" w:lineRule="auto"/>
    </w:pPr>
    <w:rPr>
      <w:rFonts w:eastAsia="Times New Roman" w:cs="Times New Roman"/>
      <w:szCs w:val="24"/>
    </w:rPr>
  </w:style>
  <w:style w:type="paragraph" w:styleId="Heading1">
    <w:name w:val="heading 1"/>
    <w:basedOn w:val="Normal"/>
    <w:next w:val="Normal"/>
    <w:link w:val="Heading1Char"/>
    <w:uiPriority w:val="9"/>
    <w:qFormat/>
    <w:rsid w:val="007E597F"/>
    <w:pPr>
      <w:widowControl w:val="0"/>
      <w:spacing w:after="160"/>
      <w:outlineLvl w:val="0"/>
    </w:pPr>
    <w:rPr>
      <w:rFonts w:eastAsiaTheme="majorEastAsia" w:cstheme="minorHAnsi"/>
      <w:b/>
      <w:bCs/>
      <w:color w:val="002060"/>
      <w:sz w:val="24"/>
    </w:rPr>
  </w:style>
  <w:style w:type="paragraph" w:styleId="Heading2">
    <w:name w:val="heading 2"/>
    <w:basedOn w:val="Normal"/>
    <w:next w:val="Normal"/>
    <w:link w:val="Heading2Char"/>
    <w:uiPriority w:val="9"/>
    <w:unhideWhenUsed/>
    <w:qFormat/>
    <w:rsid w:val="00084222"/>
    <w:pPr>
      <w:widowControl w:val="0"/>
      <w:outlineLvl w:val="1"/>
    </w:pPr>
    <w:rPr>
      <w:rFonts w:asciiTheme="majorHAnsi" w:hAnsiTheme="majorHAnsi" w:cstheme="minorHAnsi"/>
      <w:color w:val="244061" w:themeColor="accent1" w:themeShade="80"/>
      <w:sz w:val="24"/>
    </w:rPr>
  </w:style>
  <w:style w:type="paragraph" w:styleId="Heading3">
    <w:name w:val="heading 3"/>
    <w:basedOn w:val="Heading2"/>
    <w:next w:val="Normal"/>
    <w:link w:val="Heading3Char"/>
    <w:uiPriority w:val="9"/>
    <w:unhideWhenUsed/>
    <w:qFormat/>
    <w:rsid w:val="00084222"/>
    <w:pPr>
      <w:outlineLvl w:val="2"/>
    </w:pPr>
    <w:rPr>
      <w:rFonts w:asciiTheme="minorHAnsi" w:hAnsiTheme="minorHAnsi"/>
      <w:color w:val="auto"/>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37061"/>
    <w:rPr>
      <w:color w:val="000080"/>
      <w:u w:val="single"/>
    </w:rPr>
  </w:style>
  <w:style w:type="character" w:styleId="CommentReference">
    <w:name w:val="annotation reference"/>
    <w:basedOn w:val="DefaultParagraphFont"/>
    <w:uiPriority w:val="99"/>
    <w:semiHidden/>
    <w:rsid w:val="00E37061"/>
    <w:rPr>
      <w:sz w:val="16"/>
      <w:szCs w:val="16"/>
    </w:rPr>
  </w:style>
  <w:style w:type="paragraph" w:styleId="CommentText">
    <w:name w:val="annotation text"/>
    <w:basedOn w:val="Normal"/>
    <w:link w:val="CommentTextChar"/>
    <w:uiPriority w:val="99"/>
    <w:rsid w:val="00E37061"/>
    <w:rPr>
      <w:sz w:val="20"/>
      <w:szCs w:val="20"/>
    </w:rPr>
  </w:style>
  <w:style w:type="character" w:customStyle="1" w:styleId="CommentTextChar">
    <w:name w:val="Comment Text Char"/>
    <w:basedOn w:val="DefaultParagraphFont"/>
    <w:link w:val="CommentText"/>
    <w:uiPriority w:val="99"/>
    <w:rsid w:val="00E37061"/>
    <w:rPr>
      <w:rFonts w:ascii="Times New Roman" w:eastAsia="Times New Roman" w:hAnsi="Times New Roman" w:cs="Times New Roman"/>
      <w:sz w:val="20"/>
      <w:szCs w:val="20"/>
    </w:rPr>
  </w:style>
  <w:style w:type="paragraph" w:styleId="FootnoteText">
    <w:name w:val="footnote text"/>
    <w:basedOn w:val="Normal"/>
    <w:link w:val="FootnoteTextChar"/>
    <w:uiPriority w:val="99"/>
    <w:rsid w:val="00E37061"/>
    <w:rPr>
      <w:sz w:val="20"/>
      <w:szCs w:val="20"/>
    </w:rPr>
  </w:style>
  <w:style w:type="character" w:customStyle="1" w:styleId="FootnoteTextChar">
    <w:name w:val="Footnote Text Char"/>
    <w:basedOn w:val="DefaultParagraphFont"/>
    <w:link w:val="FootnoteText"/>
    <w:uiPriority w:val="99"/>
    <w:rsid w:val="00E3706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E37061"/>
    <w:rPr>
      <w:vertAlign w:val="superscript"/>
    </w:rPr>
  </w:style>
  <w:style w:type="paragraph" w:styleId="ListParagraph">
    <w:name w:val="List Paragraph"/>
    <w:basedOn w:val="Normal"/>
    <w:uiPriority w:val="34"/>
    <w:qFormat/>
    <w:rsid w:val="00E37061"/>
    <w:pPr>
      <w:spacing w:after="200" w:line="276" w:lineRule="auto"/>
      <w:ind w:left="720"/>
      <w:contextualSpacing/>
    </w:pPr>
    <w:rPr>
      <w:rFonts w:eastAsiaTheme="minorEastAsia" w:cstheme="minorBidi"/>
      <w:szCs w:val="22"/>
    </w:rPr>
  </w:style>
  <w:style w:type="table" w:customStyle="1" w:styleId="LightList-Accent11">
    <w:name w:val="Light List - Accent 11"/>
    <w:basedOn w:val="TableNormal"/>
    <w:uiPriority w:val="61"/>
    <w:rsid w:val="00E3706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NewHeading1">
    <w:name w:val="New Heading 1"/>
    <w:basedOn w:val="Heading1"/>
    <w:link w:val="NewHeading1Char"/>
    <w:qFormat/>
    <w:rsid w:val="00E37061"/>
    <w:pPr>
      <w:spacing w:before="120"/>
    </w:pPr>
    <w:rPr>
      <w:rFonts w:ascii="Times New Roman" w:hAnsi="Times New Roman" w:cs="Times New Roman"/>
      <w:color w:val="000080"/>
    </w:rPr>
  </w:style>
  <w:style w:type="character" w:customStyle="1" w:styleId="NewHeading1Char">
    <w:name w:val="New Heading 1 Char"/>
    <w:basedOn w:val="Heading1Char"/>
    <w:link w:val="NewHeading1"/>
    <w:rsid w:val="00E37061"/>
    <w:rPr>
      <w:rFonts w:ascii="Times New Roman" w:eastAsiaTheme="majorEastAsia" w:hAnsi="Times New Roman" w:cs="Times New Roman"/>
      <w:b/>
      <w:bCs/>
      <w:color w:val="000080"/>
      <w:sz w:val="28"/>
      <w:szCs w:val="28"/>
    </w:rPr>
  </w:style>
  <w:style w:type="character" w:customStyle="1" w:styleId="Heading1Char">
    <w:name w:val="Heading 1 Char"/>
    <w:basedOn w:val="DefaultParagraphFont"/>
    <w:link w:val="Heading1"/>
    <w:uiPriority w:val="9"/>
    <w:rsid w:val="007E597F"/>
    <w:rPr>
      <w:rFonts w:eastAsiaTheme="majorEastAsia" w:cstheme="minorHAnsi"/>
      <w:b/>
      <w:bCs/>
      <w:color w:val="002060"/>
      <w:sz w:val="24"/>
      <w:szCs w:val="24"/>
    </w:rPr>
  </w:style>
  <w:style w:type="paragraph" w:styleId="BalloonText">
    <w:name w:val="Balloon Text"/>
    <w:basedOn w:val="Normal"/>
    <w:link w:val="BalloonTextChar"/>
    <w:uiPriority w:val="99"/>
    <w:semiHidden/>
    <w:unhideWhenUsed/>
    <w:rsid w:val="00E37061"/>
    <w:rPr>
      <w:rFonts w:ascii="Tahoma" w:hAnsi="Tahoma" w:cs="Tahoma"/>
      <w:sz w:val="16"/>
      <w:szCs w:val="16"/>
    </w:rPr>
  </w:style>
  <w:style w:type="character" w:customStyle="1" w:styleId="BalloonTextChar">
    <w:name w:val="Balloon Text Char"/>
    <w:basedOn w:val="DefaultParagraphFont"/>
    <w:link w:val="BalloonText"/>
    <w:uiPriority w:val="99"/>
    <w:semiHidden/>
    <w:rsid w:val="00E37061"/>
    <w:rPr>
      <w:rFonts w:ascii="Tahoma" w:eastAsia="Times New Roman" w:hAnsi="Tahoma" w:cs="Tahoma"/>
      <w:sz w:val="16"/>
      <w:szCs w:val="16"/>
    </w:rPr>
  </w:style>
  <w:style w:type="paragraph" w:styleId="Header">
    <w:name w:val="header"/>
    <w:basedOn w:val="Normal"/>
    <w:link w:val="HeaderChar"/>
    <w:uiPriority w:val="99"/>
    <w:unhideWhenUsed/>
    <w:rsid w:val="00E37061"/>
    <w:pPr>
      <w:tabs>
        <w:tab w:val="center" w:pos="4680"/>
        <w:tab w:val="right" w:pos="9360"/>
      </w:tabs>
    </w:pPr>
  </w:style>
  <w:style w:type="character" w:customStyle="1" w:styleId="HeaderChar">
    <w:name w:val="Header Char"/>
    <w:basedOn w:val="DefaultParagraphFont"/>
    <w:link w:val="Header"/>
    <w:uiPriority w:val="99"/>
    <w:rsid w:val="00E3706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37061"/>
    <w:pPr>
      <w:tabs>
        <w:tab w:val="center" w:pos="4680"/>
        <w:tab w:val="right" w:pos="9360"/>
      </w:tabs>
    </w:pPr>
  </w:style>
  <w:style w:type="character" w:customStyle="1" w:styleId="FooterChar">
    <w:name w:val="Footer Char"/>
    <w:basedOn w:val="DefaultParagraphFont"/>
    <w:link w:val="Footer"/>
    <w:uiPriority w:val="99"/>
    <w:rsid w:val="00E37061"/>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5C3C34"/>
    <w:rPr>
      <w:b/>
      <w:bCs/>
    </w:rPr>
  </w:style>
  <w:style w:type="character" w:customStyle="1" w:styleId="CommentSubjectChar">
    <w:name w:val="Comment Subject Char"/>
    <w:basedOn w:val="CommentTextChar"/>
    <w:link w:val="CommentSubject"/>
    <w:uiPriority w:val="99"/>
    <w:semiHidden/>
    <w:rsid w:val="005C3C34"/>
    <w:rPr>
      <w:rFonts w:ascii="Times New Roman" w:eastAsia="Times New Roman" w:hAnsi="Times New Roman" w:cs="Times New Roman"/>
      <w:b/>
      <w:bCs/>
      <w:sz w:val="20"/>
      <w:szCs w:val="20"/>
    </w:rPr>
  </w:style>
  <w:style w:type="paragraph" w:customStyle="1" w:styleId="Mainhead">
    <w:name w:val="_Mainhead"/>
    <w:basedOn w:val="Normal"/>
    <w:uiPriority w:val="99"/>
    <w:rsid w:val="00733928"/>
    <w:pPr>
      <w:pBdr>
        <w:bottom w:val="single" w:sz="4" w:space="1" w:color="auto"/>
      </w:pBdr>
      <w:spacing w:before="80" w:after="80"/>
    </w:pPr>
    <w:rPr>
      <w:b/>
      <w:bCs/>
      <w:noProof/>
      <w:color w:val="000080"/>
      <w:sz w:val="44"/>
      <w:szCs w:val="44"/>
    </w:rPr>
  </w:style>
  <w:style w:type="paragraph" w:customStyle="1" w:styleId="mainsubhead">
    <w:name w:val="_mainsubhead"/>
    <w:basedOn w:val="Normal"/>
    <w:link w:val="mainsubheadChar"/>
    <w:rsid w:val="00733928"/>
    <w:rPr>
      <w:b/>
    </w:rPr>
  </w:style>
  <w:style w:type="character" w:customStyle="1" w:styleId="mainsubheadChar">
    <w:name w:val="_mainsubhead Char"/>
    <w:basedOn w:val="DefaultParagraphFont"/>
    <w:link w:val="mainsubhead"/>
    <w:rsid w:val="00733928"/>
    <w:rPr>
      <w:rFonts w:ascii="Times New Roman" w:eastAsia="Times New Roman" w:hAnsi="Times New Roman" w:cs="Times New Roman"/>
      <w:b/>
      <w:sz w:val="24"/>
      <w:szCs w:val="24"/>
    </w:rPr>
  </w:style>
  <w:style w:type="character" w:customStyle="1" w:styleId="Heading2Char">
    <w:name w:val="Heading 2 Char"/>
    <w:basedOn w:val="DefaultParagraphFont"/>
    <w:link w:val="Heading2"/>
    <w:uiPriority w:val="9"/>
    <w:rsid w:val="00084222"/>
    <w:rPr>
      <w:rFonts w:asciiTheme="majorHAnsi" w:eastAsia="Times New Roman" w:hAnsiTheme="majorHAnsi" w:cstheme="minorHAnsi"/>
      <w:color w:val="244061" w:themeColor="accent1" w:themeShade="80"/>
      <w:sz w:val="24"/>
      <w:szCs w:val="24"/>
    </w:rPr>
  </w:style>
  <w:style w:type="paragraph" w:styleId="Revision">
    <w:name w:val="Revision"/>
    <w:hidden/>
    <w:uiPriority w:val="99"/>
    <w:semiHidden/>
    <w:rsid w:val="00084FD1"/>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2708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uiPriority w:val="60"/>
    <w:rsid w:val="0058414D"/>
    <w:pPr>
      <w:spacing w:after="0" w:line="240" w:lineRule="auto"/>
    </w:pPr>
    <w:rPr>
      <w:rFonts w:ascii="Times New Roman" w:hAnsi="Times New Roman"/>
      <w:color w:val="365F91" w:themeColor="accent1" w:themeShade="BF"/>
      <w:sz w:val="24"/>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5">
    <w:name w:val="Light Shading Accent 5"/>
    <w:basedOn w:val="TableNormal"/>
    <w:uiPriority w:val="60"/>
    <w:rsid w:val="001510A9"/>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customStyle="1" w:styleId="Default">
    <w:name w:val="Default"/>
    <w:rsid w:val="00A02DDC"/>
    <w:pPr>
      <w:autoSpaceDE w:val="0"/>
      <w:autoSpaceDN w:val="0"/>
      <w:adjustRightInd w:val="0"/>
      <w:spacing w:after="0" w:line="240" w:lineRule="auto"/>
    </w:pPr>
    <w:rPr>
      <w:rFonts w:ascii="Arial" w:hAnsi="Arial" w:cs="Arial"/>
      <w:color w:val="000000"/>
      <w:sz w:val="24"/>
      <w:szCs w:val="24"/>
    </w:rPr>
  </w:style>
  <w:style w:type="table" w:customStyle="1" w:styleId="GridTable4-Accent11">
    <w:name w:val="Grid Table 4 - Accent 11"/>
    <w:basedOn w:val="TableNormal"/>
    <w:uiPriority w:val="49"/>
    <w:rsid w:val="00A02DD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1">
    <w:name w:val="Grid Table 4 - Accent 111"/>
    <w:basedOn w:val="TableNormal"/>
    <w:uiPriority w:val="49"/>
    <w:rsid w:val="00AE0B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11">
    <w:name w:val="Grid Table 4 - Accent 1111"/>
    <w:basedOn w:val="TableNormal"/>
    <w:uiPriority w:val="49"/>
    <w:rsid w:val="00EB319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OCHeading">
    <w:name w:val="TOC Heading"/>
    <w:next w:val="Normal"/>
    <w:uiPriority w:val="39"/>
    <w:unhideWhenUsed/>
    <w:qFormat/>
    <w:rsid w:val="007B2F7A"/>
    <w:pPr>
      <w:spacing w:before="240" w:line="259" w:lineRule="auto"/>
    </w:pPr>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rsid w:val="005C368B"/>
    <w:pPr>
      <w:spacing w:after="100"/>
    </w:pPr>
  </w:style>
  <w:style w:type="table" w:customStyle="1" w:styleId="GridTable4-Accent12">
    <w:name w:val="Grid Table 4 - Accent 12"/>
    <w:basedOn w:val="TableNormal"/>
    <w:uiPriority w:val="49"/>
    <w:rsid w:val="00452FD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FollowedHyperlink">
    <w:name w:val="FollowedHyperlink"/>
    <w:basedOn w:val="DefaultParagraphFont"/>
    <w:uiPriority w:val="99"/>
    <w:semiHidden/>
    <w:unhideWhenUsed/>
    <w:rsid w:val="00982E70"/>
    <w:rPr>
      <w:color w:val="800080" w:themeColor="followedHyperlink"/>
      <w:u w:val="single"/>
    </w:rPr>
  </w:style>
  <w:style w:type="paragraph" w:styleId="EndnoteText">
    <w:name w:val="endnote text"/>
    <w:basedOn w:val="Normal"/>
    <w:link w:val="EndnoteTextChar"/>
    <w:uiPriority w:val="99"/>
    <w:semiHidden/>
    <w:unhideWhenUsed/>
    <w:rsid w:val="00305A69"/>
    <w:rPr>
      <w:sz w:val="20"/>
      <w:szCs w:val="20"/>
    </w:rPr>
  </w:style>
  <w:style w:type="character" w:customStyle="1" w:styleId="EndnoteTextChar">
    <w:name w:val="Endnote Text Char"/>
    <w:basedOn w:val="DefaultParagraphFont"/>
    <w:link w:val="EndnoteText"/>
    <w:uiPriority w:val="99"/>
    <w:semiHidden/>
    <w:rsid w:val="00305A69"/>
    <w:rPr>
      <w:rFonts w:eastAsia="Times New Roman" w:cs="Times New Roman"/>
      <w:sz w:val="20"/>
      <w:szCs w:val="20"/>
    </w:rPr>
  </w:style>
  <w:style w:type="character" w:styleId="EndnoteReference">
    <w:name w:val="endnote reference"/>
    <w:basedOn w:val="DefaultParagraphFont"/>
    <w:uiPriority w:val="99"/>
    <w:semiHidden/>
    <w:unhideWhenUsed/>
    <w:rsid w:val="00305A69"/>
    <w:rPr>
      <w:vertAlign w:val="superscript"/>
    </w:rPr>
  </w:style>
  <w:style w:type="table" w:customStyle="1" w:styleId="GridTable4-Accent13">
    <w:name w:val="Grid Table 4 - Accent 13"/>
    <w:basedOn w:val="TableNormal"/>
    <w:uiPriority w:val="49"/>
    <w:rsid w:val="00B51DD1"/>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6">
    <w:name w:val="Table Grid6"/>
    <w:basedOn w:val="TableNormal"/>
    <w:next w:val="TableGrid"/>
    <w:uiPriority w:val="59"/>
    <w:rsid w:val="00142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084222"/>
    <w:rPr>
      <w:rFonts w:eastAsia="Times New Roman" w:cstheme="minorHAnsi"/>
      <w:u w:val="single"/>
    </w:rPr>
  </w:style>
  <w:style w:type="numbering" w:customStyle="1" w:styleId="NoList1">
    <w:name w:val="No List1"/>
    <w:next w:val="NoList"/>
    <w:uiPriority w:val="99"/>
    <w:semiHidden/>
    <w:unhideWhenUsed/>
    <w:rsid w:val="00B01543"/>
  </w:style>
  <w:style w:type="paragraph" w:styleId="NormalWeb">
    <w:name w:val="Normal (Web)"/>
    <w:basedOn w:val="Normal"/>
    <w:uiPriority w:val="99"/>
    <w:semiHidden/>
    <w:unhideWhenUsed/>
    <w:rsid w:val="00B01543"/>
    <w:pPr>
      <w:spacing w:before="100" w:beforeAutospacing="1" w:after="100" w:afterAutospacing="1"/>
      <w:ind w:firstLine="480"/>
    </w:pPr>
    <w:rPr>
      <w:rFonts w:ascii="Times New Roman" w:hAnsi="Times New Roman"/>
      <w:sz w:val="24"/>
    </w:rPr>
  </w:style>
  <w:style w:type="table" w:customStyle="1" w:styleId="TableGrid1">
    <w:name w:val="Table Grid1"/>
    <w:basedOn w:val="TableNormal"/>
    <w:next w:val="TableGrid"/>
    <w:uiPriority w:val="59"/>
    <w:rsid w:val="00B0154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51">
    <w:name w:val="Light Shading - Accent 51"/>
    <w:basedOn w:val="TableNormal"/>
    <w:next w:val="LightShading-Accent5"/>
    <w:uiPriority w:val="60"/>
    <w:semiHidden/>
    <w:unhideWhenUsed/>
    <w:rsid w:val="00B01543"/>
    <w:pPr>
      <w:spacing w:after="0" w:line="240" w:lineRule="auto"/>
    </w:pPr>
    <w:rPr>
      <w:rFonts w:ascii="Calibri" w:eastAsia="Calibri" w:hAnsi="Calibri" w:cs="Times New Roman"/>
      <w:color w:val="31849B" w:themeColor="accent5" w:themeShade="BF"/>
    </w:rPr>
    <w:tblPr>
      <w:tblStyleRowBandSize w:val="1"/>
      <w:tblStyleColBandSize w:val="1"/>
      <w:tblInd w:w="0" w:type="nil"/>
      <w:tblBorders>
        <w:top w:val="single" w:sz="8" w:space="0" w:color="4BACC6" w:themeColor="accent5"/>
        <w:bottom w:val="single" w:sz="8" w:space="0" w:color="4BACC6" w:themeColor="accent5"/>
      </w:tblBorders>
    </w:tblPr>
    <w:tblStylePr w:type="firstRow">
      <w:pPr>
        <w:spacing w:beforeLines="0" w:before="0" w:beforeAutospacing="0" w:afterLines="0" w:after="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Accent111">
    <w:name w:val="Light List - Accent 111"/>
    <w:basedOn w:val="TableNormal"/>
    <w:uiPriority w:val="61"/>
    <w:rsid w:val="00B01543"/>
    <w:pPr>
      <w:spacing w:after="0" w:line="240" w:lineRule="auto"/>
    </w:pPr>
    <w:rPr>
      <w:rFonts w:ascii="Times New Roman" w:eastAsia="Times New Roman" w:hAnsi="Times New Roman" w:cs="Times New Roman"/>
      <w:sz w:val="20"/>
      <w:szCs w:val="20"/>
    </w:rPr>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Shading-Accent111">
    <w:name w:val="Light Shading - Accent 111"/>
    <w:basedOn w:val="TableNormal"/>
    <w:uiPriority w:val="60"/>
    <w:rsid w:val="00B01543"/>
    <w:pPr>
      <w:spacing w:after="0" w:line="240" w:lineRule="auto"/>
    </w:pPr>
    <w:rPr>
      <w:rFonts w:ascii="Times New Roman" w:eastAsia="Calibri" w:hAnsi="Times New Roman" w:cs="Times New Roman"/>
      <w:color w:val="365F91" w:themeColor="accent1" w:themeShade="BF"/>
      <w:sz w:val="24"/>
    </w:rPr>
    <w:tblPr>
      <w:tblStyleRowBandSize w:val="1"/>
      <w:tblStyleColBandSize w:val="1"/>
      <w:tblInd w:w="0" w:type="nil"/>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GridTable4-Accent112">
    <w:name w:val="Grid Table 4 - Accent 112"/>
    <w:basedOn w:val="TableNormal"/>
    <w:uiPriority w:val="49"/>
    <w:rsid w:val="00B01543"/>
    <w:pPr>
      <w:spacing w:after="0" w:line="240" w:lineRule="auto"/>
    </w:pPr>
    <w:rPr>
      <w:rFonts w:ascii="Calibri" w:eastAsia="Calibri" w:hAnsi="Calibri" w:cs="Times New Roman"/>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12">
    <w:name w:val="Grid Table 4 - Accent 1112"/>
    <w:basedOn w:val="TableNormal"/>
    <w:uiPriority w:val="49"/>
    <w:rsid w:val="00B01543"/>
    <w:pPr>
      <w:spacing w:after="0" w:line="240" w:lineRule="auto"/>
    </w:pPr>
    <w:rPr>
      <w:rFonts w:ascii="Calibri" w:eastAsia="Calibri" w:hAnsi="Calibri" w:cs="Times New Roman"/>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111">
    <w:name w:val="Grid Table 4 - Accent 11111"/>
    <w:basedOn w:val="TableNormal"/>
    <w:uiPriority w:val="49"/>
    <w:rsid w:val="00B01543"/>
    <w:pPr>
      <w:spacing w:after="0" w:line="240" w:lineRule="auto"/>
    </w:pPr>
    <w:rPr>
      <w:rFonts w:ascii="Calibri" w:eastAsia="Calibri" w:hAnsi="Calibri" w:cs="Times New Roman"/>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21">
    <w:name w:val="Grid Table 4 - Accent 121"/>
    <w:basedOn w:val="TableNormal"/>
    <w:uiPriority w:val="49"/>
    <w:rsid w:val="00B01543"/>
    <w:pPr>
      <w:spacing w:after="0" w:line="240" w:lineRule="auto"/>
    </w:pPr>
    <w:rPr>
      <w:rFonts w:ascii="Calibri" w:eastAsia="Calibri" w:hAnsi="Calibri" w:cs="Times New Roman"/>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31">
    <w:name w:val="Grid Table 4 - Accent 131"/>
    <w:basedOn w:val="TableNormal"/>
    <w:uiPriority w:val="49"/>
    <w:rsid w:val="00B01543"/>
    <w:pPr>
      <w:spacing w:after="0" w:line="240" w:lineRule="auto"/>
    </w:pPr>
    <w:rPr>
      <w:rFonts w:ascii="Calibri" w:eastAsia="Calibri" w:hAnsi="Calibri" w:cs="Times New Roman"/>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2">
    <w:name w:val="Table Grid2"/>
    <w:basedOn w:val="TableNormal"/>
    <w:uiPriority w:val="59"/>
    <w:rsid w:val="00B0154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B0154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B0154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rsid w:val="00B0154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uiPriority w:val="59"/>
    <w:rsid w:val="00B0154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59"/>
    <w:rsid w:val="00B0154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uiPriority w:val="59"/>
    <w:rsid w:val="00B0154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B0154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B0154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59"/>
    <w:rsid w:val="00B0154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uiPriority w:val="59"/>
    <w:rsid w:val="00B0154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uiPriority w:val="59"/>
    <w:rsid w:val="00B0154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uiPriority w:val="59"/>
    <w:rsid w:val="00B0154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uiPriority w:val="59"/>
    <w:rsid w:val="00B015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59"/>
    <w:rsid w:val="00B015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uiPriority w:val="59"/>
    <w:rsid w:val="00B015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B0154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59"/>
    <w:rsid w:val="00B015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uiPriority w:val="59"/>
    <w:rsid w:val="00B015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B01543"/>
    <w:pPr>
      <w:spacing w:after="100"/>
      <w:ind w:left="440"/>
    </w:pPr>
  </w:style>
  <w:style w:type="paragraph" w:styleId="TOC2">
    <w:name w:val="toc 2"/>
    <w:basedOn w:val="Normal"/>
    <w:next w:val="Normal"/>
    <w:autoRedefine/>
    <w:uiPriority w:val="39"/>
    <w:unhideWhenUsed/>
    <w:rsid w:val="00B01543"/>
    <w:pPr>
      <w:spacing w:after="100"/>
      <w:ind w:left="220"/>
    </w:pPr>
  </w:style>
  <w:style w:type="table" w:customStyle="1" w:styleId="TableGrid45">
    <w:name w:val="Table Grid45"/>
    <w:basedOn w:val="TableNormal"/>
    <w:uiPriority w:val="59"/>
    <w:rsid w:val="00A6510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uiPriority w:val="59"/>
    <w:rsid w:val="00A6510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uiPriority w:val="59"/>
    <w:rsid w:val="00A6510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727DD"/>
    <w:rPr>
      <w:b/>
      <w:bCs/>
    </w:rPr>
  </w:style>
  <w:style w:type="table" w:customStyle="1" w:styleId="TableGrid622">
    <w:name w:val="Table Grid622"/>
    <w:basedOn w:val="TableNormal"/>
    <w:uiPriority w:val="59"/>
    <w:rsid w:val="00C87E6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uiPriority w:val="59"/>
    <w:rsid w:val="00C87E6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uiPriority w:val="59"/>
    <w:rsid w:val="00686EF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uiPriority w:val="59"/>
    <w:rsid w:val="003B4B1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uiPriority w:val="59"/>
    <w:rsid w:val="003A314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TableNormal"/>
    <w:uiPriority w:val="59"/>
    <w:rsid w:val="00E3520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2">
    <w:name w:val="Table Grid6152"/>
    <w:basedOn w:val="TableNormal"/>
    <w:uiPriority w:val="59"/>
    <w:rsid w:val="00DA7EC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next w:val="TableGrid"/>
    <w:uiPriority w:val="59"/>
    <w:rsid w:val="00390B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uiPriority w:val="59"/>
    <w:rsid w:val="00AB0CC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FD65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0568E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next w:val="TableGrid"/>
    <w:uiPriority w:val="59"/>
    <w:rsid w:val="00727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TableNormal"/>
    <w:next w:val="TableGrid"/>
    <w:uiPriority w:val="59"/>
    <w:rsid w:val="00DD1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3">
    <w:name w:val="Table Grid643"/>
    <w:basedOn w:val="TableNormal"/>
    <w:next w:val="TableGrid"/>
    <w:uiPriority w:val="59"/>
    <w:rsid w:val="003D1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2069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1">
    <w:name w:val="Table Grid61511"/>
    <w:basedOn w:val="TableNormal"/>
    <w:uiPriority w:val="59"/>
    <w:rsid w:val="0020698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AC3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8">
    <w:name w:val="Table Grid618"/>
    <w:basedOn w:val="TableNormal"/>
    <w:uiPriority w:val="59"/>
    <w:rsid w:val="00AC336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uiPriority w:val="59"/>
    <w:rsid w:val="00281C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5D4A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81">
    <w:name w:val="Table Grid6181"/>
    <w:basedOn w:val="TableNormal"/>
    <w:uiPriority w:val="59"/>
    <w:rsid w:val="005D4AA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uiPriority w:val="59"/>
    <w:rsid w:val="00065F5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811">
    <w:name w:val="Table Grid61811"/>
    <w:basedOn w:val="TableNormal"/>
    <w:uiPriority w:val="59"/>
    <w:rsid w:val="002439E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uiPriority w:val="59"/>
    <w:rsid w:val="00C4691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1703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8">
    <w:name w:val="s18"/>
    <w:basedOn w:val="DefaultParagraphFont"/>
    <w:rsid w:val="00FB57BF"/>
  </w:style>
  <w:style w:type="table" w:customStyle="1" w:styleId="TableGrid711">
    <w:name w:val="Table Grid711"/>
    <w:basedOn w:val="TableNormal"/>
    <w:next w:val="TableGrid"/>
    <w:uiPriority w:val="59"/>
    <w:rsid w:val="00A12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9">
    <w:name w:val="Table Grid619"/>
    <w:basedOn w:val="TableNormal"/>
    <w:uiPriority w:val="59"/>
    <w:rsid w:val="00A12CF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91">
    <w:name w:val="Table Grid6191"/>
    <w:basedOn w:val="TableNormal"/>
    <w:uiPriority w:val="59"/>
    <w:rsid w:val="0030161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next w:val="TableGrid"/>
    <w:uiPriority w:val="59"/>
    <w:rsid w:val="00301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s">
    <w:name w:val="Footnotes"/>
    <w:basedOn w:val="FootnoteText"/>
    <w:link w:val="FootnotesChar"/>
    <w:rsid w:val="00353EF2"/>
    <w:pPr>
      <w:spacing w:after="0"/>
    </w:pPr>
  </w:style>
  <w:style w:type="character" w:customStyle="1" w:styleId="FootnotesChar">
    <w:name w:val="Footnotes Char"/>
    <w:basedOn w:val="FootnoteTextChar"/>
    <w:link w:val="Footnotes"/>
    <w:rsid w:val="00353EF2"/>
    <w:rPr>
      <w:rFonts w:ascii="Times New Roman" w:eastAsia="Times New Roman" w:hAnsi="Times New Roman" w:cs="Times New Roman"/>
      <w:sz w:val="20"/>
      <w:szCs w:val="20"/>
    </w:rPr>
  </w:style>
  <w:style w:type="paragraph" w:styleId="Quote">
    <w:name w:val="Quote"/>
    <w:basedOn w:val="Normal"/>
    <w:next w:val="Normal"/>
    <w:link w:val="QuoteChar"/>
    <w:uiPriority w:val="29"/>
    <w:qFormat/>
    <w:rsid w:val="00BB194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B1941"/>
    <w:rPr>
      <w:rFonts w:eastAsia="Times New Roman" w:cs="Times New Roman"/>
      <w:i/>
      <w:iCs/>
      <w:color w:val="404040" w:themeColor="text1" w:themeTint="BF"/>
      <w:szCs w:val="24"/>
    </w:rPr>
  </w:style>
  <w:style w:type="character" w:styleId="UnresolvedMention">
    <w:name w:val="Unresolved Mention"/>
    <w:basedOn w:val="DefaultParagraphFont"/>
    <w:uiPriority w:val="99"/>
    <w:semiHidden/>
    <w:unhideWhenUsed/>
    <w:rsid w:val="0008428E"/>
    <w:rPr>
      <w:color w:val="605E5C"/>
      <w:shd w:val="clear" w:color="auto" w:fill="E1DFDD"/>
    </w:rPr>
  </w:style>
  <w:style w:type="paragraph" w:styleId="NoSpacing">
    <w:name w:val="No Spacing"/>
    <w:uiPriority w:val="1"/>
    <w:qFormat/>
    <w:rsid w:val="00084222"/>
    <w:pPr>
      <w:spacing w:after="0"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874042">
      <w:bodyDiv w:val="1"/>
      <w:marLeft w:val="0"/>
      <w:marRight w:val="0"/>
      <w:marTop w:val="0"/>
      <w:marBottom w:val="0"/>
      <w:divBdr>
        <w:top w:val="none" w:sz="0" w:space="0" w:color="auto"/>
        <w:left w:val="none" w:sz="0" w:space="0" w:color="auto"/>
        <w:bottom w:val="none" w:sz="0" w:space="0" w:color="auto"/>
        <w:right w:val="none" w:sz="0" w:space="0" w:color="auto"/>
      </w:divBdr>
    </w:div>
    <w:div w:id="93288277">
      <w:bodyDiv w:val="1"/>
      <w:marLeft w:val="0"/>
      <w:marRight w:val="0"/>
      <w:marTop w:val="0"/>
      <w:marBottom w:val="0"/>
      <w:divBdr>
        <w:top w:val="none" w:sz="0" w:space="0" w:color="auto"/>
        <w:left w:val="none" w:sz="0" w:space="0" w:color="auto"/>
        <w:bottom w:val="none" w:sz="0" w:space="0" w:color="auto"/>
        <w:right w:val="none" w:sz="0" w:space="0" w:color="auto"/>
      </w:divBdr>
    </w:div>
    <w:div w:id="234753169">
      <w:bodyDiv w:val="1"/>
      <w:marLeft w:val="0"/>
      <w:marRight w:val="0"/>
      <w:marTop w:val="0"/>
      <w:marBottom w:val="0"/>
      <w:divBdr>
        <w:top w:val="none" w:sz="0" w:space="0" w:color="auto"/>
        <w:left w:val="none" w:sz="0" w:space="0" w:color="auto"/>
        <w:bottom w:val="none" w:sz="0" w:space="0" w:color="auto"/>
        <w:right w:val="none" w:sz="0" w:space="0" w:color="auto"/>
      </w:divBdr>
      <w:divsChild>
        <w:div w:id="49153428">
          <w:marLeft w:val="547"/>
          <w:marRight w:val="0"/>
          <w:marTop w:val="0"/>
          <w:marBottom w:val="0"/>
          <w:divBdr>
            <w:top w:val="none" w:sz="0" w:space="0" w:color="auto"/>
            <w:left w:val="none" w:sz="0" w:space="0" w:color="auto"/>
            <w:bottom w:val="none" w:sz="0" w:space="0" w:color="auto"/>
            <w:right w:val="none" w:sz="0" w:space="0" w:color="auto"/>
          </w:divBdr>
        </w:div>
      </w:divsChild>
    </w:div>
    <w:div w:id="259333795">
      <w:bodyDiv w:val="1"/>
      <w:marLeft w:val="0"/>
      <w:marRight w:val="0"/>
      <w:marTop w:val="0"/>
      <w:marBottom w:val="0"/>
      <w:divBdr>
        <w:top w:val="none" w:sz="0" w:space="0" w:color="auto"/>
        <w:left w:val="none" w:sz="0" w:space="0" w:color="auto"/>
        <w:bottom w:val="none" w:sz="0" w:space="0" w:color="auto"/>
        <w:right w:val="none" w:sz="0" w:space="0" w:color="auto"/>
      </w:divBdr>
    </w:div>
    <w:div w:id="343094661">
      <w:bodyDiv w:val="1"/>
      <w:marLeft w:val="0"/>
      <w:marRight w:val="0"/>
      <w:marTop w:val="0"/>
      <w:marBottom w:val="0"/>
      <w:divBdr>
        <w:top w:val="none" w:sz="0" w:space="0" w:color="auto"/>
        <w:left w:val="none" w:sz="0" w:space="0" w:color="auto"/>
        <w:bottom w:val="none" w:sz="0" w:space="0" w:color="auto"/>
        <w:right w:val="none" w:sz="0" w:space="0" w:color="auto"/>
      </w:divBdr>
    </w:div>
    <w:div w:id="345064012">
      <w:bodyDiv w:val="1"/>
      <w:marLeft w:val="0"/>
      <w:marRight w:val="0"/>
      <w:marTop w:val="0"/>
      <w:marBottom w:val="0"/>
      <w:divBdr>
        <w:top w:val="none" w:sz="0" w:space="0" w:color="auto"/>
        <w:left w:val="none" w:sz="0" w:space="0" w:color="auto"/>
        <w:bottom w:val="none" w:sz="0" w:space="0" w:color="auto"/>
        <w:right w:val="none" w:sz="0" w:space="0" w:color="auto"/>
      </w:divBdr>
    </w:div>
    <w:div w:id="393360874">
      <w:bodyDiv w:val="1"/>
      <w:marLeft w:val="0"/>
      <w:marRight w:val="0"/>
      <w:marTop w:val="0"/>
      <w:marBottom w:val="0"/>
      <w:divBdr>
        <w:top w:val="none" w:sz="0" w:space="0" w:color="auto"/>
        <w:left w:val="none" w:sz="0" w:space="0" w:color="auto"/>
        <w:bottom w:val="none" w:sz="0" w:space="0" w:color="auto"/>
        <w:right w:val="none" w:sz="0" w:space="0" w:color="auto"/>
      </w:divBdr>
    </w:div>
    <w:div w:id="428087035">
      <w:bodyDiv w:val="1"/>
      <w:marLeft w:val="0"/>
      <w:marRight w:val="0"/>
      <w:marTop w:val="0"/>
      <w:marBottom w:val="0"/>
      <w:divBdr>
        <w:top w:val="none" w:sz="0" w:space="0" w:color="auto"/>
        <w:left w:val="none" w:sz="0" w:space="0" w:color="auto"/>
        <w:bottom w:val="none" w:sz="0" w:space="0" w:color="auto"/>
        <w:right w:val="none" w:sz="0" w:space="0" w:color="auto"/>
      </w:divBdr>
    </w:div>
    <w:div w:id="477841500">
      <w:bodyDiv w:val="1"/>
      <w:marLeft w:val="0"/>
      <w:marRight w:val="0"/>
      <w:marTop w:val="0"/>
      <w:marBottom w:val="0"/>
      <w:divBdr>
        <w:top w:val="none" w:sz="0" w:space="0" w:color="auto"/>
        <w:left w:val="none" w:sz="0" w:space="0" w:color="auto"/>
        <w:bottom w:val="none" w:sz="0" w:space="0" w:color="auto"/>
        <w:right w:val="none" w:sz="0" w:space="0" w:color="auto"/>
      </w:divBdr>
    </w:div>
    <w:div w:id="539129058">
      <w:bodyDiv w:val="1"/>
      <w:marLeft w:val="0"/>
      <w:marRight w:val="0"/>
      <w:marTop w:val="0"/>
      <w:marBottom w:val="0"/>
      <w:divBdr>
        <w:top w:val="none" w:sz="0" w:space="0" w:color="auto"/>
        <w:left w:val="none" w:sz="0" w:space="0" w:color="auto"/>
        <w:bottom w:val="none" w:sz="0" w:space="0" w:color="auto"/>
        <w:right w:val="none" w:sz="0" w:space="0" w:color="auto"/>
      </w:divBdr>
    </w:div>
    <w:div w:id="583993699">
      <w:bodyDiv w:val="1"/>
      <w:marLeft w:val="0"/>
      <w:marRight w:val="0"/>
      <w:marTop w:val="0"/>
      <w:marBottom w:val="0"/>
      <w:divBdr>
        <w:top w:val="none" w:sz="0" w:space="0" w:color="auto"/>
        <w:left w:val="none" w:sz="0" w:space="0" w:color="auto"/>
        <w:bottom w:val="none" w:sz="0" w:space="0" w:color="auto"/>
        <w:right w:val="none" w:sz="0" w:space="0" w:color="auto"/>
      </w:divBdr>
    </w:div>
    <w:div w:id="621420834">
      <w:bodyDiv w:val="1"/>
      <w:marLeft w:val="0"/>
      <w:marRight w:val="0"/>
      <w:marTop w:val="0"/>
      <w:marBottom w:val="0"/>
      <w:divBdr>
        <w:top w:val="none" w:sz="0" w:space="0" w:color="auto"/>
        <w:left w:val="none" w:sz="0" w:space="0" w:color="auto"/>
        <w:bottom w:val="none" w:sz="0" w:space="0" w:color="auto"/>
        <w:right w:val="none" w:sz="0" w:space="0" w:color="auto"/>
      </w:divBdr>
    </w:div>
    <w:div w:id="636690002">
      <w:bodyDiv w:val="1"/>
      <w:marLeft w:val="0"/>
      <w:marRight w:val="0"/>
      <w:marTop w:val="0"/>
      <w:marBottom w:val="0"/>
      <w:divBdr>
        <w:top w:val="none" w:sz="0" w:space="0" w:color="auto"/>
        <w:left w:val="none" w:sz="0" w:space="0" w:color="auto"/>
        <w:bottom w:val="none" w:sz="0" w:space="0" w:color="auto"/>
        <w:right w:val="none" w:sz="0" w:space="0" w:color="auto"/>
      </w:divBdr>
    </w:div>
    <w:div w:id="644043002">
      <w:bodyDiv w:val="1"/>
      <w:marLeft w:val="0"/>
      <w:marRight w:val="0"/>
      <w:marTop w:val="0"/>
      <w:marBottom w:val="0"/>
      <w:divBdr>
        <w:top w:val="none" w:sz="0" w:space="0" w:color="auto"/>
        <w:left w:val="none" w:sz="0" w:space="0" w:color="auto"/>
        <w:bottom w:val="none" w:sz="0" w:space="0" w:color="auto"/>
        <w:right w:val="none" w:sz="0" w:space="0" w:color="auto"/>
      </w:divBdr>
    </w:div>
    <w:div w:id="663826083">
      <w:bodyDiv w:val="1"/>
      <w:marLeft w:val="0"/>
      <w:marRight w:val="0"/>
      <w:marTop w:val="0"/>
      <w:marBottom w:val="0"/>
      <w:divBdr>
        <w:top w:val="none" w:sz="0" w:space="0" w:color="auto"/>
        <w:left w:val="none" w:sz="0" w:space="0" w:color="auto"/>
        <w:bottom w:val="none" w:sz="0" w:space="0" w:color="auto"/>
        <w:right w:val="none" w:sz="0" w:space="0" w:color="auto"/>
      </w:divBdr>
    </w:div>
    <w:div w:id="663899511">
      <w:bodyDiv w:val="1"/>
      <w:marLeft w:val="0"/>
      <w:marRight w:val="0"/>
      <w:marTop w:val="0"/>
      <w:marBottom w:val="0"/>
      <w:divBdr>
        <w:top w:val="none" w:sz="0" w:space="0" w:color="auto"/>
        <w:left w:val="none" w:sz="0" w:space="0" w:color="auto"/>
        <w:bottom w:val="none" w:sz="0" w:space="0" w:color="auto"/>
        <w:right w:val="none" w:sz="0" w:space="0" w:color="auto"/>
      </w:divBdr>
    </w:div>
    <w:div w:id="674497655">
      <w:bodyDiv w:val="1"/>
      <w:marLeft w:val="0"/>
      <w:marRight w:val="0"/>
      <w:marTop w:val="0"/>
      <w:marBottom w:val="0"/>
      <w:divBdr>
        <w:top w:val="none" w:sz="0" w:space="0" w:color="auto"/>
        <w:left w:val="none" w:sz="0" w:space="0" w:color="auto"/>
        <w:bottom w:val="none" w:sz="0" w:space="0" w:color="auto"/>
        <w:right w:val="none" w:sz="0" w:space="0" w:color="auto"/>
      </w:divBdr>
    </w:div>
    <w:div w:id="689602076">
      <w:bodyDiv w:val="1"/>
      <w:marLeft w:val="0"/>
      <w:marRight w:val="0"/>
      <w:marTop w:val="0"/>
      <w:marBottom w:val="0"/>
      <w:divBdr>
        <w:top w:val="none" w:sz="0" w:space="0" w:color="auto"/>
        <w:left w:val="none" w:sz="0" w:space="0" w:color="auto"/>
        <w:bottom w:val="none" w:sz="0" w:space="0" w:color="auto"/>
        <w:right w:val="none" w:sz="0" w:space="0" w:color="auto"/>
      </w:divBdr>
    </w:div>
    <w:div w:id="694115076">
      <w:bodyDiv w:val="1"/>
      <w:marLeft w:val="0"/>
      <w:marRight w:val="0"/>
      <w:marTop w:val="0"/>
      <w:marBottom w:val="0"/>
      <w:divBdr>
        <w:top w:val="none" w:sz="0" w:space="0" w:color="auto"/>
        <w:left w:val="none" w:sz="0" w:space="0" w:color="auto"/>
        <w:bottom w:val="none" w:sz="0" w:space="0" w:color="auto"/>
        <w:right w:val="none" w:sz="0" w:space="0" w:color="auto"/>
      </w:divBdr>
    </w:div>
    <w:div w:id="810555947">
      <w:bodyDiv w:val="1"/>
      <w:marLeft w:val="0"/>
      <w:marRight w:val="0"/>
      <w:marTop w:val="0"/>
      <w:marBottom w:val="0"/>
      <w:divBdr>
        <w:top w:val="none" w:sz="0" w:space="0" w:color="auto"/>
        <w:left w:val="none" w:sz="0" w:space="0" w:color="auto"/>
        <w:bottom w:val="none" w:sz="0" w:space="0" w:color="auto"/>
        <w:right w:val="none" w:sz="0" w:space="0" w:color="auto"/>
      </w:divBdr>
    </w:div>
    <w:div w:id="867261968">
      <w:bodyDiv w:val="1"/>
      <w:marLeft w:val="0"/>
      <w:marRight w:val="0"/>
      <w:marTop w:val="0"/>
      <w:marBottom w:val="0"/>
      <w:divBdr>
        <w:top w:val="none" w:sz="0" w:space="0" w:color="auto"/>
        <w:left w:val="none" w:sz="0" w:space="0" w:color="auto"/>
        <w:bottom w:val="none" w:sz="0" w:space="0" w:color="auto"/>
        <w:right w:val="none" w:sz="0" w:space="0" w:color="auto"/>
      </w:divBdr>
    </w:div>
    <w:div w:id="898437954">
      <w:bodyDiv w:val="1"/>
      <w:marLeft w:val="0"/>
      <w:marRight w:val="0"/>
      <w:marTop w:val="0"/>
      <w:marBottom w:val="0"/>
      <w:divBdr>
        <w:top w:val="none" w:sz="0" w:space="0" w:color="auto"/>
        <w:left w:val="none" w:sz="0" w:space="0" w:color="auto"/>
        <w:bottom w:val="none" w:sz="0" w:space="0" w:color="auto"/>
        <w:right w:val="none" w:sz="0" w:space="0" w:color="auto"/>
      </w:divBdr>
    </w:div>
    <w:div w:id="996810959">
      <w:bodyDiv w:val="1"/>
      <w:marLeft w:val="0"/>
      <w:marRight w:val="0"/>
      <w:marTop w:val="0"/>
      <w:marBottom w:val="0"/>
      <w:divBdr>
        <w:top w:val="none" w:sz="0" w:space="0" w:color="auto"/>
        <w:left w:val="none" w:sz="0" w:space="0" w:color="auto"/>
        <w:bottom w:val="none" w:sz="0" w:space="0" w:color="auto"/>
        <w:right w:val="none" w:sz="0" w:space="0" w:color="auto"/>
      </w:divBdr>
    </w:div>
    <w:div w:id="1054768832">
      <w:bodyDiv w:val="1"/>
      <w:marLeft w:val="0"/>
      <w:marRight w:val="0"/>
      <w:marTop w:val="0"/>
      <w:marBottom w:val="0"/>
      <w:divBdr>
        <w:top w:val="none" w:sz="0" w:space="0" w:color="auto"/>
        <w:left w:val="none" w:sz="0" w:space="0" w:color="auto"/>
        <w:bottom w:val="none" w:sz="0" w:space="0" w:color="auto"/>
        <w:right w:val="none" w:sz="0" w:space="0" w:color="auto"/>
      </w:divBdr>
    </w:div>
    <w:div w:id="1064064970">
      <w:bodyDiv w:val="1"/>
      <w:marLeft w:val="0"/>
      <w:marRight w:val="0"/>
      <w:marTop w:val="0"/>
      <w:marBottom w:val="0"/>
      <w:divBdr>
        <w:top w:val="none" w:sz="0" w:space="0" w:color="auto"/>
        <w:left w:val="none" w:sz="0" w:space="0" w:color="auto"/>
        <w:bottom w:val="none" w:sz="0" w:space="0" w:color="auto"/>
        <w:right w:val="none" w:sz="0" w:space="0" w:color="auto"/>
      </w:divBdr>
    </w:div>
    <w:div w:id="1104961132">
      <w:bodyDiv w:val="1"/>
      <w:marLeft w:val="0"/>
      <w:marRight w:val="0"/>
      <w:marTop w:val="0"/>
      <w:marBottom w:val="0"/>
      <w:divBdr>
        <w:top w:val="none" w:sz="0" w:space="0" w:color="auto"/>
        <w:left w:val="none" w:sz="0" w:space="0" w:color="auto"/>
        <w:bottom w:val="none" w:sz="0" w:space="0" w:color="auto"/>
        <w:right w:val="none" w:sz="0" w:space="0" w:color="auto"/>
      </w:divBdr>
    </w:div>
    <w:div w:id="1165633973">
      <w:bodyDiv w:val="1"/>
      <w:marLeft w:val="0"/>
      <w:marRight w:val="0"/>
      <w:marTop w:val="0"/>
      <w:marBottom w:val="0"/>
      <w:divBdr>
        <w:top w:val="none" w:sz="0" w:space="0" w:color="auto"/>
        <w:left w:val="none" w:sz="0" w:space="0" w:color="auto"/>
        <w:bottom w:val="none" w:sz="0" w:space="0" w:color="auto"/>
        <w:right w:val="none" w:sz="0" w:space="0" w:color="auto"/>
      </w:divBdr>
    </w:div>
    <w:div w:id="1205753126">
      <w:bodyDiv w:val="1"/>
      <w:marLeft w:val="0"/>
      <w:marRight w:val="0"/>
      <w:marTop w:val="0"/>
      <w:marBottom w:val="0"/>
      <w:divBdr>
        <w:top w:val="none" w:sz="0" w:space="0" w:color="auto"/>
        <w:left w:val="none" w:sz="0" w:space="0" w:color="auto"/>
        <w:bottom w:val="none" w:sz="0" w:space="0" w:color="auto"/>
        <w:right w:val="none" w:sz="0" w:space="0" w:color="auto"/>
      </w:divBdr>
    </w:div>
    <w:div w:id="1346054458">
      <w:bodyDiv w:val="1"/>
      <w:marLeft w:val="0"/>
      <w:marRight w:val="0"/>
      <w:marTop w:val="0"/>
      <w:marBottom w:val="0"/>
      <w:divBdr>
        <w:top w:val="none" w:sz="0" w:space="0" w:color="auto"/>
        <w:left w:val="none" w:sz="0" w:space="0" w:color="auto"/>
        <w:bottom w:val="none" w:sz="0" w:space="0" w:color="auto"/>
        <w:right w:val="none" w:sz="0" w:space="0" w:color="auto"/>
      </w:divBdr>
    </w:div>
    <w:div w:id="1486775416">
      <w:bodyDiv w:val="1"/>
      <w:marLeft w:val="0"/>
      <w:marRight w:val="0"/>
      <w:marTop w:val="0"/>
      <w:marBottom w:val="0"/>
      <w:divBdr>
        <w:top w:val="none" w:sz="0" w:space="0" w:color="auto"/>
        <w:left w:val="none" w:sz="0" w:space="0" w:color="auto"/>
        <w:bottom w:val="none" w:sz="0" w:space="0" w:color="auto"/>
        <w:right w:val="none" w:sz="0" w:space="0" w:color="auto"/>
      </w:divBdr>
    </w:div>
    <w:div w:id="1512989432">
      <w:bodyDiv w:val="1"/>
      <w:marLeft w:val="0"/>
      <w:marRight w:val="0"/>
      <w:marTop w:val="0"/>
      <w:marBottom w:val="0"/>
      <w:divBdr>
        <w:top w:val="none" w:sz="0" w:space="0" w:color="auto"/>
        <w:left w:val="none" w:sz="0" w:space="0" w:color="auto"/>
        <w:bottom w:val="none" w:sz="0" w:space="0" w:color="auto"/>
        <w:right w:val="none" w:sz="0" w:space="0" w:color="auto"/>
      </w:divBdr>
    </w:div>
    <w:div w:id="1575779767">
      <w:bodyDiv w:val="1"/>
      <w:marLeft w:val="0"/>
      <w:marRight w:val="0"/>
      <w:marTop w:val="0"/>
      <w:marBottom w:val="0"/>
      <w:divBdr>
        <w:top w:val="none" w:sz="0" w:space="0" w:color="auto"/>
        <w:left w:val="none" w:sz="0" w:space="0" w:color="auto"/>
        <w:bottom w:val="none" w:sz="0" w:space="0" w:color="auto"/>
        <w:right w:val="none" w:sz="0" w:space="0" w:color="auto"/>
      </w:divBdr>
    </w:div>
    <w:div w:id="1577284226">
      <w:bodyDiv w:val="1"/>
      <w:marLeft w:val="0"/>
      <w:marRight w:val="0"/>
      <w:marTop w:val="0"/>
      <w:marBottom w:val="0"/>
      <w:divBdr>
        <w:top w:val="none" w:sz="0" w:space="0" w:color="auto"/>
        <w:left w:val="none" w:sz="0" w:space="0" w:color="auto"/>
        <w:bottom w:val="none" w:sz="0" w:space="0" w:color="auto"/>
        <w:right w:val="none" w:sz="0" w:space="0" w:color="auto"/>
      </w:divBdr>
      <w:divsChild>
        <w:div w:id="1523546126">
          <w:marLeft w:val="547"/>
          <w:marRight w:val="0"/>
          <w:marTop w:val="120"/>
          <w:marBottom w:val="0"/>
          <w:divBdr>
            <w:top w:val="none" w:sz="0" w:space="0" w:color="auto"/>
            <w:left w:val="none" w:sz="0" w:space="0" w:color="auto"/>
            <w:bottom w:val="none" w:sz="0" w:space="0" w:color="auto"/>
            <w:right w:val="none" w:sz="0" w:space="0" w:color="auto"/>
          </w:divBdr>
        </w:div>
      </w:divsChild>
    </w:div>
    <w:div w:id="1706129249">
      <w:bodyDiv w:val="1"/>
      <w:marLeft w:val="0"/>
      <w:marRight w:val="0"/>
      <w:marTop w:val="0"/>
      <w:marBottom w:val="0"/>
      <w:divBdr>
        <w:top w:val="none" w:sz="0" w:space="0" w:color="auto"/>
        <w:left w:val="none" w:sz="0" w:space="0" w:color="auto"/>
        <w:bottom w:val="none" w:sz="0" w:space="0" w:color="auto"/>
        <w:right w:val="none" w:sz="0" w:space="0" w:color="auto"/>
      </w:divBdr>
    </w:div>
    <w:div w:id="1714964050">
      <w:bodyDiv w:val="1"/>
      <w:marLeft w:val="0"/>
      <w:marRight w:val="0"/>
      <w:marTop w:val="0"/>
      <w:marBottom w:val="0"/>
      <w:divBdr>
        <w:top w:val="none" w:sz="0" w:space="0" w:color="auto"/>
        <w:left w:val="none" w:sz="0" w:space="0" w:color="auto"/>
        <w:bottom w:val="none" w:sz="0" w:space="0" w:color="auto"/>
        <w:right w:val="none" w:sz="0" w:space="0" w:color="auto"/>
      </w:divBdr>
    </w:div>
    <w:div w:id="1750031311">
      <w:bodyDiv w:val="1"/>
      <w:marLeft w:val="0"/>
      <w:marRight w:val="0"/>
      <w:marTop w:val="0"/>
      <w:marBottom w:val="0"/>
      <w:divBdr>
        <w:top w:val="none" w:sz="0" w:space="0" w:color="auto"/>
        <w:left w:val="none" w:sz="0" w:space="0" w:color="auto"/>
        <w:bottom w:val="none" w:sz="0" w:space="0" w:color="auto"/>
        <w:right w:val="none" w:sz="0" w:space="0" w:color="auto"/>
      </w:divBdr>
    </w:div>
    <w:div w:id="1757050415">
      <w:bodyDiv w:val="1"/>
      <w:marLeft w:val="0"/>
      <w:marRight w:val="0"/>
      <w:marTop w:val="0"/>
      <w:marBottom w:val="0"/>
      <w:divBdr>
        <w:top w:val="none" w:sz="0" w:space="0" w:color="auto"/>
        <w:left w:val="none" w:sz="0" w:space="0" w:color="auto"/>
        <w:bottom w:val="none" w:sz="0" w:space="0" w:color="auto"/>
        <w:right w:val="none" w:sz="0" w:space="0" w:color="auto"/>
      </w:divBdr>
    </w:div>
    <w:div w:id="1767067775">
      <w:bodyDiv w:val="1"/>
      <w:marLeft w:val="0"/>
      <w:marRight w:val="0"/>
      <w:marTop w:val="0"/>
      <w:marBottom w:val="0"/>
      <w:divBdr>
        <w:top w:val="none" w:sz="0" w:space="0" w:color="auto"/>
        <w:left w:val="none" w:sz="0" w:space="0" w:color="auto"/>
        <w:bottom w:val="none" w:sz="0" w:space="0" w:color="auto"/>
        <w:right w:val="none" w:sz="0" w:space="0" w:color="auto"/>
      </w:divBdr>
    </w:div>
    <w:div w:id="1776901000">
      <w:bodyDiv w:val="1"/>
      <w:marLeft w:val="0"/>
      <w:marRight w:val="0"/>
      <w:marTop w:val="0"/>
      <w:marBottom w:val="0"/>
      <w:divBdr>
        <w:top w:val="none" w:sz="0" w:space="0" w:color="auto"/>
        <w:left w:val="none" w:sz="0" w:space="0" w:color="auto"/>
        <w:bottom w:val="none" w:sz="0" w:space="0" w:color="auto"/>
        <w:right w:val="none" w:sz="0" w:space="0" w:color="auto"/>
      </w:divBdr>
    </w:div>
    <w:div w:id="1777558607">
      <w:bodyDiv w:val="1"/>
      <w:marLeft w:val="0"/>
      <w:marRight w:val="0"/>
      <w:marTop w:val="0"/>
      <w:marBottom w:val="0"/>
      <w:divBdr>
        <w:top w:val="none" w:sz="0" w:space="0" w:color="auto"/>
        <w:left w:val="none" w:sz="0" w:space="0" w:color="auto"/>
        <w:bottom w:val="none" w:sz="0" w:space="0" w:color="auto"/>
        <w:right w:val="none" w:sz="0" w:space="0" w:color="auto"/>
      </w:divBdr>
    </w:div>
    <w:div w:id="1815635679">
      <w:bodyDiv w:val="1"/>
      <w:marLeft w:val="0"/>
      <w:marRight w:val="0"/>
      <w:marTop w:val="0"/>
      <w:marBottom w:val="0"/>
      <w:divBdr>
        <w:top w:val="none" w:sz="0" w:space="0" w:color="auto"/>
        <w:left w:val="none" w:sz="0" w:space="0" w:color="auto"/>
        <w:bottom w:val="none" w:sz="0" w:space="0" w:color="auto"/>
        <w:right w:val="none" w:sz="0" w:space="0" w:color="auto"/>
      </w:divBdr>
    </w:div>
    <w:div w:id="1815638162">
      <w:bodyDiv w:val="1"/>
      <w:marLeft w:val="0"/>
      <w:marRight w:val="0"/>
      <w:marTop w:val="0"/>
      <w:marBottom w:val="0"/>
      <w:divBdr>
        <w:top w:val="none" w:sz="0" w:space="0" w:color="auto"/>
        <w:left w:val="none" w:sz="0" w:space="0" w:color="auto"/>
        <w:bottom w:val="none" w:sz="0" w:space="0" w:color="auto"/>
        <w:right w:val="none" w:sz="0" w:space="0" w:color="auto"/>
      </w:divBdr>
    </w:div>
    <w:div w:id="1884292988">
      <w:bodyDiv w:val="1"/>
      <w:marLeft w:val="0"/>
      <w:marRight w:val="0"/>
      <w:marTop w:val="0"/>
      <w:marBottom w:val="0"/>
      <w:divBdr>
        <w:top w:val="none" w:sz="0" w:space="0" w:color="auto"/>
        <w:left w:val="none" w:sz="0" w:space="0" w:color="auto"/>
        <w:bottom w:val="none" w:sz="0" w:space="0" w:color="auto"/>
        <w:right w:val="none" w:sz="0" w:space="0" w:color="auto"/>
      </w:divBdr>
    </w:div>
    <w:div w:id="1934390090">
      <w:bodyDiv w:val="1"/>
      <w:marLeft w:val="0"/>
      <w:marRight w:val="0"/>
      <w:marTop w:val="0"/>
      <w:marBottom w:val="0"/>
      <w:divBdr>
        <w:top w:val="none" w:sz="0" w:space="0" w:color="auto"/>
        <w:left w:val="none" w:sz="0" w:space="0" w:color="auto"/>
        <w:bottom w:val="none" w:sz="0" w:space="0" w:color="auto"/>
        <w:right w:val="none" w:sz="0" w:space="0" w:color="auto"/>
      </w:divBdr>
    </w:div>
    <w:div w:id="1976451886">
      <w:bodyDiv w:val="1"/>
      <w:marLeft w:val="0"/>
      <w:marRight w:val="0"/>
      <w:marTop w:val="0"/>
      <w:marBottom w:val="0"/>
      <w:divBdr>
        <w:top w:val="none" w:sz="0" w:space="0" w:color="auto"/>
        <w:left w:val="none" w:sz="0" w:space="0" w:color="auto"/>
        <w:bottom w:val="none" w:sz="0" w:space="0" w:color="auto"/>
        <w:right w:val="none" w:sz="0" w:space="0" w:color="auto"/>
      </w:divBdr>
    </w:div>
    <w:div w:id="2010674765">
      <w:bodyDiv w:val="1"/>
      <w:marLeft w:val="0"/>
      <w:marRight w:val="0"/>
      <w:marTop w:val="0"/>
      <w:marBottom w:val="0"/>
      <w:divBdr>
        <w:top w:val="none" w:sz="0" w:space="0" w:color="auto"/>
        <w:left w:val="none" w:sz="0" w:space="0" w:color="auto"/>
        <w:bottom w:val="none" w:sz="0" w:space="0" w:color="auto"/>
        <w:right w:val="none" w:sz="0" w:space="0" w:color="auto"/>
      </w:divBdr>
    </w:div>
    <w:div w:id="2062706476">
      <w:bodyDiv w:val="1"/>
      <w:marLeft w:val="0"/>
      <w:marRight w:val="0"/>
      <w:marTop w:val="0"/>
      <w:marBottom w:val="0"/>
      <w:divBdr>
        <w:top w:val="none" w:sz="0" w:space="0" w:color="auto"/>
        <w:left w:val="none" w:sz="0" w:space="0" w:color="auto"/>
        <w:bottom w:val="none" w:sz="0" w:space="0" w:color="auto"/>
        <w:right w:val="none" w:sz="0" w:space="0" w:color="auto"/>
      </w:divBdr>
    </w:div>
    <w:div w:id="2093431821">
      <w:bodyDiv w:val="1"/>
      <w:marLeft w:val="0"/>
      <w:marRight w:val="0"/>
      <w:marTop w:val="0"/>
      <w:marBottom w:val="0"/>
      <w:divBdr>
        <w:top w:val="none" w:sz="0" w:space="0" w:color="auto"/>
        <w:left w:val="none" w:sz="0" w:space="0" w:color="auto"/>
        <w:bottom w:val="none" w:sz="0" w:space="0" w:color="auto"/>
        <w:right w:val="none" w:sz="0" w:space="0" w:color="auto"/>
      </w:divBdr>
    </w:div>
    <w:div w:id="211605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gasstar@ep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epa.gov/lmop/overview-renewable-natural-gas-biogas"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epa.gov/natural-gas-star-program/continuous-improvement-document-equipment-leaks-compressor-valves"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primis.phmsa.dot.gov/comm/FactSheets/FSExcavationDamage.htm" TargetMode="External"/><Relationship Id="rId3" Type="http://schemas.openxmlformats.org/officeDocument/2006/relationships/hyperlink" Target="https://nam04.safelinks.protection.outlook.com/?url=https%3A%2F%2Fwww.istt.com%2Fmain%2Ftask.guidelinedetail%2Fid.113&amp;data=02%7C01%7CKerry.Fountain%40erg.com%7Cd47da521fb854e55e84508d828cc1b91%7Ca17e3fab8d2346f287f33fceb7c6a000%7C1%7C0%7C637304204380428865&amp;sdata=mQB4aQQYJnMQgNp4SiSmlvKpCwGef7QLZCc%2FcCVGDCI%3D&amp;reserved=0" TargetMode="External"/><Relationship Id="rId7" Type="http://schemas.openxmlformats.org/officeDocument/2006/relationships/hyperlink" Target="http://www.ecfr.gov/cgi-bin/text-idx?SID=06dfe10fe465d0ee1b352dad32b2c248&amp;mc=true&amp;node=sp49.3.192.b&amp;rgn=div6" TargetMode="External"/><Relationship Id="rId2" Type="http://schemas.openxmlformats.org/officeDocument/2006/relationships/hyperlink" Target="http://primis.phmsa.dot.gov/comm/glossary/index.htm?nocache=1606" TargetMode="External"/><Relationship Id="rId1" Type="http://schemas.openxmlformats.org/officeDocument/2006/relationships/hyperlink" Target="https://www.epa.gov/sites/production/files/2018-04/2018_ghgi_natural_gas_systems_annex_tables.xlsx" TargetMode="External"/><Relationship Id="rId6" Type="http://schemas.openxmlformats.org/officeDocument/2006/relationships/hyperlink" Target="http://primis.phmsa.dot.gov/comm/glossary/index.htm?nocache=1606" TargetMode="External"/><Relationship Id="rId5" Type="http://schemas.openxmlformats.org/officeDocument/2006/relationships/hyperlink" Target="http://www.astm.org/Standards/F2207.htm" TargetMode="External"/><Relationship Id="rId4" Type="http://schemas.openxmlformats.org/officeDocument/2006/relationships/hyperlink" Target="http://www.astm.org/Standards/F1504.htm" TargetMode="External"/><Relationship Id="rId9" Type="http://schemas.openxmlformats.org/officeDocument/2006/relationships/hyperlink" Target="https://www.aga.org/natural-gas/renewabl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2019-11-12T14:52:23+00:00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ateVersionFinalized xmlns="083044a9-a286-4394-88a4-9e6f987db6ba" xsi:nil="true"/>
    <_dlc_DocId xmlns="53234b3b-bd85-46f9-96f0-0025e43774af">XMR4K2FQXKJU-1532969082-110509</_dlc_DocId>
    <_dlc_DocIdUrl xmlns="53234b3b-bd85-46f9-96f0-0025e43774af">
      <Url>https://usepa.sharepoint.com/sites/GasSTAR/_layouts/15/DocIdRedir.aspx?ID=XMR4K2FQXKJU-1532969082-110509</Url>
      <Description>XMR4K2FQXKJU-1532969082-110509</Description>
    </_dlc_DocIdUrl>
    <SharedWithUsers xmlns="53234b3b-bd85-46f9-96f0-0025e43774af">
      <UserInfo>
        <DisplayName>Meluch, Andrew</DisplayName>
        <AccountId>89</AccountId>
        <AccountType/>
      </UserInfo>
      <UserInfo>
        <DisplayName>Waltzer, Suzanne</DisplayName>
        <AccountId>16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89950E74566BA4A9E496115F2145A35" ma:contentTypeVersion="58" ma:contentTypeDescription="Create a new document." ma:contentTypeScope="" ma:versionID="161bcfef7df5a2f6a2b909aad05ef5c2">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83044a9-a286-4394-88a4-9e6f987db6ba" xmlns:ns6="53234b3b-bd85-46f9-96f0-0025e43774af" targetNamespace="http://schemas.microsoft.com/office/2006/metadata/properties" ma:root="true" ma:fieldsID="0fe18708bff5b487117e5e842fbd8cf9" ns1:_="" ns2:_="" ns3:_="" ns4:_="" ns5:_="" ns6:_="">
    <xsd:import namespace="http://schemas.microsoft.com/sharepoint/v3"/>
    <xsd:import namespace="4ffa91fb-a0ff-4ac5-b2db-65c790d184a4"/>
    <xsd:import namespace="http://schemas.microsoft.com/sharepoint.v3"/>
    <xsd:import namespace="http://schemas.microsoft.com/sharepoint/v3/fields"/>
    <xsd:import namespace="083044a9-a286-4394-88a4-9e6f987db6ba"/>
    <xsd:import namespace="53234b3b-bd85-46f9-96f0-0025e43774af"/>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AutoTags" minOccurs="0"/>
                <xsd:element ref="ns5:MediaServiceGenerationTime" minOccurs="0"/>
                <xsd:element ref="ns5:MediaServiceEventHashCode" minOccurs="0"/>
                <xsd:element ref="ns5:MediaServiceOCR" minOccurs="0"/>
                <xsd:element ref="ns5:MediaServiceDateTaken" minOccurs="0"/>
                <xsd:element ref="ns5:MediaServiceLocation" minOccurs="0"/>
                <xsd:element ref="ns5:DateVersionFinalized" minOccurs="0"/>
                <xsd:element ref="ns6:_dlc_DocId" minOccurs="0"/>
                <xsd:element ref="ns6:_dlc_DocIdUrl" minOccurs="0"/>
                <xsd:element ref="ns6:_dlc_DocIdPersistId"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7ed78f11-d1b6-4cf8-8429-36c7a5160c50}" ma:internalName="TaxCatchAllLabel" ma:readOnly="true" ma:showField="CatchAllDataLabel" ma:web="53234b3b-bd85-46f9-96f0-0025e43774af">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7ed78f11-d1b6-4cf8-8429-36c7a5160c50}" ma:internalName="TaxCatchAll" ma:showField="CatchAllData" ma:web="53234b3b-bd85-46f9-96f0-0025e43774a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3044a9-a286-4394-88a4-9e6f987db6ba"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DateTaken" ma:index="36" nillable="true" ma:displayName="MediaServiceDateTaken" ma:hidden="true" ma:internalName="MediaServiceDateTaken" ma:readOnly="true">
      <xsd:simpleType>
        <xsd:restriction base="dms:Text"/>
      </xsd:simpleType>
    </xsd:element>
    <xsd:element name="MediaServiceLocation" ma:index="37" nillable="true" ma:displayName="Location" ma:internalName="MediaServiceLocation" ma:readOnly="true">
      <xsd:simpleType>
        <xsd:restriction base="dms:Text"/>
      </xsd:simpleType>
    </xsd:element>
    <xsd:element name="DateVersionFinalized" ma:index="38" nillable="true" ma:displayName="Date Version Finalized" ma:description="This is the date that the particular version of the file was done; included for sorting purposes" ma:format="DateOnly" ma:internalName="DateVersionFinalized">
      <xsd:simpleType>
        <xsd:restriction base="dms:DateTime"/>
      </xsd:simpleType>
    </xsd:element>
    <xsd:element name="MediaServiceAutoKeyPoints" ma:index="42" nillable="true" ma:displayName="MediaServiceAutoKeyPoints" ma:hidden="true" ma:internalName="MediaServiceAutoKeyPoints" ma:readOnly="true">
      <xsd:simpleType>
        <xsd:restriction base="dms:Note"/>
      </xsd:simpleType>
    </xsd:element>
    <xsd:element name="MediaServiceKeyPoints" ma:index="4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234b3b-bd85-46f9-96f0-0025e43774af"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_dlc_DocId" ma:index="39" nillable="true" ma:displayName="Document ID Value" ma:description="The value of the document ID assigned to this item." ma:internalName="_dlc_DocId" ma:readOnly="true">
      <xsd:simpleType>
        <xsd:restriction base="dms:Text"/>
      </xsd:simpleType>
    </xsd:element>
    <xsd:element name="_dlc_DocIdUrl" ma:index="4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29f62856-1543-49d4-a736-4569d363f533" ContentTypeId="0x0101" PreviousValue="false"/>
</file>

<file path=customXml/item6.xml><?xml version="1.0" encoding="utf-8"?>
<b:Sources xmlns:b="http://schemas.openxmlformats.org/officeDocument/2006/bibliography" xmlns="http://schemas.openxmlformats.org/officeDocument/2006/bibliography" SelectedStyle="\MLA.XSL" StyleName="MLA"/>
</file>

<file path=customXml/item7.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6B04E557-4B95-4486-AEE4-04A81FE2962E}">
  <ds:schemaRefs>
    <ds:schemaRef ds:uri="http://schemas.microsoft.com/sharepoint/v3/contenttype/forms"/>
  </ds:schemaRefs>
</ds:datastoreItem>
</file>

<file path=customXml/itemProps2.xml><?xml version="1.0" encoding="utf-8"?>
<ds:datastoreItem xmlns:ds="http://schemas.openxmlformats.org/officeDocument/2006/customXml" ds:itemID="{0E421B15-9F8B-45AB-A2AB-6EDCEB136A80}">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083044a9-a286-4394-88a4-9e6f987db6ba"/>
    <ds:schemaRef ds:uri="53234b3b-bd85-46f9-96f0-0025e43774af"/>
  </ds:schemaRefs>
</ds:datastoreItem>
</file>

<file path=customXml/itemProps3.xml><?xml version="1.0" encoding="utf-8"?>
<ds:datastoreItem xmlns:ds="http://schemas.openxmlformats.org/officeDocument/2006/customXml" ds:itemID="{E36D3980-DDBD-484C-BA2C-1D6ACE241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83044a9-a286-4394-88a4-9e6f987db6ba"/>
    <ds:schemaRef ds:uri="53234b3b-bd85-46f9-96f0-0025e43774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856959-9456-4BA3-8193-D63C81426AF5}">
  <ds:schemaRefs>
    <ds:schemaRef ds:uri="http://schemas.microsoft.com/sharepoint/events"/>
  </ds:schemaRefs>
</ds:datastoreItem>
</file>

<file path=customXml/itemProps5.xml><?xml version="1.0" encoding="utf-8"?>
<ds:datastoreItem xmlns:ds="http://schemas.openxmlformats.org/officeDocument/2006/customXml" ds:itemID="{04C317CC-936F-4C19-A051-5F3ED8D7CEE1}">
  <ds:schemaRefs>
    <ds:schemaRef ds:uri="Microsoft.SharePoint.Taxonomy.ContentTypeSync"/>
  </ds:schemaRefs>
</ds:datastoreItem>
</file>

<file path=customXml/itemProps6.xml><?xml version="1.0" encoding="utf-8"?>
<ds:datastoreItem xmlns:ds="http://schemas.openxmlformats.org/officeDocument/2006/customXml" ds:itemID="{CAFE1C96-C393-43CA-929F-A40EF7E6046B}">
  <ds:schemaRefs>
    <ds:schemaRef ds:uri="http://schemas.openxmlformats.org/officeDocument/2006/bibliography"/>
  </ds:schemaRefs>
</ds:datastoreItem>
</file>

<file path=customXml/itemProps7.xml><?xml version="1.0" encoding="utf-8"?>
<ds:datastoreItem xmlns:ds="http://schemas.openxmlformats.org/officeDocument/2006/customXml" ds:itemID="{1CE7BFEB-0EB4-4819-8766-AC2C8ADF9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41</Pages>
  <Words>10521</Words>
  <Characters>59975</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Methane Challenge Best Management Practice Technical Document</vt:lpstr>
    </vt:vector>
  </TitlesOfParts>
  <Company/>
  <LinksUpToDate>false</LinksUpToDate>
  <CharactersWithSpaces>70356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Methane Challenge Best Management Practice Technical Document</dc:title>
  <dc:creator>Natural Gas STAR Methane Challenge Program</dc:creator>
  <cp:lastModifiedBy>Menassian, Sarah</cp:lastModifiedBy>
  <cp:revision>19</cp:revision>
  <cp:lastPrinted>2018-10-05T14:27:00Z</cp:lastPrinted>
  <dcterms:created xsi:type="dcterms:W3CDTF">2021-03-22T19:58:00Z</dcterms:created>
  <dcterms:modified xsi:type="dcterms:W3CDTF">2021-03-25T15:08:00Z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0x010100589950E74566BA4A9E496115F2145A35</vt:lpwstr>
  </property>
  <property fmtid="{D5CDD505-2E9C-101B-9397-08002B2CF9AE}" pid="3" name="Order">
    <vt:r8>94800</vt:r8>
  </property>
  <property fmtid="{D5CDD505-2E9C-101B-9397-08002B2CF9AE}" pid="4" name="TaxKeyword">
    <vt:lpwstr/>
  </property>
  <property fmtid="{D5CDD505-2E9C-101B-9397-08002B2CF9AE}" pid="5" name="Document Type">
    <vt:lpwstr/>
  </property>
  <property fmtid="{D5CDD505-2E9C-101B-9397-08002B2CF9AE}" pid="6" name="_dlc_DocIdItemGuid">
    <vt:lpwstr>f74fe559-7a59-4a92-92f2-bc35658ea185</vt:lpwstr>
  </property>
  <property fmtid="{D5CDD505-2E9C-101B-9397-08002B2CF9AE}" pid="7" name="e3f09c3df709400db2417a7161762d62">
    <vt:lpwstr/>
  </property>
  <property fmtid="{D5CDD505-2E9C-101B-9397-08002B2CF9AE}" pid="8" name="EPA_x0020_Subject">
    <vt:lpwstr/>
  </property>
  <property fmtid="{D5CDD505-2E9C-101B-9397-08002B2CF9AE}" pid="9" name="EPA Subject">
    <vt:lpwstr/>
  </property>
</Properties>
</file>