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637E" w:rsidR="00C64707" w:rsidP="00C64707" w:rsidRDefault="00C64707" w14:paraId="384F3619" w14:textId="77777777">
      <w:pPr>
        <w:shd w:val="clear" w:color="auto" w:fill="FFFFFF"/>
        <w:spacing w:after="0" w:line="240" w:lineRule="auto"/>
        <w:jc w:val="center"/>
        <w:rPr>
          <w:rFonts w:eastAsia="Times New Roman" w:cstheme="minorHAnsi"/>
          <w:sz w:val="24"/>
          <w:szCs w:val="24"/>
        </w:rPr>
      </w:pPr>
      <w:r w:rsidRPr="003A637E">
        <w:rPr>
          <w:rFonts w:eastAsia="Times New Roman" w:cstheme="minorHAnsi"/>
          <w:b/>
          <w:bCs/>
          <w:sz w:val="24"/>
          <w:szCs w:val="24"/>
        </w:rPr>
        <w:t>Supporting Statement A</w:t>
      </w:r>
    </w:p>
    <w:p w:rsidRPr="003A637E" w:rsidR="00C64707" w:rsidP="00C64707" w:rsidRDefault="00D27BD2" w14:paraId="51DB37AB" w14:textId="4BD178AE">
      <w:pPr>
        <w:shd w:val="clear" w:color="auto" w:fill="FFFFFF"/>
        <w:spacing w:after="0" w:line="240" w:lineRule="auto"/>
        <w:jc w:val="center"/>
        <w:rPr>
          <w:rFonts w:eastAsia="Times New Roman" w:cstheme="minorHAnsi"/>
          <w:sz w:val="24"/>
          <w:szCs w:val="24"/>
        </w:rPr>
      </w:pPr>
      <w:r>
        <w:rPr>
          <w:rFonts w:eastAsia="Times New Roman" w:cstheme="minorHAnsi"/>
          <w:b/>
          <w:bCs/>
          <w:sz w:val="24"/>
          <w:szCs w:val="24"/>
        </w:rPr>
        <w:t xml:space="preserve">Unmanned Aircraft Systems (UAS) </w:t>
      </w:r>
      <w:r w:rsidRPr="003A637E" w:rsidR="00667D23">
        <w:rPr>
          <w:rFonts w:eastAsia="Times New Roman" w:cstheme="minorHAnsi"/>
          <w:b/>
          <w:bCs/>
          <w:sz w:val="24"/>
          <w:szCs w:val="24"/>
        </w:rPr>
        <w:t>BEYOND</w:t>
      </w:r>
      <w:r>
        <w:rPr>
          <w:rFonts w:eastAsia="Times New Roman" w:cstheme="minorHAnsi"/>
          <w:b/>
          <w:bCs/>
          <w:sz w:val="24"/>
          <w:szCs w:val="24"/>
        </w:rPr>
        <w:t xml:space="preserve"> </w:t>
      </w:r>
      <w:r w:rsidRPr="003A637E" w:rsidR="00327F44">
        <w:rPr>
          <w:rFonts w:eastAsia="Times New Roman" w:cstheme="minorHAnsi"/>
          <w:b/>
          <w:bCs/>
          <w:sz w:val="24"/>
          <w:szCs w:val="24"/>
        </w:rPr>
        <w:t xml:space="preserve">and </w:t>
      </w:r>
      <w:r>
        <w:rPr>
          <w:rFonts w:eastAsia="Times New Roman" w:cstheme="minorHAnsi"/>
          <w:b/>
          <w:bCs/>
          <w:sz w:val="24"/>
          <w:szCs w:val="24"/>
        </w:rPr>
        <w:t xml:space="preserve">Partnership for Safety </w:t>
      </w:r>
      <w:r w:rsidR="00E020F5">
        <w:rPr>
          <w:rFonts w:eastAsia="Times New Roman" w:cstheme="minorHAnsi"/>
          <w:b/>
          <w:bCs/>
          <w:sz w:val="24"/>
          <w:szCs w:val="24"/>
        </w:rPr>
        <w:t xml:space="preserve">Plan </w:t>
      </w:r>
      <w:r>
        <w:rPr>
          <w:rFonts w:eastAsia="Times New Roman" w:cstheme="minorHAnsi"/>
          <w:b/>
          <w:bCs/>
          <w:sz w:val="24"/>
          <w:szCs w:val="24"/>
        </w:rPr>
        <w:t>(</w:t>
      </w:r>
      <w:r w:rsidRPr="003A637E" w:rsidR="00327F44">
        <w:rPr>
          <w:rFonts w:eastAsia="Times New Roman" w:cstheme="minorHAnsi"/>
          <w:b/>
          <w:bCs/>
          <w:sz w:val="24"/>
          <w:szCs w:val="24"/>
        </w:rPr>
        <w:t>PSP</w:t>
      </w:r>
      <w:r>
        <w:rPr>
          <w:rFonts w:eastAsia="Times New Roman" w:cstheme="minorHAnsi"/>
          <w:b/>
          <w:bCs/>
          <w:sz w:val="24"/>
          <w:szCs w:val="24"/>
        </w:rPr>
        <w:t>)</w:t>
      </w:r>
      <w:r w:rsidRPr="003A637E" w:rsidR="00327F44">
        <w:rPr>
          <w:rFonts w:eastAsia="Times New Roman" w:cstheme="minorHAnsi"/>
          <w:b/>
          <w:bCs/>
          <w:sz w:val="24"/>
          <w:szCs w:val="24"/>
        </w:rPr>
        <w:t xml:space="preserve"> </w:t>
      </w:r>
      <w:r w:rsidR="00514BA9">
        <w:rPr>
          <w:rFonts w:eastAsia="Times New Roman" w:cstheme="minorHAnsi"/>
          <w:b/>
          <w:bCs/>
          <w:sz w:val="24"/>
          <w:szCs w:val="24"/>
        </w:rPr>
        <w:t>Programs</w:t>
      </w:r>
    </w:p>
    <w:p w:rsidR="00C64707" w:rsidP="00C64707" w:rsidRDefault="00C64707" w14:paraId="61F38C1C" w14:textId="6B297381">
      <w:pPr>
        <w:shd w:val="clear" w:color="auto" w:fill="FFFFFF"/>
        <w:spacing w:after="0" w:line="240" w:lineRule="auto"/>
        <w:rPr>
          <w:rFonts w:eastAsia="Times New Roman" w:cstheme="minorHAnsi"/>
          <w:color w:val="555555"/>
          <w:sz w:val="24"/>
          <w:szCs w:val="24"/>
        </w:rPr>
      </w:pPr>
    </w:p>
    <w:p w:rsidRPr="00AD06BC" w:rsidR="00FB1490" w:rsidP="00D33EA9" w:rsidRDefault="00532E55" w14:paraId="38243093" w14:textId="084C450C">
      <w:pPr>
        <w:autoSpaceDE w:val="0"/>
        <w:autoSpaceDN w:val="0"/>
        <w:adjustRightInd w:val="0"/>
        <w:spacing w:after="0" w:line="240" w:lineRule="auto"/>
        <w:rPr>
          <w:rFonts w:ascii="Times New Roman" w:hAnsi="Times New Roman" w:eastAsia="Times New Roman" w:cs="Times New Roman"/>
          <w:bCs/>
          <w:sz w:val="24"/>
          <w:szCs w:val="24"/>
        </w:rPr>
      </w:pPr>
      <w:r w:rsidRPr="00AD06BC">
        <w:rPr>
          <w:rFonts w:ascii="Times New Roman" w:hAnsi="Times New Roman" w:eastAsia="Times New Roman" w:cs="Times New Roman"/>
          <w:sz w:val="24"/>
          <w:szCs w:val="24"/>
        </w:rPr>
        <w:t xml:space="preserve">The purpose of the </w:t>
      </w:r>
      <w:r w:rsidRPr="00AD06BC">
        <w:rPr>
          <w:rFonts w:ascii="Times New Roman" w:hAnsi="Times New Roman" w:eastAsia="Times New Roman" w:cs="Times New Roman"/>
          <w:bCs/>
          <w:sz w:val="24"/>
          <w:szCs w:val="24"/>
        </w:rPr>
        <w:t>Unmanned Aircraft Systems (UAS) BEYOND</w:t>
      </w:r>
      <w:r w:rsidRPr="00AD06BC" w:rsidR="00EA0D44">
        <w:rPr>
          <w:rFonts w:ascii="Times New Roman" w:hAnsi="Times New Roman" w:eastAsia="Times New Roman" w:cs="Times New Roman"/>
          <w:bCs/>
          <w:sz w:val="24"/>
          <w:szCs w:val="24"/>
        </w:rPr>
        <w:t xml:space="preserve"> </w:t>
      </w:r>
      <w:r w:rsidRPr="00AD06BC">
        <w:rPr>
          <w:rFonts w:ascii="Times New Roman" w:hAnsi="Times New Roman" w:eastAsia="Times New Roman" w:cs="Times New Roman"/>
          <w:bCs/>
          <w:sz w:val="24"/>
          <w:szCs w:val="24"/>
        </w:rPr>
        <w:t xml:space="preserve">and Partnership for Safety </w:t>
      </w:r>
      <w:r w:rsidRPr="00AD06BC" w:rsidR="00514BA9">
        <w:rPr>
          <w:rFonts w:ascii="Times New Roman" w:hAnsi="Times New Roman" w:eastAsia="Times New Roman" w:cs="Times New Roman"/>
          <w:bCs/>
          <w:sz w:val="24"/>
          <w:szCs w:val="24"/>
        </w:rPr>
        <w:t xml:space="preserve">Plan </w:t>
      </w:r>
      <w:r w:rsidRPr="00AD06BC">
        <w:rPr>
          <w:rFonts w:ascii="Times New Roman" w:hAnsi="Times New Roman" w:eastAsia="Times New Roman" w:cs="Times New Roman"/>
          <w:bCs/>
          <w:sz w:val="24"/>
          <w:szCs w:val="24"/>
        </w:rPr>
        <w:t xml:space="preserve">(PSP) </w:t>
      </w:r>
      <w:r w:rsidRPr="00AD06BC" w:rsidR="00E020F5">
        <w:rPr>
          <w:rFonts w:ascii="Times New Roman" w:hAnsi="Times New Roman" w:eastAsia="Times New Roman" w:cs="Times New Roman"/>
          <w:bCs/>
          <w:sz w:val="24"/>
          <w:szCs w:val="24"/>
        </w:rPr>
        <w:t xml:space="preserve">programs </w:t>
      </w:r>
      <w:r w:rsidRPr="00AD06BC">
        <w:rPr>
          <w:rFonts w:ascii="Times New Roman" w:hAnsi="Times New Roman" w:eastAsia="Times New Roman" w:cs="Times New Roman"/>
          <w:bCs/>
          <w:sz w:val="24"/>
          <w:szCs w:val="24"/>
        </w:rPr>
        <w:t xml:space="preserve">is </w:t>
      </w:r>
      <w:r w:rsidRPr="00AD06BC" w:rsidR="001C1726">
        <w:rPr>
          <w:rFonts w:ascii="Times New Roman" w:hAnsi="Times New Roman" w:eastAsia="Times New Roman" w:cs="Times New Roman"/>
          <w:bCs/>
          <w:sz w:val="24"/>
          <w:szCs w:val="24"/>
        </w:rPr>
        <w:t xml:space="preserve">for the </w:t>
      </w:r>
      <w:r w:rsidRPr="00AD06BC">
        <w:rPr>
          <w:rFonts w:ascii="Times New Roman" w:hAnsi="Times New Roman" w:eastAsia="Times New Roman" w:cs="Times New Roman"/>
          <w:bCs/>
          <w:sz w:val="24"/>
          <w:szCs w:val="24"/>
        </w:rPr>
        <w:t xml:space="preserve">Federal Aviation Administration (FAA) </w:t>
      </w:r>
      <w:r w:rsidRPr="00AD06BC" w:rsidR="001C1726">
        <w:rPr>
          <w:rFonts w:ascii="Times New Roman" w:hAnsi="Times New Roman" w:eastAsia="Times New Roman" w:cs="Times New Roman"/>
          <w:bCs/>
          <w:sz w:val="24"/>
          <w:szCs w:val="24"/>
        </w:rPr>
        <w:t xml:space="preserve">to work with state, local and tribal </w:t>
      </w:r>
      <w:r w:rsidR="005E3C11">
        <w:rPr>
          <w:rFonts w:ascii="Times New Roman" w:hAnsi="Times New Roman" w:eastAsia="Times New Roman" w:cs="Times New Roman"/>
          <w:bCs/>
          <w:sz w:val="24"/>
          <w:szCs w:val="24"/>
        </w:rPr>
        <w:t xml:space="preserve">(SLT) </w:t>
      </w:r>
      <w:r w:rsidRPr="00AD06BC" w:rsidR="001C1726">
        <w:rPr>
          <w:rFonts w:ascii="Times New Roman" w:hAnsi="Times New Roman" w:eastAsia="Times New Roman" w:cs="Times New Roman"/>
          <w:bCs/>
          <w:sz w:val="24"/>
          <w:szCs w:val="24"/>
        </w:rPr>
        <w:t xml:space="preserve">governments (BEYOND) and private UAS operators (PSP) to work toward full, safe integration of UAS into the national airspace system (NAS). </w:t>
      </w:r>
      <w:r w:rsidR="00D516C7">
        <w:rPr>
          <w:rFonts w:ascii="Times New Roman" w:hAnsi="Times New Roman" w:eastAsia="Times New Roman" w:cs="Times New Roman"/>
          <w:bCs/>
          <w:sz w:val="24"/>
          <w:szCs w:val="24"/>
        </w:rPr>
        <w:t xml:space="preserve">There are eight SLT governments in the BEYOND program and seven industry participants in the PSP program. </w:t>
      </w:r>
      <w:r w:rsidRPr="00AD06BC" w:rsidR="001C1726">
        <w:rPr>
          <w:rFonts w:ascii="Times New Roman" w:hAnsi="Times New Roman" w:eastAsia="Times New Roman" w:cs="Times New Roman"/>
          <w:bCs/>
          <w:sz w:val="24"/>
          <w:szCs w:val="24"/>
        </w:rPr>
        <w:t>The programs have multiple data collections that serve different purposes to help the FAA achieve the goals.</w:t>
      </w:r>
    </w:p>
    <w:p w:rsidRPr="00AD06BC" w:rsidR="001C1726" w:rsidP="00D33EA9" w:rsidRDefault="001C1726" w14:paraId="18B6265C" w14:textId="77777777">
      <w:pPr>
        <w:autoSpaceDE w:val="0"/>
        <w:autoSpaceDN w:val="0"/>
        <w:adjustRightInd w:val="0"/>
        <w:spacing w:after="0" w:line="240" w:lineRule="auto"/>
        <w:rPr>
          <w:rFonts w:ascii="Times New Roman" w:hAnsi="Times New Roman" w:eastAsia="Times New Roman" w:cs="Times New Roman"/>
          <w:bCs/>
          <w:sz w:val="24"/>
          <w:szCs w:val="24"/>
        </w:rPr>
      </w:pPr>
    </w:p>
    <w:p w:rsidR="00ED4D8B" w:rsidP="00D33EA9" w:rsidRDefault="001C1726" w14:paraId="5E3983F4" w14:textId="07D0FA33">
      <w:pPr>
        <w:autoSpaceDE w:val="0"/>
        <w:autoSpaceDN w:val="0"/>
        <w:adjustRightInd w:val="0"/>
        <w:spacing w:after="0" w:line="240" w:lineRule="auto"/>
        <w:rPr>
          <w:rFonts w:ascii="Times New Roman" w:hAnsi="Times New Roman" w:eastAsia="Times New Roman" w:cs="Times New Roman"/>
          <w:bCs/>
          <w:sz w:val="24"/>
          <w:szCs w:val="24"/>
        </w:rPr>
      </w:pPr>
      <w:r w:rsidRPr="00AD06BC">
        <w:rPr>
          <w:rFonts w:ascii="Times New Roman" w:hAnsi="Times New Roman" w:eastAsia="Times New Roman" w:cs="Times New Roman"/>
          <w:bCs/>
          <w:sz w:val="24"/>
          <w:szCs w:val="24"/>
        </w:rPr>
        <w:t>First, there are narrative reports that will provide qualitative, non-statistica</w:t>
      </w:r>
      <w:r w:rsidRPr="00AD06BC" w:rsidR="00ED4D8B">
        <w:rPr>
          <w:rFonts w:ascii="Times New Roman" w:hAnsi="Times New Roman" w:eastAsia="Times New Roman" w:cs="Times New Roman"/>
          <w:bCs/>
          <w:sz w:val="24"/>
          <w:szCs w:val="24"/>
        </w:rPr>
        <w:t xml:space="preserve">l data that will inform the FAA of operational trends, highlight successes and failures and their causes, </w:t>
      </w:r>
      <w:r w:rsidR="007B5485">
        <w:rPr>
          <w:rFonts w:ascii="Times New Roman" w:hAnsi="Times New Roman" w:eastAsia="Times New Roman" w:cs="Times New Roman"/>
          <w:bCs/>
          <w:sz w:val="24"/>
          <w:szCs w:val="24"/>
        </w:rPr>
        <w:t xml:space="preserve">and </w:t>
      </w:r>
      <w:r w:rsidRPr="00AD06BC" w:rsidR="00264952">
        <w:rPr>
          <w:rFonts w:ascii="Times New Roman" w:hAnsi="Times New Roman" w:eastAsia="Times New Roman" w:cs="Times New Roman"/>
          <w:bCs/>
          <w:sz w:val="24"/>
          <w:szCs w:val="24"/>
        </w:rPr>
        <w:t>describe challenges and lessons learned</w:t>
      </w:r>
      <w:r w:rsidRPr="00AD06BC" w:rsidR="00461116">
        <w:rPr>
          <w:rFonts w:ascii="Times New Roman" w:hAnsi="Times New Roman" w:eastAsia="Times New Roman" w:cs="Times New Roman"/>
          <w:bCs/>
          <w:sz w:val="24"/>
          <w:szCs w:val="24"/>
        </w:rPr>
        <w:t>.  These narrative reports are meant to</w:t>
      </w:r>
      <w:r w:rsidRPr="00AD06BC" w:rsidR="00ED4D8B">
        <w:rPr>
          <w:rFonts w:ascii="Times New Roman" w:hAnsi="Times New Roman" w:eastAsia="Times New Roman" w:cs="Times New Roman"/>
          <w:bCs/>
          <w:sz w:val="24"/>
          <w:szCs w:val="24"/>
        </w:rPr>
        <w:t xml:space="preserve"> </w:t>
      </w:r>
      <w:r w:rsidRPr="00AD06BC" w:rsidR="001F185F">
        <w:rPr>
          <w:rFonts w:ascii="Times New Roman" w:hAnsi="Times New Roman" w:eastAsia="Times New Roman" w:cs="Times New Roman"/>
          <w:bCs/>
          <w:sz w:val="24"/>
          <w:szCs w:val="24"/>
        </w:rPr>
        <w:t xml:space="preserve">inform the FAA of progress being made, </w:t>
      </w:r>
      <w:r w:rsidR="00165878">
        <w:rPr>
          <w:rFonts w:ascii="Times New Roman" w:hAnsi="Times New Roman" w:eastAsia="Times New Roman" w:cs="Times New Roman"/>
          <w:bCs/>
          <w:sz w:val="24"/>
          <w:szCs w:val="24"/>
        </w:rPr>
        <w:t xml:space="preserve">to identify </w:t>
      </w:r>
      <w:r w:rsidRPr="00AD06BC" w:rsidR="001F185F">
        <w:rPr>
          <w:rFonts w:ascii="Times New Roman" w:hAnsi="Times New Roman" w:eastAsia="Times New Roman" w:cs="Times New Roman"/>
          <w:bCs/>
          <w:sz w:val="24"/>
          <w:szCs w:val="24"/>
        </w:rPr>
        <w:t xml:space="preserve">where there are challenges or gaps in understanding, and to </w:t>
      </w:r>
      <w:r w:rsidRPr="00AD06BC" w:rsidR="00ED4D8B">
        <w:rPr>
          <w:rFonts w:ascii="Times New Roman" w:hAnsi="Times New Roman" w:eastAsia="Times New Roman" w:cs="Times New Roman"/>
          <w:bCs/>
          <w:sz w:val="24"/>
          <w:szCs w:val="24"/>
        </w:rPr>
        <w:t xml:space="preserve">help the FAA make policy and resource decisions. </w:t>
      </w:r>
      <w:r w:rsidR="005E3C11">
        <w:rPr>
          <w:rFonts w:ascii="Times New Roman" w:hAnsi="Times New Roman" w:eastAsia="Times New Roman" w:cs="Times New Roman"/>
          <w:bCs/>
          <w:sz w:val="24"/>
          <w:szCs w:val="24"/>
        </w:rPr>
        <w:t>Th</w:t>
      </w:r>
      <w:r w:rsidR="00D516C7">
        <w:rPr>
          <w:rFonts w:ascii="Times New Roman" w:hAnsi="Times New Roman" w:eastAsia="Times New Roman" w:cs="Times New Roman"/>
          <w:bCs/>
          <w:sz w:val="24"/>
          <w:szCs w:val="24"/>
        </w:rPr>
        <w:t>e data will be supplied by the eight</w:t>
      </w:r>
      <w:r w:rsidR="005E3C11">
        <w:rPr>
          <w:rFonts w:ascii="Times New Roman" w:hAnsi="Times New Roman" w:eastAsia="Times New Roman" w:cs="Times New Roman"/>
          <w:bCs/>
          <w:sz w:val="24"/>
          <w:szCs w:val="24"/>
        </w:rPr>
        <w:t xml:space="preserve"> SLT governments in the BEYOND program, and the </w:t>
      </w:r>
      <w:r w:rsidR="00D516C7">
        <w:rPr>
          <w:rFonts w:ascii="Times New Roman" w:hAnsi="Times New Roman" w:eastAsia="Times New Roman" w:cs="Times New Roman"/>
          <w:bCs/>
          <w:sz w:val="24"/>
          <w:szCs w:val="24"/>
        </w:rPr>
        <w:t>seven</w:t>
      </w:r>
      <w:r w:rsidR="00043EB3">
        <w:rPr>
          <w:rFonts w:ascii="Times New Roman" w:hAnsi="Times New Roman" w:eastAsia="Times New Roman" w:cs="Times New Roman"/>
          <w:bCs/>
          <w:sz w:val="24"/>
          <w:szCs w:val="24"/>
        </w:rPr>
        <w:t xml:space="preserve"> </w:t>
      </w:r>
      <w:r w:rsidR="005E3C11">
        <w:rPr>
          <w:rFonts w:ascii="Times New Roman" w:hAnsi="Times New Roman" w:eastAsia="Times New Roman" w:cs="Times New Roman"/>
          <w:bCs/>
          <w:sz w:val="24"/>
          <w:szCs w:val="24"/>
        </w:rPr>
        <w:t xml:space="preserve">industry operators in the PSP program. </w:t>
      </w:r>
      <w:r w:rsidRPr="00AD06BC" w:rsidR="00ED4D8B">
        <w:rPr>
          <w:rFonts w:ascii="Times New Roman" w:hAnsi="Times New Roman" w:eastAsia="Times New Roman" w:cs="Times New Roman"/>
          <w:bCs/>
          <w:sz w:val="24"/>
          <w:szCs w:val="24"/>
        </w:rPr>
        <w:t xml:space="preserve">The collection instruments include: </w:t>
      </w:r>
    </w:p>
    <w:p w:rsidRPr="00AD06BC" w:rsidR="00CE7A78" w:rsidP="00D33EA9" w:rsidRDefault="00CE7A78" w14:paraId="3019F98B" w14:textId="77777777">
      <w:pPr>
        <w:autoSpaceDE w:val="0"/>
        <w:autoSpaceDN w:val="0"/>
        <w:adjustRightInd w:val="0"/>
        <w:spacing w:after="0" w:line="240" w:lineRule="auto"/>
        <w:rPr>
          <w:rFonts w:ascii="Times New Roman" w:hAnsi="Times New Roman" w:eastAsia="Times New Roman" w:cs="Times New Roman"/>
          <w:bCs/>
          <w:sz w:val="24"/>
          <w:szCs w:val="24"/>
        </w:rPr>
      </w:pPr>
    </w:p>
    <w:p w:rsidRPr="00AD06BC" w:rsidR="00ED4D8B" w:rsidP="00C143B2" w:rsidRDefault="00ED4D8B" w14:paraId="681AB0F0" w14:textId="77777777">
      <w:pPr>
        <w:pStyle w:val="ListParagraph"/>
        <w:numPr>
          <w:ilvl w:val="0"/>
          <w:numId w:val="9"/>
        </w:numPr>
        <w:adjustRightInd w:val="0"/>
        <w:ind w:left="1080" w:hanging="720"/>
        <w:rPr>
          <w:bCs/>
          <w:sz w:val="24"/>
          <w:szCs w:val="24"/>
        </w:rPr>
      </w:pPr>
      <w:r w:rsidRPr="00AD06BC">
        <w:rPr>
          <w:bCs/>
          <w:sz w:val="24"/>
          <w:szCs w:val="24"/>
        </w:rPr>
        <w:t>PSP Quarterly Reports</w:t>
      </w:r>
    </w:p>
    <w:p w:rsidRPr="00AD06BC" w:rsidR="00ED4D8B" w:rsidDel="00AB3599" w:rsidP="00C143B2" w:rsidRDefault="00ED4D8B" w14:paraId="7D68E78E" w14:textId="48BB0BD0">
      <w:pPr>
        <w:pStyle w:val="ListParagraph"/>
        <w:numPr>
          <w:ilvl w:val="0"/>
          <w:numId w:val="9"/>
        </w:numPr>
        <w:adjustRightInd w:val="0"/>
        <w:ind w:left="1080" w:hanging="720"/>
        <w:rPr>
          <w:bCs/>
          <w:sz w:val="24"/>
          <w:szCs w:val="24"/>
        </w:rPr>
      </w:pPr>
      <w:r w:rsidRPr="00AD06BC" w:rsidDel="00AB3599">
        <w:rPr>
          <w:bCs/>
          <w:sz w:val="24"/>
          <w:szCs w:val="24"/>
        </w:rPr>
        <w:t xml:space="preserve">BEYOND </w:t>
      </w:r>
      <w:r w:rsidRPr="00AD06BC" w:rsidDel="00AB3599" w:rsidR="001C1726">
        <w:rPr>
          <w:bCs/>
          <w:sz w:val="24"/>
          <w:szCs w:val="24"/>
        </w:rPr>
        <w:t>Semi-Annual Reports</w:t>
      </w:r>
    </w:p>
    <w:p w:rsidRPr="00AD06BC" w:rsidR="00ED4D8B" w:rsidP="00C143B2" w:rsidRDefault="00ED4D8B" w14:paraId="4B4B41F8" w14:textId="09ADF8AA">
      <w:pPr>
        <w:pStyle w:val="ListParagraph"/>
        <w:numPr>
          <w:ilvl w:val="0"/>
          <w:numId w:val="9"/>
        </w:numPr>
        <w:adjustRightInd w:val="0"/>
        <w:ind w:left="1080" w:hanging="720"/>
        <w:rPr>
          <w:bCs/>
          <w:sz w:val="24"/>
          <w:szCs w:val="24"/>
        </w:rPr>
      </w:pPr>
      <w:r w:rsidRPr="00AD06BC">
        <w:rPr>
          <w:bCs/>
          <w:sz w:val="24"/>
          <w:szCs w:val="24"/>
        </w:rPr>
        <w:t>BEYOND Final Reports</w:t>
      </w:r>
    </w:p>
    <w:p w:rsidRPr="00AD06BC" w:rsidR="00ED4D8B" w:rsidP="00C143B2" w:rsidRDefault="00ED4D8B" w14:paraId="22FA9CA9" w14:textId="77777777">
      <w:pPr>
        <w:pStyle w:val="ListParagraph"/>
        <w:numPr>
          <w:ilvl w:val="0"/>
          <w:numId w:val="9"/>
        </w:numPr>
        <w:adjustRightInd w:val="0"/>
        <w:ind w:left="1080" w:hanging="720"/>
        <w:rPr>
          <w:bCs/>
          <w:sz w:val="24"/>
          <w:szCs w:val="24"/>
        </w:rPr>
      </w:pPr>
      <w:r w:rsidRPr="00AD06BC">
        <w:rPr>
          <w:bCs/>
          <w:sz w:val="24"/>
          <w:szCs w:val="24"/>
        </w:rPr>
        <w:t>PSP Final Reports</w:t>
      </w:r>
    </w:p>
    <w:p w:rsidRPr="00AD06BC" w:rsidR="001C1726" w:rsidDel="00AB3599" w:rsidP="00C143B2" w:rsidRDefault="00ED4D8B" w14:paraId="57E7BD44" w14:textId="792B1927">
      <w:pPr>
        <w:pStyle w:val="ListParagraph"/>
        <w:numPr>
          <w:ilvl w:val="0"/>
          <w:numId w:val="9"/>
        </w:numPr>
        <w:adjustRightInd w:val="0"/>
        <w:ind w:left="1080" w:hanging="720"/>
        <w:rPr>
          <w:bCs/>
          <w:sz w:val="24"/>
          <w:szCs w:val="24"/>
        </w:rPr>
      </w:pPr>
      <w:r w:rsidRPr="00AD06BC" w:rsidDel="00AB3599">
        <w:rPr>
          <w:bCs/>
          <w:sz w:val="24"/>
          <w:szCs w:val="24"/>
        </w:rPr>
        <w:t xml:space="preserve">BEYOND </w:t>
      </w:r>
      <w:r w:rsidRPr="00AD06BC" w:rsidDel="00AB3599" w:rsidR="001C1726">
        <w:rPr>
          <w:bCs/>
          <w:sz w:val="24"/>
          <w:szCs w:val="24"/>
        </w:rPr>
        <w:t>Program Withdrawal</w:t>
      </w:r>
      <w:r w:rsidRPr="00AD06BC" w:rsidDel="00AB3599">
        <w:rPr>
          <w:bCs/>
          <w:sz w:val="24"/>
          <w:szCs w:val="24"/>
        </w:rPr>
        <w:t xml:space="preserve"> Reports </w:t>
      </w:r>
    </w:p>
    <w:p w:rsidRPr="00AD06BC" w:rsidR="00ED4D8B" w:rsidP="00D33EA9" w:rsidRDefault="00ED4D8B" w14:paraId="4EC14C0C" w14:textId="688F56CD">
      <w:pPr>
        <w:autoSpaceDE w:val="0"/>
        <w:autoSpaceDN w:val="0"/>
        <w:adjustRightInd w:val="0"/>
        <w:spacing w:after="0" w:line="240" w:lineRule="auto"/>
        <w:rPr>
          <w:rFonts w:ascii="Times New Roman" w:hAnsi="Times New Roman" w:eastAsia="Times New Roman" w:cs="Times New Roman"/>
          <w:bCs/>
          <w:sz w:val="24"/>
          <w:szCs w:val="24"/>
        </w:rPr>
      </w:pPr>
    </w:p>
    <w:p w:rsidR="00ED4D8B" w:rsidP="00D33EA9" w:rsidRDefault="00ED4D8B" w14:paraId="5E01ECA2" w14:textId="06739B03">
      <w:pPr>
        <w:autoSpaceDE w:val="0"/>
        <w:autoSpaceDN w:val="0"/>
        <w:adjustRightInd w:val="0"/>
        <w:spacing w:after="0" w:line="240" w:lineRule="auto"/>
        <w:rPr>
          <w:rFonts w:ascii="Times New Roman" w:hAnsi="Times New Roman" w:eastAsia="Times New Roman" w:cs="Times New Roman"/>
          <w:bCs/>
          <w:sz w:val="24"/>
          <w:szCs w:val="24"/>
        </w:rPr>
      </w:pPr>
      <w:r w:rsidRPr="00AD06BC">
        <w:rPr>
          <w:rFonts w:ascii="Times New Roman" w:hAnsi="Times New Roman" w:eastAsia="Times New Roman" w:cs="Times New Roman"/>
          <w:bCs/>
          <w:sz w:val="24"/>
          <w:szCs w:val="24"/>
        </w:rPr>
        <w:t xml:space="preserve">Second, there are systems and operations data submissions which will provide </w:t>
      </w:r>
      <w:r w:rsidR="000E3C36">
        <w:rPr>
          <w:rFonts w:ascii="Times New Roman" w:hAnsi="Times New Roman" w:eastAsia="Times New Roman" w:cs="Times New Roman"/>
          <w:bCs/>
          <w:sz w:val="24"/>
          <w:szCs w:val="24"/>
        </w:rPr>
        <w:t xml:space="preserve">both </w:t>
      </w:r>
      <w:r w:rsidR="00AB3599">
        <w:rPr>
          <w:rFonts w:ascii="Times New Roman" w:hAnsi="Times New Roman" w:eastAsia="Times New Roman" w:cs="Times New Roman"/>
          <w:bCs/>
          <w:sz w:val="24"/>
          <w:szCs w:val="24"/>
        </w:rPr>
        <w:t>quantitative</w:t>
      </w:r>
      <w:r w:rsidR="000E3C36">
        <w:rPr>
          <w:rFonts w:ascii="Times New Roman" w:hAnsi="Times New Roman" w:eastAsia="Times New Roman" w:cs="Times New Roman"/>
          <w:bCs/>
          <w:sz w:val="24"/>
          <w:szCs w:val="24"/>
        </w:rPr>
        <w:t xml:space="preserve"> and qualitative</w:t>
      </w:r>
      <w:r w:rsidRPr="00AD06BC">
        <w:rPr>
          <w:rFonts w:ascii="Times New Roman" w:hAnsi="Times New Roman" w:eastAsia="Times New Roman" w:cs="Times New Roman"/>
          <w:bCs/>
          <w:sz w:val="24"/>
          <w:szCs w:val="24"/>
        </w:rPr>
        <w:t xml:space="preserve"> information about the </w:t>
      </w:r>
      <w:r w:rsidR="000E3C36">
        <w:rPr>
          <w:rFonts w:ascii="Times New Roman" w:hAnsi="Times New Roman" w:eastAsia="Times New Roman" w:cs="Times New Roman"/>
          <w:bCs/>
          <w:sz w:val="24"/>
          <w:szCs w:val="24"/>
        </w:rPr>
        <w:t xml:space="preserve">program participants’ </w:t>
      </w:r>
      <w:r w:rsidR="00AB3599">
        <w:rPr>
          <w:rFonts w:ascii="Times New Roman" w:hAnsi="Times New Roman" w:eastAsia="Times New Roman" w:cs="Times New Roman"/>
          <w:bCs/>
          <w:sz w:val="24"/>
          <w:szCs w:val="24"/>
        </w:rPr>
        <w:t xml:space="preserve">aircraft, </w:t>
      </w:r>
      <w:r w:rsidRPr="00AD06BC">
        <w:rPr>
          <w:rFonts w:ascii="Times New Roman" w:hAnsi="Times New Roman" w:eastAsia="Times New Roman" w:cs="Times New Roman"/>
          <w:bCs/>
          <w:sz w:val="24"/>
          <w:szCs w:val="24"/>
        </w:rPr>
        <w:t xml:space="preserve">flights, </w:t>
      </w:r>
      <w:r w:rsidR="000E3C36">
        <w:rPr>
          <w:rFonts w:ascii="Times New Roman" w:hAnsi="Times New Roman" w:eastAsia="Times New Roman" w:cs="Times New Roman"/>
          <w:bCs/>
          <w:sz w:val="24"/>
          <w:szCs w:val="24"/>
        </w:rPr>
        <w:t xml:space="preserve">corrective </w:t>
      </w:r>
      <w:r w:rsidRPr="00AD06BC">
        <w:rPr>
          <w:rFonts w:ascii="Times New Roman" w:hAnsi="Times New Roman" w:eastAsia="Times New Roman" w:cs="Times New Roman"/>
          <w:bCs/>
          <w:sz w:val="24"/>
          <w:szCs w:val="24"/>
        </w:rPr>
        <w:t>maintenance</w:t>
      </w:r>
      <w:r w:rsidR="000E3C36">
        <w:rPr>
          <w:rFonts w:ascii="Times New Roman" w:hAnsi="Times New Roman" w:eastAsia="Times New Roman" w:cs="Times New Roman"/>
          <w:bCs/>
          <w:sz w:val="24"/>
          <w:szCs w:val="24"/>
        </w:rPr>
        <w:t xml:space="preserve"> actions, off-nominal flight events, and UAS testing activities</w:t>
      </w:r>
      <w:r w:rsidRPr="00AD06BC" w:rsidR="00264952">
        <w:rPr>
          <w:rFonts w:ascii="Times New Roman" w:hAnsi="Times New Roman" w:eastAsia="Times New Roman" w:cs="Times New Roman"/>
          <w:bCs/>
          <w:sz w:val="24"/>
          <w:szCs w:val="24"/>
        </w:rPr>
        <w:t xml:space="preserve">. </w:t>
      </w:r>
      <w:r w:rsidRPr="00AD06BC" w:rsidR="001F185F">
        <w:rPr>
          <w:rFonts w:ascii="Times New Roman" w:hAnsi="Times New Roman" w:eastAsia="Times New Roman" w:cs="Times New Roman"/>
          <w:bCs/>
          <w:sz w:val="24"/>
          <w:szCs w:val="24"/>
        </w:rPr>
        <w:t>T</w:t>
      </w:r>
      <w:r w:rsidRPr="00AD06BC" w:rsidR="0049706C">
        <w:rPr>
          <w:rFonts w:ascii="Times New Roman" w:hAnsi="Times New Roman" w:eastAsia="Times New Roman" w:cs="Times New Roman"/>
          <w:bCs/>
          <w:sz w:val="24"/>
          <w:szCs w:val="24"/>
        </w:rPr>
        <w:t>he</w:t>
      </w:r>
      <w:r w:rsidRPr="00AD06BC" w:rsidR="001F185F">
        <w:rPr>
          <w:rFonts w:ascii="Times New Roman" w:hAnsi="Times New Roman" w:eastAsia="Times New Roman" w:cs="Times New Roman"/>
          <w:bCs/>
          <w:sz w:val="24"/>
          <w:szCs w:val="24"/>
        </w:rPr>
        <w:t xml:space="preserve"> </w:t>
      </w:r>
      <w:r w:rsidRPr="00AD06BC" w:rsidR="0049706C">
        <w:rPr>
          <w:rFonts w:ascii="Times New Roman" w:hAnsi="Times New Roman" w:eastAsia="Times New Roman" w:cs="Times New Roman"/>
          <w:bCs/>
          <w:sz w:val="24"/>
          <w:szCs w:val="24"/>
        </w:rPr>
        <w:t>submissions</w:t>
      </w:r>
      <w:r w:rsidRPr="00AD06BC" w:rsidR="001F185F">
        <w:rPr>
          <w:rFonts w:ascii="Times New Roman" w:hAnsi="Times New Roman" w:eastAsia="Times New Roman" w:cs="Times New Roman"/>
          <w:bCs/>
          <w:sz w:val="24"/>
          <w:szCs w:val="24"/>
        </w:rPr>
        <w:t xml:space="preserve"> are not statistical in nature but are designed to supply </w:t>
      </w:r>
      <w:r w:rsidR="000E3C36">
        <w:rPr>
          <w:rFonts w:ascii="Times New Roman" w:hAnsi="Times New Roman" w:eastAsia="Times New Roman" w:cs="Times New Roman"/>
          <w:bCs/>
          <w:sz w:val="24"/>
          <w:szCs w:val="24"/>
        </w:rPr>
        <w:t>data</w:t>
      </w:r>
      <w:r w:rsidRPr="00AD06BC" w:rsidR="000E3C36">
        <w:rPr>
          <w:rFonts w:ascii="Times New Roman" w:hAnsi="Times New Roman" w:eastAsia="Times New Roman" w:cs="Times New Roman"/>
          <w:bCs/>
          <w:sz w:val="24"/>
          <w:szCs w:val="24"/>
        </w:rPr>
        <w:t xml:space="preserve"> </w:t>
      </w:r>
      <w:r w:rsidRPr="00AD06BC" w:rsidR="001F185F">
        <w:rPr>
          <w:rFonts w:ascii="Times New Roman" w:hAnsi="Times New Roman" w:eastAsia="Times New Roman" w:cs="Times New Roman"/>
          <w:bCs/>
          <w:sz w:val="24"/>
          <w:szCs w:val="24"/>
        </w:rPr>
        <w:t xml:space="preserve">that will help </w:t>
      </w:r>
      <w:r w:rsidR="000E3C36">
        <w:rPr>
          <w:rFonts w:ascii="Times New Roman" w:hAnsi="Times New Roman" w:eastAsia="Times New Roman" w:cs="Times New Roman"/>
          <w:bCs/>
          <w:sz w:val="24"/>
          <w:szCs w:val="24"/>
        </w:rPr>
        <w:t>inform</w:t>
      </w:r>
      <w:r w:rsidRPr="00AD06BC" w:rsidR="001F185F">
        <w:rPr>
          <w:rFonts w:ascii="Times New Roman" w:hAnsi="Times New Roman" w:eastAsia="Times New Roman" w:cs="Times New Roman"/>
          <w:bCs/>
          <w:sz w:val="24"/>
          <w:szCs w:val="24"/>
        </w:rPr>
        <w:t xml:space="preserve"> policy </w:t>
      </w:r>
      <w:r w:rsidR="000E3C36">
        <w:rPr>
          <w:rFonts w:ascii="Times New Roman" w:hAnsi="Times New Roman" w:eastAsia="Times New Roman" w:cs="Times New Roman"/>
          <w:bCs/>
          <w:sz w:val="24"/>
          <w:szCs w:val="24"/>
        </w:rPr>
        <w:t>and standards related to UAS pilots flying their aircraft beyond their visual line of sight.</w:t>
      </w:r>
      <w:r w:rsidRPr="00AD06BC" w:rsidR="001F185F">
        <w:rPr>
          <w:rFonts w:ascii="Times New Roman" w:hAnsi="Times New Roman" w:eastAsia="Times New Roman" w:cs="Times New Roman"/>
          <w:bCs/>
          <w:sz w:val="24"/>
          <w:szCs w:val="24"/>
        </w:rPr>
        <w:t xml:space="preserve">  </w:t>
      </w:r>
      <w:r w:rsidR="00D516C7">
        <w:rPr>
          <w:rFonts w:ascii="Times New Roman" w:hAnsi="Times New Roman" w:eastAsia="Times New Roman" w:cs="Times New Roman"/>
          <w:bCs/>
          <w:sz w:val="24"/>
          <w:szCs w:val="24"/>
        </w:rPr>
        <w:t>The data will be supplied by the eight SLT governments in the BEYOND program, and the seven industry operators in the PSP program.</w:t>
      </w:r>
      <w:r w:rsidR="005E3C11">
        <w:rPr>
          <w:rFonts w:ascii="Times New Roman" w:hAnsi="Times New Roman" w:eastAsia="Times New Roman" w:cs="Times New Roman"/>
          <w:bCs/>
          <w:sz w:val="24"/>
          <w:szCs w:val="24"/>
        </w:rPr>
        <w:t xml:space="preserve"> </w:t>
      </w:r>
      <w:r w:rsidRPr="00AD06BC" w:rsidR="00264952">
        <w:rPr>
          <w:rFonts w:ascii="Times New Roman" w:hAnsi="Times New Roman" w:eastAsia="Times New Roman" w:cs="Times New Roman"/>
          <w:bCs/>
          <w:sz w:val="24"/>
          <w:szCs w:val="24"/>
        </w:rPr>
        <w:t>The collection instruments include:</w:t>
      </w:r>
    </w:p>
    <w:p w:rsidRPr="00AD06BC" w:rsidR="00CE7A78" w:rsidP="00D33EA9" w:rsidRDefault="00CE7A78" w14:paraId="08A6F94E" w14:textId="77777777">
      <w:pPr>
        <w:autoSpaceDE w:val="0"/>
        <w:autoSpaceDN w:val="0"/>
        <w:adjustRightInd w:val="0"/>
        <w:spacing w:after="0" w:line="240" w:lineRule="auto"/>
        <w:rPr>
          <w:rFonts w:ascii="Times New Roman" w:hAnsi="Times New Roman" w:eastAsia="Times New Roman" w:cs="Times New Roman"/>
          <w:bCs/>
          <w:sz w:val="24"/>
          <w:szCs w:val="24"/>
        </w:rPr>
      </w:pPr>
    </w:p>
    <w:p w:rsidR="00264952" w:rsidP="00C143B2" w:rsidRDefault="00264952" w14:paraId="159D29B7" w14:textId="1C0E7F4F">
      <w:pPr>
        <w:pStyle w:val="ListParagraph"/>
        <w:numPr>
          <w:ilvl w:val="0"/>
          <w:numId w:val="9"/>
        </w:numPr>
        <w:adjustRightInd w:val="0"/>
        <w:ind w:left="1080" w:hanging="720"/>
        <w:rPr>
          <w:bCs/>
          <w:sz w:val="24"/>
          <w:szCs w:val="24"/>
        </w:rPr>
      </w:pPr>
      <w:r w:rsidRPr="00AD06BC">
        <w:rPr>
          <w:bCs/>
          <w:sz w:val="24"/>
          <w:szCs w:val="24"/>
        </w:rPr>
        <w:t xml:space="preserve">UAS </w:t>
      </w:r>
      <w:r w:rsidRPr="00AD06BC" w:rsidR="00AB3599">
        <w:rPr>
          <w:bCs/>
          <w:sz w:val="24"/>
          <w:szCs w:val="24"/>
        </w:rPr>
        <w:t xml:space="preserve">Characteristics Reports </w:t>
      </w:r>
    </w:p>
    <w:p w:rsidRPr="00832B9F" w:rsidR="00832B9F" w:rsidP="00C143B2" w:rsidRDefault="00832B9F" w14:paraId="573E48FB" w14:textId="37B363A3">
      <w:pPr>
        <w:pStyle w:val="ListParagraph"/>
        <w:numPr>
          <w:ilvl w:val="0"/>
          <w:numId w:val="9"/>
        </w:numPr>
        <w:adjustRightInd w:val="0"/>
        <w:ind w:left="1080" w:hanging="720"/>
        <w:rPr>
          <w:bCs/>
          <w:sz w:val="24"/>
          <w:szCs w:val="24"/>
        </w:rPr>
      </w:pPr>
      <w:r w:rsidRPr="00AD06BC">
        <w:rPr>
          <w:bCs/>
          <w:sz w:val="24"/>
          <w:szCs w:val="24"/>
        </w:rPr>
        <w:t xml:space="preserve">UAS </w:t>
      </w:r>
      <w:r w:rsidR="00E71CB4">
        <w:rPr>
          <w:bCs/>
          <w:sz w:val="24"/>
          <w:szCs w:val="24"/>
        </w:rPr>
        <w:t xml:space="preserve">Monthly </w:t>
      </w:r>
      <w:r w:rsidRPr="00AD06BC" w:rsidR="00AB3599">
        <w:rPr>
          <w:bCs/>
          <w:sz w:val="24"/>
          <w:szCs w:val="24"/>
        </w:rPr>
        <w:t>Operational Flight Reports</w:t>
      </w:r>
      <w:r w:rsidRPr="00AD06BC" w:rsidDel="00AB3599" w:rsidR="00AB3599">
        <w:rPr>
          <w:bCs/>
          <w:sz w:val="24"/>
          <w:szCs w:val="24"/>
        </w:rPr>
        <w:t xml:space="preserve"> </w:t>
      </w:r>
    </w:p>
    <w:p w:rsidRPr="005E3C11" w:rsidR="005E3C11" w:rsidP="00C143B2" w:rsidRDefault="005E3C11" w14:paraId="17E54AB1" w14:textId="15EBAE83">
      <w:pPr>
        <w:pStyle w:val="ListParagraph"/>
        <w:numPr>
          <w:ilvl w:val="0"/>
          <w:numId w:val="9"/>
        </w:numPr>
        <w:adjustRightInd w:val="0"/>
        <w:ind w:left="1080" w:hanging="720"/>
        <w:rPr>
          <w:bCs/>
          <w:sz w:val="24"/>
          <w:szCs w:val="24"/>
        </w:rPr>
      </w:pPr>
      <w:r w:rsidRPr="00AD06BC">
        <w:rPr>
          <w:bCs/>
          <w:sz w:val="24"/>
          <w:szCs w:val="24"/>
        </w:rPr>
        <w:t xml:space="preserve">UAS </w:t>
      </w:r>
      <w:r w:rsidRPr="00AD06BC" w:rsidR="00AB3599">
        <w:rPr>
          <w:bCs/>
          <w:sz w:val="24"/>
          <w:szCs w:val="24"/>
        </w:rPr>
        <w:t>Maintenance Reports</w:t>
      </w:r>
      <w:r w:rsidRPr="00AD06BC" w:rsidDel="00AB3599" w:rsidR="00AB3599">
        <w:rPr>
          <w:bCs/>
          <w:sz w:val="24"/>
          <w:szCs w:val="24"/>
        </w:rPr>
        <w:t xml:space="preserve"> </w:t>
      </w:r>
    </w:p>
    <w:p w:rsidRPr="00AD06BC" w:rsidR="00264952" w:rsidP="00C143B2" w:rsidRDefault="00264952" w14:paraId="2CB95024" w14:textId="78956F8C">
      <w:pPr>
        <w:pStyle w:val="ListParagraph"/>
        <w:numPr>
          <w:ilvl w:val="0"/>
          <w:numId w:val="9"/>
        </w:numPr>
        <w:adjustRightInd w:val="0"/>
        <w:ind w:left="1080" w:hanging="720"/>
        <w:rPr>
          <w:bCs/>
          <w:sz w:val="24"/>
          <w:szCs w:val="24"/>
        </w:rPr>
      </w:pPr>
      <w:r w:rsidRPr="00AD06BC">
        <w:rPr>
          <w:bCs/>
          <w:sz w:val="24"/>
          <w:szCs w:val="24"/>
        </w:rPr>
        <w:t>UAS Flight Anomaly Reports</w:t>
      </w:r>
    </w:p>
    <w:p w:rsidRPr="00AD06BC" w:rsidR="00264952" w:rsidP="00C143B2" w:rsidRDefault="00264952" w14:paraId="4EE7E7A3" w14:textId="0D9289DF">
      <w:pPr>
        <w:pStyle w:val="ListParagraph"/>
        <w:numPr>
          <w:ilvl w:val="0"/>
          <w:numId w:val="9"/>
        </w:numPr>
        <w:adjustRightInd w:val="0"/>
        <w:ind w:left="1080" w:hanging="720"/>
        <w:rPr>
          <w:bCs/>
          <w:sz w:val="24"/>
          <w:szCs w:val="24"/>
        </w:rPr>
      </w:pPr>
      <w:r w:rsidRPr="00AD06BC">
        <w:rPr>
          <w:bCs/>
          <w:sz w:val="24"/>
          <w:szCs w:val="24"/>
        </w:rPr>
        <w:t xml:space="preserve">UAS </w:t>
      </w:r>
      <w:r w:rsidRPr="00AD06BC" w:rsidR="00AB3599">
        <w:rPr>
          <w:bCs/>
          <w:sz w:val="24"/>
          <w:szCs w:val="24"/>
        </w:rPr>
        <w:t>Test Data Reports</w:t>
      </w:r>
      <w:r w:rsidRPr="00AD06BC" w:rsidDel="00AB3599" w:rsidR="00AB3599">
        <w:rPr>
          <w:bCs/>
          <w:sz w:val="24"/>
          <w:szCs w:val="24"/>
        </w:rPr>
        <w:t xml:space="preserve"> </w:t>
      </w:r>
    </w:p>
    <w:p w:rsidRPr="00AD06BC" w:rsidR="001F185F" w:rsidP="001F185F" w:rsidRDefault="001F185F" w14:paraId="2064B26F" w14:textId="77777777">
      <w:pPr>
        <w:pStyle w:val="ListParagraph"/>
        <w:numPr>
          <w:ilvl w:val="0"/>
          <w:numId w:val="0"/>
        </w:numPr>
        <w:adjustRightInd w:val="0"/>
        <w:ind w:left="1080"/>
        <w:rPr>
          <w:bCs/>
          <w:sz w:val="24"/>
          <w:szCs w:val="24"/>
        </w:rPr>
      </w:pPr>
    </w:p>
    <w:p w:rsidRPr="00AD06BC" w:rsidR="0049706C" w:rsidP="00264952" w:rsidRDefault="00264952" w14:paraId="6C360191" w14:textId="5C51013D">
      <w:pPr>
        <w:adjustRightInd w:val="0"/>
        <w:rPr>
          <w:rFonts w:ascii="Times New Roman" w:hAnsi="Times New Roman" w:cs="Times New Roman"/>
          <w:sz w:val="24"/>
          <w:szCs w:val="24"/>
        </w:rPr>
      </w:pPr>
      <w:r w:rsidRPr="00AD06BC">
        <w:rPr>
          <w:rFonts w:ascii="Times New Roman" w:hAnsi="Times New Roman" w:cs="Times New Roman"/>
          <w:bCs/>
          <w:sz w:val="24"/>
          <w:szCs w:val="24"/>
        </w:rPr>
        <w:t xml:space="preserve">Third, there are societal and economic data submissions that will provide </w:t>
      </w:r>
      <w:r w:rsidRPr="00AD06BC" w:rsidR="0049706C">
        <w:rPr>
          <w:rFonts w:ascii="Times New Roman" w:hAnsi="Times New Roman" w:cs="Times New Roman"/>
          <w:bCs/>
          <w:sz w:val="24"/>
          <w:szCs w:val="24"/>
        </w:rPr>
        <w:t xml:space="preserve">qualitative and </w:t>
      </w:r>
      <w:r w:rsidRPr="00AD06BC">
        <w:rPr>
          <w:rFonts w:ascii="Times New Roman" w:hAnsi="Times New Roman" w:cs="Times New Roman"/>
          <w:bCs/>
          <w:sz w:val="24"/>
          <w:szCs w:val="24"/>
        </w:rPr>
        <w:t xml:space="preserve">quantitative data regarding the potential societal and economic impacts of participant UAS operations. </w:t>
      </w:r>
      <w:r w:rsidRPr="00AD06BC" w:rsidR="0049706C">
        <w:rPr>
          <w:rFonts w:ascii="Times New Roman" w:hAnsi="Times New Roman" w:cs="Times New Roman"/>
          <w:bCs/>
          <w:sz w:val="24"/>
          <w:szCs w:val="24"/>
        </w:rPr>
        <w:t xml:space="preserve"> </w:t>
      </w:r>
      <w:r w:rsidRPr="00AD06BC" w:rsidR="0049706C">
        <w:rPr>
          <w:rFonts w:ascii="Times New Roman" w:hAnsi="Times New Roman" w:cs="Times New Roman"/>
          <w:sz w:val="24"/>
          <w:szCs w:val="24"/>
        </w:rPr>
        <w:t xml:space="preserve">These are non-statistical reports that provide </w:t>
      </w:r>
      <w:r w:rsidR="0062100C">
        <w:rPr>
          <w:rFonts w:ascii="Times New Roman" w:hAnsi="Times New Roman" w:cs="Times New Roman"/>
          <w:sz w:val="24"/>
          <w:szCs w:val="24"/>
        </w:rPr>
        <w:t>insight into</w:t>
      </w:r>
      <w:r w:rsidRPr="00AD06BC" w:rsidR="0049706C">
        <w:rPr>
          <w:rFonts w:ascii="Times New Roman" w:hAnsi="Times New Roman" w:cs="Times New Roman"/>
          <w:sz w:val="24"/>
          <w:szCs w:val="24"/>
        </w:rPr>
        <w:t xml:space="preserve"> </w:t>
      </w:r>
      <w:r w:rsidRPr="00AD06BC" w:rsidR="00BA0A23">
        <w:rPr>
          <w:rFonts w:ascii="Times New Roman" w:hAnsi="Times New Roman" w:cs="Times New Roman"/>
          <w:sz w:val="24"/>
          <w:szCs w:val="24"/>
        </w:rPr>
        <w:t xml:space="preserve">the types of societal and economic benefits or </w:t>
      </w:r>
      <w:r w:rsidR="0062100C">
        <w:rPr>
          <w:rFonts w:ascii="Times New Roman" w:hAnsi="Times New Roman" w:cs="Times New Roman"/>
          <w:sz w:val="24"/>
          <w:szCs w:val="24"/>
        </w:rPr>
        <w:t>detriments</w:t>
      </w:r>
      <w:r w:rsidRPr="00AD06BC" w:rsidR="00BA0A23">
        <w:rPr>
          <w:rFonts w:ascii="Times New Roman" w:hAnsi="Times New Roman" w:cs="Times New Roman"/>
          <w:sz w:val="24"/>
          <w:szCs w:val="24"/>
        </w:rPr>
        <w:t xml:space="preserve"> the</w:t>
      </w:r>
      <w:r w:rsidR="0062100C">
        <w:rPr>
          <w:rFonts w:ascii="Times New Roman" w:hAnsi="Times New Roman" w:cs="Times New Roman"/>
          <w:sz w:val="24"/>
          <w:szCs w:val="24"/>
        </w:rPr>
        <w:t xml:space="preserve"> participants’ UAS operations</w:t>
      </w:r>
      <w:r w:rsidRPr="00AD06BC" w:rsidR="00BA0A23">
        <w:rPr>
          <w:rFonts w:ascii="Times New Roman" w:hAnsi="Times New Roman" w:cs="Times New Roman"/>
          <w:sz w:val="24"/>
          <w:szCs w:val="24"/>
        </w:rPr>
        <w:t xml:space="preserve"> are having on their communities</w:t>
      </w:r>
      <w:r w:rsidR="0062100C">
        <w:rPr>
          <w:rFonts w:ascii="Times New Roman" w:hAnsi="Times New Roman" w:cs="Times New Roman"/>
          <w:sz w:val="24"/>
          <w:szCs w:val="24"/>
        </w:rPr>
        <w:t xml:space="preserve"> and their business operations</w:t>
      </w:r>
      <w:r w:rsidR="00712F00">
        <w:rPr>
          <w:rFonts w:ascii="Times New Roman" w:hAnsi="Times New Roman" w:cs="Times New Roman"/>
          <w:sz w:val="24"/>
          <w:szCs w:val="24"/>
        </w:rPr>
        <w:t xml:space="preserve"> compared to non-UAS (legacy) operations</w:t>
      </w:r>
      <w:r w:rsidRPr="00AD06BC" w:rsidR="00BA0A23">
        <w:rPr>
          <w:rFonts w:ascii="Times New Roman" w:hAnsi="Times New Roman" w:cs="Times New Roman"/>
          <w:sz w:val="24"/>
          <w:szCs w:val="24"/>
        </w:rPr>
        <w:t>.</w:t>
      </w:r>
      <w:r w:rsidRPr="00AD06BC" w:rsidR="0049706C">
        <w:rPr>
          <w:rFonts w:ascii="Times New Roman" w:hAnsi="Times New Roman" w:cs="Times New Roman"/>
          <w:sz w:val="24"/>
          <w:szCs w:val="24"/>
        </w:rPr>
        <w:t xml:space="preserve"> </w:t>
      </w:r>
      <w:r w:rsidRPr="00AD06BC" w:rsidR="0049706C">
        <w:rPr>
          <w:rFonts w:ascii="Times New Roman" w:hAnsi="Times New Roman" w:cs="Times New Roman"/>
          <w:bCs/>
          <w:sz w:val="24"/>
          <w:szCs w:val="24"/>
        </w:rPr>
        <w:t xml:space="preserve">These submissions will help to </w:t>
      </w:r>
      <w:r w:rsidRPr="00AD06BC" w:rsidR="0049706C">
        <w:rPr>
          <w:rFonts w:ascii="Times New Roman" w:hAnsi="Times New Roman" w:cs="Times New Roman"/>
          <w:sz w:val="24"/>
          <w:szCs w:val="24"/>
        </w:rPr>
        <w:t xml:space="preserve">inform FAA policy and decision-making toward integrating different types of operations into the NAS, and to inform discussions with the public on the </w:t>
      </w:r>
      <w:r w:rsidRPr="00AD06BC" w:rsidR="00BA0A23">
        <w:rPr>
          <w:rFonts w:ascii="Times New Roman" w:hAnsi="Times New Roman" w:cs="Times New Roman"/>
          <w:sz w:val="24"/>
          <w:szCs w:val="24"/>
        </w:rPr>
        <w:t xml:space="preserve">potential </w:t>
      </w:r>
      <w:r w:rsidRPr="00AD06BC" w:rsidR="0049706C">
        <w:rPr>
          <w:rFonts w:ascii="Times New Roman" w:hAnsi="Times New Roman" w:cs="Times New Roman"/>
          <w:sz w:val="24"/>
          <w:szCs w:val="24"/>
        </w:rPr>
        <w:lastRenderedPageBreak/>
        <w:t xml:space="preserve">benefits of using UAS. </w:t>
      </w:r>
      <w:r w:rsidR="00D516C7">
        <w:rPr>
          <w:rFonts w:ascii="Times New Roman" w:hAnsi="Times New Roman" w:eastAsia="Times New Roman" w:cs="Times New Roman"/>
          <w:bCs/>
          <w:sz w:val="24"/>
          <w:szCs w:val="24"/>
        </w:rPr>
        <w:t>The data will be supplied by the eight SLT governments in the BEYOND program, and the seven industry operators in the PSP program.</w:t>
      </w:r>
      <w:r w:rsidR="005E3C11">
        <w:rPr>
          <w:rFonts w:ascii="Times New Roman" w:hAnsi="Times New Roman" w:eastAsia="Times New Roman" w:cs="Times New Roman"/>
          <w:bCs/>
          <w:sz w:val="24"/>
          <w:szCs w:val="24"/>
        </w:rPr>
        <w:t xml:space="preserve"> </w:t>
      </w:r>
      <w:r w:rsidRPr="00AD06BC" w:rsidR="0049706C">
        <w:rPr>
          <w:rFonts w:ascii="Times New Roman" w:hAnsi="Times New Roman" w:cs="Times New Roman"/>
          <w:sz w:val="24"/>
          <w:szCs w:val="24"/>
        </w:rPr>
        <w:t>The collection instrument</w:t>
      </w:r>
      <w:r w:rsidR="006A7F47">
        <w:rPr>
          <w:rFonts w:ascii="Times New Roman" w:hAnsi="Times New Roman" w:cs="Times New Roman"/>
          <w:sz w:val="24"/>
          <w:szCs w:val="24"/>
        </w:rPr>
        <w:t>s</w:t>
      </w:r>
      <w:r w:rsidRPr="00AD06BC" w:rsidR="0049706C">
        <w:rPr>
          <w:rFonts w:ascii="Times New Roman" w:hAnsi="Times New Roman" w:cs="Times New Roman"/>
          <w:sz w:val="24"/>
          <w:szCs w:val="24"/>
        </w:rPr>
        <w:t xml:space="preserve"> </w:t>
      </w:r>
      <w:r w:rsidRPr="00AD06BC" w:rsidR="00BA0A23">
        <w:rPr>
          <w:rFonts w:ascii="Times New Roman" w:hAnsi="Times New Roman" w:cs="Times New Roman"/>
          <w:sz w:val="24"/>
          <w:szCs w:val="24"/>
        </w:rPr>
        <w:t>include:</w:t>
      </w:r>
    </w:p>
    <w:p w:rsidR="0049706C" w:rsidP="00C143B2" w:rsidRDefault="00712F00" w14:paraId="13E19B7B" w14:textId="6BB1EF51">
      <w:pPr>
        <w:pStyle w:val="ListParagraph"/>
        <w:numPr>
          <w:ilvl w:val="0"/>
          <w:numId w:val="9"/>
        </w:numPr>
        <w:adjustRightInd w:val="0"/>
        <w:ind w:left="1080" w:hanging="720"/>
        <w:rPr>
          <w:bCs/>
          <w:sz w:val="24"/>
          <w:szCs w:val="24"/>
        </w:rPr>
      </w:pPr>
      <w:r>
        <w:rPr>
          <w:bCs/>
          <w:sz w:val="24"/>
          <w:szCs w:val="24"/>
        </w:rPr>
        <w:t xml:space="preserve">Legacy </w:t>
      </w:r>
      <w:r w:rsidRPr="00AD06BC" w:rsidR="0049706C">
        <w:rPr>
          <w:bCs/>
          <w:sz w:val="24"/>
          <w:szCs w:val="24"/>
        </w:rPr>
        <w:t>Societal and Economic Data Reports</w:t>
      </w:r>
    </w:p>
    <w:p w:rsidRPr="00AD06BC" w:rsidR="00712F00" w:rsidP="00C143B2" w:rsidRDefault="00712F00" w14:paraId="2436F1D6" w14:textId="612DE876">
      <w:pPr>
        <w:pStyle w:val="ListParagraph"/>
        <w:numPr>
          <w:ilvl w:val="0"/>
          <w:numId w:val="9"/>
        </w:numPr>
        <w:adjustRightInd w:val="0"/>
        <w:ind w:left="1080" w:hanging="720"/>
        <w:rPr>
          <w:bCs/>
          <w:sz w:val="24"/>
          <w:szCs w:val="24"/>
        </w:rPr>
      </w:pPr>
      <w:r>
        <w:rPr>
          <w:bCs/>
          <w:sz w:val="24"/>
          <w:szCs w:val="24"/>
        </w:rPr>
        <w:t>UAS Societal and Economic Data Reports</w:t>
      </w:r>
    </w:p>
    <w:p w:rsidRPr="00AD06BC" w:rsidR="00BA0A23" w:rsidP="00BA0A23" w:rsidRDefault="00BA0A23" w14:paraId="662EEDC1" w14:textId="77777777">
      <w:pPr>
        <w:pStyle w:val="ListParagraph"/>
        <w:numPr>
          <w:ilvl w:val="0"/>
          <w:numId w:val="0"/>
        </w:numPr>
        <w:adjustRightInd w:val="0"/>
        <w:ind w:left="1080"/>
        <w:rPr>
          <w:bCs/>
          <w:sz w:val="24"/>
          <w:szCs w:val="24"/>
        </w:rPr>
      </w:pPr>
    </w:p>
    <w:p w:rsidRPr="00AD06BC" w:rsidR="0049706C" w:rsidP="00264952" w:rsidRDefault="0049706C" w14:paraId="0AEAECE9" w14:textId="0A1F6AF9">
      <w:pPr>
        <w:adjustRightInd w:val="0"/>
        <w:rPr>
          <w:rFonts w:ascii="Times New Roman" w:hAnsi="Times New Roman" w:cs="Times New Roman"/>
          <w:sz w:val="24"/>
          <w:szCs w:val="24"/>
        </w:rPr>
      </w:pPr>
      <w:r w:rsidRPr="00AD06BC">
        <w:rPr>
          <w:rFonts w:ascii="Times New Roman" w:hAnsi="Times New Roman" w:cs="Times New Roman"/>
          <w:sz w:val="24"/>
          <w:szCs w:val="24"/>
        </w:rPr>
        <w:t xml:space="preserve">Fourth, there </w:t>
      </w:r>
      <w:r w:rsidR="00043EB3">
        <w:rPr>
          <w:rFonts w:ascii="Times New Roman" w:hAnsi="Times New Roman" w:cs="Times New Roman"/>
          <w:sz w:val="24"/>
          <w:szCs w:val="24"/>
        </w:rPr>
        <w:t>is a community engagement component to the programs which includes two separate, but related</w:t>
      </w:r>
      <w:r w:rsidR="007E10FD">
        <w:rPr>
          <w:rFonts w:ascii="Times New Roman" w:hAnsi="Times New Roman" w:cs="Times New Roman"/>
          <w:sz w:val="24"/>
          <w:szCs w:val="24"/>
        </w:rPr>
        <w:t>,</w:t>
      </w:r>
      <w:r w:rsidR="00043EB3">
        <w:rPr>
          <w:rFonts w:ascii="Times New Roman" w:hAnsi="Times New Roman" w:cs="Times New Roman"/>
          <w:sz w:val="24"/>
          <w:szCs w:val="24"/>
        </w:rPr>
        <w:t xml:space="preserve"> collections.  One of these </w:t>
      </w:r>
      <w:r w:rsidR="007E10FD">
        <w:rPr>
          <w:rFonts w:ascii="Times New Roman" w:hAnsi="Times New Roman" w:cs="Times New Roman"/>
          <w:sz w:val="24"/>
          <w:szCs w:val="24"/>
        </w:rPr>
        <w:t>is the</w:t>
      </w:r>
      <w:r w:rsidRPr="00AD06BC" w:rsidR="00BA0A23">
        <w:rPr>
          <w:rFonts w:ascii="Times New Roman" w:hAnsi="Times New Roman" w:cs="Times New Roman"/>
          <w:sz w:val="24"/>
          <w:szCs w:val="24"/>
        </w:rPr>
        <w:t xml:space="preserve"> </w:t>
      </w:r>
      <w:r w:rsidR="00D516C7">
        <w:rPr>
          <w:rFonts w:ascii="Times New Roman" w:hAnsi="Times New Roman" w:cs="Times New Roman"/>
          <w:sz w:val="24"/>
          <w:szCs w:val="24"/>
        </w:rPr>
        <w:t>reports</w:t>
      </w:r>
      <w:r w:rsidRPr="00AD06BC" w:rsidR="00BA0A23">
        <w:rPr>
          <w:rFonts w:ascii="Times New Roman" w:hAnsi="Times New Roman" w:cs="Times New Roman"/>
          <w:sz w:val="24"/>
          <w:szCs w:val="24"/>
        </w:rPr>
        <w:t xml:space="preserve"> that will provide qualitative and quantitative data regarding </w:t>
      </w:r>
      <w:r w:rsidR="007E10FD">
        <w:rPr>
          <w:rFonts w:ascii="Times New Roman" w:hAnsi="Times New Roman" w:cs="Times New Roman"/>
          <w:sz w:val="24"/>
          <w:szCs w:val="24"/>
        </w:rPr>
        <w:t xml:space="preserve">the </w:t>
      </w:r>
      <w:r w:rsidRPr="00AD06BC" w:rsidR="00BA0A23">
        <w:rPr>
          <w:rFonts w:ascii="Times New Roman" w:hAnsi="Times New Roman" w:cs="Times New Roman"/>
          <w:sz w:val="24"/>
          <w:szCs w:val="24"/>
        </w:rPr>
        <w:t>participant</w:t>
      </w:r>
      <w:r w:rsidR="007E10FD">
        <w:rPr>
          <w:rFonts w:ascii="Times New Roman" w:hAnsi="Times New Roman" w:cs="Times New Roman"/>
          <w:sz w:val="24"/>
          <w:szCs w:val="24"/>
        </w:rPr>
        <w:t>s’</w:t>
      </w:r>
      <w:r w:rsidRPr="00AD06BC" w:rsidR="00BA0A23">
        <w:rPr>
          <w:rFonts w:ascii="Times New Roman" w:hAnsi="Times New Roman" w:cs="Times New Roman"/>
          <w:sz w:val="24"/>
          <w:szCs w:val="24"/>
        </w:rPr>
        <w:t xml:space="preserve"> community outreach activities, including the types of activities, </w:t>
      </w:r>
      <w:r w:rsidR="007E10FD">
        <w:rPr>
          <w:rFonts w:ascii="Times New Roman" w:hAnsi="Times New Roman" w:cs="Times New Roman"/>
          <w:sz w:val="24"/>
          <w:szCs w:val="24"/>
        </w:rPr>
        <w:t>the targeted audiences</w:t>
      </w:r>
      <w:r w:rsidRPr="00AD06BC" w:rsidR="00BA0A23">
        <w:rPr>
          <w:rFonts w:ascii="Times New Roman" w:hAnsi="Times New Roman" w:cs="Times New Roman"/>
          <w:sz w:val="24"/>
          <w:szCs w:val="24"/>
        </w:rPr>
        <w:t xml:space="preserve">, </w:t>
      </w:r>
      <w:r w:rsidR="007E10FD">
        <w:rPr>
          <w:rFonts w:ascii="Times New Roman" w:hAnsi="Times New Roman" w:cs="Times New Roman"/>
          <w:sz w:val="24"/>
          <w:szCs w:val="24"/>
        </w:rPr>
        <w:t xml:space="preserve">and the </w:t>
      </w:r>
      <w:r w:rsidRPr="00AD06BC" w:rsidR="00BA0A23">
        <w:rPr>
          <w:rFonts w:ascii="Times New Roman" w:hAnsi="Times New Roman" w:cs="Times New Roman"/>
          <w:sz w:val="24"/>
          <w:szCs w:val="24"/>
        </w:rPr>
        <w:t xml:space="preserve">types </w:t>
      </w:r>
      <w:r w:rsidR="007E10FD">
        <w:rPr>
          <w:rFonts w:ascii="Times New Roman" w:hAnsi="Times New Roman" w:cs="Times New Roman"/>
          <w:sz w:val="24"/>
          <w:szCs w:val="24"/>
        </w:rPr>
        <w:t xml:space="preserve">and quantity </w:t>
      </w:r>
      <w:r w:rsidRPr="00AD06BC" w:rsidR="00BA0A23">
        <w:rPr>
          <w:rFonts w:ascii="Times New Roman" w:hAnsi="Times New Roman" w:cs="Times New Roman"/>
          <w:sz w:val="24"/>
          <w:szCs w:val="24"/>
        </w:rPr>
        <w:t xml:space="preserve">of feedback received. </w:t>
      </w:r>
      <w:r w:rsidR="00D516C7">
        <w:rPr>
          <w:rFonts w:ascii="Times New Roman" w:hAnsi="Times New Roman" w:cs="Times New Roman"/>
          <w:sz w:val="24"/>
          <w:szCs w:val="24"/>
        </w:rPr>
        <w:t xml:space="preserve">The reports will include any </w:t>
      </w:r>
      <w:r w:rsidR="00043EB3">
        <w:rPr>
          <w:rFonts w:ascii="Times New Roman" w:hAnsi="Times New Roman" w:cs="Times New Roman"/>
          <w:sz w:val="24"/>
          <w:szCs w:val="24"/>
        </w:rPr>
        <w:t xml:space="preserve">raw </w:t>
      </w:r>
      <w:r w:rsidR="00D516C7">
        <w:rPr>
          <w:rFonts w:ascii="Times New Roman" w:hAnsi="Times New Roman" w:cs="Times New Roman"/>
          <w:sz w:val="24"/>
          <w:szCs w:val="24"/>
        </w:rPr>
        <w:t xml:space="preserve">data collected using questionnaires or surveys. </w:t>
      </w:r>
      <w:r w:rsidRPr="00AD06BC" w:rsidR="00BA0A23">
        <w:rPr>
          <w:rFonts w:ascii="Times New Roman" w:hAnsi="Times New Roman" w:cs="Times New Roman"/>
          <w:sz w:val="24"/>
          <w:szCs w:val="24"/>
        </w:rPr>
        <w:t xml:space="preserve">These submissions are not statistical in nature, but will provide valuable information to the FAA that will inform community engagement best practices and lessons learned which can be shared with the public. </w:t>
      </w:r>
      <w:r w:rsidR="00D516C7">
        <w:rPr>
          <w:rFonts w:ascii="Times New Roman" w:hAnsi="Times New Roman" w:eastAsia="Times New Roman" w:cs="Times New Roman"/>
          <w:bCs/>
          <w:sz w:val="24"/>
          <w:szCs w:val="24"/>
        </w:rPr>
        <w:t xml:space="preserve">The data will be supplied by the eight SLT governments in the BEYOND program, and the seven industry operators in the PSP program. </w:t>
      </w:r>
      <w:r w:rsidRPr="00AD06BC" w:rsidR="00BA0A23">
        <w:rPr>
          <w:rFonts w:ascii="Times New Roman" w:hAnsi="Times New Roman" w:cs="Times New Roman"/>
          <w:sz w:val="24"/>
          <w:szCs w:val="24"/>
        </w:rPr>
        <w:t>The collection instruments include:</w:t>
      </w:r>
    </w:p>
    <w:p w:rsidRPr="00AD06BC" w:rsidR="00BA0A23" w:rsidP="00C143B2" w:rsidRDefault="00BA0A23" w14:paraId="33115107" w14:textId="72579883">
      <w:pPr>
        <w:pStyle w:val="ListParagraph"/>
        <w:numPr>
          <w:ilvl w:val="0"/>
          <w:numId w:val="9"/>
        </w:numPr>
        <w:adjustRightInd w:val="0"/>
        <w:ind w:left="1080" w:hanging="720"/>
        <w:rPr>
          <w:bCs/>
          <w:sz w:val="24"/>
          <w:szCs w:val="24"/>
        </w:rPr>
      </w:pPr>
      <w:r w:rsidRPr="00AD06BC">
        <w:rPr>
          <w:bCs/>
          <w:sz w:val="24"/>
          <w:szCs w:val="24"/>
        </w:rPr>
        <w:t>Community Engagement Reports</w:t>
      </w:r>
    </w:p>
    <w:p w:rsidRPr="00AD06BC" w:rsidR="00BA0A23" w:rsidP="00BA0A23" w:rsidRDefault="00BA0A23" w14:paraId="658EA414" w14:textId="44A8742B">
      <w:pPr>
        <w:autoSpaceDE w:val="0"/>
        <w:autoSpaceDN w:val="0"/>
        <w:adjustRightInd w:val="0"/>
        <w:spacing w:after="0" w:line="240" w:lineRule="auto"/>
        <w:rPr>
          <w:rFonts w:ascii="Times New Roman" w:hAnsi="Times New Roman" w:eastAsia="Times New Roman" w:cs="Times New Roman"/>
          <w:bCs/>
          <w:sz w:val="24"/>
          <w:szCs w:val="24"/>
        </w:rPr>
      </w:pPr>
    </w:p>
    <w:p w:rsidR="00D33EA9" w:rsidP="00D33EA9" w:rsidRDefault="00043EB3" w14:paraId="263EE2BD" w14:textId="600B1BFB">
      <w:p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other piece of the community engagement component is</w:t>
      </w:r>
      <w:r w:rsidR="00BB419E">
        <w:rPr>
          <w:rFonts w:ascii="Times New Roman" w:hAnsi="Times New Roman" w:eastAsia="Times New Roman" w:cs="Times New Roman"/>
          <w:bCs/>
          <w:sz w:val="24"/>
          <w:szCs w:val="24"/>
        </w:rPr>
        <w:t xml:space="preserve"> the</w:t>
      </w:r>
      <w:r w:rsidRPr="00AD06BC" w:rsidR="00787A50">
        <w:rPr>
          <w:rFonts w:ascii="Times New Roman" w:hAnsi="Times New Roman" w:eastAsia="Times New Roman" w:cs="Times New Roman"/>
          <w:bCs/>
          <w:sz w:val="24"/>
          <w:szCs w:val="24"/>
        </w:rPr>
        <w:t xml:space="preserve"> Community Engagement Tool</w:t>
      </w:r>
      <w:r>
        <w:rPr>
          <w:rFonts w:ascii="Times New Roman" w:hAnsi="Times New Roman" w:eastAsia="Times New Roman" w:cs="Times New Roman"/>
          <w:bCs/>
          <w:sz w:val="24"/>
          <w:szCs w:val="24"/>
        </w:rPr>
        <w:t>, which</w:t>
      </w:r>
      <w:r w:rsidRPr="00AD06BC" w:rsidR="00787A50">
        <w:rPr>
          <w:rFonts w:ascii="Times New Roman" w:hAnsi="Times New Roman" w:eastAsia="Times New Roman" w:cs="Times New Roman"/>
          <w:bCs/>
          <w:sz w:val="24"/>
          <w:szCs w:val="24"/>
        </w:rPr>
        <w:t xml:space="preserve"> will include </w:t>
      </w:r>
      <w:r w:rsidR="00BB419E">
        <w:rPr>
          <w:rFonts w:ascii="Times New Roman" w:hAnsi="Times New Roman" w:eastAsia="Times New Roman" w:cs="Times New Roman"/>
          <w:bCs/>
          <w:sz w:val="24"/>
          <w:szCs w:val="24"/>
        </w:rPr>
        <w:t xml:space="preserve">a </w:t>
      </w:r>
      <w:r w:rsidRPr="00AD06BC" w:rsidR="00787A50">
        <w:rPr>
          <w:rFonts w:ascii="Times New Roman" w:hAnsi="Times New Roman" w:eastAsia="Times New Roman" w:cs="Times New Roman"/>
          <w:bCs/>
          <w:sz w:val="24"/>
          <w:szCs w:val="24"/>
        </w:rPr>
        <w:t xml:space="preserve">potential burden on the general public. </w:t>
      </w:r>
      <w:r>
        <w:rPr>
          <w:rFonts w:ascii="Times New Roman" w:hAnsi="Times New Roman" w:eastAsia="Times New Roman" w:cs="Times New Roman"/>
          <w:bCs/>
          <w:sz w:val="24"/>
          <w:szCs w:val="24"/>
        </w:rPr>
        <w:t>The Community Engagement Tool</w:t>
      </w:r>
      <w:r w:rsidRPr="00AD06BC" w:rsidR="00787A50">
        <w:rPr>
          <w:rFonts w:ascii="Times New Roman" w:hAnsi="Times New Roman" w:eastAsia="Times New Roman" w:cs="Times New Roman"/>
          <w:bCs/>
          <w:sz w:val="24"/>
          <w:szCs w:val="24"/>
        </w:rPr>
        <w:t xml:space="preserve"> was developed by the</w:t>
      </w:r>
      <w:r w:rsidRPr="00AD06BC" w:rsidR="006904C2">
        <w:rPr>
          <w:rFonts w:ascii="Times New Roman" w:hAnsi="Times New Roman" w:eastAsia="Times New Roman" w:cs="Times New Roman"/>
          <w:bCs/>
          <w:sz w:val="24"/>
          <w:szCs w:val="24"/>
        </w:rPr>
        <w:t xml:space="preserve"> FAA </w:t>
      </w:r>
      <w:r w:rsidRPr="00AD06BC" w:rsidR="00787A50">
        <w:rPr>
          <w:rFonts w:ascii="Times New Roman" w:hAnsi="Times New Roman" w:eastAsia="Times New Roman" w:cs="Times New Roman"/>
          <w:bCs/>
          <w:sz w:val="24"/>
          <w:szCs w:val="24"/>
        </w:rPr>
        <w:t xml:space="preserve">as an </w:t>
      </w:r>
      <w:r w:rsidRPr="00043EB3" w:rsidR="00787A50">
        <w:rPr>
          <w:rFonts w:ascii="Times New Roman" w:hAnsi="Times New Roman" w:eastAsia="Times New Roman" w:cs="Times New Roman"/>
          <w:bCs/>
          <w:sz w:val="24"/>
          <w:szCs w:val="24"/>
        </w:rPr>
        <w:t>optional</w:t>
      </w:r>
      <w:r w:rsidRPr="00AD06BC" w:rsidR="00787A50">
        <w:rPr>
          <w:rFonts w:ascii="Times New Roman" w:hAnsi="Times New Roman" w:eastAsia="Times New Roman" w:cs="Times New Roman"/>
          <w:bCs/>
          <w:sz w:val="24"/>
          <w:szCs w:val="24"/>
        </w:rPr>
        <w:t xml:space="preserve"> </w:t>
      </w:r>
      <w:r w:rsidR="00BB419E">
        <w:rPr>
          <w:rFonts w:ascii="Times New Roman" w:hAnsi="Times New Roman" w:eastAsia="Times New Roman" w:cs="Times New Roman"/>
          <w:bCs/>
          <w:sz w:val="24"/>
          <w:szCs w:val="24"/>
        </w:rPr>
        <w:t>aid</w:t>
      </w:r>
      <w:r w:rsidRPr="00AD06BC" w:rsidR="00BB419E">
        <w:rPr>
          <w:rFonts w:ascii="Times New Roman" w:hAnsi="Times New Roman" w:eastAsia="Times New Roman" w:cs="Times New Roman"/>
          <w:bCs/>
          <w:sz w:val="24"/>
          <w:szCs w:val="24"/>
        </w:rPr>
        <w:t xml:space="preserve"> </w:t>
      </w:r>
      <w:r w:rsidRPr="00AD06BC" w:rsidR="00787A50">
        <w:rPr>
          <w:rFonts w:ascii="Times New Roman" w:hAnsi="Times New Roman" w:eastAsia="Times New Roman" w:cs="Times New Roman"/>
          <w:bCs/>
          <w:sz w:val="24"/>
          <w:szCs w:val="24"/>
        </w:rPr>
        <w:t>for program participants that includes</w:t>
      </w:r>
      <w:r w:rsidRPr="00AD06BC" w:rsidR="00D33EA9">
        <w:rPr>
          <w:rFonts w:ascii="Times New Roman" w:hAnsi="Times New Roman" w:eastAsia="Times New Roman" w:cs="Times New Roman"/>
          <w:bCs/>
          <w:sz w:val="24"/>
          <w:szCs w:val="24"/>
        </w:rPr>
        <w:t xml:space="preserve"> general and operation-</w:t>
      </w:r>
      <w:r w:rsidRPr="00AD06BC" w:rsidR="006904C2">
        <w:rPr>
          <w:rFonts w:ascii="Times New Roman" w:hAnsi="Times New Roman" w:eastAsia="Times New Roman" w:cs="Times New Roman"/>
          <w:bCs/>
          <w:sz w:val="24"/>
          <w:szCs w:val="24"/>
        </w:rPr>
        <w:t>specific questions</w:t>
      </w:r>
      <w:r w:rsidRPr="00AD06BC" w:rsidR="00787A50">
        <w:rPr>
          <w:rFonts w:ascii="Times New Roman" w:hAnsi="Times New Roman" w:eastAsia="Times New Roman" w:cs="Times New Roman"/>
          <w:bCs/>
          <w:sz w:val="24"/>
          <w:szCs w:val="24"/>
        </w:rPr>
        <w:t xml:space="preserve"> related to UAS operations. The BEYOND and PSP </w:t>
      </w:r>
      <w:r w:rsidRPr="00AD06BC" w:rsidR="006904C2">
        <w:rPr>
          <w:rFonts w:ascii="Times New Roman" w:hAnsi="Times New Roman" w:eastAsia="Times New Roman" w:cs="Times New Roman"/>
          <w:bCs/>
          <w:sz w:val="24"/>
          <w:szCs w:val="24"/>
        </w:rPr>
        <w:t xml:space="preserve">participants </w:t>
      </w:r>
      <w:r w:rsidRPr="00AD06BC" w:rsidR="00787A50">
        <w:rPr>
          <w:rFonts w:ascii="Times New Roman" w:hAnsi="Times New Roman" w:eastAsia="Times New Roman" w:cs="Times New Roman"/>
          <w:bCs/>
          <w:sz w:val="24"/>
          <w:szCs w:val="24"/>
        </w:rPr>
        <w:t xml:space="preserve">may </w:t>
      </w:r>
      <w:r w:rsidR="00BB419E">
        <w:rPr>
          <w:rFonts w:ascii="Times New Roman" w:hAnsi="Times New Roman" w:eastAsia="Times New Roman" w:cs="Times New Roman"/>
          <w:bCs/>
          <w:sz w:val="24"/>
          <w:szCs w:val="24"/>
        </w:rPr>
        <w:t xml:space="preserve">choose to </w:t>
      </w:r>
      <w:r w:rsidRPr="00AD06BC" w:rsidR="00787A50">
        <w:rPr>
          <w:rFonts w:ascii="Times New Roman" w:hAnsi="Times New Roman" w:eastAsia="Times New Roman" w:cs="Times New Roman"/>
          <w:bCs/>
          <w:sz w:val="24"/>
          <w:szCs w:val="24"/>
        </w:rPr>
        <w:t xml:space="preserve">use </w:t>
      </w:r>
      <w:r w:rsidR="00BB419E">
        <w:rPr>
          <w:rFonts w:ascii="Times New Roman" w:hAnsi="Times New Roman" w:eastAsia="Times New Roman" w:cs="Times New Roman"/>
          <w:bCs/>
          <w:sz w:val="24"/>
          <w:szCs w:val="24"/>
        </w:rPr>
        <w:t xml:space="preserve">any of the pertinent sample survey questions when </w:t>
      </w:r>
      <w:r w:rsidRPr="00AD06BC" w:rsidR="00D33EA9">
        <w:rPr>
          <w:rFonts w:ascii="Times New Roman" w:hAnsi="Times New Roman" w:eastAsia="Times New Roman" w:cs="Times New Roman"/>
          <w:bCs/>
          <w:sz w:val="24"/>
          <w:szCs w:val="24"/>
        </w:rPr>
        <w:t>develop</w:t>
      </w:r>
      <w:r w:rsidR="00BB419E">
        <w:rPr>
          <w:rFonts w:ascii="Times New Roman" w:hAnsi="Times New Roman" w:eastAsia="Times New Roman" w:cs="Times New Roman"/>
          <w:bCs/>
          <w:sz w:val="24"/>
          <w:szCs w:val="24"/>
        </w:rPr>
        <w:t>ing</w:t>
      </w:r>
      <w:r w:rsidRPr="00AD06BC" w:rsidR="006904C2">
        <w:rPr>
          <w:rFonts w:ascii="Times New Roman" w:hAnsi="Times New Roman" w:eastAsia="Times New Roman" w:cs="Times New Roman"/>
          <w:bCs/>
          <w:sz w:val="24"/>
          <w:szCs w:val="24"/>
        </w:rPr>
        <w:t xml:space="preserve"> </w:t>
      </w:r>
      <w:r w:rsidRPr="00AD06BC" w:rsidR="00787A50">
        <w:rPr>
          <w:rFonts w:ascii="Times New Roman" w:hAnsi="Times New Roman" w:eastAsia="Times New Roman" w:cs="Times New Roman"/>
          <w:bCs/>
          <w:sz w:val="24"/>
          <w:szCs w:val="24"/>
        </w:rPr>
        <w:t xml:space="preserve">their own </w:t>
      </w:r>
      <w:r w:rsidRPr="00AD06BC" w:rsidR="006904C2">
        <w:rPr>
          <w:rFonts w:ascii="Times New Roman" w:hAnsi="Times New Roman" w:eastAsia="Times New Roman" w:cs="Times New Roman"/>
          <w:bCs/>
          <w:sz w:val="24"/>
          <w:szCs w:val="24"/>
        </w:rPr>
        <w:t>question</w:t>
      </w:r>
      <w:r w:rsidRPr="00AD06BC" w:rsidR="00D33EA9">
        <w:rPr>
          <w:rFonts w:ascii="Times New Roman" w:hAnsi="Times New Roman" w:eastAsia="Times New Roman" w:cs="Times New Roman"/>
          <w:bCs/>
          <w:sz w:val="24"/>
          <w:szCs w:val="24"/>
        </w:rPr>
        <w:t xml:space="preserve">naires </w:t>
      </w:r>
      <w:r w:rsidR="00BB419E">
        <w:rPr>
          <w:rFonts w:ascii="Times New Roman" w:hAnsi="Times New Roman" w:eastAsia="Times New Roman" w:cs="Times New Roman"/>
          <w:bCs/>
          <w:sz w:val="24"/>
          <w:szCs w:val="24"/>
        </w:rPr>
        <w:t>to survey</w:t>
      </w:r>
      <w:r w:rsidRPr="00AD06BC" w:rsidR="006904C2">
        <w:rPr>
          <w:rFonts w:ascii="Times New Roman" w:hAnsi="Times New Roman" w:eastAsia="Times New Roman" w:cs="Times New Roman"/>
          <w:bCs/>
          <w:sz w:val="24"/>
          <w:szCs w:val="24"/>
        </w:rPr>
        <w:t xml:space="preserve"> the general public in their communities</w:t>
      </w:r>
      <w:r w:rsidRPr="00AD06BC" w:rsidR="00D33EA9">
        <w:rPr>
          <w:rFonts w:ascii="Times New Roman" w:hAnsi="Times New Roman" w:eastAsia="Times New Roman" w:cs="Times New Roman"/>
          <w:bCs/>
          <w:sz w:val="24"/>
          <w:szCs w:val="24"/>
        </w:rPr>
        <w:t>. The tool includes questions</w:t>
      </w:r>
      <w:r w:rsidRPr="00AD06BC" w:rsidR="006904C2">
        <w:rPr>
          <w:rFonts w:ascii="Times New Roman" w:hAnsi="Times New Roman" w:eastAsia="Times New Roman" w:cs="Times New Roman"/>
          <w:bCs/>
          <w:sz w:val="24"/>
          <w:szCs w:val="24"/>
        </w:rPr>
        <w:t xml:space="preserve"> on general knowledge of UAS and sentiments toward potential benefits or drawbacks of UAS operations. The </w:t>
      </w:r>
      <w:r w:rsidRPr="00AD06BC" w:rsidR="00787A50">
        <w:rPr>
          <w:rFonts w:ascii="Times New Roman" w:hAnsi="Times New Roman" w:eastAsia="Times New Roman" w:cs="Times New Roman"/>
          <w:bCs/>
          <w:sz w:val="24"/>
          <w:szCs w:val="24"/>
        </w:rPr>
        <w:t>Community Engagement Tool</w:t>
      </w:r>
      <w:r w:rsidRPr="00AD06BC" w:rsidR="006904C2">
        <w:rPr>
          <w:rFonts w:ascii="Times New Roman" w:hAnsi="Times New Roman" w:eastAsia="Times New Roman" w:cs="Times New Roman"/>
          <w:bCs/>
          <w:sz w:val="24"/>
          <w:szCs w:val="24"/>
        </w:rPr>
        <w:t xml:space="preserve"> is intended to </w:t>
      </w:r>
      <w:r w:rsidRPr="00AD06BC" w:rsidR="00D33EA9">
        <w:rPr>
          <w:rFonts w:ascii="Times New Roman" w:hAnsi="Times New Roman" w:eastAsia="Times New Roman" w:cs="Times New Roman"/>
          <w:bCs/>
          <w:sz w:val="24"/>
          <w:szCs w:val="24"/>
        </w:rPr>
        <w:t xml:space="preserve">help the </w:t>
      </w:r>
      <w:r w:rsidR="00BB419E">
        <w:rPr>
          <w:rFonts w:ascii="Times New Roman" w:hAnsi="Times New Roman" w:eastAsia="Times New Roman" w:cs="Times New Roman"/>
          <w:bCs/>
          <w:sz w:val="24"/>
          <w:szCs w:val="24"/>
        </w:rPr>
        <w:t>program</w:t>
      </w:r>
      <w:r w:rsidRPr="00AD06BC" w:rsidR="00D33EA9">
        <w:rPr>
          <w:rFonts w:ascii="Times New Roman" w:hAnsi="Times New Roman" w:eastAsia="Times New Roman" w:cs="Times New Roman"/>
          <w:bCs/>
          <w:sz w:val="24"/>
          <w:szCs w:val="24"/>
        </w:rPr>
        <w:t xml:space="preserve"> </w:t>
      </w:r>
      <w:r w:rsidR="00BB419E">
        <w:rPr>
          <w:rFonts w:ascii="Times New Roman" w:hAnsi="Times New Roman" w:eastAsia="Times New Roman" w:cs="Times New Roman"/>
          <w:bCs/>
          <w:sz w:val="24"/>
          <w:szCs w:val="24"/>
        </w:rPr>
        <w:t>p</w:t>
      </w:r>
      <w:r w:rsidRPr="00AD06BC" w:rsidR="00D33EA9">
        <w:rPr>
          <w:rFonts w:ascii="Times New Roman" w:hAnsi="Times New Roman" w:eastAsia="Times New Roman" w:cs="Times New Roman"/>
          <w:bCs/>
          <w:sz w:val="24"/>
          <w:szCs w:val="24"/>
        </w:rPr>
        <w:t xml:space="preserve">articipants develop simple questionnaires with no intended utility other than gaining insight </w:t>
      </w:r>
      <w:r w:rsidR="00BB419E">
        <w:rPr>
          <w:rFonts w:ascii="Times New Roman" w:hAnsi="Times New Roman" w:eastAsia="Times New Roman" w:cs="Times New Roman"/>
          <w:bCs/>
          <w:sz w:val="24"/>
          <w:szCs w:val="24"/>
        </w:rPr>
        <w:t xml:space="preserve">into the general public’s experience with, and opinions of, </w:t>
      </w:r>
      <w:r w:rsidRPr="00AD06BC" w:rsidR="00D33EA9">
        <w:rPr>
          <w:rFonts w:ascii="Times New Roman" w:hAnsi="Times New Roman" w:eastAsia="Times New Roman" w:cs="Times New Roman"/>
          <w:bCs/>
          <w:sz w:val="24"/>
          <w:szCs w:val="24"/>
        </w:rPr>
        <w:t>UAS operations. No statistical analysis or inference will be performed other than tabulation of responses. Results may be used t</w:t>
      </w:r>
      <w:r w:rsidRPr="00AD06BC" w:rsidR="00AC052A">
        <w:rPr>
          <w:rFonts w:ascii="Times New Roman" w:hAnsi="Times New Roman" w:eastAsia="Times New Roman" w:cs="Times New Roman"/>
          <w:bCs/>
          <w:sz w:val="24"/>
          <w:szCs w:val="24"/>
        </w:rPr>
        <w:t>o help develop lessons learned or</w:t>
      </w:r>
      <w:r w:rsidRPr="00AD06BC" w:rsidR="00D33EA9">
        <w:rPr>
          <w:rFonts w:ascii="Times New Roman" w:hAnsi="Times New Roman" w:eastAsia="Times New Roman" w:cs="Times New Roman"/>
          <w:bCs/>
          <w:sz w:val="24"/>
          <w:szCs w:val="24"/>
        </w:rPr>
        <w:t xml:space="preserve"> best practices for </w:t>
      </w:r>
      <w:r w:rsidR="00A7786C">
        <w:rPr>
          <w:rFonts w:ascii="Times New Roman" w:hAnsi="Times New Roman" w:eastAsia="Times New Roman" w:cs="Times New Roman"/>
          <w:bCs/>
          <w:sz w:val="24"/>
          <w:szCs w:val="24"/>
        </w:rPr>
        <w:t xml:space="preserve">other UAS </w:t>
      </w:r>
      <w:r w:rsidRPr="00AD06BC" w:rsidR="00D33EA9">
        <w:rPr>
          <w:rFonts w:ascii="Times New Roman" w:hAnsi="Times New Roman" w:eastAsia="Times New Roman" w:cs="Times New Roman"/>
          <w:bCs/>
          <w:sz w:val="24"/>
          <w:szCs w:val="24"/>
        </w:rPr>
        <w:t>stakeholders pertaining to community engagement activities.</w:t>
      </w:r>
    </w:p>
    <w:p w:rsidR="00043EB3" w:rsidP="00D33EA9" w:rsidRDefault="00043EB3" w14:paraId="0F788AE6" w14:textId="77777777">
      <w:pPr>
        <w:autoSpaceDE w:val="0"/>
        <w:autoSpaceDN w:val="0"/>
        <w:adjustRightInd w:val="0"/>
        <w:spacing w:after="0" w:line="240" w:lineRule="auto"/>
        <w:rPr>
          <w:rFonts w:ascii="Times New Roman" w:hAnsi="Times New Roman" w:eastAsia="Times New Roman" w:cs="Times New Roman"/>
          <w:bCs/>
          <w:sz w:val="24"/>
          <w:szCs w:val="24"/>
        </w:rPr>
      </w:pPr>
    </w:p>
    <w:p w:rsidRPr="00AD06BC" w:rsidR="00043EB3" w:rsidP="00C143B2" w:rsidRDefault="00043EB3" w14:paraId="481797B8" w14:textId="77777777">
      <w:pPr>
        <w:pStyle w:val="ListParagraph"/>
        <w:numPr>
          <w:ilvl w:val="0"/>
          <w:numId w:val="9"/>
        </w:numPr>
        <w:adjustRightInd w:val="0"/>
        <w:ind w:left="1080" w:hanging="720"/>
        <w:rPr>
          <w:bCs/>
          <w:sz w:val="24"/>
          <w:szCs w:val="24"/>
        </w:rPr>
      </w:pPr>
      <w:r w:rsidRPr="00AD06BC">
        <w:rPr>
          <w:bCs/>
          <w:sz w:val="24"/>
          <w:szCs w:val="24"/>
        </w:rPr>
        <w:t>Community Engagement Tool</w:t>
      </w:r>
    </w:p>
    <w:p w:rsidRPr="00AD06BC" w:rsidR="00043EB3" w:rsidP="00D33EA9" w:rsidRDefault="00043EB3" w14:paraId="4EB0CDD4" w14:textId="77777777">
      <w:pPr>
        <w:autoSpaceDE w:val="0"/>
        <w:autoSpaceDN w:val="0"/>
        <w:adjustRightInd w:val="0"/>
        <w:spacing w:after="0" w:line="240" w:lineRule="auto"/>
        <w:rPr>
          <w:rFonts w:ascii="Times New Roman" w:hAnsi="Times New Roman" w:cs="Times New Roman"/>
          <w:sz w:val="24"/>
          <w:szCs w:val="24"/>
        </w:rPr>
      </w:pPr>
    </w:p>
    <w:p w:rsidRPr="003A637E" w:rsidR="00C64707" w:rsidP="009327D3" w:rsidRDefault="00C64707" w14:paraId="57530B14" w14:textId="77777777">
      <w:pPr>
        <w:pStyle w:val="Heading1"/>
        <w:rPr>
          <w:rFonts w:eastAsia="Times New Roman" w:cstheme="minorHAnsi"/>
          <w:color w:val="555555"/>
          <w:sz w:val="24"/>
          <w:szCs w:val="24"/>
        </w:rPr>
      </w:pPr>
      <w:r w:rsidRPr="003A637E">
        <w:rPr>
          <w:rFonts w:eastAsia="Times New Roman"/>
        </w:rPr>
        <w:t>1. Explain the circumstances that make the collection of information necessary. Identify any legal or administrative requirements that necessitate the collection.</w:t>
      </w:r>
    </w:p>
    <w:p w:rsidRPr="003A637E" w:rsidR="00FA419C" w:rsidP="00CA2912" w:rsidRDefault="00A7786C" w14:paraId="7BF78BC4" w14:textId="7854F9B2">
      <w:pPr>
        <w:pStyle w:val="Heading2"/>
        <w:numPr>
          <w:ilvl w:val="0"/>
          <w:numId w:val="0"/>
        </w:numPr>
        <w:ind w:left="576"/>
      </w:pPr>
      <w:r w:rsidRPr="001D4D4D">
        <w:rPr>
          <w:b w:val="0"/>
          <w:bCs w:val="0"/>
        </w:rPr>
        <w:t xml:space="preserve">The purpose of the </w:t>
      </w:r>
      <w:r w:rsidRPr="001D4D4D">
        <w:rPr>
          <w:b w:val="0"/>
        </w:rPr>
        <w:t xml:space="preserve">Unmanned Aircraft Systems (UAS) BEYOND and Partnership for Safety Plan (PSP) </w:t>
      </w:r>
      <w:r w:rsidRPr="007B5485">
        <w:rPr>
          <w:b w:val="0"/>
        </w:rPr>
        <w:t>programs is for the Federal Aviati</w:t>
      </w:r>
      <w:r w:rsidRPr="000510D9">
        <w:rPr>
          <w:b w:val="0"/>
        </w:rPr>
        <w:t>on Administration (FAA) to work with state, local and tribal (SLT) governments (BEYOND) and private UAS operators (PSP) to work toward full, safe integration of UAS into the national airspace system (NAS).</w:t>
      </w:r>
      <w:r w:rsidRPr="007B5485">
        <w:rPr>
          <w:b w:val="0"/>
          <w:bCs w:val="0"/>
        </w:rPr>
        <w:t xml:space="preserve"> </w:t>
      </w:r>
      <w:r w:rsidRPr="007B5485" w:rsidR="00BD7778">
        <w:rPr>
          <w:b w:val="0"/>
          <w:bCs w:val="0"/>
        </w:rPr>
        <w:t xml:space="preserve">In order to fulfill this purpose, the </w:t>
      </w:r>
      <w:r w:rsidRPr="00DD3212" w:rsidR="00BD7778">
        <w:rPr>
          <w:b w:val="0"/>
          <w:bCs w:val="0"/>
        </w:rPr>
        <w:t xml:space="preserve">FAA needs to </w:t>
      </w:r>
      <w:r w:rsidRPr="00DD3212" w:rsidR="00BD7778">
        <w:rPr>
          <w:b w:val="0"/>
        </w:rPr>
        <w:t>collect</w:t>
      </w:r>
      <w:r w:rsidRPr="007B5485" w:rsidR="001358C5">
        <w:rPr>
          <w:b w:val="0"/>
        </w:rPr>
        <w:t xml:space="preserve"> operational data from the </w:t>
      </w:r>
      <w:r w:rsidRPr="007B5485" w:rsidR="00BD7778">
        <w:rPr>
          <w:b w:val="0"/>
        </w:rPr>
        <w:t>program</w:t>
      </w:r>
      <w:r w:rsidR="00BD7778">
        <w:rPr>
          <w:b w:val="0"/>
        </w:rPr>
        <w:t xml:space="preserve"> </w:t>
      </w:r>
      <w:r w:rsidR="00BD7778">
        <w:rPr>
          <w:b w:val="0"/>
        </w:rPr>
        <w:lastRenderedPageBreak/>
        <w:t>participants</w:t>
      </w:r>
      <w:r w:rsidRPr="003A637E" w:rsidR="00FF301E">
        <w:rPr>
          <w:b w:val="0"/>
        </w:rPr>
        <w:t xml:space="preserve"> </w:t>
      </w:r>
      <w:r w:rsidRPr="003A637E" w:rsidR="001358C5">
        <w:rPr>
          <w:b w:val="0"/>
        </w:rPr>
        <w:t>t</w:t>
      </w:r>
      <w:r w:rsidR="00BD7778">
        <w:rPr>
          <w:b w:val="0"/>
        </w:rPr>
        <w:t>o identify</w:t>
      </w:r>
      <w:r w:rsidRPr="003A637E" w:rsidR="001358C5">
        <w:rPr>
          <w:b w:val="0"/>
        </w:rPr>
        <w:t xml:space="preserve"> trends in </w:t>
      </w:r>
      <w:r w:rsidRPr="003A637E" w:rsidR="00A7485B">
        <w:rPr>
          <w:b w:val="0"/>
        </w:rPr>
        <w:t xml:space="preserve">the </w:t>
      </w:r>
      <w:r w:rsidRPr="003A637E" w:rsidR="001358C5">
        <w:rPr>
          <w:b w:val="0"/>
        </w:rPr>
        <w:t>reliability of detect and avoid (DAA) systems</w:t>
      </w:r>
      <w:r w:rsidRPr="003A637E" w:rsidR="00FF301E">
        <w:rPr>
          <w:b w:val="0"/>
        </w:rPr>
        <w:t>,</w:t>
      </w:r>
      <w:r w:rsidRPr="003A637E" w:rsidR="001358C5">
        <w:rPr>
          <w:b w:val="0"/>
        </w:rPr>
        <w:t xml:space="preserve"> communication </w:t>
      </w:r>
      <w:r w:rsidR="00BD7778">
        <w:rPr>
          <w:b w:val="0"/>
        </w:rPr>
        <w:t xml:space="preserve">links, </w:t>
      </w:r>
      <w:r w:rsidRPr="003A637E" w:rsidR="001358C5">
        <w:rPr>
          <w:b w:val="0"/>
        </w:rPr>
        <w:t xml:space="preserve">and navigation links. </w:t>
      </w:r>
      <w:r w:rsidRPr="003A637E" w:rsidR="00A7485B">
        <w:rPr>
          <w:b w:val="0"/>
        </w:rPr>
        <w:t>The operational flight data will also serve as an indicator of whether the</w:t>
      </w:r>
      <w:r w:rsidR="00BD7778">
        <w:rPr>
          <w:b w:val="0"/>
        </w:rPr>
        <w:t xml:space="preserve"> flights beyond the pilots’ visual line of sight</w:t>
      </w:r>
      <w:r w:rsidRPr="003A637E" w:rsidR="00A7485B">
        <w:rPr>
          <w:b w:val="0"/>
        </w:rPr>
        <w:t xml:space="preserve"> are </w:t>
      </w:r>
      <w:r w:rsidRPr="003A637E" w:rsidR="00FF301E">
        <w:rPr>
          <w:b w:val="0"/>
        </w:rPr>
        <w:t xml:space="preserve">safe, viable and/or </w:t>
      </w:r>
      <w:r w:rsidRPr="003A637E" w:rsidR="00A7485B">
        <w:rPr>
          <w:b w:val="0"/>
        </w:rPr>
        <w:t xml:space="preserve">scalable to broader geographic areas. </w:t>
      </w:r>
      <w:r w:rsidRPr="003A637E" w:rsidR="001358C5">
        <w:rPr>
          <w:b w:val="0"/>
        </w:rPr>
        <w:t xml:space="preserve">The </w:t>
      </w:r>
      <w:r w:rsidRPr="003A637E" w:rsidR="00A7485B">
        <w:rPr>
          <w:b w:val="0"/>
        </w:rPr>
        <w:t>operational flight data</w:t>
      </w:r>
      <w:r w:rsidR="006F1373">
        <w:rPr>
          <w:b w:val="0"/>
        </w:rPr>
        <w:t>, maintenance data,</w:t>
      </w:r>
      <w:r w:rsidRPr="003A637E" w:rsidR="00A7485B">
        <w:rPr>
          <w:b w:val="0"/>
        </w:rPr>
        <w:t xml:space="preserve"> and </w:t>
      </w:r>
      <w:r w:rsidRPr="003A637E" w:rsidR="001358C5">
        <w:rPr>
          <w:b w:val="0"/>
        </w:rPr>
        <w:t xml:space="preserve">anomaly data </w:t>
      </w:r>
      <w:r w:rsidRPr="003A637E" w:rsidR="00A7485B">
        <w:rPr>
          <w:b w:val="0"/>
        </w:rPr>
        <w:t>combined will identify potential hazards and the level of risk associated with those hazards.</w:t>
      </w:r>
    </w:p>
    <w:p w:rsidRPr="00C04038" w:rsidR="00BD7778" w:rsidP="00BD7778" w:rsidRDefault="00BD7778" w14:paraId="1DB5A3C1" w14:textId="4647333F">
      <w:pPr>
        <w:pStyle w:val="Heading2"/>
        <w:numPr>
          <w:ilvl w:val="0"/>
          <w:numId w:val="0"/>
        </w:numPr>
        <w:ind w:left="576"/>
        <w:rPr>
          <w:rFonts w:cstheme="minorHAnsi"/>
          <w:b w:val="0"/>
          <w:lang w:val="en"/>
        </w:rPr>
      </w:pPr>
      <w:r w:rsidRPr="003A637E">
        <w:rPr>
          <w:b w:val="0"/>
        </w:rPr>
        <w:t xml:space="preserve">The </w:t>
      </w:r>
      <w:r>
        <w:rPr>
          <w:b w:val="0"/>
        </w:rPr>
        <w:t>memoranda of agreement (</w:t>
      </w:r>
      <w:r w:rsidRPr="003A637E">
        <w:rPr>
          <w:b w:val="0"/>
        </w:rPr>
        <w:t>MOAs</w:t>
      </w:r>
      <w:r>
        <w:rPr>
          <w:b w:val="0"/>
        </w:rPr>
        <w:t>) with the BEYOND participants</w:t>
      </w:r>
      <w:r w:rsidRPr="003A637E">
        <w:rPr>
          <w:b w:val="0"/>
        </w:rPr>
        <w:t xml:space="preserve"> and </w:t>
      </w:r>
      <w:r>
        <w:rPr>
          <w:b w:val="0"/>
        </w:rPr>
        <w:t>the memoranda of understanding (</w:t>
      </w:r>
      <w:r w:rsidRPr="003A637E">
        <w:rPr>
          <w:b w:val="0"/>
        </w:rPr>
        <w:t>MOUs</w:t>
      </w:r>
      <w:r>
        <w:rPr>
          <w:b w:val="0"/>
        </w:rPr>
        <w:t>) with the PSP participants</w:t>
      </w:r>
      <w:r w:rsidRPr="003A637E">
        <w:rPr>
          <w:b w:val="0"/>
        </w:rPr>
        <w:t xml:space="preserve"> will be entered into under the authority of 49 U.S.C. § 106(l) and (m), which authorizes agreements and other transactions on such terms and conditions as the FAA determines necessary. 49 U.S.C. § 106(l)</w:t>
      </w:r>
      <w:r w:rsidRPr="003A637E">
        <w:rPr>
          <w:b w:val="0"/>
          <w:lang w:val="en"/>
        </w:rPr>
        <w:t xml:space="preserve">(6) states, “The Administrator is authorized to enter into and perform such contracts, leases, cooperative agreements, or other transactions as may be necessary to carry out the functions of the Administrator and the Administration. The Administrator may enter into such contracts, leases, cooperative agreements, and other transactions with any Federal </w:t>
      </w:r>
      <w:hyperlink w:history="1" r:id="rId11">
        <w:r w:rsidRPr="003A637E">
          <w:rPr>
            <w:rStyle w:val="Hyperlink"/>
            <w:rFonts w:cstheme="minorHAnsi"/>
            <w:b w:val="0"/>
            <w:bCs w:val="0"/>
            <w:color w:val="auto"/>
            <w:u w:val="none"/>
            <w:lang w:val="en"/>
          </w:rPr>
          <w:t>agency</w:t>
        </w:r>
      </w:hyperlink>
      <w:r w:rsidRPr="003A637E">
        <w:rPr>
          <w:b w:val="0"/>
          <w:lang w:val="en"/>
        </w:rPr>
        <w:t xml:space="preserve"> (as such term is defined in </w:t>
      </w:r>
      <w:hyperlink w:history="1" w:anchor="1" r:id="rId12">
        <w:r w:rsidRPr="003A637E">
          <w:rPr>
            <w:rStyle w:val="Hyperlink"/>
            <w:rFonts w:cstheme="minorHAnsi"/>
            <w:b w:val="0"/>
            <w:bCs w:val="0"/>
            <w:color w:val="auto"/>
            <w:u w:val="none"/>
            <w:lang w:val="en"/>
          </w:rPr>
          <w:t>section 551(1) of title 5</w:t>
        </w:r>
      </w:hyperlink>
      <w:r w:rsidRPr="003A637E">
        <w:rPr>
          <w:b w:val="0"/>
          <w:lang w:val="en"/>
        </w:rPr>
        <w:t xml:space="preserve">) or any instrumentality of the United States, any State, territory, or possession, or political subdivision thereof, any other governmental entity, or any person, firm, association, corporation, or educational institution, on such terms and conditions as the Administrator may consider appropriate.” </w:t>
      </w:r>
      <w:r w:rsidRPr="003A637E">
        <w:rPr>
          <w:b w:val="0"/>
        </w:rPr>
        <w:t>49 U.S.C. § 106(m) states, “</w:t>
      </w:r>
      <w:r w:rsidRPr="003A637E">
        <w:rPr>
          <w:b w:val="0"/>
          <w:lang w:val="en"/>
        </w:rPr>
        <w:t xml:space="preserve">With the consent of appropriate officials, the Administrator may, with or without reimbursement, use or accept the services, equipment, personnel, and facilities of any other Federal </w:t>
      </w:r>
      <w:hyperlink w:history="1" r:id="rId13">
        <w:r w:rsidRPr="003A637E">
          <w:rPr>
            <w:rStyle w:val="Hyperlink"/>
            <w:rFonts w:cstheme="minorHAnsi"/>
            <w:b w:val="0"/>
            <w:bCs w:val="0"/>
            <w:color w:val="auto"/>
            <w:u w:val="none"/>
            <w:lang w:val="en"/>
          </w:rPr>
          <w:t>agency</w:t>
        </w:r>
      </w:hyperlink>
      <w:r w:rsidRPr="003A637E">
        <w:rPr>
          <w:b w:val="0"/>
          <w:lang w:val="en"/>
        </w:rPr>
        <w:t xml:space="preserve"> (as such term is defined in </w:t>
      </w:r>
      <w:hyperlink w:history="1" w:anchor="1" r:id="rId14">
        <w:r w:rsidRPr="003A637E">
          <w:rPr>
            <w:rStyle w:val="Hyperlink"/>
            <w:rFonts w:cstheme="minorHAnsi"/>
            <w:b w:val="0"/>
            <w:bCs w:val="0"/>
            <w:color w:val="auto"/>
            <w:u w:val="none"/>
            <w:lang w:val="en"/>
          </w:rPr>
          <w:t>section 551(1) of title 5</w:t>
        </w:r>
      </w:hyperlink>
      <w:r w:rsidRPr="003A637E">
        <w:rPr>
          <w:b w:val="0"/>
          <w:lang w:val="en"/>
        </w:rPr>
        <w:t>) and any other public or private entity. The Administrator may also cooperate with appropriate officials of other public and private agencies and instrumentalities concerning the use of services, equipment, personnel, and facilities. The head of each Federal</w:t>
      </w:r>
      <w:hyperlink w:history="1" r:id="rId15">
        <w:r w:rsidRPr="003A637E">
          <w:rPr>
            <w:rStyle w:val="Hyperlink"/>
            <w:rFonts w:cstheme="minorHAnsi"/>
            <w:b w:val="0"/>
            <w:bCs w:val="0"/>
            <w:color w:val="auto"/>
            <w:u w:val="none"/>
            <w:lang w:val="en"/>
          </w:rPr>
          <w:t xml:space="preserve"> agency </w:t>
        </w:r>
      </w:hyperlink>
      <w:r w:rsidRPr="003A637E">
        <w:rPr>
          <w:b w:val="0"/>
          <w:lang w:val="en"/>
        </w:rPr>
        <w:t>shall cooperate with the Administrator in making the services, equipment, personnel, and facilities of the Federal</w:t>
      </w:r>
      <w:hyperlink w:history="1" r:id="rId16">
        <w:r w:rsidRPr="003A637E">
          <w:rPr>
            <w:rStyle w:val="Hyperlink"/>
            <w:rFonts w:cstheme="minorHAnsi"/>
            <w:b w:val="0"/>
            <w:bCs w:val="0"/>
            <w:color w:val="auto"/>
            <w:u w:val="none"/>
            <w:lang w:val="en"/>
          </w:rPr>
          <w:t xml:space="preserve"> agency </w:t>
        </w:r>
      </w:hyperlink>
      <w:r w:rsidRPr="003A637E">
        <w:rPr>
          <w:b w:val="0"/>
          <w:lang w:val="en"/>
        </w:rPr>
        <w:t>available to the Administrator. The head of a Federal</w:t>
      </w:r>
      <w:hyperlink w:history="1" r:id="rId17">
        <w:r w:rsidRPr="003A637E">
          <w:rPr>
            <w:rStyle w:val="Hyperlink"/>
            <w:rFonts w:cstheme="minorHAnsi"/>
            <w:b w:val="0"/>
            <w:bCs w:val="0"/>
            <w:color w:val="auto"/>
            <w:u w:val="none"/>
            <w:lang w:val="en"/>
          </w:rPr>
          <w:t xml:space="preserve"> agency </w:t>
        </w:r>
      </w:hyperlink>
      <w:r w:rsidRPr="003A637E">
        <w:rPr>
          <w:b w:val="0"/>
          <w:lang w:val="en"/>
        </w:rPr>
        <w:t>is authorized, notwithstanding any other provision of law, to transfer to or to receive from the Administration, with or without reimbursement, supplies, personnel, services, and equipment other than administrative supplies or equipment.”</w:t>
      </w:r>
    </w:p>
    <w:p w:rsidRPr="003A637E" w:rsidR="000116FA" w:rsidP="00CA2912" w:rsidRDefault="00FA419C" w14:paraId="70249E96" w14:textId="2BFCDF38">
      <w:pPr>
        <w:pStyle w:val="Heading2"/>
        <w:numPr>
          <w:ilvl w:val="0"/>
          <w:numId w:val="0"/>
        </w:numPr>
        <w:ind w:left="576"/>
      </w:pPr>
      <w:r w:rsidRPr="003A637E">
        <w:rPr>
          <w:b w:val="0"/>
        </w:rPr>
        <w:t xml:space="preserve">Other FAA offices collect some of the operational flight data elements for different subgroups of the </w:t>
      </w:r>
      <w:r w:rsidR="00BD7778">
        <w:rPr>
          <w:b w:val="0"/>
        </w:rPr>
        <w:t>program participants and their partners</w:t>
      </w:r>
      <w:r w:rsidRPr="003A637E">
        <w:rPr>
          <w:b w:val="0"/>
        </w:rPr>
        <w:t>. Th</w:t>
      </w:r>
      <w:r w:rsidRPr="003A637E" w:rsidR="00FF301E">
        <w:rPr>
          <w:b w:val="0"/>
        </w:rPr>
        <w:t>ose</w:t>
      </w:r>
      <w:r w:rsidRPr="003A637E">
        <w:rPr>
          <w:b w:val="0"/>
        </w:rPr>
        <w:t xml:space="preserve"> operating under a 49 U.S.C. §44807 exemption must send a monthly e-mail containing flight data to Mission Support Services (AJV). </w:t>
      </w:r>
      <w:r w:rsidRPr="003A637E" w:rsidR="00FF301E">
        <w:rPr>
          <w:b w:val="0"/>
        </w:rPr>
        <w:t>Those</w:t>
      </w:r>
      <w:r w:rsidRPr="003A637E">
        <w:rPr>
          <w:b w:val="0"/>
        </w:rPr>
        <w:t xml:space="preserve"> operating under 49 U.S.C. §40102(a) or 49 U.S.C. §40125</w:t>
      </w:r>
      <w:r w:rsidRPr="003A637E" w:rsidR="00331092">
        <w:rPr>
          <w:b w:val="0"/>
        </w:rPr>
        <w:t xml:space="preserve"> must either submit the flight data to the Certificate of Authorization (COA) Application Processing System (CAPS) or send an e-mail to AJV</w:t>
      </w:r>
      <w:r w:rsidRPr="003A637E" w:rsidR="00DB0085">
        <w:rPr>
          <w:b w:val="0"/>
        </w:rPr>
        <w:t xml:space="preserve"> </w:t>
      </w:r>
      <w:r w:rsidRPr="003A637E" w:rsidR="00331092">
        <w:rPr>
          <w:b w:val="0"/>
        </w:rPr>
        <w:t xml:space="preserve">on a monthly basis. </w:t>
      </w:r>
      <w:r w:rsidRPr="003A637E" w:rsidR="00FF301E">
        <w:rPr>
          <w:b w:val="0"/>
        </w:rPr>
        <w:t>Those</w:t>
      </w:r>
      <w:r w:rsidRPr="003A637E" w:rsidR="00331092">
        <w:rPr>
          <w:b w:val="0"/>
        </w:rPr>
        <w:t xml:space="preserve"> operating under certain 14 CFR Part 107 waivers deemed to be medium or high risk must send a monthly e-mail containing flight data</w:t>
      </w:r>
      <w:r w:rsidR="006F1373">
        <w:rPr>
          <w:b w:val="0"/>
        </w:rPr>
        <w:t xml:space="preserve"> and, in some cases, maintenance data</w:t>
      </w:r>
      <w:r w:rsidRPr="003A637E" w:rsidR="00331092">
        <w:rPr>
          <w:b w:val="0"/>
        </w:rPr>
        <w:t xml:space="preserve"> to Flight Standards (AFS). Th</w:t>
      </w:r>
      <w:r w:rsidRPr="003A637E" w:rsidR="00FF301E">
        <w:rPr>
          <w:b w:val="0"/>
        </w:rPr>
        <w:t>ose</w:t>
      </w:r>
      <w:r w:rsidRPr="003A637E" w:rsidR="00331092">
        <w:rPr>
          <w:b w:val="0"/>
        </w:rPr>
        <w:t xml:space="preserve"> operating under 14 CFR Part 135 must submit flight data to AFS on a monthly basis. The BEYOND </w:t>
      </w:r>
      <w:r w:rsidRPr="003A637E" w:rsidR="00FF301E">
        <w:rPr>
          <w:b w:val="0"/>
        </w:rPr>
        <w:t xml:space="preserve">and PSP </w:t>
      </w:r>
      <w:r w:rsidRPr="003A637E" w:rsidR="00331092">
        <w:rPr>
          <w:b w:val="0"/>
        </w:rPr>
        <w:t>program</w:t>
      </w:r>
      <w:r w:rsidRPr="003A637E" w:rsidR="00FF301E">
        <w:rPr>
          <w:b w:val="0"/>
        </w:rPr>
        <w:t>s</w:t>
      </w:r>
      <w:r w:rsidRPr="003A637E" w:rsidR="00331092">
        <w:rPr>
          <w:b w:val="0"/>
        </w:rPr>
        <w:t xml:space="preserve"> will consolidate all of these separate dat</w:t>
      </w:r>
      <w:r w:rsidR="00E71CB4">
        <w:rPr>
          <w:b w:val="0"/>
        </w:rPr>
        <w:t xml:space="preserve">a requirements into the </w:t>
      </w:r>
      <w:r w:rsidRPr="003A637E" w:rsidR="00B85F1F">
        <w:rPr>
          <w:b w:val="0"/>
        </w:rPr>
        <w:t xml:space="preserve">UAS </w:t>
      </w:r>
      <w:r w:rsidR="00E71CB4">
        <w:rPr>
          <w:b w:val="0"/>
        </w:rPr>
        <w:t xml:space="preserve">Monthly </w:t>
      </w:r>
      <w:r w:rsidR="00B27D24">
        <w:rPr>
          <w:b w:val="0"/>
        </w:rPr>
        <w:t>O</w:t>
      </w:r>
      <w:r w:rsidRPr="003A637E" w:rsidR="00331092">
        <w:rPr>
          <w:b w:val="0"/>
        </w:rPr>
        <w:t>perational Flight Report</w:t>
      </w:r>
      <w:r w:rsidR="00B27D24">
        <w:rPr>
          <w:b w:val="0"/>
        </w:rPr>
        <w:t>s</w:t>
      </w:r>
      <w:r w:rsidRPr="003A637E" w:rsidR="00331092">
        <w:rPr>
          <w:b w:val="0"/>
        </w:rPr>
        <w:t xml:space="preserve">. </w:t>
      </w:r>
      <w:r w:rsidRPr="003A637E" w:rsidR="00FF301E">
        <w:rPr>
          <w:b w:val="0"/>
        </w:rPr>
        <w:t>The programs</w:t>
      </w:r>
      <w:r w:rsidRPr="003A637E" w:rsidR="00331092">
        <w:rPr>
          <w:b w:val="0"/>
        </w:rPr>
        <w:t xml:space="preserve"> will then provide output reports formatted to meet the needs of each of the </w:t>
      </w:r>
      <w:r w:rsidRPr="003A637E" w:rsidR="007052CF">
        <w:rPr>
          <w:b w:val="0"/>
        </w:rPr>
        <w:t xml:space="preserve">FAA offices mentioned in this paragraph. The </w:t>
      </w:r>
      <w:r w:rsidR="00B27D24">
        <w:rPr>
          <w:b w:val="0"/>
        </w:rPr>
        <w:t>program participants</w:t>
      </w:r>
      <w:r w:rsidRPr="003A637E" w:rsidR="00FF301E">
        <w:rPr>
          <w:b w:val="0"/>
        </w:rPr>
        <w:t xml:space="preserve"> and </w:t>
      </w:r>
      <w:r w:rsidR="00B27D24">
        <w:rPr>
          <w:b w:val="0"/>
        </w:rPr>
        <w:t xml:space="preserve">their </w:t>
      </w:r>
      <w:r w:rsidRPr="003A637E" w:rsidR="00FF301E">
        <w:rPr>
          <w:b w:val="0"/>
        </w:rPr>
        <w:t>partners</w:t>
      </w:r>
      <w:r w:rsidRPr="003A637E" w:rsidR="007052CF">
        <w:rPr>
          <w:b w:val="0"/>
        </w:rPr>
        <w:t xml:space="preserve"> will only need to submit the data once.</w:t>
      </w:r>
    </w:p>
    <w:p w:rsidRPr="00C04038" w:rsidR="001B766C" w:rsidP="00C04038" w:rsidRDefault="00C64707" w14:paraId="2E37B35D" w14:textId="24AAF374">
      <w:pPr>
        <w:pStyle w:val="Heading1"/>
        <w:rPr>
          <w:rFonts w:eastAsia="Times New Roman" w:cstheme="minorHAnsi"/>
          <w:color w:val="555555"/>
          <w:sz w:val="24"/>
          <w:szCs w:val="24"/>
        </w:rPr>
      </w:pPr>
      <w:r w:rsidRPr="003A637E">
        <w:rPr>
          <w:rFonts w:eastAsia="Times New Roman"/>
        </w:rPr>
        <w:lastRenderedPageBreak/>
        <w:t>2. Indicate how, by whom, and for what purpose the information is to be used. Except for a new collection, indicate the actual use the agency has made of the information received from the current collection.</w:t>
      </w:r>
    </w:p>
    <w:p w:rsidR="00AD06BC" w:rsidP="00C143B2" w:rsidRDefault="00FA6D32" w14:paraId="41EAE8E0" w14:textId="197BDB76">
      <w:pPr>
        <w:pStyle w:val="Heading2"/>
        <w:numPr>
          <w:ilvl w:val="0"/>
          <w:numId w:val="7"/>
        </w:numPr>
        <w:rPr>
          <w:rFonts w:cstheme="minorHAnsi"/>
          <w:b w:val="0"/>
        </w:rPr>
      </w:pPr>
      <w:r>
        <w:rPr>
          <w:rFonts w:cstheme="minorHAnsi"/>
          <w:b w:val="0"/>
        </w:rPr>
        <w:t>The BEYOND and PSP programs require</w:t>
      </w:r>
      <w:r w:rsidR="00AD06BC">
        <w:rPr>
          <w:rFonts w:cstheme="minorHAnsi"/>
          <w:b w:val="0"/>
        </w:rPr>
        <w:t xml:space="preserve"> </w:t>
      </w:r>
      <w:r w:rsidR="00574C5D">
        <w:rPr>
          <w:rFonts w:cstheme="minorHAnsi"/>
          <w:b w:val="0"/>
        </w:rPr>
        <w:t xml:space="preserve">the participants to submit </w:t>
      </w:r>
      <w:r w:rsidR="00AD06BC">
        <w:rPr>
          <w:rFonts w:cstheme="minorHAnsi"/>
          <w:b w:val="0"/>
        </w:rPr>
        <w:t xml:space="preserve">periodic </w:t>
      </w:r>
      <w:r w:rsidRPr="00B3773D" w:rsidR="0049174E">
        <w:rPr>
          <w:rFonts w:cstheme="minorHAnsi"/>
          <w:b w:val="0"/>
          <w:u w:val="single"/>
        </w:rPr>
        <w:t>narrative report</w:t>
      </w:r>
      <w:r w:rsidRPr="00B3773D" w:rsidR="00451904">
        <w:rPr>
          <w:rFonts w:cstheme="minorHAnsi"/>
          <w:b w:val="0"/>
          <w:u w:val="single"/>
        </w:rPr>
        <w:t>s</w:t>
      </w:r>
      <w:r w:rsidRPr="002371CB" w:rsidR="00574C5D">
        <w:rPr>
          <w:rFonts w:cstheme="minorHAnsi"/>
          <w:b w:val="0"/>
        </w:rPr>
        <w:t xml:space="preserve"> regarding their program status</w:t>
      </w:r>
      <w:r w:rsidR="00AD06BC">
        <w:rPr>
          <w:rFonts w:cstheme="minorHAnsi"/>
          <w:b w:val="0"/>
        </w:rPr>
        <w:t>.</w:t>
      </w:r>
    </w:p>
    <w:p w:rsidR="001B766C" w:rsidP="00AD06BC" w:rsidRDefault="00AD06BC" w14:paraId="77708FD0" w14:textId="5E488F6F">
      <w:pPr>
        <w:pStyle w:val="Heading2"/>
        <w:numPr>
          <w:ilvl w:val="0"/>
          <w:numId w:val="0"/>
        </w:numPr>
        <w:ind w:left="936"/>
        <w:rPr>
          <w:rFonts w:cstheme="minorHAnsi"/>
          <w:b w:val="0"/>
        </w:rPr>
      </w:pPr>
      <w:r>
        <w:rPr>
          <w:rFonts w:cstheme="minorHAnsi"/>
          <w:b w:val="0"/>
        </w:rPr>
        <w:t xml:space="preserve">The </w:t>
      </w:r>
      <w:r w:rsidR="00B27D24">
        <w:rPr>
          <w:rFonts w:cstheme="minorHAnsi"/>
          <w:b w:val="0"/>
        </w:rPr>
        <w:t xml:space="preserve">program participants </w:t>
      </w:r>
      <w:r w:rsidR="00BA02C4">
        <w:rPr>
          <w:rFonts w:cstheme="minorHAnsi"/>
          <w:b w:val="0"/>
        </w:rPr>
        <w:t xml:space="preserve">will </w:t>
      </w:r>
      <w:r w:rsidR="00B27D24">
        <w:rPr>
          <w:rFonts w:cstheme="minorHAnsi"/>
          <w:b w:val="0"/>
        </w:rPr>
        <w:t xml:space="preserve">submit </w:t>
      </w:r>
      <w:r>
        <w:rPr>
          <w:rFonts w:cstheme="minorHAnsi"/>
          <w:b w:val="0"/>
        </w:rPr>
        <w:t xml:space="preserve">periodic narrative reports </w:t>
      </w:r>
      <w:r w:rsidR="00B27D24">
        <w:rPr>
          <w:rFonts w:cstheme="minorHAnsi"/>
          <w:b w:val="0"/>
        </w:rPr>
        <w:t>to provide information on</w:t>
      </w:r>
      <w:r w:rsidRPr="003A637E" w:rsidR="00451904">
        <w:rPr>
          <w:rFonts w:cstheme="minorHAnsi"/>
          <w:b w:val="0"/>
        </w:rPr>
        <w:t xml:space="preserve"> their </w:t>
      </w:r>
      <w:r w:rsidRPr="003A637E" w:rsidR="0049174E">
        <w:rPr>
          <w:rFonts w:cstheme="minorHAnsi"/>
          <w:b w:val="0"/>
        </w:rPr>
        <w:t xml:space="preserve">operations, accomplishments, lessons learned, </w:t>
      </w:r>
      <w:r w:rsidRPr="003A637E" w:rsidR="007A57DE">
        <w:rPr>
          <w:rFonts w:cstheme="minorHAnsi"/>
          <w:b w:val="0"/>
        </w:rPr>
        <w:t xml:space="preserve">challenges, </w:t>
      </w:r>
      <w:r w:rsidRPr="003A637E" w:rsidR="0049174E">
        <w:rPr>
          <w:rFonts w:cstheme="minorHAnsi"/>
          <w:b w:val="0"/>
        </w:rPr>
        <w:t>future activities</w:t>
      </w:r>
      <w:r w:rsidRPr="003A637E" w:rsidR="00451904">
        <w:rPr>
          <w:rFonts w:cstheme="minorHAnsi"/>
          <w:b w:val="0"/>
        </w:rPr>
        <w:t xml:space="preserve">, </w:t>
      </w:r>
      <w:r w:rsidRPr="003A637E" w:rsidR="0049174E">
        <w:rPr>
          <w:rFonts w:cstheme="minorHAnsi"/>
          <w:b w:val="0"/>
        </w:rPr>
        <w:t>community engagement activities</w:t>
      </w:r>
      <w:r w:rsidRPr="003A637E" w:rsidR="00451904">
        <w:rPr>
          <w:rFonts w:cstheme="minorHAnsi"/>
          <w:b w:val="0"/>
        </w:rPr>
        <w:t>,</w:t>
      </w:r>
      <w:r w:rsidR="000C6DFB">
        <w:rPr>
          <w:rFonts w:cstheme="minorHAnsi"/>
          <w:b w:val="0"/>
        </w:rPr>
        <w:t xml:space="preserve"> and</w:t>
      </w:r>
      <w:r w:rsidRPr="003A637E" w:rsidR="00451904">
        <w:rPr>
          <w:rFonts w:cstheme="minorHAnsi"/>
          <w:b w:val="0"/>
        </w:rPr>
        <w:t xml:space="preserve"> </w:t>
      </w:r>
      <w:r w:rsidRPr="003A637E" w:rsidR="0049174E">
        <w:rPr>
          <w:rFonts w:cstheme="minorHAnsi"/>
          <w:b w:val="0"/>
        </w:rPr>
        <w:t xml:space="preserve">societal and economic impacts of </w:t>
      </w:r>
      <w:r w:rsidR="00B27D24">
        <w:rPr>
          <w:rFonts w:cstheme="minorHAnsi"/>
          <w:b w:val="0"/>
        </w:rPr>
        <w:t>their</w:t>
      </w:r>
      <w:r w:rsidRPr="003A637E" w:rsidR="00451904">
        <w:rPr>
          <w:rFonts w:cstheme="minorHAnsi"/>
          <w:b w:val="0"/>
        </w:rPr>
        <w:t xml:space="preserve"> </w:t>
      </w:r>
      <w:r w:rsidRPr="003A637E" w:rsidR="0049174E">
        <w:rPr>
          <w:rFonts w:cstheme="minorHAnsi"/>
          <w:b w:val="0"/>
        </w:rPr>
        <w:t xml:space="preserve">operations. </w:t>
      </w:r>
      <w:r w:rsidR="00FA6D32">
        <w:rPr>
          <w:rFonts w:cstheme="minorHAnsi"/>
          <w:b w:val="0"/>
        </w:rPr>
        <w:t xml:space="preserve">The periodic narrative </w:t>
      </w:r>
      <w:r w:rsidRPr="003A2C0B" w:rsidR="00FA6D32">
        <w:rPr>
          <w:rFonts w:cstheme="minorHAnsi"/>
          <w:b w:val="0"/>
        </w:rPr>
        <w:t xml:space="preserve">reports </w:t>
      </w:r>
      <w:r w:rsidRPr="003A2C0B" w:rsidR="001B766C">
        <w:rPr>
          <w:rFonts w:cstheme="minorHAnsi"/>
          <w:b w:val="0"/>
        </w:rPr>
        <w:t>are due quarterly (PSP) or semi-annually (</w:t>
      </w:r>
      <w:r w:rsidRPr="003A637E" w:rsidR="001B766C">
        <w:rPr>
          <w:rFonts w:cstheme="minorHAnsi"/>
          <w:b w:val="0"/>
        </w:rPr>
        <w:t>BEYOND).</w:t>
      </w:r>
    </w:p>
    <w:p w:rsidR="001B766C" w:rsidP="002371CB" w:rsidRDefault="001B766C" w14:paraId="17D935FE" w14:textId="6BFE7887">
      <w:pPr>
        <w:pStyle w:val="Heading2"/>
        <w:numPr>
          <w:ilvl w:val="0"/>
          <w:numId w:val="8"/>
        </w:numPr>
        <w:ind w:left="1872" w:hanging="576"/>
        <w:rPr>
          <w:rFonts w:cstheme="minorHAnsi"/>
          <w:b w:val="0"/>
        </w:rPr>
      </w:pPr>
      <w:r>
        <w:rPr>
          <w:rFonts w:cstheme="minorHAnsi"/>
          <w:b w:val="0"/>
        </w:rPr>
        <w:t>PSP Quarterly Reports</w:t>
      </w:r>
    </w:p>
    <w:p w:rsidR="001B766C" w:rsidP="002371CB" w:rsidRDefault="001B766C" w14:paraId="6EE7390E" w14:textId="69A46A64">
      <w:pPr>
        <w:pStyle w:val="Heading2"/>
        <w:numPr>
          <w:ilvl w:val="0"/>
          <w:numId w:val="8"/>
        </w:numPr>
        <w:ind w:left="1872" w:hanging="576"/>
        <w:rPr>
          <w:rFonts w:cstheme="minorHAnsi"/>
          <w:b w:val="0"/>
        </w:rPr>
      </w:pPr>
      <w:r>
        <w:rPr>
          <w:rFonts w:cstheme="minorHAnsi"/>
          <w:b w:val="0"/>
        </w:rPr>
        <w:t>BEYOND Semi-Annual Reports</w:t>
      </w:r>
    </w:p>
    <w:p w:rsidR="00B27D24" w:rsidP="007232CA" w:rsidRDefault="00B27D24" w14:paraId="4A0CBB53" w14:textId="4A0A6673">
      <w:pPr>
        <w:pStyle w:val="Heading2"/>
        <w:numPr>
          <w:ilvl w:val="0"/>
          <w:numId w:val="0"/>
        </w:numPr>
        <w:ind w:left="936"/>
        <w:rPr>
          <w:rFonts w:cstheme="minorHAnsi"/>
          <w:b w:val="0"/>
        </w:rPr>
      </w:pPr>
      <w:r>
        <w:rPr>
          <w:rFonts w:cstheme="minorHAnsi"/>
          <w:b w:val="0"/>
        </w:rPr>
        <w:t xml:space="preserve">The FAA program managers of the BEYOND and PSP programs </w:t>
      </w:r>
      <w:r w:rsidR="00BA02C4">
        <w:rPr>
          <w:rFonts w:cstheme="minorHAnsi"/>
          <w:b w:val="0"/>
        </w:rPr>
        <w:t xml:space="preserve">will </w:t>
      </w:r>
      <w:r>
        <w:rPr>
          <w:rFonts w:cstheme="minorHAnsi"/>
          <w:b w:val="0"/>
        </w:rPr>
        <w:t>use this information</w:t>
      </w:r>
      <w:r w:rsidR="00386971">
        <w:rPr>
          <w:rFonts w:cstheme="minorHAnsi"/>
          <w:b w:val="0"/>
        </w:rPr>
        <w:t xml:space="preserve"> to monitor progress toward the participants’ stated objectives in their concepts of operations and identify obstacles that need to be addressed for continued progress. The FAA program managers </w:t>
      </w:r>
      <w:r w:rsidR="00BA02C4">
        <w:rPr>
          <w:rFonts w:cstheme="minorHAnsi"/>
          <w:b w:val="0"/>
        </w:rPr>
        <w:t xml:space="preserve">will </w:t>
      </w:r>
      <w:r w:rsidR="00386971">
        <w:rPr>
          <w:rFonts w:cstheme="minorHAnsi"/>
          <w:b w:val="0"/>
        </w:rPr>
        <w:t>also use these reports to gather, summarize, and share lessons learned with other program participants to enhance their</w:t>
      </w:r>
      <w:r w:rsidR="001D4D4D">
        <w:rPr>
          <w:rFonts w:cstheme="minorHAnsi"/>
          <w:b w:val="0"/>
        </w:rPr>
        <w:t xml:space="preserve"> project</w:t>
      </w:r>
      <w:r w:rsidR="00386971">
        <w:rPr>
          <w:rFonts w:cstheme="minorHAnsi"/>
          <w:b w:val="0"/>
        </w:rPr>
        <w:t>s.</w:t>
      </w:r>
    </w:p>
    <w:p w:rsidR="004C1813" w:rsidP="004C1813" w:rsidRDefault="004C1813" w14:paraId="28146C7C" w14:textId="15B4DDDB">
      <w:pPr>
        <w:pStyle w:val="Heading2"/>
        <w:numPr>
          <w:ilvl w:val="0"/>
          <w:numId w:val="7"/>
        </w:numPr>
        <w:rPr>
          <w:rFonts w:cstheme="minorHAnsi"/>
          <w:b w:val="0"/>
        </w:rPr>
      </w:pPr>
      <w:r>
        <w:rPr>
          <w:rFonts w:cstheme="minorHAnsi"/>
          <w:b w:val="0"/>
        </w:rPr>
        <w:t xml:space="preserve">The BEYOND and PSP programs require </w:t>
      </w:r>
      <w:r w:rsidR="00574C5D">
        <w:rPr>
          <w:rFonts w:cstheme="minorHAnsi"/>
          <w:b w:val="0"/>
        </w:rPr>
        <w:t xml:space="preserve">the participants to submit </w:t>
      </w:r>
      <w:r>
        <w:rPr>
          <w:rFonts w:cstheme="minorHAnsi"/>
          <w:b w:val="0"/>
        </w:rPr>
        <w:t xml:space="preserve">one-time </w:t>
      </w:r>
      <w:r w:rsidRPr="00B3773D">
        <w:rPr>
          <w:rFonts w:cstheme="minorHAnsi"/>
          <w:b w:val="0"/>
          <w:u w:val="single"/>
        </w:rPr>
        <w:t>narrative reports</w:t>
      </w:r>
      <w:r w:rsidRPr="002371CB" w:rsidR="00574C5D">
        <w:rPr>
          <w:rFonts w:cstheme="minorHAnsi"/>
          <w:b w:val="0"/>
        </w:rPr>
        <w:t xml:space="preserve"> at the conclusion of the MOA or MOU</w:t>
      </w:r>
      <w:r>
        <w:rPr>
          <w:rFonts w:cstheme="minorHAnsi"/>
          <w:b w:val="0"/>
        </w:rPr>
        <w:t>.</w:t>
      </w:r>
    </w:p>
    <w:p w:rsidRPr="00D71606" w:rsidR="00FA6D32" w:rsidP="007232CA" w:rsidRDefault="00FA6D32" w14:paraId="41D9015E" w14:textId="1138E1E8">
      <w:pPr>
        <w:pStyle w:val="Heading2"/>
        <w:numPr>
          <w:ilvl w:val="0"/>
          <w:numId w:val="0"/>
        </w:numPr>
        <w:ind w:left="936"/>
        <w:rPr>
          <w:b w:val="0"/>
        </w:rPr>
      </w:pPr>
      <w:r>
        <w:rPr>
          <w:rFonts w:cstheme="minorHAnsi"/>
          <w:b w:val="0"/>
        </w:rPr>
        <w:t>U</w:t>
      </w:r>
      <w:r w:rsidRPr="00FA6D32">
        <w:rPr>
          <w:b w:val="0"/>
        </w:rPr>
        <w:t xml:space="preserve">pon termination of the </w:t>
      </w:r>
      <w:r>
        <w:rPr>
          <w:b w:val="0"/>
        </w:rPr>
        <w:t>MOA or MOU, the</w:t>
      </w:r>
      <w:r w:rsidR="00AD06BC">
        <w:rPr>
          <w:b w:val="0"/>
        </w:rPr>
        <w:t xml:space="preserve"> BEYOND and PSP program</w:t>
      </w:r>
      <w:r>
        <w:rPr>
          <w:b w:val="0"/>
        </w:rPr>
        <w:t xml:space="preserve"> participants are required </w:t>
      </w:r>
      <w:r w:rsidR="00AD06BC">
        <w:rPr>
          <w:b w:val="0"/>
        </w:rPr>
        <w:t xml:space="preserve">to submit </w:t>
      </w:r>
      <w:r w:rsidR="00574C5D">
        <w:rPr>
          <w:b w:val="0"/>
        </w:rPr>
        <w:t>f</w:t>
      </w:r>
      <w:r w:rsidR="00AD06BC">
        <w:rPr>
          <w:b w:val="0"/>
        </w:rPr>
        <w:t xml:space="preserve">inal </w:t>
      </w:r>
      <w:r w:rsidR="00574C5D">
        <w:rPr>
          <w:b w:val="0"/>
        </w:rPr>
        <w:t>r</w:t>
      </w:r>
      <w:r>
        <w:rPr>
          <w:b w:val="0"/>
        </w:rPr>
        <w:t>eport</w:t>
      </w:r>
      <w:r w:rsidR="00AD06BC">
        <w:rPr>
          <w:b w:val="0"/>
        </w:rPr>
        <w:t>s</w:t>
      </w:r>
      <w:r>
        <w:rPr>
          <w:b w:val="0"/>
        </w:rPr>
        <w:t xml:space="preserve"> covering </w:t>
      </w:r>
      <w:r w:rsidR="00D71606">
        <w:rPr>
          <w:b w:val="0"/>
        </w:rPr>
        <w:t xml:space="preserve">their operations for </w:t>
      </w:r>
      <w:r w:rsidRPr="00FA6D32">
        <w:rPr>
          <w:b w:val="0"/>
        </w:rPr>
        <w:t xml:space="preserve">the entire period of participation. </w:t>
      </w:r>
      <w:r w:rsidR="00A232C9">
        <w:rPr>
          <w:b w:val="0"/>
        </w:rPr>
        <w:t xml:space="preserve">The reports </w:t>
      </w:r>
      <w:r w:rsidR="00BA02C4">
        <w:rPr>
          <w:b w:val="0"/>
        </w:rPr>
        <w:t xml:space="preserve">will </w:t>
      </w:r>
      <w:r w:rsidR="00A232C9">
        <w:rPr>
          <w:b w:val="0"/>
        </w:rPr>
        <w:t>include their project scopes, accomplishments, unexpected/unintended outcomes (positive or negative), their contributions to the objective of furthering UAS integration into the NAS, summaries of their community engagement activities, and reviews of the economic and societal benefits of their projects.</w:t>
      </w:r>
    </w:p>
    <w:p w:rsidRPr="007232CA" w:rsidR="00D71606" w:rsidP="002371CB" w:rsidRDefault="00D71606" w14:paraId="187FAA8F" w14:textId="16125689">
      <w:pPr>
        <w:pStyle w:val="Heading2"/>
        <w:numPr>
          <w:ilvl w:val="0"/>
          <w:numId w:val="8"/>
        </w:numPr>
        <w:ind w:left="1872" w:hanging="576"/>
        <w:rPr>
          <w:rFonts w:cstheme="minorHAnsi"/>
          <w:b w:val="0"/>
        </w:rPr>
      </w:pPr>
      <w:r w:rsidRPr="007232CA">
        <w:rPr>
          <w:rFonts w:cstheme="minorHAnsi"/>
          <w:b w:val="0"/>
        </w:rPr>
        <w:t>BEYOND Final Reports</w:t>
      </w:r>
    </w:p>
    <w:p w:rsidRPr="007232CA" w:rsidR="00D71606" w:rsidP="002371CB" w:rsidRDefault="00D71606" w14:paraId="71D3EF1C" w14:textId="4179B244">
      <w:pPr>
        <w:pStyle w:val="Heading2"/>
        <w:numPr>
          <w:ilvl w:val="0"/>
          <w:numId w:val="8"/>
        </w:numPr>
        <w:ind w:left="1872" w:hanging="576"/>
        <w:rPr>
          <w:rFonts w:cstheme="minorHAnsi"/>
          <w:b w:val="0"/>
        </w:rPr>
      </w:pPr>
      <w:r w:rsidRPr="007232CA">
        <w:rPr>
          <w:rFonts w:cstheme="minorHAnsi"/>
          <w:b w:val="0"/>
        </w:rPr>
        <w:t>PSP Final Reports</w:t>
      </w:r>
    </w:p>
    <w:p w:rsidR="00D71606" w:rsidP="00775BA7" w:rsidRDefault="00A232C9" w14:paraId="37729821" w14:textId="716E09B3">
      <w:pPr>
        <w:pStyle w:val="Heading2"/>
        <w:numPr>
          <w:ilvl w:val="0"/>
          <w:numId w:val="0"/>
        </w:numPr>
        <w:ind w:left="936"/>
        <w:rPr>
          <w:b w:val="0"/>
        </w:rPr>
      </w:pPr>
      <w:r>
        <w:rPr>
          <w:rFonts w:cstheme="minorHAnsi"/>
          <w:b w:val="0"/>
        </w:rPr>
        <w:t xml:space="preserve">The FAA program managers </w:t>
      </w:r>
      <w:r w:rsidR="00BA02C4">
        <w:rPr>
          <w:rFonts w:cstheme="minorHAnsi"/>
          <w:b w:val="0"/>
        </w:rPr>
        <w:t xml:space="preserve">will </w:t>
      </w:r>
      <w:r>
        <w:rPr>
          <w:rFonts w:cstheme="minorHAnsi"/>
          <w:b w:val="0"/>
        </w:rPr>
        <w:t xml:space="preserve">use these reports to provide the participants’ perspectives in </w:t>
      </w:r>
      <w:r w:rsidR="007B5485">
        <w:rPr>
          <w:rFonts w:cstheme="minorHAnsi"/>
          <w:b w:val="0"/>
        </w:rPr>
        <w:t>any</w:t>
      </w:r>
      <w:r>
        <w:rPr>
          <w:rFonts w:cstheme="minorHAnsi"/>
          <w:b w:val="0"/>
        </w:rPr>
        <w:t xml:space="preserve"> final report written by the </w:t>
      </w:r>
      <w:r w:rsidR="007B5485">
        <w:rPr>
          <w:rFonts w:cstheme="minorHAnsi"/>
          <w:b w:val="0"/>
        </w:rPr>
        <w:t>FAA</w:t>
      </w:r>
      <w:r>
        <w:rPr>
          <w:rFonts w:cstheme="minorHAnsi"/>
          <w:b w:val="0"/>
        </w:rPr>
        <w:t xml:space="preserve">. </w:t>
      </w:r>
      <w:r w:rsidR="00AD06BC">
        <w:rPr>
          <w:b w:val="0"/>
        </w:rPr>
        <w:t>The</w:t>
      </w:r>
      <w:r w:rsidR="00D71606">
        <w:rPr>
          <w:b w:val="0"/>
        </w:rPr>
        <w:t xml:space="preserve"> narrative report submissions</w:t>
      </w:r>
      <w:r w:rsidRPr="00D71606" w:rsidR="00D71606">
        <w:rPr>
          <w:b w:val="0"/>
        </w:rPr>
        <w:t xml:space="preserve"> will </w:t>
      </w:r>
      <w:r w:rsidR="00BA02C4">
        <w:rPr>
          <w:b w:val="0"/>
        </w:rPr>
        <w:t xml:space="preserve">also </w:t>
      </w:r>
      <w:r w:rsidRPr="00D71606" w:rsidR="00D71606">
        <w:rPr>
          <w:b w:val="0"/>
        </w:rPr>
        <w:t>inform the FAA of operational trends, highlight successes and failures and their causes, and help the FAA make policy and resource decisions.</w:t>
      </w:r>
    </w:p>
    <w:p w:rsidR="00574C5D" w:rsidP="00574C5D" w:rsidRDefault="00A232C9" w14:paraId="62FB1DD2" w14:textId="3E5BD36A">
      <w:pPr>
        <w:pStyle w:val="Heading2"/>
        <w:numPr>
          <w:ilvl w:val="0"/>
          <w:numId w:val="7"/>
        </w:numPr>
        <w:rPr>
          <w:rFonts w:cstheme="minorHAnsi"/>
          <w:b w:val="0"/>
        </w:rPr>
      </w:pPr>
      <w:r>
        <w:rPr>
          <w:rFonts w:cstheme="minorHAnsi"/>
          <w:b w:val="0"/>
        </w:rPr>
        <w:t>The BEYOND program</w:t>
      </w:r>
      <w:r w:rsidR="00574C5D">
        <w:rPr>
          <w:rFonts w:cstheme="minorHAnsi"/>
          <w:b w:val="0"/>
        </w:rPr>
        <w:t xml:space="preserve"> require</w:t>
      </w:r>
      <w:r>
        <w:rPr>
          <w:rFonts w:cstheme="minorHAnsi"/>
          <w:b w:val="0"/>
        </w:rPr>
        <w:t>s</w:t>
      </w:r>
      <w:r w:rsidR="00574C5D">
        <w:rPr>
          <w:rFonts w:cstheme="minorHAnsi"/>
          <w:b w:val="0"/>
        </w:rPr>
        <w:t xml:space="preserve"> </w:t>
      </w:r>
      <w:r>
        <w:rPr>
          <w:rFonts w:cstheme="minorHAnsi"/>
          <w:b w:val="0"/>
        </w:rPr>
        <w:t>the submission of a</w:t>
      </w:r>
      <w:r w:rsidR="00574C5D">
        <w:rPr>
          <w:rFonts w:cstheme="minorHAnsi"/>
          <w:b w:val="0"/>
        </w:rPr>
        <w:t xml:space="preserve"> one-time </w:t>
      </w:r>
      <w:r w:rsidRPr="00B3773D" w:rsidR="00574C5D">
        <w:rPr>
          <w:rFonts w:cstheme="minorHAnsi"/>
          <w:b w:val="0"/>
          <w:u w:val="single"/>
        </w:rPr>
        <w:t>narrative report</w:t>
      </w:r>
      <w:r>
        <w:rPr>
          <w:rFonts w:cstheme="minorHAnsi"/>
          <w:b w:val="0"/>
        </w:rPr>
        <w:t xml:space="preserve"> if a participant or partner withdraws from the program prior to the termination of the MOA</w:t>
      </w:r>
      <w:r w:rsidR="00574C5D">
        <w:rPr>
          <w:rFonts w:cstheme="minorHAnsi"/>
          <w:b w:val="0"/>
        </w:rPr>
        <w:t>.</w:t>
      </w:r>
    </w:p>
    <w:p w:rsidRPr="007232CA" w:rsidR="00574C5D" w:rsidP="002371CB" w:rsidRDefault="00574C5D" w14:paraId="7271BCAA" w14:textId="77777777">
      <w:pPr>
        <w:pStyle w:val="Heading2"/>
        <w:numPr>
          <w:ilvl w:val="0"/>
          <w:numId w:val="8"/>
        </w:numPr>
        <w:ind w:left="1872" w:hanging="576"/>
        <w:rPr>
          <w:rFonts w:cstheme="minorHAnsi"/>
          <w:b w:val="0"/>
        </w:rPr>
      </w:pPr>
      <w:r w:rsidRPr="007232CA">
        <w:rPr>
          <w:rFonts w:cstheme="minorHAnsi"/>
          <w:b w:val="0"/>
        </w:rPr>
        <w:t>BEYOND Program Withdrawal Reports</w:t>
      </w:r>
    </w:p>
    <w:p w:rsidR="00574C5D" w:rsidP="002371CB" w:rsidRDefault="00574C5D" w14:paraId="6B5E2C12" w14:textId="60D245A9">
      <w:pPr>
        <w:pStyle w:val="Heading2"/>
        <w:numPr>
          <w:ilvl w:val="0"/>
          <w:numId w:val="0"/>
        </w:numPr>
        <w:ind w:left="990"/>
        <w:rPr>
          <w:rFonts w:cstheme="minorHAnsi"/>
          <w:b w:val="0"/>
        </w:rPr>
      </w:pPr>
      <w:r>
        <w:rPr>
          <w:rFonts w:cstheme="minorHAnsi"/>
          <w:b w:val="0"/>
        </w:rPr>
        <w:t>If a program participant or a participant’s partner withdraws from the BEYOND program prior to the termination of the MOA, the participant withdrawing</w:t>
      </w:r>
      <w:r w:rsidR="007B5485">
        <w:rPr>
          <w:rFonts w:cstheme="minorHAnsi"/>
          <w:b w:val="0"/>
        </w:rPr>
        <w:t xml:space="preserve"> or whose partner withdraws</w:t>
      </w:r>
      <w:r>
        <w:rPr>
          <w:rFonts w:cstheme="minorHAnsi"/>
          <w:b w:val="0"/>
        </w:rPr>
        <w:t xml:space="preserve"> </w:t>
      </w:r>
      <w:r w:rsidR="00BA02C4">
        <w:rPr>
          <w:rFonts w:cstheme="minorHAnsi"/>
          <w:b w:val="0"/>
        </w:rPr>
        <w:t>will</w:t>
      </w:r>
      <w:r>
        <w:rPr>
          <w:rFonts w:cstheme="minorHAnsi"/>
          <w:b w:val="0"/>
        </w:rPr>
        <w:t xml:space="preserve"> submit</w:t>
      </w:r>
      <w:r w:rsidR="00BA02C4">
        <w:rPr>
          <w:rFonts w:cstheme="minorHAnsi"/>
          <w:b w:val="0"/>
        </w:rPr>
        <w:t xml:space="preserve"> a narrative report that details the reasons for </w:t>
      </w:r>
      <w:r w:rsidR="007B5485">
        <w:rPr>
          <w:rFonts w:cstheme="minorHAnsi"/>
          <w:b w:val="0"/>
        </w:rPr>
        <w:t xml:space="preserve">leaving the </w:t>
      </w:r>
      <w:r w:rsidR="007B5485">
        <w:rPr>
          <w:rFonts w:cstheme="minorHAnsi"/>
          <w:b w:val="0"/>
        </w:rPr>
        <w:lastRenderedPageBreak/>
        <w:t xml:space="preserve">BEYOND program </w:t>
      </w:r>
      <w:r w:rsidR="00BA02C4">
        <w:rPr>
          <w:rFonts w:cstheme="minorHAnsi"/>
          <w:b w:val="0"/>
        </w:rPr>
        <w:t xml:space="preserve">and indicates whether they expect to overcome their challenges and consider returning </w:t>
      </w:r>
      <w:r w:rsidR="007B5485">
        <w:rPr>
          <w:rFonts w:cstheme="minorHAnsi"/>
          <w:b w:val="0"/>
        </w:rPr>
        <w:t>at a future date</w:t>
      </w:r>
      <w:r w:rsidR="00BA02C4">
        <w:rPr>
          <w:rFonts w:cstheme="minorHAnsi"/>
          <w:b w:val="0"/>
        </w:rPr>
        <w:t>.</w:t>
      </w:r>
    </w:p>
    <w:p w:rsidR="00BA02C4" w:rsidP="002371CB" w:rsidRDefault="00BA02C4" w14:paraId="17C33FDF" w14:textId="36E78DA9">
      <w:pPr>
        <w:pStyle w:val="Heading2"/>
        <w:numPr>
          <w:ilvl w:val="0"/>
          <w:numId w:val="0"/>
        </w:numPr>
        <w:ind w:left="990"/>
        <w:rPr>
          <w:rFonts w:cstheme="minorHAnsi"/>
          <w:b w:val="0"/>
        </w:rPr>
      </w:pPr>
      <w:r>
        <w:rPr>
          <w:rFonts w:cstheme="minorHAnsi"/>
          <w:b w:val="0"/>
        </w:rPr>
        <w:t xml:space="preserve">The FAA BEYOND program managers will use these reports to identify and address any agency hurdles to program participation. The FAA program managers will also use these reports to determine if there are lessons to be learned and applied to </w:t>
      </w:r>
      <w:r w:rsidR="00A85E84">
        <w:rPr>
          <w:rFonts w:cstheme="minorHAnsi"/>
          <w:b w:val="0"/>
        </w:rPr>
        <w:t>support</w:t>
      </w:r>
      <w:r>
        <w:rPr>
          <w:rFonts w:cstheme="minorHAnsi"/>
          <w:b w:val="0"/>
        </w:rPr>
        <w:t xml:space="preserve"> the remaining participants’ successful continuation.</w:t>
      </w:r>
    </w:p>
    <w:p w:rsidRPr="007B5485" w:rsidR="00254BB0" w:rsidP="00C143B2" w:rsidRDefault="00D71606" w14:paraId="3A158D47" w14:textId="0E4E2AA5">
      <w:pPr>
        <w:pStyle w:val="Heading2"/>
        <w:numPr>
          <w:ilvl w:val="0"/>
          <w:numId w:val="7"/>
        </w:numPr>
        <w:rPr>
          <w:b w:val="0"/>
        </w:rPr>
      </w:pPr>
      <w:r>
        <w:rPr>
          <w:rFonts w:cstheme="minorHAnsi"/>
          <w:b w:val="0"/>
        </w:rPr>
        <w:t>The BEYOND and PSP programs require</w:t>
      </w:r>
      <w:r w:rsidRPr="003A637E" w:rsidR="00C3439E">
        <w:rPr>
          <w:rFonts w:cstheme="minorHAnsi"/>
          <w:b w:val="0"/>
        </w:rPr>
        <w:t xml:space="preserve"> the </w:t>
      </w:r>
      <w:r w:rsidR="001D4D4D">
        <w:rPr>
          <w:rFonts w:cstheme="minorHAnsi"/>
          <w:b w:val="0"/>
        </w:rPr>
        <w:t xml:space="preserve">program </w:t>
      </w:r>
      <w:r w:rsidRPr="003A637E" w:rsidR="00C3439E">
        <w:rPr>
          <w:rFonts w:cstheme="minorHAnsi"/>
          <w:b w:val="0"/>
        </w:rPr>
        <w:t xml:space="preserve">participants </w:t>
      </w:r>
      <w:r>
        <w:rPr>
          <w:rFonts w:cstheme="minorHAnsi"/>
          <w:b w:val="0"/>
        </w:rPr>
        <w:t>to submit</w:t>
      </w:r>
      <w:r w:rsidRPr="003A637E" w:rsidR="00C3439E">
        <w:rPr>
          <w:rFonts w:cstheme="minorHAnsi"/>
          <w:b w:val="0"/>
        </w:rPr>
        <w:t xml:space="preserve"> </w:t>
      </w:r>
      <w:r w:rsidRPr="00B3773D" w:rsidR="00C3439E">
        <w:rPr>
          <w:rFonts w:cstheme="minorHAnsi"/>
          <w:b w:val="0"/>
          <w:u w:val="single"/>
        </w:rPr>
        <w:t>operation</w:t>
      </w:r>
      <w:r w:rsidR="001D4D4D">
        <w:rPr>
          <w:rFonts w:cstheme="minorHAnsi"/>
          <w:b w:val="0"/>
          <w:u w:val="single"/>
        </w:rPr>
        <w:t>al</w:t>
      </w:r>
      <w:r w:rsidRPr="00B3773D" w:rsidR="00683D73">
        <w:rPr>
          <w:rFonts w:cstheme="minorHAnsi"/>
          <w:b w:val="0"/>
          <w:u w:val="single"/>
        </w:rPr>
        <w:t xml:space="preserve"> data</w:t>
      </w:r>
      <w:r w:rsidRPr="00B3773D" w:rsidR="00B3773D">
        <w:rPr>
          <w:rFonts w:cstheme="minorHAnsi"/>
          <w:b w:val="0"/>
          <w:u w:val="single"/>
        </w:rPr>
        <w:t xml:space="preserve"> reports</w:t>
      </w:r>
      <w:r w:rsidRPr="003A637E" w:rsidR="0049174E">
        <w:rPr>
          <w:rFonts w:cstheme="minorHAnsi"/>
          <w:b w:val="0"/>
        </w:rPr>
        <w:t>.</w:t>
      </w:r>
    </w:p>
    <w:p w:rsidRPr="00832B9F" w:rsidR="00254BB0" w:rsidP="002371CB" w:rsidRDefault="00254BB0" w14:paraId="4140486F" w14:textId="25EF4CD4">
      <w:pPr>
        <w:pStyle w:val="Heading2"/>
        <w:numPr>
          <w:ilvl w:val="0"/>
          <w:numId w:val="14"/>
        </w:numPr>
        <w:ind w:left="1872" w:hanging="576"/>
        <w:rPr>
          <w:rFonts w:cstheme="minorHAnsi"/>
          <w:b w:val="0"/>
        </w:rPr>
      </w:pPr>
      <w:r w:rsidRPr="007232CA">
        <w:rPr>
          <w:rFonts w:cstheme="minorHAnsi"/>
          <w:b w:val="0"/>
        </w:rPr>
        <w:t xml:space="preserve">UAS Characteristics </w:t>
      </w:r>
      <w:r>
        <w:rPr>
          <w:rFonts w:cstheme="minorHAnsi"/>
          <w:b w:val="0"/>
        </w:rPr>
        <w:t>Reports</w:t>
      </w:r>
    </w:p>
    <w:p w:rsidR="00F3285B" w:rsidP="002371CB" w:rsidRDefault="00F3285B" w14:paraId="5C666626" w14:textId="4AC87728">
      <w:pPr>
        <w:pStyle w:val="Heading2"/>
        <w:numPr>
          <w:ilvl w:val="0"/>
          <w:numId w:val="0"/>
        </w:numPr>
        <w:ind w:left="990"/>
        <w:rPr>
          <w:rFonts w:cstheme="minorHAnsi"/>
          <w:b w:val="0"/>
        </w:rPr>
      </w:pPr>
      <w:r>
        <w:rPr>
          <w:rFonts w:cstheme="minorHAnsi"/>
          <w:b w:val="0"/>
        </w:rPr>
        <w:t xml:space="preserve">The participants will complete a one-time submission of the UAS Characteristics Reports for each of the aircraft in their fleets. When the BEYOND data analyst notes a new aircraft registration number in a UAS </w:t>
      </w:r>
      <w:r w:rsidR="00E71CB4">
        <w:rPr>
          <w:rFonts w:cstheme="minorHAnsi"/>
          <w:b w:val="0"/>
        </w:rPr>
        <w:t xml:space="preserve">Monthly </w:t>
      </w:r>
      <w:r>
        <w:rPr>
          <w:rFonts w:cstheme="minorHAnsi"/>
          <w:b w:val="0"/>
        </w:rPr>
        <w:t>Operational Flight Report, the data analyst will use the registration number to obtain the aircraft manufacturer and model information from the aircraft registry. The analyst will then use the manufacturer and model information to populate as many of the specification fields on the report from the manufacturer’s website and other available sources. The analyst will then route the partially-completed form to the participant to complete.</w:t>
      </w:r>
    </w:p>
    <w:p w:rsidR="00775BA7" w:rsidP="002371CB" w:rsidRDefault="00F3285B" w14:paraId="125F7A18" w14:textId="5A23B58D">
      <w:pPr>
        <w:pStyle w:val="Heading2"/>
        <w:numPr>
          <w:ilvl w:val="0"/>
          <w:numId w:val="0"/>
        </w:numPr>
        <w:ind w:left="990"/>
        <w:rPr>
          <w:b w:val="0"/>
        </w:rPr>
      </w:pPr>
      <w:r>
        <w:rPr>
          <w:rFonts w:cstheme="minorHAnsi"/>
          <w:b w:val="0"/>
        </w:rPr>
        <w:t>If the participant modifies an aircraft that results in the reported specifications to change, the participant will update the applicable UAS Characteristics Report.</w:t>
      </w:r>
    </w:p>
    <w:p w:rsidRPr="007232CA" w:rsidR="00832B9F" w:rsidP="002371CB" w:rsidRDefault="00832B9F" w14:paraId="065888C7" w14:textId="2A88FF7E">
      <w:pPr>
        <w:pStyle w:val="Heading2"/>
        <w:numPr>
          <w:ilvl w:val="0"/>
          <w:numId w:val="14"/>
        </w:numPr>
        <w:ind w:left="1872" w:hanging="576"/>
        <w:rPr>
          <w:rFonts w:cstheme="minorHAnsi"/>
          <w:b w:val="0"/>
        </w:rPr>
      </w:pPr>
      <w:r w:rsidRPr="007232CA">
        <w:rPr>
          <w:rFonts w:cstheme="minorHAnsi"/>
          <w:b w:val="0"/>
        </w:rPr>
        <w:t xml:space="preserve">UAS </w:t>
      </w:r>
      <w:r w:rsidR="00E71CB4">
        <w:rPr>
          <w:rFonts w:cstheme="minorHAnsi"/>
          <w:b w:val="0"/>
        </w:rPr>
        <w:t xml:space="preserve">Monthly </w:t>
      </w:r>
      <w:r w:rsidRPr="007232CA">
        <w:rPr>
          <w:rFonts w:cstheme="minorHAnsi"/>
          <w:b w:val="0"/>
        </w:rPr>
        <w:t>Operational Fl</w:t>
      </w:r>
      <w:r>
        <w:rPr>
          <w:rFonts w:cstheme="minorHAnsi"/>
          <w:b w:val="0"/>
        </w:rPr>
        <w:t>ight Reports</w:t>
      </w:r>
    </w:p>
    <w:p w:rsidR="00775BA7" w:rsidP="002371CB" w:rsidRDefault="007F7F25" w14:paraId="5950BCD1" w14:textId="0011F82F">
      <w:pPr>
        <w:pStyle w:val="Heading2"/>
        <w:numPr>
          <w:ilvl w:val="0"/>
          <w:numId w:val="14"/>
        </w:numPr>
        <w:ind w:left="1872" w:hanging="576"/>
        <w:rPr>
          <w:rFonts w:cstheme="minorHAnsi"/>
          <w:b w:val="0"/>
        </w:rPr>
      </w:pPr>
      <w:r w:rsidRPr="007232CA">
        <w:rPr>
          <w:rFonts w:cstheme="minorHAnsi"/>
          <w:b w:val="0"/>
        </w:rPr>
        <w:t xml:space="preserve">UAS Maintenance Data </w:t>
      </w:r>
      <w:r w:rsidR="00AD06BC">
        <w:rPr>
          <w:rFonts w:cstheme="minorHAnsi"/>
          <w:b w:val="0"/>
        </w:rPr>
        <w:t>Report</w:t>
      </w:r>
      <w:r w:rsidR="00973232">
        <w:rPr>
          <w:rFonts w:cstheme="minorHAnsi"/>
          <w:b w:val="0"/>
        </w:rPr>
        <w:t>s</w:t>
      </w:r>
    </w:p>
    <w:p w:rsidR="001D4D4D" w:rsidP="002371CB" w:rsidRDefault="001D4D4D" w14:paraId="36804650" w14:textId="1896A1F5">
      <w:pPr>
        <w:pStyle w:val="Heading2"/>
        <w:numPr>
          <w:ilvl w:val="0"/>
          <w:numId w:val="0"/>
        </w:numPr>
        <w:ind w:left="990"/>
        <w:rPr>
          <w:rFonts w:cstheme="minorHAnsi"/>
          <w:b w:val="0"/>
        </w:rPr>
      </w:pPr>
      <w:r w:rsidRPr="00775BA7">
        <w:rPr>
          <w:rFonts w:cstheme="minorHAnsi"/>
          <w:b w:val="0"/>
        </w:rPr>
        <w:t xml:space="preserve">The UAS </w:t>
      </w:r>
      <w:r w:rsidR="00E71CB4">
        <w:rPr>
          <w:rFonts w:cstheme="minorHAnsi"/>
          <w:b w:val="0"/>
        </w:rPr>
        <w:t xml:space="preserve">Monthly </w:t>
      </w:r>
      <w:r w:rsidRPr="00775BA7">
        <w:rPr>
          <w:rFonts w:cstheme="minorHAnsi"/>
          <w:b w:val="0"/>
        </w:rPr>
        <w:t>Operational Flight Report</w:t>
      </w:r>
      <w:r>
        <w:rPr>
          <w:rFonts w:cstheme="minorHAnsi"/>
          <w:b w:val="0"/>
        </w:rPr>
        <w:t>s</w:t>
      </w:r>
      <w:r w:rsidRPr="00775BA7">
        <w:rPr>
          <w:rFonts w:cstheme="minorHAnsi"/>
          <w:b w:val="0"/>
        </w:rPr>
        <w:t xml:space="preserve"> and the UAS Maintenance Data </w:t>
      </w:r>
      <w:r>
        <w:rPr>
          <w:rFonts w:cstheme="minorHAnsi"/>
          <w:b w:val="0"/>
        </w:rPr>
        <w:t>Reports</w:t>
      </w:r>
      <w:r w:rsidRPr="00775BA7">
        <w:rPr>
          <w:rFonts w:cstheme="minorHAnsi"/>
          <w:b w:val="0"/>
        </w:rPr>
        <w:t xml:space="preserve"> will be required monthly.</w:t>
      </w:r>
      <w:r>
        <w:rPr>
          <w:rFonts w:cstheme="minorHAnsi"/>
          <w:b w:val="0"/>
        </w:rPr>
        <w:t xml:space="preserve"> The participants will submit data about each operational, flight check, and training flight that they launched during the month.</w:t>
      </w:r>
      <w:r w:rsidR="00D5568E">
        <w:rPr>
          <w:rFonts w:cstheme="minorHAnsi"/>
          <w:b w:val="0"/>
        </w:rPr>
        <w:t xml:space="preserve"> The participants will report all corrective (unscheduled) maintenance actions that they performed on their aircraft during the month.</w:t>
      </w:r>
    </w:p>
    <w:p w:rsidR="00D5568E" w:rsidP="002371CB" w:rsidRDefault="00832B9F" w14:paraId="03404910" w14:textId="77777777">
      <w:pPr>
        <w:pStyle w:val="Heading2"/>
        <w:numPr>
          <w:ilvl w:val="0"/>
          <w:numId w:val="14"/>
        </w:numPr>
        <w:ind w:left="1872" w:hanging="576"/>
        <w:rPr>
          <w:rFonts w:cstheme="minorHAnsi"/>
          <w:b w:val="0"/>
        </w:rPr>
      </w:pPr>
      <w:r w:rsidRPr="007232CA">
        <w:rPr>
          <w:rFonts w:cstheme="minorHAnsi"/>
          <w:b w:val="0"/>
        </w:rPr>
        <w:t xml:space="preserve">UAS </w:t>
      </w:r>
      <w:r w:rsidR="00D5568E">
        <w:rPr>
          <w:rFonts w:cstheme="minorHAnsi"/>
          <w:b w:val="0"/>
        </w:rPr>
        <w:t>Flight Anomaly Reports</w:t>
      </w:r>
    </w:p>
    <w:p w:rsidR="00D5568E" w:rsidP="002371CB" w:rsidRDefault="00D5568E" w14:paraId="2712D549" w14:textId="0CD8460F">
      <w:pPr>
        <w:pStyle w:val="Heading2"/>
        <w:numPr>
          <w:ilvl w:val="0"/>
          <w:numId w:val="0"/>
        </w:numPr>
        <w:ind w:left="990"/>
        <w:rPr>
          <w:rFonts w:cstheme="minorHAnsi"/>
          <w:b w:val="0"/>
        </w:rPr>
      </w:pPr>
      <w:r>
        <w:rPr>
          <w:rFonts w:cstheme="minorHAnsi"/>
          <w:b w:val="0"/>
        </w:rPr>
        <w:t xml:space="preserve">The participants will submit </w:t>
      </w:r>
      <w:r w:rsidR="00254BB0">
        <w:rPr>
          <w:rFonts w:cstheme="minorHAnsi"/>
          <w:b w:val="0"/>
        </w:rPr>
        <w:t>a UAS Flight Anomaly Report</w:t>
      </w:r>
      <w:r>
        <w:rPr>
          <w:rFonts w:cstheme="minorHAnsi"/>
          <w:b w:val="0"/>
        </w:rPr>
        <w:t xml:space="preserve"> </w:t>
      </w:r>
      <w:r w:rsidR="00254BB0">
        <w:rPr>
          <w:rFonts w:cstheme="minorHAnsi"/>
          <w:b w:val="0"/>
        </w:rPr>
        <w:t>when there is an off-nominal event during a flight that does not meet the reporting criteria of an accident, incident, or occurrence but requires a mitigation strategy or the aircraft exceeds its operational boundaries.</w:t>
      </w:r>
    </w:p>
    <w:p w:rsidR="00775BA7" w:rsidP="002371CB" w:rsidRDefault="00BB7CF6" w14:paraId="28BAE682" w14:textId="1D9A1C9A">
      <w:pPr>
        <w:pStyle w:val="Heading2"/>
        <w:numPr>
          <w:ilvl w:val="0"/>
          <w:numId w:val="14"/>
        </w:numPr>
        <w:ind w:left="1872" w:hanging="576"/>
        <w:rPr>
          <w:rFonts w:cstheme="minorHAnsi"/>
          <w:b w:val="0"/>
        </w:rPr>
      </w:pPr>
      <w:r w:rsidRPr="007232CA">
        <w:rPr>
          <w:rFonts w:cstheme="minorHAnsi"/>
          <w:b w:val="0"/>
        </w:rPr>
        <w:t>UAS</w:t>
      </w:r>
      <w:r w:rsidRPr="007232CA" w:rsidR="00775BA7">
        <w:rPr>
          <w:rFonts w:cstheme="minorHAnsi"/>
          <w:b w:val="0"/>
        </w:rPr>
        <w:t xml:space="preserve"> </w:t>
      </w:r>
      <w:r w:rsidR="00F3285B">
        <w:rPr>
          <w:rFonts w:cstheme="minorHAnsi"/>
          <w:b w:val="0"/>
        </w:rPr>
        <w:t>Test Data</w:t>
      </w:r>
      <w:r w:rsidR="00AD06BC">
        <w:rPr>
          <w:rFonts w:cstheme="minorHAnsi"/>
          <w:b w:val="0"/>
        </w:rPr>
        <w:t xml:space="preserve"> Reports</w:t>
      </w:r>
    </w:p>
    <w:p w:rsidR="00D63EBE" w:rsidP="00775BA7" w:rsidRDefault="007A57DE" w14:paraId="589B75AF" w14:textId="68BC9FD6">
      <w:pPr>
        <w:pStyle w:val="Heading2"/>
        <w:numPr>
          <w:ilvl w:val="0"/>
          <w:numId w:val="0"/>
        </w:numPr>
        <w:ind w:left="936"/>
        <w:rPr>
          <w:rFonts w:cstheme="minorHAnsi"/>
          <w:b w:val="0"/>
        </w:rPr>
      </w:pPr>
      <w:r w:rsidRPr="00775BA7">
        <w:rPr>
          <w:rFonts w:cstheme="minorHAnsi"/>
          <w:b w:val="0"/>
        </w:rPr>
        <w:t>The purpose of these collections is to inform policy and decision-making related to</w:t>
      </w:r>
      <w:r w:rsidR="00D63EBE">
        <w:rPr>
          <w:rFonts w:cstheme="minorHAnsi"/>
          <w:b w:val="0"/>
        </w:rPr>
        <w:t xml:space="preserve"> </w:t>
      </w:r>
      <w:r w:rsidRPr="00775BA7" w:rsidR="006B23BF">
        <w:rPr>
          <w:rFonts w:cstheme="minorHAnsi"/>
          <w:b w:val="0"/>
        </w:rPr>
        <w:t xml:space="preserve">enabling operations </w:t>
      </w:r>
      <w:r w:rsidR="004B7C44">
        <w:rPr>
          <w:rFonts w:cstheme="minorHAnsi"/>
          <w:b w:val="0"/>
        </w:rPr>
        <w:t xml:space="preserve">beyond the visual line of sight (BVLOS) </w:t>
      </w:r>
      <w:r w:rsidRPr="00775BA7">
        <w:rPr>
          <w:rFonts w:cstheme="minorHAnsi"/>
          <w:b w:val="0"/>
        </w:rPr>
        <w:t xml:space="preserve">and </w:t>
      </w:r>
      <w:r w:rsidRPr="00775BA7" w:rsidR="006B23BF">
        <w:rPr>
          <w:rFonts w:cstheme="minorHAnsi"/>
          <w:b w:val="0"/>
        </w:rPr>
        <w:t xml:space="preserve">to </w:t>
      </w:r>
      <w:r w:rsidRPr="00775BA7">
        <w:rPr>
          <w:rFonts w:cstheme="minorHAnsi"/>
          <w:b w:val="0"/>
        </w:rPr>
        <w:t xml:space="preserve">fully integrate various </w:t>
      </w:r>
      <w:r w:rsidR="00D63EBE">
        <w:rPr>
          <w:rFonts w:cstheme="minorHAnsi"/>
          <w:b w:val="0"/>
        </w:rPr>
        <w:t xml:space="preserve">UAS </w:t>
      </w:r>
      <w:r w:rsidRPr="00775BA7">
        <w:rPr>
          <w:rFonts w:cstheme="minorHAnsi"/>
          <w:b w:val="0"/>
        </w:rPr>
        <w:t>operation types</w:t>
      </w:r>
      <w:r w:rsidR="004B7C44">
        <w:rPr>
          <w:rFonts w:cstheme="minorHAnsi"/>
          <w:b w:val="0"/>
        </w:rPr>
        <w:t xml:space="preserve"> (e.g., package delivery, infrastructure inspection, public safety, etc.)</w:t>
      </w:r>
      <w:r w:rsidRPr="00775BA7">
        <w:rPr>
          <w:rFonts w:cstheme="minorHAnsi"/>
          <w:b w:val="0"/>
        </w:rPr>
        <w:t xml:space="preserve"> into the NAS. The data will be used by the </w:t>
      </w:r>
      <w:r w:rsidR="00D63EBE">
        <w:rPr>
          <w:rFonts w:cstheme="minorHAnsi"/>
          <w:b w:val="0"/>
        </w:rPr>
        <w:t>UAS Integration Office (</w:t>
      </w:r>
      <w:r w:rsidRPr="00775BA7" w:rsidR="00DB0085">
        <w:rPr>
          <w:rFonts w:cstheme="minorHAnsi"/>
          <w:b w:val="0"/>
        </w:rPr>
        <w:t>AUS</w:t>
      </w:r>
      <w:r w:rsidR="00D63EBE">
        <w:rPr>
          <w:rFonts w:cstheme="minorHAnsi"/>
          <w:b w:val="0"/>
        </w:rPr>
        <w:t>)</w:t>
      </w:r>
      <w:r w:rsidRPr="00775BA7">
        <w:rPr>
          <w:rFonts w:cstheme="minorHAnsi"/>
          <w:b w:val="0"/>
        </w:rPr>
        <w:t xml:space="preserve"> to liaise with relevant FAA offices</w:t>
      </w:r>
      <w:r w:rsidR="00D63EBE">
        <w:rPr>
          <w:rFonts w:cstheme="minorHAnsi"/>
          <w:b w:val="0"/>
        </w:rPr>
        <w:t>:</w:t>
      </w:r>
    </w:p>
    <w:p w:rsidR="00D63EBE" w:rsidP="002371CB" w:rsidRDefault="007A57DE" w14:paraId="6FC34868" w14:textId="76130C95">
      <w:pPr>
        <w:pStyle w:val="Heading2"/>
        <w:numPr>
          <w:ilvl w:val="0"/>
          <w:numId w:val="15"/>
        </w:numPr>
        <w:rPr>
          <w:rFonts w:cstheme="minorHAnsi"/>
          <w:b w:val="0"/>
        </w:rPr>
      </w:pPr>
      <w:r w:rsidRPr="00775BA7">
        <w:rPr>
          <w:rFonts w:cstheme="minorHAnsi"/>
          <w:b w:val="0"/>
        </w:rPr>
        <w:t xml:space="preserve">Office of Rulemaking (ARM) to inform rulemaking efforts, </w:t>
      </w:r>
    </w:p>
    <w:p w:rsidR="00D63EBE" w:rsidP="002371CB" w:rsidRDefault="00D63EBE" w14:paraId="41D8FE19" w14:textId="7F420C33">
      <w:pPr>
        <w:pStyle w:val="Heading2"/>
        <w:numPr>
          <w:ilvl w:val="0"/>
          <w:numId w:val="15"/>
        </w:numPr>
        <w:rPr>
          <w:rFonts w:cstheme="minorHAnsi"/>
          <w:b w:val="0"/>
        </w:rPr>
      </w:pPr>
      <w:r>
        <w:rPr>
          <w:rFonts w:cstheme="minorHAnsi"/>
          <w:b w:val="0"/>
        </w:rPr>
        <w:t>Aircraft Certification Office (AIR) to support decisions related to aircraft type certifications,</w:t>
      </w:r>
      <w:r w:rsidR="00C961DA">
        <w:rPr>
          <w:rFonts w:cstheme="minorHAnsi"/>
          <w:b w:val="0"/>
        </w:rPr>
        <w:t xml:space="preserve"> and</w:t>
      </w:r>
    </w:p>
    <w:p w:rsidR="00A20C50" w:rsidP="002371CB" w:rsidRDefault="00D63EBE" w14:paraId="2897E3E8" w14:textId="7A3A585E">
      <w:pPr>
        <w:pStyle w:val="Heading2"/>
        <w:numPr>
          <w:ilvl w:val="0"/>
          <w:numId w:val="15"/>
        </w:numPr>
        <w:rPr>
          <w:rFonts w:cstheme="minorHAnsi"/>
          <w:b w:val="0"/>
        </w:rPr>
      </w:pPr>
      <w:r>
        <w:rPr>
          <w:rFonts w:cstheme="minorHAnsi"/>
          <w:b w:val="0"/>
        </w:rPr>
        <w:lastRenderedPageBreak/>
        <w:t xml:space="preserve">Flight Standards (AFS) and the Air Traffic Organization (ATO) to assist in the approval process for flight authorizations, </w:t>
      </w:r>
      <w:r w:rsidR="00C961DA">
        <w:rPr>
          <w:rFonts w:cstheme="minorHAnsi"/>
          <w:b w:val="0"/>
        </w:rPr>
        <w:t xml:space="preserve">certifications, </w:t>
      </w:r>
      <w:r>
        <w:rPr>
          <w:rFonts w:cstheme="minorHAnsi"/>
          <w:b w:val="0"/>
        </w:rPr>
        <w:t>waivers and exemptions</w:t>
      </w:r>
      <w:r w:rsidR="00C961DA">
        <w:rPr>
          <w:rFonts w:cstheme="minorHAnsi"/>
          <w:b w:val="0"/>
        </w:rPr>
        <w:t xml:space="preserve"> and to ensure the ongoing safety of flights under the authorizations, certifications, waivers and exemptions. </w:t>
      </w:r>
    </w:p>
    <w:p w:rsidRPr="00B3773D" w:rsidR="00B3773D" w:rsidP="00C143B2" w:rsidRDefault="00AD06BC" w14:paraId="22D68406" w14:textId="2B5D0031">
      <w:pPr>
        <w:pStyle w:val="ListParagraph"/>
        <w:numPr>
          <w:ilvl w:val="0"/>
          <w:numId w:val="7"/>
        </w:numPr>
        <w:rPr>
          <w:bCs/>
          <w:sz w:val="24"/>
          <w:szCs w:val="24"/>
        </w:rPr>
      </w:pPr>
      <w:r w:rsidRPr="00B3773D">
        <w:rPr>
          <w:sz w:val="24"/>
          <w:szCs w:val="24"/>
        </w:rPr>
        <w:t>The BEYOND and PSP programs require the</w:t>
      </w:r>
      <w:r w:rsidR="0072660E">
        <w:rPr>
          <w:sz w:val="24"/>
          <w:szCs w:val="24"/>
        </w:rPr>
        <w:t xml:space="preserve"> program</w:t>
      </w:r>
      <w:r w:rsidRPr="00B3773D">
        <w:rPr>
          <w:sz w:val="24"/>
          <w:szCs w:val="24"/>
        </w:rPr>
        <w:t xml:space="preserve"> participants to submit </w:t>
      </w:r>
      <w:r w:rsidRPr="00B3773D">
        <w:rPr>
          <w:sz w:val="24"/>
          <w:szCs w:val="24"/>
          <w:u w:val="single"/>
        </w:rPr>
        <w:t>societal and economic data</w:t>
      </w:r>
      <w:r w:rsidRPr="003A2C0B" w:rsidR="00B3773D">
        <w:rPr>
          <w:sz w:val="24"/>
          <w:szCs w:val="24"/>
          <w:u w:val="single"/>
        </w:rPr>
        <w:t xml:space="preserve"> reports</w:t>
      </w:r>
      <w:r w:rsidRPr="002371CB" w:rsidR="0072660E">
        <w:rPr>
          <w:sz w:val="24"/>
          <w:szCs w:val="24"/>
        </w:rPr>
        <w:t xml:space="preserve"> on a semi-annual basis</w:t>
      </w:r>
      <w:r w:rsidRPr="00B3773D">
        <w:rPr>
          <w:sz w:val="24"/>
          <w:szCs w:val="24"/>
        </w:rPr>
        <w:t xml:space="preserve">. </w:t>
      </w:r>
    </w:p>
    <w:p w:rsidR="00B3773D" w:rsidP="002371CB" w:rsidRDefault="00712F00" w14:paraId="64190CA9" w14:textId="45E94593">
      <w:pPr>
        <w:pStyle w:val="Heading2"/>
        <w:numPr>
          <w:ilvl w:val="0"/>
          <w:numId w:val="14"/>
        </w:numPr>
        <w:ind w:left="1890" w:hanging="594"/>
        <w:rPr>
          <w:b w:val="0"/>
          <w:bCs w:val="0"/>
        </w:rPr>
      </w:pPr>
      <w:r>
        <w:rPr>
          <w:b w:val="0"/>
          <w:bCs w:val="0"/>
        </w:rPr>
        <w:t xml:space="preserve">Legacy </w:t>
      </w:r>
      <w:r w:rsidRPr="00B3773D" w:rsidR="00B3773D">
        <w:rPr>
          <w:b w:val="0"/>
          <w:bCs w:val="0"/>
        </w:rPr>
        <w:t>Societal and Economic Data Reports</w:t>
      </w:r>
    </w:p>
    <w:p w:rsidRPr="00B3773D" w:rsidR="00712F00" w:rsidP="002371CB" w:rsidRDefault="00712F00" w14:paraId="211EE5E1" w14:textId="339FC901">
      <w:pPr>
        <w:pStyle w:val="Heading2"/>
        <w:numPr>
          <w:ilvl w:val="0"/>
          <w:numId w:val="14"/>
        </w:numPr>
        <w:ind w:left="1890" w:hanging="594"/>
        <w:rPr>
          <w:b w:val="0"/>
          <w:bCs w:val="0"/>
        </w:rPr>
      </w:pPr>
      <w:r>
        <w:rPr>
          <w:b w:val="0"/>
          <w:bCs w:val="0"/>
        </w:rPr>
        <w:t>UAS Societal and Economic Data Reports</w:t>
      </w:r>
    </w:p>
    <w:p w:rsidRPr="00B3773D" w:rsidR="00AD06BC" w:rsidP="00B3773D" w:rsidRDefault="00B3773D" w14:paraId="7633B97F" w14:textId="42970DA2">
      <w:pPr>
        <w:ind w:left="936"/>
        <w:rPr>
          <w:rFonts w:ascii="Times New Roman" w:hAnsi="Times New Roman" w:cs="Times New Roman"/>
          <w:bCs/>
          <w:sz w:val="24"/>
          <w:szCs w:val="24"/>
        </w:rPr>
      </w:pPr>
      <w:r>
        <w:rPr>
          <w:rFonts w:ascii="Times New Roman" w:hAnsi="Times New Roman" w:cs="Times New Roman"/>
          <w:bCs/>
          <w:sz w:val="24"/>
          <w:szCs w:val="24"/>
        </w:rPr>
        <w:t>These reports</w:t>
      </w:r>
      <w:r w:rsidRPr="00B3773D" w:rsidR="00AD06BC">
        <w:rPr>
          <w:rFonts w:ascii="Times New Roman" w:hAnsi="Times New Roman" w:cs="Times New Roman"/>
          <w:bCs/>
          <w:sz w:val="24"/>
          <w:szCs w:val="24"/>
        </w:rPr>
        <w:t xml:space="preserve"> will include quantitative and qualitative information pertaining to the societal and economic benefits associated with the </w:t>
      </w:r>
      <w:r w:rsidR="0072660E">
        <w:rPr>
          <w:rFonts w:ascii="Times New Roman" w:hAnsi="Times New Roman" w:cs="Times New Roman"/>
          <w:bCs/>
          <w:sz w:val="24"/>
          <w:szCs w:val="24"/>
        </w:rPr>
        <w:t>program</w:t>
      </w:r>
      <w:r w:rsidRPr="00B3773D" w:rsidR="00AD06BC">
        <w:rPr>
          <w:rFonts w:ascii="Times New Roman" w:hAnsi="Times New Roman" w:cs="Times New Roman"/>
          <w:bCs/>
          <w:sz w:val="24"/>
          <w:szCs w:val="24"/>
        </w:rPr>
        <w:t xml:space="preserve"> participants</w:t>
      </w:r>
      <w:r w:rsidR="0072660E">
        <w:rPr>
          <w:rFonts w:ascii="Times New Roman" w:hAnsi="Times New Roman" w:cs="Times New Roman"/>
          <w:bCs/>
          <w:sz w:val="24"/>
          <w:szCs w:val="24"/>
        </w:rPr>
        <w:t>’</w:t>
      </w:r>
      <w:r w:rsidRPr="00B3773D" w:rsidR="00AD06BC">
        <w:rPr>
          <w:rFonts w:ascii="Times New Roman" w:hAnsi="Times New Roman" w:cs="Times New Roman"/>
          <w:bCs/>
          <w:sz w:val="24"/>
          <w:szCs w:val="24"/>
        </w:rPr>
        <w:t xml:space="preserve"> UAS operations</w:t>
      </w:r>
      <w:r w:rsidR="00712F00">
        <w:rPr>
          <w:rFonts w:ascii="Times New Roman" w:hAnsi="Times New Roman" w:cs="Times New Roman"/>
          <w:bCs/>
          <w:sz w:val="24"/>
          <w:szCs w:val="24"/>
        </w:rPr>
        <w:t xml:space="preserve"> in comparison to similar operations using non-UAS (legacy) methods</w:t>
      </w:r>
      <w:r w:rsidRPr="00B3773D" w:rsidR="00AD06BC">
        <w:rPr>
          <w:rFonts w:ascii="Times New Roman" w:hAnsi="Times New Roman" w:cs="Times New Roman"/>
          <w:bCs/>
          <w:sz w:val="24"/>
          <w:szCs w:val="24"/>
        </w:rPr>
        <w:t xml:space="preserve">. Each participant is required to identify the societal and economic benefit data element(s) as well as the methodology used in quantifying each measurable benefit. </w:t>
      </w:r>
      <w:r w:rsidR="0072660E">
        <w:rPr>
          <w:rFonts w:ascii="Times New Roman" w:hAnsi="Times New Roman" w:cs="Times New Roman"/>
          <w:bCs/>
          <w:sz w:val="24"/>
          <w:szCs w:val="24"/>
        </w:rPr>
        <w:t xml:space="preserve">The UAS Integration Office (AUS) will collaborate with the Office of Aviation Policy and Plans (APO) to analyze the aggregated results. </w:t>
      </w:r>
      <w:r w:rsidRPr="00B3773D" w:rsidR="00AD06BC">
        <w:rPr>
          <w:rFonts w:ascii="Times New Roman" w:hAnsi="Times New Roman" w:cs="Times New Roman"/>
          <w:bCs/>
          <w:sz w:val="24"/>
          <w:szCs w:val="24"/>
        </w:rPr>
        <w:t>The information will be used to inform FAA policy and decision-making toward integrating different types of operations into the NAS, and to inform discussions with the public on the benefits of using UAS.</w:t>
      </w:r>
    </w:p>
    <w:p w:rsidRPr="00DB6A69" w:rsidR="00DB6A69" w:rsidP="00C143B2" w:rsidRDefault="00DB6A69" w14:paraId="796B6FD4" w14:textId="470E8F38">
      <w:pPr>
        <w:pStyle w:val="ListParagraph"/>
        <w:numPr>
          <w:ilvl w:val="0"/>
          <w:numId w:val="7"/>
        </w:numPr>
        <w:rPr>
          <w:bCs/>
          <w:sz w:val="24"/>
          <w:szCs w:val="24"/>
        </w:rPr>
      </w:pPr>
      <w:r w:rsidRPr="00B3773D">
        <w:rPr>
          <w:sz w:val="24"/>
          <w:szCs w:val="24"/>
        </w:rPr>
        <w:t xml:space="preserve">The BEYOND and PSP programs </w:t>
      </w:r>
      <w:r>
        <w:rPr>
          <w:sz w:val="24"/>
          <w:szCs w:val="24"/>
        </w:rPr>
        <w:t xml:space="preserve">also include a </w:t>
      </w:r>
      <w:r w:rsidRPr="00DB6A69">
        <w:rPr>
          <w:sz w:val="24"/>
          <w:szCs w:val="24"/>
          <w:u w:val="single"/>
        </w:rPr>
        <w:t>community engagement</w:t>
      </w:r>
      <w:r>
        <w:rPr>
          <w:sz w:val="24"/>
          <w:szCs w:val="24"/>
        </w:rPr>
        <w:t xml:space="preserve"> element, for which there are two collection instruments.</w:t>
      </w:r>
    </w:p>
    <w:p w:rsidRPr="00DB6A69" w:rsidR="00DB6A69" w:rsidP="002371CB" w:rsidRDefault="00DB6A69" w14:paraId="6F3563F6" w14:textId="37F2E561">
      <w:pPr>
        <w:pStyle w:val="Heading2"/>
        <w:numPr>
          <w:ilvl w:val="0"/>
          <w:numId w:val="14"/>
        </w:numPr>
        <w:ind w:left="1890" w:hanging="594"/>
        <w:rPr>
          <w:b w:val="0"/>
          <w:bCs w:val="0"/>
        </w:rPr>
      </w:pPr>
      <w:r w:rsidRPr="00DB6A69">
        <w:rPr>
          <w:b w:val="0"/>
          <w:bCs w:val="0"/>
        </w:rPr>
        <w:t>Community Engagement Reports</w:t>
      </w:r>
    </w:p>
    <w:p w:rsidRPr="003A637E" w:rsidR="00DB6A69" w:rsidP="00DB6A69" w:rsidRDefault="003078F5" w14:paraId="5439C7E7" w14:textId="62E8E660">
      <w:pPr>
        <w:pStyle w:val="Heading2"/>
        <w:numPr>
          <w:ilvl w:val="0"/>
          <w:numId w:val="0"/>
        </w:numPr>
        <w:ind w:left="936"/>
        <w:rPr>
          <w:rFonts w:eastAsiaTheme="minorHAnsi" w:cstheme="minorBidi"/>
          <w:b w:val="0"/>
        </w:rPr>
      </w:pPr>
      <w:r>
        <w:rPr>
          <w:b w:val="0"/>
        </w:rPr>
        <w:t xml:space="preserve">The BEYOND and PSP participants will submit the Community Engagement Reports in conjunction with their quarterly (PSP) and semi-annual (BEYOND) narrative reports. </w:t>
      </w:r>
      <w:r w:rsidR="00DB6A69">
        <w:rPr>
          <w:b w:val="0"/>
        </w:rPr>
        <w:t xml:space="preserve">The Community Engagement Reports </w:t>
      </w:r>
      <w:r w:rsidRPr="003A637E" w:rsidR="00DB6A69">
        <w:rPr>
          <w:b w:val="0"/>
        </w:rPr>
        <w:t>will include the type and number of community engagement activities undertaken during the reporting period</w:t>
      </w:r>
      <w:r w:rsidR="00DB6A69">
        <w:rPr>
          <w:b w:val="0"/>
        </w:rPr>
        <w:t>, t</w:t>
      </w:r>
      <w:r w:rsidRPr="003A637E" w:rsidR="00DB6A69">
        <w:rPr>
          <w:b w:val="0"/>
        </w:rPr>
        <w:t xml:space="preserve">he </w:t>
      </w:r>
      <w:r>
        <w:rPr>
          <w:b w:val="0"/>
        </w:rPr>
        <w:t>targeted audiences</w:t>
      </w:r>
      <w:r w:rsidRPr="003A637E" w:rsidR="00DB6A69">
        <w:rPr>
          <w:b w:val="0"/>
        </w:rPr>
        <w:t xml:space="preserve">, </w:t>
      </w:r>
      <w:r>
        <w:rPr>
          <w:b w:val="0"/>
        </w:rPr>
        <w:t>and</w:t>
      </w:r>
      <w:r w:rsidRPr="003A637E" w:rsidR="00DB6A69">
        <w:rPr>
          <w:b w:val="0"/>
        </w:rPr>
        <w:t xml:space="preserve"> the analysis of the outcome of the engagement such as </w:t>
      </w:r>
      <w:r>
        <w:rPr>
          <w:b w:val="0"/>
        </w:rPr>
        <w:t>community</w:t>
      </w:r>
      <w:r w:rsidRPr="003A637E">
        <w:rPr>
          <w:b w:val="0"/>
        </w:rPr>
        <w:t xml:space="preserve"> </w:t>
      </w:r>
      <w:r w:rsidRPr="003A637E" w:rsidR="00DB6A69">
        <w:rPr>
          <w:b w:val="0"/>
        </w:rPr>
        <w:t>sentiment toward the UAS operations</w:t>
      </w:r>
      <w:r>
        <w:rPr>
          <w:b w:val="0"/>
        </w:rPr>
        <w:t>,</w:t>
      </w:r>
      <w:r w:rsidRPr="003A637E" w:rsidR="00DB6A69">
        <w:rPr>
          <w:b w:val="0"/>
        </w:rPr>
        <w:t xml:space="preserve"> lessons learned, </w:t>
      </w:r>
      <w:r>
        <w:rPr>
          <w:b w:val="0"/>
        </w:rPr>
        <w:t xml:space="preserve">and </w:t>
      </w:r>
      <w:r w:rsidRPr="003A637E" w:rsidR="00DB6A69">
        <w:rPr>
          <w:b w:val="0"/>
        </w:rPr>
        <w:t xml:space="preserve">best practices developed. </w:t>
      </w:r>
      <w:r w:rsidR="00B72600">
        <w:rPr>
          <w:b w:val="0"/>
        </w:rPr>
        <w:t xml:space="preserve">If the program participants choose to utilize questionnaires, they </w:t>
      </w:r>
      <w:r w:rsidRPr="000A50F4" w:rsidR="00B72600">
        <w:rPr>
          <w:b w:val="0"/>
        </w:rPr>
        <w:t>will send an</w:t>
      </w:r>
      <w:r w:rsidR="00B72600">
        <w:rPr>
          <w:b w:val="0"/>
        </w:rPr>
        <w:t>y collected information with their Community Engagement Reports</w:t>
      </w:r>
      <w:r w:rsidRPr="000A50F4" w:rsidR="00B72600">
        <w:rPr>
          <w:b w:val="0"/>
        </w:rPr>
        <w:t>.</w:t>
      </w:r>
      <w:r w:rsidR="00B72600">
        <w:rPr>
          <w:b w:val="0"/>
        </w:rPr>
        <w:t xml:space="preserve"> </w:t>
      </w:r>
      <w:r w:rsidRPr="003A637E" w:rsidR="00DB6A69">
        <w:rPr>
          <w:b w:val="0"/>
        </w:rPr>
        <w:t xml:space="preserve">The </w:t>
      </w:r>
      <w:r>
        <w:rPr>
          <w:b w:val="0"/>
        </w:rPr>
        <w:t xml:space="preserve">UAS Integration Office (AUS) will use this </w:t>
      </w:r>
      <w:r w:rsidRPr="003A637E" w:rsidR="00DB6A69">
        <w:rPr>
          <w:b w:val="0"/>
        </w:rPr>
        <w:t>informatio</w:t>
      </w:r>
      <w:r>
        <w:rPr>
          <w:b w:val="0"/>
        </w:rPr>
        <w:t xml:space="preserve">n </w:t>
      </w:r>
      <w:r w:rsidRPr="003A637E" w:rsidR="00DB6A69">
        <w:rPr>
          <w:b w:val="0"/>
        </w:rPr>
        <w:t xml:space="preserve">to </w:t>
      </w:r>
      <w:r>
        <w:rPr>
          <w:b w:val="0"/>
        </w:rPr>
        <w:t>determine</w:t>
      </w:r>
      <w:r w:rsidRPr="003A637E" w:rsidR="00DB6A69">
        <w:rPr>
          <w:b w:val="0"/>
        </w:rPr>
        <w:t xml:space="preserve"> how </w:t>
      </w:r>
      <w:r>
        <w:rPr>
          <w:b w:val="0"/>
        </w:rPr>
        <w:t xml:space="preserve">best </w:t>
      </w:r>
      <w:r w:rsidRPr="003A637E" w:rsidR="00DB6A69">
        <w:rPr>
          <w:b w:val="0"/>
        </w:rPr>
        <w:t xml:space="preserve">to engage the public in discussions about the use of UAS in their communities, and to give insight into the public’s desire or resistance toward approvals of different types of operations in various communities. </w:t>
      </w:r>
      <w:r w:rsidR="00DB6A69">
        <w:rPr>
          <w:b w:val="0"/>
        </w:rPr>
        <w:t>It will help the FAA develop information on community engagement best practices and lessons learned.</w:t>
      </w:r>
    </w:p>
    <w:p w:rsidR="00A33FE0" w:rsidP="00A33FE0" w:rsidRDefault="000207F5" w14:paraId="4FA2445D" w14:textId="374E75BC">
      <w:pPr>
        <w:pStyle w:val="Heading2"/>
        <w:numPr>
          <w:ilvl w:val="0"/>
          <w:numId w:val="0"/>
        </w:numPr>
        <w:ind w:left="936"/>
        <w:rPr>
          <w:b w:val="0"/>
        </w:rPr>
      </w:pPr>
      <w:r>
        <w:rPr>
          <w:b w:val="0"/>
        </w:rPr>
        <w:t xml:space="preserve">As an optional </w:t>
      </w:r>
      <w:r w:rsidR="003078F5">
        <w:rPr>
          <w:b w:val="0"/>
        </w:rPr>
        <w:t>aid for</w:t>
      </w:r>
      <w:r>
        <w:rPr>
          <w:b w:val="0"/>
        </w:rPr>
        <w:t xml:space="preserve"> the BEYOND and PSP programs, </w:t>
      </w:r>
      <w:r w:rsidR="003078F5">
        <w:rPr>
          <w:b w:val="0"/>
        </w:rPr>
        <w:t>AUS</w:t>
      </w:r>
      <w:r>
        <w:rPr>
          <w:b w:val="0"/>
        </w:rPr>
        <w:t xml:space="preserve"> developed a Community Engagement Tool. </w:t>
      </w:r>
    </w:p>
    <w:p w:rsidRPr="00A33FE0" w:rsidR="00A33FE0" w:rsidP="002371CB" w:rsidRDefault="00A33FE0" w14:paraId="7AB90728" w14:textId="0D8272A0">
      <w:pPr>
        <w:pStyle w:val="Heading2"/>
        <w:numPr>
          <w:ilvl w:val="0"/>
          <w:numId w:val="14"/>
        </w:numPr>
        <w:ind w:left="1890" w:hanging="594"/>
        <w:rPr>
          <w:b w:val="0"/>
          <w:bCs w:val="0"/>
        </w:rPr>
      </w:pPr>
      <w:r w:rsidRPr="00A33FE0">
        <w:rPr>
          <w:b w:val="0"/>
          <w:bCs w:val="0"/>
        </w:rPr>
        <w:t>Community Engagement Tool</w:t>
      </w:r>
    </w:p>
    <w:p w:rsidRPr="00A33FE0" w:rsidR="000207F5" w:rsidP="00A33FE0" w:rsidRDefault="000A50F4" w14:paraId="5B359244" w14:textId="2785FD86">
      <w:pPr>
        <w:pStyle w:val="Heading2"/>
        <w:numPr>
          <w:ilvl w:val="0"/>
          <w:numId w:val="0"/>
        </w:numPr>
        <w:ind w:left="936"/>
        <w:rPr>
          <w:b w:val="0"/>
        </w:rPr>
      </w:pPr>
      <w:r w:rsidRPr="000A50F4">
        <w:rPr>
          <w:b w:val="0"/>
        </w:rPr>
        <w:t xml:space="preserve">The tool contains a range of questions designed to gather information about the level of knowledge </w:t>
      </w:r>
      <w:r w:rsidR="00B72600">
        <w:rPr>
          <w:b w:val="0"/>
        </w:rPr>
        <w:t xml:space="preserve">respondents have </w:t>
      </w:r>
      <w:r w:rsidRPr="000A50F4">
        <w:rPr>
          <w:b w:val="0"/>
        </w:rPr>
        <w:t>of U</w:t>
      </w:r>
      <w:r w:rsidR="00B72600">
        <w:rPr>
          <w:b w:val="0"/>
        </w:rPr>
        <w:t>AS</w:t>
      </w:r>
      <w:r w:rsidRPr="000A50F4">
        <w:rPr>
          <w:b w:val="0"/>
        </w:rPr>
        <w:t xml:space="preserve">, and their sentiments regarding </w:t>
      </w:r>
      <w:r w:rsidR="00B72600">
        <w:rPr>
          <w:b w:val="0"/>
        </w:rPr>
        <w:t>UAS</w:t>
      </w:r>
      <w:r w:rsidRPr="000A50F4" w:rsidR="00B72600">
        <w:rPr>
          <w:b w:val="0"/>
        </w:rPr>
        <w:t xml:space="preserve"> </w:t>
      </w:r>
      <w:r w:rsidRPr="000A50F4">
        <w:rPr>
          <w:b w:val="0"/>
        </w:rPr>
        <w:t xml:space="preserve">use in their communities. The tool </w:t>
      </w:r>
      <w:r w:rsidR="00B72600">
        <w:rPr>
          <w:b w:val="0"/>
        </w:rPr>
        <w:t>includes</w:t>
      </w:r>
      <w:r w:rsidRPr="000A50F4">
        <w:rPr>
          <w:b w:val="0"/>
        </w:rPr>
        <w:t xml:space="preserve"> general questions and questions specific to particular operation types</w:t>
      </w:r>
      <w:r w:rsidR="00B72600">
        <w:rPr>
          <w:b w:val="0"/>
        </w:rPr>
        <w:t xml:space="preserve"> (package delivery, infrastructure inspection, and public safety)</w:t>
      </w:r>
      <w:r w:rsidRPr="000A50F4">
        <w:rPr>
          <w:b w:val="0"/>
        </w:rPr>
        <w:t xml:space="preserve">. The </w:t>
      </w:r>
      <w:r w:rsidR="00B72600">
        <w:rPr>
          <w:b w:val="0"/>
        </w:rPr>
        <w:t>BEYOND and PSP program</w:t>
      </w:r>
      <w:r>
        <w:rPr>
          <w:b w:val="0"/>
        </w:rPr>
        <w:t xml:space="preserve"> </w:t>
      </w:r>
      <w:r w:rsidRPr="000A50F4">
        <w:rPr>
          <w:b w:val="0"/>
        </w:rPr>
        <w:t xml:space="preserve">participants </w:t>
      </w:r>
      <w:r w:rsidR="000207F5">
        <w:rPr>
          <w:b w:val="0"/>
        </w:rPr>
        <w:t>may</w:t>
      </w:r>
      <w:r w:rsidRPr="000A50F4">
        <w:rPr>
          <w:b w:val="0"/>
        </w:rPr>
        <w:t xml:space="preserve"> choose to </w:t>
      </w:r>
      <w:r w:rsidR="00B72600">
        <w:rPr>
          <w:b w:val="0"/>
        </w:rPr>
        <w:t xml:space="preserve">incorporate none, some, </w:t>
      </w:r>
      <w:r w:rsidR="000207F5">
        <w:rPr>
          <w:b w:val="0"/>
        </w:rPr>
        <w:t xml:space="preserve">or all </w:t>
      </w:r>
      <w:r w:rsidR="000207F5">
        <w:rPr>
          <w:b w:val="0"/>
        </w:rPr>
        <w:lastRenderedPageBreak/>
        <w:t xml:space="preserve">of the questions </w:t>
      </w:r>
      <w:r w:rsidR="00B72600">
        <w:rPr>
          <w:b w:val="0"/>
        </w:rPr>
        <w:t>listed</w:t>
      </w:r>
      <w:r w:rsidR="000207F5">
        <w:rPr>
          <w:b w:val="0"/>
        </w:rPr>
        <w:t xml:space="preserve"> in the Community Engagement Tool </w:t>
      </w:r>
      <w:r w:rsidR="00B72600">
        <w:rPr>
          <w:b w:val="0"/>
        </w:rPr>
        <w:t>into their survey instruments. The program participants will</w:t>
      </w:r>
      <w:r w:rsidRPr="000A50F4">
        <w:rPr>
          <w:b w:val="0"/>
        </w:rPr>
        <w:t xml:space="preserve"> disseminate the </w:t>
      </w:r>
      <w:r w:rsidR="00B72600">
        <w:rPr>
          <w:b w:val="0"/>
        </w:rPr>
        <w:t>surveys that they develop</w:t>
      </w:r>
      <w:r w:rsidRPr="000A50F4" w:rsidR="00B72600">
        <w:rPr>
          <w:b w:val="0"/>
        </w:rPr>
        <w:t xml:space="preserve"> </w:t>
      </w:r>
      <w:r w:rsidR="00B72600">
        <w:rPr>
          <w:b w:val="0"/>
        </w:rPr>
        <w:t>using</w:t>
      </w:r>
      <w:r w:rsidRPr="000A50F4">
        <w:rPr>
          <w:b w:val="0"/>
        </w:rPr>
        <w:t xml:space="preserve"> whatever </w:t>
      </w:r>
      <w:r w:rsidR="00B72600">
        <w:rPr>
          <w:b w:val="0"/>
        </w:rPr>
        <w:t>means</w:t>
      </w:r>
      <w:r w:rsidRPr="000A50F4">
        <w:rPr>
          <w:b w:val="0"/>
        </w:rPr>
        <w:t xml:space="preserve"> they feel are appropriate for their </w:t>
      </w:r>
      <w:r w:rsidR="000207F5">
        <w:rPr>
          <w:b w:val="0"/>
        </w:rPr>
        <w:t xml:space="preserve">operations and </w:t>
      </w:r>
      <w:r w:rsidRPr="000A50F4">
        <w:rPr>
          <w:b w:val="0"/>
        </w:rPr>
        <w:t xml:space="preserve">communities. The respondents will be people from the general public. </w:t>
      </w:r>
    </w:p>
    <w:p w:rsidRPr="003A637E" w:rsidR="00511AAE" w:rsidP="000207F5" w:rsidRDefault="00D33EA9" w14:paraId="7340E956" w14:textId="5E050C35">
      <w:pPr>
        <w:pStyle w:val="Heading2"/>
        <w:numPr>
          <w:ilvl w:val="0"/>
          <w:numId w:val="0"/>
        </w:numPr>
        <w:ind w:left="936"/>
        <w:rPr>
          <w:rFonts w:cstheme="minorBidi"/>
        </w:rPr>
      </w:pPr>
      <w:r w:rsidRPr="00D33EA9">
        <w:rPr>
          <w:b w:val="0"/>
        </w:rPr>
        <w:t xml:space="preserve">The </w:t>
      </w:r>
      <w:r w:rsidR="00B72600">
        <w:rPr>
          <w:b w:val="0"/>
        </w:rPr>
        <w:t>C</w:t>
      </w:r>
      <w:r w:rsidRPr="00D33EA9">
        <w:rPr>
          <w:b w:val="0"/>
        </w:rPr>
        <w:t xml:space="preserve">ommunity </w:t>
      </w:r>
      <w:r w:rsidR="00B72600">
        <w:rPr>
          <w:b w:val="0"/>
        </w:rPr>
        <w:t>E</w:t>
      </w:r>
      <w:r w:rsidRPr="00D33EA9">
        <w:rPr>
          <w:b w:val="0"/>
        </w:rPr>
        <w:t xml:space="preserve">ngagement </w:t>
      </w:r>
      <w:r w:rsidR="00B72600">
        <w:rPr>
          <w:b w:val="0"/>
        </w:rPr>
        <w:t>T</w:t>
      </w:r>
      <w:r w:rsidRPr="00D33EA9">
        <w:rPr>
          <w:b w:val="0"/>
        </w:rPr>
        <w:t>ool is intended to help the</w:t>
      </w:r>
      <w:r w:rsidR="00B72600">
        <w:rPr>
          <w:b w:val="0"/>
        </w:rPr>
        <w:t xml:space="preserve"> program p</w:t>
      </w:r>
      <w:r w:rsidRPr="00D33EA9">
        <w:rPr>
          <w:b w:val="0"/>
        </w:rPr>
        <w:t>articipants develop</w:t>
      </w:r>
      <w:r w:rsidR="00B72600">
        <w:rPr>
          <w:b w:val="0"/>
        </w:rPr>
        <w:t xml:space="preserve"> </w:t>
      </w:r>
      <w:r w:rsidRPr="00D33EA9">
        <w:rPr>
          <w:b w:val="0"/>
        </w:rPr>
        <w:t>simple questionnaires with no intended utility other than gaining insight on the opinions and experience of the general public on UAS operations. No statistical analysis or inference will be performed other than tabulation of responses</w:t>
      </w:r>
      <w:r>
        <w:rPr>
          <w:b w:val="0"/>
        </w:rPr>
        <w:t xml:space="preserve">. </w:t>
      </w:r>
      <w:r w:rsidRPr="000A50F4" w:rsidR="000A50F4">
        <w:rPr>
          <w:b w:val="0"/>
        </w:rPr>
        <w:t xml:space="preserve">The objective is to gather general information about community sentiment to be shared within FAA and with external stakeholders, and to assist in the development of artifacts such as best practices and lessons learned documents. Those artifacts can then be shared with UAS stakeholders to help inform their </w:t>
      </w:r>
      <w:r>
        <w:rPr>
          <w:b w:val="0"/>
        </w:rPr>
        <w:t xml:space="preserve">community </w:t>
      </w:r>
      <w:r w:rsidR="000A50F4">
        <w:rPr>
          <w:b w:val="0"/>
        </w:rPr>
        <w:t>engagement activities.</w:t>
      </w:r>
    </w:p>
    <w:p w:rsidRPr="003A637E" w:rsidR="003A46B9" w:rsidP="00A43872" w:rsidRDefault="003A46B9" w14:paraId="11FDFA5C" w14:textId="33145F40">
      <w:pPr>
        <w:pStyle w:val="Heading2"/>
        <w:numPr>
          <w:ilvl w:val="0"/>
          <w:numId w:val="0"/>
        </w:numPr>
        <w:ind w:left="576"/>
        <w:rPr>
          <w:b w:val="0"/>
        </w:rPr>
      </w:pPr>
      <w:r w:rsidRPr="003A637E">
        <w:rPr>
          <w:b w:val="0"/>
          <w:iCs/>
          <w:color w:val="000000"/>
        </w:rPr>
        <w:t xml:space="preserve">The </w:t>
      </w:r>
      <w:r w:rsidRPr="003A637E">
        <w:rPr>
          <w:b w:val="0"/>
        </w:rPr>
        <w:t xml:space="preserve">proliferation of </w:t>
      </w:r>
      <w:r w:rsidRPr="003A637E" w:rsidR="00DB0085">
        <w:rPr>
          <w:b w:val="0"/>
        </w:rPr>
        <w:t>UAS</w:t>
      </w:r>
      <w:r w:rsidRPr="003A637E">
        <w:rPr>
          <w:b w:val="0"/>
        </w:rPr>
        <w:t xml:space="preserve"> in </w:t>
      </w:r>
      <w:r w:rsidR="00590D12">
        <w:rPr>
          <w:b w:val="0"/>
        </w:rPr>
        <w:t xml:space="preserve">the </w:t>
      </w:r>
      <w:r w:rsidRPr="003A637E" w:rsidR="00DB0085">
        <w:rPr>
          <w:b w:val="0"/>
        </w:rPr>
        <w:t>NAS</w:t>
      </w:r>
      <w:r w:rsidRPr="003A637E">
        <w:rPr>
          <w:b w:val="0"/>
        </w:rPr>
        <w:t xml:space="preserve"> in recent years has been extraordinary and is unprecedented. Congress is focused on UAS matters, has recently legislated on the topic and is expected to </w:t>
      </w:r>
      <w:r w:rsidRPr="003A637E" w:rsidR="00B14133">
        <w:rPr>
          <w:b w:val="0"/>
        </w:rPr>
        <w:t xml:space="preserve">do so </w:t>
      </w:r>
      <w:r w:rsidRPr="003A637E">
        <w:rPr>
          <w:b w:val="0"/>
        </w:rPr>
        <w:t>again in the near future. The applications of both commercial and "hobbyist" UAS, or "drones", are numerous, as are the concerns and interests of the various stakeholders. The FAA is managing these new entrants through our activities to further UAS integration into the nation's airspace, which includes developing new regulations, engaging UAS stakeholders through the formation of the Drone Advisory Committee (DAC), and evaluating UAS detection technology in support of UAS mitigation interests within the safety and security purview of the U.S. Government. The Defense Department and other Federal agencies, including the Federal Communications Commission, are also actively engaged in UAS integration and management efforts.</w:t>
      </w:r>
    </w:p>
    <w:p w:rsidRPr="003A637E" w:rsidR="003A46B9" w:rsidP="00A43872" w:rsidRDefault="003A46B9" w14:paraId="095CE8CD" w14:textId="02B22A18">
      <w:pPr>
        <w:pStyle w:val="Heading2"/>
        <w:numPr>
          <w:ilvl w:val="0"/>
          <w:numId w:val="0"/>
        </w:numPr>
        <w:ind w:left="576"/>
        <w:rPr>
          <w:b w:val="0"/>
        </w:rPr>
      </w:pPr>
      <w:r w:rsidRPr="003A637E">
        <w:rPr>
          <w:b w:val="0"/>
        </w:rPr>
        <w:t>As these efforts continue to be front of mind for State, Local, and Federal Agencies</w:t>
      </w:r>
      <w:r w:rsidRPr="003A637E" w:rsidR="001E5BC1">
        <w:rPr>
          <w:b w:val="0"/>
        </w:rPr>
        <w:t>,</w:t>
      </w:r>
      <w:r w:rsidRPr="003A637E">
        <w:rPr>
          <w:b w:val="0"/>
        </w:rPr>
        <w:t xml:space="preserve"> the FAA anticipate</w:t>
      </w:r>
      <w:r w:rsidRPr="003A637E" w:rsidR="001E5BC1">
        <w:rPr>
          <w:b w:val="0"/>
        </w:rPr>
        <w:t>s</w:t>
      </w:r>
      <w:r w:rsidRPr="003A637E">
        <w:rPr>
          <w:b w:val="0"/>
        </w:rPr>
        <w:t xml:space="preserve"> that aspects of the information collected as part of this effort will be disseminated to the public or used to support publicly</w:t>
      </w:r>
      <w:r w:rsidRPr="003A637E" w:rsidR="001E5BC1">
        <w:rPr>
          <w:b w:val="0"/>
        </w:rPr>
        <w:t>-</w:t>
      </w:r>
      <w:r w:rsidRPr="003A637E">
        <w:rPr>
          <w:b w:val="0"/>
        </w:rPr>
        <w:t>disseminated information th</w:t>
      </w:r>
      <w:r w:rsidR="00964C35">
        <w:rPr>
          <w:b w:val="0"/>
        </w:rPr>
        <w:t>r</w:t>
      </w:r>
      <w:r w:rsidRPr="003A637E">
        <w:rPr>
          <w:b w:val="0"/>
        </w:rPr>
        <w:t xml:space="preserve">ough reports to Congress, the White House, or other agencies as appropriate. </w:t>
      </w:r>
      <w:r w:rsidR="00964C35">
        <w:rPr>
          <w:b w:val="0"/>
        </w:rPr>
        <w:t>The UAS Integration Office (AUS)</w:t>
      </w:r>
      <w:r w:rsidRPr="003A637E">
        <w:rPr>
          <w:b w:val="0"/>
        </w:rPr>
        <w:t xml:space="preserve"> will retain control over the information and safeguard it from improper access, modification, and destruction, consistent with FAA standards for confidentiality, privacy, and electronic information in accordance with 5 CFR Subpart C 930.301, Information Security Responsibilities for Employees who </w:t>
      </w:r>
      <w:r w:rsidRPr="003A637E" w:rsidR="001E5BC1">
        <w:rPr>
          <w:b w:val="0"/>
        </w:rPr>
        <w:t>M</w:t>
      </w:r>
      <w:r w:rsidRPr="003A637E">
        <w:rPr>
          <w:b w:val="0"/>
        </w:rPr>
        <w:t>anage or Use Federal Information Systems</w:t>
      </w:r>
      <w:r w:rsidRPr="003A637E" w:rsidR="001E5BC1">
        <w:rPr>
          <w:b w:val="0"/>
        </w:rPr>
        <w:t>,</w:t>
      </w:r>
      <w:r w:rsidRPr="003A637E">
        <w:rPr>
          <w:b w:val="0"/>
        </w:rPr>
        <w:t xml:space="preserve"> and FAA information systems rules and procedures. </w:t>
      </w:r>
    </w:p>
    <w:p w:rsidRPr="003A637E" w:rsidR="003A46B9" w:rsidP="00A43872" w:rsidRDefault="003A46B9" w14:paraId="7329272B" w14:textId="333A6085">
      <w:pPr>
        <w:pStyle w:val="Heading2"/>
        <w:numPr>
          <w:ilvl w:val="0"/>
          <w:numId w:val="0"/>
        </w:numPr>
        <w:ind w:left="576"/>
        <w:rPr>
          <w:b w:val="0"/>
          <w:iCs/>
        </w:rPr>
      </w:pPr>
      <w:r w:rsidRPr="003A637E">
        <w:rPr>
          <w:b w:val="0"/>
          <w:iCs/>
          <w:color w:val="000000"/>
        </w:rPr>
        <w:t xml:space="preserve">The </w:t>
      </w:r>
      <w:r w:rsidRPr="003A637E" w:rsidR="001E5BC1">
        <w:rPr>
          <w:b w:val="0"/>
          <w:iCs/>
          <w:color w:val="000000"/>
        </w:rPr>
        <w:t xml:space="preserve">final purpose </w:t>
      </w:r>
      <w:r w:rsidRPr="003A637E">
        <w:rPr>
          <w:b w:val="0"/>
          <w:iCs/>
          <w:color w:val="000000"/>
        </w:rPr>
        <w:t xml:space="preserve">of </w:t>
      </w:r>
      <w:r w:rsidRPr="003A637E">
        <w:rPr>
          <w:b w:val="0"/>
        </w:rPr>
        <w:t>collecting</w:t>
      </w:r>
      <w:r w:rsidRPr="003A637E">
        <w:rPr>
          <w:b w:val="0"/>
          <w:iCs/>
          <w:color w:val="000000"/>
        </w:rPr>
        <w:t xml:space="preserve"> information in each </w:t>
      </w:r>
      <w:r w:rsidRPr="003A637E" w:rsidR="001E5BC1">
        <w:rPr>
          <w:b w:val="0"/>
          <w:iCs/>
          <w:color w:val="000000"/>
        </w:rPr>
        <w:t>area</w:t>
      </w:r>
      <w:r w:rsidR="006F1373">
        <w:rPr>
          <w:b w:val="0"/>
          <w:iCs/>
          <w:color w:val="000000"/>
        </w:rPr>
        <w:t xml:space="preserve"> </w:t>
      </w:r>
      <w:r w:rsidRPr="003A637E">
        <w:rPr>
          <w:b w:val="0"/>
          <w:iCs/>
          <w:color w:val="000000"/>
        </w:rPr>
        <w:t xml:space="preserve">is to </w:t>
      </w:r>
      <w:r w:rsidR="005229B8">
        <w:rPr>
          <w:b w:val="0"/>
          <w:iCs/>
          <w:color w:val="000000"/>
        </w:rPr>
        <w:t xml:space="preserve">potentially </w:t>
      </w:r>
      <w:r w:rsidRPr="003A637E">
        <w:rPr>
          <w:b w:val="0"/>
          <w:iCs/>
          <w:color w:val="000000"/>
        </w:rPr>
        <w:t xml:space="preserve">compile final reports for the BEYOND and PSP programs including each of the aspects listed individually for each area. See </w:t>
      </w:r>
      <w:r w:rsidR="00964C35">
        <w:rPr>
          <w:b w:val="0"/>
          <w:iCs/>
          <w:color w:val="000000"/>
        </w:rPr>
        <w:t xml:space="preserve">the </w:t>
      </w:r>
      <w:r w:rsidRPr="003A637E">
        <w:rPr>
          <w:b w:val="0"/>
          <w:iCs/>
          <w:color w:val="000000"/>
        </w:rPr>
        <w:t>response to Question 10 of this Supporting Statement for more information on confidentiality and privacy. The information collection is designed to yield data that meet all applicable information quality guidelines.</w:t>
      </w:r>
    </w:p>
    <w:p w:rsidRPr="003A637E" w:rsidR="001F0724" w:rsidP="00397884" w:rsidRDefault="00511AAE" w14:paraId="2492FFAE" w14:textId="7515608A">
      <w:pPr>
        <w:pStyle w:val="Heading2"/>
        <w:numPr>
          <w:ilvl w:val="0"/>
          <w:numId w:val="0"/>
        </w:numPr>
        <w:ind w:left="576"/>
        <w:rPr>
          <w:b w:val="0"/>
        </w:rPr>
      </w:pPr>
      <w:r w:rsidRPr="003A637E">
        <w:rPr>
          <w:b w:val="0"/>
        </w:rPr>
        <w:t>No part of any of the data collections for the BEYOND or PSP programs will have questions regarding race or ethnicity.</w:t>
      </w:r>
    </w:p>
    <w:p w:rsidRPr="003A637E" w:rsidR="00C64707" w:rsidP="009A74F3" w:rsidRDefault="00C64707" w14:paraId="3B17368A" w14:textId="77777777">
      <w:pPr>
        <w:pStyle w:val="Heading1"/>
        <w:rPr>
          <w:rFonts w:eastAsia="Times New Roman" w:cstheme="minorHAnsi"/>
          <w:color w:val="555555"/>
          <w:sz w:val="24"/>
          <w:szCs w:val="24"/>
        </w:rPr>
      </w:pPr>
      <w:r w:rsidRPr="003A637E">
        <w:rPr>
          <w:rFonts w:eastAsia="Times New Roman"/>
        </w:rPr>
        <w:lastRenderedPageBreak/>
        <w:t>3. Describe whether, and to what extent, the collection of information involves the use of automated, electronic, mechanical, or other technological collection techniques or other forms of information technology.</w:t>
      </w:r>
    </w:p>
    <w:p w:rsidRPr="003A637E" w:rsidR="00137CB3" w:rsidP="00EA2EFF" w:rsidRDefault="00137CB3" w14:paraId="0E06E4F2" w14:textId="08059039">
      <w:pPr>
        <w:pStyle w:val="Heading2"/>
        <w:numPr>
          <w:ilvl w:val="0"/>
          <w:numId w:val="0"/>
        </w:numPr>
        <w:ind w:left="576"/>
        <w:rPr>
          <w:b w:val="0"/>
        </w:rPr>
      </w:pPr>
      <w:r w:rsidRPr="003A637E">
        <w:rPr>
          <w:b w:val="0"/>
        </w:rPr>
        <w:t xml:space="preserve">All </w:t>
      </w:r>
      <w:r w:rsidR="00C04038">
        <w:rPr>
          <w:b w:val="0"/>
        </w:rPr>
        <w:t>information</w:t>
      </w:r>
      <w:r w:rsidRPr="003A637E">
        <w:rPr>
          <w:b w:val="0"/>
        </w:rPr>
        <w:t xml:space="preserve"> collections will be submitted electronically to the FAA’s Aeronautical Data Exchange (ADX). </w:t>
      </w:r>
      <w:r w:rsidRPr="003A637E" w:rsidR="001343C1">
        <w:rPr>
          <w:b w:val="0"/>
        </w:rPr>
        <w:t xml:space="preserve">Electronic </w:t>
      </w:r>
      <w:r w:rsidR="00C04038">
        <w:rPr>
          <w:b w:val="0"/>
        </w:rPr>
        <w:t>collection instruments</w:t>
      </w:r>
      <w:r w:rsidRPr="003A637E" w:rsidR="001343C1">
        <w:rPr>
          <w:b w:val="0"/>
        </w:rPr>
        <w:t xml:space="preserve"> will also be provided </w:t>
      </w:r>
      <w:r w:rsidRPr="003A637E" w:rsidR="003A0C06">
        <w:rPr>
          <w:b w:val="0"/>
        </w:rPr>
        <w:t xml:space="preserve">within ADX </w:t>
      </w:r>
      <w:r w:rsidRPr="003A637E" w:rsidR="001343C1">
        <w:rPr>
          <w:b w:val="0"/>
        </w:rPr>
        <w:t>for the</w:t>
      </w:r>
      <w:r w:rsidR="00362CCC">
        <w:rPr>
          <w:b w:val="0"/>
        </w:rPr>
        <w:t xml:space="preserve"> BEYOND and PSP program</w:t>
      </w:r>
      <w:r w:rsidRPr="003A637E" w:rsidR="001343C1">
        <w:rPr>
          <w:b w:val="0"/>
        </w:rPr>
        <w:t xml:space="preserve"> participants to</w:t>
      </w:r>
      <w:r w:rsidRPr="003A637E" w:rsidR="003A0C06">
        <w:rPr>
          <w:b w:val="0"/>
        </w:rPr>
        <w:t xml:space="preserve"> download and</w:t>
      </w:r>
      <w:r w:rsidRPr="003A637E" w:rsidR="001343C1">
        <w:rPr>
          <w:b w:val="0"/>
        </w:rPr>
        <w:t xml:space="preserve"> use in submitting their data.</w:t>
      </w:r>
    </w:p>
    <w:p w:rsidRPr="003A637E" w:rsidR="00C150FD" w:rsidP="00511AAE" w:rsidRDefault="0033456E" w14:paraId="2A5D7BAD" w14:textId="286F305E">
      <w:pPr>
        <w:pStyle w:val="Heading2"/>
        <w:numPr>
          <w:ilvl w:val="0"/>
          <w:numId w:val="0"/>
        </w:numPr>
        <w:ind w:left="576"/>
        <w:rPr>
          <w:b w:val="0"/>
        </w:rPr>
      </w:pPr>
      <w:r w:rsidRPr="003A637E">
        <w:rPr>
          <w:b w:val="0"/>
        </w:rPr>
        <w:t xml:space="preserve">Because the </w:t>
      </w:r>
      <w:r w:rsidR="00C04038">
        <w:rPr>
          <w:b w:val="0"/>
        </w:rPr>
        <w:t>collection instruments</w:t>
      </w:r>
      <w:r w:rsidRPr="003A637E" w:rsidR="001343C1">
        <w:rPr>
          <w:b w:val="0"/>
        </w:rPr>
        <w:t xml:space="preserve"> </w:t>
      </w:r>
      <w:r w:rsidRPr="003A637E">
        <w:rPr>
          <w:b w:val="0"/>
        </w:rPr>
        <w:t xml:space="preserve">are dynamic and applicable only to the </w:t>
      </w:r>
      <w:r w:rsidR="00362CCC">
        <w:rPr>
          <w:b w:val="0"/>
        </w:rPr>
        <w:t>BEYOND and PSP program</w:t>
      </w:r>
      <w:r w:rsidRPr="003A637E" w:rsidR="001343C1">
        <w:rPr>
          <w:b w:val="0"/>
        </w:rPr>
        <w:t xml:space="preserve"> participants</w:t>
      </w:r>
      <w:r w:rsidR="00C04038">
        <w:rPr>
          <w:b w:val="0"/>
        </w:rPr>
        <w:t xml:space="preserve">, they </w:t>
      </w:r>
      <w:r w:rsidRPr="003A637E">
        <w:rPr>
          <w:b w:val="0"/>
        </w:rPr>
        <w:t xml:space="preserve">will not be available for public printing off the Internet. </w:t>
      </w:r>
    </w:p>
    <w:p w:rsidRPr="003A637E" w:rsidR="00D3549F" w:rsidP="00511AAE" w:rsidRDefault="00EF3CB3" w14:paraId="6001D2F8" w14:textId="7600010C">
      <w:pPr>
        <w:shd w:val="clear" w:color="auto" w:fill="FFFFFF"/>
        <w:spacing w:after="0" w:line="240" w:lineRule="auto"/>
        <w:ind w:left="576"/>
        <w:rPr>
          <w:rFonts w:ascii="Times New Roman" w:hAnsi="Times New Roman" w:cs="Times New Roman"/>
          <w:color w:val="2E74B5" w:themeColor="accent1" w:themeShade="BF"/>
          <w:sz w:val="24"/>
          <w:szCs w:val="24"/>
        </w:rPr>
      </w:pPr>
      <w:r w:rsidRPr="003A637E">
        <w:rPr>
          <w:rFonts w:ascii="Times New Roman" w:hAnsi="Times New Roman" w:cs="Times New Roman"/>
          <w:sz w:val="24"/>
          <w:szCs w:val="24"/>
        </w:rPr>
        <w:t>The results of the information collection</w:t>
      </w:r>
      <w:r w:rsidRPr="003A637E" w:rsidR="00511AAE">
        <w:rPr>
          <w:rFonts w:ascii="Times New Roman" w:hAnsi="Times New Roman" w:cs="Times New Roman"/>
          <w:sz w:val="24"/>
          <w:szCs w:val="24"/>
        </w:rPr>
        <w:t>s</w:t>
      </w:r>
      <w:r w:rsidRPr="003A637E">
        <w:rPr>
          <w:rFonts w:ascii="Times New Roman" w:hAnsi="Times New Roman" w:cs="Times New Roman"/>
          <w:sz w:val="24"/>
          <w:szCs w:val="24"/>
        </w:rPr>
        <w:t xml:space="preserve"> </w:t>
      </w:r>
      <w:r w:rsidRPr="003A637E" w:rsidR="00724C6C">
        <w:rPr>
          <w:rFonts w:ascii="Times New Roman" w:hAnsi="Times New Roman" w:cs="Times New Roman"/>
          <w:sz w:val="24"/>
          <w:szCs w:val="24"/>
        </w:rPr>
        <w:t xml:space="preserve">may </w:t>
      </w:r>
      <w:r w:rsidRPr="003A637E">
        <w:rPr>
          <w:rFonts w:ascii="Times New Roman" w:hAnsi="Times New Roman" w:cs="Times New Roman"/>
          <w:sz w:val="24"/>
          <w:szCs w:val="24"/>
        </w:rPr>
        <w:t>be made available to the public over the Internet</w:t>
      </w:r>
      <w:r w:rsidRPr="003A637E" w:rsidR="00724C6C">
        <w:rPr>
          <w:rFonts w:ascii="Times New Roman" w:hAnsi="Times New Roman" w:cs="Times New Roman"/>
          <w:sz w:val="24"/>
          <w:szCs w:val="24"/>
        </w:rPr>
        <w:t>, but all confidential or proprietary information will be protected as required by law and in line with requirements in the Freedom of Information Act</w:t>
      </w:r>
      <w:r w:rsidRPr="003A637E">
        <w:rPr>
          <w:rFonts w:ascii="Times New Roman" w:hAnsi="Times New Roman" w:cs="Times New Roman"/>
          <w:sz w:val="24"/>
          <w:szCs w:val="24"/>
        </w:rPr>
        <w:t>.</w:t>
      </w:r>
      <w:r w:rsidRPr="003A637E" w:rsidR="00724C6C">
        <w:rPr>
          <w:rFonts w:ascii="Times New Roman" w:hAnsi="Times New Roman" w:cs="Times New Roman"/>
          <w:sz w:val="24"/>
          <w:szCs w:val="24"/>
        </w:rPr>
        <w:t xml:space="preserve"> </w:t>
      </w:r>
    </w:p>
    <w:p w:rsidRPr="00C04038" w:rsidR="00C64707" w:rsidP="00C04038" w:rsidRDefault="00C64707" w14:paraId="13F55A5D" w14:textId="7FBD9715">
      <w:pPr>
        <w:pStyle w:val="Heading1"/>
        <w:rPr>
          <w:rFonts w:eastAsia="Times New Roman"/>
        </w:rPr>
      </w:pPr>
      <w:r w:rsidRPr="003A637E">
        <w:rPr>
          <w:rFonts w:eastAsia="Times New Roman"/>
        </w:rPr>
        <w:t>4. Describe efforts to identify duplication. Show specifically why any similar information</w:t>
      </w:r>
      <w:r w:rsidRPr="003A637E">
        <w:rPr>
          <w:rFonts w:eastAsia="Times New Roman" w:cstheme="minorHAnsi"/>
          <w:b/>
          <w:color w:val="555555"/>
          <w:sz w:val="24"/>
          <w:szCs w:val="24"/>
        </w:rPr>
        <w:t xml:space="preserve"> </w:t>
      </w:r>
      <w:r w:rsidRPr="003A637E">
        <w:rPr>
          <w:rFonts w:eastAsia="Times New Roman"/>
        </w:rPr>
        <w:t>already available cannot be used or modified for use for the purposes described in Item 2 above.</w:t>
      </w:r>
    </w:p>
    <w:p w:rsidRPr="003A637E" w:rsidR="00367594" w:rsidP="005B07A9" w:rsidRDefault="0033456E" w14:paraId="120B830D" w14:textId="082C8A36">
      <w:pPr>
        <w:pStyle w:val="Heading2"/>
        <w:numPr>
          <w:ilvl w:val="0"/>
          <w:numId w:val="0"/>
        </w:numPr>
        <w:ind w:left="576"/>
      </w:pPr>
      <w:r w:rsidRPr="003A637E">
        <w:rPr>
          <w:b w:val="0"/>
        </w:rPr>
        <w:t>To determine the</w:t>
      </w:r>
      <w:r w:rsidRPr="003A637E" w:rsidR="000116FA">
        <w:rPr>
          <w:b w:val="0"/>
        </w:rPr>
        <w:t xml:space="preserve"> operation</w:t>
      </w:r>
      <w:r w:rsidR="00362CCC">
        <w:rPr>
          <w:b w:val="0"/>
        </w:rPr>
        <w:t>al</w:t>
      </w:r>
      <w:r w:rsidRPr="003A637E" w:rsidR="000116FA">
        <w:rPr>
          <w:b w:val="0"/>
        </w:rPr>
        <w:t xml:space="preserve"> data</w:t>
      </w:r>
      <w:r w:rsidRPr="003A637E">
        <w:rPr>
          <w:b w:val="0"/>
        </w:rPr>
        <w:t xml:space="preserve"> needed for </w:t>
      </w:r>
      <w:r w:rsidR="00362CCC">
        <w:rPr>
          <w:b w:val="0"/>
        </w:rPr>
        <w:t xml:space="preserve">the </w:t>
      </w:r>
      <w:r w:rsidRPr="003A637E">
        <w:rPr>
          <w:b w:val="0"/>
        </w:rPr>
        <w:t>BEYOND</w:t>
      </w:r>
      <w:r w:rsidRPr="003A637E" w:rsidR="004456AD">
        <w:rPr>
          <w:b w:val="0"/>
        </w:rPr>
        <w:t xml:space="preserve"> and PSP</w:t>
      </w:r>
      <w:r w:rsidR="00362CCC">
        <w:rPr>
          <w:b w:val="0"/>
        </w:rPr>
        <w:t xml:space="preserve"> programs’</w:t>
      </w:r>
      <w:r w:rsidRPr="003A637E">
        <w:rPr>
          <w:b w:val="0"/>
        </w:rPr>
        <w:t xml:space="preserve"> success</w:t>
      </w:r>
      <w:r w:rsidRPr="003A637E" w:rsidR="000116FA">
        <w:rPr>
          <w:b w:val="0"/>
        </w:rPr>
        <w:t xml:space="preserve">, the UAS Integration Office </w:t>
      </w:r>
      <w:r w:rsidR="00362CCC">
        <w:rPr>
          <w:b w:val="0"/>
        </w:rPr>
        <w:t xml:space="preserve">(AUS) </w:t>
      </w:r>
      <w:r w:rsidRPr="003A637E" w:rsidR="000116FA">
        <w:rPr>
          <w:b w:val="0"/>
        </w:rPr>
        <w:t xml:space="preserve">established a data team </w:t>
      </w:r>
      <w:r w:rsidRPr="003A637E" w:rsidR="005D5358">
        <w:rPr>
          <w:b w:val="0"/>
        </w:rPr>
        <w:t>with representatives from eight FAA programs. The team identified</w:t>
      </w:r>
      <w:r w:rsidRPr="003A637E" w:rsidR="000116FA">
        <w:rPr>
          <w:b w:val="0"/>
        </w:rPr>
        <w:t xml:space="preserve"> the specific data needs, who needs the data, what it will be used for</w:t>
      </w:r>
      <w:r w:rsidRPr="003A637E" w:rsidR="005D5358">
        <w:rPr>
          <w:b w:val="0"/>
        </w:rPr>
        <w:t>,</w:t>
      </w:r>
      <w:r w:rsidRPr="003A637E" w:rsidR="000116FA">
        <w:rPr>
          <w:b w:val="0"/>
        </w:rPr>
        <w:t xml:space="preserve"> and whether the information has already been collected or is being collected.</w:t>
      </w:r>
    </w:p>
    <w:p w:rsidRPr="003A637E" w:rsidR="005D5358" w:rsidP="00C143B2" w:rsidRDefault="005D5358" w14:paraId="00F7CF3D" w14:textId="309B37B9">
      <w:pPr>
        <w:pStyle w:val="ListParagraph"/>
        <w:numPr>
          <w:ilvl w:val="0"/>
          <w:numId w:val="5"/>
        </w:numPr>
        <w:shd w:val="clear" w:color="auto" w:fill="FFFFFF"/>
        <w:spacing w:after="120"/>
        <w:rPr>
          <w:sz w:val="24"/>
          <w:szCs w:val="24"/>
        </w:rPr>
      </w:pPr>
      <w:r w:rsidRPr="003A637E">
        <w:rPr>
          <w:sz w:val="24"/>
          <w:szCs w:val="24"/>
        </w:rPr>
        <w:t>The AUS team will collect the aircraft manufacturer and model information from the DroneZone (OMB Control Number 2120-0765) for UAS weighing less than 55 pounds or AC Form 8050.1 (OMB Control Number 2120-0042) for UAS weighing more than 55 pounds.</w:t>
      </w:r>
    </w:p>
    <w:p w:rsidRPr="003A637E" w:rsidR="005D5358" w:rsidP="00C143B2" w:rsidRDefault="005D5358" w14:paraId="3FA021AC" w14:textId="16E2BBD9">
      <w:pPr>
        <w:pStyle w:val="ListParagraph"/>
        <w:numPr>
          <w:ilvl w:val="0"/>
          <w:numId w:val="5"/>
        </w:numPr>
        <w:shd w:val="clear" w:color="auto" w:fill="FFFFFF"/>
        <w:spacing w:after="120"/>
        <w:rPr>
          <w:sz w:val="24"/>
          <w:szCs w:val="24"/>
        </w:rPr>
      </w:pPr>
      <w:r w:rsidRPr="003A637E">
        <w:rPr>
          <w:rFonts w:eastAsiaTheme="minorHAnsi"/>
          <w:sz w:val="24"/>
          <w:szCs w:val="24"/>
        </w:rPr>
        <w:t xml:space="preserve">The AUS team will collect the UAS type, maximum takeoff weight, maximum airspeed, maximum altitude, and maximum flight time from the manufacturers’ websites. </w:t>
      </w:r>
      <w:r w:rsidRPr="003A637E" w:rsidR="003D3CA3">
        <w:rPr>
          <w:rFonts w:eastAsiaTheme="minorHAnsi"/>
          <w:sz w:val="24"/>
          <w:szCs w:val="24"/>
        </w:rPr>
        <w:t>If the information is not on the manufacturers’ websites or i</w:t>
      </w:r>
      <w:r w:rsidRPr="003A637E">
        <w:rPr>
          <w:rFonts w:eastAsiaTheme="minorHAnsi"/>
          <w:sz w:val="24"/>
          <w:szCs w:val="24"/>
        </w:rPr>
        <w:t xml:space="preserve">f the UAS is custom, </w:t>
      </w:r>
      <w:r w:rsidRPr="003A637E" w:rsidR="003D3CA3">
        <w:rPr>
          <w:rFonts w:eastAsiaTheme="minorHAnsi"/>
          <w:sz w:val="24"/>
          <w:szCs w:val="24"/>
        </w:rPr>
        <w:t xml:space="preserve">the AUS team will search for the information in the </w:t>
      </w:r>
      <w:r w:rsidR="00362CCC">
        <w:rPr>
          <w:rFonts w:eastAsiaTheme="minorHAnsi"/>
          <w:sz w:val="24"/>
          <w:szCs w:val="24"/>
        </w:rPr>
        <w:t>participants’ concept of operations (CONOPS)</w:t>
      </w:r>
      <w:r w:rsidRPr="003A637E" w:rsidR="003D3CA3">
        <w:rPr>
          <w:rFonts w:eastAsiaTheme="minorHAnsi"/>
          <w:sz w:val="24"/>
          <w:szCs w:val="24"/>
        </w:rPr>
        <w:t xml:space="preserve"> document</w:t>
      </w:r>
      <w:r w:rsidR="00362CCC">
        <w:rPr>
          <w:rFonts w:eastAsiaTheme="minorHAnsi"/>
          <w:sz w:val="24"/>
          <w:szCs w:val="24"/>
        </w:rPr>
        <w:t>s</w:t>
      </w:r>
      <w:r w:rsidRPr="003A637E" w:rsidR="003D3CA3">
        <w:rPr>
          <w:rFonts w:eastAsiaTheme="minorHAnsi"/>
          <w:sz w:val="24"/>
          <w:szCs w:val="24"/>
        </w:rPr>
        <w:t xml:space="preserve">. If the information is in </w:t>
      </w:r>
      <w:r w:rsidR="00362CCC">
        <w:rPr>
          <w:rFonts w:eastAsiaTheme="minorHAnsi"/>
          <w:sz w:val="24"/>
          <w:szCs w:val="24"/>
        </w:rPr>
        <w:t>n</w:t>
      </w:r>
      <w:r w:rsidRPr="003A637E" w:rsidR="003D3CA3">
        <w:rPr>
          <w:rFonts w:eastAsiaTheme="minorHAnsi"/>
          <w:sz w:val="24"/>
          <w:szCs w:val="24"/>
        </w:rPr>
        <w:t xml:space="preserve">either of these sources, </w:t>
      </w:r>
      <w:r w:rsidRPr="003A637E">
        <w:rPr>
          <w:rFonts w:eastAsiaTheme="minorHAnsi"/>
          <w:sz w:val="24"/>
          <w:szCs w:val="24"/>
        </w:rPr>
        <w:t xml:space="preserve">the </w:t>
      </w:r>
      <w:r w:rsidR="00362CCC">
        <w:rPr>
          <w:rFonts w:eastAsiaTheme="minorHAnsi"/>
          <w:sz w:val="24"/>
          <w:szCs w:val="24"/>
        </w:rPr>
        <w:t>program participant</w:t>
      </w:r>
      <w:r w:rsidRPr="003A637E">
        <w:rPr>
          <w:rFonts w:eastAsiaTheme="minorHAnsi"/>
          <w:sz w:val="24"/>
          <w:szCs w:val="24"/>
        </w:rPr>
        <w:t xml:space="preserve"> will need to provide the information.</w:t>
      </w:r>
    </w:p>
    <w:p w:rsidRPr="003A637E" w:rsidR="000116FA" w:rsidP="005B07A9" w:rsidRDefault="0033456E" w14:paraId="4F14AB7A" w14:textId="2AA6AA10">
      <w:pPr>
        <w:pStyle w:val="Heading2"/>
        <w:numPr>
          <w:ilvl w:val="0"/>
          <w:numId w:val="0"/>
        </w:numPr>
        <w:ind w:left="576"/>
        <w:rPr>
          <w:b w:val="0"/>
        </w:rPr>
      </w:pPr>
      <w:r w:rsidRPr="003A637E">
        <w:rPr>
          <w:b w:val="0"/>
        </w:rPr>
        <w:t xml:space="preserve">Other FAA offices collect some of the operational flight data elements for different subgroups of the </w:t>
      </w:r>
      <w:r w:rsidR="00362CCC">
        <w:rPr>
          <w:b w:val="0"/>
        </w:rPr>
        <w:t>program participants</w:t>
      </w:r>
      <w:r w:rsidRPr="003A637E">
        <w:rPr>
          <w:b w:val="0"/>
        </w:rPr>
        <w:t xml:space="preserve">. The </w:t>
      </w:r>
      <w:r w:rsidR="00362CCC">
        <w:rPr>
          <w:b w:val="0"/>
        </w:rPr>
        <w:t>participants</w:t>
      </w:r>
      <w:r w:rsidRPr="003A637E" w:rsidR="004456AD">
        <w:rPr>
          <w:b w:val="0"/>
        </w:rPr>
        <w:t xml:space="preserve"> </w:t>
      </w:r>
      <w:r w:rsidRPr="003A637E">
        <w:rPr>
          <w:b w:val="0"/>
        </w:rPr>
        <w:t xml:space="preserve">operating under a 49 U.S.C. §44807 exemption must send a monthly e-mail containing flight data to </w:t>
      </w:r>
      <w:r w:rsidR="00362CCC">
        <w:rPr>
          <w:b w:val="0"/>
        </w:rPr>
        <w:t>Mission Support Services (</w:t>
      </w:r>
      <w:r w:rsidRPr="003A637E">
        <w:rPr>
          <w:b w:val="0"/>
        </w:rPr>
        <w:t>AJV</w:t>
      </w:r>
      <w:r w:rsidR="00362CCC">
        <w:rPr>
          <w:b w:val="0"/>
        </w:rPr>
        <w:t>)</w:t>
      </w:r>
      <w:r w:rsidRPr="003A637E">
        <w:rPr>
          <w:b w:val="0"/>
        </w:rPr>
        <w:t xml:space="preserve">. The </w:t>
      </w:r>
      <w:r w:rsidR="00362CCC">
        <w:rPr>
          <w:b w:val="0"/>
        </w:rPr>
        <w:t>participants</w:t>
      </w:r>
      <w:r w:rsidRPr="003A637E" w:rsidR="004456AD">
        <w:rPr>
          <w:b w:val="0"/>
        </w:rPr>
        <w:t xml:space="preserve"> </w:t>
      </w:r>
      <w:r w:rsidRPr="003A637E">
        <w:rPr>
          <w:b w:val="0"/>
        </w:rPr>
        <w:t xml:space="preserve">operating under 49 U.S.C. §40102(a) or 49 U.S.C. §40125 must either submit the flight data to </w:t>
      </w:r>
      <w:r w:rsidR="00362CCC">
        <w:rPr>
          <w:b w:val="0"/>
        </w:rPr>
        <w:t xml:space="preserve">the </w:t>
      </w:r>
      <w:r w:rsidRPr="003A637E" w:rsidR="00362CCC">
        <w:rPr>
          <w:b w:val="0"/>
        </w:rPr>
        <w:t>Certificate of Authorization (COA) Application Processing System (CAPS)</w:t>
      </w:r>
      <w:r w:rsidR="00362CCC">
        <w:rPr>
          <w:b w:val="0"/>
        </w:rPr>
        <w:t xml:space="preserve"> </w:t>
      </w:r>
      <w:r w:rsidRPr="003A637E">
        <w:rPr>
          <w:b w:val="0"/>
        </w:rPr>
        <w:t xml:space="preserve">or send an e-mail to AJV on a monthly basis. The </w:t>
      </w:r>
      <w:r w:rsidR="00362CCC">
        <w:rPr>
          <w:b w:val="0"/>
        </w:rPr>
        <w:t>participants</w:t>
      </w:r>
      <w:r w:rsidRPr="003A637E" w:rsidR="004456AD">
        <w:rPr>
          <w:b w:val="0"/>
        </w:rPr>
        <w:t xml:space="preserve"> </w:t>
      </w:r>
      <w:r w:rsidRPr="003A637E">
        <w:rPr>
          <w:b w:val="0"/>
        </w:rPr>
        <w:t>operating under certain 14 CFR Part 107 waivers deemed to be medium or high risk must send a monthly e-mail containing flight data</w:t>
      </w:r>
      <w:r w:rsidR="00DE69A1">
        <w:rPr>
          <w:b w:val="0"/>
        </w:rPr>
        <w:t xml:space="preserve"> and, in some cases, </w:t>
      </w:r>
      <w:r w:rsidR="00DE69A1">
        <w:rPr>
          <w:b w:val="0"/>
        </w:rPr>
        <w:lastRenderedPageBreak/>
        <w:t>maintenance data</w:t>
      </w:r>
      <w:r w:rsidRPr="003A637E">
        <w:rPr>
          <w:b w:val="0"/>
        </w:rPr>
        <w:t xml:space="preserve"> to </w:t>
      </w:r>
      <w:r w:rsidR="00362CCC">
        <w:rPr>
          <w:b w:val="0"/>
        </w:rPr>
        <w:t>Flight Standards (</w:t>
      </w:r>
      <w:r w:rsidRPr="003A637E">
        <w:rPr>
          <w:b w:val="0"/>
        </w:rPr>
        <w:t>AFS</w:t>
      </w:r>
      <w:r w:rsidR="00362CCC">
        <w:rPr>
          <w:b w:val="0"/>
        </w:rPr>
        <w:t>)</w:t>
      </w:r>
      <w:r w:rsidRPr="003A637E">
        <w:rPr>
          <w:b w:val="0"/>
        </w:rPr>
        <w:t xml:space="preserve">. The </w:t>
      </w:r>
      <w:r w:rsidR="00362CCC">
        <w:rPr>
          <w:b w:val="0"/>
        </w:rPr>
        <w:t>participants</w:t>
      </w:r>
      <w:r w:rsidRPr="003A637E" w:rsidR="004456AD">
        <w:rPr>
          <w:b w:val="0"/>
        </w:rPr>
        <w:t xml:space="preserve"> </w:t>
      </w:r>
      <w:r w:rsidRPr="003A637E">
        <w:rPr>
          <w:b w:val="0"/>
        </w:rPr>
        <w:t xml:space="preserve">operating under 14 CFR Part 135 must submit flight data to AFS on a monthly basis. The UAS </w:t>
      </w:r>
      <w:r w:rsidR="00362CCC">
        <w:rPr>
          <w:b w:val="0"/>
        </w:rPr>
        <w:t>Integration Office</w:t>
      </w:r>
      <w:r w:rsidRPr="003A637E">
        <w:rPr>
          <w:b w:val="0"/>
        </w:rPr>
        <w:t xml:space="preserve"> will consolidate all of these separate data requiremen</w:t>
      </w:r>
      <w:r w:rsidR="00E71CB4">
        <w:rPr>
          <w:b w:val="0"/>
        </w:rPr>
        <w:t xml:space="preserve">ts into the </w:t>
      </w:r>
      <w:r w:rsidRPr="003A637E">
        <w:rPr>
          <w:b w:val="0"/>
        </w:rPr>
        <w:t xml:space="preserve">UAS </w:t>
      </w:r>
      <w:r w:rsidR="00E71CB4">
        <w:rPr>
          <w:b w:val="0"/>
        </w:rPr>
        <w:t xml:space="preserve">Monthly </w:t>
      </w:r>
      <w:r w:rsidRPr="003A637E">
        <w:rPr>
          <w:b w:val="0"/>
        </w:rPr>
        <w:t xml:space="preserve">Operational Flight Report. </w:t>
      </w:r>
      <w:r w:rsidR="00362CCC">
        <w:rPr>
          <w:b w:val="0"/>
        </w:rPr>
        <w:t xml:space="preserve">The </w:t>
      </w:r>
      <w:r w:rsidRPr="003A637E">
        <w:rPr>
          <w:b w:val="0"/>
        </w:rPr>
        <w:t xml:space="preserve">UAS </w:t>
      </w:r>
      <w:r w:rsidR="00362CCC">
        <w:rPr>
          <w:b w:val="0"/>
        </w:rPr>
        <w:t>Integration Office</w:t>
      </w:r>
      <w:r w:rsidRPr="003A637E" w:rsidR="004456AD">
        <w:rPr>
          <w:b w:val="0"/>
        </w:rPr>
        <w:t xml:space="preserve"> </w:t>
      </w:r>
      <w:r w:rsidRPr="003A637E">
        <w:rPr>
          <w:b w:val="0"/>
        </w:rPr>
        <w:t xml:space="preserve">will then provide output reports formatted to meet the needs of each of the FAA offices mentioned in this paragraph. The </w:t>
      </w:r>
      <w:r w:rsidR="00362CCC">
        <w:rPr>
          <w:b w:val="0"/>
        </w:rPr>
        <w:t>program participants</w:t>
      </w:r>
      <w:r w:rsidRPr="003A637E" w:rsidR="004456AD">
        <w:rPr>
          <w:b w:val="0"/>
        </w:rPr>
        <w:t xml:space="preserve"> </w:t>
      </w:r>
      <w:r w:rsidRPr="003A637E">
        <w:rPr>
          <w:b w:val="0"/>
        </w:rPr>
        <w:t>will only need to submit the data once.</w:t>
      </w:r>
    </w:p>
    <w:p w:rsidRPr="00C04038" w:rsidR="000116FA" w:rsidP="00C04038" w:rsidRDefault="00BE6DEB" w14:paraId="09768C58" w14:textId="3461B149">
      <w:pPr>
        <w:pStyle w:val="Heading2"/>
        <w:numPr>
          <w:ilvl w:val="0"/>
          <w:numId w:val="0"/>
        </w:numPr>
        <w:ind w:left="576"/>
        <w:rPr>
          <w:b w:val="0"/>
        </w:rPr>
      </w:pPr>
      <w:r w:rsidRPr="003A637E">
        <w:rPr>
          <w:b w:val="0"/>
        </w:rPr>
        <w:t xml:space="preserve">The other data collections for the BEYOND and PSP programs are unique to these programs and </w:t>
      </w:r>
      <w:r w:rsidR="005229B8">
        <w:rPr>
          <w:b w:val="0"/>
        </w:rPr>
        <w:t>are</w:t>
      </w:r>
      <w:r w:rsidRPr="003A637E">
        <w:rPr>
          <w:b w:val="0"/>
        </w:rPr>
        <w:t xml:space="preserve"> not collected through any other means.</w:t>
      </w:r>
    </w:p>
    <w:p w:rsidRPr="00C04038" w:rsidR="004456AD" w:rsidP="00C04038" w:rsidRDefault="00C64707" w14:paraId="59B8E47D" w14:textId="69AE52E1">
      <w:pPr>
        <w:pStyle w:val="Heading1"/>
        <w:rPr>
          <w:rFonts w:eastAsia="Times New Roman" w:cstheme="minorHAnsi"/>
          <w:color w:val="555555"/>
          <w:sz w:val="24"/>
          <w:szCs w:val="24"/>
        </w:rPr>
      </w:pPr>
      <w:r w:rsidRPr="003A637E">
        <w:rPr>
          <w:rFonts w:eastAsia="Times New Roman"/>
        </w:rPr>
        <w:t>5. If the collection of information involves small businesses or other small entities, describe the methods used to minimize burden.</w:t>
      </w:r>
    </w:p>
    <w:p w:rsidRPr="003A637E" w:rsidR="005B07A9" w:rsidP="000861A3" w:rsidRDefault="005B07A9" w14:paraId="14025B82" w14:textId="22DB1BEE">
      <w:pPr>
        <w:pStyle w:val="Heading2"/>
        <w:numPr>
          <w:ilvl w:val="0"/>
          <w:numId w:val="0"/>
        </w:numPr>
        <w:ind w:left="576"/>
        <w:rPr>
          <w:b w:val="0"/>
        </w:rPr>
      </w:pPr>
      <w:r w:rsidRPr="003A637E">
        <w:rPr>
          <w:b w:val="0"/>
        </w:rPr>
        <w:t xml:space="preserve">The </w:t>
      </w:r>
      <w:r w:rsidR="003A2C0B">
        <w:rPr>
          <w:b w:val="0"/>
        </w:rPr>
        <w:t>narrative reports</w:t>
      </w:r>
      <w:r w:rsidRPr="003A637E" w:rsidR="003A0C06">
        <w:rPr>
          <w:b w:val="0"/>
        </w:rPr>
        <w:t>, along with the accompanying submissions pertaining to societal and economic data</w:t>
      </w:r>
      <w:r w:rsidR="003A2C0B">
        <w:rPr>
          <w:b w:val="0"/>
        </w:rPr>
        <w:t xml:space="preserve"> and community engagement data</w:t>
      </w:r>
      <w:r w:rsidR="00F135F7">
        <w:rPr>
          <w:b w:val="0"/>
        </w:rPr>
        <w:t>,</w:t>
      </w:r>
      <w:r w:rsidR="000A50F4">
        <w:rPr>
          <w:b w:val="0"/>
        </w:rPr>
        <w:t xml:space="preserve"> </w:t>
      </w:r>
      <w:r w:rsidRPr="003A637E">
        <w:rPr>
          <w:b w:val="0"/>
        </w:rPr>
        <w:t xml:space="preserve">were made infrequent in order to limit the burden on the </w:t>
      </w:r>
      <w:r w:rsidR="00F135F7">
        <w:rPr>
          <w:b w:val="0"/>
        </w:rPr>
        <w:t>program participants</w:t>
      </w:r>
      <w:r w:rsidRPr="003A637E">
        <w:rPr>
          <w:b w:val="0"/>
        </w:rPr>
        <w:t xml:space="preserve"> to provide those reports</w:t>
      </w:r>
      <w:r w:rsidRPr="003A637E" w:rsidR="003A0C06">
        <w:rPr>
          <w:b w:val="0"/>
        </w:rPr>
        <w:t xml:space="preserve"> and data</w:t>
      </w:r>
      <w:r w:rsidRPr="003A637E">
        <w:rPr>
          <w:b w:val="0"/>
        </w:rPr>
        <w:t>.</w:t>
      </w:r>
      <w:r w:rsidRPr="003A637E" w:rsidR="003A0C06">
        <w:rPr>
          <w:b w:val="0"/>
        </w:rPr>
        <w:t xml:space="preserve">  </w:t>
      </w:r>
    </w:p>
    <w:p w:rsidRPr="003A637E" w:rsidR="00DB1B08" w:rsidP="00256070" w:rsidRDefault="003D3CA3" w14:paraId="500DE52F" w14:textId="121EF811">
      <w:pPr>
        <w:pStyle w:val="Heading2"/>
        <w:numPr>
          <w:ilvl w:val="0"/>
          <w:numId w:val="0"/>
        </w:numPr>
        <w:ind w:left="576"/>
      </w:pPr>
      <w:r w:rsidRPr="003A637E">
        <w:rPr>
          <w:b w:val="0"/>
        </w:rPr>
        <w:t xml:space="preserve">To determine the </w:t>
      </w:r>
      <w:r w:rsidRPr="003A637E" w:rsidR="003A0C06">
        <w:rPr>
          <w:b w:val="0"/>
        </w:rPr>
        <w:t>operation</w:t>
      </w:r>
      <w:r w:rsidR="00F135F7">
        <w:rPr>
          <w:b w:val="0"/>
        </w:rPr>
        <w:t>al</w:t>
      </w:r>
      <w:r w:rsidRPr="003A637E" w:rsidR="003A0C06">
        <w:rPr>
          <w:b w:val="0"/>
        </w:rPr>
        <w:t xml:space="preserve"> </w:t>
      </w:r>
      <w:r w:rsidRPr="003A637E">
        <w:rPr>
          <w:b w:val="0"/>
        </w:rPr>
        <w:t xml:space="preserve">data needed for </w:t>
      </w:r>
      <w:r w:rsidR="00F135F7">
        <w:rPr>
          <w:b w:val="0"/>
        </w:rPr>
        <w:t xml:space="preserve">the </w:t>
      </w:r>
      <w:r w:rsidRPr="003A637E">
        <w:rPr>
          <w:b w:val="0"/>
        </w:rPr>
        <w:t>BEYOND</w:t>
      </w:r>
      <w:r w:rsidRPr="003A637E" w:rsidR="004456AD">
        <w:rPr>
          <w:b w:val="0"/>
        </w:rPr>
        <w:t xml:space="preserve"> and PS</w:t>
      </w:r>
      <w:r w:rsidR="00F135F7">
        <w:rPr>
          <w:b w:val="0"/>
        </w:rPr>
        <w:t>P programs’</w:t>
      </w:r>
      <w:r w:rsidRPr="003A637E">
        <w:rPr>
          <w:b w:val="0"/>
        </w:rPr>
        <w:t xml:space="preserve"> success, the UAS Integration Office</w:t>
      </w:r>
      <w:r w:rsidR="00F135F7">
        <w:rPr>
          <w:b w:val="0"/>
        </w:rPr>
        <w:t xml:space="preserve"> (AUS)</w:t>
      </w:r>
      <w:r w:rsidRPr="003A637E">
        <w:rPr>
          <w:b w:val="0"/>
        </w:rPr>
        <w:t xml:space="preserve"> established a data team with representatives from eight FAA programs. The team identified the specific data needs, who needs the data, what it will be used for, and whether the information has already been collected or is being collected.</w:t>
      </w:r>
      <w:r w:rsidRPr="003A637E" w:rsidR="00185F9E">
        <w:rPr>
          <w:b w:val="0"/>
        </w:rPr>
        <w:t xml:space="preserve"> In addition, AUS accepted the </w:t>
      </w:r>
      <w:r w:rsidR="00F135F7">
        <w:rPr>
          <w:b w:val="0"/>
        </w:rPr>
        <w:t>Integration Pilot Program (an earlier state, local and tribal government partnership) participants’</w:t>
      </w:r>
      <w:r w:rsidRPr="003A637E" w:rsidR="00185F9E">
        <w:rPr>
          <w:b w:val="0"/>
        </w:rPr>
        <w:t xml:space="preserve"> voluntary offer to provide feedback on the operational data collection planning for BEYOND. As a result of these two collaborations, the AUS team made the forms as dynamic as possible to allow </w:t>
      </w:r>
      <w:r w:rsidR="00F135F7">
        <w:rPr>
          <w:b w:val="0"/>
        </w:rPr>
        <w:t>program participants</w:t>
      </w:r>
      <w:r w:rsidRPr="003A637E" w:rsidR="00185F9E">
        <w:rPr>
          <w:b w:val="0"/>
        </w:rPr>
        <w:t xml:space="preserve"> to submit data such as date, time, and geographical coordinates in whatever format their systems use. The AUS team will standardize the data to its preferred format upon receipt of the data. Instead of using an online form to submit flight data one flight at a time, the AUS team developed an Excel form to enable the </w:t>
      </w:r>
      <w:r w:rsidR="00F135F7">
        <w:rPr>
          <w:b w:val="0"/>
        </w:rPr>
        <w:t>program participants</w:t>
      </w:r>
      <w:r w:rsidRPr="003A637E" w:rsidR="004456AD">
        <w:rPr>
          <w:b w:val="0"/>
        </w:rPr>
        <w:t xml:space="preserve"> </w:t>
      </w:r>
      <w:r w:rsidRPr="003A637E" w:rsidR="00185F9E">
        <w:rPr>
          <w:b w:val="0"/>
        </w:rPr>
        <w:t xml:space="preserve">to bulk upload all of the flight data at once. When information about a newly-registered UAS is needed, the AUS team will pre-populate the form with as much information as is available in other sources before asking the </w:t>
      </w:r>
      <w:r w:rsidR="00F135F7">
        <w:rPr>
          <w:b w:val="0"/>
        </w:rPr>
        <w:t>program participants</w:t>
      </w:r>
      <w:r w:rsidRPr="003A637E" w:rsidR="00185F9E">
        <w:rPr>
          <w:b w:val="0"/>
        </w:rPr>
        <w:t xml:space="preserve"> to complete the form. Wh</w:t>
      </w:r>
      <w:r w:rsidRPr="003A637E" w:rsidR="00B671CF">
        <w:rPr>
          <w:b w:val="0"/>
        </w:rPr>
        <w:t xml:space="preserve">en </w:t>
      </w:r>
      <w:r w:rsidR="00F135F7">
        <w:rPr>
          <w:b w:val="0"/>
        </w:rPr>
        <w:t>participants</w:t>
      </w:r>
      <w:r w:rsidRPr="003A637E" w:rsidR="004456AD">
        <w:rPr>
          <w:b w:val="0"/>
        </w:rPr>
        <w:t xml:space="preserve"> </w:t>
      </w:r>
      <w:r w:rsidRPr="003A637E" w:rsidR="00B671CF">
        <w:rPr>
          <w:b w:val="0"/>
        </w:rPr>
        <w:t>need to report an anomalous flight</w:t>
      </w:r>
      <w:r w:rsidRPr="003A637E" w:rsidR="00185F9E">
        <w:rPr>
          <w:b w:val="0"/>
        </w:rPr>
        <w:t>, they will use a dynamic form that limits the questions to the anomaly (or anomalies) that they select.</w:t>
      </w:r>
      <w:r w:rsidRPr="003A637E" w:rsidR="00F25D48">
        <w:rPr>
          <w:b w:val="0"/>
        </w:rPr>
        <w:t xml:space="preserve"> </w:t>
      </w:r>
      <w:r w:rsidR="00F135F7">
        <w:rPr>
          <w:b w:val="0"/>
        </w:rPr>
        <w:t>Each of the program participants will determine their own methods for conducting</w:t>
      </w:r>
      <w:r w:rsidRPr="003A637E" w:rsidR="00256070">
        <w:rPr>
          <w:b w:val="0"/>
        </w:rPr>
        <w:t xml:space="preserve"> the community engagement </w:t>
      </w:r>
      <w:r w:rsidR="00F135F7">
        <w:rPr>
          <w:b w:val="0"/>
        </w:rPr>
        <w:t>activities and collecting community feedback.</w:t>
      </w:r>
      <w:r w:rsidRPr="003A637E" w:rsidR="00256070">
        <w:rPr>
          <w:b w:val="0"/>
        </w:rPr>
        <w:t xml:space="preserve">  </w:t>
      </w:r>
    </w:p>
    <w:p w:rsidRPr="003A2C0B" w:rsidR="002D2CD7" w:rsidP="003A2C0B" w:rsidRDefault="00DB1B08" w14:paraId="690A5CDC" w14:textId="6F9D5AFB">
      <w:pPr>
        <w:pStyle w:val="Heading2"/>
        <w:numPr>
          <w:ilvl w:val="0"/>
          <w:numId w:val="0"/>
        </w:numPr>
        <w:ind w:left="576"/>
        <w:rPr>
          <w:b w:val="0"/>
        </w:rPr>
      </w:pPr>
      <w:r w:rsidRPr="003A637E">
        <w:rPr>
          <w:b w:val="0"/>
        </w:rPr>
        <w:t>In addition</w:t>
      </w:r>
      <w:r w:rsidRPr="003A637E" w:rsidR="00580C11">
        <w:rPr>
          <w:b w:val="0"/>
        </w:rPr>
        <w:t>,</w:t>
      </w:r>
      <w:r w:rsidRPr="003A637E">
        <w:rPr>
          <w:b w:val="0"/>
        </w:rPr>
        <w:t xml:space="preserve"> all efforts will be made to ensure that the requested data is collected and submitted electronically</w:t>
      </w:r>
      <w:r w:rsidR="00F135F7">
        <w:rPr>
          <w:b w:val="0"/>
        </w:rPr>
        <w:t>,</w:t>
      </w:r>
      <w:r w:rsidRPr="003A637E">
        <w:rPr>
          <w:b w:val="0"/>
        </w:rPr>
        <w:t xml:space="preserve"> further reducing the time </w:t>
      </w:r>
      <w:r w:rsidRPr="003A637E" w:rsidR="004F4E63">
        <w:rPr>
          <w:b w:val="0"/>
        </w:rPr>
        <w:t xml:space="preserve">and burden of the </w:t>
      </w:r>
      <w:r w:rsidRPr="003A637E">
        <w:rPr>
          <w:b w:val="0"/>
        </w:rPr>
        <w:t>compliance.</w:t>
      </w:r>
    </w:p>
    <w:p w:rsidRPr="003A637E" w:rsidR="00C64707" w:rsidP="003A2C0B" w:rsidRDefault="00C64707" w14:paraId="367BB979" w14:textId="370C0F97">
      <w:pPr>
        <w:pStyle w:val="Heading1"/>
        <w:rPr>
          <w:rFonts w:eastAsia="Times New Roman" w:cstheme="minorHAnsi"/>
          <w:color w:val="555555"/>
          <w:sz w:val="24"/>
          <w:szCs w:val="24"/>
        </w:rPr>
      </w:pPr>
      <w:r w:rsidRPr="003A637E">
        <w:rPr>
          <w:rFonts w:eastAsia="Times New Roman"/>
        </w:rPr>
        <w:t>6. Describe the consequence to Federal program or policy activities if the collection is not conducted or is conducted less frequently, as well as any technical or legal obstacles to reducing burden.</w:t>
      </w:r>
    </w:p>
    <w:p w:rsidR="003E37D5" w:rsidP="00256070" w:rsidRDefault="003E37D5" w14:paraId="1BEFA5A2" w14:textId="715E94DB">
      <w:pPr>
        <w:pStyle w:val="Heading2"/>
        <w:numPr>
          <w:ilvl w:val="0"/>
          <w:numId w:val="0"/>
        </w:numPr>
        <w:ind w:left="576"/>
        <w:rPr>
          <w:b w:val="0"/>
        </w:rPr>
      </w:pPr>
      <w:r>
        <w:rPr>
          <w:b w:val="0"/>
        </w:rPr>
        <w:t xml:space="preserve">The frequency of the periodic narrative reports is necessary to obtain status updates from the BEYOND and PSP program participants to ensure that they are on track to achieve their project milestones. </w:t>
      </w:r>
      <w:r w:rsidR="00BE11E6">
        <w:rPr>
          <w:b w:val="0"/>
        </w:rPr>
        <w:t>If the reports are</w:t>
      </w:r>
      <w:r>
        <w:rPr>
          <w:b w:val="0"/>
        </w:rPr>
        <w:t xml:space="preserve"> less frequent, valuable time could be lost by the </w:t>
      </w:r>
      <w:r>
        <w:rPr>
          <w:b w:val="0"/>
        </w:rPr>
        <w:lastRenderedPageBreak/>
        <w:t>FAA not being aware of potential or actual roadblocks that need to be addressed.</w:t>
      </w:r>
    </w:p>
    <w:p w:rsidR="003E37D5" w:rsidP="002371CB" w:rsidRDefault="003E37D5" w14:paraId="1BBC96FE" w14:textId="77777777">
      <w:pPr>
        <w:pStyle w:val="Heading2"/>
        <w:numPr>
          <w:ilvl w:val="0"/>
          <w:numId w:val="16"/>
        </w:numPr>
        <w:ind w:left="1872" w:hanging="576"/>
        <w:rPr>
          <w:rFonts w:cstheme="minorHAnsi"/>
          <w:b w:val="0"/>
        </w:rPr>
      </w:pPr>
      <w:r>
        <w:rPr>
          <w:rFonts w:cstheme="minorHAnsi"/>
          <w:b w:val="0"/>
        </w:rPr>
        <w:t>PSP Quarterly Reports</w:t>
      </w:r>
    </w:p>
    <w:p w:rsidR="003E37D5" w:rsidP="003E37D5" w:rsidRDefault="003E37D5" w14:paraId="2CF947E5" w14:textId="77777777">
      <w:pPr>
        <w:pStyle w:val="Heading2"/>
        <w:numPr>
          <w:ilvl w:val="0"/>
          <w:numId w:val="16"/>
        </w:numPr>
        <w:ind w:left="1872" w:hanging="576"/>
        <w:rPr>
          <w:rFonts w:cstheme="minorHAnsi"/>
          <w:b w:val="0"/>
        </w:rPr>
      </w:pPr>
      <w:r>
        <w:rPr>
          <w:rFonts w:cstheme="minorHAnsi"/>
          <w:b w:val="0"/>
        </w:rPr>
        <w:t>BEYOND Semi-Annual Reports</w:t>
      </w:r>
    </w:p>
    <w:p w:rsidR="00BE11E6" w:rsidP="00256070" w:rsidRDefault="003E37D5" w14:paraId="6B3C58F5" w14:textId="14BAD60F">
      <w:pPr>
        <w:pStyle w:val="Heading2"/>
        <w:numPr>
          <w:ilvl w:val="0"/>
          <w:numId w:val="0"/>
        </w:numPr>
        <w:ind w:left="576"/>
        <w:rPr>
          <w:b w:val="0"/>
        </w:rPr>
      </w:pPr>
      <w:r>
        <w:rPr>
          <w:b w:val="0"/>
        </w:rPr>
        <w:t>The program participants only submit one final report</w:t>
      </w:r>
      <w:r w:rsidR="00BE11E6">
        <w:rPr>
          <w:b w:val="0"/>
        </w:rPr>
        <w:t>. If the final report i</w:t>
      </w:r>
      <w:r>
        <w:rPr>
          <w:b w:val="0"/>
        </w:rPr>
        <w:t>s eliminated, the participants’ opportunities to provide</w:t>
      </w:r>
      <w:r w:rsidR="00BE11E6">
        <w:rPr>
          <w:b w:val="0"/>
        </w:rPr>
        <w:t xml:space="preserve"> their perspectives on their overall achievements and remaining challenges</w:t>
      </w:r>
      <w:r>
        <w:rPr>
          <w:b w:val="0"/>
        </w:rPr>
        <w:t xml:space="preserve"> </w:t>
      </w:r>
      <w:r w:rsidR="00BE11E6">
        <w:rPr>
          <w:b w:val="0"/>
        </w:rPr>
        <w:t>would be lost.</w:t>
      </w:r>
    </w:p>
    <w:p w:rsidRPr="007232CA" w:rsidR="00BE11E6" w:rsidP="002371CB" w:rsidRDefault="00BE11E6" w14:paraId="252BF0D8" w14:textId="77777777">
      <w:pPr>
        <w:pStyle w:val="Heading2"/>
        <w:numPr>
          <w:ilvl w:val="0"/>
          <w:numId w:val="16"/>
        </w:numPr>
        <w:ind w:left="1872" w:hanging="576"/>
        <w:rPr>
          <w:rFonts w:cstheme="minorHAnsi"/>
          <w:b w:val="0"/>
        </w:rPr>
      </w:pPr>
      <w:r w:rsidRPr="007232CA">
        <w:rPr>
          <w:rFonts w:cstheme="minorHAnsi"/>
          <w:b w:val="0"/>
        </w:rPr>
        <w:t>BEYOND Final Reports</w:t>
      </w:r>
    </w:p>
    <w:p w:rsidRPr="007232CA" w:rsidR="00BE11E6" w:rsidP="002371CB" w:rsidRDefault="00BE11E6" w14:paraId="21C34924" w14:textId="77777777">
      <w:pPr>
        <w:pStyle w:val="Heading2"/>
        <w:numPr>
          <w:ilvl w:val="0"/>
          <w:numId w:val="16"/>
        </w:numPr>
        <w:ind w:left="1872" w:hanging="576"/>
        <w:rPr>
          <w:rFonts w:cstheme="minorHAnsi"/>
          <w:b w:val="0"/>
        </w:rPr>
      </w:pPr>
      <w:r w:rsidRPr="007232CA">
        <w:rPr>
          <w:rFonts w:cstheme="minorHAnsi"/>
          <w:b w:val="0"/>
        </w:rPr>
        <w:t>PSP Final Reports</w:t>
      </w:r>
    </w:p>
    <w:p w:rsidR="00BE11E6" w:rsidP="00256070" w:rsidRDefault="00BE11E6" w14:paraId="442E9B6F" w14:textId="46FD8A48">
      <w:pPr>
        <w:pStyle w:val="Heading2"/>
        <w:numPr>
          <w:ilvl w:val="0"/>
          <w:numId w:val="0"/>
        </w:numPr>
        <w:ind w:left="576"/>
        <w:rPr>
          <w:b w:val="0"/>
        </w:rPr>
      </w:pPr>
      <w:r>
        <w:rPr>
          <w:b w:val="0"/>
        </w:rPr>
        <w:t>The trigger to submit a program withdrawal report is a BEYOND participant deciding to leave the program. If this report is eliminated, the BEYOND team does not gain insight th</w:t>
      </w:r>
      <w:r w:rsidR="00927455">
        <w:rPr>
          <w:b w:val="0"/>
        </w:rPr>
        <w:t>at can be</w:t>
      </w:r>
      <w:r w:rsidR="00927455">
        <w:rPr>
          <w:rFonts w:cstheme="minorHAnsi"/>
          <w:b w:val="0"/>
        </w:rPr>
        <w:t xml:space="preserve"> applied to support the remaining participants’ successful continuation.</w:t>
      </w:r>
    </w:p>
    <w:p w:rsidRPr="007232CA" w:rsidR="00927455" w:rsidP="002371CB" w:rsidRDefault="00927455" w14:paraId="4460BDCF" w14:textId="77777777">
      <w:pPr>
        <w:pStyle w:val="Heading2"/>
        <w:numPr>
          <w:ilvl w:val="0"/>
          <w:numId w:val="20"/>
        </w:numPr>
        <w:ind w:left="1872" w:hanging="576"/>
        <w:rPr>
          <w:rFonts w:cstheme="minorHAnsi"/>
          <w:b w:val="0"/>
        </w:rPr>
      </w:pPr>
      <w:r w:rsidRPr="007232CA">
        <w:rPr>
          <w:rFonts w:cstheme="minorHAnsi"/>
          <w:b w:val="0"/>
        </w:rPr>
        <w:t>BEYOND Program Withdrawal Reports</w:t>
      </w:r>
    </w:p>
    <w:p w:rsidR="00BE11E6" w:rsidP="00256070" w:rsidRDefault="00927455" w14:paraId="69635102" w14:textId="2EFF7A99">
      <w:pPr>
        <w:pStyle w:val="Heading2"/>
        <w:numPr>
          <w:ilvl w:val="0"/>
          <w:numId w:val="0"/>
        </w:numPr>
        <w:ind w:left="576"/>
        <w:rPr>
          <w:b w:val="0"/>
        </w:rPr>
      </w:pPr>
      <w:r>
        <w:rPr>
          <w:b w:val="0"/>
        </w:rPr>
        <w:t xml:space="preserve">The trigger to submit a UAS Characteristics Report is the acquisition of a new aircraft or the modification of an existing aircraft. If the specifications of the UAS are not known, it will be impossible to </w:t>
      </w:r>
      <w:r w:rsidR="00DF234A">
        <w:rPr>
          <w:b w:val="0"/>
        </w:rPr>
        <w:t xml:space="preserve">identify safety or performance trends based on UAS type (e.g., fixed wing, multi-rotor, etc.), weight, or configuration. If the UAS Characteristics Report is not updated when the UAS is modified, it will lead to inaccurate data analysis and result in decision-making </w:t>
      </w:r>
      <w:r w:rsidR="007D554A">
        <w:rPr>
          <w:b w:val="0"/>
        </w:rPr>
        <w:t xml:space="preserve">based </w:t>
      </w:r>
      <w:r w:rsidR="00DF234A">
        <w:rPr>
          <w:b w:val="0"/>
        </w:rPr>
        <w:t>on false conclusions.</w:t>
      </w:r>
    </w:p>
    <w:p w:rsidRPr="00832B9F" w:rsidR="00927455" w:rsidP="002371CB" w:rsidRDefault="00927455" w14:paraId="2AF696E9" w14:textId="491F69EF">
      <w:pPr>
        <w:pStyle w:val="Heading2"/>
        <w:numPr>
          <w:ilvl w:val="0"/>
          <w:numId w:val="18"/>
        </w:numPr>
        <w:ind w:left="1872" w:hanging="576"/>
        <w:rPr>
          <w:rFonts w:cstheme="minorHAnsi"/>
          <w:b w:val="0"/>
        </w:rPr>
      </w:pPr>
      <w:r w:rsidRPr="007232CA">
        <w:rPr>
          <w:rFonts w:cstheme="minorHAnsi"/>
          <w:b w:val="0"/>
        </w:rPr>
        <w:t xml:space="preserve">UAS Characteristics </w:t>
      </w:r>
      <w:r>
        <w:rPr>
          <w:rFonts w:cstheme="minorHAnsi"/>
          <w:b w:val="0"/>
        </w:rPr>
        <w:t>Reports</w:t>
      </w:r>
    </w:p>
    <w:p w:rsidR="00927455" w:rsidP="00256070" w:rsidRDefault="00DF234A" w14:paraId="38A19C51" w14:textId="49DB8D60">
      <w:pPr>
        <w:pStyle w:val="Heading2"/>
        <w:numPr>
          <w:ilvl w:val="0"/>
          <w:numId w:val="0"/>
        </w:numPr>
        <w:ind w:left="576"/>
        <w:rPr>
          <w:b w:val="0"/>
        </w:rPr>
      </w:pPr>
      <w:r>
        <w:rPr>
          <w:b w:val="0"/>
        </w:rPr>
        <w:t>The frequency of the operational flight and maintenance reports is monthly. If the collection is less frequent, safety or performance issues that need to be addressed will go unidentified. In addition, the FAA activities to integrate UAS into the NAS are ongoing. If teams have to wait for data, it will slow their progress.</w:t>
      </w:r>
    </w:p>
    <w:p w:rsidRPr="007232CA" w:rsidR="00DF234A" w:rsidP="002371CB" w:rsidRDefault="00DF234A" w14:paraId="76C27C0D" w14:textId="5BE5771F">
      <w:pPr>
        <w:pStyle w:val="Heading2"/>
        <w:numPr>
          <w:ilvl w:val="0"/>
          <w:numId w:val="18"/>
        </w:numPr>
        <w:ind w:left="1872" w:hanging="576"/>
        <w:rPr>
          <w:rFonts w:cstheme="minorHAnsi"/>
          <w:b w:val="0"/>
        </w:rPr>
      </w:pPr>
      <w:r w:rsidRPr="007232CA">
        <w:rPr>
          <w:rFonts w:cstheme="minorHAnsi"/>
          <w:b w:val="0"/>
        </w:rPr>
        <w:t xml:space="preserve">UAS </w:t>
      </w:r>
      <w:r w:rsidR="00E71CB4">
        <w:rPr>
          <w:rFonts w:cstheme="minorHAnsi"/>
          <w:b w:val="0"/>
        </w:rPr>
        <w:t xml:space="preserve">Monthly </w:t>
      </w:r>
      <w:r w:rsidRPr="007232CA">
        <w:rPr>
          <w:rFonts w:cstheme="minorHAnsi"/>
          <w:b w:val="0"/>
        </w:rPr>
        <w:t>Operational Fl</w:t>
      </w:r>
      <w:r>
        <w:rPr>
          <w:rFonts w:cstheme="minorHAnsi"/>
          <w:b w:val="0"/>
        </w:rPr>
        <w:t>ight Reports</w:t>
      </w:r>
    </w:p>
    <w:p w:rsidR="00DF234A" w:rsidP="002371CB" w:rsidRDefault="00DF234A" w14:paraId="1E1DE8C0" w14:textId="77777777">
      <w:pPr>
        <w:pStyle w:val="Heading2"/>
        <w:numPr>
          <w:ilvl w:val="0"/>
          <w:numId w:val="18"/>
        </w:numPr>
        <w:ind w:left="1872" w:hanging="576"/>
        <w:rPr>
          <w:rFonts w:cstheme="minorHAnsi"/>
          <w:b w:val="0"/>
        </w:rPr>
      </w:pPr>
      <w:r w:rsidRPr="007232CA">
        <w:rPr>
          <w:rFonts w:cstheme="minorHAnsi"/>
          <w:b w:val="0"/>
        </w:rPr>
        <w:t xml:space="preserve">UAS Maintenance Data </w:t>
      </w:r>
      <w:r>
        <w:rPr>
          <w:rFonts w:cstheme="minorHAnsi"/>
          <w:b w:val="0"/>
        </w:rPr>
        <w:t>Reports</w:t>
      </w:r>
    </w:p>
    <w:p w:rsidR="003E37D5" w:rsidP="002371CB" w:rsidRDefault="00E264B4" w14:paraId="6EB7237E" w14:textId="4B627AD7">
      <w:pPr>
        <w:pStyle w:val="Heading2"/>
        <w:numPr>
          <w:ilvl w:val="0"/>
          <w:numId w:val="0"/>
        </w:numPr>
        <w:ind w:left="576"/>
        <w:rPr>
          <w:b w:val="0"/>
        </w:rPr>
      </w:pPr>
      <w:r>
        <w:rPr>
          <w:b w:val="0"/>
        </w:rPr>
        <w:t>The trigger to submit a flight anomaly report is an off-nominal event that requires a mitigation or an event in which the aircraft exceeds its operational boundaries. If this report is eliminated, the FAA loses a valuable opportunity to identify safety concerns that should be addressed to ensure the continued safety of the NAS.</w:t>
      </w:r>
    </w:p>
    <w:p w:rsidRPr="00AD06BC" w:rsidR="00E264B4" w:rsidP="002371CB" w:rsidRDefault="00E264B4" w14:paraId="140A1D25" w14:textId="77777777">
      <w:pPr>
        <w:pStyle w:val="ListParagraph"/>
        <w:numPr>
          <w:ilvl w:val="0"/>
          <w:numId w:val="22"/>
        </w:numPr>
        <w:adjustRightInd w:val="0"/>
        <w:ind w:left="1872" w:hanging="576"/>
        <w:rPr>
          <w:bCs/>
          <w:sz w:val="24"/>
          <w:szCs w:val="24"/>
        </w:rPr>
      </w:pPr>
      <w:r w:rsidRPr="00AD06BC">
        <w:rPr>
          <w:bCs/>
          <w:sz w:val="24"/>
          <w:szCs w:val="24"/>
        </w:rPr>
        <w:t>UAS Flight Anomaly Reports</w:t>
      </w:r>
    </w:p>
    <w:p w:rsidR="00E264B4" w:rsidP="002371CB" w:rsidRDefault="00E264B4" w14:paraId="1C0F5A5B" w14:textId="6644239F">
      <w:pPr>
        <w:pStyle w:val="Heading2"/>
        <w:numPr>
          <w:ilvl w:val="0"/>
          <w:numId w:val="0"/>
        </w:numPr>
        <w:ind w:left="576"/>
        <w:rPr>
          <w:b w:val="0"/>
        </w:rPr>
      </w:pPr>
      <w:r>
        <w:rPr>
          <w:b w:val="0"/>
        </w:rPr>
        <w:t>The test data reports are optional. The consequence of not receiving test data is that the FAA has a smaller volume of data on which to base UAS integration decisions.</w:t>
      </w:r>
    </w:p>
    <w:p w:rsidRPr="00AD06BC" w:rsidR="00E264B4" w:rsidP="002371CB" w:rsidRDefault="00E264B4" w14:paraId="74C565AA" w14:textId="77777777">
      <w:pPr>
        <w:pStyle w:val="ListParagraph"/>
        <w:numPr>
          <w:ilvl w:val="0"/>
          <w:numId w:val="23"/>
        </w:numPr>
        <w:adjustRightInd w:val="0"/>
        <w:ind w:left="1872" w:hanging="576"/>
        <w:rPr>
          <w:bCs/>
          <w:sz w:val="24"/>
          <w:szCs w:val="24"/>
        </w:rPr>
      </w:pPr>
      <w:r w:rsidRPr="00AD06BC">
        <w:rPr>
          <w:bCs/>
          <w:sz w:val="24"/>
          <w:szCs w:val="24"/>
        </w:rPr>
        <w:t>UAS Test Data Reports</w:t>
      </w:r>
      <w:r w:rsidRPr="00AD06BC" w:rsidDel="00AB3599">
        <w:rPr>
          <w:bCs/>
          <w:sz w:val="24"/>
          <w:szCs w:val="24"/>
        </w:rPr>
        <w:t xml:space="preserve"> </w:t>
      </w:r>
    </w:p>
    <w:p w:rsidR="000306F2" w:rsidP="00256070" w:rsidRDefault="000A50F4" w14:paraId="67F77719" w14:textId="1576DBC1">
      <w:pPr>
        <w:pStyle w:val="Heading2"/>
        <w:numPr>
          <w:ilvl w:val="0"/>
          <w:numId w:val="0"/>
        </w:numPr>
        <w:ind w:left="576"/>
        <w:rPr>
          <w:b w:val="0"/>
        </w:rPr>
      </w:pPr>
      <w:r w:rsidRPr="003A637E">
        <w:rPr>
          <w:b w:val="0"/>
        </w:rPr>
        <w:t xml:space="preserve">The </w:t>
      </w:r>
      <w:r w:rsidR="000306F2">
        <w:rPr>
          <w:b w:val="0"/>
        </w:rPr>
        <w:t xml:space="preserve">frequency of the </w:t>
      </w:r>
      <w:r w:rsidRPr="003A637E">
        <w:rPr>
          <w:b w:val="0"/>
        </w:rPr>
        <w:t xml:space="preserve">societal and economic data </w:t>
      </w:r>
      <w:r w:rsidR="000306F2">
        <w:rPr>
          <w:b w:val="0"/>
        </w:rPr>
        <w:t>reports and the community engagement reports is semi-annually (BEYOND) or quarterly (PSP) to coincide with the narrative reports due at these intervals. The frequency is set to inform ongoing UAS integration activities. If teams have to wait for information from this collection, it will slow their progress.</w:t>
      </w:r>
    </w:p>
    <w:p w:rsidR="000306F2" w:rsidP="002371CB" w:rsidRDefault="00712F00" w14:paraId="04D4CC10" w14:textId="4F1992CE">
      <w:pPr>
        <w:pStyle w:val="ListParagraph"/>
        <w:numPr>
          <w:ilvl w:val="0"/>
          <w:numId w:val="24"/>
        </w:numPr>
        <w:adjustRightInd w:val="0"/>
        <w:ind w:left="1872" w:hanging="576"/>
        <w:rPr>
          <w:bCs/>
          <w:sz w:val="24"/>
          <w:szCs w:val="24"/>
        </w:rPr>
      </w:pPr>
      <w:r>
        <w:rPr>
          <w:bCs/>
          <w:sz w:val="24"/>
          <w:szCs w:val="24"/>
        </w:rPr>
        <w:t xml:space="preserve">Legacy </w:t>
      </w:r>
      <w:r w:rsidRPr="00AD06BC" w:rsidR="000306F2">
        <w:rPr>
          <w:bCs/>
          <w:sz w:val="24"/>
          <w:szCs w:val="24"/>
        </w:rPr>
        <w:t>Societal and Economic Data Reports</w:t>
      </w:r>
    </w:p>
    <w:p w:rsidR="00712F00" w:rsidP="002371CB" w:rsidRDefault="00712F00" w14:paraId="2321D509" w14:textId="2ADA55A3">
      <w:pPr>
        <w:pStyle w:val="ListParagraph"/>
        <w:numPr>
          <w:ilvl w:val="0"/>
          <w:numId w:val="24"/>
        </w:numPr>
        <w:adjustRightInd w:val="0"/>
        <w:ind w:left="1872" w:hanging="576"/>
        <w:rPr>
          <w:bCs/>
          <w:sz w:val="24"/>
          <w:szCs w:val="24"/>
        </w:rPr>
      </w:pPr>
      <w:r>
        <w:rPr>
          <w:bCs/>
          <w:sz w:val="24"/>
          <w:szCs w:val="24"/>
        </w:rPr>
        <w:lastRenderedPageBreak/>
        <w:t>UAS Societal and Economic Data Reports</w:t>
      </w:r>
    </w:p>
    <w:p w:rsidRPr="002371CB" w:rsidR="000306F2" w:rsidP="002371CB" w:rsidRDefault="000306F2" w14:paraId="3385EEFD" w14:textId="68A89645">
      <w:pPr>
        <w:pStyle w:val="ListParagraph"/>
        <w:numPr>
          <w:ilvl w:val="0"/>
          <w:numId w:val="24"/>
        </w:numPr>
        <w:adjustRightInd w:val="0"/>
        <w:ind w:left="1872" w:hanging="576"/>
        <w:rPr>
          <w:bCs/>
          <w:sz w:val="24"/>
          <w:szCs w:val="24"/>
        </w:rPr>
      </w:pPr>
      <w:r w:rsidRPr="00AD06BC">
        <w:rPr>
          <w:bCs/>
          <w:sz w:val="24"/>
          <w:szCs w:val="24"/>
        </w:rPr>
        <w:t>Community Engagement Reports</w:t>
      </w:r>
    </w:p>
    <w:p w:rsidR="00A04FDC" w:rsidP="002371CB" w:rsidRDefault="000116FA" w14:paraId="56CAC1E1" w14:textId="77777777">
      <w:pPr>
        <w:pStyle w:val="Heading2"/>
        <w:numPr>
          <w:ilvl w:val="0"/>
          <w:numId w:val="0"/>
        </w:numPr>
        <w:ind w:left="576"/>
        <w:rPr>
          <w:b w:val="0"/>
        </w:rPr>
      </w:pPr>
      <w:r w:rsidRPr="003A637E">
        <w:rPr>
          <w:b w:val="0"/>
        </w:rPr>
        <w:t xml:space="preserve">The community engagement </w:t>
      </w:r>
      <w:r w:rsidR="00A04FDC">
        <w:rPr>
          <w:b w:val="0"/>
        </w:rPr>
        <w:t>tool is an optional aid provided to the program participants. The consequence of not providing this aid is that the program participants will develop their questionnaires without insight into what type of information is of interest to the FAA.</w:t>
      </w:r>
    </w:p>
    <w:p w:rsidRPr="00AD06BC" w:rsidR="00A04FDC" w:rsidP="00BE1096" w:rsidRDefault="00A04FDC" w14:paraId="3BE2D72D" w14:textId="77777777">
      <w:pPr>
        <w:pStyle w:val="ListParagraph"/>
        <w:numPr>
          <w:ilvl w:val="0"/>
          <w:numId w:val="24"/>
        </w:numPr>
        <w:adjustRightInd w:val="0"/>
        <w:ind w:left="1872" w:hanging="576"/>
        <w:rPr>
          <w:bCs/>
          <w:sz w:val="24"/>
          <w:szCs w:val="24"/>
        </w:rPr>
      </w:pPr>
      <w:r w:rsidRPr="00AD06BC">
        <w:rPr>
          <w:bCs/>
          <w:sz w:val="24"/>
          <w:szCs w:val="24"/>
        </w:rPr>
        <w:t>Community Engagement Tool</w:t>
      </w:r>
    </w:p>
    <w:p w:rsidRPr="003A637E" w:rsidR="000116FA" w:rsidP="000861A3" w:rsidRDefault="00A04FDC" w14:paraId="19B8BFF4" w14:textId="366C8561">
      <w:pPr>
        <w:pStyle w:val="Heading2"/>
        <w:numPr>
          <w:ilvl w:val="0"/>
          <w:numId w:val="0"/>
        </w:numPr>
        <w:ind w:left="576"/>
        <w:rPr>
          <w:b w:val="0"/>
        </w:rPr>
      </w:pPr>
      <w:r>
        <w:rPr>
          <w:b w:val="0"/>
        </w:rPr>
        <w:t>In summary, t</w:t>
      </w:r>
      <w:r w:rsidRPr="003A637E" w:rsidR="000116FA">
        <w:rPr>
          <w:b w:val="0"/>
        </w:rPr>
        <w:t xml:space="preserve">he frequency of reporting chosen is meant to provide a balance between burdening the </w:t>
      </w:r>
      <w:r>
        <w:rPr>
          <w:b w:val="0"/>
        </w:rPr>
        <w:t>program participants</w:t>
      </w:r>
      <w:r w:rsidRPr="003A637E" w:rsidR="000116FA">
        <w:rPr>
          <w:b w:val="0"/>
        </w:rPr>
        <w:t xml:space="preserve"> and providing the FAA with needed data to inform its policy and decision-making. The UAS </w:t>
      </w:r>
      <w:r w:rsidRPr="003A637E" w:rsidR="00CB7E93">
        <w:rPr>
          <w:b w:val="0"/>
        </w:rPr>
        <w:t>industry</w:t>
      </w:r>
      <w:r w:rsidRPr="003A637E" w:rsidR="000116FA">
        <w:rPr>
          <w:b w:val="0"/>
        </w:rPr>
        <w:t xml:space="preserve"> evolv</w:t>
      </w:r>
      <w:r w:rsidRPr="003A637E" w:rsidR="00256070">
        <w:rPr>
          <w:b w:val="0"/>
        </w:rPr>
        <w:t>es</w:t>
      </w:r>
      <w:r w:rsidRPr="003A637E" w:rsidR="000116FA">
        <w:rPr>
          <w:b w:val="0"/>
        </w:rPr>
        <w:t xml:space="preserve"> </w:t>
      </w:r>
      <w:r w:rsidRPr="003A637E" w:rsidR="00256070">
        <w:rPr>
          <w:b w:val="0"/>
        </w:rPr>
        <w:t xml:space="preserve">quickly </w:t>
      </w:r>
      <w:r w:rsidRPr="003A637E" w:rsidR="000116FA">
        <w:rPr>
          <w:b w:val="0"/>
        </w:rPr>
        <w:t>and there is impetus to integrate the</w:t>
      </w:r>
      <w:r w:rsidRPr="003A637E" w:rsidR="00256070">
        <w:rPr>
          <w:b w:val="0"/>
        </w:rPr>
        <w:t>se operations</w:t>
      </w:r>
      <w:r w:rsidRPr="003A637E" w:rsidR="000116FA">
        <w:rPr>
          <w:b w:val="0"/>
        </w:rPr>
        <w:t xml:space="preserve"> into the NAS as quickly as possible. </w:t>
      </w:r>
    </w:p>
    <w:p w:rsidRPr="003A637E" w:rsidR="00C64707" w:rsidP="0074582F" w:rsidRDefault="00C64707" w14:paraId="7B2F9067" w14:textId="0B637F2F">
      <w:pPr>
        <w:pStyle w:val="Heading1"/>
        <w:rPr>
          <w:rFonts w:eastAsia="Times New Roman" w:cstheme="minorHAnsi"/>
          <w:color w:val="555555"/>
          <w:sz w:val="24"/>
          <w:szCs w:val="24"/>
        </w:rPr>
      </w:pPr>
      <w:r w:rsidRPr="003A637E">
        <w:rPr>
          <w:rFonts w:eastAsia="Times New Roman"/>
        </w:rPr>
        <w:t>7. Explain any special circumstances that would cause an information collection to be conducted in a manner:</w:t>
      </w:r>
    </w:p>
    <w:p w:rsidRPr="003A637E" w:rsidR="00C64707" w:rsidP="00C64707" w:rsidRDefault="00C64707" w14:paraId="6AC3C696"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i/>
          <w:iCs/>
          <w:color w:val="555555"/>
          <w:sz w:val="24"/>
          <w:szCs w:val="24"/>
        </w:rPr>
        <w:t>requiring respondents to report information to the agency more often than quarterly;</w:t>
      </w:r>
    </w:p>
    <w:p w:rsidRPr="003A637E" w:rsidR="00C64707" w:rsidP="00C64707" w:rsidRDefault="00C64707" w14:paraId="73A65C67"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i/>
          <w:iCs/>
          <w:color w:val="555555"/>
          <w:sz w:val="24"/>
          <w:szCs w:val="24"/>
        </w:rPr>
        <w:t>requiring respondents to prepare a written response to a collection of information in fewer than 30 days after receipt of it;</w:t>
      </w:r>
    </w:p>
    <w:p w:rsidRPr="003A637E" w:rsidR="00C64707" w:rsidP="00C64707" w:rsidRDefault="00C64707" w14:paraId="5033DB8B"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3A637E" w:rsidR="00C64707" w:rsidP="00C64707" w:rsidRDefault="00C64707" w14:paraId="707A54B6"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i/>
          <w:iCs/>
          <w:color w:val="555555"/>
          <w:sz w:val="24"/>
          <w:szCs w:val="24"/>
        </w:rPr>
        <w:t>in connection with a statistical survey, that is not designed to produce valid and reliable results that can be generalized to the universe of study;</w:t>
      </w:r>
    </w:p>
    <w:p w:rsidRPr="003A637E" w:rsidR="00C64707" w:rsidP="00C64707" w:rsidRDefault="00C64707" w14:paraId="2010B591"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i/>
          <w:iCs/>
          <w:color w:val="555555"/>
          <w:sz w:val="24"/>
          <w:szCs w:val="24"/>
        </w:rPr>
        <w:t>requiring the use of a statistical data classification that has not been reviewed and approved by OMB;</w:t>
      </w:r>
    </w:p>
    <w:p w:rsidRPr="003A637E" w:rsidR="00C64707" w:rsidP="00C64707" w:rsidRDefault="00C64707" w14:paraId="3C12416F"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A2C0B" w:rsidR="003B3E86" w:rsidP="003A2C0B" w:rsidRDefault="00C64707" w14:paraId="4F822720" w14:textId="068883DD">
      <w:pPr>
        <w:numPr>
          <w:ilvl w:val="0"/>
          <w:numId w:val="1"/>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3A637E" w:rsidR="003B3E86" w:rsidP="00735023" w:rsidRDefault="00F278D8" w14:paraId="766806C5" w14:textId="4839BE1D">
      <w:pPr>
        <w:pStyle w:val="Heading2"/>
        <w:numPr>
          <w:ilvl w:val="0"/>
          <w:numId w:val="0"/>
        </w:numPr>
        <w:ind w:left="576"/>
      </w:pPr>
      <w:r w:rsidRPr="003A637E">
        <w:rPr>
          <w:b w:val="0"/>
        </w:rPr>
        <w:t xml:space="preserve">The frequency of the </w:t>
      </w:r>
      <w:r w:rsidRPr="003A637E" w:rsidR="00E40AA0">
        <w:rPr>
          <w:b w:val="0"/>
        </w:rPr>
        <w:t xml:space="preserve">UAS </w:t>
      </w:r>
      <w:r w:rsidR="00E71CB4">
        <w:rPr>
          <w:b w:val="0"/>
        </w:rPr>
        <w:t xml:space="preserve">Monthly </w:t>
      </w:r>
      <w:r w:rsidRPr="003A637E" w:rsidR="00E40AA0">
        <w:rPr>
          <w:b w:val="0"/>
        </w:rPr>
        <w:t xml:space="preserve">Operational Flight Report </w:t>
      </w:r>
      <w:r w:rsidRPr="003A637E" w:rsidR="00F11359">
        <w:rPr>
          <w:b w:val="0"/>
        </w:rPr>
        <w:t xml:space="preserve">and </w:t>
      </w:r>
      <w:r w:rsidR="006A2D8B">
        <w:rPr>
          <w:b w:val="0"/>
        </w:rPr>
        <w:t xml:space="preserve">UAS </w:t>
      </w:r>
      <w:r w:rsidRPr="003A637E" w:rsidR="00F11359">
        <w:rPr>
          <w:b w:val="0"/>
        </w:rPr>
        <w:t xml:space="preserve">Maintenance </w:t>
      </w:r>
      <w:r w:rsidR="006A2D8B">
        <w:rPr>
          <w:b w:val="0"/>
        </w:rPr>
        <w:t>Report</w:t>
      </w:r>
      <w:r w:rsidRPr="003A637E" w:rsidR="00F11359">
        <w:rPr>
          <w:b w:val="0"/>
        </w:rPr>
        <w:t xml:space="preserve"> </w:t>
      </w:r>
      <w:r w:rsidRPr="003A637E">
        <w:rPr>
          <w:b w:val="0"/>
        </w:rPr>
        <w:t xml:space="preserve">submissions </w:t>
      </w:r>
      <w:r w:rsidRPr="003A637E" w:rsidR="00E40AA0">
        <w:rPr>
          <w:b w:val="0"/>
        </w:rPr>
        <w:t xml:space="preserve">is set at </w:t>
      </w:r>
      <w:r w:rsidRPr="003A637E" w:rsidR="0013266A">
        <w:rPr>
          <w:b w:val="0"/>
        </w:rPr>
        <w:t xml:space="preserve">monthly </w:t>
      </w:r>
      <w:r w:rsidRPr="003A637E" w:rsidR="00617352">
        <w:rPr>
          <w:b w:val="0"/>
        </w:rPr>
        <w:t xml:space="preserve">in order to align with the reporting frequency in documents such as waivers and authorizations. </w:t>
      </w:r>
      <w:r w:rsidRPr="003A637E" w:rsidR="00CF148A">
        <w:rPr>
          <w:b w:val="0"/>
        </w:rPr>
        <w:t>This data is important to assess the safety of each participants’</w:t>
      </w:r>
      <w:r w:rsidRPr="003A637E" w:rsidR="00EC080A">
        <w:rPr>
          <w:b w:val="0"/>
        </w:rPr>
        <w:t xml:space="preserve"> flight operations, and provides important information about the durability and reliability of the aircraft. </w:t>
      </w:r>
    </w:p>
    <w:p w:rsidR="008E0CB5" w:rsidRDefault="008E0CB5" w14:paraId="3255247E" w14:textId="77777777">
      <w:pPr>
        <w:rPr>
          <w:rFonts w:ascii="Times New Roman" w:hAnsi="Times New Roman" w:eastAsia="Times New Roman" w:cs="Times New Roman"/>
          <w:bCs/>
          <w:sz w:val="24"/>
          <w:szCs w:val="24"/>
        </w:rPr>
      </w:pPr>
      <w:r>
        <w:rPr>
          <w:b/>
        </w:rPr>
        <w:br w:type="page"/>
      </w:r>
    </w:p>
    <w:p w:rsidRPr="003A637E" w:rsidR="00C64707" w:rsidP="000861A3" w:rsidRDefault="00F62249" w14:paraId="0D4010D7" w14:textId="7D86AAD8">
      <w:pPr>
        <w:pStyle w:val="Heading2"/>
        <w:numPr>
          <w:ilvl w:val="0"/>
          <w:numId w:val="0"/>
        </w:numPr>
        <w:ind w:left="576"/>
        <w:rPr>
          <w:color w:val="555555"/>
        </w:rPr>
      </w:pPr>
      <w:r w:rsidRPr="003A637E">
        <w:rPr>
          <w:b w:val="0"/>
        </w:rPr>
        <w:lastRenderedPageBreak/>
        <w:t>All other data collection</w:t>
      </w:r>
      <w:r w:rsidRPr="003A637E" w:rsidR="00590A1A">
        <w:rPr>
          <w:b w:val="0"/>
        </w:rPr>
        <w:t xml:space="preserve">s will be conducted in a manner consistent with guidelines in 5 CFR 1320.5 (d)(2). </w:t>
      </w:r>
      <w:r w:rsidRPr="003A637E">
        <w:rPr>
          <w:b w:val="0"/>
        </w:rPr>
        <w:t xml:space="preserve"> </w:t>
      </w:r>
    </w:p>
    <w:p w:rsidRPr="003A637E" w:rsidR="00C64707" w:rsidP="0074582F" w:rsidRDefault="00C64707" w14:paraId="49CC0548" w14:textId="6CDD3CCD">
      <w:pPr>
        <w:pStyle w:val="Heading1"/>
        <w:rPr>
          <w:rFonts w:eastAsia="Times New Roman" w:cstheme="minorHAnsi"/>
          <w:color w:val="555555"/>
          <w:sz w:val="24"/>
          <w:szCs w:val="24"/>
        </w:rPr>
      </w:pPr>
      <w:r w:rsidRPr="003A637E">
        <w:rPr>
          <w:rFonts w:eastAsia="Times New Roman"/>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83828" w:rsidP="00C64707" w:rsidRDefault="00F83828" w14:paraId="31F0BD6D" w14:textId="1A00DFAB">
      <w:pPr>
        <w:shd w:val="clear" w:color="auto" w:fill="FFFFFF"/>
        <w:spacing w:after="0" w:line="240" w:lineRule="auto"/>
        <w:rPr>
          <w:rFonts w:eastAsia="Times New Roman" w:cstheme="minorHAnsi"/>
          <w:sz w:val="24"/>
          <w:szCs w:val="24"/>
        </w:rPr>
      </w:pPr>
    </w:p>
    <w:p w:rsidR="003A2C0B" w:rsidP="003A2C0B" w:rsidRDefault="003A2C0B" w14:paraId="25323D7A" w14:textId="1ED5E349">
      <w:pPr>
        <w:shd w:val="clear" w:color="auto" w:fill="FFFFFF"/>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The Federal Register Notice (FAA-2020-1051) received two public comments, neither of which was within the scope of this information collection.</w:t>
      </w:r>
    </w:p>
    <w:p w:rsidR="003A2C0B" w:rsidP="003A2C0B" w:rsidRDefault="003A2C0B" w14:paraId="0E7D1C1F" w14:textId="7520906A">
      <w:pPr>
        <w:shd w:val="clear" w:color="auto" w:fill="FFFFFF"/>
        <w:spacing w:after="0" w:line="240" w:lineRule="auto"/>
        <w:ind w:left="720"/>
        <w:rPr>
          <w:rFonts w:ascii="Times New Roman" w:hAnsi="Times New Roman" w:eastAsia="Times New Roman" w:cs="Times New Roman"/>
          <w:sz w:val="24"/>
          <w:szCs w:val="24"/>
        </w:rPr>
      </w:pPr>
    </w:p>
    <w:p w:rsidR="003A2C0B" w:rsidP="003A2C0B" w:rsidRDefault="003A2C0B" w14:paraId="7D5122AC" w14:textId="6FF7CC58">
      <w:pPr>
        <w:shd w:val="clear" w:color="auto" w:fill="FFFFFF"/>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Participants in the BEYOND and PSP programs are consulted throughout the process of developing their </w:t>
      </w:r>
      <w:r w:rsidR="00B8179B">
        <w:rPr>
          <w:rFonts w:ascii="Times New Roman" w:hAnsi="Times New Roman" w:eastAsia="Times New Roman" w:cs="Times New Roman"/>
          <w:sz w:val="24"/>
          <w:szCs w:val="24"/>
        </w:rPr>
        <w:t>MOA or MOU</w:t>
      </w:r>
      <w:r>
        <w:rPr>
          <w:rFonts w:ascii="Times New Roman" w:hAnsi="Times New Roman" w:eastAsia="Times New Roman" w:cs="Times New Roman"/>
          <w:sz w:val="24"/>
          <w:szCs w:val="24"/>
        </w:rPr>
        <w:t xml:space="preserve"> </w:t>
      </w:r>
      <w:r w:rsidR="00B8179B">
        <w:rPr>
          <w:rFonts w:ascii="Times New Roman" w:hAnsi="Times New Roman" w:eastAsia="Times New Roman" w:cs="Times New Roman"/>
          <w:sz w:val="24"/>
          <w:szCs w:val="24"/>
        </w:rPr>
        <w:t xml:space="preserve">with the FAA. These agreements describe the program data collections, requirements, and frequency of reporting in detail. The participants are given multiple opportunities to object to or suggest changes to any parts of the agreements that they feel will be an excess burden or if they will be unable to collect or report specific data elements.  </w:t>
      </w:r>
    </w:p>
    <w:p w:rsidR="00B8179B" w:rsidP="003A2C0B" w:rsidRDefault="00B8179B" w14:paraId="10673D0A" w14:textId="00AFDC41">
      <w:pPr>
        <w:shd w:val="clear" w:color="auto" w:fill="FFFFFF"/>
        <w:spacing w:after="0" w:line="240" w:lineRule="auto"/>
        <w:ind w:left="720"/>
        <w:rPr>
          <w:rFonts w:ascii="Times New Roman" w:hAnsi="Times New Roman" w:eastAsia="Times New Roman" w:cs="Times New Roman"/>
          <w:sz w:val="24"/>
          <w:szCs w:val="24"/>
        </w:rPr>
      </w:pPr>
    </w:p>
    <w:p w:rsidRPr="003A637E" w:rsidR="00B8179B" w:rsidP="003A2C0B" w:rsidRDefault="00B8179B" w14:paraId="75A14EB3" w14:textId="1A52FBEE">
      <w:pPr>
        <w:shd w:val="clear" w:color="auto" w:fill="FFFFFF"/>
        <w:spacing w:after="0" w:line="240" w:lineRule="auto"/>
        <w:ind w:left="720"/>
        <w:rPr>
          <w:rFonts w:eastAsia="Times New Roman" w:cstheme="minorHAnsi"/>
          <w:sz w:val="24"/>
          <w:szCs w:val="24"/>
        </w:rPr>
      </w:pPr>
      <w:r>
        <w:rPr>
          <w:rFonts w:ascii="Times New Roman" w:hAnsi="Times New Roman" w:eastAsia="Times New Roman" w:cs="Times New Roman"/>
          <w:sz w:val="24"/>
          <w:szCs w:val="24"/>
        </w:rPr>
        <w:t>In regards to the operation</w:t>
      </w:r>
      <w:r w:rsidR="006C799C">
        <w:rPr>
          <w:rFonts w:ascii="Times New Roman" w:hAnsi="Times New Roman" w:eastAsia="Times New Roman" w:cs="Times New Roman"/>
          <w:sz w:val="24"/>
          <w:szCs w:val="24"/>
        </w:rPr>
        <w:t>al</w:t>
      </w:r>
      <w:r>
        <w:rPr>
          <w:rFonts w:ascii="Times New Roman" w:hAnsi="Times New Roman" w:eastAsia="Times New Roman" w:cs="Times New Roman"/>
          <w:sz w:val="24"/>
          <w:szCs w:val="24"/>
        </w:rPr>
        <w:t xml:space="preserve"> data, societal and economic data, and community engagement data, each went through extensive, months-long processes to gather input from internal FAA stakeholders and program participants </w:t>
      </w:r>
      <w:r w:rsidR="006C799C">
        <w:rPr>
          <w:rFonts w:ascii="Times New Roman" w:hAnsi="Times New Roman" w:eastAsia="Times New Roman" w:cs="Times New Roman"/>
          <w:sz w:val="24"/>
          <w:szCs w:val="24"/>
        </w:rPr>
        <w:t>regarding</w:t>
      </w:r>
      <w:r>
        <w:rPr>
          <w:rFonts w:ascii="Times New Roman" w:hAnsi="Times New Roman" w:eastAsia="Times New Roman" w:cs="Times New Roman"/>
          <w:sz w:val="24"/>
          <w:szCs w:val="24"/>
        </w:rPr>
        <w:t xml:space="preserve"> the data needs of FAA, concerns about collection burdens, </w:t>
      </w:r>
      <w:r w:rsidR="006C799C">
        <w:rPr>
          <w:rFonts w:ascii="Times New Roman" w:hAnsi="Times New Roman" w:eastAsia="Times New Roman" w:cs="Times New Roman"/>
          <w:sz w:val="24"/>
          <w:szCs w:val="24"/>
        </w:rPr>
        <w:t xml:space="preserve">the format and instructions of the collection instruments, </w:t>
      </w:r>
      <w:r>
        <w:rPr>
          <w:rFonts w:ascii="Times New Roman" w:hAnsi="Times New Roman" w:eastAsia="Times New Roman" w:cs="Times New Roman"/>
          <w:sz w:val="24"/>
          <w:szCs w:val="24"/>
        </w:rPr>
        <w:t>how data would be used, and privacy concerns. Program participants also have ample opportunity during the programs to raise any concerns that may arise and work with the FAA to resolve them.</w:t>
      </w:r>
    </w:p>
    <w:p w:rsidRPr="003A637E" w:rsidR="000116FA" w:rsidP="00C64707" w:rsidRDefault="000116FA" w14:paraId="6051645C" w14:textId="77777777">
      <w:pPr>
        <w:shd w:val="clear" w:color="auto" w:fill="FFFFFF"/>
        <w:spacing w:after="0" w:line="240" w:lineRule="auto"/>
        <w:rPr>
          <w:rFonts w:eastAsia="Times New Roman" w:cstheme="minorHAnsi"/>
          <w:color w:val="555555"/>
          <w:sz w:val="24"/>
          <w:szCs w:val="24"/>
        </w:rPr>
      </w:pPr>
    </w:p>
    <w:p w:rsidRPr="003A637E" w:rsidR="00C64707" w:rsidP="00F05DE4" w:rsidRDefault="00C64707" w14:paraId="0D352B13" w14:textId="77777777">
      <w:pPr>
        <w:pStyle w:val="Heading1"/>
        <w:rPr>
          <w:rFonts w:eastAsia="Times New Roman" w:cstheme="minorHAnsi"/>
          <w:color w:val="555555"/>
          <w:sz w:val="24"/>
          <w:szCs w:val="24"/>
        </w:rPr>
      </w:pPr>
      <w:r w:rsidRPr="003A637E">
        <w:rPr>
          <w:rFonts w:eastAsia="Times New Roman"/>
        </w:rPr>
        <w:t>9. Explain any decisions to provide payments or gifts to respondents, other than remuneration of contractors or grantees.</w:t>
      </w:r>
    </w:p>
    <w:p w:rsidRPr="003A637E" w:rsidR="000116FA" w:rsidP="00C64707" w:rsidRDefault="000116FA" w14:paraId="429E9F61" w14:textId="679515B5">
      <w:pPr>
        <w:shd w:val="clear" w:color="auto" w:fill="FFFFFF"/>
        <w:spacing w:after="0" w:line="240" w:lineRule="auto"/>
        <w:rPr>
          <w:rFonts w:eastAsia="Times New Roman" w:cstheme="minorHAnsi"/>
          <w:color w:val="555555"/>
          <w:sz w:val="24"/>
          <w:szCs w:val="24"/>
        </w:rPr>
      </w:pPr>
    </w:p>
    <w:p w:rsidRPr="003A637E" w:rsidR="00C64707" w:rsidP="00F05DE4" w:rsidRDefault="000116FA" w14:paraId="3EB29753" w14:textId="2A50E6A8">
      <w:pPr>
        <w:pStyle w:val="Heading2"/>
        <w:numPr>
          <w:ilvl w:val="0"/>
          <w:numId w:val="0"/>
        </w:numPr>
        <w:ind w:left="576"/>
        <w:rPr>
          <w:b w:val="0"/>
          <w:color w:val="555555"/>
        </w:rPr>
      </w:pPr>
      <w:r w:rsidRPr="003A637E">
        <w:rPr>
          <w:b w:val="0"/>
        </w:rPr>
        <w:t>There will be no payments or gifts to respondents.</w:t>
      </w:r>
      <w:r w:rsidRPr="003A637E" w:rsidR="00C64707">
        <w:rPr>
          <w:b w:val="0"/>
          <w:color w:val="555555"/>
        </w:rPr>
        <w:br/>
      </w:r>
    </w:p>
    <w:p w:rsidRPr="003A637E" w:rsidR="00C64707" w:rsidP="00F05DE4" w:rsidRDefault="00C64707" w14:paraId="64642E48" w14:textId="0CDDD0FA">
      <w:pPr>
        <w:pStyle w:val="Heading1"/>
        <w:rPr>
          <w:rFonts w:eastAsia="Times New Roman" w:cstheme="minorHAnsi"/>
          <w:b/>
          <w:color w:val="555555"/>
          <w:sz w:val="24"/>
          <w:szCs w:val="24"/>
        </w:rPr>
      </w:pPr>
      <w:r w:rsidRPr="003A637E">
        <w:rPr>
          <w:rFonts w:eastAsia="Times New Roman"/>
        </w:rPr>
        <w:lastRenderedPageBreak/>
        <w:t>10. Describe any assurance of confidentiality provided to respondents and the basis for assurance in statute, regulation, or agency policy.</w:t>
      </w:r>
    </w:p>
    <w:p w:rsidRPr="003A637E" w:rsidR="000116FA" w:rsidP="00C64707" w:rsidRDefault="000116FA" w14:paraId="34A6B07B" w14:textId="77777777">
      <w:pPr>
        <w:shd w:val="clear" w:color="auto" w:fill="FFFFFF"/>
        <w:spacing w:after="0" w:line="240" w:lineRule="auto"/>
        <w:rPr>
          <w:rFonts w:eastAsia="Times New Roman" w:cstheme="minorHAnsi"/>
          <w:color w:val="555555"/>
          <w:sz w:val="24"/>
          <w:szCs w:val="24"/>
        </w:rPr>
      </w:pPr>
    </w:p>
    <w:p w:rsidRPr="003A637E" w:rsidR="00F83828" w:rsidP="003A637E" w:rsidRDefault="00F83828" w14:paraId="61DFC04A" w14:textId="76796C85">
      <w:pPr>
        <w:pStyle w:val="Heading2"/>
        <w:numPr>
          <w:ilvl w:val="0"/>
          <w:numId w:val="0"/>
        </w:numPr>
        <w:ind w:left="576"/>
        <w:rPr>
          <w:b w:val="0"/>
          <w:bCs w:val="0"/>
        </w:rPr>
      </w:pPr>
      <w:r w:rsidRPr="003A637E">
        <w:rPr>
          <w:b w:val="0"/>
          <w:bCs w:val="0"/>
        </w:rPr>
        <w:t xml:space="preserve">The MOAs and MOUs detail specific actions that the FAA and participants must take to protect proprietary, privileged or otherwise confidential information that may come into their possession as a result of the agreements. </w:t>
      </w:r>
    </w:p>
    <w:p w:rsidRPr="003A637E" w:rsidR="00F83828" w:rsidP="00735023" w:rsidRDefault="00F83828" w14:paraId="1ACCCAC0" w14:textId="16B11C75">
      <w:pPr>
        <w:pStyle w:val="Heading2"/>
        <w:numPr>
          <w:ilvl w:val="0"/>
          <w:numId w:val="0"/>
        </w:numPr>
        <w:ind w:left="576"/>
        <w:rPr>
          <w:b w:val="0"/>
          <w:bCs w:val="0"/>
        </w:rPr>
      </w:pPr>
      <w:r w:rsidRPr="003A637E">
        <w:rPr>
          <w:b w:val="0"/>
          <w:bCs w:val="0"/>
        </w:rPr>
        <w:t>“The parties agree to protect from release information that is proprietary, privileged, or otherwise confidential to the extent permitted by law. The FAA will protect data and or information in its possession in accordance with requirements and procedures set forth under the Freedom of Information Act, 5 U.S.C. § 552, and any other applicable law, including but not limited to the Trade Secrets Act, 18 U.S.C. § 1905. Each party agrees to mark data as prescribed in Article 6, Section f, and other information as “proprietary” or “confidential,” in a manner that is immediately apparent. Each party shall maintain, and to the extent necessary reproduce, any and all restrictive markings set forth on, applied to, and/or associated with, the information provided by the other party.”</w:t>
      </w:r>
    </w:p>
    <w:p w:rsidRPr="003A637E" w:rsidR="00F83828" w:rsidP="00735023" w:rsidRDefault="00F83828" w14:paraId="239D7A6A" w14:textId="0F3B3FDC">
      <w:pPr>
        <w:pStyle w:val="Heading2"/>
        <w:numPr>
          <w:ilvl w:val="0"/>
          <w:numId w:val="0"/>
        </w:numPr>
        <w:ind w:left="576"/>
        <w:rPr>
          <w:b w:val="0"/>
          <w:bCs w:val="0"/>
        </w:rPr>
      </w:pPr>
      <w:r w:rsidRPr="003A637E">
        <w:rPr>
          <w:b w:val="0"/>
          <w:bCs w:val="0"/>
        </w:rPr>
        <w:t>Additionally, the FAA has taken the following steps to protect the information.</w:t>
      </w:r>
    </w:p>
    <w:p w:rsidRPr="003A637E" w:rsidR="00735023" w:rsidP="00C143B2" w:rsidRDefault="00735023" w14:paraId="1CD4CDA3" w14:textId="5C853ED3">
      <w:pPr>
        <w:pStyle w:val="Heading2"/>
        <w:numPr>
          <w:ilvl w:val="0"/>
          <w:numId w:val="6"/>
        </w:numPr>
        <w:rPr>
          <w:b w:val="0"/>
          <w:bCs w:val="0"/>
        </w:rPr>
      </w:pPr>
      <w:r w:rsidRPr="003A637E">
        <w:rPr>
          <w:b w:val="0"/>
          <w:bCs w:val="0"/>
        </w:rPr>
        <w:t xml:space="preserve">Only authorized AUS staff have direct access to the </w:t>
      </w:r>
      <w:r w:rsidRPr="003A637E" w:rsidR="00B50885">
        <w:rPr>
          <w:b w:val="0"/>
          <w:bCs w:val="0"/>
        </w:rPr>
        <w:t xml:space="preserve">program participants’ folders in the UAS Community on </w:t>
      </w:r>
      <w:r w:rsidR="005E6D59">
        <w:rPr>
          <w:b w:val="0"/>
          <w:bCs w:val="0"/>
        </w:rPr>
        <w:t>the Aeronautical Data Exchange (</w:t>
      </w:r>
      <w:r w:rsidRPr="003A637E" w:rsidR="00B50885">
        <w:rPr>
          <w:b w:val="0"/>
          <w:bCs w:val="0"/>
        </w:rPr>
        <w:t>ADX</w:t>
      </w:r>
      <w:r w:rsidR="005E6D59">
        <w:rPr>
          <w:b w:val="0"/>
          <w:bCs w:val="0"/>
        </w:rPr>
        <w:t>)</w:t>
      </w:r>
      <w:r w:rsidRPr="003A637E">
        <w:rPr>
          <w:b w:val="0"/>
          <w:bCs w:val="0"/>
        </w:rPr>
        <w:t>.</w:t>
      </w:r>
    </w:p>
    <w:p w:rsidRPr="003A637E" w:rsidR="00900792" w:rsidP="00C143B2" w:rsidRDefault="00900792" w14:paraId="5C3D6E4B" w14:textId="15143C08">
      <w:pPr>
        <w:pStyle w:val="Heading2"/>
        <w:numPr>
          <w:ilvl w:val="0"/>
          <w:numId w:val="6"/>
        </w:numPr>
        <w:rPr>
          <w:b w:val="0"/>
          <w:bCs w:val="0"/>
        </w:rPr>
      </w:pPr>
      <w:r w:rsidRPr="003A637E">
        <w:rPr>
          <w:b w:val="0"/>
          <w:bCs w:val="0"/>
        </w:rPr>
        <w:t xml:space="preserve">No raw data from </w:t>
      </w:r>
      <w:r w:rsidRPr="003A637E" w:rsidR="0013266A">
        <w:rPr>
          <w:b w:val="0"/>
          <w:bCs w:val="0"/>
        </w:rPr>
        <w:t>ADX</w:t>
      </w:r>
      <w:r w:rsidRPr="003A637E">
        <w:rPr>
          <w:b w:val="0"/>
          <w:bCs w:val="0"/>
        </w:rPr>
        <w:t xml:space="preserve"> is shared internally within FAA, outside the</w:t>
      </w:r>
      <w:r w:rsidRPr="003A637E" w:rsidR="00E76F7F">
        <w:rPr>
          <w:b w:val="0"/>
          <w:bCs w:val="0"/>
        </w:rPr>
        <w:t xml:space="preserve"> AUS</w:t>
      </w:r>
      <w:r w:rsidRPr="003A637E">
        <w:rPr>
          <w:b w:val="0"/>
          <w:bCs w:val="0"/>
        </w:rPr>
        <w:t xml:space="preserve"> staff</w:t>
      </w:r>
      <w:r w:rsidRPr="003A637E" w:rsidR="00B50885">
        <w:rPr>
          <w:b w:val="0"/>
          <w:bCs w:val="0"/>
        </w:rPr>
        <w:t xml:space="preserve"> except that which is required in accordance with waivers, authorizations, or exemptions. With the exception just noted, o</w:t>
      </w:r>
      <w:r w:rsidRPr="003A637E">
        <w:rPr>
          <w:b w:val="0"/>
          <w:bCs w:val="0"/>
        </w:rPr>
        <w:t>nly data that has been processed to omit records with data quality errors and remove the</w:t>
      </w:r>
      <w:r w:rsidR="005E6D59">
        <w:rPr>
          <w:b w:val="0"/>
          <w:bCs w:val="0"/>
        </w:rPr>
        <w:t xml:space="preserve"> p</w:t>
      </w:r>
      <w:r w:rsidRPr="003A637E">
        <w:rPr>
          <w:b w:val="0"/>
          <w:bCs w:val="0"/>
        </w:rPr>
        <w:t>articipants’ names is made available, upon request, to other FAA offices.</w:t>
      </w:r>
    </w:p>
    <w:p w:rsidRPr="003A637E" w:rsidR="00900792" w:rsidP="00C143B2" w:rsidRDefault="00900792" w14:paraId="3BBD24B0" w14:textId="56F9B393">
      <w:pPr>
        <w:pStyle w:val="Heading2"/>
        <w:numPr>
          <w:ilvl w:val="0"/>
          <w:numId w:val="6"/>
        </w:numPr>
        <w:rPr>
          <w:b w:val="0"/>
          <w:bCs w:val="0"/>
        </w:rPr>
      </w:pPr>
      <w:r w:rsidRPr="003A637E">
        <w:rPr>
          <w:b w:val="0"/>
          <w:bCs w:val="0"/>
        </w:rPr>
        <w:t xml:space="preserve">All internal FAA data requests and analyses are routed through the </w:t>
      </w:r>
      <w:r w:rsidRPr="003A637E" w:rsidR="00E76F7F">
        <w:rPr>
          <w:b w:val="0"/>
          <w:bCs w:val="0"/>
        </w:rPr>
        <w:t>Special Projects Deputy Director</w:t>
      </w:r>
      <w:r w:rsidRPr="003A637E">
        <w:rPr>
          <w:b w:val="0"/>
          <w:bCs w:val="0"/>
        </w:rPr>
        <w:t>. All responses to the internal requests are marked with “Proprietary Information—Internal FAA Use Only.”</w:t>
      </w:r>
    </w:p>
    <w:p w:rsidRPr="003A637E" w:rsidR="00900792" w:rsidP="00C143B2" w:rsidRDefault="00900792" w14:paraId="62354DED" w14:textId="4841BF73">
      <w:pPr>
        <w:pStyle w:val="Heading2"/>
        <w:numPr>
          <w:ilvl w:val="0"/>
          <w:numId w:val="6"/>
        </w:numPr>
        <w:rPr>
          <w:b w:val="0"/>
          <w:bCs w:val="0"/>
        </w:rPr>
      </w:pPr>
      <w:r w:rsidRPr="003A637E">
        <w:rPr>
          <w:b w:val="0"/>
          <w:bCs w:val="0"/>
        </w:rPr>
        <w:t>The</w:t>
      </w:r>
      <w:r w:rsidRPr="003A637E" w:rsidR="00E76F7F">
        <w:rPr>
          <w:b w:val="0"/>
          <w:bCs w:val="0"/>
        </w:rPr>
        <w:t xml:space="preserve"> AUS</w:t>
      </w:r>
      <w:r w:rsidRPr="003A637E">
        <w:rPr>
          <w:b w:val="0"/>
          <w:bCs w:val="0"/>
        </w:rPr>
        <w:t xml:space="preserve"> team refers </w:t>
      </w:r>
      <w:r w:rsidR="005E6D59">
        <w:rPr>
          <w:b w:val="0"/>
          <w:bCs w:val="0"/>
        </w:rPr>
        <w:t>Freedom of Information Act (</w:t>
      </w:r>
      <w:r w:rsidRPr="003A637E">
        <w:rPr>
          <w:b w:val="0"/>
          <w:bCs w:val="0"/>
        </w:rPr>
        <w:t>FOIA</w:t>
      </w:r>
      <w:r w:rsidR="005E6D59">
        <w:rPr>
          <w:b w:val="0"/>
          <w:bCs w:val="0"/>
        </w:rPr>
        <w:t>)</w:t>
      </w:r>
      <w:r w:rsidRPr="003A637E">
        <w:rPr>
          <w:b w:val="0"/>
          <w:bCs w:val="0"/>
        </w:rPr>
        <w:t xml:space="preserve"> requests from outside entities to the appropriate FOIA staff and the applicant. If information is a trade secret or confidential commercial/financial information, it will be treated as such. The FAA will protect what </w:t>
      </w:r>
      <w:r w:rsidR="005E6D59">
        <w:rPr>
          <w:b w:val="0"/>
          <w:bCs w:val="0"/>
        </w:rPr>
        <w:t>p</w:t>
      </w:r>
      <w:r w:rsidRPr="003A637E" w:rsidR="007F60A0">
        <w:rPr>
          <w:b w:val="0"/>
          <w:bCs w:val="0"/>
        </w:rPr>
        <w:t>articipants</w:t>
      </w:r>
      <w:r w:rsidRPr="003A637E">
        <w:rPr>
          <w:b w:val="0"/>
          <w:bCs w:val="0"/>
        </w:rPr>
        <w:t xml:space="preserve"> consider proprietary unless it determines that no legal basis exists for withholding the information. This applies to </w:t>
      </w:r>
      <w:r w:rsidRPr="003A637E" w:rsidR="00B50885">
        <w:rPr>
          <w:b w:val="0"/>
          <w:bCs w:val="0"/>
        </w:rPr>
        <w:t xml:space="preserve">semi-annual or </w:t>
      </w:r>
      <w:r w:rsidRPr="003A637E">
        <w:rPr>
          <w:b w:val="0"/>
          <w:bCs w:val="0"/>
        </w:rPr>
        <w:t xml:space="preserve">quarterly reports, data in </w:t>
      </w:r>
      <w:r w:rsidRPr="003A637E" w:rsidR="007F60A0">
        <w:rPr>
          <w:b w:val="0"/>
          <w:bCs w:val="0"/>
        </w:rPr>
        <w:t>ADX</w:t>
      </w:r>
      <w:r w:rsidRPr="003A637E">
        <w:rPr>
          <w:b w:val="0"/>
          <w:bCs w:val="0"/>
        </w:rPr>
        <w:t>, and other shared data, even if not marked</w:t>
      </w:r>
      <w:r w:rsidRPr="003A637E" w:rsidR="00B50885">
        <w:rPr>
          <w:b w:val="0"/>
          <w:bCs w:val="0"/>
        </w:rPr>
        <w:t xml:space="preserve"> </w:t>
      </w:r>
      <w:r w:rsidRPr="003A637E">
        <w:rPr>
          <w:b w:val="0"/>
          <w:bCs w:val="0"/>
        </w:rPr>
        <w:t xml:space="preserve">proprietary/confidential. </w:t>
      </w:r>
      <w:r w:rsidRPr="003A637E" w:rsidR="007F60A0">
        <w:rPr>
          <w:b w:val="0"/>
          <w:bCs w:val="0"/>
        </w:rPr>
        <w:t xml:space="preserve">The </w:t>
      </w:r>
      <w:r w:rsidR="005E6D59">
        <w:rPr>
          <w:b w:val="0"/>
          <w:bCs w:val="0"/>
        </w:rPr>
        <w:t>p</w:t>
      </w:r>
      <w:r w:rsidRPr="003A637E" w:rsidR="007F60A0">
        <w:rPr>
          <w:b w:val="0"/>
          <w:bCs w:val="0"/>
        </w:rPr>
        <w:t>articipants</w:t>
      </w:r>
      <w:r w:rsidRPr="003A637E">
        <w:rPr>
          <w:b w:val="0"/>
          <w:bCs w:val="0"/>
        </w:rPr>
        <w:t xml:space="preserve"> have two opportunities to protect data during a FOIA request response. The FAA will send the information to </w:t>
      </w:r>
      <w:r w:rsidRPr="003A637E" w:rsidR="007F60A0">
        <w:rPr>
          <w:b w:val="0"/>
          <w:bCs w:val="0"/>
        </w:rPr>
        <w:t>the</w:t>
      </w:r>
      <w:r w:rsidR="005E6D59">
        <w:rPr>
          <w:b w:val="0"/>
          <w:bCs w:val="0"/>
        </w:rPr>
        <w:t xml:space="preserve"> p</w:t>
      </w:r>
      <w:r w:rsidRPr="003A637E" w:rsidR="007F60A0">
        <w:rPr>
          <w:b w:val="0"/>
          <w:bCs w:val="0"/>
        </w:rPr>
        <w:t>articipants</w:t>
      </w:r>
      <w:r w:rsidRPr="003A637E">
        <w:rPr>
          <w:b w:val="0"/>
          <w:bCs w:val="0"/>
        </w:rPr>
        <w:t xml:space="preserve"> for “submitter review” before releasing. At this point, </w:t>
      </w:r>
      <w:r w:rsidRPr="003A637E" w:rsidR="007F60A0">
        <w:rPr>
          <w:b w:val="0"/>
          <w:bCs w:val="0"/>
        </w:rPr>
        <w:t xml:space="preserve">the </w:t>
      </w:r>
      <w:r w:rsidR="005E6D59">
        <w:rPr>
          <w:b w:val="0"/>
          <w:bCs w:val="0"/>
        </w:rPr>
        <w:t>p</w:t>
      </w:r>
      <w:r w:rsidRPr="003A637E" w:rsidR="007F60A0">
        <w:rPr>
          <w:b w:val="0"/>
          <w:bCs w:val="0"/>
        </w:rPr>
        <w:t>articipants</w:t>
      </w:r>
      <w:r w:rsidRPr="003A637E">
        <w:rPr>
          <w:b w:val="0"/>
          <w:bCs w:val="0"/>
        </w:rPr>
        <w:t xml:space="preserve"> can notify the FAA of information that is to be withheld if any documents were not marked proprietary/confidential. If the FAA disagrees and still plans to release the information, the FAA will notify </w:t>
      </w:r>
      <w:r w:rsidRPr="003A637E" w:rsidR="007F60A0">
        <w:rPr>
          <w:b w:val="0"/>
          <w:bCs w:val="0"/>
        </w:rPr>
        <w:t xml:space="preserve">the </w:t>
      </w:r>
      <w:r w:rsidR="005E6D59">
        <w:rPr>
          <w:b w:val="0"/>
          <w:bCs w:val="0"/>
        </w:rPr>
        <w:t>p</w:t>
      </w:r>
      <w:r w:rsidRPr="003A637E" w:rsidR="007F60A0">
        <w:rPr>
          <w:b w:val="0"/>
          <w:bCs w:val="0"/>
        </w:rPr>
        <w:t>articipants</w:t>
      </w:r>
      <w:r w:rsidRPr="003A637E">
        <w:rPr>
          <w:b w:val="0"/>
          <w:bCs w:val="0"/>
        </w:rPr>
        <w:t xml:space="preserve"> at least ten days before releasing the information.</w:t>
      </w:r>
    </w:p>
    <w:p w:rsidRPr="003A637E" w:rsidR="00C64707" w:rsidP="00C64707" w:rsidRDefault="00C64707" w14:paraId="07593DC8" w14:textId="21A8094C">
      <w:pPr>
        <w:shd w:val="clear" w:color="auto" w:fill="FFFFFF"/>
        <w:spacing w:after="0" w:line="240" w:lineRule="auto"/>
        <w:rPr>
          <w:rFonts w:eastAsia="Times New Roman" w:cstheme="minorHAnsi"/>
          <w:color w:val="555555"/>
          <w:sz w:val="24"/>
          <w:szCs w:val="24"/>
        </w:rPr>
      </w:pPr>
    </w:p>
    <w:p w:rsidRPr="003A637E" w:rsidR="00C64707" w:rsidP="00735023" w:rsidRDefault="00C64707" w14:paraId="05A3E5B2" w14:textId="77777777">
      <w:pPr>
        <w:pStyle w:val="Heading1"/>
        <w:rPr>
          <w:rFonts w:eastAsia="Times New Roman" w:cstheme="minorHAnsi"/>
          <w:color w:val="555555"/>
          <w:sz w:val="24"/>
          <w:szCs w:val="24"/>
        </w:rPr>
      </w:pPr>
      <w:r w:rsidRPr="003A637E">
        <w:rPr>
          <w:rFonts w:eastAsia="Times New Roman"/>
        </w:rPr>
        <w:lastRenderedPageBreak/>
        <w:t>11. Provide additional justification for any questions of a sensitive nature, such as sexual behavior and attitudes, religious beliefs, and other matters that are commonly considered private.</w:t>
      </w:r>
    </w:p>
    <w:p w:rsidRPr="003A637E" w:rsidR="003B3E86" w:rsidP="00C64707" w:rsidRDefault="003B3E86" w14:paraId="54230685" w14:textId="6254B9CF">
      <w:pPr>
        <w:shd w:val="clear" w:color="auto" w:fill="FFFFFF"/>
        <w:spacing w:after="0" w:line="240" w:lineRule="auto"/>
        <w:rPr>
          <w:rFonts w:eastAsia="Times New Roman" w:cstheme="minorHAnsi"/>
          <w:color w:val="2E74B5" w:themeColor="accent1" w:themeShade="BF"/>
        </w:rPr>
      </w:pPr>
    </w:p>
    <w:p w:rsidRPr="003A637E" w:rsidR="00C64707" w:rsidP="00F05DE4" w:rsidRDefault="000116FA" w14:paraId="0CCA323B" w14:textId="27F892CC">
      <w:pPr>
        <w:pStyle w:val="Heading2"/>
        <w:numPr>
          <w:ilvl w:val="0"/>
          <w:numId w:val="0"/>
        </w:numPr>
        <w:ind w:left="576"/>
        <w:rPr>
          <w:b w:val="0"/>
        </w:rPr>
      </w:pPr>
      <w:r w:rsidRPr="003A637E">
        <w:rPr>
          <w:b w:val="0"/>
        </w:rPr>
        <w:t>There will be no questions of a sensitive nature.</w:t>
      </w:r>
    </w:p>
    <w:p w:rsidRPr="003A637E" w:rsidR="000116FA" w:rsidP="00C64707" w:rsidRDefault="000116FA" w14:paraId="498263A5" w14:textId="77777777">
      <w:pPr>
        <w:shd w:val="clear" w:color="auto" w:fill="FFFFFF"/>
        <w:spacing w:after="0" w:line="240" w:lineRule="auto"/>
        <w:rPr>
          <w:rFonts w:eastAsia="Times New Roman" w:cstheme="minorHAnsi"/>
          <w:color w:val="555555"/>
          <w:sz w:val="24"/>
          <w:szCs w:val="24"/>
        </w:rPr>
      </w:pPr>
    </w:p>
    <w:p w:rsidRPr="003A637E" w:rsidR="00C64707" w:rsidP="00735023" w:rsidRDefault="00C64707" w14:paraId="427DD396" w14:textId="6293FA37">
      <w:pPr>
        <w:pStyle w:val="Heading1"/>
        <w:rPr>
          <w:rFonts w:eastAsia="Times New Roman" w:cstheme="minorHAnsi"/>
          <w:color w:val="555555"/>
          <w:sz w:val="24"/>
          <w:szCs w:val="24"/>
        </w:rPr>
      </w:pPr>
      <w:r w:rsidRPr="003A637E">
        <w:rPr>
          <w:rFonts w:eastAsia="Times New Roman"/>
        </w:rPr>
        <w:t>12. Provide estimates of the hour burden of the collection of information. The statement should:</w:t>
      </w:r>
    </w:p>
    <w:p w:rsidRPr="003A637E" w:rsidR="00C64707" w:rsidP="00C64707" w:rsidRDefault="000116FA" w14:paraId="702AFB1B" w14:textId="301BD4E5">
      <w:pPr>
        <w:numPr>
          <w:ilvl w:val="0"/>
          <w:numId w:val="2"/>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color w:val="555555"/>
          <w:sz w:val="24"/>
          <w:szCs w:val="24"/>
        </w:rPr>
        <w:t>Indicate</w:t>
      </w:r>
      <w:r w:rsidRPr="003A637E" w:rsidR="00C64707">
        <w:rPr>
          <w:rFonts w:eastAsia="Times New Roman" w:cstheme="minorHAnsi"/>
          <w:b/>
          <w:bCs/>
          <w:color w:val="555555"/>
          <w:sz w:val="24"/>
          <w:szCs w:val="24"/>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3A637E" w:rsidR="00C64707" w:rsidP="000116FA" w:rsidRDefault="00C64707" w14:paraId="05B96605" w14:textId="72689A99">
      <w:pPr>
        <w:numPr>
          <w:ilvl w:val="0"/>
          <w:numId w:val="2"/>
        </w:numPr>
        <w:shd w:val="clear" w:color="auto" w:fill="FFFFFF"/>
        <w:spacing w:before="100" w:beforeAutospacing="1" w:after="225" w:line="240" w:lineRule="auto"/>
        <w:rPr>
          <w:rFonts w:eastAsia="Times New Roman" w:cstheme="minorHAnsi"/>
          <w:color w:val="555555"/>
          <w:sz w:val="24"/>
          <w:szCs w:val="24"/>
        </w:rPr>
      </w:pPr>
      <w:r w:rsidRPr="003A637E">
        <w:rPr>
          <w:rFonts w:eastAsia="Times New Roman" w:cstheme="minorHAnsi"/>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1B766C" w:rsidP="001B766C" w:rsidRDefault="001B766C" w14:paraId="25BC711B" w14:textId="64F27C18">
      <w:pPr>
        <w:pStyle w:val="Heading2"/>
        <w:numPr>
          <w:ilvl w:val="0"/>
          <w:numId w:val="0"/>
        </w:numPr>
        <w:ind w:left="576" w:hanging="576"/>
      </w:pPr>
      <w:r w:rsidRPr="001B766C">
        <w:t>Total Burden</w:t>
      </w:r>
    </w:p>
    <w:tbl>
      <w:tblPr>
        <w:tblW w:w="10710" w:type="dxa"/>
        <w:jc w:val="center"/>
        <w:tblLayout w:type="fixed"/>
        <w:tblLook w:val="04A0" w:firstRow="1" w:lastRow="0" w:firstColumn="1" w:lastColumn="0" w:noHBand="0" w:noVBand="1"/>
      </w:tblPr>
      <w:tblGrid>
        <w:gridCol w:w="1705"/>
        <w:gridCol w:w="2700"/>
        <w:gridCol w:w="1440"/>
        <w:gridCol w:w="1350"/>
        <w:gridCol w:w="1170"/>
        <w:gridCol w:w="1170"/>
        <w:gridCol w:w="1175"/>
      </w:tblGrid>
      <w:tr w:rsidR="00736722" w:rsidTr="00736722" w14:paraId="36034F5D" w14:textId="77777777">
        <w:trPr>
          <w:cantSplit/>
          <w:trHeight w:val="576"/>
          <w:tblHeader/>
          <w:jc w:val="center"/>
        </w:trPr>
        <w:tc>
          <w:tcPr>
            <w:tcW w:w="1705" w:type="dxa"/>
            <w:tcBorders>
              <w:top w:val="single" w:color="BFBFBF" w:sz="4" w:space="0"/>
              <w:left w:val="single" w:color="BFBFBF" w:sz="4" w:space="0"/>
              <w:bottom w:val="single" w:color="BFBFBF" w:sz="4" w:space="0"/>
              <w:right w:val="single" w:color="BFBFBF" w:sz="4" w:space="0"/>
            </w:tcBorders>
            <w:shd w:val="clear" w:color="000000" w:fill="A6A6A6"/>
            <w:hideMark/>
          </w:tcPr>
          <w:p w:rsidRPr="00CC0373" w:rsidR="00736722" w:rsidP="005E3C11" w:rsidRDefault="00736722" w14:paraId="250BE930" w14:textId="77777777">
            <w:pPr>
              <w:spacing w:after="0"/>
              <w:rPr>
                <w:rFonts w:cstheme="minorHAnsi"/>
                <w:b/>
                <w:bCs/>
                <w:color w:val="000000"/>
                <w:sz w:val="20"/>
                <w:szCs w:val="20"/>
              </w:rPr>
            </w:pPr>
            <w:r w:rsidRPr="00CC0373">
              <w:rPr>
                <w:rFonts w:cstheme="minorHAnsi"/>
                <w:b/>
                <w:bCs/>
                <w:color w:val="000000"/>
                <w:sz w:val="20"/>
                <w:szCs w:val="20"/>
              </w:rPr>
              <w:t>Report/</w:t>
            </w:r>
            <w:r>
              <w:rPr>
                <w:rFonts w:cstheme="minorHAnsi"/>
                <w:b/>
                <w:bCs/>
                <w:color w:val="000000"/>
                <w:sz w:val="20"/>
                <w:szCs w:val="20"/>
              </w:rPr>
              <w:t xml:space="preserve"> </w:t>
            </w:r>
            <w:r w:rsidRPr="00CC0373">
              <w:rPr>
                <w:rFonts w:cstheme="minorHAnsi"/>
                <w:b/>
                <w:bCs/>
                <w:color w:val="000000"/>
                <w:sz w:val="20"/>
                <w:szCs w:val="20"/>
              </w:rPr>
              <w:t>Form</w:t>
            </w:r>
          </w:p>
        </w:tc>
        <w:tc>
          <w:tcPr>
            <w:tcW w:w="2700" w:type="dxa"/>
            <w:tcBorders>
              <w:top w:val="single" w:color="BFBFBF" w:sz="4" w:space="0"/>
              <w:left w:val="nil"/>
              <w:bottom w:val="single" w:color="BFBFBF" w:sz="4" w:space="0"/>
              <w:right w:val="single" w:color="BFBFBF" w:sz="4" w:space="0"/>
            </w:tcBorders>
            <w:shd w:val="clear" w:color="000000" w:fill="A6A6A6"/>
            <w:hideMark/>
          </w:tcPr>
          <w:p w:rsidRPr="00CC0373" w:rsidR="00736722" w:rsidP="005E3C11" w:rsidRDefault="00736722" w14:paraId="54FDA0D7" w14:textId="77777777">
            <w:pPr>
              <w:spacing w:after="0"/>
              <w:rPr>
                <w:rFonts w:cstheme="minorHAnsi"/>
                <w:b/>
                <w:bCs/>
                <w:color w:val="000000"/>
                <w:sz w:val="20"/>
                <w:szCs w:val="20"/>
              </w:rPr>
            </w:pPr>
            <w:r w:rsidRPr="00CC0373">
              <w:rPr>
                <w:rFonts w:cstheme="minorHAnsi"/>
                <w:b/>
                <w:bCs/>
                <w:color w:val="000000"/>
                <w:sz w:val="20"/>
                <w:szCs w:val="20"/>
              </w:rPr>
              <w:t>Affected Public</w:t>
            </w:r>
          </w:p>
        </w:tc>
        <w:tc>
          <w:tcPr>
            <w:tcW w:w="1440" w:type="dxa"/>
            <w:tcBorders>
              <w:top w:val="single" w:color="BFBFBF" w:sz="4" w:space="0"/>
              <w:left w:val="nil"/>
              <w:bottom w:val="single" w:color="BFBFBF" w:sz="4" w:space="0"/>
              <w:right w:val="single" w:color="BFBFBF" w:sz="4" w:space="0"/>
            </w:tcBorders>
            <w:shd w:val="clear" w:color="000000" w:fill="A6A6A6"/>
            <w:hideMark/>
          </w:tcPr>
          <w:p w:rsidRPr="00CC0373" w:rsidR="00736722" w:rsidP="005E3C11" w:rsidRDefault="00736722" w14:paraId="2110401C" w14:textId="77777777">
            <w:pPr>
              <w:spacing w:after="0"/>
              <w:rPr>
                <w:rFonts w:cstheme="minorHAnsi"/>
                <w:b/>
                <w:bCs/>
                <w:color w:val="000000"/>
                <w:sz w:val="20"/>
                <w:szCs w:val="20"/>
              </w:rPr>
            </w:pPr>
            <w:r w:rsidRPr="00CC0373">
              <w:rPr>
                <w:rFonts w:cstheme="minorHAnsi"/>
                <w:b/>
                <w:bCs/>
                <w:color w:val="000000"/>
                <w:sz w:val="20"/>
                <w:szCs w:val="20"/>
              </w:rPr>
              <w:t>Frequency</w:t>
            </w:r>
          </w:p>
        </w:tc>
        <w:tc>
          <w:tcPr>
            <w:tcW w:w="1350" w:type="dxa"/>
            <w:tcBorders>
              <w:top w:val="single" w:color="BFBFBF" w:sz="4" w:space="0"/>
              <w:left w:val="nil"/>
              <w:bottom w:val="single" w:color="BFBFBF" w:sz="4" w:space="0"/>
              <w:right w:val="single" w:color="BFBFBF" w:sz="4" w:space="0"/>
            </w:tcBorders>
            <w:shd w:val="clear" w:color="000000" w:fill="A6A6A6"/>
            <w:hideMark/>
          </w:tcPr>
          <w:p w:rsidRPr="00CC0373" w:rsidR="00736722" w:rsidP="005E3C11" w:rsidRDefault="00736722" w14:paraId="07782A26" w14:textId="77777777">
            <w:pPr>
              <w:spacing w:after="0"/>
              <w:rPr>
                <w:rFonts w:cstheme="minorHAnsi"/>
                <w:b/>
                <w:bCs/>
                <w:color w:val="000000"/>
                <w:sz w:val="20"/>
                <w:szCs w:val="20"/>
              </w:rPr>
            </w:pPr>
            <w:r w:rsidRPr="00CC0373">
              <w:rPr>
                <w:rFonts w:cstheme="minorHAnsi"/>
                <w:b/>
                <w:bCs/>
                <w:color w:val="000000"/>
                <w:sz w:val="20"/>
                <w:szCs w:val="20"/>
              </w:rPr>
              <w:t>Number of Respondents</w:t>
            </w:r>
          </w:p>
        </w:tc>
        <w:tc>
          <w:tcPr>
            <w:tcW w:w="1170" w:type="dxa"/>
            <w:tcBorders>
              <w:top w:val="single" w:color="BFBFBF" w:sz="4" w:space="0"/>
              <w:left w:val="nil"/>
              <w:bottom w:val="single" w:color="BFBFBF" w:sz="4" w:space="0"/>
              <w:right w:val="single" w:color="BFBFBF" w:sz="4" w:space="0"/>
            </w:tcBorders>
            <w:shd w:val="clear" w:color="000000" w:fill="A6A6A6"/>
            <w:hideMark/>
          </w:tcPr>
          <w:p w:rsidRPr="00CC0373" w:rsidR="00736722" w:rsidP="005E3C11" w:rsidRDefault="00736722" w14:paraId="27F59B38" w14:textId="77777777">
            <w:pPr>
              <w:spacing w:after="0"/>
              <w:rPr>
                <w:rFonts w:cstheme="minorHAnsi"/>
                <w:b/>
                <w:bCs/>
                <w:color w:val="000000"/>
                <w:sz w:val="20"/>
                <w:szCs w:val="20"/>
              </w:rPr>
            </w:pPr>
            <w:r w:rsidRPr="00CC0373">
              <w:rPr>
                <w:rFonts w:cstheme="minorHAnsi"/>
                <w:b/>
                <w:bCs/>
                <w:color w:val="000000"/>
                <w:sz w:val="20"/>
                <w:szCs w:val="20"/>
              </w:rPr>
              <w:t>Total Number of Responses</w:t>
            </w:r>
          </w:p>
        </w:tc>
        <w:tc>
          <w:tcPr>
            <w:tcW w:w="1170" w:type="dxa"/>
            <w:tcBorders>
              <w:top w:val="single" w:color="BFBFBF" w:sz="4" w:space="0"/>
              <w:left w:val="nil"/>
              <w:bottom w:val="single" w:color="BFBFBF" w:sz="4" w:space="0"/>
              <w:right w:val="single" w:color="BFBFBF" w:sz="4" w:space="0"/>
            </w:tcBorders>
            <w:shd w:val="clear" w:color="000000" w:fill="A6A6A6"/>
            <w:hideMark/>
          </w:tcPr>
          <w:p w:rsidRPr="00CC0373" w:rsidR="00736722" w:rsidP="005E3C11" w:rsidRDefault="00736722" w14:paraId="14507BA7" w14:textId="77777777">
            <w:pPr>
              <w:spacing w:after="0"/>
              <w:rPr>
                <w:rFonts w:cstheme="minorHAnsi"/>
                <w:b/>
                <w:bCs/>
                <w:color w:val="000000"/>
                <w:sz w:val="20"/>
                <w:szCs w:val="20"/>
              </w:rPr>
            </w:pPr>
            <w:r w:rsidRPr="00CC0373">
              <w:rPr>
                <w:rFonts w:cstheme="minorHAnsi"/>
                <w:b/>
                <w:bCs/>
                <w:color w:val="000000"/>
                <w:sz w:val="20"/>
                <w:szCs w:val="20"/>
              </w:rPr>
              <w:t>Estimated Average Burden Per Response (hours)</w:t>
            </w:r>
          </w:p>
        </w:tc>
        <w:tc>
          <w:tcPr>
            <w:tcW w:w="1175" w:type="dxa"/>
            <w:tcBorders>
              <w:top w:val="single" w:color="BFBFBF" w:sz="4" w:space="0"/>
              <w:left w:val="nil"/>
              <w:bottom w:val="single" w:color="BFBFBF" w:sz="4" w:space="0"/>
              <w:right w:val="single" w:color="BFBFBF" w:sz="4" w:space="0"/>
            </w:tcBorders>
            <w:shd w:val="clear" w:color="000000" w:fill="A6A6A6"/>
            <w:hideMark/>
          </w:tcPr>
          <w:p w:rsidRPr="00CC0373" w:rsidR="00736722" w:rsidP="005E3C11" w:rsidRDefault="00736722" w14:paraId="6EA47401" w14:textId="77777777">
            <w:pPr>
              <w:spacing w:after="0"/>
              <w:rPr>
                <w:rFonts w:cstheme="minorHAnsi"/>
                <w:b/>
                <w:bCs/>
                <w:color w:val="000000"/>
                <w:sz w:val="20"/>
                <w:szCs w:val="20"/>
              </w:rPr>
            </w:pPr>
            <w:r w:rsidRPr="00CC0373">
              <w:rPr>
                <w:rFonts w:cstheme="minorHAnsi"/>
                <w:b/>
                <w:bCs/>
                <w:color w:val="000000"/>
                <w:sz w:val="20"/>
                <w:szCs w:val="20"/>
              </w:rPr>
              <w:t>Estimated Total Annual Burden (hours)</w:t>
            </w:r>
          </w:p>
        </w:tc>
      </w:tr>
      <w:tr w:rsidR="00736722" w:rsidTr="005E3C11" w14:paraId="35437E98" w14:textId="77777777">
        <w:trPr>
          <w:cantSplit/>
          <w:trHeight w:val="144"/>
          <w:jc w:val="center"/>
        </w:trPr>
        <w:tc>
          <w:tcPr>
            <w:tcW w:w="10710" w:type="dxa"/>
            <w:gridSpan w:val="7"/>
            <w:tcBorders>
              <w:top w:val="single" w:color="BFBFBF" w:sz="4" w:space="0"/>
              <w:left w:val="single" w:color="BFBFBF" w:sz="4" w:space="0"/>
              <w:bottom w:val="single" w:color="BFBFBF" w:sz="4" w:space="0"/>
              <w:right w:val="single" w:color="BFBFBF" w:sz="4" w:space="0"/>
            </w:tcBorders>
            <w:shd w:val="clear" w:color="000000" w:fill="D9D9D9"/>
            <w:hideMark/>
          </w:tcPr>
          <w:p w:rsidRPr="00CC0373" w:rsidR="00736722" w:rsidP="005E3C11" w:rsidRDefault="00736722" w14:paraId="38086626" w14:textId="77777777">
            <w:pPr>
              <w:spacing w:after="0"/>
              <w:rPr>
                <w:rFonts w:cstheme="minorHAnsi"/>
                <w:b/>
                <w:bCs/>
                <w:color w:val="000000"/>
                <w:sz w:val="20"/>
                <w:szCs w:val="20"/>
              </w:rPr>
            </w:pPr>
            <w:r w:rsidRPr="00CC0373">
              <w:rPr>
                <w:rFonts w:cstheme="minorHAnsi"/>
                <w:b/>
                <w:bCs/>
                <w:color w:val="000000"/>
                <w:sz w:val="20"/>
                <w:szCs w:val="20"/>
              </w:rPr>
              <w:t>Narrative Reports</w:t>
            </w:r>
          </w:p>
        </w:tc>
      </w:tr>
      <w:tr w:rsidR="00736722" w:rsidTr="00736722" w14:paraId="6FD4FA11" w14:textId="77777777">
        <w:trPr>
          <w:cantSplit/>
          <w:trHeight w:val="593"/>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CC0373" w:rsidR="00736722" w:rsidP="005E3C11" w:rsidRDefault="00736722" w14:paraId="795C6F4C" w14:textId="77777777">
            <w:pPr>
              <w:spacing w:after="0"/>
              <w:rPr>
                <w:rFonts w:cstheme="minorHAnsi"/>
                <w:color w:val="000000"/>
                <w:sz w:val="20"/>
                <w:szCs w:val="20"/>
              </w:rPr>
            </w:pPr>
            <w:r w:rsidRPr="00CC0373">
              <w:rPr>
                <w:rFonts w:cstheme="minorHAnsi"/>
                <w:color w:val="000000"/>
                <w:sz w:val="20"/>
                <w:szCs w:val="20"/>
              </w:rPr>
              <w:t xml:space="preserve">PSP Quarterly </w:t>
            </w:r>
            <w:r>
              <w:rPr>
                <w:rFonts w:cstheme="minorHAnsi"/>
                <w:color w:val="000000"/>
                <w:sz w:val="20"/>
                <w:szCs w:val="20"/>
              </w:rPr>
              <w:t>Reports</w:t>
            </w:r>
          </w:p>
        </w:tc>
        <w:tc>
          <w:tcPr>
            <w:tcW w:w="270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6A26ADE5" w14:textId="77777777">
            <w:pPr>
              <w:spacing w:after="0"/>
              <w:rPr>
                <w:rFonts w:cstheme="minorHAnsi"/>
                <w:color w:val="000000"/>
                <w:sz w:val="20"/>
                <w:szCs w:val="20"/>
              </w:rPr>
            </w:pPr>
            <w:r w:rsidRPr="00CC0373">
              <w:rPr>
                <w:rFonts w:cstheme="minorHAnsi"/>
                <w:color w:val="000000"/>
                <w:sz w:val="20"/>
                <w:szCs w:val="20"/>
              </w:rPr>
              <w:t>Business or other for-profit, PSP participants only</w:t>
            </w:r>
          </w:p>
        </w:tc>
        <w:tc>
          <w:tcPr>
            <w:tcW w:w="144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68EA0A9F" w14:textId="77777777">
            <w:pPr>
              <w:spacing w:after="0"/>
              <w:rPr>
                <w:rFonts w:cstheme="minorHAnsi"/>
                <w:color w:val="000000"/>
                <w:sz w:val="20"/>
                <w:szCs w:val="20"/>
              </w:rPr>
            </w:pPr>
            <w:r w:rsidRPr="00CC0373">
              <w:rPr>
                <w:rFonts w:cstheme="minorHAnsi"/>
                <w:color w:val="000000"/>
                <w:sz w:val="20"/>
                <w:szCs w:val="20"/>
              </w:rPr>
              <w:t>Quarterly</w:t>
            </w:r>
          </w:p>
        </w:tc>
        <w:tc>
          <w:tcPr>
            <w:tcW w:w="135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75A66D32" w14:textId="77777777">
            <w:pPr>
              <w:spacing w:after="0"/>
              <w:jc w:val="right"/>
              <w:rPr>
                <w:rFonts w:cstheme="minorHAnsi"/>
                <w:color w:val="000000"/>
                <w:sz w:val="20"/>
                <w:szCs w:val="20"/>
              </w:rPr>
            </w:pPr>
            <w:r>
              <w:rPr>
                <w:rFonts w:cstheme="minorHAnsi"/>
                <w:color w:val="000000"/>
                <w:sz w:val="20"/>
                <w:szCs w:val="20"/>
              </w:rPr>
              <w:t>7</w:t>
            </w:r>
            <w:r w:rsidRPr="00CC0373">
              <w:rPr>
                <w:rFonts w:cstheme="minorHAnsi"/>
                <w:color w:val="000000"/>
                <w:sz w:val="20"/>
                <w:szCs w:val="20"/>
              </w:rPr>
              <w:t>.00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0CB80589" w14:textId="77777777">
            <w:pPr>
              <w:spacing w:after="0"/>
              <w:jc w:val="right"/>
              <w:rPr>
                <w:rFonts w:cstheme="minorHAnsi"/>
                <w:color w:val="000000"/>
                <w:sz w:val="20"/>
                <w:szCs w:val="20"/>
              </w:rPr>
            </w:pPr>
            <w:r>
              <w:rPr>
                <w:rFonts w:cstheme="minorHAnsi"/>
                <w:color w:val="000000"/>
                <w:sz w:val="20"/>
                <w:szCs w:val="20"/>
              </w:rPr>
              <w:t>28.00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0AB921AE" w14:textId="77777777">
            <w:pPr>
              <w:spacing w:after="0"/>
              <w:jc w:val="right"/>
              <w:rPr>
                <w:rFonts w:cstheme="minorHAnsi"/>
                <w:color w:val="000000"/>
                <w:sz w:val="20"/>
                <w:szCs w:val="20"/>
              </w:rPr>
            </w:pPr>
            <w:r w:rsidRPr="00CC0373">
              <w:rPr>
                <w:rFonts w:cstheme="minorHAnsi"/>
                <w:color w:val="000000"/>
                <w:sz w:val="20"/>
                <w:szCs w:val="20"/>
              </w:rPr>
              <w:t>80.00</w:t>
            </w:r>
          </w:p>
        </w:tc>
        <w:tc>
          <w:tcPr>
            <w:tcW w:w="1175"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7B4DB991" w14:textId="77777777">
            <w:pPr>
              <w:spacing w:after="0"/>
              <w:jc w:val="right"/>
              <w:rPr>
                <w:rFonts w:cstheme="minorHAnsi"/>
                <w:color w:val="000000"/>
                <w:sz w:val="20"/>
                <w:szCs w:val="20"/>
              </w:rPr>
            </w:pPr>
            <w:r>
              <w:rPr>
                <w:rFonts w:cstheme="minorHAnsi"/>
                <w:color w:val="000000"/>
                <w:sz w:val="20"/>
                <w:szCs w:val="20"/>
              </w:rPr>
              <w:t>2,240.00</w:t>
            </w:r>
          </w:p>
        </w:tc>
      </w:tr>
      <w:tr w:rsidR="00736722" w:rsidTr="00736722" w14:paraId="4915DA62" w14:textId="77777777">
        <w:trPr>
          <w:cantSplit/>
          <w:trHeight w:val="576"/>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CC0373" w:rsidR="00736722" w:rsidP="005E3C11" w:rsidRDefault="00736722" w14:paraId="588A4AE5" w14:textId="77777777">
            <w:pPr>
              <w:spacing w:after="0"/>
              <w:rPr>
                <w:rFonts w:cstheme="minorHAnsi"/>
                <w:color w:val="000000"/>
                <w:sz w:val="20"/>
                <w:szCs w:val="20"/>
              </w:rPr>
            </w:pPr>
            <w:r w:rsidRPr="00CC0373">
              <w:rPr>
                <w:rFonts w:cstheme="minorHAnsi"/>
                <w:color w:val="000000"/>
                <w:sz w:val="20"/>
                <w:szCs w:val="20"/>
              </w:rPr>
              <w:t xml:space="preserve">BEYOND Semi-Annual </w:t>
            </w:r>
            <w:r>
              <w:rPr>
                <w:rFonts w:cstheme="minorHAnsi"/>
                <w:color w:val="000000"/>
                <w:sz w:val="20"/>
                <w:szCs w:val="20"/>
              </w:rPr>
              <w:t>Reports</w:t>
            </w:r>
          </w:p>
        </w:tc>
        <w:tc>
          <w:tcPr>
            <w:tcW w:w="270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4C68229C" w14:textId="77777777">
            <w:pPr>
              <w:spacing w:after="0"/>
              <w:rPr>
                <w:rFonts w:cstheme="minorHAnsi"/>
                <w:color w:val="000000"/>
                <w:sz w:val="20"/>
                <w:szCs w:val="20"/>
              </w:rPr>
            </w:pPr>
            <w:r w:rsidRPr="00CC0373">
              <w:rPr>
                <w:rFonts w:cstheme="minorHAnsi"/>
                <w:color w:val="000000"/>
                <w:sz w:val="20"/>
                <w:szCs w:val="20"/>
              </w:rPr>
              <w:t>State, Local or Tribal Government, BEYOND participants only</w:t>
            </w:r>
          </w:p>
        </w:tc>
        <w:tc>
          <w:tcPr>
            <w:tcW w:w="144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52049855" w14:textId="77777777">
            <w:pPr>
              <w:spacing w:after="0"/>
              <w:rPr>
                <w:rFonts w:cstheme="minorHAnsi"/>
                <w:color w:val="000000"/>
                <w:sz w:val="20"/>
                <w:szCs w:val="20"/>
              </w:rPr>
            </w:pPr>
            <w:r w:rsidRPr="00CC0373">
              <w:rPr>
                <w:rFonts w:cstheme="minorHAnsi"/>
                <w:color w:val="000000"/>
                <w:sz w:val="20"/>
                <w:szCs w:val="20"/>
              </w:rPr>
              <w:t>Semi-Annually</w:t>
            </w:r>
          </w:p>
        </w:tc>
        <w:tc>
          <w:tcPr>
            <w:tcW w:w="135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1554D0AB" w14:textId="77777777">
            <w:pPr>
              <w:spacing w:after="0"/>
              <w:jc w:val="right"/>
              <w:rPr>
                <w:rFonts w:cstheme="minorHAnsi"/>
                <w:color w:val="000000"/>
                <w:sz w:val="20"/>
                <w:szCs w:val="20"/>
              </w:rPr>
            </w:pPr>
            <w:r>
              <w:rPr>
                <w:rFonts w:cstheme="minorHAnsi"/>
                <w:color w:val="000000"/>
                <w:sz w:val="20"/>
                <w:szCs w:val="20"/>
              </w:rPr>
              <w:t>8.00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71D5F727" w14:textId="77777777">
            <w:pPr>
              <w:spacing w:after="0"/>
              <w:jc w:val="right"/>
              <w:rPr>
                <w:rFonts w:cstheme="minorHAnsi"/>
                <w:color w:val="000000"/>
                <w:sz w:val="20"/>
                <w:szCs w:val="20"/>
              </w:rPr>
            </w:pPr>
            <w:r>
              <w:rPr>
                <w:rFonts w:cstheme="minorHAnsi"/>
                <w:color w:val="000000"/>
                <w:sz w:val="20"/>
                <w:szCs w:val="20"/>
              </w:rPr>
              <w:t>16.00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38777480" w14:textId="77777777">
            <w:pPr>
              <w:spacing w:after="0"/>
              <w:jc w:val="right"/>
              <w:rPr>
                <w:rFonts w:cstheme="minorHAnsi"/>
                <w:color w:val="000000"/>
                <w:sz w:val="20"/>
                <w:szCs w:val="20"/>
              </w:rPr>
            </w:pPr>
            <w:r w:rsidRPr="00CC0373">
              <w:rPr>
                <w:rFonts w:cstheme="minorHAnsi"/>
                <w:color w:val="000000"/>
                <w:sz w:val="20"/>
                <w:szCs w:val="20"/>
              </w:rPr>
              <w:t>80.00</w:t>
            </w:r>
          </w:p>
        </w:tc>
        <w:tc>
          <w:tcPr>
            <w:tcW w:w="1175"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59BD2A8A" w14:textId="77777777">
            <w:pPr>
              <w:spacing w:after="0"/>
              <w:jc w:val="right"/>
              <w:rPr>
                <w:rFonts w:cstheme="minorHAnsi"/>
                <w:color w:val="000000"/>
                <w:sz w:val="20"/>
                <w:szCs w:val="20"/>
              </w:rPr>
            </w:pPr>
            <w:r>
              <w:rPr>
                <w:rFonts w:cstheme="minorHAnsi"/>
                <w:color w:val="000000"/>
                <w:sz w:val="20"/>
                <w:szCs w:val="20"/>
              </w:rPr>
              <w:t>1,280.00</w:t>
            </w:r>
          </w:p>
        </w:tc>
      </w:tr>
      <w:tr w:rsidR="00736722" w:rsidTr="00736722" w14:paraId="7D3277BE" w14:textId="77777777">
        <w:trPr>
          <w:cantSplit/>
          <w:trHeight w:val="602"/>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CC0373" w:rsidR="00736722" w:rsidP="005E3C11" w:rsidRDefault="00736722" w14:paraId="6667AACE" w14:textId="77777777">
            <w:pPr>
              <w:spacing w:after="0"/>
              <w:rPr>
                <w:rFonts w:cstheme="minorHAnsi"/>
                <w:color w:val="000000"/>
                <w:sz w:val="20"/>
                <w:szCs w:val="20"/>
              </w:rPr>
            </w:pPr>
            <w:r>
              <w:rPr>
                <w:rFonts w:cstheme="minorHAnsi"/>
                <w:color w:val="000000"/>
                <w:sz w:val="20"/>
                <w:szCs w:val="20"/>
              </w:rPr>
              <w:t>PSP</w:t>
            </w:r>
            <w:r w:rsidRPr="00CC0373">
              <w:rPr>
                <w:rFonts w:cstheme="minorHAnsi"/>
                <w:color w:val="000000"/>
                <w:sz w:val="20"/>
                <w:szCs w:val="20"/>
              </w:rPr>
              <w:t xml:space="preserve"> Final Reports</w:t>
            </w:r>
          </w:p>
        </w:tc>
        <w:tc>
          <w:tcPr>
            <w:tcW w:w="270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32108C6F" w14:textId="77777777">
            <w:pPr>
              <w:spacing w:after="0"/>
              <w:rPr>
                <w:rFonts w:cstheme="minorHAnsi"/>
                <w:color w:val="000000"/>
                <w:sz w:val="20"/>
                <w:szCs w:val="20"/>
              </w:rPr>
            </w:pPr>
            <w:r w:rsidRPr="00CC0373">
              <w:rPr>
                <w:rFonts w:cstheme="minorHAnsi"/>
                <w:color w:val="000000"/>
                <w:sz w:val="20"/>
                <w:szCs w:val="20"/>
              </w:rPr>
              <w:t>Business or other for-profit, PSP participants only</w:t>
            </w:r>
          </w:p>
        </w:tc>
        <w:tc>
          <w:tcPr>
            <w:tcW w:w="144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3FE851DF" w14:textId="77777777">
            <w:pPr>
              <w:spacing w:after="0"/>
              <w:rPr>
                <w:rFonts w:cstheme="minorHAnsi"/>
                <w:color w:val="000000"/>
                <w:sz w:val="20"/>
                <w:szCs w:val="20"/>
              </w:rPr>
            </w:pPr>
            <w:r w:rsidRPr="00CC0373">
              <w:rPr>
                <w:rFonts w:cstheme="minorHAnsi"/>
                <w:color w:val="000000"/>
                <w:sz w:val="20"/>
                <w:szCs w:val="20"/>
              </w:rPr>
              <w:t>One-Time Submission</w:t>
            </w:r>
          </w:p>
        </w:tc>
        <w:tc>
          <w:tcPr>
            <w:tcW w:w="135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4E999FCB" w14:textId="77777777">
            <w:pPr>
              <w:spacing w:after="0"/>
              <w:jc w:val="right"/>
              <w:rPr>
                <w:rFonts w:cstheme="minorHAnsi"/>
                <w:color w:val="000000"/>
                <w:sz w:val="20"/>
                <w:szCs w:val="20"/>
              </w:rPr>
            </w:pPr>
            <w:r>
              <w:rPr>
                <w:rFonts w:cstheme="minorHAnsi"/>
                <w:color w:val="000000"/>
                <w:sz w:val="20"/>
                <w:szCs w:val="20"/>
              </w:rPr>
              <w:t>7.00</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76940908" w14:textId="77777777">
            <w:pPr>
              <w:spacing w:after="0"/>
              <w:jc w:val="right"/>
              <w:rPr>
                <w:rFonts w:cstheme="minorHAnsi"/>
                <w:color w:val="000000"/>
                <w:sz w:val="20"/>
                <w:szCs w:val="20"/>
              </w:rPr>
            </w:pPr>
            <w:r>
              <w:rPr>
                <w:rFonts w:cstheme="minorHAnsi"/>
                <w:color w:val="000000"/>
                <w:sz w:val="20"/>
                <w:szCs w:val="20"/>
              </w:rPr>
              <w:t>2.33</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282B7364" w14:textId="77777777">
            <w:pPr>
              <w:spacing w:after="0"/>
              <w:jc w:val="right"/>
              <w:rPr>
                <w:rFonts w:cstheme="minorHAnsi"/>
                <w:color w:val="000000"/>
                <w:sz w:val="20"/>
                <w:szCs w:val="20"/>
              </w:rPr>
            </w:pPr>
            <w:r>
              <w:rPr>
                <w:rFonts w:cstheme="minorHAnsi"/>
                <w:color w:val="000000"/>
                <w:sz w:val="20"/>
                <w:szCs w:val="20"/>
              </w:rPr>
              <w:t>40.00</w:t>
            </w:r>
          </w:p>
        </w:tc>
        <w:tc>
          <w:tcPr>
            <w:tcW w:w="1175" w:type="dxa"/>
            <w:tcBorders>
              <w:top w:val="nil"/>
              <w:left w:val="nil"/>
              <w:bottom w:val="single" w:color="BFBFBF" w:sz="4" w:space="0"/>
              <w:right w:val="single" w:color="BFBFBF" w:sz="4" w:space="0"/>
            </w:tcBorders>
            <w:shd w:val="clear" w:color="auto" w:fill="auto"/>
            <w:noWrap/>
          </w:tcPr>
          <w:p w:rsidRPr="00CC0373" w:rsidR="00736722" w:rsidP="005E3C11" w:rsidRDefault="008C48D3" w14:paraId="25F683FE" w14:textId="6AC111F5">
            <w:pPr>
              <w:spacing w:after="0"/>
              <w:jc w:val="right"/>
              <w:rPr>
                <w:rFonts w:cstheme="minorHAnsi"/>
                <w:color w:val="000000"/>
                <w:sz w:val="20"/>
                <w:szCs w:val="20"/>
              </w:rPr>
            </w:pPr>
            <w:r>
              <w:rPr>
                <w:rFonts w:cstheme="minorHAnsi"/>
                <w:color w:val="000000"/>
                <w:sz w:val="20"/>
                <w:szCs w:val="20"/>
              </w:rPr>
              <w:t>93.20</w:t>
            </w:r>
          </w:p>
        </w:tc>
      </w:tr>
      <w:tr w:rsidR="00736722" w:rsidTr="00736722" w14:paraId="438BFB17" w14:textId="77777777">
        <w:trPr>
          <w:cantSplit/>
          <w:trHeight w:val="864"/>
          <w:jc w:val="center"/>
        </w:trPr>
        <w:tc>
          <w:tcPr>
            <w:tcW w:w="1705" w:type="dxa"/>
            <w:tcBorders>
              <w:top w:val="nil"/>
              <w:left w:val="single" w:color="BFBFBF" w:sz="4" w:space="0"/>
              <w:bottom w:val="single" w:color="BFBFBF" w:sz="4" w:space="0"/>
              <w:right w:val="single" w:color="BFBFBF" w:sz="4" w:space="0"/>
            </w:tcBorders>
            <w:shd w:val="clear" w:color="auto" w:fill="auto"/>
          </w:tcPr>
          <w:p w:rsidRPr="00CC0373" w:rsidR="00736722" w:rsidP="005E3C11" w:rsidRDefault="00736722" w14:paraId="1428B760" w14:textId="77777777">
            <w:pPr>
              <w:spacing w:after="0"/>
              <w:rPr>
                <w:rFonts w:cstheme="minorHAnsi"/>
                <w:color w:val="000000"/>
                <w:sz w:val="20"/>
                <w:szCs w:val="20"/>
              </w:rPr>
            </w:pPr>
            <w:r>
              <w:rPr>
                <w:rFonts w:cstheme="minorHAnsi"/>
                <w:color w:val="000000"/>
                <w:sz w:val="20"/>
                <w:szCs w:val="20"/>
              </w:rPr>
              <w:lastRenderedPageBreak/>
              <w:t>BEYOND</w:t>
            </w:r>
            <w:r w:rsidRPr="00CC0373">
              <w:rPr>
                <w:rFonts w:cstheme="minorHAnsi"/>
                <w:color w:val="000000"/>
                <w:sz w:val="20"/>
                <w:szCs w:val="20"/>
              </w:rPr>
              <w:t xml:space="preserve"> Final Reports</w:t>
            </w:r>
          </w:p>
        </w:tc>
        <w:tc>
          <w:tcPr>
            <w:tcW w:w="2700" w:type="dxa"/>
            <w:tcBorders>
              <w:top w:val="nil"/>
              <w:left w:val="nil"/>
              <w:bottom w:val="single" w:color="BFBFBF" w:sz="4" w:space="0"/>
              <w:right w:val="single" w:color="BFBFBF" w:sz="4" w:space="0"/>
            </w:tcBorders>
            <w:shd w:val="clear" w:color="auto" w:fill="auto"/>
          </w:tcPr>
          <w:p w:rsidRPr="00CC0373" w:rsidR="00736722" w:rsidP="005E3C11" w:rsidRDefault="00736722" w14:paraId="790FA162" w14:textId="77777777">
            <w:pPr>
              <w:spacing w:after="0"/>
              <w:rPr>
                <w:rFonts w:cstheme="minorHAnsi"/>
                <w:color w:val="000000"/>
                <w:sz w:val="20"/>
                <w:szCs w:val="20"/>
              </w:rPr>
            </w:pPr>
            <w:r w:rsidRPr="00CC0373">
              <w:rPr>
                <w:rFonts w:cstheme="minorHAnsi"/>
                <w:color w:val="000000"/>
                <w:sz w:val="20"/>
                <w:szCs w:val="20"/>
              </w:rPr>
              <w:t>State, Local or Tribal Government, BEYOND participants only</w:t>
            </w:r>
          </w:p>
        </w:tc>
        <w:tc>
          <w:tcPr>
            <w:tcW w:w="1440" w:type="dxa"/>
            <w:tcBorders>
              <w:top w:val="nil"/>
              <w:left w:val="nil"/>
              <w:bottom w:val="single" w:color="BFBFBF" w:sz="4" w:space="0"/>
              <w:right w:val="single" w:color="BFBFBF" w:sz="4" w:space="0"/>
            </w:tcBorders>
            <w:shd w:val="clear" w:color="auto" w:fill="auto"/>
          </w:tcPr>
          <w:p w:rsidRPr="00CC0373" w:rsidR="00736722" w:rsidP="005E3C11" w:rsidRDefault="00736722" w14:paraId="67AF1FB0" w14:textId="77777777">
            <w:pPr>
              <w:spacing w:after="0"/>
              <w:rPr>
                <w:rFonts w:cstheme="minorHAnsi"/>
                <w:color w:val="000000"/>
                <w:sz w:val="20"/>
                <w:szCs w:val="20"/>
              </w:rPr>
            </w:pPr>
            <w:r>
              <w:rPr>
                <w:rFonts w:cstheme="minorHAnsi"/>
                <w:color w:val="000000"/>
                <w:sz w:val="20"/>
                <w:szCs w:val="20"/>
              </w:rPr>
              <w:t>One-Time Submission</w:t>
            </w:r>
          </w:p>
        </w:tc>
        <w:tc>
          <w:tcPr>
            <w:tcW w:w="135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445FA324" w14:textId="77777777">
            <w:pPr>
              <w:spacing w:after="0"/>
              <w:jc w:val="right"/>
              <w:rPr>
                <w:rFonts w:cstheme="minorHAnsi"/>
                <w:color w:val="000000"/>
                <w:sz w:val="20"/>
                <w:szCs w:val="20"/>
              </w:rPr>
            </w:pPr>
            <w:r>
              <w:rPr>
                <w:rFonts w:cstheme="minorHAnsi"/>
                <w:color w:val="000000"/>
                <w:sz w:val="20"/>
                <w:szCs w:val="20"/>
              </w:rPr>
              <w:t>8.00</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24026DC1" w14:textId="77777777">
            <w:pPr>
              <w:spacing w:after="0"/>
              <w:jc w:val="right"/>
              <w:rPr>
                <w:rFonts w:cstheme="minorHAnsi"/>
                <w:color w:val="000000"/>
                <w:sz w:val="20"/>
                <w:szCs w:val="20"/>
              </w:rPr>
            </w:pPr>
            <w:r>
              <w:rPr>
                <w:rFonts w:cstheme="minorHAnsi"/>
                <w:color w:val="000000"/>
                <w:sz w:val="20"/>
                <w:szCs w:val="20"/>
              </w:rPr>
              <w:t>2.67</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0C393825" w14:textId="77777777">
            <w:pPr>
              <w:spacing w:after="0"/>
              <w:jc w:val="right"/>
              <w:rPr>
                <w:rFonts w:cstheme="minorHAnsi"/>
                <w:color w:val="000000"/>
                <w:sz w:val="20"/>
                <w:szCs w:val="20"/>
              </w:rPr>
            </w:pPr>
            <w:r>
              <w:rPr>
                <w:rFonts w:cstheme="minorHAnsi"/>
                <w:color w:val="000000"/>
                <w:sz w:val="20"/>
                <w:szCs w:val="20"/>
              </w:rPr>
              <w:t>40.00</w:t>
            </w:r>
          </w:p>
        </w:tc>
        <w:tc>
          <w:tcPr>
            <w:tcW w:w="1175" w:type="dxa"/>
            <w:tcBorders>
              <w:top w:val="nil"/>
              <w:left w:val="nil"/>
              <w:bottom w:val="single" w:color="BFBFBF" w:sz="4" w:space="0"/>
              <w:right w:val="single" w:color="BFBFBF" w:sz="4" w:space="0"/>
            </w:tcBorders>
            <w:shd w:val="clear" w:color="auto" w:fill="auto"/>
            <w:noWrap/>
          </w:tcPr>
          <w:p w:rsidRPr="00CC0373" w:rsidR="00736722" w:rsidP="005E3C11" w:rsidRDefault="00736722" w14:paraId="0A2B8B4F" w14:textId="77777777">
            <w:pPr>
              <w:spacing w:after="0"/>
              <w:jc w:val="right"/>
              <w:rPr>
                <w:rFonts w:cstheme="minorHAnsi"/>
                <w:color w:val="000000"/>
                <w:sz w:val="20"/>
                <w:szCs w:val="20"/>
              </w:rPr>
            </w:pPr>
            <w:r>
              <w:rPr>
                <w:rFonts w:cstheme="minorHAnsi"/>
                <w:color w:val="000000"/>
                <w:sz w:val="20"/>
                <w:szCs w:val="20"/>
              </w:rPr>
              <w:t>106.80</w:t>
            </w:r>
          </w:p>
        </w:tc>
      </w:tr>
      <w:tr w:rsidR="00736722" w:rsidTr="00736722" w14:paraId="1F4DDA03" w14:textId="77777777">
        <w:trPr>
          <w:cantSplit/>
          <w:trHeight w:val="576"/>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CC0373" w:rsidR="00736722" w:rsidP="005E3C11" w:rsidRDefault="00736722" w14:paraId="6C2C6D55" w14:textId="77777777">
            <w:pPr>
              <w:spacing w:after="0"/>
              <w:rPr>
                <w:rFonts w:cstheme="minorHAnsi"/>
                <w:color w:val="000000"/>
                <w:sz w:val="20"/>
                <w:szCs w:val="20"/>
              </w:rPr>
            </w:pPr>
            <w:r w:rsidRPr="00CC0373">
              <w:rPr>
                <w:rFonts w:cstheme="minorHAnsi"/>
                <w:color w:val="000000"/>
                <w:sz w:val="20"/>
                <w:szCs w:val="20"/>
              </w:rPr>
              <w:t>BEYOND Program Withdrawal Reports</w:t>
            </w:r>
          </w:p>
        </w:tc>
        <w:tc>
          <w:tcPr>
            <w:tcW w:w="270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7F6B36C2" w14:textId="77777777">
            <w:pPr>
              <w:spacing w:after="0"/>
              <w:rPr>
                <w:rFonts w:cstheme="minorHAnsi"/>
                <w:color w:val="000000"/>
                <w:sz w:val="20"/>
                <w:szCs w:val="20"/>
              </w:rPr>
            </w:pPr>
            <w:r w:rsidRPr="00CC0373">
              <w:rPr>
                <w:rFonts w:cstheme="minorHAnsi"/>
                <w:color w:val="000000"/>
                <w:sz w:val="20"/>
                <w:szCs w:val="20"/>
              </w:rPr>
              <w:t>State, Local or Tribal Government, BEYOND participants only</w:t>
            </w:r>
          </w:p>
        </w:tc>
        <w:tc>
          <w:tcPr>
            <w:tcW w:w="144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4F20AB6F" w14:textId="77777777">
            <w:pPr>
              <w:spacing w:after="0"/>
              <w:rPr>
                <w:rFonts w:cstheme="minorHAnsi"/>
                <w:color w:val="000000"/>
                <w:sz w:val="20"/>
                <w:szCs w:val="20"/>
              </w:rPr>
            </w:pPr>
            <w:r>
              <w:rPr>
                <w:rFonts w:cstheme="minorHAnsi"/>
                <w:color w:val="000000"/>
                <w:sz w:val="20"/>
                <w:szCs w:val="20"/>
              </w:rPr>
              <w:t>One-Time Submission</w:t>
            </w:r>
          </w:p>
        </w:tc>
        <w:tc>
          <w:tcPr>
            <w:tcW w:w="135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335D9E03" w14:textId="77777777">
            <w:pPr>
              <w:spacing w:after="0"/>
              <w:jc w:val="right"/>
              <w:rPr>
                <w:rFonts w:cstheme="minorHAnsi"/>
                <w:color w:val="000000"/>
                <w:sz w:val="20"/>
                <w:szCs w:val="20"/>
              </w:rPr>
            </w:pPr>
            <w:r>
              <w:rPr>
                <w:rFonts w:cstheme="minorHAnsi"/>
                <w:color w:val="000000"/>
                <w:sz w:val="20"/>
                <w:szCs w:val="20"/>
              </w:rPr>
              <w:t>8.00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2983A704" w14:textId="77777777">
            <w:pPr>
              <w:spacing w:after="0"/>
              <w:jc w:val="right"/>
              <w:rPr>
                <w:rFonts w:cstheme="minorHAnsi"/>
                <w:color w:val="000000"/>
                <w:sz w:val="20"/>
                <w:szCs w:val="20"/>
              </w:rPr>
            </w:pPr>
            <w:r>
              <w:rPr>
                <w:rFonts w:cstheme="minorHAnsi"/>
                <w:color w:val="000000"/>
                <w:sz w:val="20"/>
                <w:szCs w:val="20"/>
              </w:rPr>
              <w:t>2.67</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3AAB1AB2" w14:textId="77777777">
            <w:pPr>
              <w:spacing w:after="0"/>
              <w:jc w:val="right"/>
              <w:rPr>
                <w:rFonts w:cstheme="minorHAnsi"/>
                <w:color w:val="000000"/>
                <w:sz w:val="20"/>
                <w:szCs w:val="20"/>
              </w:rPr>
            </w:pPr>
            <w:r w:rsidRPr="00CC0373">
              <w:rPr>
                <w:rFonts w:cstheme="minorHAnsi"/>
                <w:color w:val="000000"/>
                <w:sz w:val="20"/>
                <w:szCs w:val="20"/>
              </w:rPr>
              <w:t>40.00</w:t>
            </w:r>
          </w:p>
        </w:tc>
        <w:tc>
          <w:tcPr>
            <w:tcW w:w="1175"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512BFB20" w14:textId="77777777">
            <w:pPr>
              <w:spacing w:after="0"/>
              <w:jc w:val="right"/>
              <w:rPr>
                <w:rFonts w:cstheme="minorHAnsi"/>
                <w:color w:val="000000"/>
                <w:sz w:val="20"/>
                <w:szCs w:val="20"/>
              </w:rPr>
            </w:pPr>
            <w:r>
              <w:rPr>
                <w:rFonts w:cstheme="minorHAnsi"/>
                <w:color w:val="000000"/>
                <w:sz w:val="20"/>
                <w:szCs w:val="20"/>
              </w:rPr>
              <w:t>106.80</w:t>
            </w:r>
          </w:p>
        </w:tc>
      </w:tr>
      <w:tr w:rsidR="008C48D3" w:rsidTr="008C48D3" w14:paraId="70364499" w14:textId="77777777">
        <w:trPr>
          <w:cantSplit/>
          <w:trHeight w:val="274"/>
          <w:jc w:val="center"/>
        </w:trPr>
        <w:tc>
          <w:tcPr>
            <w:tcW w:w="5845" w:type="dxa"/>
            <w:gridSpan w:val="3"/>
            <w:tcBorders>
              <w:top w:val="nil"/>
              <w:left w:val="single" w:color="BFBFBF" w:sz="4" w:space="0"/>
              <w:bottom w:val="single" w:color="BFBFBF" w:sz="4" w:space="0"/>
              <w:right w:val="single" w:color="BFBFBF" w:sz="4" w:space="0"/>
            </w:tcBorders>
            <w:shd w:val="clear" w:color="auto" w:fill="auto"/>
          </w:tcPr>
          <w:p w:rsidR="008C48D3" w:rsidP="005E3C11" w:rsidRDefault="008C48D3" w14:paraId="250430F2" w14:textId="2134B80D">
            <w:pPr>
              <w:spacing w:after="0"/>
              <w:rPr>
                <w:rFonts w:cstheme="minorHAnsi"/>
                <w:color w:val="000000"/>
                <w:sz w:val="20"/>
                <w:szCs w:val="20"/>
              </w:rPr>
            </w:pPr>
            <w:r>
              <w:rPr>
                <w:rFonts w:cstheme="minorHAnsi"/>
                <w:color w:val="000000"/>
                <w:sz w:val="20"/>
                <w:szCs w:val="20"/>
              </w:rPr>
              <w:t>Narrative Reports Sub-Totals</w:t>
            </w:r>
          </w:p>
        </w:tc>
        <w:tc>
          <w:tcPr>
            <w:tcW w:w="1350" w:type="dxa"/>
            <w:tcBorders>
              <w:top w:val="nil"/>
              <w:left w:val="nil"/>
              <w:bottom w:val="single" w:color="BFBFBF" w:sz="4" w:space="0"/>
              <w:right w:val="single" w:color="BFBFBF" w:sz="4" w:space="0"/>
            </w:tcBorders>
            <w:shd w:val="clear" w:color="auto" w:fill="auto"/>
            <w:noWrap/>
          </w:tcPr>
          <w:p w:rsidR="008C48D3" w:rsidP="005E3C11" w:rsidRDefault="008C48D3" w14:paraId="2CD6673E" w14:textId="1D4EA82C">
            <w:pPr>
              <w:spacing w:after="0"/>
              <w:jc w:val="right"/>
              <w:rPr>
                <w:rFonts w:cstheme="minorHAnsi"/>
                <w:color w:val="000000"/>
                <w:sz w:val="20"/>
                <w:szCs w:val="20"/>
              </w:rPr>
            </w:pPr>
            <w:r>
              <w:rPr>
                <w:rFonts w:cstheme="minorHAnsi"/>
                <w:color w:val="000000"/>
                <w:sz w:val="20"/>
                <w:szCs w:val="20"/>
              </w:rPr>
              <w:t>38.00</w:t>
            </w:r>
          </w:p>
        </w:tc>
        <w:tc>
          <w:tcPr>
            <w:tcW w:w="1170" w:type="dxa"/>
            <w:tcBorders>
              <w:top w:val="nil"/>
              <w:left w:val="nil"/>
              <w:bottom w:val="single" w:color="BFBFBF" w:sz="4" w:space="0"/>
              <w:right w:val="single" w:color="BFBFBF" w:sz="4" w:space="0"/>
            </w:tcBorders>
            <w:shd w:val="clear" w:color="auto" w:fill="auto"/>
            <w:noWrap/>
          </w:tcPr>
          <w:p w:rsidR="008C48D3" w:rsidP="005E3C11" w:rsidRDefault="008C48D3" w14:paraId="38437942" w14:textId="37AD42F7">
            <w:pPr>
              <w:spacing w:after="0"/>
              <w:jc w:val="right"/>
              <w:rPr>
                <w:rFonts w:cstheme="minorHAnsi"/>
                <w:color w:val="000000"/>
                <w:sz w:val="20"/>
                <w:szCs w:val="20"/>
              </w:rPr>
            </w:pPr>
            <w:r>
              <w:rPr>
                <w:rFonts w:cstheme="minorHAnsi"/>
                <w:color w:val="000000"/>
                <w:sz w:val="20"/>
                <w:szCs w:val="20"/>
              </w:rPr>
              <w:t>51.67</w:t>
            </w:r>
          </w:p>
        </w:tc>
        <w:tc>
          <w:tcPr>
            <w:tcW w:w="1170" w:type="dxa"/>
            <w:tcBorders>
              <w:top w:val="nil"/>
              <w:left w:val="nil"/>
              <w:bottom w:val="single" w:color="BFBFBF" w:sz="4" w:space="0"/>
              <w:right w:val="single" w:color="BFBFBF" w:sz="4" w:space="0"/>
            </w:tcBorders>
            <w:shd w:val="clear" w:color="auto" w:fill="auto"/>
            <w:noWrap/>
          </w:tcPr>
          <w:p w:rsidRPr="00CC0373" w:rsidR="008C48D3" w:rsidP="005E3C11" w:rsidRDefault="008C48D3" w14:paraId="0F8FBA9D" w14:textId="4CA2FB2F">
            <w:pPr>
              <w:spacing w:after="0"/>
              <w:jc w:val="right"/>
              <w:rPr>
                <w:rFonts w:cstheme="minorHAnsi"/>
                <w:color w:val="000000"/>
                <w:sz w:val="20"/>
                <w:szCs w:val="20"/>
              </w:rPr>
            </w:pPr>
            <w:r>
              <w:rPr>
                <w:rFonts w:cstheme="minorHAnsi"/>
                <w:color w:val="000000"/>
                <w:sz w:val="20"/>
                <w:szCs w:val="20"/>
              </w:rPr>
              <w:t>74.06</w:t>
            </w:r>
          </w:p>
        </w:tc>
        <w:tc>
          <w:tcPr>
            <w:tcW w:w="1175" w:type="dxa"/>
            <w:tcBorders>
              <w:top w:val="nil"/>
              <w:left w:val="nil"/>
              <w:bottom w:val="single" w:color="BFBFBF" w:sz="4" w:space="0"/>
              <w:right w:val="single" w:color="BFBFBF" w:sz="4" w:space="0"/>
            </w:tcBorders>
            <w:shd w:val="clear" w:color="auto" w:fill="auto"/>
            <w:noWrap/>
          </w:tcPr>
          <w:p w:rsidR="008C48D3" w:rsidP="005E3C11" w:rsidRDefault="008C48D3" w14:paraId="17F6C027" w14:textId="1C84F8BC">
            <w:pPr>
              <w:spacing w:after="0"/>
              <w:jc w:val="right"/>
              <w:rPr>
                <w:rFonts w:cstheme="minorHAnsi"/>
                <w:color w:val="000000"/>
                <w:sz w:val="20"/>
                <w:szCs w:val="20"/>
              </w:rPr>
            </w:pPr>
            <w:r>
              <w:rPr>
                <w:rFonts w:cstheme="minorHAnsi"/>
                <w:color w:val="000000"/>
                <w:sz w:val="20"/>
                <w:szCs w:val="20"/>
              </w:rPr>
              <w:t>3826.80</w:t>
            </w:r>
          </w:p>
        </w:tc>
      </w:tr>
      <w:tr w:rsidR="00736722" w:rsidTr="005E3C11" w14:paraId="17EFD538" w14:textId="77777777">
        <w:trPr>
          <w:cantSplit/>
          <w:trHeight w:val="144"/>
          <w:jc w:val="center"/>
        </w:trPr>
        <w:tc>
          <w:tcPr>
            <w:tcW w:w="10710" w:type="dxa"/>
            <w:gridSpan w:val="7"/>
            <w:tcBorders>
              <w:top w:val="single" w:color="BFBFBF" w:sz="4" w:space="0"/>
              <w:left w:val="single" w:color="BFBFBF" w:sz="4" w:space="0"/>
              <w:bottom w:val="single" w:color="BFBFBF" w:sz="4" w:space="0"/>
              <w:right w:val="single" w:color="BFBFBF" w:sz="4" w:space="0"/>
            </w:tcBorders>
            <w:shd w:val="clear" w:color="000000" w:fill="D9D9D9"/>
            <w:hideMark/>
          </w:tcPr>
          <w:p w:rsidRPr="00CC0373" w:rsidR="00736722" w:rsidP="005E3C11" w:rsidRDefault="00736722" w14:paraId="08B16156" w14:textId="77777777">
            <w:pPr>
              <w:spacing w:after="0"/>
              <w:rPr>
                <w:rFonts w:cstheme="minorHAnsi"/>
                <w:b/>
                <w:bCs/>
                <w:color w:val="000000"/>
                <w:sz w:val="20"/>
                <w:szCs w:val="20"/>
              </w:rPr>
            </w:pPr>
            <w:r w:rsidRPr="00CC0373">
              <w:rPr>
                <w:rFonts w:cstheme="minorHAnsi"/>
                <w:b/>
                <w:bCs/>
                <w:color w:val="000000"/>
                <w:sz w:val="20"/>
                <w:szCs w:val="20"/>
              </w:rPr>
              <w:t>Systems and Operations Data</w:t>
            </w:r>
          </w:p>
        </w:tc>
      </w:tr>
      <w:tr w:rsidR="00736722" w:rsidTr="00736722" w14:paraId="20BEFEF9" w14:textId="77777777">
        <w:trPr>
          <w:cantSplit/>
          <w:trHeight w:val="720"/>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CC0373" w:rsidR="00736722" w:rsidP="005E3C11" w:rsidRDefault="00736722" w14:paraId="66D388ED" w14:textId="754F0B8A">
            <w:pPr>
              <w:spacing w:after="0"/>
              <w:rPr>
                <w:rFonts w:cstheme="minorHAnsi"/>
                <w:color w:val="000000"/>
                <w:sz w:val="20"/>
                <w:szCs w:val="20"/>
              </w:rPr>
            </w:pPr>
            <w:r w:rsidRPr="00CC0373">
              <w:rPr>
                <w:rFonts w:cstheme="minorHAnsi"/>
                <w:color w:val="000000"/>
                <w:sz w:val="20"/>
                <w:szCs w:val="20"/>
              </w:rPr>
              <w:t xml:space="preserve">UAS </w:t>
            </w:r>
            <w:r w:rsidR="00E71CB4">
              <w:rPr>
                <w:rFonts w:cstheme="minorHAnsi"/>
                <w:color w:val="000000"/>
                <w:sz w:val="20"/>
                <w:szCs w:val="20"/>
              </w:rPr>
              <w:t xml:space="preserve">Monthly </w:t>
            </w:r>
            <w:r w:rsidRPr="00CC0373">
              <w:rPr>
                <w:rFonts w:cstheme="minorHAnsi"/>
                <w:color w:val="000000"/>
                <w:sz w:val="20"/>
                <w:szCs w:val="20"/>
              </w:rPr>
              <w:t xml:space="preserve">Operational Flight Reports </w:t>
            </w:r>
          </w:p>
        </w:tc>
        <w:tc>
          <w:tcPr>
            <w:tcW w:w="270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5C38E628" w14:textId="77777777">
            <w:pPr>
              <w:spacing w:after="0"/>
              <w:rPr>
                <w:rFonts w:cstheme="minorHAnsi"/>
                <w:color w:val="000000"/>
                <w:sz w:val="20"/>
                <w:szCs w:val="20"/>
              </w:rPr>
            </w:pPr>
            <w:r w:rsidRPr="00CC0373">
              <w:rPr>
                <w:rFonts w:cstheme="minorHAnsi"/>
                <w:color w:val="000000"/>
                <w:sz w:val="20"/>
                <w:szCs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0DE26241" w14:textId="77777777">
            <w:pPr>
              <w:spacing w:after="0"/>
              <w:rPr>
                <w:rFonts w:cstheme="minorHAnsi"/>
                <w:color w:val="000000"/>
                <w:sz w:val="20"/>
                <w:szCs w:val="20"/>
              </w:rPr>
            </w:pPr>
            <w:r w:rsidRPr="00CC0373">
              <w:rPr>
                <w:rFonts w:cstheme="minorHAnsi"/>
                <w:color w:val="000000"/>
                <w:sz w:val="20"/>
                <w:szCs w:val="20"/>
              </w:rPr>
              <w:t>Monthly</w:t>
            </w:r>
          </w:p>
        </w:tc>
        <w:tc>
          <w:tcPr>
            <w:tcW w:w="135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40E0034C" w14:textId="77777777">
            <w:pPr>
              <w:spacing w:after="0"/>
              <w:jc w:val="right"/>
              <w:rPr>
                <w:rFonts w:cstheme="minorHAnsi"/>
                <w:color w:val="000000"/>
                <w:sz w:val="20"/>
                <w:szCs w:val="20"/>
              </w:rPr>
            </w:pPr>
            <w:r>
              <w:rPr>
                <w:rFonts w:cstheme="minorHAnsi"/>
                <w:color w:val="000000"/>
                <w:sz w:val="20"/>
                <w:szCs w:val="20"/>
              </w:rPr>
              <w:t>15</w:t>
            </w:r>
            <w:r w:rsidRPr="00CC0373">
              <w:rPr>
                <w:rFonts w:cstheme="minorHAnsi"/>
                <w:color w:val="000000"/>
                <w:sz w:val="20"/>
                <w:szCs w:val="20"/>
              </w:rPr>
              <w:t>.00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6CEB507A" w14:textId="77777777">
            <w:pPr>
              <w:spacing w:after="0"/>
              <w:jc w:val="right"/>
              <w:rPr>
                <w:rFonts w:cstheme="minorHAnsi"/>
                <w:color w:val="000000"/>
                <w:sz w:val="20"/>
                <w:szCs w:val="20"/>
              </w:rPr>
            </w:pPr>
            <w:r>
              <w:rPr>
                <w:rFonts w:cstheme="minorHAnsi"/>
                <w:color w:val="000000"/>
                <w:sz w:val="20"/>
                <w:szCs w:val="20"/>
              </w:rPr>
              <w:t>180.00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1A7B384E" w14:textId="77777777">
            <w:pPr>
              <w:spacing w:after="0"/>
              <w:jc w:val="right"/>
              <w:rPr>
                <w:rFonts w:cstheme="minorHAnsi"/>
                <w:color w:val="000000"/>
                <w:sz w:val="20"/>
                <w:szCs w:val="20"/>
              </w:rPr>
            </w:pPr>
            <w:r w:rsidRPr="00CC0373">
              <w:rPr>
                <w:rFonts w:cstheme="minorHAnsi"/>
                <w:color w:val="000000"/>
                <w:sz w:val="20"/>
                <w:szCs w:val="20"/>
              </w:rPr>
              <w:t>1.00</w:t>
            </w:r>
          </w:p>
        </w:tc>
        <w:tc>
          <w:tcPr>
            <w:tcW w:w="1175"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042BD60A" w14:textId="77777777">
            <w:pPr>
              <w:spacing w:after="0"/>
              <w:jc w:val="right"/>
              <w:rPr>
                <w:rFonts w:cstheme="minorHAnsi"/>
                <w:color w:val="000000"/>
                <w:sz w:val="20"/>
                <w:szCs w:val="20"/>
              </w:rPr>
            </w:pPr>
            <w:r>
              <w:rPr>
                <w:rFonts w:cstheme="minorHAnsi"/>
                <w:color w:val="000000"/>
                <w:sz w:val="20"/>
                <w:szCs w:val="20"/>
              </w:rPr>
              <w:t>180.00</w:t>
            </w:r>
          </w:p>
        </w:tc>
      </w:tr>
      <w:tr w:rsidR="00736722" w:rsidTr="00736722" w14:paraId="736E17A1" w14:textId="77777777">
        <w:trPr>
          <w:cantSplit/>
          <w:trHeight w:val="720"/>
          <w:jc w:val="center"/>
        </w:trPr>
        <w:tc>
          <w:tcPr>
            <w:tcW w:w="1705" w:type="dxa"/>
            <w:tcBorders>
              <w:top w:val="nil"/>
              <w:left w:val="single" w:color="BFBFBF" w:sz="4" w:space="0"/>
              <w:bottom w:val="single" w:color="BFBFBF" w:sz="4" w:space="0"/>
              <w:right w:val="single" w:color="BFBFBF" w:sz="4" w:space="0"/>
            </w:tcBorders>
            <w:shd w:val="clear" w:color="auto" w:fill="auto"/>
          </w:tcPr>
          <w:p w:rsidRPr="00CC0373" w:rsidR="00736722" w:rsidP="005E3C11" w:rsidRDefault="00736722" w14:paraId="5A4858EB" w14:textId="77777777">
            <w:pPr>
              <w:spacing w:after="0"/>
              <w:rPr>
                <w:rFonts w:cstheme="minorHAnsi"/>
                <w:color w:val="000000"/>
                <w:sz w:val="20"/>
                <w:szCs w:val="20"/>
              </w:rPr>
            </w:pPr>
            <w:r w:rsidRPr="00CC0373">
              <w:rPr>
                <w:rFonts w:cstheme="minorHAnsi"/>
                <w:color w:val="000000"/>
                <w:sz w:val="20"/>
                <w:szCs w:val="20"/>
              </w:rPr>
              <w:t>UAS Maintenance Reports</w:t>
            </w:r>
          </w:p>
        </w:tc>
        <w:tc>
          <w:tcPr>
            <w:tcW w:w="2700" w:type="dxa"/>
            <w:tcBorders>
              <w:top w:val="nil"/>
              <w:left w:val="nil"/>
              <w:bottom w:val="single" w:color="BFBFBF" w:sz="4" w:space="0"/>
              <w:right w:val="single" w:color="BFBFBF" w:sz="4" w:space="0"/>
            </w:tcBorders>
            <w:shd w:val="clear" w:color="auto" w:fill="auto"/>
          </w:tcPr>
          <w:p w:rsidRPr="00CC0373" w:rsidR="00736722" w:rsidP="005E3C11" w:rsidRDefault="00736722" w14:paraId="24880DA2" w14:textId="77777777">
            <w:pPr>
              <w:spacing w:after="0"/>
              <w:rPr>
                <w:rFonts w:cstheme="minorHAnsi"/>
                <w:color w:val="000000"/>
                <w:sz w:val="20"/>
                <w:szCs w:val="20"/>
              </w:rPr>
            </w:pPr>
            <w:r w:rsidRPr="00CC0373">
              <w:rPr>
                <w:rFonts w:cstheme="minorHAnsi"/>
                <w:color w:val="000000"/>
                <w:sz w:val="20"/>
                <w:szCs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CC0373" w:rsidR="00736722" w:rsidP="005E3C11" w:rsidRDefault="00736722" w14:paraId="127FC6A9" w14:textId="77777777">
            <w:pPr>
              <w:spacing w:after="0"/>
              <w:rPr>
                <w:rFonts w:cstheme="minorHAnsi"/>
                <w:color w:val="000000"/>
                <w:sz w:val="20"/>
                <w:szCs w:val="20"/>
              </w:rPr>
            </w:pPr>
            <w:r>
              <w:rPr>
                <w:rFonts w:cstheme="minorHAnsi"/>
                <w:color w:val="000000"/>
                <w:sz w:val="20"/>
                <w:szCs w:val="20"/>
              </w:rPr>
              <w:t>Monthly</w:t>
            </w:r>
          </w:p>
        </w:tc>
        <w:tc>
          <w:tcPr>
            <w:tcW w:w="1350" w:type="dxa"/>
            <w:tcBorders>
              <w:top w:val="nil"/>
              <w:left w:val="nil"/>
              <w:bottom w:val="single" w:color="BFBFBF" w:sz="4" w:space="0"/>
              <w:right w:val="single" w:color="BFBFBF" w:sz="4" w:space="0"/>
            </w:tcBorders>
            <w:shd w:val="clear" w:color="auto" w:fill="auto"/>
            <w:noWrap/>
          </w:tcPr>
          <w:p w:rsidR="00736722" w:rsidP="005E3C11" w:rsidRDefault="00736722" w14:paraId="4AF50DD2" w14:textId="77777777">
            <w:pPr>
              <w:spacing w:after="0"/>
              <w:jc w:val="right"/>
              <w:rPr>
                <w:rFonts w:cstheme="minorHAnsi"/>
                <w:color w:val="000000"/>
                <w:sz w:val="20"/>
                <w:szCs w:val="20"/>
              </w:rPr>
            </w:pPr>
            <w:r>
              <w:rPr>
                <w:rFonts w:cstheme="minorHAnsi"/>
                <w:color w:val="000000"/>
                <w:sz w:val="20"/>
                <w:szCs w:val="20"/>
              </w:rPr>
              <w:t>15.00</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3620159E" w14:textId="77777777">
            <w:pPr>
              <w:spacing w:after="0"/>
              <w:jc w:val="right"/>
              <w:rPr>
                <w:rFonts w:cstheme="minorHAnsi"/>
                <w:color w:val="000000"/>
                <w:sz w:val="20"/>
                <w:szCs w:val="20"/>
              </w:rPr>
            </w:pPr>
            <w:r>
              <w:rPr>
                <w:rFonts w:cstheme="minorHAnsi"/>
                <w:color w:val="000000"/>
                <w:sz w:val="20"/>
                <w:szCs w:val="20"/>
              </w:rPr>
              <w:t>180.00</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07EA308F" w14:textId="77777777">
            <w:pPr>
              <w:spacing w:after="0"/>
              <w:jc w:val="right"/>
              <w:rPr>
                <w:rFonts w:cstheme="minorHAnsi"/>
                <w:color w:val="000000"/>
                <w:sz w:val="20"/>
                <w:szCs w:val="20"/>
              </w:rPr>
            </w:pPr>
            <w:r w:rsidRPr="00CC0373">
              <w:rPr>
                <w:rFonts w:cstheme="minorHAnsi"/>
                <w:color w:val="000000"/>
                <w:sz w:val="20"/>
                <w:szCs w:val="20"/>
              </w:rPr>
              <w:t>1.00</w:t>
            </w:r>
          </w:p>
        </w:tc>
        <w:tc>
          <w:tcPr>
            <w:tcW w:w="1175" w:type="dxa"/>
            <w:tcBorders>
              <w:top w:val="nil"/>
              <w:left w:val="nil"/>
              <w:bottom w:val="single" w:color="BFBFBF" w:sz="4" w:space="0"/>
              <w:right w:val="single" w:color="BFBFBF" w:sz="4" w:space="0"/>
            </w:tcBorders>
            <w:shd w:val="clear" w:color="auto" w:fill="auto"/>
            <w:noWrap/>
          </w:tcPr>
          <w:p w:rsidRPr="00CC0373" w:rsidR="00736722" w:rsidP="005E3C11" w:rsidRDefault="00736722" w14:paraId="3E558F7A" w14:textId="77777777">
            <w:pPr>
              <w:spacing w:after="0"/>
              <w:jc w:val="right"/>
              <w:rPr>
                <w:rFonts w:cstheme="minorHAnsi"/>
                <w:color w:val="000000"/>
                <w:sz w:val="20"/>
                <w:szCs w:val="20"/>
              </w:rPr>
            </w:pPr>
            <w:r>
              <w:rPr>
                <w:rFonts w:cstheme="minorHAnsi"/>
                <w:color w:val="000000"/>
                <w:sz w:val="20"/>
                <w:szCs w:val="20"/>
              </w:rPr>
              <w:t>180.00</w:t>
            </w:r>
          </w:p>
        </w:tc>
      </w:tr>
      <w:tr w:rsidR="00736722" w:rsidTr="00736722" w14:paraId="5CE28310" w14:textId="77777777">
        <w:trPr>
          <w:cantSplit/>
          <w:trHeight w:val="1196"/>
          <w:jc w:val="center"/>
        </w:trPr>
        <w:tc>
          <w:tcPr>
            <w:tcW w:w="1705" w:type="dxa"/>
            <w:tcBorders>
              <w:top w:val="nil"/>
              <w:left w:val="single" w:color="BFBFBF" w:sz="4" w:space="0"/>
              <w:bottom w:val="single" w:color="BFBFBF" w:sz="4" w:space="0"/>
              <w:right w:val="single" w:color="BFBFBF" w:sz="4" w:space="0"/>
            </w:tcBorders>
            <w:shd w:val="clear" w:color="auto" w:fill="auto"/>
          </w:tcPr>
          <w:p w:rsidRPr="00CC0373" w:rsidR="00736722" w:rsidP="005E3C11" w:rsidRDefault="00736722" w14:paraId="618D734C" w14:textId="77777777">
            <w:pPr>
              <w:spacing w:after="0"/>
              <w:rPr>
                <w:rFonts w:cstheme="minorHAnsi"/>
                <w:color w:val="000000"/>
                <w:sz w:val="20"/>
                <w:szCs w:val="20"/>
              </w:rPr>
            </w:pPr>
            <w:r>
              <w:rPr>
                <w:rFonts w:cstheme="minorHAnsi"/>
                <w:color w:val="000000"/>
                <w:sz w:val="20"/>
                <w:szCs w:val="20"/>
              </w:rPr>
              <w:t xml:space="preserve">UAS </w:t>
            </w:r>
            <w:r w:rsidRPr="00CC0373">
              <w:rPr>
                <w:rFonts w:cstheme="minorHAnsi"/>
                <w:color w:val="000000"/>
                <w:sz w:val="20"/>
                <w:szCs w:val="20"/>
              </w:rPr>
              <w:t xml:space="preserve">Test Data </w:t>
            </w:r>
            <w:r>
              <w:rPr>
                <w:rFonts w:cstheme="minorHAnsi"/>
                <w:color w:val="000000"/>
                <w:sz w:val="20"/>
                <w:szCs w:val="20"/>
              </w:rPr>
              <w:t>Reports (optional)</w:t>
            </w:r>
          </w:p>
        </w:tc>
        <w:tc>
          <w:tcPr>
            <w:tcW w:w="2700" w:type="dxa"/>
            <w:tcBorders>
              <w:top w:val="nil"/>
              <w:left w:val="nil"/>
              <w:bottom w:val="single" w:color="BFBFBF" w:sz="4" w:space="0"/>
              <w:right w:val="single" w:color="BFBFBF" w:sz="4" w:space="0"/>
            </w:tcBorders>
            <w:shd w:val="clear" w:color="auto" w:fill="auto"/>
          </w:tcPr>
          <w:p w:rsidRPr="00CC0373" w:rsidR="00736722" w:rsidP="005E3C11" w:rsidRDefault="00736722" w14:paraId="0A8D1589" w14:textId="77777777">
            <w:pPr>
              <w:spacing w:after="0"/>
              <w:rPr>
                <w:rFonts w:cstheme="minorHAnsi"/>
                <w:color w:val="000000"/>
                <w:sz w:val="20"/>
                <w:szCs w:val="20"/>
              </w:rPr>
            </w:pPr>
            <w:r w:rsidRPr="00CC0373">
              <w:rPr>
                <w:rFonts w:cstheme="minorHAnsi"/>
                <w:color w:val="000000"/>
                <w:sz w:val="20"/>
                <w:szCs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CC0373" w:rsidR="00736722" w:rsidP="005E3C11" w:rsidRDefault="00736722" w14:paraId="617FE3F6" w14:textId="77777777">
            <w:pPr>
              <w:spacing w:after="0"/>
              <w:rPr>
                <w:rFonts w:cstheme="minorHAnsi"/>
                <w:color w:val="000000"/>
                <w:sz w:val="20"/>
                <w:szCs w:val="20"/>
              </w:rPr>
            </w:pPr>
            <w:r w:rsidRPr="00CC0373">
              <w:rPr>
                <w:rFonts w:cstheme="minorHAnsi"/>
                <w:color w:val="000000"/>
                <w:sz w:val="20"/>
                <w:szCs w:val="20"/>
              </w:rPr>
              <w:t>Ad hoc</w:t>
            </w:r>
          </w:p>
        </w:tc>
        <w:tc>
          <w:tcPr>
            <w:tcW w:w="135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0259413E" w14:textId="77777777">
            <w:pPr>
              <w:spacing w:after="0"/>
              <w:jc w:val="right"/>
              <w:rPr>
                <w:rFonts w:cstheme="minorHAnsi"/>
                <w:color w:val="000000"/>
                <w:sz w:val="20"/>
                <w:szCs w:val="20"/>
              </w:rPr>
            </w:pPr>
            <w:r>
              <w:rPr>
                <w:rFonts w:cstheme="minorHAnsi"/>
                <w:color w:val="000000"/>
                <w:sz w:val="20"/>
                <w:szCs w:val="20"/>
              </w:rPr>
              <w:t>15</w:t>
            </w:r>
            <w:r w:rsidRPr="00CC0373">
              <w:rPr>
                <w:rFonts w:cstheme="minorHAnsi"/>
                <w:color w:val="000000"/>
                <w:sz w:val="20"/>
                <w:szCs w:val="20"/>
              </w:rPr>
              <w:t>.00</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35289814" w14:textId="77777777">
            <w:pPr>
              <w:spacing w:after="0"/>
              <w:jc w:val="right"/>
              <w:rPr>
                <w:rFonts w:cstheme="minorHAnsi"/>
                <w:color w:val="000000"/>
                <w:sz w:val="20"/>
                <w:szCs w:val="20"/>
              </w:rPr>
            </w:pPr>
            <w:r>
              <w:rPr>
                <w:rFonts w:cstheme="minorHAnsi"/>
                <w:color w:val="000000"/>
                <w:sz w:val="20"/>
                <w:szCs w:val="20"/>
              </w:rPr>
              <w:t>15</w:t>
            </w:r>
            <w:r w:rsidRPr="00CC0373">
              <w:rPr>
                <w:rFonts w:cstheme="minorHAnsi"/>
                <w:color w:val="000000"/>
                <w:sz w:val="20"/>
                <w:szCs w:val="20"/>
              </w:rPr>
              <w:t>.00</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715F05B7" w14:textId="0E91DBE3">
            <w:pPr>
              <w:spacing w:after="0"/>
              <w:jc w:val="right"/>
              <w:rPr>
                <w:rFonts w:cstheme="minorHAnsi"/>
                <w:color w:val="000000"/>
                <w:sz w:val="20"/>
                <w:szCs w:val="20"/>
              </w:rPr>
            </w:pPr>
            <w:r w:rsidRPr="00CC0373">
              <w:rPr>
                <w:rFonts w:cstheme="minorHAnsi"/>
                <w:color w:val="000000"/>
                <w:sz w:val="20"/>
                <w:szCs w:val="20"/>
              </w:rPr>
              <w:t>0.08</w:t>
            </w:r>
          </w:p>
        </w:tc>
        <w:tc>
          <w:tcPr>
            <w:tcW w:w="1175" w:type="dxa"/>
            <w:tcBorders>
              <w:top w:val="nil"/>
              <w:left w:val="nil"/>
              <w:bottom w:val="single" w:color="BFBFBF" w:sz="4" w:space="0"/>
              <w:right w:val="single" w:color="BFBFBF" w:sz="4" w:space="0"/>
            </w:tcBorders>
            <w:shd w:val="clear" w:color="auto" w:fill="auto"/>
            <w:noWrap/>
          </w:tcPr>
          <w:p w:rsidRPr="00CC0373" w:rsidR="00736722" w:rsidP="005E3C11" w:rsidRDefault="00736722" w14:paraId="656B3524" w14:textId="77777777">
            <w:pPr>
              <w:spacing w:after="0"/>
              <w:jc w:val="right"/>
              <w:rPr>
                <w:rFonts w:cstheme="minorHAnsi"/>
                <w:color w:val="000000"/>
                <w:sz w:val="20"/>
                <w:szCs w:val="20"/>
              </w:rPr>
            </w:pPr>
            <w:r w:rsidRPr="00CC0373">
              <w:rPr>
                <w:rFonts w:cstheme="minorHAnsi"/>
                <w:color w:val="000000"/>
                <w:sz w:val="20"/>
                <w:szCs w:val="20"/>
              </w:rPr>
              <w:t>1.</w:t>
            </w:r>
            <w:r>
              <w:rPr>
                <w:rFonts w:cstheme="minorHAnsi"/>
                <w:color w:val="000000"/>
                <w:sz w:val="20"/>
                <w:szCs w:val="20"/>
              </w:rPr>
              <w:t>25</w:t>
            </w:r>
          </w:p>
        </w:tc>
      </w:tr>
      <w:tr w:rsidR="00736722" w:rsidTr="00736722" w14:paraId="29C275A2" w14:textId="77777777">
        <w:trPr>
          <w:cantSplit/>
          <w:trHeight w:val="1196"/>
          <w:jc w:val="center"/>
        </w:trPr>
        <w:tc>
          <w:tcPr>
            <w:tcW w:w="1705" w:type="dxa"/>
            <w:tcBorders>
              <w:top w:val="nil"/>
              <w:left w:val="single" w:color="BFBFBF" w:sz="4" w:space="0"/>
              <w:bottom w:val="single" w:color="BFBFBF" w:sz="4" w:space="0"/>
              <w:right w:val="single" w:color="BFBFBF" w:sz="4" w:space="0"/>
            </w:tcBorders>
            <w:shd w:val="clear" w:color="auto" w:fill="auto"/>
          </w:tcPr>
          <w:p w:rsidRPr="00CC0373" w:rsidR="00736722" w:rsidP="005E3C11" w:rsidRDefault="00736722" w14:paraId="78CAE69C" w14:textId="77777777">
            <w:pPr>
              <w:spacing w:after="0"/>
              <w:rPr>
                <w:rFonts w:cstheme="minorHAnsi"/>
                <w:color w:val="000000"/>
                <w:sz w:val="20"/>
                <w:szCs w:val="20"/>
              </w:rPr>
            </w:pPr>
            <w:r w:rsidRPr="00CC0373">
              <w:rPr>
                <w:rFonts w:cstheme="minorHAnsi"/>
                <w:color w:val="000000"/>
                <w:sz w:val="20"/>
                <w:szCs w:val="20"/>
              </w:rPr>
              <w:t>UAS Anomaly Reports</w:t>
            </w:r>
          </w:p>
        </w:tc>
        <w:tc>
          <w:tcPr>
            <w:tcW w:w="2700" w:type="dxa"/>
            <w:tcBorders>
              <w:top w:val="nil"/>
              <w:left w:val="nil"/>
              <w:bottom w:val="single" w:color="BFBFBF" w:sz="4" w:space="0"/>
              <w:right w:val="single" w:color="BFBFBF" w:sz="4" w:space="0"/>
            </w:tcBorders>
            <w:shd w:val="clear" w:color="auto" w:fill="auto"/>
          </w:tcPr>
          <w:p w:rsidRPr="00CC0373" w:rsidR="00736722" w:rsidP="005E3C11" w:rsidRDefault="00736722" w14:paraId="1AFDDACC" w14:textId="77777777">
            <w:pPr>
              <w:spacing w:after="0"/>
              <w:rPr>
                <w:rFonts w:cstheme="minorHAnsi"/>
                <w:color w:val="000000"/>
                <w:sz w:val="20"/>
                <w:szCs w:val="20"/>
              </w:rPr>
            </w:pPr>
            <w:r w:rsidRPr="00CC0373">
              <w:rPr>
                <w:rFonts w:cstheme="minorHAnsi"/>
                <w:color w:val="000000"/>
                <w:sz w:val="20"/>
                <w:szCs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CC0373" w:rsidR="00736722" w:rsidP="005E3C11" w:rsidRDefault="00736722" w14:paraId="17BF7BC9" w14:textId="77777777">
            <w:pPr>
              <w:spacing w:after="0"/>
              <w:rPr>
                <w:rFonts w:cstheme="minorHAnsi"/>
                <w:color w:val="000000"/>
                <w:sz w:val="20"/>
                <w:szCs w:val="20"/>
              </w:rPr>
            </w:pPr>
            <w:r w:rsidRPr="00CC0373">
              <w:rPr>
                <w:rFonts w:cstheme="minorHAnsi"/>
                <w:color w:val="000000"/>
                <w:sz w:val="20"/>
                <w:szCs w:val="20"/>
              </w:rPr>
              <w:t>On Occasion – Assuming 10 annually per participant</w:t>
            </w:r>
          </w:p>
        </w:tc>
        <w:tc>
          <w:tcPr>
            <w:tcW w:w="135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27FC7FEC" w14:textId="77777777">
            <w:pPr>
              <w:spacing w:after="0"/>
              <w:jc w:val="right"/>
              <w:rPr>
                <w:rFonts w:cstheme="minorHAnsi"/>
                <w:color w:val="000000"/>
                <w:sz w:val="20"/>
                <w:szCs w:val="20"/>
              </w:rPr>
            </w:pPr>
            <w:r>
              <w:rPr>
                <w:rFonts w:cstheme="minorHAnsi"/>
                <w:color w:val="000000"/>
                <w:sz w:val="20"/>
                <w:szCs w:val="20"/>
              </w:rPr>
              <w:t>15</w:t>
            </w:r>
            <w:r w:rsidRPr="00CC0373">
              <w:rPr>
                <w:rFonts w:cstheme="minorHAnsi"/>
                <w:color w:val="000000"/>
                <w:sz w:val="20"/>
                <w:szCs w:val="20"/>
              </w:rPr>
              <w:t>.00</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1CC45987" w14:textId="78DF43AB">
            <w:pPr>
              <w:spacing w:after="0"/>
              <w:jc w:val="right"/>
              <w:rPr>
                <w:rFonts w:cstheme="minorHAnsi"/>
                <w:color w:val="000000"/>
                <w:sz w:val="20"/>
                <w:szCs w:val="20"/>
              </w:rPr>
            </w:pPr>
            <w:r>
              <w:rPr>
                <w:rFonts w:cstheme="minorHAnsi"/>
                <w:color w:val="000000"/>
                <w:sz w:val="20"/>
                <w:szCs w:val="20"/>
              </w:rPr>
              <w:t>150</w:t>
            </w:r>
            <w:r w:rsidR="00972F11">
              <w:rPr>
                <w:rFonts w:cstheme="minorHAnsi"/>
                <w:color w:val="000000"/>
                <w:sz w:val="20"/>
                <w:szCs w:val="20"/>
              </w:rPr>
              <w:t>.00</w:t>
            </w:r>
          </w:p>
        </w:tc>
        <w:tc>
          <w:tcPr>
            <w:tcW w:w="1170" w:type="dxa"/>
            <w:tcBorders>
              <w:top w:val="nil"/>
              <w:left w:val="nil"/>
              <w:bottom w:val="single" w:color="BFBFBF" w:sz="4" w:space="0"/>
              <w:right w:val="single" w:color="BFBFBF" w:sz="4" w:space="0"/>
            </w:tcBorders>
            <w:shd w:val="clear" w:color="auto" w:fill="auto"/>
            <w:noWrap/>
          </w:tcPr>
          <w:p w:rsidRPr="00CC0373" w:rsidR="00736722" w:rsidP="005E3C11" w:rsidRDefault="00736722" w14:paraId="33AB4CE3" w14:textId="77777777">
            <w:pPr>
              <w:spacing w:after="0"/>
              <w:jc w:val="right"/>
              <w:rPr>
                <w:rFonts w:cstheme="minorHAnsi"/>
                <w:color w:val="000000"/>
                <w:sz w:val="20"/>
                <w:szCs w:val="20"/>
              </w:rPr>
            </w:pPr>
            <w:r w:rsidRPr="00CC0373">
              <w:rPr>
                <w:rFonts w:cstheme="minorHAnsi"/>
                <w:color w:val="000000"/>
                <w:sz w:val="20"/>
                <w:szCs w:val="20"/>
              </w:rPr>
              <w:t>1.00</w:t>
            </w:r>
          </w:p>
        </w:tc>
        <w:tc>
          <w:tcPr>
            <w:tcW w:w="1175" w:type="dxa"/>
            <w:tcBorders>
              <w:top w:val="nil"/>
              <w:left w:val="nil"/>
              <w:bottom w:val="single" w:color="BFBFBF" w:sz="4" w:space="0"/>
              <w:right w:val="single" w:color="BFBFBF" w:sz="4" w:space="0"/>
            </w:tcBorders>
            <w:shd w:val="clear" w:color="auto" w:fill="auto"/>
            <w:noWrap/>
          </w:tcPr>
          <w:p w:rsidRPr="00CC0373" w:rsidR="00736722" w:rsidP="005E3C11" w:rsidRDefault="00736722" w14:paraId="4DB166D2" w14:textId="77777777">
            <w:pPr>
              <w:spacing w:after="0"/>
              <w:jc w:val="right"/>
              <w:rPr>
                <w:rFonts w:cstheme="minorHAnsi"/>
                <w:color w:val="000000"/>
                <w:sz w:val="20"/>
                <w:szCs w:val="20"/>
              </w:rPr>
            </w:pPr>
            <w:r>
              <w:rPr>
                <w:rFonts w:cstheme="minorHAnsi"/>
                <w:color w:val="000000"/>
                <w:sz w:val="20"/>
                <w:szCs w:val="20"/>
              </w:rPr>
              <w:t>150.00</w:t>
            </w:r>
          </w:p>
        </w:tc>
      </w:tr>
      <w:tr w:rsidR="00736722" w:rsidTr="00736722" w14:paraId="739C518F" w14:textId="77777777">
        <w:trPr>
          <w:cantSplit/>
          <w:trHeight w:val="1196"/>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CC0373" w:rsidR="00736722" w:rsidP="005E3C11" w:rsidRDefault="00736722" w14:paraId="24279E8C" w14:textId="77777777">
            <w:pPr>
              <w:spacing w:after="0"/>
              <w:rPr>
                <w:rFonts w:cstheme="minorHAnsi"/>
                <w:color w:val="000000"/>
                <w:sz w:val="20"/>
                <w:szCs w:val="20"/>
              </w:rPr>
            </w:pPr>
            <w:r w:rsidRPr="00CC0373">
              <w:rPr>
                <w:rFonts w:cstheme="minorHAnsi"/>
                <w:color w:val="000000"/>
                <w:sz w:val="20"/>
                <w:szCs w:val="20"/>
              </w:rPr>
              <w:t>UAS Aircraft Characteristics Submissions</w:t>
            </w:r>
          </w:p>
        </w:tc>
        <w:tc>
          <w:tcPr>
            <w:tcW w:w="270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1EFA1A68" w14:textId="77777777">
            <w:pPr>
              <w:spacing w:after="0"/>
              <w:rPr>
                <w:rFonts w:cstheme="minorHAnsi"/>
                <w:color w:val="000000"/>
                <w:sz w:val="20"/>
                <w:szCs w:val="20"/>
              </w:rPr>
            </w:pPr>
            <w:r w:rsidRPr="00CC0373">
              <w:rPr>
                <w:rFonts w:cstheme="minorHAnsi"/>
                <w:color w:val="000000"/>
                <w:sz w:val="20"/>
                <w:szCs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7BD3CE6F" w14:textId="77777777">
            <w:pPr>
              <w:spacing w:after="0"/>
              <w:rPr>
                <w:rFonts w:cstheme="minorHAnsi"/>
                <w:color w:val="000000"/>
                <w:sz w:val="20"/>
                <w:szCs w:val="20"/>
              </w:rPr>
            </w:pPr>
            <w:r w:rsidRPr="00CC0373">
              <w:rPr>
                <w:rFonts w:cstheme="minorHAnsi"/>
                <w:color w:val="000000"/>
                <w:sz w:val="20"/>
                <w:szCs w:val="20"/>
              </w:rPr>
              <w:t>On Occasion – for each New Aircraft – Assuming average 25 annual submissions</w:t>
            </w:r>
          </w:p>
        </w:tc>
        <w:tc>
          <w:tcPr>
            <w:tcW w:w="135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07A3838B" w14:textId="77777777">
            <w:pPr>
              <w:spacing w:after="0"/>
              <w:jc w:val="right"/>
              <w:rPr>
                <w:rFonts w:cstheme="minorHAnsi"/>
                <w:color w:val="000000"/>
                <w:sz w:val="20"/>
                <w:szCs w:val="20"/>
              </w:rPr>
            </w:pPr>
            <w:r>
              <w:rPr>
                <w:rFonts w:cstheme="minorHAnsi"/>
                <w:color w:val="000000"/>
                <w:sz w:val="20"/>
                <w:szCs w:val="20"/>
              </w:rPr>
              <w:t>15.00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26FA31DB" w14:textId="77777777">
            <w:pPr>
              <w:spacing w:after="0"/>
              <w:jc w:val="right"/>
              <w:rPr>
                <w:rFonts w:cstheme="minorHAnsi"/>
                <w:color w:val="000000"/>
                <w:sz w:val="20"/>
                <w:szCs w:val="20"/>
              </w:rPr>
            </w:pPr>
            <w:r>
              <w:rPr>
                <w:rFonts w:cstheme="minorHAnsi"/>
                <w:color w:val="000000"/>
                <w:sz w:val="20"/>
                <w:szCs w:val="20"/>
              </w:rPr>
              <w:t>375.00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67576789" w14:textId="77777777">
            <w:pPr>
              <w:spacing w:after="0"/>
              <w:jc w:val="right"/>
              <w:rPr>
                <w:rFonts w:cstheme="minorHAnsi"/>
                <w:color w:val="000000"/>
                <w:sz w:val="20"/>
                <w:szCs w:val="20"/>
              </w:rPr>
            </w:pPr>
            <w:r w:rsidRPr="00CC0373">
              <w:rPr>
                <w:rFonts w:cstheme="minorHAnsi"/>
                <w:color w:val="000000"/>
                <w:sz w:val="20"/>
                <w:szCs w:val="20"/>
              </w:rPr>
              <w:t>0.20</w:t>
            </w:r>
          </w:p>
        </w:tc>
        <w:tc>
          <w:tcPr>
            <w:tcW w:w="1175"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1F2BEFD4" w14:textId="77777777">
            <w:pPr>
              <w:spacing w:after="0"/>
              <w:jc w:val="right"/>
              <w:rPr>
                <w:rFonts w:cstheme="minorHAnsi"/>
                <w:color w:val="000000"/>
                <w:sz w:val="20"/>
                <w:szCs w:val="20"/>
              </w:rPr>
            </w:pPr>
            <w:r>
              <w:rPr>
                <w:rFonts w:cstheme="minorHAnsi"/>
                <w:color w:val="000000"/>
                <w:sz w:val="20"/>
                <w:szCs w:val="20"/>
              </w:rPr>
              <w:t>7</w:t>
            </w:r>
            <w:r w:rsidRPr="00CC0373">
              <w:rPr>
                <w:rFonts w:cstheme="minorHAnsi"/>
                <w:color w:val="000000"/>
                <w:sz w:val="20"/>
                <w:szCs w:val="20"/>
              </w:rPr>
              <w:t>5.00</w:t>
            </w:r>
          </w:p>
        </w:tc>
      </w:tr>
      <w:tr w:rsidR="008C48D3" w:rsidTr="008C48D3" w14:paraId="175B74B2" w14:textId="77777777">
        <w:trPr>
          <w:cantSplit/>
          <w:trHeight w:val="274"/>
          <w:jc w:val="center"/>
        </w:trPr>
        <w:tc>
          <w:tcPr>
            <w:tcW w:w="5845" w:type="dxa"/>
            <w:gridSpan w:val="3"/>
            <w:tcBorders>
              <w:top w:val="nil"/>
              <w:left w:val="single" w:color="BFBFBF" w:sz="4" w:space="0"/>
              <w:bottom w:val="single" w:color="BFBFBF" w:sz="4" w:space="0"/>
              <w:right w:val="single" w:color="BFBFBF" w:sz="4" w:space="0"/>
            </w:tcBorders>
            <w:shd w:val="clear" w:color="auto" w:fill="auto"/>
          </w:tcPr>
          <w:p w:rsidRPr="00CC0373" w:rsidR="008C48D3" w:rsidP="005E3C11" w:rsidRDefault="008C48D3" w14:paraId="515FA427" w14:textId="7D685E88">
            <w:pPr>
              <w:spacing w:after="0"/>
              <w:rPr>
                <w:rFonts w:cstheme="minorHAnsi"/>
                <w:color w:val="000000"/>
                <w:sz w:val="20"/>
                <w:szCs w:val="20"/>
              </w:rPr>
            </w:pPr>
            <w:r>
              <w:rPr>
                <w:rFonts w:cstheme="minorHAnsi"/>
                <w:color w:val="000000"/>
                <w:sz w:val="20"/>
                <w:szCs w:val="20"/>
              </w:rPr>
              <w:t>Systems and Operations Data Sub-Totals</w:t>
            </w:r>
          </w:p>
        </w:tc>
        <w:tc>
          <w:tcPr>
            <w:tcW w:w="1350" w:type="dxa"/>
            <w:tcBorders>
              <w:top w:val="nil"/>
              <w:left w:val="nil"/>
              <w:bottom w:val="single" w:color="BFBFBF" w:sz="4" w:space="0"/>
              <w:right w:val="single" w:color="BFBFBF" w:sz="4" w:space="0"/>
            </w:tcBorders>
            <w:shd w:val="clear" w:color="auto" w:fill="auto"/>
            <w:noWrap/>
          </w:tcPr>
          <w:p w:rsidR="008C48D3" w:rsidP="005E3C11" w:rsidRDefault="008C48D3" w14:paraId="5D293E5D" w14:textId="74BDCC0E">
            <w:pPr>
              <w:spacing w:after="0"/>
              <w:jc w:val="right"/>
              <w:rPr>
                <w:rFonts w:cstheme="minorHAnsi"/>
                <w:color w:val="000000"/>
                <w:sz w:val="20"/>
                <w:szCs w:val="20"/>
              </w:rPr>
            </w:pPr>
            <w:r>
              <w:rPr>
                <w:rFonts w:cstheme="minorHAnsi"/>
                <w:color w:val="000000"/>
                <w:sz w:val="20"/>
                <w:szCs w:val="20"/>
              </w:rPr>
              <w:t>75.00</w:t>
            </w:r>
          </w:p>
        </w:tc>
        <w:tc>
          <w:tcPr>
            <w:tcW w:w="1170" w:type="dxa"/>
            <w:tcBorders>
              <w:top w:val="nil"/>
              <w:left w:val="nil"/>
              <w:bottom w:val="single" w:color="BFBFBF" w:sz="4" w:space="0"/>
              <w:right w:val="single" w:color="BFBFBF" w:sz="4" w:space="0"/>
            </w:tcBorders>
            <w:shd w:val="clear" w:color="auto" w:fill="auto"/>
            <w:noWrap/>
          </w:tcPr>
          <w:p w:rsidR="008C48D3" w:rsidP="005E3C11" w:rsidRDefault="008C48D3" w14:paraId="124A5998" w14:textId="62109C86">
            <w:pPr>
              <w:spacing w:after="0"/>
              <w:jc w:val="right"/>
              <w:rPr>
                <w:rFonts w:cstheme="minorHAnsi"/>
                <w:color w:val="000000"/>
                <w:sz w:val="20"/>
                <w:szCs w:val="20"/>
              </w:rPr>
            </w:pPr>
            <w:r>
              <w:rPr>
                <w:rFonts w:cstheme="minorHAnsi"/>
                <w:color w:val="000000"/>
                <w:sz w:val="20"/>
                <w:szCs w:val="20"/>
              </w:rPr>
              <w:t>900.00</w:t>
            </w:r>
          </w:p>
        </w:tc>
        <w:tc>
          <w:tcPr>
            <w:tcW w:w="1170" w:type="dxa"/>
            <w:tcBorders>
              <w:top w:val="nil"/>
              <w:left w:val="nil"/>
              <w:bottom w:val="single" w:color="BFBFBF" w:sz="4" w:space="0"/>
              <w:right w:val="single" w:color="BFBFBF" w:sz="4" w:space="0"/>
            </w:tcBorders>
            <w:shd w:val="clear" w:color="auto" w:fill="auto"/>
            <w:noWrap/>
          </w:tcPr>
          <w:p w:rsidRPr="00CC0373" w:rsidR="008C48D3" w:rsidP="005E3C11" w:rsidRDefault="008C48D3" w14:paraId="495BCD99" w14:textId="27E50F27">
            <w:pPr>
              <w:spacing w:after="0"/>
              <w:jc w:val="right"/>
              <w:rPr>
                <w:rFonts w:cstheme="minorHAnsi"/>
                <w:color w:val="000000"/>
                <w:sz w:val="20"/>
                <w:szCs w:val="20"/>
              </w:rPr>
            </w:pPr>
            <w:r>
              <w:rPr>
                <w:rFonts w:cstheme="minorHAnsi"/>
                <w:color w:val="000000"/>
                <w:sz w:val="20"/>
                <w:szCs w:val="20"/>
              </w:rPr>
              <w:t>0.65</w:t>
            </w:r>
          </w:p>
        </w:tc>
        <w:tc>
          <w:tcPr>
            <w:tcW w:w="1175" w:type="dxa"/>
            <w:tcBorders>
              <w:top w:val="nil"/>
              <w:left w:val="nil"/>
              <w:bottom w:val="single" w:color="BFBFBF" w:sz="4" w:space="0"/>
              <w:right w:val="single" w:color="BFBFBF" w:sz="4" w:space="0"/>
            </w:tcBorders>
            <w:shd w:val="clear" w:color="auto" w:fill="auto"/>
            <w:noWrap/>
          </w:tcPr>
          <w:p w:rsidR="008C48D3" w:rsidP="005E3C11" w:rsidRDefault="008C48D3" w14:paraId="61EB34F5" w14:textId="207C70BC">
            <w:pPr>
              <w:spacing w:after="0"/>
              <w:jc w:val="right"/>
              <w:rPr>
                <w:rFonts w:cstheme="minorHAnsi"/>
                <w:color w:val="000000"/>
                <w:sz w:val="20"/>
                <w:szCs w:val="20"/>
              </w:rPr>
            </w:pPr>
            <w:r>
              <w:rPr>
                <w:rFonts w:cstheme="minorHAnsi"/>
                <w:color w:val="000000"/>
                <w:sz w:val="20"/>
                <w:szCs w:val="20"/>
              </w:rPr>
              <w:t>586.25</w:t>
            </w:r>
          </w:p>
        </w:tc>
      </w:tr>
      <w:tr w:rsidR="00736722" w:rsidTr="005E3C11" w14:paraId="2C915A06" w14:textId="77777777">
        <w:trPr>
          <w:cantSplit/>
          <w:trHeight w:val="278"/>
          <w:jc w:val="center"/>
        </w:trPr>
        <w:tc>
          <w:tcPr>
            <w:tcW w:w="10710" w:type="dxa"/>
            <w:gridSpan w:val="7"/>
            <w:tcBorders>
              <w:top w:val="nil"/>
              <w:left w:val="single" w:color="BFBFBF" w:sz="4" w:space="0"/>
              <w:bottom w:val="single" w:color="BFBFBF" w:sz="4" w:space="0"/>
              <w:right w:val="single" w:color="BFBFBF" w:sz="4" w:space="0"/>
            </w:tcBorders>
            <w:shd w:val="clear" w:color="auto" w:fill="D9D9D9" w:themeFill="background1" w:themeFillShade="D9"/>
            <w:hideMark/>
          </w:tcPr>
          <w:p w:rsidRPr="00CC0373" w:rsidR="00736722" w:rsidP="005E3C11" w:rsidRDefault="00736722" w14:paraId="4EF1C7F8" w14:textId="77777777">
            <w:pPr>
              <w:spacing w:after="0"/>
              <w:rPr>
                <w:rFonts w:cstheme="minorHAnsi"/>
                <w:b/>
                <w:bCs/>
                <w:color w:val="000000"/>
                <w:sz w:val="20"/>
                <w:szCs w:val="20"/>
              </w:rPr>
            </w:pPr>
            <w:r>
              <w:rPr>
                <w:rFonts w:cstheme="minorHAnsi"/>
                <w:b/>
                <w:bCs/>
                <w:color w:val="000000"/>
                <w:sz w:val="20"/>
                <w:szCs w:val="20"/>
              </w:rPr>
              <w:t>Societal and Economic</w:t>
            </w:r>
            <w:r w:rsidRPr="00CC0373">
              <w:rPr>
                <w:rFonts w:cstheme="minorHAnsi"/>
                <w:b/>
                <w:bCs/>
                <w:color w:val="000000"/>
                <w:sz w:val="20"/>
                <w:szCs w:val="20"/>
              </w:rPr>
              <w:t xml:space="preserve"> Data</w:t>
            </w:r>
          </w:p>
        </w:tc>
      </w:tr>
      <w:tr w:rsidR="00736722" w:rsidTr="00736722" w14:paraId="07D2EAD1" w14:textId="77777777">
        <w:trPr>
          <w:cantSplit/>
          <w:trHeight w:val="1008"/>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CC0373" w:rsidR="00736722" w:rsidP="005E3C11" w:rsidRDefault="00712F00" w14:paraId="5F37655B" w14:textId="1250AF1E">
            <w:pPr>
              <w:spacing w:after="0"/>
              <w:rPr>
                <w:rFonts w:cstheme="minorHAnsi"/>
                <w:color w:val="000000"/>
                <w:sz w:val="20"/>
                <w:szCs w:val="20"/>
              </w:rPr>
            </w:pPr>
            <w:r>
              <w:rPr>
                <w:rFonts w:cstheme="minorHAnsi"/>
                <w:color w:val="000000"/>
                <w:sz w:val="20"/>
                <w:szCs w:val="20"/>
              </w:rPr>
              <w:t xml:space="preserve">Legacy </w:t>
            </w:r>
            <w:r w:rsidR="00736722">
              <w:rPr>
                <w:rFonts w:cstheme="minorHAnsi"/>
                <w:color w:val="000000"/>
                <w:sz w:val="20"/>
                <w:szCs w:val="20"/>
              </w:rPr>
              <w:t>Societal and Economic Data Reports (PSP participants)</w:t>
            </w:r>
          </w:p>
        </w:tc>
        <w:tc>
          <w:tcPr>
            <w:tcW w:w="270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6B383158" w14:textId="77777777">
            <w:pPr>
              <w:spacing w:after="0"/>
              <w:rPr>
                <w:rFonts w:cstheme="minorHAnsi"/>
                <w:color w:val="000000"/>
                <w:sz w:val="20"/>
                <w:szCs w:val="20"/>
              </w:rPr>
            </w:pPr>
            <w:r w:rsidRPr="00CC0373">
              <w:rPr>
                <w:rFonts w:cstheme="minorHAnsi"/>
                <w:color w:val="000000"/>
                <w:sz w:val="20"/>
                <w:szCs w:val="20"/>
              </w:rPr>
              <w:t xml:space="preserve">Business or other for-profit – PSP participants only </w:t>
            </w:r>
          </w:p>
        </w:tc>
        <w:tc>
          <w:tcPr>
            <w:tcW w:w="1440" w:type="dxa"/>
            <w:tcBorders>
              <w:top w:val="nil"/>
              <w:left w:val="nil"/>
              <w:bottom w:val="single" w:color="BFBFBF" w:sz="4" w:space="0"/>
              <w:right w:val="single" w:color="BFBFBF" w:sz="4" w:space="0"/>
            </w:tcBorders>
            <w:shd w:val="clear" w:color="auto" w:fill="auto"/>
            <w:hideMark/>
          </w:tcPr>
          <w:p w:rsidRPr="00CC0373" w:rsidR="00736722" w:rsidP="005E3C11" w:rsidRDefault="00736722" w14:paraId="65C9DC47" w14:textId="77777777">
            <w:pPr>
              <w:spacing w:after="0"/>
              <w:rPr>
                <w:rFonts w:cstheme="minorHAnsi"/>
                <w:color w:val="000000"/>
                <w:sz w:val="20"/>
                <w:szCs w:val="20"/>
              </w:rPr>
            </w:pPr>
            <w:r>
              <w:rPr>
                <w:rFonts w:cstheme="minorHAnsi"/>
                <w:color w:val="000000"/>
                <w:sz w:val="20"/>
                <w:szCs w:val="20"/>
              </w:rPr>
              <w:t>Quarterly</w:t>
            </w:r>
          </w:p>
        </w:tc>
        <w:tc>
          <w:tcPr>
            <w:tcW w:w="135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0C146B6F" w14:textId="77777777">
            <w:pPr>
              <w:spacing w:after="0"/>
              <w:jc w:val="right"/>
              <w:rPr>
                <w:rFonts w:cstheme="minorHAnsi"/>
                <w:color w:val="000000"/>
                <w:sz w:val="20"/>
                <w:szCs w:val="20"/>
              </w:rPr>
            </w:pPr>
            <w:r>
              <w:rPr>
                <w:rFonts w:cstheme="minorHAnsi"/>
                <w:color w:val="000000"/>
                <w:sz w:val="20"/>
                <w:szCs w:val="20"/>
              </w:rPr>
              <w:t>7.00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36722" w14:paraId="066A3A6C" w14:textId="77777777">
            <w:pPr>
              <w:spacing w:after="0"/>
              <w:jc w:val="right"/>
              <w:rPr>
                <w:rFonts w:cstheme="minorHAnsi"/>
                <w:color w:val="000000"/>
                <w:sz w:val="20"/>
                <w:szCs w:val="20"/>
              </w:rPr>
            </w:pPr>
            <w:r>
              <w:rPr>
                <w:rFonts w:cstheme="minorHAnsi"/>
                <w:color w:val="000000"/>
                <w:sz w:val="20"/>
                <w:szCs w:val="20"/>
              </w:rPr>
              <w:t>28.00</w:t>
            </w:r>
          </w:p>
        </w:tc>
        <w:tc>
          <w:tcPr>
            <w:tcW w:w="1170" w:type="dxa"/>
            <w:tcBorders>
              <w:top w:val="nil"/>
              <w:left w:val="nil"/>
              <w:bottom w:val="single" w:color="BFBFBF" w:sz="4" w:space="0"/>
              <w:right w:val="single" w:color="BFBFBF" w:sz="4" w:space="0"/>
            </w:tcBorders>
            <w:shd w:val="clear" w:color="auto" w:fill="auto"/>
            <w:noWrap/>
            <w:hideMark/>
          </w:tcPr>
          <w:p w:rsidRPr="00CC0373" w:rsidR="00736722" w:rsidP="005E3C11" w:rsidRDefault="00712F00" w14:paraId="34500472" w14:textId="1D5A88A7">
            <w:pPr>
              <w:spacing w:after="0"/>
              <w:jc w:val="right"/>
              <w:rPr>
                <w:rFonts w:cstheme="minorHAnsi"/>
                <w:color w:val="000000"/>
                <w:sz w:val="20"/>
                <w:szCs w:val="20"/>
              </w:rPr>
            </w:pPr>
            <w:r>
              <w:rPr>
                <w:rFonts w:cstheme="minorHAnsi"/>
                <w:color w:val="000000"/>
                <w:sz w:val="20"/>
                <w:szCs w:val="20"/>
              </w:rPr>
              <w:t>1</w:t>
            </w:r>
            <w:r w:rsidR="00736722">
              <w:rPr>
                <w:rFonts w:cstheme="minorHAnsi"/>
                <w:color w:val="000000"/>
                <w:sz w:val="20"/>
                <w:szCs w:val="20"/>
              </w:rPr>
              <w:t>.00</w:t>
            </w:r>
          </w:p>
        </w:tc>
        <w:tc>
          <w:tcPr>
            <w:tcW w:w="1175" w:type="dxa"/>
            <w:tcBorders>
              <w:top w:val="nil"/>
              <w:left w:val="nil"/>
              <w:bottom w:val="single" w:color="BFBFBF" w:sz="4" w:space="0"/>
              <w:right w:val="single" w:color="BFBFBF" w:sz="4" w:space="0"/>
            </w:tcBorders>
            <w:shd w:val="clear" w:color="auto" w:fill="auto"/>
            <w:noWrap/>
            <w:hideMark/>
          </w:tcPr>
          <w:p w:rsidRPr="00CC0373" w:rsidR="00736722" w:rsidP="005E3C11" w:rsidRDefault="00712F00" w14:paraId="7CC760A1" w14:textId="35393B65">
            <w:pPr>
              <w:spacing w:after="0"/>
              <w:jc w:val="right"/>
              <w:rPr>
                <w:rFonts w:cstheme="minorHAnsi"/>
                <w:color w:val="000000"/>
                <w:sz w:val="20"/>
                <w:szCs w:val="20"/>
              </w:rPr>
            </w:pPr>
            <w:r>
              <w:rPr>
                <w:rFonts w:cstheme="minorHAnsi"/>
                <w:color w:val="000000"/>
                <w:sz w:val="20"/>
                <w:szCs w:val="20"/>
              </w:rPr>
              <w:t>28</w:t>
            </w:r>
            <w:r w:rsidR="00736722">
              <w:rPr>
                <w:rFonts w:cstheme="minorHAnsi"/>
                <w:color w:val="000000"/>
                <w:sz w:val="20"/>
                <w:szCs w:val="20"/>
              </w:rPr>
              <w:t>.00</w:t>
            </w:r>
          </w:p>
        </w:tc>
      </w:tr>
      <w:tr w:rsidR="00712F00" w:rsidTr="00736722" w14:paraId="7937A6CD" w14:textId="77777777">
        <w:trPr>
          <w:cantSplit/>
          <w:trHeight w:val="1008"/>
          <w:jc w:val="center"/>
        </w:trPr>
        <w:tc>
          <w:tcPr>
            <w:tcW w:w="1705" w:type="dxa"/>
            <w:tcBorders>
              <w:top w:val="nil"/>
              <w:left w:val="single" w:color="BFBFBF" w:sz="4" w:space="0"/>
              <w:bottom w:val="single" w:color="BFBFBF" w:sz="4" w:space="0"/>
              <w:right w:val="single" w:color="BFBFBF" w:sz="4" w:space="0"/>
            </w:tcBorders>
            <w:shd w:val="clear" w:color="auto" w:fill="auto"/>
          </w:tcPr>
          <w:p w:rsidR="00712F00" w:rsidP="00712F00" w:rsidRDefault="00712F00" w14:paraId="013B9FC6" w14:textId="1C7E6E7B">
            <w:pPr>
              <w:spacing w:after="0"/>
              <w:rPr>
                <w:rFonts w:cstheme="minorHAnsi"/>
                <w:color w:val="000000"/>
                <w:sz w:val="20"/>
                <w:szCs w:val="20"/>
              </w:rPr>
            </w:pPr>
            <w:r>
              <w:rPr>
                <w:rFonts w:cstheme="minorHAnsi"/>
                <w:color w:val="000000"/>
                <w:sz w:val="20"/>
                <w:szCs w:val="20"/>
              </w:rPr>
              <w:lastRenderedPageBreak/>
              <w:t>UAS Societal and Economic Data Reports (PSP participants)</w:t>
            </w:r>
          </w:p>
        </w:tc>
        <w:tc>
          <w:tcPr>
            <w:tcW w:w="2700" w:type="dxa"/>
            <w:tcBorders>
              <w:top w:val="nil"/>
              <w:left w:val="nil"/>
              <w:bottom w:val="single" w:color="BFBFBF" w:sz="4" w:space="0"/>
              <w:right w:val="single" w:color="BFBFBF" w:sz="4" w:space="0"/>
            </w:tcBorders>
            <w:shd w:val="clear" w:color="auto" w:fill="auto"/>
          </w:tcPr>
          <w:p w:rsidRPr="00CC0373" w:rsidR="00712F00" w:rsidP="00712F00" w:rsidRDefault="00712F00" w14:paraId="676D3270" w14:textId="54487A5B">
            <w:pPr>
              <w:spacing w:after="0"/>
              <w:rPr>
                <w:rFonts w:cstheme="minorHAnsi"/>
                <w:color w:val="000000"/>
                <w:sz w:val="20"/>
                <w:szCs w:val="20"/>
              </w:rPr>
            </w:pPr>
            <w:r w:rsidRPr="00CC0373">
              <w:rPr>
                <w:rFonts w:cstheme="minorHAnsi"/>
                <w:color w:val="000000"/>
                <w:sz w:val="20"/>
                <w:szCs w:val="20"/>
              </w:rPr>
              <w:t xml:space="preserve">Business or other for-profit – PSP participants only </w:t>
            </w:r>
          </w:p>
        </w:tc>
        <w:tc>
          <w:tcPr>
            <w:tcW w:w="1440" w:type="dxa"/>
            <w:tcBorders>
              <w:top w:val="nil"/>
              <w:left w:val="nil"/>
              <w:bottom w:val="single" w:color="BFBFBF" w:sz="4" w:space="0"/>
              <w:right w:val="single" w:color="BFBFBF" w:sz="4" w:space="0"/>
            </w:tcBorders>
            <w:shd w:val="clear" w:color="auto" w:fill="auto"/>
          </w:tcPr>
          <w:p w:rsidR="00712F00" w:rsidP="00712F00" w:rsidRDefault="00712F00" w14:paraId="6334E5C7" w14:textId="7B8AD5B6">
            <w:pPr>
              <w:spacing w:after="0"/>
              <w:rPr>
                <w:rFonts w:cstheme="minorHAnsi"/>
                <w:color w:val="000000"/>
                <w:sz w:val="20"/>
                <w:szCs w:val="20"/>
              </w:rPr>
            </w:pPr>
            <w:r>
              <w:rPr>
                <w:rFonts w:cstheme="minorHAnsi"/>
                <w:color w:val="000000"/>
                <w:sz w:val="20"/>
                <w:szCs w:val="20"/>
              </w:rPr>
              <w:t>Quarterly</w:t>
            </w:r>
          </w:p>
        </w:tc>
        <w:tc>
          <w:tcPr>
            <w:tcW w:w="1350" w:type="dxa"/>
            <w:tcBorders>
              <w:top w:val="nil"/>
              <w:left w:val="nil"/>
              <w:bottom w:val="single" w:color="BFBFBF" w:sz="4" w:space="0"/>
              <w:right w:val="single" w:color="BFBFBF" w:sz="4" w:space="0"/>
            </w:tcBorders>
            <w:shd w:val="clear" w:color="auto" w:fill="auto"/>
            <w:noWrap/>
          </w:tcPr>
          <w:p w:rsidR="00712F00" w:rsidP="00712F00" w:rsidRDefault="00712F00" w14:paraId="7F5FE898" w14:textId="1835B376">
            <w:pPr>
              <w:spacing w:after="0"/>
              <w:jc w:val="right"/>
              <w:rPr>
                <w:rFonts w:cstheme="minorHAnsi"/>
                <w:color w:val="000000"/>
                <w:sz w:val="20"/>
                <w:szCs w:val="20"/>
              </w:rPr>
            </w:pPr>
            <w:r>
              <w:rPr>
                <w:rFonts w:cstheme="minorHAnsi"/>
                <w:color w:val="000000"/>
                <w:sz w:val="20"/>
                <w:szCs w:val="20"/>
              </w:rPr>
              <w:t>7.00</w:t>
            </w:r>
          </w:p>
        </w:tc>
        <w:tc>
          <w:tcPr>
            <w:tcW w:w="1170" w:type="dxa"/>
            <w:tcBorders>
              <w:top w:val="nil"/>
              <w:left w:val="nil"/>
              <w:bottom w:val="single" w:color="BFBFBF" w:sz="4" w:space="0"/>
              <w:right w:val="single" w:color="BFBFBF" w:sz="4" w:space="0"/>
            </w:tcBorders>
            <w:shd w:val="clear" w:color="auto" w:fill="auto"/>
            <w:noWrap/>
          </w:tcPr>
          <w:p w:rsidR="00712F00" w:rsidP="00712F00" w:rsidRDefault="00712F00" w14:paraId="1D6AFF3D" w14:textId="5F327195">
            <w:pPr>
              <w:spacing w:after="0"/>
              <w:jc w:val="right"/>
              <w:rPr>
                <w:rFonts w:cstheme="minorHAnsi"/>
                <w:color w:val="000000"/>
                <w:sz w:val="20"/>
                <w:szCs w:val="20"/>
              </w:rPr>
            </w:pPr>
            <w:r>
              <w:rPr>
                <w:rFonts w:cstheme="minorHAnsi"/>
                <w:color w:val="000000"/>
                <w:sz w:val="20"/>
                <w:szCs w:val="20"/>
              </w:rPr>
              <w:t>28.00</w:t>
            </w:r>
          </w:p>
        </w:tc>
        <w:tc>
          <w:tcPr>
            <w:tcW w:w="1170" w:type="dxa"/>
            <w:tcBorders>
              <w:top w:val="nil"/>
              <w:left w:val="nil"/>
              <w:bottom w:val="single" w:color="BFBFBF" w:sz="4" w:space="0"/>
              <w:right w:val="single" w:color="BFBFBF" w:sz="4" w:space="0"/>
            </w:tcBorders>
            <w:shd w:val="clear" w:color="auto" w:fill="auto"/>
            <w:noWrap/>
          </w:tcPr>
          <w:p w:rsidR="00712F00" w:rsidP="00712F00" w:rsidRDefault="00712F00" w14:paraId="2CCE8FEB" w14:textId="36F50503">
            <w:pPr>
              <w:spacing w:after="0"/>
              <w:jc w:val="right"/>
              <w:rPr>
                <w:rFonts w:cstheme="minorHAnsi"/>
                <w:color w:val="000000"/>
                <w:sz w:val="20"/>
                <w:szCs w:val="20"/>
              </w:rPr>
            </w:pPr>
            <w:r>
              <w:rPr>
                <w:rFonts w:cstheme="minorHAnsi"/>
                <w:color w:val="000000"/>
                <w:sz w:val="20"/>
                <w:szCs w:val="20"/>
              </w:rPr>
              <w:t>1.00</w:t>
            </w:r>
          </w:p>
        </w:tc>
        <w:tc>
          <w:tcPr>
            <w:tcW w:w="1175" w:type="dxa"/>
            <w:tcBorders>
              <w:top w:val="nil"/>
              <w:left w:val="nil"/>
              <w:bottom w:val="single" w:color="BFBFBF" w:sz="4" w:space="0"/>
              <w:right w:val="single" w:color="BFBFBF" w:sz="4" w:space="0"/>
            </w:tcBorders>
            <w:shd w:val="clear" w:color="auto" w:fill="auto"/>
            <w:noWrap/>
          </w:tcPr>
          <w:p w:rsidR="00712F00" w:rsidP="00712F00" w:rsidRDefault="00712F00" w14:paraId="0B73EC29" w14:textId="0C84ECEA">
            <w:pPr>
              <w:spacing w:after="0"/>
              <w:jc w:val="right"/>
              <w:rPr>
                <w:rFonts w:cstheme="minorHAnsi"/>
                <w:color w:val="000000"/>
                <w:sz w:val="20"/>
                <w:szCs w:val="20"/>
              </w:rPr>
            </w:pPr>
            <w:r>
              <w:rPr>
                <w:rFonts w:cstheme="minorHAnsi"/>
                <w:color w:val="000000"/>
                <w:sz w:val="20"/>
                <w:szCs w:val="20"/>
              </w:rPr>
              <w:t>28.00</w:t>
            </w:r>
          </w:p>
        </w:tc>
      </w:tr>
      <w:tr w:rsidR="00712F00" w:rsidTr="00736722" w14:paraId="1699D2F1" w14:textId="77777777">
        <w:trPr>
          <w:cantSplit/>
          <w:trHeight w:val="1008"/>
          <w:jc w:val="center"/>
        </w:trPr>
        <w:tc>
          <w:tcPr>
            <w:tcW w:w="1705" w:type="dxa"/>
            <w:tcBorders>
              <w:top w:val="nil"/>
              <w:left w:val="single" w:color="BFBFBF" w:sz="4" w:space="0"/>
              <w:bottom w:val="single" w:color="BFBFBF" w:sz="4" w:space="0"/>
              <w:right w:val="single" w:color="BFBFBF" w:sz="4" w:space="0"/>
            </w:tcBorders>
            <w:shd w:val="clear" w:color="auto" w:fill="auto"/>
          </w:tcPr>
          <w:p w:rsidR="00712F00" w:rsidP="00712F00" w:rsidRDefault="00712F00" w14:paraId="4186FDD0" w14:textId="44E211D1">
            <w:pPr>
              <w:spacing w:after="0"/>
              <w:rPr>
                <w:rFonts w:cstheme="minorHAnsi"/>
                <w:color w:val="000000"/>
                <w:sz w:val="20"/>
                <w:szCs w:val="20"/>
              </w:rPr>
            </w:pPr>
            <w:r>
              <w:rPr>
                <w:rFonts w:cstheme="minorHAnsi"/>
                <w:color w:val="000000"/>
                <w:sz w:val="20"/>
                <w:szCs w:val="20"/>
              </w:rPr>
              <w:t>Legacy Societal and Economic Data Reports (BEYOND participants)</w:t>
            </w:r>
          </w:p>
        </w:tc>
        <w:tc>
          <w:tcPr>
            <w:tcW w:w="2700" w:type="dxa"/>
            <w:tcBorders>
              <w:top w:val="nil"/>
              <w:left w:val="nil"/>
              <w:bottom w:val="single" w:color="BFBFBF" w:sz="4" w:space="0"/>
              <w:right w:val="single" w:color="BFBFBF" w:sz="4" w:space="0"/>
            </w:tcBorders>
            <w:shd w:val="clear" w:color="auto" w:fill="auto"/>
          </w:tcPr>
          <w:p w:rsidRPr="00CC0373" w:rsidR="00712F00" w:rsidP="00712F00" w:rsidRDefault="00712F00" w14:paraId="72C3DCA4" w14:textId="77777777">
            <w:pPr>
              <w:spacing w:after="0"/>
              <w:rPr>
                <w:rFonts w:cstheme="minorHAnsi"/>
                <w:color w:val="000000"/>
                <w:sz w:val="20"/>
                <w:szCs w:val="20"/>
              </w:rPr>
            </w:pPr>
            <w:r w:rsidRPr="00CC0373">
              <w:rPr>
                <w:rFonts w:cstheme="minorHAnsi"/>
                <w:color w:val="000000"/>
                <w:sz w:val="20"/>
                <w:szCs w:val="20"/>
              </w:rPr>
              <w:t>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CC0373" w:rsidR="00712F00" w:rsidP="00712F00" w:rsidRDefault="00712F00" w14:paraId="5EF475BD" w14:textId="77777777">
            <w:pPr>
              <w:spacing w:after="0"/>
              <w:rPr>
                <w:rFonts w:cstheme="minorHAnsi"/>
                <w:color w:val="000000"/>
                <w:sz w:val="20"/>
                <w:szCs w:val="20"/>
              </w:rPr>
            </w:pPr>
            <w:r>
              <w:rPr>
                <w:rFonts w:cstheme="minorHAnsi"/>
                <w:color w:val="000000"/>
                <w:sz w:val="20"/>
                <w:szCs w:val="20"/>
              </w:rPr>
              <w:t>Semi-Annually</w:t>
            </w:r>
          </w:p>
        </w:tc>
        <w:tc>
          <w:tcPr>
            <w:tcW w:w="135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6355BEBB" w14:textId="77777777">
            <w:pPr>
              <w:spacing w:after="0"/>
              <w:jc w:val="right"/>
              <w:rPr>
                <w:rFonts w:cstheme="minorHAnsi"/>
                <w:color w:val="000000"/>
                <w:sz w:val="20"/>
                <w:szCs w:val="20"/>
              </w:rPr>
            </w:pPr>
            <w:r>
              <w:rPr>
                <w:rFonts w:cstheme="minorHAnsi"/>
                <w:color w:val="000000"/>
                <w:sz w:val="20"/>
                <w:szCs w:val="20"/>
              </w:rPr>
              <w:t>8.00</w:t>
            </w:r>
          </w:p>
        </w:tc>
        <w:tc>
          <w:tcPr>
            <w:tcW w:w="117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6B82FB6D" w14:textId="77777777">
            <w:pPr>
              <w:spacing w:after="0"/>
              <w:jc w:val="right"/>
              <w:rPr>
                <w:rFonts w:cstheme="minorHAnsi"/>
                <w:color w:val="000000"/>
                <w:sz w:val="20"/>
                <w:szCs w:val="20"/>
              </w:rPr>
            </w:pPr>
            <w:r>
              <w:rPr>
                <w:rFonts w:cstheme="minorHAnsi"/>
                <w:color w:val="000000"/>
                <w:sz w:val="20"/>
                <w:szCs w:val="20"/>
              </w:rPr>
              <w:t>16.00</w:t>
            </w:r>
          </w:p>
        </w:tc>
        <w:tc>
          <w:tcPr>
            <w:tcW w:w="117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1AF4693B" w14:textId="6FA86B87">
            <w:pPr>
              <w:spacing w:after="0"/>
              <w:jc w:val="right"/>
              <w:rPr>
                <w:rFonts w:cstheme="minorHAnsi"/>
                <w:color w:val="000000"/>
                <w:sz w:val="20"/>
                <w:szCs w:val="20"/>
              </w:rPr>
            </w:pPr>
            <w:r>
              <w:rPr>
                <w:rFonts w:cstheme="minorHAnsi"/>
                <w:color w:val="000000"/>
                <w:sz w:val="20"/>
                <w:szCs w:val="20"/>
              </w:rPr>
              <w:t>1.00</w:t>
            </w:r>
          </w:p>
        </w:tc>
        <w:tc>
          <w:tcPr>
            <w:tcW w:w="1175" w:type="dxa"/>
            <w:tcBorders>
              <w:top w:val="nil"/>
              <w:left w:val="nil"/>
              <w:bottom w:val="single" w:color="BFBFBF" w:sz="4" w:space="0"/>
              <w:right w:val="single" w:color="BFBFBF" w:sz="4" w:space="0"/>
            </w:tcBorders>
            <w:shd w:val="clear" w:color="auto" w:fill="auto"/>
            <w:noWrap/>
          </w:tcPr>
          <w:p w:rsidRPr="00CC0373" w:rsidR="00712F00" w:rsidP="00712F00" w:rsidRDefault="00712F00" w14:paraId="2D75ADD0" w14:textId="2B321214">
            <w:pPr>
              <w:spacing w:after="0"/>
              <w:jc w:val="right"/>
              <w:rPr>
                <w:rFonts w:cstheme="minorHAnsi"/>
                <w:color w:val="000000"/>
                <w:sz w:val="20"/>
                <w:szCs w:val="20"/>
              </w:rPr>
            </w:pPr>
            <w:r>
              <w:rPr>
                <w:rFonts w:cstheme="minorHAnsi"/>
                <w:color w:val="000000"/>
                <w:sz w:val="20"/>
                <w:szCs w:val="20"/>
              </w:rPr>
              <w:t>16.00</w:t>
            </w:r>
          </w:p>
        </w:tc>
      </w:tr>
      <w:tr w:rsidR="00712F00" w:rsidTr="00736722" w14:paraId="016E8CE6" w14:textId="77777777">
        <w:trPr>
          <w:cantSplit/>
          <w:trHeight w:val="1008"/>
          <w:jc w:val="center"/>
        </w:trPr>
        <w:tc>
          <w:tcPr>
            <w:tcW w:w="1705" w:type="dxa"/>
            <w:tcBorders>
              <w:top w:val="nil"/>
              <w:left w:val="single" w:color="BFBFBF" w:sz="4" w:space="0"/>
              <w:bottom w:val="single" w:color="BFBFBF" w:sz="4" w:space="0"/>
              <w:right w:val="single" w:color="BFBFBF" w:sz="4" w:space="0"/>
            </w:tcBorders>
            <w:shd w:val="clear" w:color="auto" w:fill="auto"/>
          </w:tcPr>
          <w:p w:rsidR="00712F00" w:rsidP="00712F00" w:rsidRDefault="00712F00" w14:paraId="7DE5D9FE" w14:textId="422F62D2">
            <w:pPr>
              <w:spacing w:after="0"/>
              <w:rPr>
                <w:rFonts w:cstheme="minorHAnsi"/>
                <w:color w:val="000000"/>
                <w:sz w:val="20"/>
                <w:szCs w:val="20"/>
              </w:rPr>
            </w:pPr>
            <w:r>
              <w:rPr>
                <w:rFonts w:cstheme="minorHAnsi"/>
                <w:color w:val="000000"/>
                <w:sz w:val="20"/>
                <w:szCs w:val="20"/>
              </w:rPr>
              <w:t>UAS Societal and Economic Data Reports (BEYOND participants)</w:t>
            </w:r>
          </w:p>
        </w:tc>
        <w:tc>
          <w:tcPr>
            <w:tcW w:w="2700" w:type="dxa"/>
            <w:tcBorders>
              <w:top w:val="nil"/>
              <w:left w:val="nil"/>
              <w:bottom w:val="single" w:color="BFBFBF" w:sz="4" w:space="0"/>
              <w:right w:val="single" w:color="BFBFBF" w:sz="4" w:space="0"/>
            </w:tcBorders>
            <w:shd w:val="clear" w:color="auto" w:fill="auto"/>
          </w:tcPr>
          <w:p w:rsidRPr="00CC0373" w:rsidR="00712F00" w:rsidP="00712F00" w:rsidRDefault="00712F00" w14:paraId="75E8D61D" w14:textId="42BC43C5">
            <w:pPr>
              <w:spacing w:after="0"/>
              <w:rPr>
                <w:rFonts w:cstheme="minorHAnsi"/>
                <w:color w:val="000000"/>
                <w:sz w:val="20"/>
                <w:szCs w:val="20"/>
              </w:rPr>
            </w:pPr>
            <w:r w:rsidRPr="00CC0373">
              <w:rPr>
                <w:rFonts w:cstheme="minorHAnsi"/>
                <w:color w:val="000000"/>
                <w:sz w:val="20"/>
                <w:szCs w:val="20"/>
              </w:rPr>
              <w:t>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00712F00" w:rsidP="00712F00" w:rsidRDefault="00712F00" w14:paraId="006B05A8" w14:textId="4B80C2B1">
            <w:pPr>
              <w:spacing w:after="0"/>
              <w:rPr>
                <w:rFonts w:cstheme="minorHAnsi"/>
                <w:color w:val="000000"/>
                <w:sz w:val="20"/>
                <w:szCs w:val="20"/>
              </w:rPr>
            </w:pPr>
            <w:r>
              <w:rPr>
                <w:rFonts w:cstheme="minorHAnsi"/>
                <w:color w:val="000000"/>
                <w:sz w:val="20"/>
                <w:szCs w:val="20"/>
              </w:rPr>
              <w:t>Semi-Annually</w:t>
            </w:r>
          </w:p>
        </w:tc>
        <w:tc>
          <w:tcPr>
            <w:tcW w:w="1350" w:type="dxa"/>
            <w:tcBorders>
              <w:top w:val="nil"/>
              <w:left w:val="nil"/>
              <w:bottom w:val="single" w:color="BFBFBF" w:sz="4" w:space="0"/>
              <w:right w:val="single" w:color="BFBFBF" w:sz="4" w:space="0"/>
            </w:tcBorders>
            <w:shd w:val="clear" w:color="auto" w:fill="auto"/>
            <w:noWrap/>
          </w:tcPr>
          <w:p w:rsidR="00712F00" w:rsidP="00712F00" w:rsidRDefault="00712F00" w14:paraId="24C4BFE5" w14:textId="25B9F03F">
            <w:pPr>
              <w:spacing w:after="0"/>
              <w:jc w:val="right"/>
              <w:rPr>
                <w:rFonts w:cstheme="minorHAnsi"/>
                <w:color w:val="000000"/>
                <w:sz w:val="20"/>
                <w:szCs w:val="20"/>
              </w:rPr>
            </w:pPr>
            <w:r>
              <w:rPr>
                <w:rFonts w:cstheme="minorHAnsi"/>
                <w:color w:val="000000"/>
                <w:sz w:val="20"/>
                <w:szCs w:val="20"/>
              </w:rPr>
              <w:t>8.00</w:t>
            </w:r>
          </w:p>
        </w:tc>
        <w:tc>
          <w:tcPr>
            <w:tcW w:w="1170" w:type="dxa"/>
            <w:tcBorders>
              <w:top w:val="nil"/>
              <w:left w:val="nil"/>
              <w:bottom w:val="single" w:color="BFBFBF" w:sz="4" w:space="0"/>
              <w:right w:val="single" w:color="BFBFBF" w:sz="4" w:space="0"/>
            </w:tcBorders>
            <w:shd w:val="clear" w:color="auto" w:fill="auto"/>
            <w:noWrap/>
          </w:tcPr>
          <w:p w:rsidR="00712F00" w:rsidP="00712F00" w:rsidRDefault="00712F00" w14:paraId="2B028112" w14:textId="69426299">
            <w:pPr>
              <w:spacing w:after="0"/>
              <w:jc w:val="right"/>
              <w:rPr>
                <w:rFonts w:cstheme="minorHAnsi"/>
                <w:color w:val="000000"/>
                <w:sz w:val="20"/>
                <w:szCs w:val="20"/>
              </w:rPr>
            </w:pPr>
            <w:r>
              <w:rPr>
                <w:rFonts w:cstheme="minorHAnsi"/>
                <w:color w:val="000000"/>
                <w:sz w:val="20"/>
                <w:szCs w:val="20"/>
              </w:rPr>
              <w:t>16.00</w:t>
            </w:r>
          </w:p>
        </w:tc>
        <w:tc>
          <w:tcPr>
            <w:tcW w:w="1170" w:type="dxa"/>
            <w:tcBorders>
              <w:top w:val="nil"/>
              <w:left w:val="nil"/>
              <w:bottom w:val="single" w:color="BFBFBF" w:sz="4" w:space="0"/>
              <w:right w:val="single" w:color="BFBFBF" w:sz="4" w:space="0"/>
            </w:tcBorders>
            <w:shd w:val="clear" w:color="auto" w:fill="auto"/>
            <w:noWrap/>
          </w:tcPr>
          <w:p w:rsidR="00712F00" w:rsidP="00712F00" w:rsidRDefault="00712F00" w14:paraId="1A1E5C75" w14:textId="57C44A54">
            <w:pPr>
              <w:spacing w:after="0"/>
              <w:jc w:val="right"/>
              <w:rPr>
                <w:rFonts w:cstheme="minorHAnsi"/>
                <w:color w:val="000000"/>
                <w:sz w:val="20"/>
                <w:szCs w:val="20"/>
              </w:rPr>
            </w:pPr>
            <w:r>
              <w:rPr>
                <w:rFonts w:cstheme="minorHAnsi"/>
                <w:color w:val="000000"/>
                <w:sz w:val="20"/>
                <w:szCs w:val="20"/>
              </w:rPr>
              <w:t>1.00</w:t>
            </w:r>
          </w:p>
        </w:tc>
        <w:tc>
          <w:tcPr>
            <w:tcW w:w="1175" w:type="dxa"/>
            <w:tcBorders>
              <w:top w:val="nil"/>
              <w:left w:val="nil"/>
              <w:bottom w:val="single" w:color="BFBFBF" w:sz="4" w:space="0"/>
              <w:right w:val="single" w:color="BFBFBF" w:sz="4" w:space="0"/>
            </w:tcBorders>
            <w:shd w:val="clear" w:color="auto" w:fill="auto"/>
            <w:noWrap/>
          </w:tcPr>
          <w:p w:rsidR="00712F00" w:rsidP="00712F00" w:rsidRDefault="00712F00" w14:paraId="19CDA639" w14:textId="051C3586">
            <w:pPr>
              <w:spacing w:after="0"/>
              <w:jc w:val="right"/>
              <w:rPr>
                <w:rFonts w:cstheme="minorHAnsi"/>
                <w:color w:val="000000"/>
                <w:sz w:val="20"/>
                <w:szCs w:val="20"/>
              </w:rPr>
            </w:pPr>
            <w:r>
              <w:rPr>
                <w:rFonts w:cstheme="minorHAnsi"/>
                <w:color w:val="000000"/>
                <w:sz w:val="20"/>
                <w:szCs w:val="20"/>
              </w:rPr>
              <w:t>16.00</w:t>
            </w:r>
          </w:p>
        </w:tc>
      </w:tr>
      <w:tr w:rsidR="008C48D3" w:rsidTr="008C48D3" w14:paraId="44E77A50" w14:textId="77777777">
        <w:trPr>
          <w:cantSplit/>
          <w:trHeight w:val="274"/>
          <w:jc w:val="center"/>
        </w:trPr>
        <w:tc>
          <w:tcPr>
            <w:tcW w:w="5845" w:type="dxa"/>
            <w:gridSpan w:val="3"/>
            <w:tcBorders>
              <w:top w:val="nil"/>
              <w:left w:val="single" w:color="BFBFBF" w:sz="4" w:space="0"/>
              <w:bottom w:val="single" w:color="BFBFBF" w:sz="4" w:space="0"/>
              <w:right w:val="single" w:color="BFBFBF" w:sz="4" w:space="0"/>
            </w:tcBorders>
            <w:shd w:val="clear" w:color="auto" w:fill="auto"/>
          </w:tcPr>
          <w:p w:rsidR="008C48D3" w:rsidP="00712F00" w:rsidRDefault="008C48D3" w14:paraId="1AAD4E8F" w14:textId="711D3027">
            <w:pPr>
              <w:spacing w:after="0"/>
              <w:rPr>
                <w:rFonts w:cstheme="minorHAnsi"/>
                <w:color w:val="000000"/>
                <w:sz w:val="20"/>
                <w:szCs w:val="20"/>
              </w:rPr>
            </w:pPr>
            <w:r>
              <w:rPr>
                <w:rFonts w:cstheme="minorHAnsi"/>
                <w:color w:val="000000"/>
                <w:sz w:val="20"/>
                <w:szCs w:val="20"/>
              </w:rPr>
              <w:t>Societal and Economic Data Sub-Totals</w:t>
            </w:r>
          </w:p>
        </w:tc>
        <w:tc>
          <w:tcPr>
            <w:tcW w:w="1350" w:type="dxa"/>
            <w:tcBorders>
              <w:top w:val="nil"/>
              <w:left w:val="nil"/>
              <w:bottom w:val="single" w:color="BFBFBF" w:sz="4" w:space="0"/>
              <w:right w:val="single" w:color="BFBFBF" w:sz="4" w:space="0"/>
            </w:tcBorders>
            <w:shd w:val="clear" w:color="auto" w:fill="auto"/>
            <w:noWrap/>
          </w:tcPr>
          <w:p w:rsidR="008C48D3" w:rsidP="00712F00" w:rsidRDefault="008C48D3" w14:paraId="05AB91F4" w14:textId="1D667064">
            <w:pPr>
              <w:spacing w:after="0"/>
              <w:jc w:val="right"/>
              <w:rPr>
                <w:rFonts w:cstheme="minorHAnsi"/>
                <w:color w:val="000000"/>
                <w:sz w:val="20"/>
                <w:szCs w:val="20"/>
              </w:rPr>
            </w:pPr>
            <w:r>
              <w:rPr>
                <w:rFonts w:cstheme="minorHAnsi"/>
                <w:color w:val="000000"/>
                <w:sz w:val="20"/>
                <w:szCs w:val="20"/>
              </w:rPr>
              <w:t>30.00</w:t>
            </w:r>
          </w:p>
        </w:tc>
        <w:tc>
          <w:tcPr>
            <w:tcW w:w="1170" w:type="dxa"/>
            <w:tcBorders>
              <w:top w:val="nil"/>
              <w:left w:val="nil"/>
              <w:bottom w:val="single" w:color="BFBFBF" w:sz="4" w:space="0"/>
              <w:right w:val="single" w:color="BFBFBF" w:sz="4" w:space="0"/>
            </w:tcBorders>
            <w:shd w:val="clear" w:color="auto" w:fill="auto"/>
            <w:noWrap/>
          </w:tcPr>
          <w:p w:rsidR="008C48D3" w:rsidP="00712F00" w:rsidRDefault="008C48D3" w14:paraId="220AF47E" w14:textId="41498E67">
            <w:pPr>
              <w:spacing w:after="0"/>
              <w:jc w:val="right"/>
              <w:rPr>
                <w:rFonts w:cstheme="minorHAnsi"/>
                <w:color w:val="000000"/>
                <w:sz w:val="20"/>
                <w:szCs w:val="20"/>
              </w:rPr>
            </w:pPr>
            <w:r>
              <w:rPr>
                <w:rFonts w:cstheme="minorHAnsi"/>
                <w:color w:val="000000"/>
                <w:sz w:val="20"/>
                <w:szCs w:val="20"/>
              </w:rPr>
              <w:t>88.00</w:t>
            </w:r>
          </w:p>
        </w:tc>
        <w:tc>
          <w:tcPr>
            <w:tcW w:w="1170" w:type="dxa"/>
            <w:tcBorders>
              <w:top w:val="nil"/>
              <w:left w:val="nil"/>
              <w:bottom w:val="single" w:color="BFBFBF" w:sz="4" w:space="0"/>
              <w:right w:val="single" w:color="BFBFBF" w:sz="4" w:space="0"/>
            </w:tcBorders>
            <w:shd w:val="clear" w:color="auto" w:fill="auto"/>
            <w:noWrap/>
          </w:tcPr>
          <w:p w:rsidR="008C48D3" w:rsidP="00712F00" w:rsidRDefault="008C48D3" w14:paraId="195237C1" w14:textId="2387D946">
            <w:pPr>
              <w:spacing w:after="0"/>
              <w:jc w:val="right"/>
              <w:rPr>
                <w:rFonts w:cstheme="minorHAnsi"/>
                <w:color w:val="000000"/>
                <w:sz w:val="20"/>
                <w:szCs w:val="20"/>
              </w:rPr>
            </w:pPr>
            <w:r>
              <w:rPr>
                <w:rFonts w:cstheme="minorHAnsi"/>
                <w:color w:val="000000"/>
                <w:sz w:val="20"/>
                <w:szCs w:val="20"/>
              </w:rPr>
              <w:t>1.00</w:t>
            </w:r>
          </w:p>
        </w:tc>
        <w:tc>
          <w:tcPr>
            <w:tcW w:w="1175" w:type="dxa"/>
            <w:tcBorders>
              <w:top w:val="nil"/>
              <w:left w:val="nil"/>
              <w:bottom w:val="single" w:color="BFBFBF" w:sz="4" w:space="0"/>
              <w:right w:val="single" w:color="BFBFBF" w:sz="4" w:space="0"/>
            </w:tcBorders>
            <w:shd w:val="clear" w:color="auto" w:fill="auto"/>
            <w:noWrap/>
          </w:tcPr>
          <w:p w:rsidR="008C48D3" w:rsidP="00712F00" w:rsidRDefault="008C48D3" w14:paraId="0231A083" w14:textId="170B1134">
            <w:pPr>
              <w:spacing w:after="0"/>
              <w:jc w:val="right"/>
              <w:rPr>
                <w:rFonts w:cstheme="minorHAnsi"/>
                <w:color w:val="000000"/>
                <w:sz w:val="20"/>
                <w:szCs w:val="20"/>
              </w:rPr>
            </w:pPr>
            <w:r>
              <w:rPr>
                <w:rFonts w:cstheme="minorHAnsi"/>
                <w:color w:val="000000"/>
                <w:sz w:val="20"/>
                <w:szCs w:val="20"/>
              </w:rPr>
              <w:t>88.00</w:t>
            </w:r>
          </w:p>
        </w:tc>
      </w:tr>
      <w:tr w:rsidR="00712F00" w:rsidTr="005E3C11" w14:paraId="3799ED79" w14:textId="77777777">
        <w:trPr>
          <w:cantSplit/>
          <w:trHeight w:val="288"/>
          <w:jc w:val="center"/>
        </w:trPr>
        <w:tc>
          <w:tcPr>
            <w:tcW w:w="10710" w:type="dxa"/>
            <w:gridSpan w:val="7"/>
            <w:tcBorders>
              <w:top w:val="nil"/>
              <w:left w:val="single" w:color="BFBFBF" w:sz="4" w:space="0"/>
              <w:bottom w:val="single" w:color="BFBFBF" w:sz="4" w:space="0"/>
              <w:right w:val="single" w:color="BFBFBF" w:sz="4" w:space="0"/>
            </w:tcBorders>
            <w:shd w:val="clear" w:color="000000" w:fill="D9D9D9"/>
          </w:tcPr>
          <w:p w:rsidRPr="00CC0373" w:rsidR="00712F00" w:rsidP="00712F00" w:rsidRDefault="00712F00" w14:paraId="263E1AE1" w14:textId="77777777">
            <w:pPr>
              <w:spacing w:after="0"/>
              <w:rPr>
                <w:rFonts w:cstheme="minorHAnsi"/>
                <w:b/>
                <w:bCs/>
                <w:color w:val="000000"/>
                <w:sz w:val="20"/>
                <w:szCs w:val="20"/>
              </w:rPr>
            </w:pPr>
            <w:r>
              <w:rPr>
                <w:rFonts w:cstheme="minorHAnsi"/>
                <w:b/>
                <w:bCs/>
                <w:color w:val="000000"/>
                <w:sz w:val="20"/>
                <w:szCs w:val="20"/>
              </w:rPr>
              <w:t>Community Engagement</w:t>
            </w:r>
          </w:p>
        </w:tc>
      </w:tr>
      <w:tr w:rsidR="00712F00" w:rsidTr="00736722" w14:paraId="5E998008" w14:textId="77777777">
        <w:trPr>
          <w:cantSplit/>
          <w:trHeight w:val="288"/>
          <w:jc w:val="center"/>
        </w:trPr>
        <w:tc>
          <w:tcPr>
            <w:tcW w:w="1705" w:type="dxa"/>
            <w:tcBorders>
              <w:top w:val="nil"/>
              <w:left w:val="single" w:color="BFBFBF" w:sz="4" w:space="0"/>
              <w:bottom w:val="single" w:color="BFBFBF" w:sz="4" w:space="0"/>
              <w:right w:val="single" w:color="BFBFBF" w:sz="4" w:space="0"/>
            </w:tcBorders>
            <w:shd w:val="clear" w:color="auto" w:fill="auto"/>
          </w:tcPr>
          <w:p w:rsidRPr="002955FA" w:rsidR="00712F00" w:rsidP="00712F00" w:rsidRDefault="00712F00" w14:paraId="27381C97" w14:textId="77777777">
            <w:pPr>
              <w:spacing w:after="0"/>
              <w:rPr>
                <w:rFonts w:cstheme="minorHAnsi"/>
                <w:bCs/>
                <w:color w:val="000000"/>
                <w:sz w:val="20"/>
                <w:szCs w:val="20"/>
              </w:rPr>
            </w:pPr>
            <w:r w:rsidRPr="002955FA">
              <w:rPr>
                <w:rFonts w:cstheme="minorHAnsi"/>
                <w:bCs/>
                <w:color w:val="000000"/>
                <w:sz w:val="20"/>
                <w:szCs w:val="20"/>
              </w:rPr>
              <w:t>Community Engagement Data Reports (PSP participants</w:t>
            </w:r>
            <w:r>
              <w:rPr>
                <w:rFonts w:cstheme="minorHAnsi"/>
                <w:bCs/>
                <w:color w:val="000000"/>
                <w:sz w:val="20"/>
                <w:szCs w:val="20"/>
              </w:rPr>
              <w:t>)</w:t>
            </w:r>
          </w:p>
        </w:tc>
        <w:tc>
          <w:tcPr>
            <w:tcW w:w="2700" w:type="dxa"/>
            <w:tcBorders>
              <w:top w:val="nil"/>
              <w:left w:val="nil"/>
              <w:bottom w:val="single" w:color="BFBFBF" w:sz="4" w:space="0"/>
              <w:right w:val="single" w:color="BFBFBF" w:sz="4" w:space="0"/>
            </w:tcBorders>
            <w:shd w:val="clear" w:color="auto" w:fill="auto"/>
          </w:tcPr>
          <w:p w:rsidRPr="00CC0373" w:rsidR="00712F00" w:rsidP="00712F00" w:rsidRDefault="00712F00" w14:paraId="2EAD9A55" w14:textId="77777777">
            <w:pPr>
              <w:spacing w:after="0"/>
              <w:rPr>
                <w:rFonts w:cstheme="minorHAnsi"/>
                <w:color w:val="000000"/>
                <w:sz w:val="20"/>
                <w:szCs w:val="20"/>
              </w:rPr>
            </w:pPr>
            <w:r w:rsidRPr="00CC0373">
              <w:rPr>
                <w:rFonts w:cstheme="minorHAnsi"/>
                <w:color w:val="000000"/>
                <w:sz w:val="20"/>
                <w:szCs w:val="20"/>
              </w:rPr>
              <w:t xml:space="preserve">Business or other for-profit – PSP participants only </w:t>
            </w:r>
          </w:p>
        </w:tc>
        <w:tc>
          <w:tcPr>
            <w:tcW w:w="1440" w:type="dxa"/>
            <w:tcBorders>
              <w:top w:val="nil"/>
              <w:left w:val="nil"/>
              <w:bottom w:val="single" w:color="BFBFBF" w:sz="4" w:space="0"/>
              <w:right w:val="single" w:color="BFBFBF" w:sz="4" w:space="0"/>
            </w:tcBorders>
            <w:shd w:val="clear" w:color="auto" w:fill="auto"/>
          </w:tcPr>
          <w:p w:rsidRPr="00CC0373" w:rsidR="00712F00" w:rsidP="00712F00" w:rsidRDefault="00712F00" w14:paraId="550681AC" w14:textId="77777777">
            <w:pPr>
              <w:spacing w:after="0"/>
              <w:rPr>
                <w:rFonts w:cstheme="minorHAnsi"/>
                <w:color w:val="000000"/>
                <w:sz w:val="20"/>
                <w:szCs w:val="20"/>
              </w:rPr>
            </w:pPr>
            <w:r>
              <w:rPr>
                <w:rFonts w:cstheme="minorHAnsi"/>
                <w:color w:val="000000"/>
                <w:sz w:val="20"/>
                <w:szCs w:val="20"/>
              </w:rPr>
              <w:t>Quarterly</w:t>
            </w:r>
          </w:p>
        </w:tc>
        <w:tc>
          <w:tcPr>
            <w:tcW w:w="135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75A998AB" w14:textId="77777777">
            <w:pPr>
              <w:spacing w:after="0"/>
              <w:jc w:val="right"/>
              <w:rPr>
                <w:rFonts w:cstheme="minorHAnsi"/>
                <w:color w:val="000000"/>
                <w:sz w:val="20"/>
                <w:szCs w:val="20"/>
              </w:rPr>
            </w:pPr>
            <w:r>
              <w:rPr>
                <w:rFonts w:cstheme="minorHAnsi"/>
                <w:color w:val="000000"/>
                <w:sz w:val="20"/>
                <w:szCs w:val="20"/>
              </w:rPr>
              <w:t>7.00</w:t>
            </w:r>
          </w:p>
        </w:tc>
        <w:tc>
          <w:tcPr>
            <w:tcW w:w="117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0652DBA0" w14:textId="77777777">
            <w:pPr>
              <w:spacing w:after="0"/>
              <w:jc w:val="right"/>
              <w:rPr>
                <w:rFonts w:cstheme="minorHAnsi"/>
                <w:color w:val="000000"/>
                <w:sz w:val="20"/>
                <w:szCs w:val="20"/>
              </w:rPr>
            </w:pPr>
            <w:r>
              <w:rPr>
                <w:rFonts w:cstheme="minorHAnsi"/>
                <w:color w:val="000000"/>
                <w:sz w:val="20"/>
                <w:szCs w:val="20"/>
              </w:rPr>
              <w:t>28.00</w:t>
            </w:r>
          </w:p>
        </w:tc>
        <w:tc>
          <w:tcPr>
            <w:tcW w:w="117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33C03436" w14:textId="77777777">
            <w:pPr>
              <w:spacing w:after="0"/>
              <w:jc w:val="right"/>
              <w:rPr>
                <w:rFonts w:cstheme="minorHAnsi"/>
                <w:color w:val="000000"/>
                <w:sz w:val="20"/>
                <w:szCs w:val="20"/>
              </w:rPr>
            </w:pPr>
            <w:r>
              <w:rPr>
                <w:rFonts w:cstheme="minorHAnsi"/>
                <w:color w:val="000000"/>
                <w:sz w:val="20"/>
                <w:szCs w:val="20"/>
              </w:rPr>
              <w:t>2.00</w:t>
            </w:r>
          </w:p>
        </w:tc>
        <w:tc>
          <w:tcPr>
            <w:tcW w:w="1175" w:type="dxa"/>
            <w:tcBorders>
              <w:top w:val="nil"/>
              <w:left w:val="nil"/>
              <w:bottom w:val="single" w:color="BFBFBF" w:sz="4" w:space="0"/>
              <w:right w:val="single" w:color="BFBFBF" w:sz="4" w:space="0"/>
            </w:tcBorders>
            <w:shd w:val="clear" w:color="auto" w:fill="auto"/>
            <w:noWrap/>
          </w:tcPr>
          <w:p w:rsidRPr="00CC0373" w:rsidR="00712F00" w:rsidP="00712F00" w:rsidRDefault="00712F00" w14:paraId="6F9FC019" w14:textId="77777777">
            <w:pPr>
              <w:spacing w:after="0"/>
              <w:jc w:val="right"/>
              <w:rPr>
                <w:rFonts w:cstheme="minorHAnsi"/>
                <w:color w:val="000000"/>
                <w:sz w:val="20"/>
                <w:szCs w:val="20"/>
              </w:rPr>
            </w:pPr>
            <w:r>
              <w:rPr>
                <w:rFonts w:cstheme="minorHAnsi"/>
                <w:color w:val="000000"/>
                <w:sz w:val="20"/>
                <w:szCs w:val="20"/>
              </w:rPr>
              <w:t>56.00</w:t>
            </w:r>
          </w:p>
        </w:tc>
      </w:tr>
      <w:tr w:rsidR="00712F00" w:rsidTr="00736722" w14:paraId="4CA3B0A4" w14:textId="77777777">
        <w:trPr>
          <w:cantSplit/>
          <w:trHeight w:val="288"/>
          <w:jc w:val="center"/>
        </w:trPr>
        <w:tc>
          <w:tcPr>
            <w:tcW w:w="1705" w:type="dxa"/>
            <w:tcBorders>
              <w:top w:val="nil"/>
              <w:left w:val="single" w:color="BFBFBF" w:sz="4" w:space="0"/>
              <w:bottom w:val="single" w:color="BFBFBF" w:sz="4" w:space="0"/>
              <w:right w:val="single" w:color="BFBFBF" w:sz="4" w:space="0"/>
            </w:tcBorders>
            <w:shd w:val="clear" w:color="auto" w:fill="auto"/>
          </w:tcPr>
          <w:p w:rsidRPr="002955FA" w:rsidR="00712F00" w:rsidP="00712F00" w:rsidRDefault="00712F00" w14:paraId="41D1A3F9" w14:textId="77777777">
            <w:pPr>
              <w:spacing w:after="0"/>
              <w:rPr>
                <w:rFonts w:cstheme="minorHAnsi"/>
                <w:bCs/>
                <w:color w:val="000000"/>
                <w:sz w:val="20"/>
                <w:szCs w:val="20"/>
              </w:rPr>
            </w:pPr>
            <w:r w:rsidRPr="002955FA">
              <w:rPr>
                <w:rFonts w:cstheme="minorHAnsi"/>
                <w:bCs/>
                <w:color w:val="000000"/>
                <w:sz w:val="20"/>
                <w:szCs w:val="20"/>
              </w:rPr>
              <w:t xml:space="preserve">Community Engagement Data Reports </w:t>
            </w:r>
            <w:r>
              <w:rPr>
                <w:rFonts w:cstheme="minorHAnsi"/>
                <w:bCs/>
                <w:color w:val="000000"/>
                <w:sz w:val="20"/>
                <w:szCs w:val="20"/>
              </w:rPr>
              <w:t>(BEYOND</w:t>
            </w:r>
            <w:r w:rsidRPr="002955FA">
              <w:rPr>
                <w:rFonts w:cstheme="minorHAnsi"/>
                <w:bCs/>
                <w:color w:val="000000"/>
                <w:sz w:val="20"/>
                <w:szCs w:val="20"/>
              </w:rPr>
              <w:t xml:space="preserve"> participants</w:t>
            </w:r>
            <w:r>
              <w:rPr>
                <w:rFonts w:cstheme="minorHAnsi"/>
                <w:bCs/>
                <w:color w:val="000000"/>
                <w:sz w:val="20"/>
                <w:szCs w:val="20"/>
              </w:rPr>
              <w:t>)</w:t>
            </w:r>
          </w:p>
        </w:tc>
        <w:tc>
          <w:tcPr>
            <w:tcW w:w="2700" w:type="dxa"/>
            <w:tcBorders>
              <w:top w:val="nil"/>
              <w:left w:val="nil"/>
              <w:bottom w:val="single" w:color="BFBFBF" w:sz="4" w:space="0"/>
              <w:right w:val="single" w:color="BFBFBF" w:sz="4" w:space="0"/>
            </w:tcBorders>
            <w:shd w:val="clear" w:color="auto" w:fill="auto"/>
          </w:tcPr>
          <w:p w:rsidRPr="00CC0373" w:rsidR="00712F00" w:rsidP="00712F00" w:rsidRDefault="00712F00" w14:paraId="228C64F8" w14:textId="77777777">
            <w:pPr>
              <w:spacing w:after="0"/>
              <w:rPr>
                <w:rFonts w:cstheme="minorHAnsi"/>
                <w:color w:val="000000"/>
                <w:sz w:val="20"/>
                <w:szCs w:val="20"/>
              </w:rPr>
            </w:pPr>
            <w:r w:rsidRPr="00CC0373">
              <w:rPr>
                <w:rFonts w:cstheme="minorHAnsi"/>
                <w:color w:val="000000"/>
                <w:sz w:val="20"/>
                <w:szCs w:val="20"/>
              </w:rPr>
              <w:t>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CC0373" w:rsidR="00712F00" w:rsidP="00712F00" w:rsidRDefault="00712F00" w14:paraId="7F0A4BF1" w14:textId="77777777">
            <w:pPr>
              <w:spacing w:after="0"/>
              <w:rPr>
                <w:rFonts w:cstheme="minorHAnsi"/>
                <w:color w:val="000000"/>
                <w:sz w:val="20"/>
                <w:szCs w:val="20"/>
              </w:rPr>
            </w:pPr>
            <w:r>
              <w:rPr>
                <w:rFonts w:cstheme="minorHAnsi"/>
                <w:color w:val="000000"/>
                <w:sz w:val="20"/>
                <w:szCs w:val="20"/>
              </w:rPr>
              <w:t>Semi-Annually</w:t>
            </w:r>
          </w:p>
        </w:tc>
        <w:tc>
          <w:tcPr>
            <w:tcW w:w="135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49105230" w14:textId="77777777">
            <w:pPr>
              <w:spacing w:after="0"/>
              <w:jc w:val="right"/>
              <w:rPr>
                <w:rFonts w:cstheme="minorHAnsi"/>
                <w:color w:val="000000"/>
                <w:sz w:val="20"/>
                <w:szCs w:val="20"/>
              </w:rPr>
            </w:pPr>
            <w:r>
              <w:rPr>
                <w:rFonts w:cstheme="minorHAnsi"/>
                <w:color w:val="000000"/>
                <w:sz w:val="20"/>
                <w:szCs w:val="20"/>
              </w:rPr>
              <w:t>8.00</w:t>
            </w:r>
          </w:p>
        </w:tc>
        <w:tc>
          <w:tcPr>
            <w:tcW w:w="117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122DDC2C" w14:textId="77777777">
            <w:pPr>
              <w:spacing w:after="0"/>
              <w:jc w:val="right"/>
              <w:rPr>
                <w:rFonts w:cstheme="minorHAnsi"/>
                <w:color w:val="000000"/>
                <w:sz w:val="20"/>
                <w:szCs w:val="20"/>
              </w:rPr>
            </w:pPr>
            <w:r>
              <w:rPr>
                <w:rFonts w:cstheme="minorHAnsi"/>
                <w:color w:val="000000"/>
                <w:sz w:val="20"/>
                <w:szCs w:val="20"/>
              </w:rPr>
              <w:t>16.00</w:t>
            </w:r>
          </w:p>
        </w:tc>
        <w:tc>
          <w:tcPr>
            <w:tcW w:w="1170" w:type="dxa"/>
            <w:tcBorders>
              <w:top w:val="nil"/>
              <w:left w:val="nil"/>
              <w:bottom w:val="single" w:color="BFBFBF" w:sz="4" w:space="0"/>
              <w:right w:val="single" w:color="BFBFBF" w:sz="4" w:space="0"/>
            </w:tcBorders>
            <w:shd w:val="clear" w:color="auto" w:fill="auto"/>
            <w:noWrap/>
          </w:tcPr>
          <w:p w:rsidRPr="00CC0373" w:rsidR="00712F00" w:rsidP="00712F00" w:rsidRDefault="00712F00" w14:paraId="04644A92" w14:textId="77777777">
            <w:pPr>
              <w:spacing w:after="0"/>
              <w:jc w:val="right"/>
              <w:rPr>
                <w:rFonts w:cstheme="minorHAnsi"/>
                <w:color w:val="000000"/>
                <w:sz w:val="20"/>
                <w:szCs w:val="20"/>
              </w:rPr>
            </w:pPr>
            <w:r>
              <w:rPr>
                <w:rFonts w:cstheme="minorHAnsi"/>
                <w:color w:val="000000"/>
                <w:sz w:val="20"/>
                <w:szCs w:val="20"/>
              </w:rPr>
              <w:t>2.00</w:t>
            </w:r>
          </w:p>
        </w:tc>
        <w:tc>
          <w:tcPr>
            <w:tcW w:w="1175" w:type="dxa"/>
            <w:tcBorders>
              <w:top w:val="nil"/>
              <w:left w:val="nil"/>
              <w:bottom w:val="single" w:color="BFBFBF" w:sz="4" w:space="0"/>
              <w:right w:val="single" w:color="BFBFBF" w:sz="4" w:space="0"/>
            </w:tcBorders>
            <w:shd w:val="clear" w:color="auto" w:fill="auto"/>
            <w:noWrap/>
          </w:tcPr>
          <w:p w:rsidRPr="00CC0373" w:rsidR="00712F00" w:rsidP="00712F00" w:rsidRDefault="00712F00" w14:paraId="168D7A90" w14:textId="77777777">
            <w:pPr>
              <w:spacing w:after="0"/>
              <w:jc w:val="right"/>
              <w:rPr>
                <w:rFonts w:cstheme="minorHAnsi"/>
                <w:color w:val="000000"/>
                <w:sz w:val="20"/>
                <w:szCs w:val="20"/>
              </w:rPr>
            </w:pPr>
            <w:r>
              <w:rPr>
                <w:rFonts w:cstheme="minorHAnsi"/>
                <w:color w:val="000000"/>
                <w:sz w:val="20"/>
                <w:szCs w:val="20"/>
              </w:rPr>
              <w:t>32.00</w:t>
            </w:r>
          </w:p>
        </w:tc>
      </w:tr>
      <w:tr w:rsidR="00712F00" w:rsidTr="00736722" w14:paraId="0CDF1EB2" w14:textId="77777777">
        <w:trPr>
          <w:cantSplit/>
          <w:trHeight w:val="288"/>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2955FA" w:rsidR="00712F00" w:rsidP="00712F00" w:rsidRDefault="00712F00" w14:paraId="3EBC649C" w14:textId="77777777">
            <w:pPr>
              <w:spacing w:after="0"/>
              <w:rPr>
                <w:rFonts w:cstheme="minorHAnsi"/>
                <w:bCs/>
                <w:color w:val="000000"/>
                <w:sz w:val="20"/>
                <w:szCs w:val="20"/>
              </w:rPr>
            </w:pPr>
            <w:r w:rsidRPr="002955FA">
              <w:rPr>
                <w:rFonts w:cstheme="minorHAnsi"/>
                <w:bCs/>
                <w:color w:val="000000"/>
                <w:sz w:val="20"/>
                <w:szCs w:val="20"/>
              </w:rPr>
              <w:t>Community Engagement Tool (optional)</w:t>
            </w:r>
          </w:p>
        </w:tc>
        <w:tc>
          <w:tcPr>
            <w:tcW w:w="2700" w:type="dxa"/>
            <w:tcBorders>
              <w:top w:val="nil"/>
              <w:left w:val="nil"/>
              <w:bottom w:val="single" w:color="BFBFBF" w:sz="4" w:space="0"/>
              <w:right w:val="single" w:color="BFBFBF" w:sz="4" w:space="0"/>
            </w:tcBorders>
            <w:shd w:val="clear" w:color="auto" w:fill="auto"/>
            <w:hideMark/>
          </w:tcPr>
          <w:p w:rsidRPr="002955FA" w:rsidR="00712F00" w:rsidP="00712F00" w:rsidRDefault="00712F00" w14:paraId="5C6C9720" w14:textId="77777777">
            <w:pPr>
              <w:spacing w:after="0"/>
              <w:rPr>
                <w:rFonts w:cstheme="minorHAnsi"/>
                <w:color w:val="000000"/>
                <w:sz w:val="20"/>
                <w:szCs w:val="20"/>
              </w:rPr>
            </w:pPr>
            <w:r w:rsidRPr="002955FA">
              <w:rPr>
                <w:rFonts w:cstheme="minorHAnsi"/>
                <w:color w:val="000000"/>
                <w:sz w:val="20"/>
                <w:szCs w:val="20"/>
              </w:rPr>
              <w:t>Individuals or Households</w:t>
            </w:r>
          </w:p>
        </w:tc>
        <w:tc>
          <w:tcPr>
            <w:tcW w:w="1440" w:type="dxa"/>
            <w:tcBorders>
              <w:top w:val="nil"/>
              <w:left w:val="nil"/>
              <w:bottom w:val="single" w:color="BFBFBF" w:sz="4" w:space="0"/>
              <w:right w:val="single" w:color="BFBFBF" w:sz="4" w:space="0"/>
            </w:tcBorders>
            <w:shd w:val="clear" w:color="auto" w:fill="auto"/>
            <w:hideMark/>
          </w:tcPr>
          <w:p w:rsidRPr="002955FA" w:rsidR="00712F00" w:rsidP="00712F00" w:rsidRDefault="00712F00" w14:paraId="4CEE9A64" w14:textId="77777777">
            <w:pPr>
              <w:spacing w:after="0"/>
              <w:rPr>
                <w:rFonts w:cstheme="minorHAnsi"/>
                <w:color w:val="000000"/>
                <w:sz w:val="20"/>
                <w:szCs w:val="20"/>
              </w:rPr>
            </w:pPr>
            <w:r w:rsidRPr="002955FA">
              <w:rPr>
                <w:rFonts w:cstheme="minorHAnsi"/>
                <w:color w:val="000000"/>
                <w:sz w:val="20"/>
                <w:szCs w:val="20"/>
              </w:rPr>
              <w:t>On Occasion</w:t>
            </w:r>
          </w:p>
        </w:tc>
        <w:tc>
          <w:tcPr>
            <w:tcW w:w="1350" w:type="dxa"/>
            <w:tcBorders>
              <w:top w:val="nil"/>
              <w:left w:val="nil"/>
              <w:bottom w:val="single" w:color="BFBFBF" w:sz="4" w:space="0"/>
              <w:right w:val="single" w:color="BFBFBF" w:sz="4" w:space="0"/>
            </w:tcBorders>
            <w:shd w:val="clear" w:color="auto" w:fill="auto"/>
            <w:noWrap/>
            <w:hideMark/>
          </w:tcPr>
          <w:p w:rsidRPr="002371CB" w:rsidR="00712F00" w:rsidP="00712F00" w:rsidRDefault="00972F11" w14:paraId="78A5BA27" w14:textId="3AEC62CE">
            <w:pPr>
              <w:spacing w:after="0"/>
              <w:jc w:val="right"/>
              <w:rPr>
                <w:rFonts w:cstheme="minorHAnsi"/>
                <w:color w:val="000000"/>
                <w:sz w:val="20"/>
                <w:szCs w:val="20"/>
              </w:rPr>
            </w:pPr>
            <w:r w:rsidRPr="002371CB">
              <w:rPr>
                <w:rFonts w:cstheme="minorHAnsi"/>
                <w:color w:val="000000"/>
                <w:sz w:val="20"/>
                <w:szCs w:val="20"/>
              </w:rPr>
              <w:t>175,005.00</w:t>
            </w:r>
          </w:p>
        </w:tc>
        <w:tc>
          <w:tcPr>
            <w:tcW w:w="1170" w:type="dxa"/>
            <w:tcBorders>
              <w:top w:val="nil"/>
              <w:left w:val="nil"/>
              <w:bottom w:val="single" w:color="BFBFBF" w:sz="4" w:space="0"/>
              <w:right w:val="single" w:color="BFBFBF" w:sz="4" w:space="0"/>
            </w:tcBorders>
            <w:shd w:val="clear" w:color="auto" w:fill="auto"/>
            <w:noWrap/>
            <w:hideMark/>
          </w:tcPr>
          <w:p w:rsidRPr="002371CB" w:rsidR="00712F00" w:rsidP="00712F00" w:rsidRDefault="00972F11" w14:paraId="08E3637B" w14:textId="19975500">
            <w:pPr>
              <w:spacing w:after="0"/>
              <w:jc w:val="right"/>
              <w:rPr>
                <w:rFonts w:cstheme="minorHAnsi"/>
                <w:color w:val="000000"/>
                <w:sz w:val="20"/>
                <w:szCs w:val="20"/>
              </w:rPr>
            </w:pPr>
            <w:r w:rsidRPr="002371CB">
              <w:rPr>
                <w:rFonts w:cstheme="minorHAnsi"/>
                <w:color w:val="000000"/>
                <w:sz w:val="20"/>
                <w:szCs w:val="20"/>
              </w:rPr>
              <w:t>175,005</w:t>
            </w:r>
            <w:r w:rsidRPr="002371CB" w:rsidR="00712F00">
              <w:rPr>
                <w:rFonts w:cstheme="minorHAnsi"/>
                <w:color w:val="000000"/>
                <w:sz w:val="20"/>
                <w:szCs w:val="20"/>
              </w:rPr>
              <w:t>.00</w:t>
            </w:r>
          </w:p>
        </w:tc>
        <w:tc>
          <w:tcPr>
            <w:tcW w:w="1170" w:type="dxa"/>
            <w:tcBorders>
              <w:top w:val="nil"/>
              <w:left w:val="nil"/>
              <w:bottom w:val="single" w:color="BFBFBF" w:sz="4" w:space="0"/>
              <w:right w:val="single" w:color="BFBFBF" w:sz="4" w:space="0"/>
            </w:tcBorders>
            <w:shd w:val="clear" w:color="auto" w:fill="auto"/>
            <w:noWrap/>
            <w:hideMark/>
          </w:tcPr>
          <w:p w:rsidRPr="002371CB" w:rsidR="00712F00" w:rsidP="00712F00" w:rsidRDefault="008C48D3" w14:paraId="166C1C29" w14:textId="4517E0E5">
            <w:pPr>
              <w:spacing w:after="0"/>
              <w:jc w:val="right"/>
              <w:rPr>
                <w:rFonts w:cstheme="minorHAnsi"/>
                <w:color w:val="000000"/>
                <w:sz w:val="20"/>
                <w:szCs w:val="20"/>
              </w:rPr>
            </w:pPr>
            <w:r>
              <w:rPr>
                <w:rFonts w:cstheme="minorHAnsi"/>
                <w:color w:val="000000"/>
                <w:sz w:val="20"/>
                <w:szCs w:val="20"/>
              </w:rPr>
              <w:t>0.17</w:t>
            </w:r>
          </w:p>
        </w:tc>
        <w:tc>
          <w:tcPr>
            <w:tcW w:w="1175" w:type="dxa"/>
            <w:tcBorders>
              <w:top w:val="nil"/>
              <w:left w:val="nil"/>
              <w:bottom w:val="single" w:color="BFBFBF" w:sz="4" w:space="0"/>
              <w:right w:val="single" w:color="BFBFBF" w:sz="4" w:space="0"/>
            </w:tcBorders>
            <w:shd w:val="clear" w:color="auto" w:fill="auto"/>
            <w:noWrap/>
            <w:hideMark/>
          </w:tcPr>
          <w:p w:rsidRPr="002371CB" w:rsidR="00712F00" w:rsidP="00712F00" w:rsidRDefault="003F7461" w14:paraId="4C810665" w14:textId="0DCEA8C3">
            <w:pPr>
              <w:spacing w:after="0"/>
              <w:jc w:val="right"/>
              <w:rPr>
                <w:rFonts w:cstheme="minorHAnsi"/>
                <w:color w:val="000000"/>
                <w:sz w:val="20"/>
                <w:szCs w:val="20"/>
              </w:rPr>
            </w:pPr>
            <w:r>
              <w:rPr>
                <w:rFonts w:cstheme="minorHAnsi"/>
                <w:color w:val="000000"/>
                <w:sz w:val="20"/>
                <w:szCs w:val="20"/>
              </w:rPr>
              <w:t>29,167</w:t>
            </w:r>
            <w:r w:rsidRPr="002371CB" w:rsidR="00712F00">
              <w:rPr>
                <w:rFonts w:cstheme="minorHAnsi"/>
                <w:color w:val="000000"/>
                <w:sz w:val="20"/>
                <w:szCs w:val="20"/>
              </w:rPr>
              <w:t>.00</w:t>
            </w:r>
          </w:p>
        </w:tc>
      </w:tr>
      <w:tr w:rsidR="008C48D3" w:rsidTr="008C48D3" w14:paraId="0EDBEC96" w14:textId="77777777">
        <w:trPr>
          <w:cantSplit/>
          <w:trHeight w:val="274"/>
          <w:jc w:val="center"/>
        </w:trPr>
        <w:tc>
          <w:tcPr>
            <w:tcW w:w="5845" w:type="dxa"/>
            <w:gridSpan w:val="3"/>
            <w:tcBorders>
              <w:top w:val="nil"/>
              <w:left w:val="single" w:color="BFBFBF" w:sz="4" w:space="0"/>
              <w:bottom w:val="single" w:color="BFBFBF" w:sz="4" w:space="0"/>
              <w:right w:val="single" w:color="BFBFBF" w:sz="4" w:space="0"/>
            </w:tcBorders>
            <w:shd w:val="clear" w:color="auto" w:fill="auto"/>
          </w:tcPr>
          <w:p w:rsidRPr="002955FA" w:rsidR="008C48D3" w:rsidP="00712F00" w:rsidRDefault="008C48D3" w14:paraId="661AC5E6" w14:textId="644C6EB1">
            <w:pPr>
              <w:spacing w:after="0"/>
              <w:rPr>
                <w:rFonts w:cstheme="minorHAnsi"/>
                <w:color w:val="000000"/>
                <w:sz w:val="20"/>
                <w:szCs w:val="20"/>
              </w:rPr>
            </w:pPr>
            <w:r>
              <w:rPr>
                <w:rFonts w:cstheme="minorHAnsi"/>
                <w:color w:val="000000"/>
                <w:sz w:val="20"/>
                <w:szCs w:val="20"/>
              </w:rPr>
              <w:t>Community Engagement Sub-Totals</w:t>
            </w:r>
          </w:p>
        </w:tc>
        <w:tc>
          <w:tcPr>
            <w:tcW w:w="1350" w:type="dxa"/>
            <w:tcBorders>
              <w:top w:val="nil"/>
              <w:left w:val="nil"/>
              <w:bottom w:val="single" w:color="BFBFBF" w:sz="4" w:space="0"/>
              <w:right w:val="single" w:color="BFBFBF" w:sz="4" w:space="0"/>
            </w:tcBorders>
            <w:shd w:val="clear" w:color="auto" w:fill="auto"/>
            <w:noWrap/>
          </w:tcPr>
          <w:p w:rsidRPr="002371CB" w:rsidR="008C48D3" w:rsidP="00712F00" w:rsidRDefault="008C48D3" w14:paraId="2C26F773" w14:textId="7DE54011">
            <w:pPr>
              <w:spacing w:after="0"/>
              <w:jc w:val="right"/>
              <w:rPr>
                <w:rFonts w:cstheme="minorHAnsi"/>
                <w:color w:val="000000"/>
                <w:sz w:val="20"/>
                <w:szCs w:val="20"/>
              </w:rPr>
            </w:pPr>
            <w:r>
              <w:rPr>
                <w:rFonts w:cstheme="minorHAnsi"/>
                <w:color w:val="000000"/>
                <w:sz w:val="20"/>
                <w:szCs w:val="20"/>
              </w:rPr>
              <w:t>175,020.00</w:t>
            </w:r>
          </w:p>
        </w:tc>
        <w:tc>
          <w:tcPr>
            <w:tcW w:w="1170" w:type="dxa"/>
            <w:tcBorders>
              <w:top w:val="nil"/>
              <w:left w:val="nil"/>
              <w:bottom w:val="single" w:color="BFBFBF" w:sz="4" w:space="0"/>
              <w:right w:val="single" w:color="BFBFBF" w:sz="4" w:space="0"/>
            </w:tcBorders>
            <w:shd w:val="clear" w:color="auto" w:fill="auto"/>
            <w:noWrap/>
          </w:tcPr>
          <w:p w:rsidRPr="002371CB" w:rsidR="008C48D3" w:rsidP="00712F00" w:rsidRDefault="008C48D3" w14:paraId="6DEFCA05" w14:textId="6CC7B92D">
            <w:pPr>
              <w:spacing w:after="0"/>
              <w:jc w:val="right"/>
              <w:rPr>
                <w:rFonts w:cstheme="minorHAnsi"/>
                <w:color w:val="000000"/>
                <w:sz w:val="20"/>
                <w:szCs w:val="20"/>
              </w:rPr>
            </w:pPr>
            <w:r>
              <w:rPr>
                <w:rFonts w:cstheme="minorHAnsi"/>
                <w:color w:val="000000"/>
                <w:sz w:val="20"/>
                <w:szCs w:val="20"/>
              </w:rPr>
              <w:t>175,049.00</w:t>
            </w:r>
          </w:p>
        </w:tc>
        <w:tc>
          <w:tcPr>
            <w:tcW w:w="1170" w:type="dxa"/>
            <w:tcBorders>
              <w:top w:val="nil"/>
              <w:left w:val="nil"/>
              <w:bottom w:val="single" w:color="BFBFBF" w:sz="4" w:space="0"/>
              <w:right w:val="single" w:color="BFBFBF" w:sz="4" w:space="0"/>
            </w:tcBorders>
            <w:shd w:val="clear" w:color="auto" w:fill="auto"/>
            <w:noWrap/>
          </w:tcPr>
          <w:p w:rsidRPr="002371CB" w:rsidR="008C48D3" w:rsidP="00712F00" w:rsidRDefault="008C48D3" w14:paraId="23261A74" w14:textId="3027056A">
            <w:pPr>
              <w:spacing w:after="0"/>
              <w:jc w:val="right"/>
              <w:rPr>
                <w:rFonts w:cstheme="minorHAnsi"/>
                <w:color w:val="000000"/>
                <w:sz w:val="20"/>
                <w:szCs w:val="20"/>
              </w:rPr>
            </w:pPr>
            <w:r>
              <w:rPr>
                <w:rFonts w:cstheme="minorHAnsi"/>
                <w:color w:val="000000"/>
                <w:sz w:val="20"/>
                <w:szCs w:val="20"/>
              </w:rPr>
              <w:t>0.17</w:t>
            </w:r>
          </w:p>
        </w:tc>
        <w:tc>
          <w:tcPr>
            <w:tcW w:w="1175" w:type="dxa"/>
            <w:tcBorders>
              <w:top w:val="nil"/>
              <w:left w:val="nil"/>
              <w:bottom w:val="single" w:color="BFBFBF" w:sz="4" w:space="0"/>
              <w:right w:val="single" w:color="BFBFBF" w:sz="4" w:space="0"/>
            </w:tcBorders>
            <w:shd w:val="clear" w:color="auto" w:fill="auto"/>
            <w:noWrap/>
          </w:tcPr>
          <w:p w:rsidR="008C48D3" w:rsidP="00712F00" w:rsidRDefault="008C48D3" w14:paraId="07D198B4" w14:textId="454227A2">
            <w:pPr>
              <w:spacing w:after="0"/>
              <w:jc w:val="right"/>
              <w:rPr>
                <w:rFonts w:cstheme="minorHAnsi"/>
                <w:color w:val="000000"/>
                <w:sz w:val="20"/>
                <w:szCs w:val="20"/>
              </w:rPr>
            </w:pPr>
            <w:r>
              <w:rPr>
                <w:rFonts w:cstheme="minorHAnsi"/>
                <w:color w:val="000000"/>
                <w:sz w:val="20"/>
                <w:szCs w:val="20"/>
              </w:rPr>
              <w:t>29,255.00</w:t>
            </w:r>
          </w:p>
        </w:tc>
      </w:tr>
      <w:tr w:rsidR="00712F00" w:rsidTr="005E3C11" w14:paraId="4206171F" w14:textId="77777777">
        <w:trPr>
          <w:cantSplit/>
          <w:trHeight w:val="144"/>
          <w:jc w:val="center"/>
        </w:trPr>
        <w:tc>
          <w:tcPr>
            <w:tcW w:w="5845" w:type="dxa"/>
            <w:gridSpan w:val="3"/>
            <w:tcBorders>
              <w:top w:val="single" w:color="BFBFBF" w:sz="4" w:space="0"/>
              <w:left w:val="single" w:color="BFBFBF" w:sz="4" w:space="0"/>
              <w:bottom w:val="single" w:color="BFBFBF" w:sz="4" w:space="0"/>
              <w:right w:val="single" w:color="BFBFBF" w:sz="4" w:space="0"/>
            </w:tcBorders>
            <w:shd w:val="clear" w:color="auto" w:fill="auto"/>
            <w:hideMark/>
          </w:tcPr>
          <w:p w:rsidRPr="00CC0373" w:rsidR="00712F00" w:rsidP="00712F00" w:rsidRDefault="00712F00" w14:paraId="66A94982" w14:textId="77777777">
            <w:pPr>
              <w:spacing w:after="0"/>
              <w:jc w:val="right"/>
              <w:rPr>
                <w:rFonts w:cstheme="minorHAnsi"/>
                <w:b/>
                <w:bCs/>
                <w:color w:val="000000"/>
                <w:sz w:val="20"/>
                <w:szCs w:val="20"/>
              </w:rPr>
            </w:pPr>
            <w:r w:rsidRPr="00CC0373">
              <w:rPr>
                <w:rFonts w:cstheme="minorHAnsi"/>
                <w:b/>
                <w:bCs/>
                <w:color w:val="000000"/>
                <w:sz w:val="20"/>
                <w:szCs w:val="20"/>
              </w:rPr>
              <w:t>Totals</w:t>
            </w:r>
          </w:p>
        </w:tc>
        <w:tc>
          <w:tcPr>
            <w:tcW w:w="1350" w:type="dxa"/>
            <w:tcBorders>
              <w:top w:val="nil"/>
              <w:left w:val="nil"/>
              <w:bottom w:val="single" w:color="BFBFBF" w:sz="4" w:space="0"/>
              <w:right w:val="single" w:color="BFBFBF" w:sz="4" w:space="0"/>
            </w:tcBorders>
            <w:shd w:val="clear" w:color="auto" w:fill="auto"/>
            <w:noWrap/>
            <w:hideMark/>
          </w:tcPr>
          <w:p w:rsidRPr="002371CB" w:rsidR="00712F00" w:rsidP="00712F00" w:rsidRDefault="008C48D3" w14:paraId="0775FEEF" w14:textId="57807667">
            <w:pPr>
              <w:spacing w:after="0"/>
              <w:jc w:val="right"/>
              <w:rPr>
                <w:rFonts w:cstheme="minorHAnsi"/>
                <w:b/>
                <w:bCs/>
                <w:color w:val="000000"/>
                <w:sz w:val="20"/>
                <w:szCs w:val="20"/>
              </w:rPr>
            </w:pPr>
            <w:r>
              <w:rPr>
                <w:rFonts w:cstheme="minorHAnsi"/>
                <w:b/>
                <w:bCs/>
                <w:color w:val="000000"/>
                <w:sz w:val="20"/>
                <w:szCs w:val="20"/>
              </w:rPr>
              <w:t>175,163</w:t>
            </w:r>
            <w:r w:rsidRPr="002371CB" w:rsidR="00712F00">
              <w:rPr>
                <w:rFonts w:cstheme="minorHAnsi"/>
                <w:b/>
                <w:bCs/>
                <w:color w:val="000000"/>
                <w:sz w:val="20"/>
                <w:szCs w:val="20"/>
              </w:rPr>
              <w:t>.00</w:t>
            </w:r>
          </w:p>
        </w:tc>
        <w:tc>
          <w:tcPr>
            <w:tcW w:w="1170" w:type="dxa"/>
            <w:tcBorders>
              <w:top w:val="nil"/>
              <w:left w:val="nil"/>
              <w:bottom w:val="single" w:color="BFBFBF" w:sz="4" w:space="0"/>
              <w:right w:val="single" w:color="BFBFBF" w:sz="4" w:space="0"/>
            </w:tcBorders>
            <w:shd w:val="clear" w:color="auto" w:fill="auto"/>
            <w:noWrap/>
            <w:hideMark/>
          </w:tcPr>
          <w:p w:rsidRPr="002371CB" w:rsidR="00712F00" w:rsidP="00712F00" w:rsidRDefault="00972F11" w14:paraId="54C1D038" w14:textId="18BC7D61">
            <w:pPr>
              <w:spacing w:after="0"/>
              <w:jc w:val="right"/>
              <w:rPr>
                <w:rFonts w:cstheme="minorHAnsi"/>
                <w:b/>
                <w:bCs/>
                <w:color w:val="000000"/>
                <w:sz w:val="20"/>
                <w:szCs w:val="20"/>
              </w:rPr>
            </w:pPr>
            <w:r w:rsidRPr="002371CB">
              <w:rPr>
                <w:rFonts w:cstheme="minorHAnsi"/>
                <w:b/>
                <w:bCs/>
                <w:color w:val="000000"/>
                <w:sz w:val="20"/>
                <w:szCs w:val="20"/>
              </w:rPr>
              <w:t>176,088.67</w:t>
            </w:r>
          </w:p>
        </w:tc>
        <w:tc>
          <w:tcPr>
            <w:tcW w:w="1170" w:type="dxa"/>
            <w:tcBorders>
              <w:top w:val="nil"/>
              <w:left w:val="nil"/>
              <w:bottom w:val="single" w:color="BFBFBF" w:sz="4" w:space="0"/>
              <w:right w:val="single" w:color="BFBFBF" w:sz="4" w:space="0"/>
            </w:tcBorders>
            <w:shd w:val="clear" w:color="auto" w:fill="auto"/>
            <w:noWrap/>
            <w:hideMark/>
          </w:tcPr>
          <w:p w:rsidRPr="002371CB" w:rsidR="00712F00" w:rsidRDefault="00712F00" w14:paraId="2A5DD36E" w14:textId="3DDF8658">
            <w:pPr>
              <w:spacing w:after="0"/>
              <w:jc w:val="right"/>
              <w:rPr>
                <w:rFonts w:cstheme="minorHAnsi"/>
                <w:b/>
                <w:bCs/>
                <w:color w:val="000000"/>
                <w:sz w:val="20"/>
                <w:szCs w:val="20"/>
              </w:rPr>
            </w:pPr>
            <w:r w:rsidRPr="002371CB">
              <w:rPr>
                <w:rFonts w:cstheme="minorHAnsi"/>
                <w:b/>
                <w:bCs/>
                <w:color w:val="000000"/>
                <w:sz w:val="20"/>
                <w:szCs w:val="20"/>
              </w:rPr>
              <w:t>0.</w:t>
            </w:r>
            <w:r w:rsidR="002A0E5A">
              <w:rPr>
                <w:rFonts w:cstheme="minorHAnsi"/>
                <w:b/>
                <w:bCs/>
                <w:color w:val="000000"/>
                <w:sz w:val="20"/>
                <w:szCs w:val="20"/>
              </w:rPr>
              <w:t>1</w:t>
            </w:r>
            <w:r w:rsidRPr="002371CB" w:rsidR="00530882">
              <w:rPr>
                <w:rFonts w:cstheme="minorHAnsi"/>
                <w:b/>
                <w:bCs/>
                <w:color w:val="000000"/>
                <w:sz w:val="20"/>
                <w:szCs w:val="20"/>
              </w:rPr>
              <w:t>9</w:t>
            </w:r>
          </w:p>
        </w:tc>
        <w:tc>
          <w:tcPr>
            <w:tcW w:w="1175" w:type="dxa"/>
            <w:tcBorders>
              <w:top w:val="nil"/>
              <w:left w:val="nil"/>
              <w:bottom w:val="single" w:color="BFBFBF" w:sz="4" w:space="0"/>
              <w:right w:val="single" w:color="BFBFBF" w:sz="4" w:space="0"/>
            </w:tcBorders>
            <w:shd w:val="clear" w:color="auto" w:fill="auto"/>
            <w:noWrap/>
            <w:hideMark/>
          </w:tcPr>
          <w:p w:rsidRPr="002371CB" w:rsidR="00712F00" w:rsidP="00712F00" w:rsidRDefault="002A0E5A" w14:paraId="6C84E9B1" w14:textId="3C1E1AF5">
            <w:pPr>
              <w:spacing w:after="0"/>
              <w:jc w:val="right"/>
              <w:rPr>
                <w:rFonts w:cstheme="minorHAnsi"/>
                <w:b/>
                <w:bCs/>
                <w:color w:val="000000"/>
                <w:sz w:val="20"/>
                <w:szCs w:val="20"/>
              </w:rPr>
            </w:pPr>
            <w:r>
              <w:rPr>
                <w:rFonts w:cstheme="minorHAnsi"/>
                <w:b/>
                <w:bCs/>
                <w:color w:val="000000"/>
                <w:sz w:val="20"/>
                <w:szCs w:val="20"/>
              </w:rPr>
              <w:t>33,756.05</w:t>
            </w:r>
          </w:p>
        </w:tc>
      </w:tr>
    </w:tbl>
    <w:p w:rsidR="00736722" w:rsidP="00736722" w:rsidRDefault="00736722" w14:paraId="458F8933" w14:textId="051938D4"/>
    <w:p w:rsidRPr="001B766C" w:rsidR="00972F11" w:rsidP="00736722" w:rsidRDefault="00972F11" w14:paraId="33A5D0B8" w14:textId="5434F341"/>
    <w:p w:rsidRPr="003C7F98" w:rsidR="001B766C" w:rsidP="00C143B2" w:rsidRDefault="003C7F98" w14:paraId="777CB0D1" w14:textId="38927B3F">
      <w:pPr>
        <w:pStyle w:val="Heading2"/>
        <w:numPr>
          <w:ilvl w:val="0"/>
          <w:numId w:val="10"/>
        </w:numPr>
        <w:ind w:left="360"/>
        <w:rPr>
          <w:u w:val="single"/>
        </w:rPr>
      </w:pPr>
      <w:r w:rsidRPr="003C7F98">
        <w:rPr>
          <w:u w:val="single"/>
        </w:rPr>
        <w:t>NARRATIVE REPORTS</w:t>
      </w:r>
    </w:p>
    <w:p w:rsidRPr="003A637E" w:rsidR="00E76F7F" w:rsidP="002371CB" w:rsidRDefault="00E76F7F" w14:paraId="31ADCC39" w14:textId="32408E32">
      <w:pPr>
        <w:pStyle w:val="Heading2"/>
        <w:numPr>
          <w:ilvl w:val="1"/>
          <w:numId w:val="26"/>
        </w:numPr>
        <w:ind w:left="1152" w:hanging="576"/>
      </w:pPr>
      <w:r w:rsidRPr="003A637E">
        <w:t xml:space="preserve">PSP Quarterly </w:t>
      </w:r>
      <w:r w:rsidR="00E44806">
        <w:t>Reports</w:t>
      </w:r>
    </w:p>
    <w:p w:rsidRPr="003A637E" w:rsidR="00B943EE" w:rsidP="00F05DE4" w:rsidRDefault="00B943EE" w14:paraId="27DDCED0" w14:textId="48434937">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The PSP </w:t>
      </w:r>
      <w:r w:rsidR="00E44806">
        <w:rPr>
          <w:rFonts w:ascii="Times New Roman" w:hAnsi="Times New Roman" w:eastAsia="Times New Roman" w:cs="Times New Roman"/>
          <w:sz w:val="24"/>
          <w:szCs w:val="24"/>
        </w:rPr>
        <w:t xml:space="preserve">has </w:t>
      </w:r>
      <w:r w:rsidR="00AF6DD4">
        <w:rPr>
          <w:rFonts w:ascii="Times New Roman" w:hAnsi="Times New Roman" w:eastAsia="Times New Roman" w:cs="Times New Roman"/>
          <w:sz w:val="24"/>
          <w:szCs w:val="24"/>
        </w:rPr>
        <w:t>7</w:t>
      </w:r>
      <w:r w:rsidRPr="003A637E">
        <w:rPr>
          <w:rFonts w:ascii="Times New Roman" w:hAnsi="Times New Roman" w:eastAsia="Times New Roman" w:cs="Times New Roman"/>
          <w:sz w:val="24"/>
          <w:szCs w:val="24"/>
        </w:rPr>
        <w:t xml:space="preserve"> participants</w:t>
      </w:r>
      <w:r w:rsidR="00E44806">
        <w:rPr>
          <w:rFonts w:ascii="Times New Roman" w:hAnsi="Times New Roman" w:eastAsia="Times New Roman" w:cs="Times New Roman"/>
          <w:sz w:val="24"/>
          <w:szCs w:val="24"/>
        </w:rPr>
        <w:t>, which is expected to remain fairly stable</w:t>
      </w:r>
      <w:r w:rsidRPr="003A637E">
        <w:rPr>
          <w:rFonts w:ascii="Times New Roman" w:hAnsi="Times New Roman" w:eastAsia="Times New Roman" w:cs="Times New Roman"/>
          <w:sz w:val="24"/>
          <w:szCs w:val="24"/>
        </w:rPr>
        <w:t xml:space="preserve"> for the duration of the data collection</w:t>
      </w:r>
      <w:r w:rsidRPr="003A637E" w:rsidR="00F33932">
        <w:rPr>
          <w:rFonts w:ascii="Times New Roman" w:hAnsi="Times New Roman" w:eastAsia="Times New Roman" w:cs="Times New Roman"/>
          <w:sz w:val="24"/>
          <w:szCs w:val="24"/>
        </w:rPr>
        <w:t xml:space="preserve"> as participants join and depart</w:t>
      </w:r>
      <w:r w:rsidRPr="003A637E">
        <w:rPr>
          <w:rFonts w:ascii="Times New Roman" w:hAnsi="Times New Roman" w:eastAsia="Times New Roman" w:cs="Times New Roman"/>
          <w:sz w:val="24"/>
          <w:szCs w:val="24"/>
        </w:rPr>
        <w:t xml:space="preserve">. We estimate for each PSP participant, it should take between 40 and 80 hours of work time divided amongst </w:t>
      </w:r>
      <w:r w:rsidRPr="003A637E" w:rsidR="006E0E52">
        <w:rPr>
          <w:rFonts w:ascii="Times New Roman" w:hAnsi="Times New Roman" w:eastAsia="Times New Roman" w:cs="Times New Roman"/>
          <w:sz w:val="24"/>
          <w:szCs w:val="24"/>
        </w:rPr>
        <w:t>its</w:t>
      </w:r>
      <w:r w:rsidRPr="003A637E">
        <w:rPr>
          <w:rFonts w:ascii="Times New Roman" w:hAnsi="Times New Roman" w:eastAsia="Times New Roman" w:cs="Times New Roman"/>
          <w:sz w:val="24"/>
          <w:szCs w:val="24"/>
        </w:rPr>
        <w:t xml:space="preserve"> employees to </w:t>
      </w:r>
      <w:r w:rsidRPr="003A637E" w:rsidR="006E0E52">
        <w:rPr>
          <w:rFonts w:ascii="Times New Roman" w:hAnsi="Times New Roman" w:eastAsia="Times New Roman" w:cs="Times New Roman"/>
          <w:sz w:val="24"/>
          <w:szCs w:val="24"/>
        </w:rPr>
        <w:t>assess the</w:t>
      </w:r>
      <w:r w:rsidRPr="003A637E">
        <w:rPr>
          <w:rFonts w:ascii="Times New Roman" w:hAnsi="Times New Roman" w:eastAsia="Times New Roman" w:cs="Times New Roman"/>
          <w:sz w:val="24"/>
          <w:szCs w:val="24"/>
        </w:rPr>
        <w:t xml:space="preserve"> data</w:t>
      </w:r>
      <w:r w:rsidRPr="003A637E" w:rsidR="007D680F">
        <w:rPr>
          <w:rFonts w:ascii="Times New Roman" w:hAnsi="Times New Roman" w:eastAsia="Times New Roman" w:cs="Times New Roman"/>
          <w:sz w:val="24"/>
          <w:szCs w:val="24"/>
        </w:rPr>
        <w:t>,</w:t>
      </w:r>
      <w:r w:rsidRPr="003A637E">
        <w:rPr>
          <w:rFonts w:ascii="Times New Roman" w:hAnsi="Times New Roman" w:eastAsia="Times New Roman" w:cs="Times New Roman"/>
          <w:sz w:val="24"/>
          <w:szCs w:val="24"/>
        </w:rPr>
        <w:t xml:space="preserve"> develop the report</w:t>
      </w:r>
      <w:r w:rsidRPr="003A637E" w:rsidR="007D680F">
        <w:rPr>
          <w:rFonts w:ascii="Times New Roman" w:hAnsi="Times New Roman" w:eastAsia="Times New Roman" w:cs="Times New Roman"/>
          <w:sz w:val="24"/>
          <w:szCs w:val="24"/>
        </w:rPr>
        <w:t>s, and submit t</w:t>
      </w:r>
      <w:r w:rsidR="00E44806">
        <w:rPr>
          <w:rFonts w:ascii="Times New Roman" w:hAnsi="Times New Roman" w:eastAsia="Times New Roman" w:cs="Times New Roman"/>
          <w:sz w:val="24"/>
          <w:szCs w:val="24"/>
        </w:rPr>
        <w:t>hem</w:t>
      </w:r>
      <w:r w:rsidRPr="003A637E" w:rsidR="007D680F">
        <w:rPr>
          <w:rFonts w:ascii="Times New Roman" w:hAnsi="Times New Roman" w:eastAsia="Times New Roman" w:cs="Times New Roman"/>
          <w:sz w:val="24"/>
          <w:szCs w:val="24"/>
        </w:rPr>
        <w:t xml:space="preserve"> to the FAA</w:t>
      </w:r>
      <w:r w:rsidRPr="003A637E" w:rsidR="006E0E52">
        <w:rPr>
          <w:rFonts w:ascii="Times New Roman" w:hAnsi="Times New Roman" w:eastAsia="Times New Roman" w:cs="Times New Roman"/>
          <w:sz w:val="24"/>
          <w:szCs w:val="24"/>
        </w:rPr>
        <w:t xml:space="preserve">. For the calculation, 80 </w:t>
      </w:r>
      <w:r w:rsidRPr="003A637E" w:rsidR="007D680F">
        <w:rPr>
          <w:rFonts w:ascii="Times New Roman" w:hAnsi="Times New Roman" w:eastAsia="Times New Roman" w:cs="Times New Roman"/>
          <w:sz w:val="24"/>
          <w:szCs w:val="24"/>
        </w:rPr>
        <w:t xml:space="preserve">hours </w:t>
      </w:r>
      <w:r w:rsidRPr="003A637E" w:rsidR="006E0E52">
        <w:rPr>
          <w:rFonts w:ascii="Times New Roman" w:hAnsi="Times New Roman" w:eastAsia="Times New Roman" w:cs="Times New Roman"/>
          <w:sz w:val="24"/>
          <w:szCs w:val="24"/>
        </w:rPr>
        <w:t xml:space="preserve">was used to ensure that the maximum burden was calculated. As these are quarterly </w:t>
      </w:r>
      <w:r w:rsidRPr="003A637E" w:rsidR="007D680F">
        <w:rPr>
          <w:rFonts w:ascii="Times New Roman" w:hAnsi="Times New Roman" w:eastAsia="Times New Roman" w:cs="Times New Roman"/>
          <w:sz w:val="24"/>
          <w:szCs w:val="24"/>
        </w:rPr>
        <w:t>submissions</w:t>
      </w:r>
      <w:r w:rsidRPr="003A637E" w:rsidR="006E0E52">
        <w:rPr>
          <w:rFonts w:ascii="Times New Roman" w:hAnsi="Times New Roman" w:eastAsia="Times New Roman" w:cs="Times New Roman"/>
          <w:sz w:val="24"/>
          <w:szCs w:val="24"/>
        </w:rPr>
        <w:t xml:space="preserve">, each participant should submit 4 reports per year. </w:t>
      </w:r>
      <w:r w:rsidRPr="003A637E" w:rsidR="006911AC">
        <w:rPr>
          <w:rFonts w:ascii="Times New Roman" w:hAnsi="Times New Roman" w:eastAsia="Times New Roman" w:cs="Times New Roman"/>
          <w:sz w:val="24"/>
          <w:szCs w:val="24"/>
        </w:rPr>
        <w:t xml:space="preserve">This calculates to a maximum burden of </w:t>
      </w:r>
      <w:r w:rsidR="00E44806">
        <w:rPr>
          <w:rFonts w:ascii="Times New Roman" w:hAnsi="Times New Roman" w:eastAsia="Times New Roman" w:cs="Times New Roman"/>
          <w:sz w:val="24"/>
          <w:szCs w:val="24"/>
        </w:rPr>
        <w:t>1,920</w:t>
      </w:r>
      <w:r w:rsidRPr="003A637E" w:rsidR="006911AC">
        <w:rPr>
          <w:rFonts w:ascii="Times New Roman" w:hAnsi="Times New Roman" w:eastAsia="Times New Roman" w:cs="Times New Roman"/>
          <w:sz w:val="24"/>
          <w:szCs w:val="24"/>
        </w:rPr>
        <w:t xml:space="preserve"> hours annually. </w:t>
      </w:r>
      <w:r w:rsidRPr="003A637E" w:rsidR="006E0E52">
        <w:rPr>
          <w:rFonts w:ascii="Times New Roman" w:hAnsi="Times New Roman" w:eastAsia="Times New Roman" w:cs="Times New Roman"/>
          <w:sz w:val="24"/>
          <w:szCs w:val="24"/>
        </w:rPr>
        <w:t>Recordkeeping was not calculated as the reported data should be collected by the participant</w:t>
      </w:r>
      <w:r w:rsidRPr="003A637E" w:rsidR="006911AC">
        <w:rPr>
          <w:rFonts w:ascii="Times New Roman" w:hAnsi="Times New Roman" w:eastAsia="Times New Roman" w:cs="Times New Roman"/>
          <w:sz w:val="24"/>
          <w:szCs w:val="24"/>
        </w:rPr>
        <w:t>s</w:t>
      </w:r>
      <w:r w:rsidRPr="003A637E" w:rsidR="006E0E52">
        <w:rPr>
          <w:rFonts w:ascii="Times New Roman" w:hAnsi="Times New Roman" w:eastAsia="Times New Roman" w:cs="Times New Roman"/>
          <w:sz w:val="24"/>
          <w:szCs w:val="24"/>
        </w:rPr>
        <w:t xml:space="preserve"> as a normal course of business.  </w:t>
      </w:r>
    </w:p>
    <w:p w:rsidRPr="003A637E" w:rsidR="00B943EE" w:rsidP="00F05DE4" w:rsidRDefault="00B943EE" w14:paraId="60446B12" w14:textId="3701C8D5">
      <w:pPr>
        <w:shd w:val="clear" w:color="auto" w:fill="FFFFFF"/>
        <w:spacing w:after="0" w:line="240" w:lineRule="auto"/>
        <w:ind w:left="576"/>
        <w:rPr>
          <w:rFonts w:ascii="Times New Roman" w:hAnsi="Times New Roman" w:eastAsia="Times New Roman" w:cs="Times New Roman"/>
          <w:sz w:val="24"/>
          <w:szCs w:val="24"/>
        </w:rPr>
      </w:pPr>
    </w:p>
    <w:p w:rsidRPr="003A637E" w:rsidR="003A5A5F" w:rsidP="00F05DE4" w:rsidRDefault="003A5A5F" w14:paraId="5A826C51" w14:textId="2C373350">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The respondents will be employees of the PSP industry partners, likely to be in roles similar to a Management Analyst</w:t>
      </w:r>
      <w:r w:rsidR="00BE42CC">
        <w:rPr>
          <w:rStyle w:val="FootnoteReference"/>
          <w:rFonts w:ascii="Times New Roman" w:hAnsi="Times New Roman" w:eastAsia="Times New Roman" w:cs="Times New Roman"/>
          <w:sz w:val="24"/>
          <w:szCs w:val="24"/>
        </w:rPr>
        <w:footnoteReference w:id="2"/>
      </w:r>
      <w:r w:rsidRPr="003A637E">
        <w:rPr>
          <w:rFonts w:ascii="Times New Roman" w:hAnsi="Times New Roman" w:eastAsia="Times New Roman" w:cs="Times New Roman"/>
          <w:sz w:val="24"/>
          <w:szCs w:val="24"/>
        </w:rPr>
        <w:t xml:space="preserve"> or Project Management Specialist</w:t>
      </w:r>
      <w:r w:rsidR="00BE42CC">
        <w:rPr>
          <w:rStyle w:val="FootnoteReference"/>
          <w:rFonts w:ascii="Times New Roman" w:hAnsi="Times New Roman" w:eastAsia="Times New Roman" w:cs="Times New Roman"/>
          <w:sz w:val="24"/>
          <w:szCs w:val="24"/>
        </w:rPr>
        <w:footnoteReference w:id="3"/>
      </w:r>
      <w:r w:rsidRPr="003A637E">
        <w:rPr>
          <w:rFonts w:ascii="Times New Roman" w:hAnsi="Times New Roman" w:eastAsia="Times New Roman" w:cs="Times New Roman"/>
          <w:sz w:val="24"/>
          <w:szCs w:val="24"/>
        </w:rPr>
        <w:t xml:space="preserve"> role, whose average salaries are $4</w:t>
      </w:r>
      <w:r w:rsidRPr="003A637E" w:rsidR="00155BB8">
        <w:rPr>
          <w:rFonts w:ascii="Times New Roman" w:hAnsi="Times New Roman" w:eastAsia="Times New Roman" w:cs="Times New Roman"/>
          <w:sz w:val="24"/>
          <w:szCs w:val="24"/>
        </w:rPr>
        <w:t>5.94 and $38.57</w:t>
      </w:r>
      <w:r w:rsidRPr="003A637E">
        <w:rPr>
          <w:rFonts w:ascii="Times New Roman" w:hAnsi="Times New Roman" w:eastAsia="Times New Roman" w:cs="Times New Roman"/>
          <w:sz w:val="24"/>
          <w:szCs w:val="24"/>
        </w:rPr>
        <w:t>/hour respectively. Assuming the higher cost brings the total maximum cost burden for this data collection to $</w:t>
      </w:r>
      <w:r w:rsidRPr="003A637E" w:rsidR="007C69DC">
        <w:rPr>
          <w:rFonts w:ascii="Times New Roman" w:hAnsi="Times New Roman" w:eastAsia="Times New Roman" w:cs="Times New Roman"/>
          <w:sz w:val="24"/>
          <w:szCs w:val="24"/>
        </w:rPr>
        <w:t>102,905.60</w:t>
      </w:r>
      <w:r w:rsidRPr="003A637E">
        <w:rPr>
          <w:rFonts w:ascii="Times New Roman" w:hAnsi="Times New Roman" w:eastAsia="Times New Roman" w:cs="Times New Roman"/>
          <w:sz w:val="24"/>
          <w:szCs w:val="24"/>
        </w:rPr>
        <w:t>.</w:t>
      </w:r>
    </w:p>
    <w:p w:rsidRPr="003A637E" w:rsidR="007C69DC" w:rsidP="00735023" w:rsidRDefault="007C69DC" w14:paraId="2F47530A" w14:textId="77777777">
      <w:pPr>
        <w:shd w:val="clear" w:color="auto" w:fill="FFFFFF"/>
        <w:spacing w:after="0" w:line="240" w:lineRule="auto"/>
        <w:rPr>
          <w:rFonts w:ascii="Times New Roman" w:hAnsi="Times New Roman" w:eastAsia="Times New Roman" w:cs="Times New Roman"/>
          <w:sz w:val="24"/>
          <w:szCs w:val="24"/>
        </w:rPr>
      </w:pPr>
    </w:p>
    <w:p w:rsidRPr="003A637E" w:rsidR="007C69DC" w:rsidP="00735023" w:rsidRDefault="00825990" w14:paraId="74A94510" w14:textId="05B86E7C">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Pr="003A637E" w:rsidR="00452FB7">
        <w:rPr>
          <w:rFonts w:ascii="Times New Roman" w:hAnsi="Times New Roman" w:eastAsia="Times New Roman" w:cs="Times New Roman"/>
          <w:sz w:val="24"/>
          <w:szCs w:val="24"/>
        </w:rPr>
        <w:t xml:space="preserve"> respondents x</w:t>
      </w:r>
      <w:r>
        <w:rPr>
          <w:rFonts w:ascii="Times New Roman" w:hAnsi="Times New Roman" w:eastAsia="Times New Roman" w:cs="Times New Roman"/>
          <w:sz w:val="24"/>
          <w:szCs w:val="24"/>
        </w:rPr>
        <w:t xml:space="preserve"> 4 responses per respondent = 28</w:t>
      </w:r>
      <w:r w:rsidRPr="003A637E" w:rsidR="00452FB7">
        <w:rPr>
          <w:rFonts w:ascii="Times New Roman" w:hAnsi="Times New Roman" w:eastAsia="Times New Roman" w:cs="Times New Roman"/>
          <w:sz w:val="24"/>
          <w:szCs w:val="24"/>
        </w:rPr>
        <w:t xml:space="preserve"> responses</w:t>
      </w:r>
    </w:p>
    <w:p w:rsidRPr="003A637E" w:rsidR="00452FB7" w:rsidP="00735023" w:rsidRDefault="00825990" w14:paraId="26EA23AB" w14:textId="4EC2DB66">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r w:rsidR="00E44806">
        <w:rPr>
          <w:rFonts w:ascii="Times New Roman" w:hAnsi="Times New Roman" w:eastAsia="Times New Roman" w:cs="Times New Roman"/>
          <w:sz w:val="24"/>
          <w:szCs w:val="24"/>
        </w:rPr>
        <w:t xml:space="preserve"> responses x 80 hours = </w:t>
      </w:r>
      <w:r>
        <w:rPr>
          <w:rFonts w:ascii="Times New Roman" w:hAnsi="Times New Roman" w:eastAsia="Times New Roman" w:cs="Times New Roman"/>
          <w:sz w:val="24"/>
          <w:szCs w:val="24"/>
        </w:rPr>
        <w:t>2,240</w:t>
      </w:r>
      <w:r w:rsidR="00E44806">
        <w:rPr>
          <w:rFonts w:ascii="Times New Roman" w:hAnsi="Times New Roman" w:eastAsia="Times New Roman" w:cs="Times New Roman"/>
          <w:sz w:val="24"/>
          <w:szCs w:val="24"/>
        </w:rPr>
        <w:t xml:space="preserve"> </w:t>
      </w:r>
      <w:r w:rsidRPr="003A637E" w:rsidR="00452FB7">
        <w:rPr>
          <w:rFonts w:ascii="Times New Roman" w:hAnsi="Times New Roman" w:eastAsia="Times New Roman" w:cs="Times New Roman"/>
          <w:sz w:val="24"/>
          <w:szCs w:val="24"/>
        </w:rPr>
        <w:t xml:space="preserve">hours </w:t>
      </w:r>
    </w:p>
    <w:p w:rsidRPr="003A637E" w:rsidR="00452FB7" w:rsidP="00735023" w:rsidRDefault="00825990" w14:paraId="6DD88255" w14:textId="768D4EDC">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2,240</w:t>
      </w:r>
      <w:r w:rsidRPr="003A637E" w:rsidR="00452FB7">
        <w:rPr>
          <w:rFonts w:ascii="Times New Roman" w:hAnsi="Times New Roman" w:eastAsia="Times New Roman" w:cs="Times New Roman"/>
          <w:sz w:val="24"/>
          <w:szCs w:val="24"/>
        </w:rPr>
        <w:t xml:space="preserve"> hours x $4</w:t>
      </w:r>
      <w:r w:rsidRPr="003A637E" w:rsidR="0030000A">
        <w:rPr>
          <w:rFonts w:ascii="Times New Roman" w:hAnsi="Times New Roman" w:eastAsia="Times New Roman" w:cs="Times New Roman"/>
          <w:sz w:val="24"/>
          <w:szCs w:val="24"/>
        </w:rPr>
        <w:t>5.94</w:t>
      </w:r>
      <w:r w:rsidRPr="003A637E" w:rsidR="00452FB7">
        <w:rPr>
          <w:rFonts w:ascii="Times New Roman" w:hAnsi="Times New Roman" w:eastAsia="Times New Roman" w:cs="Times New Roman"/>
          <w:sz w:val="24"/>
          <w:szCs w:val="24"/>
        </w:rPr>
        <w:t xml:space="preserve"> per hour = $</w:t>
      </w:r>
      <w:r>
        <w:rPr>
          <w:rFonts w:ascii="Times New Roman" w:hAnsi="Times New Roman" w:eastAsia="Times New Roman" w:cs="Times New Roman"/>
          <w:sz w:val="24"/>
          <w:szCs w:val="24"/>
        </w:rPr>
        <w:t>102,905.60</w:t>
      </w:r>
      <w:r w:rsidRPr="003A637E" w:rsidR="00452FB7">
        <w:rPr>
          <w:rFonts w:ascii="Times New Roman" w:hAnsi="Times New Roman" w:eastAsia="Times New Roman" w:cs="Times New Roman"/>
          <w:sz w:val="24"/>
          <w:szCs w:val="24"/>
        </w:rPr>
        <w:t xml:space="preserve"> </w:t>
      </w:r>
    </w:p>
    <w:p w:rsidRPr="003A637E" w:rsidR="003A5A5F" w:rsidP="00E76F7F" w:rsidRDefault="003A5A5F" w14:paraId="6A3B5B95" w14:textId="77777777">
      <w:pPr>
        <w:shd w:val="clear" w:color="auto" w:fill="FFFFFF"/>
        <w:spacing w:after="0" w:line="240" w:lineRule="auto"/>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492"/>
        <w:gridCol w:w="1669"/>
        <w:gridCol w:w="2039"/>
      </w:tblGrid>
      <w:tr w:rsidRPr="003A637E" w:rsidR="00BE42CC" w:rsidTr="000B5702" w14:paraId="40112F00" w14:textId="77777777">
        <w:trPr>
          <w:trHeight w:val="432"/>
          <w:jc w:val="center"/>
        </w:trPr>
        <w:tc>
          <w:tcPr>
            <w:tcW w:w="33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BE42CC" w:rsidP="00452FB7" w:rsidRDefault="00BE42CC" w14:paraId="7380742E"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3A637E" w:rsidR="00BE42CC" w:rsidP="00736722" w:rsidRDefault="00BE42CC" w14:paraId="21F601DF"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3A637E" w:rsidR="00BE42CC" w:rsidP="00736722" w:rsidRDefault="00BE42CC" w14:paraId="75B296E9"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BE42CC" w:rsidTr="000B5702" w14:paraId="17DF8569" w14:textId="77777777">
        <w:trPr>
          <w:trHeight w:val="432"/>
          <w:jc w:val="center"/>
        </w:trPr>
        <w:tc>
          <w:tcPr>
            <w:tcW w:w="3390" w:type="dxa"/>
            <w:tcBorders>
              <w:top w:val="nil"/>
              <w:left w:val="single" w:color="auto" w:sz="4" w:space="0"/>
              <w:bottom w:val="single" w:color="auto" w:sz="4" w:space="0"/>
              <w:right w:val="single" w:color="auto" w:sz="4" w:space="0"/>
            </w:tcBorders>
            <w:shd w:val="clear" w:color="auto" w:fill="auto"/>
            <w:noWrap/>
            <w:vAlign w:val="bottom"/>
            <w:hideMark/>
          </w:tcPr>
          <w:p w:rsidRPr="003A637E" w:rsidR="00BE42CC" w:rsidP="00452FB7" w:rsidRDefault="00BE42CC" w14:paraId="6E44F74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66CE53CD" w14:textId="38604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1471BB90" w14:textId="77777777">
            <w:pPr>
              <w:spacing w:after="0" w:line="240" w:lineRule="auto"/>
              <w:jc w:val="center"/>
              <w:rPr>
                <w:rFonts w:ascii="Times New Roman" w:hAnsi="Times New Roman" w:cs="Times New Roman"/>
                <w:sz w:val="24"/>
                <w:szCs w:val="24"/>
              </w:rPr>
            </w:pPr>
          </w:p>
        </w:tc>
      </w:tr>
      <w:tr w:rsidRPr="003A637E" w:rsidR="00BE42CC" w:rsidTr="000B5702" w14:paraId="5190BE8D" w14:textId="77777777">
        <w:trPr>
          <w:trHeight w:val="432"/>
          <w:jc w:val="center"/>
        </w:trPr>
        <w:tc>
          <w:tcPr>
            <w:tcW w:w="3390" w:type="dxa"/>
            <w:tcBorders>
              <w:top w:val="nil"/>
              <w:left w:val="single" w:color="auto" w:sz="4" w:space="0"/>
              <w:bottom w:val="single" w:color="auto" w:sz="4" w:space="0"/>
              <w:right w:val="single" w:color="auto" w:sz="4" w:space="0"/>
            </w:tcBorders>
            <w:shd w:val="clear" w:color="auto" w:fill="auto"/>
            <w:noWrap/>
            <w:vAlign w:val="bottom"/>
            <w:hideMark/>
          </w:tcPr>
          <w:p w:rsidRPr="003A637E" w:rsidR="00BE42CC" w:rsidP="00452FB7" w:rsidRDefault="00BE42CC" w14:paraId="750DC03E"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2B950615" w14:textId="03F30443">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4</w:t>
            </w:r>
          </w:p>
        </w:tc>
        <w:tc>
          <w:tcPr>
            <w:tcW w:w="198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0F171B57" w14:textId="77777777">
            <w:pPr>
              <w:spacing w:after="0" w:line="240" w:lineRule="auto"/>
              <w:jc w:val="center"/>
              <w:rPr>
                <w:rFonts w:ascii="Times New Roman" w:hAnsi="Times New Roman" w:cs="Times New Roman"/>
                <w:sz w:val="24"/>
                <w:szCs w:val="24"/>
              </w:rPr>
            </w:pPr>
          </w:p>
        </w:tc>
      </w:tr>
      <w:tr w:rsidRPr="003A637E" w:rsidR="00BE42CC" w:rsidTr="000B5702" w14:paraId="3D0D78DC" w14:textId="77777777">
        <w:trPr>
          <w:trHeight w:val="432"/>
          <w:jc w:val="center"/>
        </w:trPr>
        <w:tc>
          <w:tcPr>
            <w:tcW w:w="3390" w:type="dxa"/>
            <w:tcBorders>
              <w:top w:val="nil"/>
              <w:left w:val="single" w:color="auto" w:sz="4" w:space="0"/>
              <w:bottom w:val="single" w:color="auto" w:sz="4" w:space="0"/>
              <w:right w:val="single" w:color="auto" w:sz="4" w:space="0"/>
            </w:tcBorders>
            <w:shd w:val="clear" w:color="auto" w:fill="auto"/>
            <w:noWrap/>
            <w:vAlign w:val="bottom"/>
            <w:hideMark/>
          </w:tcPr>
          <w:p w:rsidRPr="003A637E" w:rsidR="00BE42CC" w:rsidP="00452FB7" w:rsidRDefault="00BE42CC" w14:paraId="38EB0DE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2C801E5F" w14:textId="42CAE13B">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80 hours</w:t>
            </w:r>
          </w:p>
        </w:tc>
        <w:tc>
          <w:tcPr>
            <w:tcW w:w="198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4A19EDBD" w14:textId="77777777">
            <w:pPr>
              <w:spacing w:after="0" w:line="240" w:lineRule="auto"/>
              <w:jc w:val="center"/>
              <w:rPr>
                <w:rFonts w:ascii="Times New Roman" w:hAnsi="Times New Roman" w:cs="Times New Roman"/>
                <w:sz w:val="24"/>
                <w:szCs w:val="24"/>
              </w:rPr>
            </w:pPr>
          </w:p>
        </w:tc>
      </w:tr>
      <w:tr w:rsidRPr="003A637E" w:rsidR="00BE42CC" w:rsidTr="000B5702" w14:paraId="5D00EEC8" w14:textId="77777777">
        <w:trPr>
          <w:trHeight w:val="432"/>
          <w:jc w:val="center"/>
        </w:trPr>
        <w:tc>
          <w:tcPr>
            <w:tcW w:w="3390" w:type="dxa"/>
            <w:tcBorders>
              <w:top w:val="nil"/>
              <w:left w:val="single" w:color="auto" w:sz="4" w:space="0"/>
              <w:bottom w:val="single" w:color="auto" w:sz="4" w:space="0"/>
              <w:right w:val="single" w:color="auto" w:sz="4" w:space="0"/>
            </w:tcBorders>
            <w:shd w:val="clear" w:color="auto" w:fill="auto"/>
            <w:noWrap/>
            <w:vAlign w:val="bottom"/>
            <w:hideMark/>
          </w:tcPr>
          <w:p w:rsidRPr="003A637E" w:rsidR="00BE42CC" w:rsidP="00452FB7" w:rsidRDefault="00BE42CC" w14:paraId="48E261D1"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2FCF7D39" w14:textId="1D2DC0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98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4603B592" w14:textId="77777777">
            <w:pPr>
              <w:spacing w:after="0" w:line="240" w:lineRule="auto"/>
              <w:jc w:val="center"/>
              <w:rPr>
                <w:rFonts w:ascii="Times New Roman" w:hAnsi="Times New Roman" w:cs="Times New Roman"/>
                <w:sz w:val="24"/>
                <w:szCs w:val="24"/>
              </w:rPr>
            </w:pPr>
          </w:p>
        </w:tc>
      </w:tr>
      <w:tr w:rsidRPr="003A637E" w:rsidR="00BE42CC" w:rsidTr="000B5702" w14:paraId="23161680" w14:textId="77777777">
        <w:trPr>
          <w:trHeight w:val="432"/>
          <w:jc w:val="center"/>
        </w:trPr>
        <w:tc>
          <w:tcPr>
            <w:tcW w:w="3390" w:type="dxa"/>
            <w:tcBorders>
              <w:top w:val="nil"/>
              <w:left w:val="single" w:color="auto" w:sz="4" w:space="0"/>
              <w:bottom w:val="single" w:color="auto" w:sz="4" w:space="0"/>
              <w:right w:val="single" w:color="auto" w:sz="4" w:space="0"/>
            </w:tcBorders>
            <w:shd w:val="clear" w:color="auto" w:fill="auto"/>
            <w:noWrap/>
            <w:vAlign w:val="bottom"/>
          </w:tcPr>
          <w:p w:rsidRPr="003A637E" w:rsidR="00BE42CC" w:rsidP="00452FB7" w:rsidRDefault="00BE42CC" w14:paraId="07D55E74"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825990" w:rsidRDefault="00BE42CC" w14:paraId="1F953BEB" w14:textId="47A9AD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2,240</w:t>
            </w:r>
          </w:p>
        </w:tc>
        <w:tc>
          <w:tcPr>
            <w:tcW w:w="1980" w:type="dxa"/>
            <w:tcBorders>
              <w:top w:val="nil"/>
              <w:left w:val="nil"/>
              <w:bottom w:val="single" w:color="auto" w:sz="4" w:space="0"/>
              <w:right w:val="single" w:color="auto" w:sz="4" w:space="0"/>
            </w:tcBorders>
            <w:shd w:val="clear" w:color="auto" w:fill="auto"/>
            <w:noWrap/>
            <w:vAlign w:val="bottom"/>
          </w:tcPr>
          <w:p w:rsidRPr="003A637E" w:rsidR="00BE42CC" w:rsidP="00452FB7" w:rsidRDefault="00BE42CC" w14:paraId="3B286D8E" w14:textId="77777777">
            <w:pPr>
              <w:spacing w:after="0" w:line="240" w:lineRule="auto"/>
              <w:jc w:val="center"/>
              <w:rPr>
                <w:rFonts w:ascii="Times New Roman" w:hAnsi="Times New Roman" w:cs="Times New Roman"/>
                <w:sz w:val="24"/>
                <w:szCs w:val="24"/>
              </w:rPr>
            </w:pPr>
          </w:p>
        </w:tc>
      </w:tr>
    </w:tbl>
    <w:p w:rsidR="00542D1D" w:rsidP="00542D1D" w:rsidRDefault="00542D1D" w14:paraId="63F71F6C" w14:textId="77777777"/>
    <w:p w:rsidRPr="003A637E" w:rsidR="00F05DE4" w:rsidP="002371CB" w:rsidRDefault="00E76F7F" w14:paraId="34C31067" w14:textId="7BD1585B">
      <w:pPr>
        <w:pStyle w:val="Heading2"/>
        <w:numPr>
          <w:ilvl w:val="1"/>
          <w:numId w:val="26"/>
        </w:numPr>
        <w:ind w:left="1152" w:hanging="576"/>
      </w:pPr>
      <w:r w:rsidRPr="003A637E">
        <w:t xml:space="preserve">BEYOND </w:t>
      </w:r>
      <w:r w:rsidRPr="003A637E" w:rsidR="00222B59">
        <w:t xml:space="preserve">Semi-Annual </w:t>
      </w:r>
      <w:r w:rsidR="003C7F98">
        <w:t>Reports</w:t>
      </w:r>
    </w:p>
    <w:p w:rsidRPr="003A637E" w:rsidR="003A5A5F" w:rsidP="00F05DE4" w:rsidRDefault="006E0E52" w14:paraId="66D6548C" w14:textId="73597233">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BEYOND </w:t>
      </w:r>
      <w:r w:rsidR="003C7F98">
        <w:rPr>
          <w:rFonts w:ascii="Times New Roman" w:hAnsi="Times New Roman" w:eastAsia="Times New Roman" w:cs="Times New Roman"/>
          <w:sz w:val="24"/>
          <w:szCs w:val="24"/>
        </w:rPr>
        <w:t xml:space="preserve">has 8 participants, which </w:t>
      </w:r>
      <w:r w:rsidRPr="003A637E">
        <w:rPr>
          <w:rFonts w:ascii="Times New Roman" w:hAnsi="Times New Roman" w:eastAsia="Times New Roman" w:cs="Times New Roman"/>
          <w:sz w:val="24"/>
          <w:szCs w:val="24"/>
        </w:rPr>
        <w:t xml:space="preserve">is expected to remain </w:t>
      </w:r>
      <w:r w:rsidR="003C7F98">
        <w:rPr>
          <w:rFonts w:ascii="Times New Roman" w:hAnsi="Times New Roman" w:eastAsia="Times New Roman" w:cs="Times New Roman"/>
          <w:sz w:val="24"/>
          <w:szCs w:val="24"/>
        </w:rPr>
        <w:t>the same throughout the program, if not decrease</w:t>
      </w:r>
      <w:r w:rsidRPr="003A637E">
        <w:rPr>
          <w:rFonts w:ascii="Times New Roman" w:hAnsi="Times New Roman" w:eastAsia="Times New Roman" w:cs="Times New Roman"/>
          <w:sz w:val="24"/>
          <w:szCs w:val="24"/>
        </w:rPr>
        <w:t xml:space="preserve">. We estimate for each </w:t>
      </w:r>
      <w:r w:rsidR="00503144">
        <w:rPr>
          <w:rFonts w:ascii="Times New Roman" w:hAnsi="Times New Roman" w:eastAsia="Times New Roman" w:cs="Times New Roman"/>
          <w:sz w:val="24"/>
          <w:szCs w:val="24"/>
        </w:rPr>
        <w:t>p</w:t>
      </w:r>
      <w:r w:rsidRPr="003A637E">
        <w:rPr>
          <w:rFonts w:ascii="Times New Roman" w:hAnsi="Times New Roman" w:eastAsia="Times New Roman" w:cs="Times New Roman"/>
          <w:sz w:val="24"/>
          <w:szCs w:val="24"/>
        </w:rPr>
        <w:t xml:space="preserve">articipant, it should take between 40 and 80 hours of work time divided amongst its employees to </w:t>
      </w:r>
      <w:r w:rsidRPr="003A637E" w:rsidR="007D680F">
        <w:rPr>
          <w:rFonts w:ascii="Times New Roman" w:hAnsi="Times New Roman" w:eastAsia="Times New Roman" w:cs="Times New Roman"/>
          <w:sz w:val="24"/>
          <w:szCs w:val="24"/>
        </w:rPr>
        <w:t>assess the various types of data, develop the reports or forms, and submit the data to the FAA</w:t>
      </w:r>
      <w:r w:rsidRPr="003A637E">
        <w:rPr>
          <w:rFonts w:ascii="Times New Roman" w:hAnsi="Times New Roman" w:eastAsia="Times New Roman" w:cs="Times New Roman"/>
          <w:sz w:val="24"/>
          <w:szCs w:val="24"/>
        </w:rPr>
        <w:t xml:space="preserve">. For the calculation, 80 </w:t>
      </w:r>
      <w:r w:rsidRPr="003A637E" w:rsidR="007D680F">
        <w:rPr>
          <w:rFonts w:ascii="Times New Roman" w:hAnsi="Times New Roman" w:eastAsia="Times New Roman" w:cs="Times New Roman"/>
          <w:sz w:val="24"/>
          <w:szCs w:val="24"/>
        </w:rPr>
        <w:t xml:space="preserve">hours </w:t>
      </w:r>
      <w:r w:rsidRPr="003A637E">
        <w:rPr>
          <w:rFonts w:ascii="Times New Roman" w:hAnsi="Times New Roman" w:eastAsia="Times New Roman" w:cs="Times New Roman"/>
          <w:sz w:val="24"/>
          <w:szCs w:val="24"/>
        </w:rPr>
        <w:t xml:space="preserve">was used to ensure that the maximum burden was calculated. As these are semi-annual </w:t>
      </w:r>
      <w:r w:rsidRPr="003A637E" w:rsidR="007D680F">
        <w:rPr>
          <w:rFonts w:ascii="Times New Roman" w:hAnsi="Times New Roman" w:eastAsia="Times New Roman" w:cs="Times New Roman"/>
          <w:sz w:val="24"/>
          <w:szCs w:val="24"/>
        </w:rPr>
        <w:t>submissions</w:t>
      </w:r>
      <w:r w:rsidRPr="003A637E">
        <w:rPr>
          <w:rFonts w:ascii="Times New Roman" w:hAnsi="Times New Roman" w:eastAsia="Times New Roman" w:cs="Times New Roman"/>
          <w:sz w:val="24"/>
          <w:szCs w:val="24"/>
        </w:rPr>
        <w:t xml:space="preserve">, each participant should submit 2 reports per year. </w:t>
      </w:r>
      <w:r w:rsidRPr="003A637E" w:rsidR="006911AC">
        <w:rPr>
          <w:rFonts w:ascii="Times New Roman" w:hAnsi="Times New Roman" w:eastAsia="Times New Roman" w:cs="Times New Roman"/>
          <w:sz w:val="24"/>
          <w:szCs w:val="24"/>
        </w:rPr>
        <w:t xml:space="preserve">This calculates to a maximum burden of </w:t>
      </w:r>
      <w:r w:rsidRPr="003A637E" w:rsidR="00FA6552">
        <w:rPr>
          <w:rFonts w:ascii="Times New Roman" w:hAnsi="Times New Roman" w:eastAsia="Times New Roman" w:cs="Times New Roman"/>
          <w:sz w:val="24"/>
          <w:szCs w:val="24"/>
        </w:rPr>
        <w:t>1,</w:t>
      </w:r>
      <w:r w:rsidR="003C7F98">
        <w:rPr>
          <w:rFonts w:ascii="Times New Roman" w:hAnsi="Times New Roman" w:eastAsia="Times New Roman" w:cs="Times New Roman"/>
          <w:sz w:val="24"/>
          <w:szCs w:val="24"/>
        </w:rPr>
        <w:t>280</w:t>
      </w:r>
      <w:r w:rsidRPr="003A637E" w:rsidR="006911AC">
        <w:rPr>
          <w:rFonts w:ascii="Times New Roman" w:hAnsi="Times New Roman" w:eastAsia="Times New Roman" w:cs="Times New Roman"/>
          <w:sz w:val="24"/>
          <w:szCs w:val="24"/>
        </w:rPr>
        <w:t xml:space="preserve"> hours annually. </w:t>
      </w:r>
      <w:r w:rsidRPr="003A637E">
        <w:rPr>
          <w:rFonts w:ascii="Times New Roman" w:hAnsi="Times New Roman" w:eastAsia="Times New Roman" w:cs="Times New Roman"/>
          <w:sz w:val="24"/>
          <w:szCs w:val="24"/>
        </w:rPr>
        <w:t>Recordkeeping was not calculated as the reported data should be collected by the participant</w:t>
      </w:r>
      <w:r w:rsidRPr="003A637E" w:rsidR="006911AC">
        <w:rPr>
          <w:rFonts w:ascii="Times New Roman" w:hAnsi="Times New Roman" w:eastAsia="Times New Roman" w:cs="Times New Roman"/>
          <w:sz w:val="24"/>
          <w:szCs w:val="24"/>
        </w:rPr>
        <w:t>s</w:t>
      </w:r>
      <w:r w:rsidRPr="003A637E">
        <w:rPr>
          <w:rFonts w:ascii="Times New Roman" w:hAnsi="Times New Roman" w:eastAsia="Times New Roman" w:cs="Times New Roman"/>
          <w:sz w:val="24"/>
          <w:szCs w:val="24"/>
        </w:rPr>
        <w:t xml:space="preserve"> a</w:t>
      </w:r>
      <w:r w:rsidRPr="003A637E" w:rsidR="003A5A5F">
        <w:rPr>
          <w:rFonts w:ascii="Times New Roman" w:hAnsi="Times New Roman" w:eastAsia="Times New Roman" w:cs="Times New Roman"/>
          <w:sz w:val="24"/>
          <w:szCs w:val="24"/>
        </w:rPr>
        <w:t xml:space="preserve">s a normal course of business. The respondents will be employees of the </w:t>
      </w:r>
      <w:r w:rsidRPr="003A637E" w:rsidR="00452FB7">
        <w:rPr>
          <w:rFonts w:ascii="Times New Roman" w:hAnsi="Times New Roman" w:eastAsia="Times New Roman" w:cs="Times New Roman"/>
          <w:sz w:val="24"/>
          <w:szCs w:val="24"/>
        </w:rPr>
        <w:t xml:space="preserve">BEYOND </w:t>
      </w:r>
      <w:r w:rsidRPr="003A637E" w:rsidR="003A5A5F">
        <w:rPr>
          <w:rFonts w:ascii="Times New Roman" w:hAnsi="Times New Roman" w:eastAsia="Times New Roman" w:cs="Times New Roman"/>
          <w:sz w:val="24"/>
          <w:szCs w:val="24"/>
        </w:rPr>
        <w:t>Lead Participants, made up of State, Local and Tribal government entities, and are likely to be in roles similar to a Management Analyst</w:t>
      </w:r>
      <w:r w:rsidRPr="00BE42CC" w:rsidR="00BE42CC">
        <w:rPr>
          <w:rFonts w:ascii="Times New Roman" w:hAnsi="Times New Roman" w:eastAsia="Times New Roman" w:cs="Times New Roman"/>
          <w:sz w:val="24"/>
          <w:szCs w:val="24"/>
          <w:vertAlign w:val="superscript"/>
        </w:rPr>
        <w:t>1</w:t>
      </w:r>
      <w:r w:rsidRPr="003A637E" w:rsidR="003A5A5F">
        <w:rPr>
          <w:rFonts w:ascii="Times New Roman" w:hAnsi="Times New Roman" w:eastAsia="Times New Roman" w:cs="Times New Roman"/>
          <w:sz w:val="24"/>
          <w:szCs w:val="24"/>
        </w:rPr>
        <w:t xml:space="preserve"> or Project Management Specialist</w:t>
      </w:r>
      <w:r w:rsidRPr="00BE42CC" w:rsidR="00BE42CC">
        <w:rPr>
          <w:rFonts w:ascii="Times New Roman" w:hAnsi="Times New Roman" w:eastAsia="Times New Roman" w:cs="Times New Roman"/>
          <w:sz w:val="24"/>
          <w:szCs w:val="24"/>
          <w:vertAlign w:val="superscript"/>
        </w:rPr>
        <w:t>2</w:t>
      </w:r>
      <w:r w:rsidRPr="003A637E" w:rsidR="003A5A5F">
        <w:rPr>
          <w:rFonts w:ascii="Times New Roman" w:hAnsi="Times New Roman" w:eastAsia="Times New Roman" w:cs="Times New Roman"/>
          <w:sz w:val="24"/>
          <w:szCs w:val="24"/>
        </w:rPr>
        <w:t xml:space="preserve"> role</w:t>
      </w:r>
      <w:r w:rsidRPr="003A637E" w:rsidR="0030000A">
        <w:rPr>
          <w:rFonts w:ascii="Times New Roman" w:hAnsi="Times New Roman" w:eastAsia="Times New Roman" w:cs="Times New Roman"/>
          <w:sz w:val="24"/>
          <w:szCs w:val="24"/>
        </w:rPr>
        <w:t>, whose average salaries are $45.94 and $38.57</w:t>
      </w:r>
      <w:r w:rsidRPr="003A637E" w:rsidR="003A5A5F">
        <w:rPr>
          <w:rFonts w:ascii="Times New Roman" w:hAnsi="Times New Roman" w:eastAsia="Times New Roman" w:cs="Times New Roman"/>
          <w:sz w:val="24"/>
          <w:szCs w:val="24"/>
        </w:rPr>
        <w:t>/hour respectively. Assuming the higher cost brings the total maximum cost burden for this data collection to $</w:t>
      </w:r>
      <w:r w:rsidR="00825990">
        <w:rPr>
          <w:rFonts w:ascii="Times New Roman" w:hAnsi="Times New Roman" w:eastAsia="Times New Roman" w:cs="Times New Roman"/>
          <w:sz w:val="24"/>
          <w:szCs w:val="24"/>
        </w:rPr>
        <w:t>58,803.20</w:t>
      </w:r>
      <w:r w:rsidRPr="003A637E" w:rsidR="003A5A5F">
        <w:rPr>
          <w:rFonts w:ascii="Times New Roman" w:hAnsi="Times New Roman" w:eastAsia="Times New Roman" w:cs="Times New Roman"/>
          <w:sz w:val="24"/>
          <w:szCs w:val="24"/>
        </w:rPr>
        <w:t>.</w:t>
      </w:r>
    </w:p>
    <w:p w:rsidRPr="003A637E" w:rsidR="003A5A5F" w:rsidP="003A5A5F" w:rsidRDefault="003A5A5F" w14:paraId="47767865" w14:textId="77777777">
      <w:pPr>
        <w:shd w:val="clear" w:color="auto" w:fill="FFFFFF"/>
        <w:spacing w:after="0" w:line="240" w:lineRule="auto"/>
        <w:rPr>
          <w:rFonts w:ascii="Times New Roman" w:hAnsi="Times New Roman" w:eastAsia="Times New Roman" w:cs="Times New Roman"/>
          <w:sz w:val="24"/>
          <w:szCs w:val="24"/>
        </w:rPr>
      </w:pPr>
    </w:p>
    <w:p w:rsidRPr="003A637E" w:rsidR="00452FB7" w:rsidP="00735023" w:rsidRDefault="003C7F98" w14:paraId="306FD94B" w14:textId="3A150B32">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Pr="003A637E" w:rsidR="00452FB7">
        <w:rPr>
          <w:rFonts w:ascii="Times New Roman" w:hAnsi="Times New Roman" w:eastAsia="Times New Roman" w:cs="Times New Roman"/>
          <w:sz w:val="24"/>
          <w:szCs w:val="24"/>
        </w:rPr>
        <w:t xml:space="preserve"> respondents x 2 responses per respondent = </w:t>
      </w:r>
      <w:r>
        <w:rPr>
          <w:rFonts w:ascii="Times New Roman" w:hAnsi="Times New Roman" w:eastAsia="Times New Roman" w:cs="Times New Roman"/>
          <w:sz w:val="24"/>
          <w:szCs w:val="24"/>
        </w:rPr>
        <w:t>16</w:t>
      </w:r>
      <w:r w:rsidRPr="003A637E" w:rsidR="00452FB7">
        <w:rPr>
          <w:rFonts w:ascii="Times New Roman" w:hAnsi="Times New Roman" w:eastAsia="Times New Roman" w:cs="Times New Roman"/>
          <w:sz w:val="24"/>
          <w:szCs w:val="24"/>
        </w:rPr>
        <w:t xml:space="preserve"> responses </w:t>
      </w:r>
    </w:p>
    <w:p w:rsidRPr="003A637E" w:rsidR="00452FB7" w:rsidP="00735023" w:rsidRDefault="003C7F98" w14:paraId="4DEFCF76" w14:textId="031CF48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r w:rsidRPr="003A637E" w:rsidR="00452FB7">
        <w:rPr>
          <w:rFonts w:ascii="Times New Roman" w:hAnsi="Times New Roman" w:eastAsia="Times New Roman" w:cs="Times New Roman"/>
          <w:sz w:val="24"/>
          <w:szCs w:val="24"/>
        </w:rPr>
        <w:t xml:space="preserve"> responses x 80 hours = 1,</w:t>
      </w:r>
      <w:r>
        <w:rPr>
          <w:rFonts w:ascii="Times New Roman" w:hAnsi="Times New Roman" w:eastAsia="Times New Roman" w:cs="Times New Roman"/>
          <w:sz w:val="24"/>
          <w:szCs w:val="24"/>
        </w:rPr>
        <w:t>280</w:t>
      </w:r>
      <w:r w:rsidRPr="003A637E" w:rsidR="00452FB7">
        <w:rPr>
          <w:rFonts w:ascii="Times New Roman" w:hAnsi="Times New Roman" w:eastAsia="Times New Roman" w:cs="Times New Roman"/>
          <w:sz w:val="24"/>
          <w:szCs w:val="24"/>
        </w:rPr>
        <w:t xml:space="preserve"> hours</w:t>
      </w:r>
    </w:p>
    <w:p w:rsidRPr="003A637E" w:rsidR="00452FB7" w:rsidP="00735023" w:rsidRDefault="00452FB7" w14:paraId="03F6CB12" w14:textId="57E61EDB">
      <w:pPr>
        <w:shd w:val="clear" w:color="auto" w:fill="FFFFFF"/>
        <w:spacing w:after="0" w:line="240" w:lineRule="auto"/>
        <w:ind w:left="144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1,</w:t>
      </w:r>
      <w:r w:rsidR="003C7F98">
        <w:rPr>
          <w:rFonts w:ascii="Times New Roman" w:hAnsi="Times New Roman" w:eastAsia="Times New Roman" w:cs="Times New Roman"/>
          <w:sz w:val="24"/>
          <w:szCs w:val="24"/>
        </w:rPr>
        <w:t>280</w:t>
      </w:r>
      <w:r w:rsidRPr="003A637E" w:rsidR="0030000A">
        <w:rPr>
          <w:rFonts w:ascii="Times New Roman" w:hAnsi="Times New Roman" w:eastAsia="Times New Roman" w:cs="Times New Roman"/>
          <w:sz w:val="24"/>
          <w:szCs w:val="24"/>
        </w:rPr>
        <w:t xml:space="preserve"> hours x $45.94</w:t>
      </w:r>
      <w:r w:rsidRPr="003A637E">
        <w:rPr>
          <w:rFonts w:ascii="Times New Roman" w:hAnsi="Times New Roman" w:eastAsia="Times New Roman" w:cs="Times New Roman"/>
          <w:sz w:val="24"/>
          <w:szCs w:val="24"/>
        </w:rPr>
        <w:t xml:space="preserve"> per hour = $</w:t>
      </w:r>
      <w:r w:rsidR="003C7F98">
        <w:rPr>
          <w:rFonts w:ascii="Times New Roman" w:hAnsi="Times New Roman" w:eastAsia="Times New Roman" w:cs="Times New Roman"/>
          <w:sz w:val="24"/>
          <w:szCs w:val="24"/>
        </w:rPr>
        <w:t>58,803.20</w:t>
      </w:r>
    </w:p>
    <w:p w:rsidR="008E0CB5" w:rsidRDefault="008E0CB5" w14:paraId="64925CD7" w14:textId="0765D1B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3A637E" w:rsidR="006E0E52" w:rsidP="000116FA" w:rsidRDefault="006E0E52" w14:paraId="682B0815" w14:textId="77777777">
      <w:pPr>
        <w:shd w:val="clear" w:color="auto" w:fill="FFFFFF"/>
        <w:spacing w:after="0" w:line="240" w:lineRule="auto"/>
        <w:rPr>
          <w:rFonts w:ascii="Times New Roman" w:hAnsi="Times New Roman" w:eastAsia="Times New Roman" w:cs="Times New Roman"/>
          <w:sz w:val="24"/>
          <w:szCs w:val="24"/>
        </w:rPr>
      </w:pPr>
    </w:p>
    <w:tbl>
      <w:tblPr>
        <w:tblpPr w:leftFromText="180" w:rightFromText="180" w:vertAnchor="text" w:horzAnchor="page" w:tblpXSpec="center" w:tblpY="13"/>
        <w:tblOverlap w:val="never"/>
        <w:tblW w:w="7195" w:type="dxa"/>
        <w:jc w:val="center"/>
        <w:tblLook w:val="04A0" w:firstRow="1" w:lastRow="0" w:firstColumn="1" w:lastColumn="0" w:noHBand="0" w:noVBand="1"/>
      </w:tblPr>
      <w:tblGrid>
        <w:gridCol w:w="3685"/>
        <w:gridCol w:w="1620"/>
        <w:gridCol w:w="1890"/>
      </w:tblGrid>
      <w:tr w:rsidRPr="003A637E" w:rsidR="00BE42CC" w:rsidTr="00BE42CC" w14:paraId="4176DDE9" w14:textId="77777777">
        <w:trPr>
          <w:trHeight w:val="432"/>
          <w:jc w:val="center"/>
        </w:trPr>
        <w:tc>
          <w:tcPr>
            <w:tcW w:w="36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BE42CC" w:rsidP="00BE42CC" w:rsidRDefault="00BE42CC" w14:paraId="00D65A38"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3A637E" w:rsidR="00BE42CC" w:rsidP="00BE42CC" w:rsidRDefault="00BE42CC" w14:paraId="3A4FB404"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3A637E" w:rsidR="00BE42CC" w:rsidP="00BE42CC" w:rsidRDefault="00BE42CC" w14:paraId="1EB9D499"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BE42CC" w:rsidTr="00BE42CC" w14:paraId="6251821B" w14:textId="77777777">
        <w:trPr>
          <w:trHeight w:val="432"/>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A637E" w:rsidR="00BE42CC" w:rsidP="00BE42CC" w:rsidRDefault="00BE42CC" w14:paraId="082C0A0A"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1C89E5AC" w14:textId="0BA6AA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9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713CA843" w14:textId="4578A658">
            <w:pPr>
              <w:spacing w:after="0" w:line="240" w:lineRule="auto"/>
              <w:jc w:val="center"/>
              <w:rPr>
                <w:rFonts w:ascii="Times New Roman" w:hAnsi="Times New Roman" w:cs="Times New Roman"/>
                <w:sz w:val="24"/>
                <w:szCs w:val="24"/>
              </w:rPr>
            </w:pPr>
          </w:p>
        </w:tc>
      </w:tr>
      <w:tr w:rsidRPr="003A637E" w:rsidR="00BE42CC" w:rsidTr="00BE42CC" w14:paraId="2E8ABC0F" w14:textId="77777777">
        <w:trPr>
          <w:trHeight w:val="432"/>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A637E" w:rsidR="00BE42CC" w:rsidP="00BE42CC" w:rsidRDefault="00BE42CC" w14:paraId="6BF93AD8"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53536608" w14:textId="27897E2F">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2</w:t>
            </w:r>
          </w:p>
        </w:tc>
        <w:tc>
          <w:tcPr>
            <w:tcW w:w="189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417E1A98" w14:textId="3BC81ABF">
            <w:pPr>
              <w:spacing w:after="0" w:line="240" w:lineRule="auto"/>
              <w:jc w:val="center"/>
              <w:rPr>
                <w:rFonts w:ascii="Times New Roman" w:hAnsi="Times New Roman" w:cs="Times New Roman"/>
                <w:sz w:val="24"/>
                <w:szCs w:val="24"/>
              </w:rPr>
            </w:pPr>
          </w:p>
        </w:tc>
      </w:tr>
      <w:tr w:rsidRPr="003A637E" w:rsidR="00BE42CC" w:rsidTr="00BE42CC" w14:paraId="03E9F63B" w14:textId="77777777">
        <w:trPr>
          <w:trHeight w:val="432"/>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A637E" w:rsidR="00BE42CC" w:rsidP="00BE42CC" w:rsidRDefault="00BE42CC" w14:paraId="1B5D58ED"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67294EE4" w14:textId="06892431">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80 hours</w:t>
            </w:r>
          </w:p>
        </w:tc>
        <w:tc>
          <w:tcPr>
            <w:tcW w:w="189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36C47604" w14:textId="77777777">
            <w:pPr>
              <w:spacing w:after="0" w:line="240" w:lineRule="auto"/>
              <w:jc w:val="center"/>
              <w:rPr>
                <w:rFonts w:ascii="Times New Roman" w:hAnsi="Times New Roman" w:cs="Times New Roman"/>
                <w:sz w:val="24"/>
                <w:szCs w:val="24"/>
              </w:rPr>
            </w:pPr>
          </w:p>
        </w:tc>
      </w:tr>
      <w:tr w:rsidRPr="003A637E" w:rsidR="00BE42CC" w:rsidTr="00BE42CC" w14:paraId="2DE2CF3D" w14:textId="77777777">
        <w:trPr>
          <w:trHeight w:val="432"/>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3A637E" w:rsidR="00BE42CC" w:rsidP="00BE42CC" w:rsidRDefault="00BE42CC" w14:paraId="4197F2F3"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7D5032FC" w14:textId="25ABA0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9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08C0DE2B" w14:textId="77777777">
            <w:pPr>
              <w:spacing w:after="0" w:line="240" w:lineRule="auto"/>
              <w:jc w:val="center"/>
              <w:rPr>
                <w:rFonts w:ascii="Times New Roman" w:hAnsi="Times New Roman" w:cs="Times New Roman"/>
                <w:sz w:val="24"/>
                <w:szCs w:val="24"/>
              </w:rPr>
            </w:pPr>
          </w:p>
        </w:tc>
      </w:tr>
      <w:tr w:rsidRPr="003A637E" w:rsidR="00BE42CC" w:rsidTr="00BE42CC" w14:paraId="397A2E4E" w14:textId="77777777">
        <w:trPr>
          <w:trHeight w:val="432"/>
          <w:jc w:val="center"/>
        </w:trPr>
        <w:tc>
          <w:tcPr>
            <w:tcW w:w="3685" w:type="dxa"/>
            <w:tcBorders>
              <w:top w:val="nil"/>
              <w:left w:val="single" w:color="auto" w:sz="4" w:space="0"/>
              <w:bottom w:val="single" w:color="auto" w:sz="4" w:space="0"/>
              <w:right w:val="single" w:color="auto" w:sz="4" w:space="0"/>
            </w:tcBorders>
            <w:shd w:val="clear" w:color="auto" w:fill="auto"/>
            <w:noWrap/>
            <w:vAlign w:val="bottom"/>
          </w:tcPr>
          <w:p w:rsidRPr="003A637E" w:rsidR="00BE42CC" w:rsidP="00BE42CC" w:rsidRDefault="00BE42CC" w14:paraId="7135201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62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1E1BFBE7" w14:textId="170526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1,280</w:t>
            </w:r>
          </w:p>
        </w:tc>
        <w:tc>
          <w:tcPr>
            <w:tcW w:w="1890" w:type="dxa"/>
            <w:tcBorders>
              <w:top w:val="nil"/>
              <w:left w:val="nil"/>
              <w:bottom w:val="single" w:color="auto" w:sz="4" w:space="0"/>
              <w:right w:val="single" w:color="auto" w:sz="4" w:space="0"/>
            </w:tcBorders>
            <w:shd w:val="clear" w:color="auto" w:fill="auto"/>
            <w:noWrap/>
            <w:vAlign w:val="bottom"/>
          </w:tcPr>
          <w:p w:rsidRPr="003A637E" w:rsidR="00BE42CC" w:rsidP="00BE42CC" w:rsidRDefault="00BE42CC" w14:paraId="329B8A96" w14:textId="77777777">
            <w:pPr>
              <w:spacing w:after="0" w:line="240" w:lineRule="auto"/>
              <w:jc w:val="center"/>
              <w:rPr>
                <w:rFonts w:ascii="Times New Roman" w:hAnsi="Times New Roman" w:cs="Times New Roman"/>
                <w:sz w:val="24"/>
                <w:szCs w:val="24"/>
              </w:rPr>
            </w:pPr>
          </w:p>
        </w:tc>
      </w:tr>
    </w:tbl>
    <w:p w:rsidRPr="003A637E" w:rsidR="00736722" w:rsidP="000116FA" w:rsidRDefault="003A5A5F" w14:paraId="3D886FDD" w14:textId="468B6F33">
      <w:pPr>
        <w:shd w:val="clear" w:color="auto" w:fill="FFFFFF"/>
        <w:spacing w:after="0" w:line="240" w:lineRule="auto"/>
        <w:rPr>
          <w:rFonts w:ascii="Times New Roman" w:hAnsi="Times New Roman" w:cs="Times New Roman"/>
          <w:sz w:val="24"/>
          <w:szCs w:val="24"/>
        </w:rPr>
      </w:pPr>
      <w:r w:rsidRPr="003A637E">
        <w:rPr>
          <w:rFonts w:ascii="Times New Roman" w:hAnsi="Times New Roman" w:eastAsia="Times New Roman" w:cs="Times New Roman"/>
          <w:sz w:val="24"/>
          <w:szCs w:val="24"/>
        </w:rPr>
        <w:br w:type="textWrapping" w:clear="all"/>
      </w:r>
    </w:p>
    <w:p w:rsidRPr="003A637E" w:rsidR="003C7F98" w:rsidP="002371CB" w:rsidRDefault="003C7F98" w14:paraId="465286F8" w14:textId="024E85C1">
      <w:pPr>
        <w:pStyle w:val="Heading2"/>
        <w:numPr>
          <w:ilvl w:val="1"/>
          <w:numId w:val="26"/>
        </w:numPr>
        <w:ind w:left="1152" w:hanging="576"/>
      </w:pPr>
      <w:r>
        <w:t>BEYOND Final Report</w:t>
      </w:r>
      <w:r w:rsidR="00464F4C">
        <w:t>s</w:t>
      </w:r>
    </w:p>
    <w:p w:rsidRPr="003A637E" w:rsidR="003C7F98" w:rsidP="003C7F98" w:rsidRDefault="003C7F98" w14:paraId="6710BDC5" w14:textId="69C9594F">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BEYOND </w:t>
      </w:r>
      <w:r>
        <w:rPr>
          <w:rFonts w:ascii="Times New Roman" w:hAnsi="Times New Roman" w:eastAsia="Times New Roman" w:cs="Times New Roman"/>
          <w:sz w:val="24"/>
          <w:szCs w:val="24"/>
        </w:rPr>
        <w:t xml:space="preserve">has 8 participants, which </w:t>
      </w:r>
      <w:r w:rsidRPr="003A637E">
        <w:rPr>
          <w:rFonts w:ascii="Times New Roman" w:hAnsi="Times New Roman" w:eastAsia="Times New Roman" w:cs="Times New Roman"/>
          <w:sz w:val="24"/>
          <w:szCs w:val="24"/>
        </w:rPr>
        <w:t xml:space="preserve">is expected to remain </w:t>
      </w:r>
      <w:r>
        <w:rPr>
          <w:rFonts w:ascii="Times New Roman" w:hAnsi="Times New Roman" w:eastAsia="Times New Roman" w:cs="Times New Roman"/>
          <w:sz w:val="24"/>
          <w:szCs w:val="24"/>
        </w:rPr>
        <w:t>the same throughout the program, if not decrease</w:t>
      </w:r>
      <w:r w:rsidRPr="003A637E">
        <w:rPr>
          <w:rFonts w:ascii="Times New Roman" w:hAnsi="Times New Roman" w:eastAsia="Times New Roman" w:cs="Times New Roman"/>
          <w:sz w:val="24"/>
          <w:szCs w:val="24"/>
        </w:rPr>
        <w:t xml:space="preserve">. We estimate for each </w:t>
      </w:r>
      <w:r>
        <w:rPr>
          <w:rFonts w:ascii="Times New Roman" w:hAnsi="Times New Roman" w:eastAsia="Times New Roman" w:cs="Times New Roman"/>
          <w:sz w:val="24"/>
          <w:szCs w:val="24"/>
        </w:rPr>
        <w:t>p</w:t>
      </w:r>
      <w:r w:rsidRPr="003A637E">
        <w:rPr>
          <w:rFonts w:ascii="Times New Roman" w:hAnsi="Times New Roman" w:eastAsia="Times New Roman" w:cs="Times New Roman"/>
          <w:sz w:val="24"/>
          <w:szCs w:val="24"/>
        </w:rPr>
        <w:t xml:space="preserve">articipant, it should take </w:t>
      </w:r>
      <w:r>
        <w:rPr>
          <w:rFonts w:ascii="Times New Roman" w:hAnsi="Times New Roman" w:eastAsia="Times New Roman" w:cs="Times New Roman"/>
          <w:sz w:val="24"/>
          <w:szCs w:val="24"/>
        </w:rPr>
        <w:t>no more than</w:t>
      </w:r>
      <w:r w:rsidRPr="003A637E">
        <w:rPr>
          <w:rFonts w:ascii="Times New Roman" w:hAnsi="Times New Roman" w:eastAsia="Times New Roman" w:cs="Times New Roman"/>
          <w:sz w:val="24"/>
          <w:szCs w:val="24"/>
        </w:rPr>
        <w:t xml:space="preserve"> 40 hours of work time divided amongst its employees to develop the reports</w:t>
      </w:r>
      <w:r>
        <w:rPr>
          <w:rFonts w:ascii="Times New Roman" w:hAnsi="Times New Roman" w:eastAsia="Times New Roman" w:cs="Times New Roman"/>
          <w:sz w:val="24"/>
          <w:szCs w:val="24"/>
        </w:rPr>
        <w:t xml:space="preserve">, and submit them </w:t>
      </w:r>
      <w:r w:rsidRPr="003A637E">
        <w:rPr>
          <w:rFonts w:ascii="Times New Roman" w:hAnsi="Times New Roman" w:eastAsia="Times New Roman" w:cs="Times New Roman"/>
          <w:sz w:val="24"/>
          <w:szCs w:val="24"/>
        </w:rPr>
        <w:t>to the FAA</w:t>
      </w:r>
      <w:r>
        <w:rPr>
          <w:rFonts w:ascii="Times New Roman" w:hAnsi="Times New Roman" w:eastAsia="Times New Roman" w:cs="Times New Roman"/>
          <w:sz w:val="24"/>
          <w:szCs w:val="24"/>
        </w:rPr>
        <w:t>. For the calculation, 4</w:t>
      </w:r>
      <w:r w:rsidRPr="003A637E">
        <w:rPr>
          <w:rFonts w:ascii="Times New Roman" w:hAnsi="Times New Roman" w:eastAsia="Times New Roman" w:cs="Times New Roman"/>
          <w:sz w:val="24"/>
          <w:szCs w:val="24"/>
        </w:rPr>
        <w:t>0 hours was used to ensure that the maximum burden was calculated. As th</w:t>
      </w:r>
      <w:r>
        <w:rPr>
          <w:rFonts w:ascii="Times New Roman" w:hAnsi="Times New Roman" w:eastAsia="Times New Roman" w:cs="Times New Roman"/>
          <w:sz w:val="24"/>
          <w:szCs w:val="24"/>
        </w:rPr>
        <w:t>is is a one-time</w:t>
      </w:r>
      <w:r w:rsidRPr="003A637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submission, at the end of the program</w:t>
      </w:r>
      <w:r w:rsidRPr="003A637E">
        <w:rPr>
          <w:rFonts w:ascii="Times New Roman" w:hAnsi="Times New Roman" w:eastAsia="Times New Roman" w:cs="Times New Roman"/>
          <w:sz w:val="24"/>
          <w:szCs w:val="24"/>
        </w:rPr>
        <w:t xml:space="preserve">, each participant should submit </w:t>
      </w:r>
      <w:r>
        <w:rPr>
          <w:rFonts w:ascii="Times New Roman" w:hAnsi="Times New Roman" w:eastAsia="Times New Roman" w:cs="Times New Roman"/>
          <w:sz w:val="24"/>
          <w:szCs w:val="24"/>
        </w:rPr>
        <w:t>maximum one report total, annualized at 1/3 report per participant</w:t>
      </w:r>
      <w:r w:rsidRPr="003A637E">
        <w:rPr>
          <w:rFonts w:ascii="Times New Roman" w:hAnsi="Times New Roman" w:eastAsia="Times New Roman" w:cs="Times New Roman"/>
          <w:sz w:val="24"/>
          <w:szCs w:val="24"/>
        </w:rPr>
        <w:t xml:space="preserve">. This calculates to a maximum burden of </w:t>
      </w:r>
      <w:r>
        <w:rPr>
          <w:rFonts w:ascii="Times New Roman" w:hAnsi="Times New Roman" w:eastAsia="Times New Roman" w:cs="Times New Roman"/>
          <w:sz w:val="24"/>
          <w:szCs w:val="24"/>
        </w:rPr>
        <w:t xml:space="preserve">106.80 </w:t>
      </w:r>
      <w:r w:rsidRPr="003A637E">
        <w:rPr>
          <w:rFonts w:ascii="Times New Roman" w:hAnsi="Times New Roman" w:eastAsia="Times New Roman" w:cs="Times New Roman"/>
          <w:sz w:val="24"/>
          <w:szCs w:val="24"/>
        </w:rPr>
        <w:t>hours annually. Recordkeeping was not calculated as the reported data should be collected by the participants as a normal course of business. The respondents will be employees of the BEYOND Lead Participants</w:t>
      </w:r>
      <w:r>
        <w:rPr>
          <w:rFonts w:ascii="Times New Roman" w:hAnsi="Times New Roman" w:eastAsia="Times New Roman" w:cs="Times New Roman"/>
          <w:sz w:val="24"/>
          <w:szCs w:val="24"/>
        </w:rPr>
        <w:t xml:space="preserve"> </w:t>
      </w:r>
      <w:r w:rsidRPr="003A637E">
        <w:rPr>
          <w:rFonts w:ascii="Times New Roman" w:hAnsi="Times New Roman" w:eastAsia="Times New Roman" w:cs="Times New Roman"/>
          <w:sz w:val="24"/>
          <w:szCs w:val="24"/>
        </w:rPr>
        <w:t>and are likely to be in roles similar to a Management Analyst</w:t>
      </w:r>
      <w:r w:rsidR="00BE42CC">
        <w:rPr>
          <w:rStyle w:val="FootnoteReference"/>
          <w:rFonts w:ascii="Times New Roman" w:hAnsi="Times New Roman" w:eastAsia="Times New Roman" w:cs="Times New Roman"/>
          <w:sz w:val="24"/>
          <w:szCs w:val="24"/>
        </w:rPr>
        <w:footnoteReference w:id="4"/>
      </w:r>
      <w:r w:rsidRPr="003A637E">
        <w:rPr>
          <w:rFonts w:ascii="Times New Roman" w:hAnsi="Times New Roman" w:eastAsia="Times New Roman" w:cs="Times New Roman"/>
          <w:sz w:val="24"/>
          <w:szCs w:val="24"/>
        </w:rPr>
        <w:t xml:space="preserve"> or Project Management Specialist</w:t>
      </w:r>
      <w:r w:rsidR="00BE42CC">
        <w:rPr>
          <w:rStyle w:val="FootnoteReference"/>
          <w:rFonts w:ascii="Times New Roman" w:hAnsi="Times New Roman" w:eastAsia="Times New Roman" w:cs="Times New Roman"/>
          <w:sz w:val="24"/>
          <w:szCs w:val="24"/>
        </w:rPr>
        <w:footnoteReference w:id="5"/>
      </w:r>
      <w:r w:rsidRPr="003A637E">
        <w:rPr>
          <w:rFonts w:ascii="Times New Roman" w:hAnsi="Times New Roman" w:eastAsia="Times New Roman" w:cs="Times New Roman"/>
          <w:sz w:val="24"/>
          <w:szCs w:val="24"/>
        </w:rPr>
        <w:t xml:space="preserve"> role, whose average salaries are $45.94 and $38.57/hour respectively. Assuming the higher cost brings the total maximum cost burden for this data collection to $</w:t>
      </w:r>
      <w:r>
        <w:rPr>
          <w:rFonts w:ascii="Times New Roman" w:hAnsi="Times New Roman" w:eastAsia="Times New Roman" w:cs="Times New Roman"/>
          <w:sz w:val="24"/>
          <w:szCs w:val="24"/>
        </w:rPr>
        <w:t>4,906.39</w:t>
      </w:r>
      <w:r w:rsidRPr="003A637E">
        <w:rPr>
          <w:rFonts w:ascii="Times New Roman" w:hAnsi="Times New Roman" w:eastAsia="Times New Roman" w:cs="Times New Roman"/>
          <w:sz w:val="24"/>
          <w:szCs w:val="24"/>
        </w:rPr>
        <w:t>.</w:t>
      </w:r>
    </w:p>
    <w:p w:rsidRPr="003A637E" w:rsidR="003C7F98" w:rsidP="003C7F98" w:rsidRDefault="003C7F98" w14:paraId="084D1B11" w14:textId="77777777">
      <w:pPr>
        <w:shd w:val="clear" w:color="auto" w:fill="FFFFFF"/>
        <w:spacing w:after="0" w:line="240" w:lineRule="auto"/>
        <w:rPr>
          <w:rFonts w:ascii="Times New Roman" w:hAnsi="Times New Roman" w:eastAsia="Times New Roman" w:cs="Times New Roman"/>
          <w:sz w:val="24"/>
          <w:szCs w:val="24"/>
        </w:rPr>
      </w:pPr>
    </w:p>
    <w:p w:rsidRPr="003A637E" w:rsidR="003C7F98" w:rsidP="003C7F98" w:rsidRDefault="003C7F98" w14:paraId="11140F41" w14:textId="73665A9B">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8 respondents x 1/3 responses per respondent = 2.67</w:t>
      </w:r>
      <w:r w:rsidRPr="003A637E">
        <w:rPr>
          <w:rFonts w:ascii="Times New Roman" w:hAnsi="Times New Roman" w:eastAsia="Times New Roman" w:cs="Times New Roman"/>
          <w:sz w:val="24"/>
          <w:szCs w:val="24"/>
        </w:rPr>
        <w:t xml:space="preserve"> responses </w:t>
      </w:r>
    </w:p>
    <w:p w:rsidRPr="003A637E" w:rsidR="003C7F98" w:rsidP="003C7F98" w:rsidRDefault="003C7F98" w14:paraId="4999ED4E" w14:textId="094217B9">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2.67 responses x 4</w:t>
      </w:r>
      <w:r w:rsidRPr="003A637E">
        <w:rPr>
          <w:rFonts w:ascii="Times New Roman" w:hAnsi="Times New Roman" w:eastAsia="Times New Roman" w:cs="Times New Roman"/>
          <w:sz w:val="24"/>
          <w:szCs w:val="24"/>
        </w:rPr>
        <w:t xml:space="preserve">0 hours = </w:t>
      </w:r>
      <w:r>
        <w:rPr>
          <w:rFonts w:ascii="Times New Roman" w:hAnsi="Times New Roman" w:eastAsia="Times New Roman" w:cs="Times New Roman"/>
          <w:sz w:val="24"/>
          <w:szCs w:val="24"/>
        </w:rPr>
        <w:t>106.80</w:t>
      </w:r>
      <w:r w:rsidRPr="003A637E">
        <w:rPr>
          <w:rFonts w:ascii="Times New Roman" w:hAnsi="Times New Roman" w:eastAsia="Times New Roman" w:cs="Times New Roman"/>
          <w:sz w:val="24"/>
          <w:szCs w:val="24"/>
        </w:rPr>
        <w:t xml:space="preserve"> hours</w:t>
      </w:r>
    </w:p>
    <w:p w:rsidRPr="003A637E" w:rsidR="003C7F98" w:rsidP="003C7F98" w:rsidRDefault="003C7F98" w14:paraId="3131A81F" w14:textId="6E30BB88">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106.80</w:t>
      </w:r>
      <w:r w:rsidRPr="003A637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4,906.39</w:t>
      </w:r>
    </w:p>
    <w:p w:rsidRPr="003A637E" w:rsidR="003C7F98" w:rsidP="003C7F98" w:rsidRDefault="003C7F98" w14:paraId="590B7E7C" w14:textId="77777777">
      <w:pPr>
        <w:shd w:val="clear" w:color="auto" w:fill="FFFFFF"/>
        <w:spacing w:after="0" w:line="240" w:lineRule="auto"/>
        <w:rPr>
          <w:rFonts w:ascii="Times New Roman" w:hAnsi="Times New Roman" w:eastAsia="Times New Roman" w:cs="Times New Roman"/>
          <w:sz w:val="24"/>
          <w:szCs w:val="24"/>
        </w:rPr>
      </w:pPr>
    </w:p>
    <w:tbl>
      <w:tblPr>
        <w:tblpPr w:leftFromText="180" w:rightFromText="180" w:vertAnchor="text" w:horzAnchor="page" w:tblpXSpec="center" w:tblpY="13"/>
        <w:tblOverlap w:val="never"/>
        <w:tblW w:w="7200" w:type="dxa"/>
        <w:jc w:val="center"/>
        <w:tblLook w:val="04A0" w:firstRow="1" w:lastRow="0" w:firstColumn="1" w:lastColumn="0" w:noHBand="0" w:noVBand="1"/>
      </w:tblPr>
      <w:tblGrid>
        <w:gridCol w:w="3597"/>
        <w:gridCol w:w="1663"/>
        <w:gridCol w:w="1940"/>
      </w:tblGrid>
      <w:tr w:rsidRPr="003A637E" w:rsidR="00571747" w:rsidTr="000B5702" w14:paraId="2BFB11D6" w14:textId="77777777">
        <w:trPr>
          <w:trHeight w:val="432"/>
          <w:jc w:val="cent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290030FE"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3A637E" w:rsidR="00571747" w:rsidP="00571747" w:rsidRDefault="00571747" w14:paraId="076440DE"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3A637E" w:rsidR="00571747" w:rsidP="00571747" w:rsidRDefault="00571747" w14:paraId="2C1927CB"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571747" w:rsidTr="000B5702" w14:paraId="04FA66CC" w14:textId="77777777">
        <w:trPr>
          <w:trHeight w:val="432"/>
          <w:jc w:val="center"/>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59E80805"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62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35889A62" w14:textId="7E57F0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9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54977106" w14:textId="77777777">
            <w:pPr>
              <w:spacing w:after="0" w:line="240" w:lineRule="auto"/>
              <w:jc w:val="center"/>
              <w:rPr>
                <w:rFonts w:ascii="Times New Roman" w:hAnsi="Times New Roman" w:cs="Times New Roman"/>
                <w:sz w:val="24"/>
                <w:szCs w:val="24"/>
              </w:rPr>
            </w:pPr>
          </w:p>
        </w:tc>
      </w:tr>
      <w:tr w:rsidRPr="003A637E" w:rsidR="00571747" w:rsidTr="000B5702" w14:paraId="1972485E" w14:textId="77777777">
        <w:trPr>
          <w:trHeight w:val="432"/>
          <w:jc w:val="center"/>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154660A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62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47F59CA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9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3487E4A0" w14:textId="77777777">
            <w:pPr>
              <w:spacing w:after="0" w:line="240" w:lineRule="auto"/>
              <w:jc w:val="center"/>
              <w:rPr>
                <w:rFonts w:ascii="Times New Roman" w:hAnsi="Times New Roman" w:cs="Times New Roman"/>
                <w:sz w:val="24"/>
                <w:szCs w:val="24"/>
              </w:rPr>
            </w:pPr>
          </w:p>
        </w:tc>
      </w:tr>
      <w:tr w:rsidRPr="003A637E" w:rsidR="00571747" w:rsidTr="000B5702" w14:paraId="606D3B24" w14:textId="77777777">
        <w:trPr>
          <w:trHeight w:val="432"/>
          <w:jc w:val="center"/>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504EF898"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62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00A3ACC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637E">
              <w:rPr>
                <w:rFonts w:ascii="Times New Roman" w:hAnsi="Times New Roman" w:cs="Times New Roman"/>
                <w:sz w:val="24"/>
                <w:szCs w:val="24"/>
              </w:rPr>
              <w:t>0 hours</w:t>
            </w:r>
          </w:p>
        </w:tc>
        <w:tc>
          <w:tcPr>
            <w:tcW w:w="189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2227DB55" w14:textId="77777777">
            <w:pPr>
              <w:spacing w:after="0" w:line="240" w:lineRule="auto"/>
              <w:jc w:val="center"/>
              <w:rPr>
                <w:rFonts w:ascii="Times New Roman" w:hAnsi="Times New Roman" w:cs="Times New Roman"/>
                <w:sz w:val="24"/>
                <w:szCs w:val="24"/>
              </w:rPr>
            </w:pPr>
          </w:p>
        </w:tc>
      </w:tr>
      <w:tr w:rsidRPr="003A637E" w:rsidR="00571747" w:rsidTr="000B5702" w14:paraId="717C21D6" w14:textId="77777777">
        <w:trPr>
          <w:trHeight w:val="432"/>
          <w:jc w:val="cent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5982B09D"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A637E" w:rsidR="00571747" w:rsidP="00571747" w:rsidRDefault="00571747" w14:paraId="05BE5D64" w14:textId="58166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A637E" w:rsidR="00571747" w:rsidP="00571747" w:rsidRDefault="00571747" w14:paraId="73117D72" w14:textId="77777777">
            <w:pPr>
              <w:spacing w:after="0" w:line="240" w:lineRule="auto"/>
              <w:jc w:val="center"/>
              <w:rPr>
                <w:rFonts w:ascii="Times New Roman" w:hAnsi="Times New Roman" w:cs="Times New Roman"/>
                <w:sz w:val="24"/>
                <w:szCs w:val="24"/>
              </w:rPr>
            </w:pPr>
          </w:p>
        </w:tc>
      </w:tr>
      <w:tr w:rsidRPr="003A637E" w:rsidR="00571747" w:rsidTr="000B5702" w14:paraId="3D5AC8C3" w14:textId="77777777">
        <w:trPr>
          <w:trHeight w:val="432"/>
          <w:jc w:val="cent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A637E" w:rsidR="00571747" w:rsidP="00571747" w:rsidRDefault="00571747" w14:paraId="422AF432"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A637E" w:rsidR="00571747" w:rsidP="00571747" w:rsidRDefault="00571747" w14:paraId="04E7054C" w14:textId="7B0EB4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106.80</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A637E" w:rsidR="00571747" w:rsidP="00571747" w:rsidRDefault="00571747" w14:paraId="2DC2F400" w14:textId="77777777">
            <w:pPr>
              <w:spacing w:after="0" w:line="240" w:lineRule="auto"/>
              <w:jc w:val="center"/>
              <w:rPr>
                <w:rFonts w:ascii="Times New Roman" w:hAnsi="Times New Roman" w:cs="Times New Roman"/>
                <w:sz w:val="24"/>
                <w:szCs w:val="24"/>
              </w:rPr>
            </w:pPr>
          </w:p>
        </w:tc>
      </w:tr>
    </w:tbl>
    <w:p w:rsidR="003C7F98" w:rsidP="003C7F98" w:rsidRDefault="003C7F98" w14:paraId="237A6655" w14:textId="12A85E74">
      <w:pPr>
        <w:pStyle w:val="Heading2"/>
        <w:numPr>
          <w:ilvl w:val="0"/>
          <w:numId w:val="0"/>
        </w:numPr>
      </w:pPr>
    </w:p>
    <w:p w:rsidR="00571747" w:rsidP="003C7F98" w:rsidRDefault="00571747" w14:paraId="603C53D1" w14:textId="0568644D">
      <w:pPr>
        <w:pStyle w:val="Heading2"/>
        <w:numPr>
          <w:ilvl w:val="0"/>
          <w:numId w:val="0"/>
        </w:numPr>
      </w:pPr>
    </w:p>
    <w:p w:rsidR="00571747" w:rsidP="003C7F98" w:rsidRDefault="00571747" w14:paraId="10DC9C9E" w14:textId="77777777">
      <w:pPr>
        <w:pStyle w:val="Heading2"/>
        <w:numPr>
          <w:ilvl w:val="0"/>
          <w:numId w:val="0"/>
        </w:numPr>
      </w:pPr>
    </w:p>
    <w:p w:rsidR="00973232" w:rsidP="003C7F98" w:rsidRDefault="00973232" w14:paraId="775C63E1" w14:textId="6E95E762"/>
    <w:p w:rsidR="00503144" w:rsidP="002371CB" w:rsidRDefault="00503144" w14:paraId="4749313E" w14:textId="1DFD73B0">
      <w:pPr>
        <w:pStyle w:val="Heading2"/>
        <w:numPr>
          <w:ilvl w:val="0"/>
          <w:numId w:val="0"/>
        </w:numPr>
        <w:ind w:left="1080"/>
      </w:pPr>
    </w:p>
    <w:p w:rsidR="00571747" w:rsidP="002371CB" w:rsidRDefault="00571747" w14:paraId="1F4BD638" w14:textId="3B65ED6C">
      <w:pPr>
        <w:pStyle w:val="Heading2"/>
        <w:numPr>
          <w:ilvl w:val="0"/>
          <w:numId w:val="0"/>
        </w:numPr>
        <w:ind w:left="1080"/>
      </w:pPr>
    </w:p>
    <w:p w:rsidRPr="003A637E" w:rsidR="00503144" w:rsidP="002371CB" w:rsidRDefault="00503144" w14:paraId="05452AB9" w14:textId="5A3BE83C">
      <w:pPr>
        <w:pStyle w:val="Heading2"/>
        <w:numPr>
          <w:ilvl w:val="1"/>
          <w:numId w:val="26"/>
        </w:numPr>
        <w:ind w:left="1152" w:hanging="576"/>
      </w:pPr>
      <w:r>
        <w:lastRenderedPageBreak/>
        <w:t>PSP Final Reports</w:t>
      </w:r>
    </w:p>
    <w:p w:rsidRPr="003A637E" w:rsidR="00503144" w:rsidP="00503144" w:rsidRDefault="00503144" w14:paraId="4984C097" w14:textId="1D7543C5">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The PSP </w:t>
      </w:r>
      <w:r>
        <w:rPr>
          <w:rFonts w:ascii="Times New Roman" w:hAnsi="Times New Roman" w:eastAsia="Times New Roman" w:cs="Times New Roman"/>
          <w:sz w:val="24"/>
          <w:szCs w:val="24"/>
        </w:rPr>
        <w:t>has 7</w:t>
      </w:r>
      <w:r w:rsidRPr="003A637E">
        <w:rPr>
          <w:rFonts w:ascii="Times New Roman" w:hAnsi="Times New Roman" w:eastAsia="Times New Roman" w:cs="Times New Roman"/>
          <w:sz w:val="24"/>
          <w:szCs w:val="24"/>
        </w:rPr>
        <w:t xml:space="preserve"> industry partner participants</w:t>
      </w:r>
      <w:r>
        <w:rPr>
          <w:rFonts w:ascii="Times New Roman" w:hAnsi="Times New Roman" w:eastAsia="Times New Roman" w:cs="Times New Roman"/>
          <w:sz w:val="24"/>
          <w:szCs w:val="24"/>
        </w:rPr>
        <w:t>, which is expected to remain fairly stable</w:t>
      </w:r>
      <w:r w:rsidRPr="003A637E">
        <w:rPr>
          <w:rFonts w:ascii="Times New Roman" w:hAnsi="Times New Roman" w:eastAsia="Times New Roman" w:cs="Times New Roman"/>
          <w:sz w:val="24"/>
          <w:szCs w:val="24"/>
        </w:rPr>
        <w:t xml:space="preserve"> for the duration of the data collection as participants join and depart. We estimate for each </w:t>
      </w:r>
      <w:r>
        <w:rPr>
          <w:rFonts w:ascii="Times New Roman" w:hAnsi="Times New Roman" w:eastAsia="Times New Roman" w:cs="Times New Roman"/>
          <w:sz w:val="24"/>
          <w:szCs w:val="24"/>
        </w:rPr>
        <w:t>p</w:t>
      </w:r>
      <w:r w:rsidRPr="003A637E">
        <w:rPr>
          <w:rFonts w:ascii="Times New Roman" w:hAnsi="Times New Roman" w:eastAsia="Times New Roman" w:cs="Times New Roman"/>
          <w:sz w:val="24"/>
          <w:szCs w:val="24"/>
        </w:rPr>
        <w:t xml:space="preserve">articipant, it should take </w:t>
      </w:r>
      <w:r>
        <w:rPr>
          <w:rFonts w:ascii="Times New Roman" w:hAnsi="Times New Roman" w:eastAsia="Times New Roman" w:cs="Times New Roman"/>
          <w:sz w:val="24"/>
          <w:szCs w:val="24"/>
        </w:rPr>
        <w:t>no more than</w:t>
      </w:r>
      <w:r w:rsidRPr="003A637E">
        <w:rPr>
          <w:rFonts w:ascii="Times New Roman" w:hAnsi="Times New Roman" w:eastAsia="Times New Roman" w:cs="Times New Roman"/>
          <w:sz w:val="24"/>
          <w:szCs w:val="24"/>
        </w:rPr>
        <w:t xml:space="preserve"> 40 hours of work time divided amongst its employees to develop the reports</w:t>
      </w:r>
      <w:r>
        <w:rPr>
          <w:rFonts w:ascii="Times New Roman" w:hAnsi="Times New Roman" w:eastAsia="Times New Roman" w:cs="Times New Roman"/>
          <w:sz w:val="24"/>
          <w:szCs w:val="24"/>
        </w:rPr>
        <w:t xml:space="preserve">, and submit them </w:t>
      </w:r>
      <w:r w:rsidRPr="003A637E">
        <w:rPr>
          <w:rFonts w:ascii="Times New Roman" w:hAnsi="Times New Roman" w:eastAsia="Times New Roman" w:cs="Times New Roman"/>
          <w:sz w:val="24"/>
          <w:szCs w:val="24"/>
        </w:rPr>
        <w:t>to the FAA</w:t>
      </w:r>
      <w:r>
        <w:rPr>
          <w:rFonts w:ascii="Times New Roman" w:hAnsi="Times New Roman" w:eastAsia="Times New Roman" w:cs="Times New Roman"/>
          <w:sz w:val="24"/>
          <w:szCs w:val="24"/>
        </w:rPr>
        <w:t>. For the calculation, 4</w:t>
      </w:r>
      <w:r w:rsidRPr="003A637E">
        <w:rPr>
          <w:rFonts w:ascii="Times New Roman" w:hAnsi="Times New Roman" w:eastAsia="Times New Roman" w:cs="Times New Roman"/>
          <w:sz w:val="24"/>
          <w:szCs w:val="24"/>
        </w:rPr>
        <w:t>0 hours was used to ensure that the maximum burden was calculated. As th</w:t>
      </w:r>
      <w:r>
        <w:rPr>
          <w:rFonts w:ascii="Times New Roman" w:hAnsi="Times New Roman" w:eastAsia="Times New Roman" w:cs="Times New Roman"/>
          <w:sz w:val="24"/>
          <w:szCs w:val="24"/>
        </w:rPr>
        <w:t>is is a one-time</w:t>
      </w:r>
      <w:r w:rsidRPr="003A637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submission, at the end of the program</w:t>
      </w:r>
      <w:r w:rsidRPr="003A637E">
        <w:rPr>
          <w:rFonts w:ascii="Times New Roman" w:hAnsi="Times New Roman" w:eastAsia="Times New Roman" w:cs="Times New Roman"/>
          <w:sz w:val="24"/>
          <w:szCs w:val="24"/>
        </w:rPr>
        <w:t xml:space="preserve">, each participant should submit </w:t>
      </w:r>
      <w:r>
        <w:rPr>
          <w:rFonts w:ascii="Times New Roman" w:hAnsi="Times New Roman" w:eastAsia="Times New Roman" w:cs="Times New Roman"/>
          <w:sz w:val="24"/>
          <w:szCs w:val="24"/>
        </w:rPr>
        <w:t>maximum one report total, annualized at 1/3 report per participant</w:t>
      </w:r>
      <w:r w:rsidRPr="003A637E">
        <w:rPr>
          <w:rFonts w:ascii="Times New Roman" w:hAnsi="Times New Roman" w:eastAsia="Times New Roman" w:cs="Times New Roman"/>
          <w:sz w:val="24"/>
          <w:szCs w:val="24"/>
        </w:rPr>
        <w:t xml:space="preserve">. This calculates to a maximum burden of </w:t>
      </w:r>
      <w:r>
        <w:rPr>
          <w:rFonts w:ascii="Times New Roman" w:hAnsi="Times New Roman" w:eastAsia="Times New Roman" w:cs="Times New Roman"/>
          <w:sz w:val="24"/>
          <w:szCs w:val="24"/>
        </w:rPr>
        <w:t xml:space="preserve">93.33 </w:t>
      </w:r>
      <w:r w:rsidRPr="003A637E">
        <w:rPr>
          <w:rFonts w:ascii="Times New Roman" w:hAnsi="Times New Roman" w:eastAsia="Times New Roman" w:cs="Times New Roman"/>
          <w:sz w:val="24"/>
          <w:szCs w:val="24"/>
        </w:rPr>
        <w:t>hours annually. Recordkeeping was not calculated as the reported data should be collected by the participants as a normal course of business. The respondents will be employees of the</w:t>
      </w:r>
      <w:r>
        <w:rPr>
          <w:rFonts w:ascii="Times New Roman" w:hAnsi="Times New Roman" w:eastAsia="Times New Roman" w:cs="Times New Roman"/>
          <w:sz w:val="24"/>
          <w:szCs w:val="24"/>
        </w:rPr>
        <w:t xml:space="preserve"> PSP industry partners</w:t>
      </w:r>
      <w:r w:rsidRPr="003A637E">
        <w:rPr>
          <w:rFonts w:ascii="Times New Roman" w:hAnsi="Times New Roman" w:eastAsia="Times New Roman" w:cs="Times New Roman"/>
          <w:sz w:val="24"/>
          <w:szCs w:val="24"/>
        </w:rPr>
        <w:t xml:space="preserve"> and are likely to be in roles similar to a Management Analyst</w:t>
      </w:r>
      <w:r w:rsidR="00571747">
        <w:rPr>
          <w:rStyle w:val="FootnoteReference"/>
          <w:rFonts w:ascii="Times New Roman" w:hAnsi="Times New Roman" w:eastAsia="Times New Roman" w:cs="Times New Roman"/>
          <w:sz w:val="24"/>
          <w:szCs w:val="24"/>
        </w:rPr>
        <w:footnoteReference w:id="6"/>
      </w:r>
      <w:r w:rsidRPr="003A637E">
        <w:rPr>
          <w:rFonts w:ascii="Times New Roman" w:hAnsi="Times New Roman" w:eastAsia="Times New Roman" w:cs="Times New Roman"/>
          <w:sz w:val="24"/>
          <w:szCs w:val="24"/>
        </w:rPr>
        <w:t xml:space="preserve"> or Project Management Specialist</w:t>
      </w:r>
      <w:r w:rsidR="00571747">
        <w:rPr>
          <w:rStyle w:val="FootnoteReference"/>
          <w:rFonts w:ascii="Times New Roman" w:hAnsi="Times New Roman" w:eastAsia="Times New Roman" w:cs="Times New Roman"/>
          <w:sz w:val="24"/>
          <w:szCs w:val="24"/>
        </w:rPr>
        <w:footnoteReference w:id="7"/>
      </w:r>
      <w:r w:rsidRPr="003A637E">
        <w:rPr>
          <w:rFonts w:ascii="Times New Roman" w:hAnsi="Times New Roman" w:eastAsia="Times New Roman" w:cs="Times New Roman"/>
          <w:sz w:val="24"/>
          <w:szCs w:val="24"/>
        </w:rPr>
        <w:t xml:space="preserve"> role, whose average salaries are $45.94 and $38.57/hour respectively. Assuming the higher cost brings the total maximum cost burden for this data collection to $</w:t>
      </w:r>
      <w:r>
        <w:rPr>
          <w:rFonts w:ascii="Times New Roman" w:hAnsi="Times New Roman" w:eastAsia="Times New Roman" w:cs="Times New Roman"/>
          <w:sz w:val="24"/>
          <w:szCs w:val="24"/>
        </w:rPr>
        <w:t>4,287.73</w:t>
      </w:r>
      <w:r w:rsidRPr="003A637E">
        <w:rPr>
          <w:rFonts w:ascii="Times New Roman" w:hAnsi="Times New Roman" w:eastAsia="Times New Roman" w:cs="Times New Roman"/>
          <w:sz w:val="24"/>
          <w:szCs w:val="24"/>
        </w:rPr>
        <w:t>.</w:t>
      </w:r>
    </w:p>
    <w:p w:rsidRPr="003A637E" w:rsidR="00503144" w:rsidP="00503144" w:rsidRDefault="00503144" w14:paraId="04DD4257" w14:textId="77777777">
      <w:pPr>
        <w:shd w:val="clear" w:color="auto" w:fill="FFFFFF"/>
        <w:spacing w:after="0" w:line="240" w:lineRule="auto"/>
        <w:rPr>
          <w:rFonts w:ascii="Times New Roman" w:hAnsi="Times New Roman" w:eastAsia="Times New Roman" w:cs="Times New Roman"/>
          <w:sz w:val="24"/>
          <w:szCs w:val="24"/>
        </w:rPr>
      </w:pPr>
    </w:p>
    <w:p w:rsidRPr="003A637E" w:rsidR="00503144" w:rsidP="00503144" w:rsidRDefault="00DD3212" w14:paraId="3746C325" w14:textId="46ED8028">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00503144">
        <w:rPr>
          <w:rFonts w:ascii="Times New Roman" w:hAnsi="Times New Roman" w:eastAsia="Times New Roman" w:cs="Times New Roman"/>
          <w:sz w:val="24"/>
          <w:szCs w:val="24"/>
        </w:rPr>
        <w:t xml:space="preserve"> respondents x 1/3 responses per respondent = 2</w:t>
      </w:r>
      <w:r>
        <w:rPr>
          <w:rFonts w:ascii="Times New Roman" w:hAnsi="Times New Roman" w:eastAsia="Times New Roman" w:cs="Times New Roman"/>
          <w:sz w:val="24"/>
          <w:szCs w:val="24"/>
        </w:rPr>
        <w:t>.33</w:t>
      </w:r>
      <w:r w:rsidRPr="003A637E" w:rsidR="00503144">
        <w:rPr>
          <w:rFonts w:ascii="Times New Roman" w:hAnsi="Times New Roman" w:eastAsia="Times New Roman" w:cs="Times New Roman"/>
          <w:sz w:val="24"/>
          <w:szCs w:val="24"/>
        </w:rPr>
        <w:t xml:space="preserve"> responses </w:t>
      </w:r>
    </w:p>
    <w:p w:rsidRPr="003A637E" w:rsidR="00503144" w:rsidP="00503144" w:rsidRDefault="00503144" w14:paraId="30B93D7B" w14:textId="205A68DB">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2.33 responses x 4</w:t>
      </w:r>
      <w:r w:rsidRPr="003A637E">
        <w:rPr>
          <w:rFonts w:ascii="Times New Roman" w:hAnsi="Times New Roman" w:eastAsia="Times New Roman" w:cs="Times New Roman"/>
          <w:sz w:val="24"/>
          <w:szCs w:val="24"/>
        </w:rPr>
        <w:t xml:space="preserve">0 hours = </w:t>
      </w:r>
      <w:r>
        <w:rPr>
          <w:rFonts w:ascii="Times New Roman" w:hAnsi="Times New Roman" w:eastAsia="Times New Roman" w:cs="Times New Roman"/>
          <w:sz w:val="24"/>
          <w:szCs w:val="24"/>
        </w:rPr>
        <w:t>93.3</w:t>
      </w:r>
      <w:r w:rsidR="00AA61DA">
        <w:rPr>
          <w:rFonts w:ascii="Times New Roman" w:hAnsi="Times New Roman" w:eastAsia="Times New Roman" w:cs="Times New Roman"/>
          <w:sz w:val="24"/>
          <w:szCs w:val="24"/>
        </w:rPr>
        <w:t>3</w:t>
      </w:r>
      <w:r w:rsidRPr="003A637E">
        <w:rPr>
          <w:rFonts w:ascii="Times New Roman" w:hAnsi="Times New Roman" w:eastAsia="Times New Roman" w:cs="Times New Roman"/>
          <w:sz w:val="24"/>
          <w:szCs w:val="24"/>
        </w:rPr>
        <w:t xml:space="preserve"> hours</w:t>
      </w:r>
    </w:p>
    <w:p w:rsidR="00503144" w:rsidP="00503144" w:rsidRDefault="00503144" w14:paraId="4D7865C2" w14:textId="566C3381">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93.33</w:t>
      </w:r>
      <w:r w:rsidRPr="003A637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4,287.73</w:t>
      </w:r>
    </w:p>
    <w:p w:rsidR="00CA1E77" w:rsidP="00503144" w:rsidRDefault="00CA1E77" w14:paraId="1000C0B8" w14:textId="77777777">
      <w:pPr>
        <w:shd w:val="clear" w:color="auto" w:fill="FFFFFF"/>
        <w:spacing w:after="0" w:line="240" w:lineRule="auto"/>
        <w:ind w:left="1440"/>
        <w:rPr>
          <w:rFonts w:ascii="Times New Roman" w:hAnsi="Times New Roman" w:eastAsia="Times New Roman" w:cs="Times New Roman"/>
          <w:sz w:val="24"/>
          <w:szCs w:val="24"/>
        </w:rPr>
      </w:pPr>
    </w:p>
    <w:tbl>
      <w:tblPr>
        <w:tblpPr w:leftFromText="180" w:rightFromText="180" w:vertAnchor="text" w:horzAnchor="page" w:tblpXSpec="center" w:tblpY="13"/>
        <w:tblOverlap w:val="never"/>
        <w:tblW w:w="7200" w:type="dxa"/>
        <w:jc w:val="center"/>
        <w:tblLook w:val="04A0" w:firstRow="1" w:lastRow="0" w:firstColumn="1" w:lastColumn="0" w:noHBand="0" w:noVBand="1"/>
      </w:tblPr>
      <w:tblGrid>
        <w:gridCol w:w="3552"/>
        <w:gridCol w:w="1733"/>
        <w:gridCol w:w="1915"/>
      </w:tblGrid>
      <w:tr w:rsidRPr="003A637E" w:rsidR="00571747" w:rsidTr="000B5702" w14:paraId="51986DBF" w14:textId="77777777">
        <w:trPr>
          <w:trHeight w:val="432"/>
          <w:jc w:val="cent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1EE4A7A8"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3A637E" w:rsidR="00571747" w:rsidP="00571747" w:rsidRDefault="00571747" w14:paraId="4500AC40"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3A637E" w:rsidR="00571747" w:rsidP="00571747" w:rsidRDefault="00571747" w14:paraId="45DCF362"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571747" w:rsidTr="000B5702" w14:paraId="1DDE76D6" w14:textId="77777777">
        <w:trPr>
          <w:trHeight w:val="432"/>
          <w:jc w:val="center"/>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5FB72615"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71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103CCA7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9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07304B71" w14:textId="77777777">
            <w:pPr>
              <w:spacing w:after="0" w:line="240" w:lineRule="auto"/>
              <w:jc w:val="center"/>
              <w:rPr>
                <w:rFonts w:ascii="Times New Roman" w:hAnsi="Times New Roman" w:cs="Times New Roman"/>
                <w:sz w:val="24"/>
                <w:szCs w:val="24"/>
              </w:rPr>
            </w:pPr>
          </w:p>
        </w:tc>
      </w:tr>
      <w:tr w:rsidRPr="003A637E" w:rsidR="00571747" w:rsidTr="000B5702" w14:paraId="766628C2" w14:textId="77777777">
        <w:trPr>
          <w:trHeight w:val="432"/>
          <w:jc w:val="center"/>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7A81AEE7"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71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5C1FD8D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9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4CCE92EF" w14:textId="77777777">
            <w:pPr>
              <w:spacing w:after="0" w:line="240" w:lineRule="auto"/>
              <w:jc w:val="center"/>
              <w:rPr>
                <w:rFonts w:ascii="Times New Roman" w:hAnsi="Times New Roman" w:cs="Times New Roman"/>
                <w:sz w:val="24"/>
                <w:szCs w:val="24"/>
              </w:rPr>
            </w:pPr>
          </w:p>
        </w:tc>
      </w:tr>
      <w:tr w:rsidRPr="003A637E" w:rsidR="00571747" w:rsidTr="000B5702" w14:paraId="4DD1FAC5" w14:textId="77777777">
        <w:trPr>
          <w:trHeight w:val="432"/>
          <w:jc w:val="center"/>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483695A9"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71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71183F8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637E">
              <w:rPr>
                <w:rFonts w:ascii="Times New Roman" w:hAnsi="Times New Roman" w:cs="Times New Roman"/>
                <w:sz w:val="24"/>
                <w:szCs w:val="24"/>
              </w:rPr>
              <w:t>0 hours</w:t>
            </w:r>
          </w:p>
        </w:tc>
        <w:tc>
          <w:tcPr>
            <w:tcW w:w="189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4A4ABED1" w14:textId="77777777">
            <w:pPr>
              <w:spacing w:after="0" w:line="240" w:lineRule="auto"/>
              <w:jc w:val="center"/>
              <w:rPr>
                <w:rFonts w:ascii="Times New Roman" w:hAnsi="Times New Roman" w:cs="Times New Roman"/>
                <w:sz w:val="24"/>
                <w:szCs w:val="24"/>
              </w:rPr>
            </w:pPr>
          </w:p>
        </w:tc>
      </w:tr>
      <w:tr w:rsidRPr="003A637E" w:rsidR="00571747" w:rsidTr="000B5702" w14:paraId="563F07F6" w14:textId="77777777">
        <w:trPr>
          <w:trHeight w:val="432"/>
          <w:jc w:val="center"/>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3A637E" w:rsidR="00571747" w:rsidP="00571747" w:rsidRDefault="00571747" w14:paraId="0B8E4125"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71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6B65D94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189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3D4DFC92" w14:textId="77777777">
            <w:pPr>
              <w:spacing w:after="0" w:line="240" w:lineRule="auto"/>
              <w:jc w:val="center"/>
              <w:rPr>
                <w:rFonts w:ascii="Times New Roman" w:hAnsi="Times New Roman" w:cs="Times New Roman"/>
                <w:sz w:val="24"/>
                <w:szCs w:val="24"/>
              </w:rPr>
            </w:pPr>
          </w:p>
        </w:tc>
      </w:tr>
      <w:tr w:rsidRPr="003A637E" w:rsidR="00571747" w:rsidTr="000B5702" w14:paraId="07FE5F30" w14:textId="77777777">
        <w:trPr>
          <w:trHeight w:val="432"/>
          <w:jc w:val="center"/>
        </w:trPr>
        <w:tc>
          <w:tcPr>
            <w:tcW w:w="3505" w:type="dxa"/>
            <w:tcBorders>
              <w:top w:val="nil"/>
              <w:left w:val="single" w:color="auto" w:sz="4" w:space="0"/>
              <w:bottom w:val="single" w:color="auto" w:sz="4" w:space="0"/>
              <w:right w:val="single" w:color="auto" w:sz="4" w:space="0"/>
            </w:tcBorders>
            <w:shd w:val="clear" w:color="auto" w:fill="auto"/>
            <w:noWrap/>
            <w:vAlign w:val="bottom"/>
          </w:tcPr>
          <w:p w:rsidRPr="003A637E" w:rsidR="00571747" w:rsidP="00571747" w:rsidRDefault="00571747" w14:paraId="4B215EAE"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71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5A3A0BC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93.33</w:t>
            </w:r>
          </w:p>
        </w:tc>
        <w:tc>
          <w:tcPr>
            <w:tcW w:w="1890" w:type="dxa"/>
            <w:tcBorders>
              <w:top w:val="nil"/>
              <w:left w:val="nil"/>
              <w:bottom w:val="single" w:color="auto" w:sz="4" w:space="0"/>
              <w:right w:val="single" w:color="auto" w:sz="4" w:space="0"/>
            </w:tcBorders>
            <w:shd w:val="clear" w:color="auto" w:fill="auto"/>
            <w:noWrap/>
            <w:vAlign w:val="bottom"/>
          </w:tcPr>
          <w:p w:rsidRPr="003A637E" w:rsidR="00571747" w:rsidP="00571747" w:rsidRDefault="00571747" w14:paraId="7FE2D7EF" w14:textId="77777777">
            <w:pPr>
              <w:spacing w:after="0" w:line="240" w:lineRule="auto"/>
              <w:jc w:val="center"/>
              <w:rPr>
                <w:rFonts w:ascii="Times New Roman" w:hAnsi="Times New Roman" w:cs="Times New Roman"/>
                <w:sz w:val="24"/>
                <w:szCs w:val="24"/>
              </w:rPr>
            </w:pPr>
          </w:p>
        </w:tc>
      </w:tr>
    </w:tbl>
    <w:p w:rsidR="00503144" w:rsidP="00503144" w:rsidRDefault="00503144" w14:paraId="44967C85" w14:textId="77777777">
      <w:pPr>
        <w:shd w:val="clear" w:color="auto" w:fill="FFFFFF"/>
        <w:spacing w:after="0" w:line="240" w:lineRule="auto"/>
        <w:ind w:left="1440"/>
        <w:rPr>
          <w:rFonts w:ascii="Times New Roman" w:hAnsi="Times New Roman" w:eastAsia="Times New Roman" w:cs="Times New Roman"/>
          <w:sz w:val="24"/>
          <w:szCs w:val="24"/>
        </w:rPr>
      </w:pPr>
    </w:p>
    <w:p w:rsidRPr="003A637E" w:rsidR="00273255" w:rsidP="008E0CB5" w:rsidRDefault="00273255" w14:paraId="07CAF263" w14:textId="59C12F6C">
      <w:pPr>
        <w:pStyle w:val="Heading2"/>
        <w:numPr>
          <w:ilvl w:val="1"/>
          <w:numId w:val="26"/>
        </w:numPr>
        <w:spacing w:before="360"/>
        <w:ind w:left="1152" w:hanging="576"/>
      </w:pPr>
      <w:r w:rsidRPr="003A637E">
        <w:t xml:space="preserve">BEYOND </w:t>
      </w:r>
      <w:r>
        <w:t>Program Withdrawal Report</w:t>
      </w:r>
      <w:r w:rsidR="00464F4C">
        <w:t>s</w:t>
      </w:r>
    </w:p>
    <w:p w:rsidRPr="003A637E" w:rsidR="00273255" w:rsidP="00273255" w:rsidRDefault="00464F4C" w14:paraId="0FC1783D" w14:textId="42769C6C">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BEYOND </w:t>
      </w:r>
      <w:r>
        <w:rPr>
          <w:rFonts w:ascii="Times New Roman" w:hAnsi="Times New Roman" w:eastAsia="Times New Roman" w:cs="Times New Roman"/>
          <w:sz w:val="24"/>
          <w:szCs w:val="24"/>
        </w:rPr>
        <w:t xml:space="preserve">has 8 participants, which </w:t>
      </w:r>
      <w:r w:rsidRPr="003A637E">
        <w:rPr>
          <w:rFonts w:ascii="Times New Roman" w:hAnsi="Times New Roman" w:eastAsia="Times New Roman" w:cs="Times New Roman"/>
          <w:sz w:val="24"/>
          <w:szCs w:val="24"/>
        </w:rPr>
        <w:t xml:space="preserve">is expected to remain </w:t>
      </w:r>
      <w:r>
        <w:rPr>
          <w:rFonts w:ascii="Times New Roman" w:hAnsi="Times New Roman" w:eastAsia="Times New Roman" w:cs="Times New Roman"/>
          <w:sz w:val="24"/>
          <w:szCs w:val="24"/>
        </w:rPr>
        <w:t>the same throughout the program, if not decrease</w:t>
      </w:r>
      <w:r w:rsidRPr="003A637E">
        <w:rPr>
          <w:rFonts w:ascii="Times New Roman" w:hAnsi="Times New Roman" w:eastAsia="Times New Roman" w:cs="Times New Roman"/>
          <w:sz w:val="24"/>
          <w:szCs w:val="24"/>
        </w:rPr>
        <w:t xml:space="preserve">. </w:t>
      </w:r>
      <w:r w:rsidR="00D447E9">
        <w:rPr>
          <w:rFonts w:ascii="Times New Roman" w:hAnsi="Times New Roman" w:eastAsia="Times New Roman" w:cs="Times New Roman"/>
          <w:sz w:val="24"/>
          <w:szCs w:val="24"/>
        </w:rPr>
        <w:t>For BEYOND we expect that most</w:t>
      </w:r>
      <w:r w:rsidR="00503144">
        <w:rPr>
          <w:rFonts w:ascii="Times New Roman" w:hAnsi="Times New Roman" w:eastAsia="Times New Roman" w:cs="Times New Roman"/>
          <w:sz w:val="24"/>
          <w:szCs w:val="24"/>
        </w:rPr>
        <w:t xml:space="preserve"> p</w:t>
      </w:r>
      <w:r w:rsidR="00D447E9">
        <w:rPr>
          <w:rFonts w:ascii="Times New Roman" w:hAnsi="Times New Roman" w:eastAsia="Times New Roman" w:cs="Times New Roman"/>
          <w:sz w:val="24"/>
          <w:szCs w:val="24"/>
        </w:rPr>
        <w:t xml:space="preserve">articipants will never complete the form. However, we will assume one report per </w:t>
      </w:r>
      <w:r w:rsidR="00503144">
        <w:rPr>
          <w:rFonts w:ascii="Times New Roman" w:hAnsi="Times New Roman" w:eastAsia="Times New Roman" w:cs="Times New Roman"/>
          <w:sz w:val="24"/>
          <w:szCs w:val="24"/>
        </w:rPr>
        <w:t>p</w:t>
      </w:r>
      <w:r w:rsidR="00D447E9">
        <w:rPr>
          <w:rFonts w:ascii="Times New Roman" w:hAnsi="Times New Roman" w:eastAsia="Times New Roman" w:cs="Times New Roman"/>
          <w:sz w:val="24"/>
          <w:szCs w:val="24"/>
        </w:rPr>
        <w:t>articipant, annualized at 1/3 report per year.</w:t>
      </w:r>
      <w:r w:rsidR="00273255">
        <w:rPr>
          <w:rFonts w:ascii="Times New Roman" w:hAnsi="Times New Roman" w:eastAsia="Times New Roman" w:cs="Times New Roman"/>
          <w:sz w:val="24"/>
          <w:szCs w:val="24"/>
        </w:rPr>
        <w:t xml:space="preserve"> </w:t>
      </w:r>
      <w:r w:rsidRPr="003A637E" w:rsidR="00273255">
        <w:rPr>
          <w:rFonts w:ascii="Times New Roman" w:hAnsi="Times New Roman" w:eastAsia="Times New Roman" w:cs="Times New Roman"/>
          <w:sz w:val="24"/>
          <w:szCs w:val="24"/>
        </w:rPr>
        <w:t xml:space="preserve">We estimate for each </w:t>
      </w:r>
      <w:r w:rsidR="00273255">
        <w:rPr>
          <w:rFonts w:ascii="Times New Roman" w:hAnsi="Times New Roman" w:eastAsia="Times New Roman" w:cs="Times New Roman"/>
          <w:sz w:val="24"/>
          <w:szCs w:val="24"/>
        </w:rPr>
        <w:t>p</w:t>
      </w:r>
      <w:r w:rsidRPr="003A637E" w:rsidR="00273255">
        <w:rPr>
          <w:rFonts w:ascii="Times New Roman" w:hAnsi="Times New Roman" w:eastAsia="Times New Roman" w:cs="Times New Roman"/>
          <w:sz w:val="24"/>
          <w:szCs w:val="24"/>
        </w:rPr>
        <w:t xml:space="preserve">articipant, it should take </w:t>
      </w:r>
      <w:r w:rsidR="00273255">
        <w:rPr>
          <w:rFonts w:ascii="Times New Roman" w:hAnsi="Times New Roman" w:eastAsia="Times New Roman" w:cs="Times New Roman"/>
          <w:sz w:val="24"/>
          <w:szCs w:val="24"/>
        </w:rPr>
        <w:t>no more than</w:t>
      </w:r>
      <w:r w:rsidRPr="003A637E" w:rsidR="00273255">
        <w:rPr>
          <w:rFonts w:ascii="Times New Roman" w:hAnsi="Times New Roman" w:eastAsia="Times New Roman" w:cs="Times New Roman"/>
          <w:sz w:val="24"/>
          <w:szCs w:val="24"/>
        </w:rPr>
        <w:t xml:space="preserve"> 40 hours of work time divided amongst its employees to develop the reports</w:t>
      </w:r>
      <w:r w:rsidR="00273255">
        <w:rPr>
          <w:rFonts w:ascii="Times New Roman" w:hAnsi="Times New Roman" w:eastAsia="Times New Roman" w:cs="Times New Roman"/>
          <w:sz w:val="24"/>
          <w:szCs w:val="24"/>
        </w:rPr>
        <w:t xml:space="preserve">, and submit them </w:t>
      </w:r>
      <w:r w:rsidRPr="003A637E" w:rsidR="00273255">
        <w:rPr>
          <w:rFonts w:ascii="Times New Roman" w:hAnsi="Times New Roman" w:eastAsia="Times New Roman" w:cs="Times New Roman"/>
          <w:sz w:val="24"/>
          <w:szCs w:val="24"/>
        </w:rPr>
        <w:t>to the FAA</w:t>
      </w:r>
      <w:r w:rsidR="00273255">
        <w:rPr>
          <w:rFonts w:ascii="Times New Roman" w:hAnsi="Times New Roman" w:eastAsia="Times New Roman" w:cs="Times New Roman"/>
          <w:sz w:val="24"/>
          <w:szCs w:val="24"/>
        </w:rPr>
        <w:t>. For the calculation, 4</w:t>
      </w:r>
      <w:r w:rsidRPr="003A637E" w:rsidR="00273255">
        <w:rPr>
          <w:rFonts w:ascii="Times New Roman" w:hAnsi="Times New Roman" w:eastAsia="Times New Roman" w:cs="Times New Roman"/>
          <w:sz w:val="24"/>
          <w:szCs w:val="24"/>
        </w:rPr>
        <w:t xml:space="preserve">0 hours was used to ensure that the </w:t>
      </w:r>
      <w:r w:rsidR="00D447E9">
        <w:rPr>
          <w:rFonts w:ascii="Times New Roman" w:hAnsi="Times New Roman" w:eastAsia="Times New Roman" w:cs="Times New Roman"/>
          <w:sz w:val="24"/>
          <w:szCs w:val="24"/>
        </w:rPr>
        <w:t xml:space="preserve">maximum burden was calculated. </w:t>
      </w:r>
      <w:r w:rsidRPr="003A637E" w:rsidR="00273255">
        <w:rPr>
          <w:rFonts w:ascii="Times New Roman" w:hAnsi="Times New Roman" w:eastAsia="Times New Roman" w:cs="Times New Roman"/>
          <w:sz w:val="24"/>
          <w:szCs w:val="24"/>
        </w:rPr>
        <w:t xml:space="preserve">This calculates to a maximum burden of </w:t>
      </w:r>
      <w:r>
        <w:rPr>
          <w:rFonts w:ascii="Times New Roman" w:hAnsi="Times New Roman" w:eastAsia="Times New Roman" w:cs="Times New Roman"/>
          <w:sz w:val="24"/>
          <w:szCs w:val="24"/>
        </w:rPr>
        <w:t>106.8</w:t>
      </w:r>
      <w:r w:rsidR="00273255">
        <w:rPr>
          <w:rFonts w:ascii="Times New Roman" w:hAnsi="Times New Roman" w:eastAsia="Times New Roman" w:cs="Times New Roman"/>
          <w:sz w:val="24"/>
          <w:szCs w:val="24"/>
        </w:rPr>
        <w:t xml:space="preserve"> </w:t>
      </w:r>
      <w:r w:rsidRPr="003A637E" w:rsidR="00273255">
        <w:rPr>
          <w:rFonts w:ascii="Times New Roman" w:hAnsi="Times New Roman" w:eastAsia="Times New Roman" w:cs="Times New Roman"/>
          <w:sz w:val="24"/>
          <w:szCs w:val="24"/>
        </w:rPr>
        <w:t>hours annually. Recordkeeping was not calculated as the reported data should be collected by the participants as a normal course of business. The respondents will be employees o</w:t>
      </w:r>
      <w:r w:rsidR="00D447E9">
        <w:rPr>
          <w:rFonts w:ascii="Times New Roman" w:hAnsi="Times New Roman" w:eastAsia="Times New Roman" w:cs="Times New Roman"/>
          <w:sz w:val="24"/>
          <w:szCs w:val="24"/>
        </w:rPr>
        <w:t>f the BEYOND Lead Participants</w:t>
      </w:r>
      <w:r w:rsidRPr="003A637E" w:rsidR="00273255">
        <w:rPr>
          <w:rFonts w:ascii="Times New Roman" w:hAnsi="Times New Roman" w:eastAsia="Times New Roman" w:cs="Times New Roman"/>
          <w:sz w:val="24"/>
          <w:szCs w:val="24"/>
        </w:rPr>
        <w:t xml:space="preserve"> </w:t>
      </w:r>
      <w:r w:rsidRPr="003A637E" w:rsidR="00273255">
        <w:rPr>
          <w:rFonts w:ascii="Times New Roman" w:hAnsi="Times New Roman" w:eastAsia="Times New Roman" w:cs="Times New Roman"/>
          <w:sz w:val="24"/>
          <w:szCs w:val="24"/>
        </w:rPr>
        <w:lastRenderedPageBreak/>
        <w:t>and are likely to be in roles similar to a Management Analyst</w:t>
      </w:r>
      <w:r w:rsidR="008E0CB5">
        <w:rPr>
          <w:rFonts w:ascii="Times New Roman" w:hAnsi="Times New Roman" w:eastAsia="Times New Roman" w:cs="Times New Roman"/>
          <w:sz w:val="24"/>
          <w:szCs w:val="24"/>
          <w:vertAlign w:val="superscript"/>
        </w:rPr>
        <w:t>7</w:t>
      </w:r>
      <w:r w:rsidRPr="003A637E" w:rsidR="00273255">
        <w:rPr>
          <w:rFonts w:ascii="Times New Roman" w:hAnsi="Times New Roman" w:eastAsia="Times New Roman" w:cs="Times New Roman"/>
          <w:sz w:val="24"/>
          <w:szCs w:val="24"/>
        </w:rPr>
        <w:t xml:space="preserve"> or Project Management Specialist</w:t>
      </w:r>
      <w:r w:rsidR="008E0CB5">
        <w:rPr>
          <w:rFonts w:ascii="Times New Roman" w:hAnsi="Times New Roman" w:eastAsia="Times New Roman" w:cs="Times New Roman"/>
          <w:sz w:val="24"/>
          <w:szCs w:val="24"/>
          <w:vertAlign w:val="superscript"/>
        </w:rPr>
        <w:t>8</w:t>
      </w:r>
      <w:r w:rsidRPr="003A637E" w:rsidR="00273255">
        <w:rPr>
          <w:rFonts w:ascii="Times New Roman" w:hAnsi="Times New Roman" w:eastAsia="Times New Roman" w:cs="Times New Roman"/>
          <w:sz w:val="24"/>
          <w:szCs w:val="24"/>
        </w:rPr>
        <w:t xml:space="preserve"> role, whose average salaries are $45.94 and $38.57/hour respectively. Assuming the higher cost brings the total maximum cost burden for this data collection to $</w:t>
      </w:r>
      <w:r>
        <w:rPr>
          <w:rFonts w:ascii="Times New Roman" w:hAnsi="Times New Roman" w:eastAsia="Times New Roman" w:cs="Times New Roman"/>
          <w:sz w:val="24"/>
          <w:szCs w:val="24"/>
        </w:rPr>
        <w:t>4,906.39</w:t>
      </w:r>
      <w:r w:rsidR="00D447E9">
        <w:rPr>
          <w:rFonts w:ascii="Times New Roman" w:hAnsi="Times New Roman" w:eastAsia="Times New Roman" w:cs="Times New Roman"/>
          <w:sz w:val="24"/>
          <w:szCs w:val="24"/>
        </w:rPr>
        <w:t>.</w:t>
      </w:r>
    </w:p>
    <w:p w:rsidRPr="003A637E" w:rsidR="00273255" w:rsidP="00273255" w:rsidRDefault="00273255" w14:paraId="0C2E7F73" w14:textId="77777777">
      <w:pPr>
        <w:shd w:val="clear" w:color="auto" w:fill="FFFFFF"/>
        <w:spacing w:after="0" w:line="240" w:lineRule="auto"/>
        <w:rPr>
          <w:rFonts w:ascii="Times New Roman" w:hAnsi="Times New Roman" w:eastAsia="Times New Roman" w:cs="Times New Roman"/>
          <w:sz w:val="24"/>
          <w:szCs w:val="24"/>
        </w:rPr>
      </w:pPr>
    </w:p>
    <w:p w:rsidRPr="003A637E" w:rsidR="00273255" w:rsidP="00273255" w:rsidRDefault="00464F4C" w14:paraId="6EDC1699" w14:textId="2A69B9C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00273255">
        <w:rPr>
          <w:rFonts w:ascii="Times New Roman" w:hAnsi="Times New Roman" w:eastAsia="Times New Roman" w:cs="Times New Roman"/>
          <w:sz w:val="24"/>
          <w:szCs w:val="24"/>
        </w:rPr>
        <w:t xml:space="preserve"> respondents x 1/3 responses per respondent = </w:t>
      </w:r>
      <w:r>
        <w:rPr>
          <w:rFonts w:ascii="Times New Roman" w:hAnsi="Times New Roman" w:eastAsia="Times New Roman" w:cs="Times New Roman"/>
          <w:sz w:val="24"/>
          <w:szCs w:val="24"/>
        </w:rPr>
        <w:t>2.67</w:t>
      </w:r>
      <w:r w:rsidRPr="003A637E" w:rsidR="00273255">
        <w:rPr>
          <w:rFonts w:ascii="Times New Roman" w:hAnsi="Times New Roman" w:eastAsia="Times New Roman" w:cs="Times New Roman"/>
          <w:sz w:val="24"/>
          <w:szCs w:val="24"/>
        </w:rPr>
        <w:t xml:space="preserve"> responses </w:t>
      </w:r>
    </w:p>
    <w:p w:rsidRPr="003A637E" w:rsidR="00273255" w:rsidP="00273255" w:rsidRDefault="00464F4C" w14:paraId="0C5BD1CA" w14:textId="4DC9900C">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r w:rsidR="00273255">
        <w:rPr>
          <w:rFonts w:ascii="Times New Roman" w:hAnsi="Times New Roman" w:eastAsia="Times New Roman" w:cs="Times New Roman"/>
          <w:sz w:val="24"/>
          <w:szCs w:val="24"/>
        </w:rPr>
        <w:t xml:space="preserve"> responses x 4</w:t>
      </w:r>
      <w:r w:rsidRPr="003A637E" w:rsidR="00273255">
        <w:rPr>
          <w:rFonts w:ascii="Times New Roman" w:hAnsi="Times New Roman" w:eastAsia="Times New Roman" w:cs="Times New Roman"/>
          <w:sz w:val="24"/>
          <w:szCs w:val="24"/>
        </w:rPr>
        <w:t xml:space="preserve">0 hours = </w:t>
      </w:r>
      <w:r>
        <w:rPr>
          <w:rFonts w:ascii="Times New Roman" w:hAnsi="Times New Roman" w:eastAsia="Times New Roman" w:cs="Times New Roman"/>
          <w:sz w:val="24"/>
          <w:szCs w:val="24"/>
        </w:rPr>
        <w:t>106.8</w:t>
      </w:r>
      <w:r w:rsidRPr="003A637E" w:rsidR="00273255">
        <w:rPr>
          <w:rFonts w:ascii="Times New Roman" w:hAnsi="Times New Roman" w:eastAsia="Times New Roman" w:cs="Times New Roman"/>
          <w:sz w:val="24"/>
          <w:szCs w:val="24"/>
        </w:rPr>
        <w:t xml:space="preserve"> hours</w:t>
      </w:r>
    </w:p>
    <w:p w:rsidRPr="003A637E" w:rsidR="00273255" w:rsidP="00273255" w:rsidRDefault="00D447E9" w14:paraId="398BDC91" w14:textId="65BA8E91">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464F4C">
        <w:rPr>
          <w:rFonts w:ascii="Times New Roman" w:hAnsi="Times New Roman" w:eastAsia="Times New Roman" w:cs="Times New Roman"/>
          <w:sz w:val="24"/>
          <w:szCs w:val="24"/>
        </w:rPr>
        <w:t>06.8</w:t>
      </w:r>
      <w:r w:rsidRPr="003A637E" w:rsidR="00273255">
        <w:rPr>
          <w:rFonts w:ascii="Times New Roman" w:hAnsi="Times New Roman" w:eastAsia="Times New Roman" w:cs="Times New Roman"/>
          <w:sz w:val="24"/>
          <w:szCs w:val="24"/>
        </w:rPr>
        <w:t xml:space="preserve"> hours x $45.94 per hour = $</w:t>
      </w:r>
      <w:r w:rsidR="00464F4C">
        <w:rPr>
          <w:rFonts w:ascii="Times New Roman" w:hAnsi="Times New Roman" w:eastAsia="Times New Roman" w:cs="Times New Roman"/>
          <w:sz w:val="24"/>
          <w:szCs w:val="24"/>
        </w:rPr>
        <w:t>4,906.39</w:t>
      </w:r>
    </w:p>
    <w:p w:rsidRPr="003A637E" w:rsidR="00273255" w:rsidP="00273255" w:rsidRDefault="00273255" w14:paraId="45998AA1" w14:textId="77777777">
      <w:pPr>
        <w:shd w:val="clear" w:color="auto" w:fill="FFFFFF"/>
        <w:spacing w:after="0" w:line="240" w:lineRule="auto"/>
        <w:rPr>
          <w:rFonts w:ascii="Times New Roman" w:hAnsi="Times New Roman" w:eastAsia="Times New Roman" w:cs="Times New Roman"/>
          <w:sz w:val="24"/>
          <w:szCs w:val="24"/>
        </w:rPr>
      </w:pPr>
    </w:p>
    <w:tbl>
      <w:tblPr>
        <w:tblW w:w="7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45"/>
        <w:gridCol w:w="1710"/>
        <w:gridCol w:w="1943"/>
      </w:tblGrid>
      <w:tr w:rsidRPr="003A637E" w:rsidR="00FF1CE3" w:rsidTr="000B5702" w14:paraId="12810787" w14:textId="77777777">
        <w:trPr>
          <w:trHeight w:val="432"/>
          <w:jc w:val="center"/>
        </w:trPr>
        <w:tc>
          <w:tcPr>
            <w:tcW w:w="4045" w:type="dxa"/>
            <w:shd w:val="clear" w:color="auto" w:fill="auto"/>
            <w:noWrap/>
            <w:vAlign w:val="bottom"/>
            <w:hideMark/>
          </w:tcPr>
          <w:p w:rsidRPr="003A637E" w:rsidR="00FF1CE3" w:rsidP="00CA1E77" w:rsidRDefault="00FF1CE3" w14:paraId="2E68282B"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710" w:type="dxa"/>
            <w:shd w:val="clear" w:color="auto" w:fill="auto"/>
            <w:noWrap/>
            <w:vAlign w:val="bottom"/>
            <w:hideMark/>
          </w:tcPr>
          <w:p w:rsidRPr="003A637E" w:rsidR="00FF1CE3" w:rsidP="00CA1E77" w:rsidRDefault="00FF1CE3" w14:paraId="6CD9BFC0"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943" w:type="dxa"/>
            <w:shd w:val="clear" w:color="auto" w:fill="auto"/>
            <w:noWrap/>
            <w:vAlign w:val="bottom"/>
            <w:hideMark/>
          </w:tcPr>
          <w:p w:rsidRPr="003A637E" w:rsidR="00FF1CE3" w:rsidP="00CA1E77" w:rsidRDefault="00FF1CE3" w14:paraId="789E298C"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FF1CE3" w:rsidTr="000B5702" w14:paraId="25CBA9C3" w14:textId="77777777">
        <w:trPr>
          <w:trHeight w:val="432"/>
          <w:jc w:val="center"/>
        </w:trPr>
        <w:tc>
          <w:tcPr>
            <w:tcW w:w="4045" w:type="dxa"/>
            <w:shd w:val="clear" w:color="auto" w:fill="auto"/>
            <w:noWrap/>
            <w:vAlign w:val="bottom"/>
            <w:hideMark/>
          </w:tcPr>
          <w:p w:rsidRPr="003A637E" w:rsidR="00FF1CE3" w:rsidP="00CA1E77" w:rsidRDefault="00FF1CE3" w14:paraId="7B0A73BF"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710" w:type="dxa"/>
            <w:shd w:val="clear" w:color="auto" w:fill="auto"/>
            <w:noWrap/>
            <w:vAlign w:val="bottom"/>
          </w:tcPr>
          <w:p w:rsidRPr="003A637E" w:rsidR="00FF1CE3" w:rsidP="00CA1E77" w:rsidRDefault="00FF1CE3" w14:paraId="5B075EF2" w14:textId="71C8FB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43" w:type="dxa"/>
            <w:shd w:val="clear" w:color="auto" w:fill="auto"/>
            <w:noWrap/>
            <w:vAlign w:val="bottom"/>
          </w:tcPr>
          <w:p w:rsidRPr="003A637E" w:rsidR="00FF1CE3" w:rsidP="00CA1E77" w:rsidRDefault="00FF1CE3" w14:paraId="44D24DCB" w14:textId="77777777">
            <w:pPr>
              <w:spacing w:after="0" w:line="240" w:lineRule="auto"/>
              <w:jc w:val="center"/>
              <w:rPr>
                <w:rFonts w:ascii="Times New Roman" w:hAnsi="Times New Roman" w:cs="Times New Roman"/>
                <w:sz w:val="24"/>
                <w:szCs w:val="24"/>
              </w:rPr>
            </w:pPr>
          </w:p>
        </w:tc>
      </w:tr>
      <w:tr w:rsidRPr="003A637E" w:rsidR="00FF1CE3" w:rsidTr="000B5702" w14:paraId="75CCCF01" w14:textId="77777777">
        <w:trPr>
          <w:trHeight w:val="432"/>
          <w:jc w:val="center"/>
        </w:trPr>
        <w:tc>
          <w:tcPr>
            <w:tcW w:w="4045" w:type="dxa"/>
            <w:shd w:val="clear" w:color="auto" w:fill="auto"/>
            <w:noWrap/>
            <w:vAlign w:val="bottom"/>
            <w:hideMark/>
          </w:tcPr>
          <w:p w:rsidRPr="003A637E" w:rsidR="00FF1CE3" w:rsidP="00CA1E77" w:rsidRDefault="00FF1CE3" w14:paraId="113C518B"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710" w:type="dxa"/>
            <w:shd w:val="clear" w:color="auto" w:fill="auto"/>
            <w:noWrap/>
            <w:vAlign w:val="bottom"/>
          </w:tcPr>
          <w:p w:rsidRPr="003A637E" w:rsidR="00FF1CE3" w:rsidP="00CA1E77" w:rsidRDefault="00FF1CE3" w14:paraId="521101B5"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943" w:type="dxa"/>
            <w:shd w:val="clear" w:color="auto" w:fill="auto"/>
            <w:noWrap/>
            <w:vAlign w:val="bottom"/>
          </w:tcPr>
          <w:p w:rsidRPr="003A637E" w:rsidR="00FF1CE3" w:rsidP="00CA1E77" w:rsidRDefault="00FF1CE3" w14:paraId="717B7024" w14:textId="77777777">
            <w:pPr>
              <w:spacing w:after="0" w:line="240" w:lineRule="auto"/>
              <w:jc w:val="center"/>
              <w:rPr>
                <w:rFonts w:ascii="Times New Roman" w:hAnsi="Times New Roman" w:cs="Times New Roman"/>
                <w:sz w:val="24"/>
                <w:szCs w:val="24"/>
              </w:rPr>
            </w:pPr>
          </w:p>
        </w:tc>
      </w:tr>
      <w:tr w:rsidRPr="003A637E" w:rsidR="00FF1CE3" w:rsidTr="000B5702" w14:paraId="27A769F7" w14:textId="77777777">
        <w:trPr>
          <w:trHeight w:val="432"/>
          <w:jc w:val="center"/>
        </w:trPr>
        <w:tc>
          <w:tcPr>
            <w:tcW w:w="4045" w:type="dxa"/>
            <w:shd w:val="clear" w:color="auto" w:fill="auto"/>
            <w:noWrap/>
            <w:vAlign w:val="bottom"/>
            <w:hideMark/>
          </w:tcPr>
          <w:p w:rsidRPr="003A637E" w:rsidR="00FF1CE3" w:rsidP="00CA1E77" w:rsidRDefault="00FF1CE3" w14:paraId="4D2E6195"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710" w:type="dxa"/>
            <w:shd w:val="clear" w:color="auto" w:fill="auto"/>
            <w:noWrap/>
            <w:vAlign w:val="bottom"/>
          </w:tcPr>
          <w:p w:rsidRPr="003A637E" w:rsidR="00FF1CE3" w:rsidP="00CA1E77" w:rsidRDefault="00FF1CE3" w14:paraId="076273A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3A637E">
              <w:rPr>
                <w:rFonts w:ascii="Times New Roman" w:hAnsi="Times New Roman" w:cs="Times New Roman"/>
                <w:sz w:val="24"/>
                <w:szCs w:val="24"/>
              </w:rPr>
              <w:t>0 hours</w:t>
            </w:r>
          </w:p>
        </w:tc>
        <w:tc>
          <w:tcPr>
            <w:tcW w:w="1943" w:type="dxa"/>
            <w:shd w:val="clear" w:color="auto" w:fill="auto"/>
            <w:noWrap/>
            <w:vAlign w:val="bottom"/>
          </w:tcPr>
          <w:p w:rsidRPr="003A637E" w:rsidR="00FF1CE3" w:rsidP="00CA1E77" w:rsidRDefault="00FF1CE3" w14:paraId="66FBEEC3" w14:textId="77777777">
            <w:pPr>
              <w:spacing w:after="0" w:line="240" w:lineRule="auto"/>
              <w:jc w:val="center"/>
              <w:rPr>
                <w:rFonts w:ascii="Times New Roman" w:hAnsi="Times New Roman" w:cs="Times New Roman"/>
                <w:sz w:val="24"/>
                <w:szCs w:val="24"/>
              </w:rPr>
            </w:pPr>
          </w:p>
        </w:tc>
      </w:tr>
      <w:tr w:rsidRPr="003A637E" w:rsidR="00FF1CE3" w:rsidTr="000B5702" w14:paraId="5F844ACF" w14:textId="77777777">
        <w:trPr>
          <w:trHeight w:val="432"/>
          <w:jc w:val="center"/>
        </w:trPr>
        <w:tc>
          <w:tcPr>
            <w:tcW w:w="4045" w:type="dxa"/>
            <w:shd w:val="clear" w:color="auto" w:fill="auto"/>
            <w:noWrap/>
            <w:vAlign w:val="bottom"/>
            <w:hideMark/>
          </w:tcPr>
          <w:p w:rsidRPr="003A637E" w:rsidR="00FF1CE3" w:rsidP="00CA1E77" w:rsidRDefault="00FF1CE3" w14:paraId="5C9901F8"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710" w:type="dxa"/>
            <w:shd w:val="clear" w:color="auto" w:fill="auto"/>
            <w:noWrap/>
            <w:vAlign w:val="bottom"/>
          </w:tcPr>
          <w:p w:rsidRPr="003A637E" w:rsidR="00FF1CE3" w:rsidP="00CA1E77" w:rsidRDefault="00FF1CE3" w14:paraId="74ED6DBE" w14:textId="23234A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1943" w:type="dxa"/>
            <w:shd w:val="clear" w:color="auto" w:fill="auto"/>
            <w:noWrap/>
            <w:vAlign w:val="bottom"/>
          </w:tcPr>
          <w:p w:rsidRPr="003A637E" w:rsidR="00FF1CE3" w:rsidP="00CA1E77" w:rsidRDefault="00FF1CE3" w14:paraId="53980C61" w14:textId="77777777">
            <w:pPr>
              <w:spacing w:after="0" w:line="240" w:lineRule="auto"/>
              <w:jc w:val="center"/>
              <w:rPr>
                <w:rFonts w:ascii="Times New Roman" w:hAnsi="Times New Roman" w:cs="Times New Roman"/>
                <w:sz w:val="24"/>
                <w:szCs w:val="24"/>
              </w:rPr>
            </w:pPr>
          </w:p>
        </w:tc>
      </w:tr>
      <w:tr w:rsidRPr="003A637E" w:rsidR="00FF1CE3" w:rsidTr="000B5702" w14:paraId="02E4761A" w14:textId="77777777">
        <w:trPr>
          <w:trHeight w:val="432"/>
          <w:jc w:val="center"/>
        </w:trPr>
        <w:tc>
          <w:tcPr>
            <w:tcW w:w="4045" w:type="dxa"/>
            <w:shd w:val="clear" w:color="auto" w:fill="auto"/>
            <w:noWrap/>
            <w:vAlign w:val="bottom"/>
          </w:tcPr>
          <w:p w:rsidRPr="003A637E" w:rsidR="00FF1CE3" w:rsidP="00CA1E77" w:rsidRDefault="00FF1CE3" w14:paraId="7136E0CE"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710" w:type="dxa"/>
            <w:shd w:val="clear" w:color="auto" w:fill="auto"/>
            <w:noWrap/>
            <w:vAlign w:val="bottom"/>
          </w:tcPr>
          <w:p w:rsidRPr="003A637E" w:rsidR="00FF1CE3" w:rsidP="00CA1E77" w:rsidRDefault="00FF1CE3" w14:paraId="615B3778" w14:textId="1BE89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106.8</w:t>
            </w:r>
          </w:p>
        </w:tc>
        <w:tc>
          <w:tcPr>
            <w:tcW w:w="1943" w:type="dxa"/>
            <w:shd w:val="clear" w:color="auto" w:fill="auto"/>
            <w:noWrap/>
            <w:vAlign w:val="bottom"/>
          </w:tcPr>
          <w:p w:rsidRPr="003A637E" w:rsidR="00FF1CE3" w:rsidP="00CA1E77" w:rsidRDefault="00FF1CE3" w14:paraId="036BE185" w14:textId="77777777">
            <w:pPr>
              <w:spacing w:after="0" w:line="240" w:lineRule="auto"/>
              <w:jc w:val="center"/>
              <w:rPr>
                <w:rFonts w:ascii="Times New Roman" w:hAnsi="Times New Roman" w:cs="Times New Roman"/>
                <w:sz w:val="24"/>
                <w:szCs w:val="24"/>
              </w:rPr>
            </w:pPr>
          </w:p>
        </w:tc>
      </w:tr>
    </w:tbl>
    <w:p w:rsidR="00057804" w:rsidRDefault="00057804" w14:paraId="15C6CC92" w14:textId="77777777">
      <w:pPr>
        <w:pStyle w:val="Heading2"/>
        <w:numPr>
          <w:ilvl w:val="0"/>
          <w:numId w:val="0"/>
        </w:numPr>
      </w:pPr>
    </w:p>
    <w:p w:rsidRPr="00973232" w:rsidR="00464F4C" w:rsidP="00C143B2" w:rsidRDefault="00464F4C" w14:paraId="771FC9B0" w14:textId="206E8753">
      <w:pPr>
        <w:pStyle w:val="Heading2"/>
        <w:numPr>
          <w:ilvl w:val="0"/>
          <w:numId w:val="10"/>
        </w:numPr>
        <w:ind w:left="360"/>
        <w:rPr>
          <w:u w:val="single"/>
        </w:rPr>
      </w:pPr>
      <w:r>
        <w:rPr>
          <w:u w:val="single"/>
        </w:rPr>
        <w:t>OPERATION</w:t>
      </w:r>
      <w:r w:rsidR="00503144">
        <w:rPr>
          <w:u w:val="single"/>
        </w:rPr>
        <w:t>AL</w:t>
      </w:r>
      <w:r>
        <w:rPr>
          <w:u w:val="single"/>
        </w:rPr>
        <w:t xml:space="preserve"> DATA</w:t>
      </w:r>
      <w:r w:rsidRPr="003C7F98">
        <w:rPr>
          <w:u w:val="single"/>
        </w:rPr>
        <w:t xml:space="preserve"> REPORTS</w:t>
      </w:r>
    </w:p>
    <w:p w:rsidRPr="003A637E" w:rsidR="00503144" w:rsidP="002371CB" w:rsidRDefault="00503144" w14:paraId="616A8F06" w14:textId="77777777">
      <w:pPr>
        <w:pStyle w:val="Heading2"/>
        <w:numPr>
          <w:ilvl w:val="1"/>
          <w:numId w:val="26"/>
        </w:numPr>
        <w:ind w:left="1152" w:hanging="576"/>
      </w:pPr>
      <w:r w:rsidRPr="003A637E">
        <w:t xml:space="preserve">Unmanned Aircraft System (UAS) Characteristics </w:t>
      </w:r>
      <w:r>
        <w:t>Reports</w:t>
      </w:r>
    </w:p>
    <w:p w:rsidRPr="003A637E" w:rsidR="00503144" w:rsidP="00503144" w:rsidRDefault="00503144" w14:paraId="4FFDBB09" w14:textId="13BEFDD5">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PSP and BEYOND participants </w:t>
      </w:r>
      <w:r>
        <w:rPr>
          <w:rFonts w:ascii="Times New Roman" w:hAnsi="Times New Roman" w:eastAsia="Times New Roman" w:cs="Times New Roman"/>
          <w:sz w:val="24"/>
          <w:szCs w:val="24"/>
        </w:rPr>
        <w:t>will complete these reports, so there will be 15</w:t>
      </w:r>
      <w:r w:rsidRPr="003A637E">
        <w:rPr>
          <w:rFonts w:ascii="Times New Roman" w:hAnsi="Times New Roman" w:eastAsia="Times New Roman" w:cs="Times New Roman"/>
          <w:sz w:val="24"/>
          <w:szCs w:val="24"/>
        </w:rPr>
        <w:t xml:space="preserve"> participants combined.</w:t>
      </w:r>
      <w:r>
        <w:rPr>
          <w:rFonts w:ascii="Times New Roman" w:hAnsi="Times New Roman" w:eastAsia="Times New Roman" w:cs="Times New Roman"/>
          <w:sz w:val="24"/>
          <w:szCs w:val="24"/>
        </w:rPr>
        <w:t xml:space="preserve"> </w:t>
      </w:r>
      <w:r w:rsidRPr="003A637E">
        <w:rPr>
          <w:rFonts w:ascii="Times New Roman" w:hAnsi="Times New Roman" w:eastAsia="Times New Roman" w:cs="Times New Roman"/>
          <w:sz w:val="24"/>
          <w:szCs w:val="24"/>
        </w:rPr>
        <w:t xml:space="preserve">The number of responses per respondent depends on the number of aircraft in the fleet. In </w:t>
      </w:r>
      <w:r w:rsidR="00E76AB4">
        <w:rPr>
          <w:rFonts w:ascii="Times New Roman" w:hAnsi="Times New Roman" w:eastAsia="Times New Roman" w:cs="Times New Roman"/>
          <w:sz w:val="24"/>
          <w:szCs w:val="24"/>
        </w:rPr>
        <w:t>the Integration Pilot Program (IPP) (a former, similar program)</w:t>
      </w:r>
      <w:r w:rsidRPr="003A637E">
        <w:rPr>
          <w:rFonts w:ascii="Times New Roman" w:hAnsi="Times New Roman" w:eastAsia="Times New Roman" w:cs="Times New Roman"/>
          <w:sz w:val="24"/>
          <w:szCs w:val="24"/>
        </w:rPr>
        <w:t>, the fleet size ranged from 2 to 151, with the average fleet size being 25. Because the FAA will pre-populate the form with data from available sources before routing it to the participants to complete, the participants will only need to complete 14 fields with UAS specifications that they should have readily available. Therefore, it should take less than 30 seconds to answer each question. Upload times typically take from 3 to 5 minutes. The maximum burden is 12 minutes per UAS. Recordkeeping was not calculated as the reported data should be collected by the participants as a normal course of business. The respondents will be employees of the PSP industry partners and the BEYOND Lead Participants</w:t>
      </w:r>
      <w:r>
        <w:rPr>
          <w:rFonts w:ascii="Times New Roman" w:hAnsi="Times New Roman" w:eastAsia="Times New Roman" w:cs="Times New Roman"/>
          <w:sz w:val="24"/>
          <w:szCs w:val="24"/>
        </w:rPr>
        <w:t xml:space="preserve"> and </w:t>
      </w:r>
      <w:r w:rsidRPr="003A637E">
        <w:rPr>
          <w:rFonts w:ascii="Times New Roman" w:hAnsi="Times New Roman" w:eastAsia="Times New Roman" w:cs="Times New Roman"/>
          <w:sz w:val="24"/>
          <w:szCs w:val="24"/>
        </w:rPr>
        <w:t>are likely to be in roles similar to a Management Analyst</w:t>
      </w:r>
      <w:r w:rsidR="00FF1CE3">
        <w:rPr>
          <w:rStyle w:val="FootnoteReference"/>
          <w:rFonts w:ascii="Times New Roman" w:hAnsi="Times New Roman" w:eastAsia="Times New Roman" w:cs="Times New Roman"/>
          <w:sz w:val="24"/>
          <w:szCs w:val="24"/>
        </w:rPr>
        <w:footnoteReference w:id="8"/>
      </w:r>
      <w:r w:rsidRPr="003A637E">
        <w:rPr>
          <w:rFonts w:ascii="Times New Roman" w:hAnsi="Times New Roman" w:eastAsia="Times New Roman" w:cs="Times New Roman"/>
          <w:sz w:val="24"/>
          <w:szCs w:val="24"/>
        </w:rPr>
        <w:t xml:space="preserve"> or Project Management Specialist</w:t>
      </w:r>
      <w:r w:rsidR="00FF1CE3">
        <w:rPr>
          <w:rStyle w:val="FootnoteReference"/>
          <w:rFonts w:ascii="Times New Roman" w:hAnsi="Times New Roman" w:eastAsia="Times New Roman" w:cs="Times New Roman"/>
          <w:sz w:val="24"/>
          <w:szCs w:val="24"/>
        </w:rPr>
        <w:footnoteReference w:id="9"/>
      </w:r>
      <w:r w:rsidRPr="003A637E">
        <w:rPr>
          <w:rFonts w:ascii="Times New Roman" w:hAnsi="Times New Roman" w:eastAsia="Times New Roman" w:cs="Times New Roman"/>
          <w:sz w:val="24"/>
          <w:szCs w:val="24"/>
        </w:rPr>
        <w:t xml:space="preserve"> role, whose average salaries are $45.94 and $38.57/hour respectively. Assuming the higher cost brings the total maximum cost burden for this data collection to $</w:t>
      </w:r>
      <w:r>
        <w:rPr>
          <w:rFonts w:ascii="Times New Roman" w:hAnsi="Times New Roman" w:eastAsia="Times New Roman" w:cs="Times New Roman"/>
          <w:sz w:val="24"/>
          <w:szCs w:val="24"/>
        </w:rPr>
        <w:t>3,445.50</w:t>
      </w:r>
      <w:r w:rsidRPr="003A637E">
        <w:rPr>
          <w:rFonts w:ascii="Times New Roman" w:hAnsi="Times New Roman" w:eastAsia="Times New Roman" w:cs="Times New Roman"/>
          <w:sz w:val="24"/>
          <w:szCs w:val="24"/>
        </w:rPr>
        <w:t>.</w:t>
      </w:r>
    </w:p>
    <w:p w:rsidRPr="003A637E" w:rsidR="00503144" w:rsidP="00503144" w:rsidRDefault="00503144" w14:paraId="53FD2AA6" w14:textId="77777777">
      <w:pPr>
        <w:shd w:val="clear" w:color="auto" w:fill="FFFFFF"/>
        <w:spacing w:before="100" w:beforeAutospacing="1" w:after="225"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It is important to note that the bulk of the burden will fall on the first year when each participant first reports their entire fleet. In subsequent years, respondents will only need to </w:t>
      </w:r>
      <w:r w:rsidRPr="003A637E">
        <w:rPr>
          <w:rFonts w:ascii="Times New Roman" w:hAnsi="Times New Roman" w:eastAsia="Times New Roman" w:cs="Times New Roman"/>
          <w:sz w:val="24"/>
          <w:szCs w:val="24"/>
        </w:rPr>
        <w:lastRenderedPageBreak/>
        <w:t>report on additional UAS that they acquire so the burden will vary from 0 to an unknown quantity based on the participants’ individual programs. However, the FAA expects the respondents to add fewer UAS in subsequent years than they report in the first year. Due to the uncertainty regarding the number of additional aircraft to report, we will assume the burden will remain the same each year in order to ensure calculation of the maximum burden.</w:t>
      </w:r>
    </w:p>
    <w:p w:rsidRPr="003A637E" w:rsidR="00503144" w:rsidP="00503144" w:rsidRDefault="00503144" w14:paraId="325A0F1A" w14:textId="77777777">
      <w:pPr>
        <w:shd w:val="clear" w:color="auto" w:fill="FFFFFF"/>
        <w:spacing w:after="0" w:line="240" w:lineRule="auto"/>
        <w:ind w:left="144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1</w:t>
      </w:r>
      <w:r>
        <w:rPr>
          <w:rFonts w:ascii="Times New Roman" w:hAnsi="Times New Roman" w:eastAsia="Times New Roman" w:cs="Times New Roman"/>
          <w:sz w:val="24"/>
          <w:szCs w:val="24"/>
        </w:rPr>
        <w:t>5</w:t>
      </w:r>
      <w:r w:rsidRPr="003A637E">
        <w:rPr>
          <w:rFonts w:ascii="Times New Roman" w:hAnsi="Times New Roman" w:eastAsia="Times New Roman" w:cs="Times New Roman"/>
          <w:sz w:val="24"/>
          <w:szCs w:val="24"/>
        </w:rPr>
        <w:t xml:space="preserve"> respondents x 25 responses per respondent = </w:t>
      </w:r>
      <w:r>
        <w:rPr>
          <w:rFonts w:ascii="Times New Roman" w:hAnsi="Times New Roman" w:eastAsia="Times New Roman" w:cs="Times New Roman"/>
          <w:sz w:val="24"/>
          <w:szCs w:val="24"/>
        </w:rPr>
        <w:t>375</w:t>
      </w:r>
      <w:r w:rsidRPr="003A637E">
        <w:rPr>
          <w:rFonts w:ascii="Times New Roman" w:hAnsi="Times New Roman" w:eastAsia="Times New Roman" w:cs="Times New Roman"/>
          <w:sz w:val="24"/>
          <w:szCs w:val="24"/>
        </w:rPr>
        <w:t xml:space="preserve"> responses </w:t>
      </w:r>
    </w:p>
    <w:p w:rsidRPr="003A637E" w:rsidR="00503144" w:rsidP="00503144" w:rsidRDefault="00503144" w14:paraId="44022865"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r w:rsidRPr="003A637E">
        <w:rPr>
          <w:rFonts w:ascii="Times New Roman" w:hAnsi="Times New Roman" w:eastAsia="Times New Roman" w:cs="Times New Roman"/>
          <w:sz w:val="24"/>
          <w:szCs w:val="24"/>
        </w:rPr>
        <w:t xml:space="preserve"> responses x 0.2 hours = </w:t>
      </w:r>
      <w:r>
        <w:rPr>
          <w:rFonts w:ascii="Times New Roman" w:hAnsi="Times New Roman" w:eastAsia="Times New Roman" w:cs="Times New Roman"/>
          <w:sz w:val="24"/>
          <w:szCs w:val="24"/>
        </w:rPr>
        <w:t>75</w:t>
      </w:r>
      <w:r w:rsidRPr="003A637E">
        <w:rPr>
          <w:rFonts w:ascii="Times New Roman" w:hAnsi="Times New Roman" w:eastAsia="Times New Roman" w:cs="Times New Roman"/>
          <w:sz w:val="24"/>
          <w:szCs w:val="24"/>
        </w:rPr>
        <w:t xml:space="preserve"> hours</w:t>
      </w:r>
    </w:p>
    <w:p w:rsidRPr="003A637E" w:rsidR="00503144" w:rsidP="00503144" w:rsidRDefault="00503144" w14:paraId="21D47D44"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r w:rsidRPr="003A637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3,445.50</w:t>
      </w:r>
    </w:p>
    <w:p w:rsidRPr="003A637E" w:rsidR="00503144" w:rsidP="00503144" w:rsidRDefault="00503144" w14:paraId="6FD6539F" w14:textId="77777777">
      <w:pPr>
        <w:shd w:val="clear" w:color="auto" w:fill="FFFFFF"/>
        <w:spacing w:after="0" w:line="240" w:lineRule="auto"/>
        <w:ind w:left="576" w:firstLine="720"/>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732"/>
        <w:gridCol w:w="1710"/>
        <w:gridCol w:w="1800"/>
      </w:tblGrid>
      <w:tr w:rsidRPr="003A637E" w:rsidR="00FF1CE3" w:rsidTr="000B5702" w14:paraId="3D0DAA8C" w14:textId="77777777">
        <w:trPr>
          <w:trHeight w:val="432"/>
          <w:jc w:val="center"/>
        </w:trPr>
        <w:tc>
          <w:tcPr>
            <w:tcW w:w="37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FF1CE3" w:rsidP="00503144" w:rsidRDefault="00FF1CE3" w14:paraId="0C52E444" w14:textId="77777777">
            <w:pPr>
              <w:spacing w:after="0" w:line="240" w:lineRule="auto"/>
              <w:rPr>
                <w:rFonts w:ascii="Times New Roman" w:hAnsi="Times New Roman" w:cs="Times New Roman"/>
                <w:sz w:val="24"/>
                <w:szCs w:val="24"/>
              </w:rPr>
            </w:pPr>
            <w:r w:rsidRPr="003A637E" w:rsidDel="00900792">
              <w:rPr>
                <w:rFonts w:ascii="Times New Roman" w:hAnsi="Times New Roman" w:eastAsia="Times New Roman" w:cs="Times New Roman"/>
                <w:sz w:val="24"/>
                <w:szCs w:val="24"/>
              </w:rPr>
              <w:t xml:space="preserve"> </w:t>
            </w:r>
            <w:r w:rsidRPr="003A637E">
              <w:rPr>
                <w:rFonts w:ascii="Times New Roman" w:hAnsi="Times New Roman" w:cs="Times New Roman"/>
                <w:sz w:val="24"/>
                <w:szCs w:val="24"/>
              </w:rPr>
              <w:t> Summary (Annual numbers)</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503144" w:rsidRDefault="00FF1CE3" w14:paraId="630BAE96"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503144" w:rsidRDefault="00FF1CE3" w14:paraId="52359EF0"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FF1CE3" w:rsidTr="000B5702" w14:paraId="075B833C" w14:textId="77777777">
        <w:trPr>
          <w:trHeight w:val="432"/>
          <w:jc w:val="center"/>
        </w:trPr>
        <w:tc>
          <w:tcPr>
            <w:tcW w:w="373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503144" w:rsidRDefault="00FF1CE3" w14:paraId="50547F05"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5499CB9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2B2350F8" w14:textId="77777777">
            <w:pPr>
              <w:spacing w:after="0" w:line="240" w:lineRule="auto"/>
              <w:jc w:val="center"/>
              <w:rPr>
                <w:rFonts w:ascii="Times New Roman" w:hAnsi="Times New Roman" w:cs="Times New Roman"/>
                <w:sz w:val="24"/>
                <w:szCs w:val="24"/>
              </w:rPr>
            </w:pPr>
          </w:p>
        </w:tc>
      </w:tr>
      <w:tr w:rsidRPr="003A637E" w:rsidR="00FF1CE3" w:rsidTr="000B5702" w14:paraId="3886CBD9" w14:textId="77777777">
        <w:trPr>
          <w:trHeight w:val="432"/>
          <w:jc w:val="center"/>
        </w:trPr>
        <w:tc>
          <w:tcPr>
            <w:tcW w:w="373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503144" w:rsidRDefault="00FF1CE3" w14:paraId="5CC65648"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3FE8FEEB" w14:textId="77777777">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25</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68885363" w14:textId="77777777">
            <w:pPr>
              <w:spacing w:after="0" w:line="240" w:lineRule="auto"/>
              <w:jc w:val="center"/>
              <w:rPr>
                <w:rFonts w:ascii="Times New Roman" w:hAnsi="Times New Roman" w:cs="Times New Roman"/>
                <w:sz w:val="24"/>
                <w:szCs w:val="24"/>
              </w:rPr>
            </w:pPr>
          </w:p>
        </w:tc>
      </w:tr>
      <w:tr w:rsidRPr="003A637E" w:rsidR="00FF1CE3" w:rsidTr="000B5702" w14:paraId="4CE98BC2" w14:textId="77777777">
        <w:trPr>
          <w:trHeight w:val="432"/>
          <w:jc w:val="center"/>
        </w:trPr>
        <w:tc>
          <w:tcPr>
            <w:tcW w:w="373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503144" w:rsidRDefault="00FF1CE3" w14:paraId="26472551"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126F53F8" w14:textId="77777777">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12 min</w:t>
            </w:r>
            <w:r>
              <w:rPr>
                <w:rFonts w:ascii="Times New Roman" w:hAnsi="Times New Roman" w:cs="Times New Roman"/>
                <w:sz w:val="24"/>
                <w:szCs w:val="24"/>
              </w:rPr>
              <w:t>utes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53F505C4" w14:textId="77777777">
            <w:pPr>
              <w:spacing w:after="0" w:line="240" w:lineRule="auto"/>
              <w:jc w:val="center"/>
              <w:rPr>
                <w:rFonts w:ascii="Times New Roman" w:hAnsi="Times New Roman" w:cs="Times New Roman"/>
                <w:sz w:val="24"/>
                <w:szCs w:val="24"/>
              </w:rPr>
            </w:pPr>
          </w:p>
        </w:tc>
      </w:tr>
      <w:tr w:rsidRPr="003A637E" w:rsidR="00FF1CE3" w:rsidTr="000B5702" w14:paraId="3C0E4186" w14:textId="77777777">
        <w:trPr>
          <w:trHeight w:val="432"/>
          <w:jc w:val="center"/>
        </w:trPr>
        <w:tc>
          <w:tcPr>
            <w:tcW w:w="373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503144" w:rsidRDefault="00FF1CE3" w14:paraId="36A365C6"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35841DA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28730090" w14:textId="77777777">
            <w:pPr>
              <w:spacing w:after="0" w:line="240" w:lineRule="auto"/>
              <w:jc w:val="center"/>
              <w:rPr>
                <w:rFonts w:ascii="Times New Roman" w:hAnsi="Times New Roman" w:cs="Times New Roman"/>
                <w:sz w:val="24"/>
                <w:szCs w:val="24"/>
              </w:rPr>
            </w:pPr>
          </w:p>
        </w:tc>
      </w:tr>
      <w:tr w:rsidRPr="003A637E" w:rsidR="00FF1CE3" w:rsidTr="000B5702" w14:paraId="2853CF0D" w14:textId="77777777">
        <w:trPr>
          <w:trHeight w:val="432"/>
          <w:jc w:val="center"/>
        </w:trPr>
        <w:tc>
          <w:tcPr>
            <w:tcW w:w="3732" w:type="dxa"/>
            <w:tcBorders>
              <w:top w:val="nil"/>
              <w:left w:val="single" w:color="auto" w:sz="4" w:space="0"/>
              <w:bottom w:val="single" w:color="auto" w:sz="4" w:space="0"/>
              <w:right w:val="single" w:color="auto" w:sz="4" w:space="0"/>
            </w:tcBorders>
            <w:shd w:val="clear" w:color="auto" w:fill="auto"/>
            <w:noWrap/>
            <w:vAlign w:val="bottom"/>
          </w:tcPr>
          <w:p w:rsidRPr="003A637E" w:rsidR="00FF1CE3" w:rsidP="00503144" w:rsidRDefault="00FF1CE3" w14:paraId="09F473EC"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020FC7B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03144" w:rsidRDefault="00FF1CE3" w14:paraId="326DFDBE" w14:textId="77777777">
            <w:pPr>
              <w:spacing w:after="0" w:line="240" w:lineRule="auto"/>
              <w:jc w:val="center"/>
              <w:rPr>
                <w:rFonts w:ascii="Times New Roman" w:hAnsi="Times New Roman" w:cs="Times New Roman"/>
                <w:sz w:val="24"/>
                <w:szCs w:val="24"/>
              </w:rPr>
            </w:pPr>
          </w:p>
        </w:tc>
      </w:tr>
    </w:tbl>
    <w:p w:rsidR="00503144" w:rsidP="00503144" w:rsidRDefault="00503144" w14:paraId="323AEFE7" w14:textId="77777777"/>
    <w:p w:rsidRPr="003A637E" w:rsidR="001F0724" w:rsidP="002371CB" w:rsidRDefault="00900792" w14:paraId="1F4F4127" w14:textId="5A3E5A4A">
      <w:pPr>
        <w:pStyle w:val="Heading2"/>
        <w:numPr>
          <w:ilvl w:val="1"/>
          <w:numId w:val="26"/>
        </w:numPr>
        <w:ind w:left="1152" w:hanging="576"/>
      </w:pPr>
      <w:r w:rsidRPr="003A637E">
        <w:t xml:space="preserve">Unmanned Aircraft System (UAS) </w:t>
      </w:r>
      <w:r w:rsidR="00E71CB4">
        <w:t xml:space="preserve">Monthly </w:t>
      </w:r>
      <w:r w:rsidRPr="003A637E">
        <w:t>Operational Flight Report</w:t>
      </w:r>
      <w:r w:rsidRPr="003A637E" w:rsidR="002E519B">
        <w:t>s</w:t>
      </w:r>
      <w:r w:rsidR="00A841D4">
        <w:t xml:space="preserve"> </w:t>
      </w:r>
    </w:p>
    <w:p w:rsidRPr="003A637E" w:rsidR="006C06DF" w:rsidP="00732BCC" w:rsidRDefault="006C06DF" w14:paraId="113825C9" w14:textId="56F75211">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PSP and BEYOND participants </w:t>
      </w:r>
      <w:r w:rsidR="00832B9F">
        <w:rPr>
          <w:rFonts w:ascii="Times New Roman" w:hAnsi="Times New Roman" w:eastAsia="Times New Roman" w:cs="Times New Roman"/>
          <w:sz w:val="24"/>
          <w:szCs w:val="24"/>
        </w:rPr>
        <w:t xml:space="preserve">will </w:t>
      </w:r>
      <w:r w:rsidR="00E76AB4">
        <w:rPr>
          <w:rFonts w:ascii="Times New Roman" w:hAnsi="Times New Roman" w:eastAsia="Times New Roman" w:cs="Times New Roman"/>
          <w:sz w:val="24"/>
          <w:szCs w:val="24"/>
        </w:rPr>
        <w:t>submit these reports</w:t>
      </w:r>
      <w:r w:rsidR="00825990">
        <w:rPr>
          <w:rFonts w:ascii="Times New Roman" w:hAnsi="Times New Roman" w:eastAsia="Times New Roman" w:cs="Times New Roman"/>
          <w:sz w:val="24"/>
          <w:szCs w:val="24"/>
        </w:rPr>
        <w:t>, so there will be 15</w:t>
      </w:r>
      <w:r w:rsidRPr="003A637E">
        <w:rPr>
          <w:rFonts w:ascii="Times New Roman" w:hAnsi="Times New Roman" w:eastAsia="Times New Roman" w:cs="Times New Roman"/>
          <w:sz w:val="24"/>
          <w:szCs w:val="24"/>
        </w:rPr>
        <w:t xml:space="preserve"> participants combined. </w:t>
      </w:r>
      <w:r w:rsidR="00832B9F">
        <w:rPr>
          <w:rFonts w:ascii="Times New Roman" w:hAnsi="Times New Roman" w:eastAsia="Times New Roman" w:cs="Times New Roman"/>
          <w:sz w:val="24"/>
          <w:szCs w:val="24"/>
        </w:rPr>
        <w:t>I</w:t>
      </w:r>
      <w:r w:rsidRPr="003A637E" w:rsidR="006911AC">
        <w:rPr>
          <w:rFonts w:ascii="Times New Roman" w:hAnsi="Times New Roman" w:eastAsia="Times New Roman" w:cs="Times New Roman"/>
          <w:sz w:val="24"/>
          <w:szCs w:val="24"/>
        </w:rPr>
        <w:t xml:space="preserve">t typically takes </w:t>
      </w:r>
      <w:r w:rsidRPr="003A637E" w:rsidR="00033FD0">
        <w:rPr>
          <w:rFonts w:ascii="Times New Roman" w:hAnsi="Times New Roman" w:eastAsia="Times New Roman" w:cs="Times New Roman"/>
          <w:sz w:val="24"/>
          <w:szCs w:val="24"/>
        </w:rPr>
        <w:t xml:space="preserve">between 30 and 50 </w:t>
      </w:r>
      <w:r w:rsidRPr="003A637E" w:rsidR="006911AC">
        <w:rPr>
          <w:rFonts w:ascii="Times New Roman" w:hAnsi="Times New Roman" w:eastAsia="Times New Roman" w:cs="Times New Roman"/>
          <w:sz w:val="24"/>
          <w:szCs w:val="24"/>
        </w:rPr>
        <w:t xml:space="preserve">minutes to </w:t>
      </w:r>
      <w:r w:rsidR="00832B9F">
        <w:rPr>
          <w:rFonts w:ascii="Times New Roman" w:hAnsi="Times New Roman" w:eastAsia="Times New Roman" w:cs="Times New Roman"/>
          <w:sz w:val="24"/>
          <w:szCs w:val="24"/>
        </w:rPr>
        <w:t xml:space="preserve">complete </w:t>
      </w:r>
      <w:r w:rsidR="006B3426">
        <w:rPr>
          <w:rFonts w:ascii="Times New Roman" w:hAnsi="Times New Roman" w:eastAsia="Times New Roman" w:cs="Times New Roman"/>
          <w:sz w:val="24"/>
          <w:szCs w:val="24"/>
        </w:rPr>
        <w:t xml:space="preserve">operational flight </w:t>
      </w:r>
      <w:r w:rsidRPr="003A637E" w:rsidR="006911AC">
        <w:rPr>
          <w:rFonts w:ascii="Times New Roman" w:hAnsi="Times New Roman" w:eastAsia="Times New Roman" w:cs="Times New Roman"/>
          <w:sz w:val="24"/>
          <w:szCs w:val="24"/>
        </w:rPr>
        <w:t xml:space="preserve">data </w:t>
      </w:r>
      <w:r w:rsidR="00832B9F">
        <w:rPr>
          <w:rFonts w:ascii="Times New Roman" w:hAnsi="Times New Roman" w:eastAsia="Times New Roman" w:cs="Times New Roman"/>
          <w:sz w:val="24"/>
          <w:szCs w:val="24"/>
        </w:rPr>
        <w:t xml:space="preserve">reports </w:t>
      </w:r>
      <w:r w:rsidRPr="003A637E" w:rsidR="006911AC">
        <w:rPr>
          <w:rFonts w:ascii="Times New Roman" w:hAnsi="Times New Roman" w:eastAsia="Times New Roman" w:cs="Times New Roman"/>
          <w:sz w:val="24"/>
          <w:szCs w:val="24"/>
        </w:rPr>
        <w:t>using the electronic system</w:t>
      </w:r>
      <w:r w:rsidRPr="003A637E" w:rsidR="00033FD0">
        <w:rPr>
          <w:rFonts w:ascii="Times New Roman" w:hAnsi="Times New Roman" w:eastAsia="Times New Roman" w:cs="Times New Roman"/>
          <w:sz w:val="24"/>
          <w:szCs w:val="24"/>
        </w:rPr>
        <w:t xml:space="preserve">. Upload times typically take from 3 to 5 minutes. </w:t>
      </w:r>
      <w:r w:rsidR="00832B9F">
        <w:rPr>
          <w:rFonts w:ascii="Times New Roman" w:hAnsi="Times New Roman" w:eastAsia="Times New Roman" w:cs="Times New Roman"/>
          <w:sz w:val="24"/>
          <w:szCs w:val="24"/>
        </w:rPr>
        <w:t>I</w:t>
      </w:r>
      <w:r w:rsidRPr="003A637E" w:rsidR="00033FD0">
        <w:rPr>
          <w:rFonts w:ascii="Times New Roman" w:hAnsi="Times New Roman" w:eastAsia="Times New Roman" w:cs="Times New Roman"/>
          <w:sz w:val="24"/>
          <w:szCs w:val="24"/>
        </w:rPr>
        <w:t>n order to ensure we calculate the maximum burden,</w:t>
      </w:r>
      <w:r w:rsidRPr="003A637E" w:rsidR="006911AC">
        <w:rPr>
          <w:rFonts w:ascii="Times New Roman" w:hAnsi="Times New Roman" w:eastAsia="Times New Roman" w:cs="Times New Roman"/>
          <w:sz w:val="24"/>
          <w:szCs w:val="24"/>
        </w:rPr>
        <w:t xml:space="preserve"> we used 1 hour</w:t>
      </w:r>
      <w:r w:rsidR="00E27DC7">
        <w:rPr>
          <w:rFonts w:ascii="Times New Roman" w:hAnsi="Times New Roman" w:eastAsia="Times New Roman" w:cs="Times New Roman"/>
          <w:sz w:val="24"/>
          <w:szCs w:val="24"/>
        </w:rPr>
        <w:t xml:space="preserve"> each for the flight reports</w:t>
      </w:r>
      <w:r w:rsidRPr="003A637E" w:rsidR="006911AC">
        <w:rPr>
          <w:rFonts w:ascii="Times New Roman" w:hAnsi="Times New Roman" w:eastAsia="Times New Roman" w:cs="Times New Roman"/>
          <w:sz w:val="24"/>
          <w:szCs w:val="24"/>
        </w:rPr>
        <w:t xml:space="preserve">. As the data is submitted on a monthly basis, each participant will submit </w:t>
      </w:r>
      <w:r w:rsidR="006B3426">
        <w:rPr>
          <w:rFonts w:ascii="Times New Roman" w:hAnsi="Times New Roman" w:eastAsia="Times New Roman" w:cs="Times New Roman"/>
          <w:sz w:val="24"/>
          <w:szCs w:val="24"/>
        </w:rPr>
        <w:t xml:space="preserve">flight </w:t>
      </w:r>
      <w:r w:rsidRPr="003A637E" w:rsidR="006911AC">
        <w:rPr>
          <w:rFonts w:ascii="Times New Roman" w:hAnsi="Times New Roman" w:eastAsia="Times New Roman" w:cs="Times New Roman"/>
          <w:sz w:val="24"/>
          <w:szCs w:val="24"/>
        </w:rPr>
        <w:t xml:space="preserve">data </w:t>
      </w:r>
      <w:r w:rsidR="00832B9F">
        <w:rPr>
          <w:rFonts w:ascii="Times New Roman" w:hAnsi="Times New Roman" w:eastAsia="Times New Roman" w:cs="Times New Roman"/>
          <w:sz w:val="24"/>
          <w:szCs w:val="24"/>
        </w:rPr>
        <w:t>12</w:t>
      </w:r>
      <w:r w:rsidRPr="003A637E" w:rsidR="006911AC">
        <w:rPr>
          <w:rFonts w:ascii="Times New Roman" w:hAnsi="Times New Roman" w:eastAsia="Times New Roman" w:cs="Times New Roman"/>
          <w:sz w:val="24"/>
          <w:szCs w:val="24"/>
        </w:rPr>
        <w:t xml:space="preserve"> times annually</w:t>
      </w:r>
      <w:r w:rsidRPr="003A637E" w:rsidR="002E519B">
        <w:rPr>
          <w:rFonts w:ascii="Times New Roman" w:hAnsi="Times New Roman" w:eastAsia="Times New Roman" w:cs="Times New Roman"/>
          <w:sz w:val="24"/>
          <w:szCs w:val="24"/>
        </w:rPr>
        <w:t xml:space="preserve"> at maximum</w:t>
      </w:r>
      <w:r w:rsidRPr="003A637E" w:rsidR="006911AC">
        <w:rPr>
          <w:rFonts w:ascii="Times New Roman" w:hAnsi="Times New Roman" w:eastAsia="Times New Roman" w:cs="Times New Roman"/>
          <w:sz w:val="24"/>
          <w:szCs w:val="24"/>
        </w:rPr>
        <w:t xml:space="preserve">. This calculates to a maximum burden of </w:t>
      </w:r>
      <w:r w:rsidR="00832B9F">
        <w:rPr>
          <w:rFonts w:ascii="Times New Roman" w:hAnsi="Times New Roman" w:eastAsia="Times New Roman" w:cs="Times New Roman"/>
          <w:sz w:val="24"/>
          <w:szCs w:val="24"/>
        </w:rPr>
        <w:t>1</w:t>
      </w:r>
      <w:r w:rsidR="00825990">
        <w:rPr>
          <w:rFonts w:ascii="Times New Roman" w:hAnsi="Times New Roman" w:eastAsia="Times New Roman" w:cs="Times New Roman"/>
          <w:sz w:val="24"/>
          <w:szCs w:val="24"/>
        </w:rPr>
        <w:t>80</w:t>
      </w:r>
      <w:r w:rsidRPr="003A637E" w:rsidR="006911AC">
        <w:rPr>
          <w:rFonts w:ascii="Times New Roman" w:hAnsi="Times New Roman" w:eastAsia="Times New Roman" w:cs="Times New Roman"/>
          <w:sz w:val="24"/>
          <w:szCs w:val="24"/>
        </w:rPr>
        <w:t xml:space="preserve"> hours annually. Recordkeeping was not calculated as the reported data should be collected by the participants a</w:t>
      </w:r>
      <w:r w:rsidRPr="003A637E" w:rsidR="00452FB7">
        <w:rPr>
          <w:rFonts w:ascii="Times New Roman" w:hAnsi="Times New Roman" w:eastAsia="Times New Roman" w:cs="Times New Roman"/>
          <w:sz w:val="24"/>
          <w:szCs w:val="24"/>
        </w:rPr>
        <w:t>s a normal course of business. The respondents will be employees of the PSP industry partners and the BEYOND Lead Participants</w:t>
      </w:r>
      <w:r w:rsidR="00D447E9">
        <w:rPr>
          <w:rFonts w:ascii="Times New Roman" w:hAnsi="Times New Roman" w:eastAsia="Times New Roman" w:cs="Times New Roman"/>
          <w:sz w:val="24"/>
          <w:szCs w:val="24"/>
        </w:rPr>
        <w:t xml:space="preserve"> </w:t>
      </w:r>
      <w:r w:rsidRPr="003A637E" w:rsidR="00452FB7">
        <w:rPr>
          <w:rFonts w:ascii="Times New Roman" w:hAnsi="Times New Roman" w:eastAsia="Times New Roman" w:cs="Times New Roman"/>
          <w:sz w:val="24"/>
          <w:szCs w:val="24"/>
        </w:rPr>
        <w:t>and are likely to be in roles similar to a Management Analyst</w:t>
      </w:r>
      <w:r w:rsidR="00FF1CE3">
        <w:rPr>
          <w:rStyle w:val="FootnoteReference"/>
          <w:rFonts w:ascii="Times New Roman" w:hAnsi="Times New Roman" w:eastAsia="Times New Roman" w:cs="Times New Roman"/>
          <w:sz w:val="24"/>
          <w:szCs w:val="24"/>
        </w:rPr>
        <w:footnoteReference w:id="10"/>
      </w:r>
      <w:r w:rsidRPr="003A637E" w:rsidR="00452FB7">
        <w:rPr>
          <w:rFonts w:ascii="Times New Roman" w:hAnsi="Times New Roman" w:eastAsia="Times New Roman" w:cs="Times New Roman"/>
          <w:sz w:val="24"/>
          <w:szCs w:val="24"/>
        </w:rPr>
        <w:t xml:space="preserve"> or Project Management Specialist</w:t>
      </w:r>
      <w:r w:rsidR="00FF1CE3">
        <w:rPr>
          <w:rStyle w:val="FootnoteReference"/>
          <w:rFonts w:ascii="Times New Roman" w:hAnsi="Times New Roman" w:eastAsia="Times New Roman" w:cs="Times New Roman"/>
          <w:sz w:val="24"/>
          <w:szCs w:val="24"/>
        </w:rPr>
        <w:footnoteReference w:id="11"/>
      </w:r>
      <w:r w:rsidRPr="003A637E" w:rsidR="00452FB7">
        <w:rPr>
          <w:rFonts w:ascii="Times New Roman" w:hAnsi="Times New Roman" w:eastAsia="Times New Roman" w:cs="Times New Roman"/>
          <w:sz w:val="24"/>
          <w:szCs w:val="24"/>
        </w:rPr>
        <w:t xml:space="preserve"> role, whose average salaries are $4</w:t>
      </w:r>
      <w:r w:rsidRPr="003A637E" w:rsidR="0030000A">
        <w:rPr>
          <w:rFonts w:ascii="Times New Roman" w:hAnsi="Times New Roman" w:eastAsia="Times New Roman" w:cs="Times New Roman"/>
          <w:sz w:val="24"/>
          <w:szCs w:val="24"/>
        </w:rPr>
        <w:t>5.94</w:t>
      </w:r>
      <w:r w:rsidRPr="003A637E" w:rsidR="00452FB7">
        <w:rPr>
          <w:rFonts w:ascii="Times New Roman" w:hAnsi="Times New Roman" w:eastAsia="Times New Roman" w:cs="Times New Roman"/>
          <w:sz w:val="24"/>
          <w:szCs w:val="24"/>
        </w:rPr>
        <w:t xml:space="preserve"> and $3</w:t>
      </w:r>
      <w:r w:rsidRPr="003A637E" w:rsidR="0030000A">
        <w:rPr>
          <w:rFonts w:ascii="Times New Roman" w:hAnsi="Times New Roman" w:eastAsia="Times New Roman" w:cs="Times New Roman"/>
          <w:sz w:val="24"/>
          <w:szCs w:val="24"/>
        </w:rPr>
        <w:t>8.57</w:t>
      </w:r>
      <w:r w:rsidRPr="003A637E" w:rsidR="00452FB7">
        <w:rPr>
          <w:rFonts w:ascii="Times New Roman" w:hAnsi="Times New Roman" w:eastAsia="Times New Roman" w:cs="Times New Roman"/>
          <w:sz w:val="24"/>
          <w:szCs w:val="24"/>
        </w:rPr>
        <w:t>/hour respectively. Assuming the higher cost brings the total maximum cost burden for this data collection to $</w:t>
      </w:r>
      <w:r w:rsidR="00825990">
        <w:rPr>
          <w:rFonts w:ascii="Times New Roman" w:hAnsi="Times New Roman" w:eastAsia="Times New Roman" w:cs="Times New Roman"/>
          <w:sz w:val="24"/>
          <w:szCs w:val="24"/>
        </w:rPr>
        <w:t>8,269.20</w:t>
      </w:r>
      <w:r w:rsidR="00832B9F">
        <w:rPr>
          <w:rFonts w:ascii="Times New Roman" w:hAnsi="Times New Roman" w:eastAsia="Times New Roman" w:cs="Times New Roman"/>
          <w:sz w:val="24"/>
          <w:szCs w:val="24"/>
        </w:rPr>
        <w:t>.</w:t>
      </w:r>
    </w:p>
    <w:p w:rsidRPr="003A637E" w:rsidR="006911AC" w:rsidP="00732BCC" w:rsidRDefault="006911AC" w14:paraId="45E13397" w14:textId="3D6481FD">
      <w:pPr>
        <w:shd w:val="clear" w:color="auto" w:fill="FFFFFF"/>
        <w:spacing w:after="0" w:line="240" w:lineRule="auto"/>
        <w:ind w:left="576"/>
        <w:rPr>
          <w:rFonts w:ascii="Times New Roman" w:hAnsi="Times New Roman" w:eastAsia="Times New Roman" w:cs="Times New Roman"/>
          <w:sz w:val="24"/>
          <w:szCs w:val="24"/>
        </w:rPr>
      </w:pPr>
    </w:p>
    <w:p w:rsidRPr="003A637E" w:rsidR="00452FB7" w:rsidP="00735023" w:rsidRDefault="00825990" w14:paraId="79AEB6CB" w14:textId="298F0A2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r w:rsidRPr="003A637E" w:rsidR="00452FB7">
        <w:rPr>
          <w:rFonts w:ascii="Times New Roman" w:hAnsi="Times New Roman" w:eastAsia="Times New Roman" w:cs="Times New Roman"/>
          <w:sz w:val="24"/>
          <w:szCs w:val="24"/>
        </w:rPr>
        <w:t xml:space="preserve"> respondents x </w:t>
      </w:r>
      <w:r w:rsidR="00832B9F">
        <w:rPr>
          <w:rFonts w:ascii="Times New Roman" w:hAnsi="Times New Roman" w:eastAsia="Times New Roman" w:cs="Times New Roman"/>
          <w:sz w:val="24"/>
          <w:szCs w:val="24"/>
        </w:rPr>
        <w:t>12</w:t>
      </w:r>
      <w:r w:rsidRPr="003A637E" w:rsidR="00452FB7">
        <w:rPr>
          <w:rFonts w:ascii="Times New Roman" w:hAnsi="Times New Roman" w:eastAsia="Times New Roman" w:cs="Times New Roman"/>
          <w:sz w:val="24"/>
          <w:szCs w:val="24"/>
        </w:rPr>
        <w:t xml:space="preserve"> responses per respondent = </w:t>
      </w:r>
      <w:r w:rsidR="00832B9F">
        <w:rPr>
          <w:rFonts w:ascii="Times New Roman" w:hAnsi="Times New Roman" w:eastAsia="Times New Roman" w:cs="Times New Roman"/>
          <w:sz w:val="24"/>
          <w:szCs w:val="24"/>
        </w:rPr>
        <w:t>1</w:t>
      </w:r>
      <w:r>
        <w:rPr>
          <w:rFonts w:ascii="Times New Roman" w:hAnsi="Times New Roman" w:eastAsia="Times New Roman" w:cs="Times New Roman"/>
          <w:sz w:val="24"/>
          <w:szCs w:val="24"/>
        </w:rPr>
        <w:t>80</w:t>
      </w:r>
      <w:r w:rsidRPr="003A637E" w:rsidR="00452FB7">
        <w:rPr>
          <w:rFonts w:ascii="Times New Roman" w:hAnsi="Times New Roman" w:eastAsia="Times New Roman" w:cs="Times New Roman"/>
          <w:sz w:val="24"/>
          <w:szCs w:val="24"/>
        </w:rPr>
        <w:t xml:space="preserve"> responses </w:t>
      </w:r>
    </w:p>
    <w:p w:rsidRPr="003A637E" w:rsidR="00452FB7" w:rsidP="00735023" w:rsidRDefault="00832B9F" w14:paraId="3EA789A6" w14:textId="3EA68BF0">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25990">
        <w:rPr>
          <w:rFonts w:ascii="Times New Roman" w:hAnsi="Times New Roman" w:eastAsia="Times New Roman" w:cs="Times New Roman"/>
          <w:sz w:val="24"/>
          <w:szCs w:val="24"/>
        </w:rPr>
        <w:t>80</w:t>
      </w:r>
      <w:r w:rsidRPr="003A637E" w:rsidR="00E27DC7">
        <w:rPr>
          <w:rFonts w:ascii="Times New Roman" w:hAnsi="Times New Roman" w:eastAsia="Times New Roman" w:cs="Times New Roman"/>
          <w:sz w:val="24"/>
          <w:szCs w:val="24"/>
        </w:rPr>
        <w:t xml:space="preserve"> </w:t>
      </w:r>
      <w:r w:rsidRPr="003A637E" w:rsidR="00452FB7">
        <w:rPr>
          <w:rFonts w:ascii="Times New Roman" w:hAnsi="Times New Roman" w:eastAsia="Times New Roman" w:cs="Times New Roman"/>
          <w:sz w:val="24"/>
          <w:szCs w:val="24"/>
        </w:rPr>
        <w:t xml:space="preserve">responses x 1 hour = </w:t>
      </w:r>
      <w:r>
        <w:rPr>
          <w:rFonts w:ascii="Times New Roman" w:hAnsi="Times New Roman" w:eastAsia="Times New Roman" w:cs="Times New Roman"/>
          <w:sz w:val="24"/>
          <w:szCs w:val="24"/>
        </w:rPr>
        <w:t>1</w:t>
      </w:r>
      <w:r w:rsidR="00825990">
        <w:rPr>
          <w:rFonts w:ascii="Times New Roman" w:hAnsi="Times New Roman" w:eastAsia="Times New Roman" w:cs="Times New Roman"/>
          <w:sz w:val="24"/>
          <w:szCs w:val="24"/>
        </w:rPr>
        <w:t>80</w:t>
      </w:r>
      <w:r w:rsidRPr="003A637E" w:rsidR="00452FB7">
        <w:rPr>
          <w:rFonts w:ascii="Times New Roman" w:hAnsi="Times New Roman" w:eastAsia="Times New Roman" w:cs="Times New Roman"/>
          <w:sz w:val="24"/>
          <w:szCs w:val="24"/>
        </w:rPr>
        <w:t xml:space="preserve"> hours</w:t>
      </w:r>
    </w:p>
    <w:p w:rsidRPr="003A637E" w:rsidR="00452FB7" w:rsidP="00735023" w:rsidRDefault="00832B9F" w14:paraId="3C58818B" w14:textId="6BA26272">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25990">
        <w:rPr>
          <w:rFonts w:ascii="Times New Roman" w:hAnsi="Times New Roman" w:eastAsia="Times New Roman" w:cs="Times New Roman"/>
          <w:sz w:val="24"/>
          <w:szCs w:val="24"/>
        </w:rPr>
        <w:t>80</w:t>
      </w:r>
      <w:r w:rsidRPr="003A637E" w:rsidR="00E27DC7">
        <w:rPr>
          <w:rFonts w:ascii="Times New Roman" w:hAnsi="Times New Roman" w:eastAsia="Times New Roman" w:cs="Times New Roman"/>
          <w:sz w:val="24"/>
          <w:szCs w:val="24"/>
        </w:rPr>
        <w:t xml:space="preserve"> </w:t>
      </w:r>
      <w:r w:rsidRPr="003A637E" w:rsidR="0030000A">
        <w:rPr>
          <w:rFonts w:ascii="Times New Roman" w:hAnsi="Times New Roman" w:eastAsia="Times New Roman" w:cs="Times New Roman"/>
          <w:sz w:val="24"/>
          <w:szCs w:val="24"/>
        </w:rPr>
        <w:t>hours x $45.94</w:t>
      </w:r>
      <w:r w:rsidRPr="003A637E" w:rsidR="00452FB7">
        <w:rPr>
          <w:rFonts w:ascii="Times New Roman" w:hAnsi="Times New Roman" w:eastAsia="Times New Roman" w:cs="Times New Roman"/>
          <w:sz w:val="24"/>
          <w:szCs w:val="24"/>
        </w:rPr>
        <w:t xml:space="preserve"> per hour = $</w:t>
      </w:r>
      <w:r w:rsidR="00825990">
        <w:rPr>
          <w:rFonts w:ascii="Times New Roman" w:hAnsi="Times New Roman" w:eastAsia="Times New Roman" w:cs="Times New Roman"/>
          <w:sz w:val="24"/>
          <w:szCs w:val="24"/>
        </w:rPr>
        <w:t>8,269.20</w:t>
      </w:r>
    </w:p>
    <w:p w:rsidR="008E0CB5" w:rsidRDefault="008E0CB5" w14:paraId="2A6E7BFA" w14:textId="5B5BAEC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3A637E" w:rsidR="00452FB7" w:rsidP="00452FB7" w:rsidRDefault="00452FB7" w14:paraId="674CF66F" w14:textId="77777777">
      <w:pPr>
        <w:shd w:val="clear" w:color="auto" w:fill="FFFFFF"/>
        <w:spacing w:after="0" w:line="240" w:lineRule="auto"/>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600"/>
        <w:gridCol w:w="1710"/>
        <w:gridCol w:w="1890"/>
      </w:tblGrid>
      <w:tr w:rsidRPr="003A637E" w:rsidR="00FF1CE3" w:rsidTr="00FF1CE3" w14:paraId="5419646E" w14:textId="77777777">
        <w:trPr>
          <w:trHeight w:val="432"/>
          <w:jc w:val="center"/>
        </w:trPr>
        <w:tc>
          <w:tcPr>
            <w:tcW w:w="3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FF1CE3" w:rsidP="000A07BC" w:rsidRDefault="00FF1CE3" w14:paraId="619FEC17" w14:textId="7E655CD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9D6A3C" w:rsidRDefault="00FF1CE3" w14:paraId="4F3119E1"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9D6A3C" w:rsidRDefault="00FF1CE3" w14:paraId="29BA9951"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FF1CE3" w:rsidTr="00FF1CE3" w14:paraId="545DC7F0" w14:textId="77777777">
        <w:trPr>
          <w:trHeight w:val="432"/>
          <w:jc w:val="center"/>
        </w:trPr>
        <w:tc>
          <w:tcPr>
            <w:tcW w:w="3600"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0A07BC" w:rsidRDefault="00FF1CE3" w14:paraId="6D2EA899"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6E0E52" w:rsidRDefault="00FF1CE3" w14:paraId="3206F137" w14:textId="709197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222B59" w:rsidRDefault="00FF1CE3" w14:paraId="4F6099BB" w14:textId="77777777">
            <w:pPr>
              <w:spacing w:after="0" w:line="240" w:lineRule="auto"/>
              <w:jc w:val="center"/>
              <w:rPr>
                <w:rFonts w:ascii="Times New Roman" w:hAnsi="Times New Roman" w:cs="Times New Roman"/>
                <w:sz w:val="24"/>
                <w:szCs w:val="24"/>
              </w:rPr>
            </w:pPr>
          </w:p>
        </w:tc>
      </w:tr>
      <w:tr w:rsidRPr="003A637E" w:rsidR="00FF1CE3" w:rsidTr="00FF1CE3" w14:paraId="55AA8803" w14:textId="77777777">
        <w:trPr>
          <w:trHeight w:val="432"/>
          <w:jc w:val="center"/>
        </w:trPr>
        <w:tc>
          <w:tcPr>
            <w:tcW w:w="3600"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0A07BC" w:rsidRDefault="00FF1CE3" w14:paraId="2CCC25B2"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222B59" w:rsidRDefault="00FF1CE3" w14:paraId="2ECED988" w14:textId="092FD0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222B59" w:rsidRDefault="00FF1CE3" w14:paraId="507C1544" w14:textId="77777777">
            <w:pPr>
              <w:spacing w:after="0" w:line="240" w:lineRule="auto"/>
              <w:jc w:val="center"/>
              <w:rPr>
                <w:rFonts w:ascii="Times New Roman" w:hAnsi="Times New Roman" w:cs="Times New Roman"/>
                <w:sz w:val="24"/>
                <w:szCs w:val="24"/>
              </w:rPr>
            </w:pPr>
          </w:p>
        </w:tc>
      </w:tr>
      <w:tr w:rsidRPr="003A637E" w:rsidR="00FF1CE3" w:rsidTr="00FF1CE3" w14:paraId="18BB356D" w14:textId="77777777">
        <w:trPr>
          <w:trHeight w:val="432"/>
          <w:jc w:val="center"/>
        </w:trPr>
        <w:tc>
          <w:tcPr>
            <w:tcW w:w="3600"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0A07BC" w:rsidRDefault="00FF1CE3" w14:paraId="0A30C26B"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222B59" w:rsidRDefault="00FF1CE3" w14:paraId="0B9F48DC" w14:textId="43FC083B">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1 hour</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222B59" w:rsidRDefault="00FF1CE3" w14:paraId="78BAC60F" w14:textId="77777777">
            <w:pPr>
              <w:spacing w:after="0" w:line="240" w:lineRule="auto"/>
              <w:jc w:val="center"/>
              <w:rPr>
                <w:rFonts w:ascii="Times New Roman" w:hAnsi="Times New Roman" w:cs="Times New Roman"/>
                <w:sz w:val="24"/>
                <w:szCs w:val="24"/>
              </w:rPr>
            </w:pPr>
          </w:p>
        </w:tc>
      </w:tr>
      <w:tr w:rsidRPr="003A637E" w:rsidR="00FF1CE3" w:rsidTr="00FF1CE3" w14:paraId="4099C276" w14:textId="77777777">
        <w:trPr>
          <w:trHeight w:val="432"/>
          <w:jc w:val="center"/>
        </w:trPr>
        <w:tc>
          <w:tcPr>
            <w:tcW w:w="3600"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0A07BC" w:rsidRDefault="00FF1CE3" w14:paraId="60FD488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452FB7" w:rsidRDefault="00FF1CE3" w14:paraId="6FD32F4A" w14:textId="675F5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222B59" w:rsidRDefault="00FF1CE3" w14:paraId="13CA0D17" w14:textId="77777777">
            <w:pPr>
              <w:spacing w:after="0" w:line="240" w:lineRule="auto"/>
              <w:jc w:val="center"/>
              <w:rPr>
                <w:rFonts w:ascii="Times New Roman" w:hAnsi="Times New Roman" w:cs="Times New Roman"/>
                <w:sz w:val="24"/>
                <w:szCs w:val="24"/>
              </w:rPr>
            </w:pPr>
          </w:p>
        </w:tc>
      </w:tr>
      <w:tr w:rsidRPr="003A637E" w:rsidR="00FF1CE3" w:rsidTr="00FF1CE3" w14:paraId="74D2E1D6" w14:textId="77777777">
        <w:trPr>
          <w:trHeight w:val="432"/>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rsidRPr="003A637E" w:rsidR="00FF1CE3" w:rsidP="000A07BC" w:rsidRDefault="00FF1CE3" w14:paraId="65C5FF8F"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710" w:type="dxa"/>
            <w:tcBorders>
              <w:top w:val="nil"/>
              <w:left w:val="nil"/>
              <w:bottom w:val="single" w:color="auto" w:sz="4" w:space="0"/>
              <w:right w:val="single" w:color="auto" w:sz="4" w:space="0"/>
            </w:tcBorders>
            <w:shd w:val="clear" w:color="auto" w:fill="auto"/>
            <w:noWrap/>
            <w:vAlign w:val="bottom"/>
          </w:tcPr>
          <w:p w:rsidRPr="003A637E" w:rsidR="00FF1CE3" w:rsidP="00825990" w:rsidRDefault="00FF1CE3" w14:paraId="77E9F0DB" w14:textId="5FE428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222B59" w:rsidRDefault="00FF1CE3" w14:paraId="64C9EE94" w14:textId="77777777">
            <w:pPr>
              <w:spacing w:after="0" w:line="240" w:lineRule="auto"/>
              <w:jc w:val="center"/>
              <w:rPr>
                <w:rFonts w:ascii="Times New Roman" w:hAnsi="Times New Roman" w:cs="Times New Roman"/>
                <w:sz w:val="24"/>
                <w:szCs w:val="24"/>
              </w:rPr>
            </w:pPr>
          </w:p>
        </w:tc>
      </w:tr>
    </w:tbl>
    <w:p w:rsidR="00FA2B3F" w:rsidP="00E559E4" w:rsidRDefault="00FA2B3F" w14:paraId="5F5E4CC8" w14:textId="0B01FFC8"/>
    <w:p w:rsidRPr="003A637E" w:rsidR="00832B9F" w:rsidP="002371CB" w:rsidRDefault="00832B9F" w14:paraId="29FC9CE8" w14:textId="73DCEDCB">
      <w:pPr>
        <w:pStyle w:val="Heading2"/>
        <w:numPr>
          <w:ilvl w:val="1"/>
          <w:numId w:val="26"/>
        </w:numPr>
        <w:ind w:left="1152" w:hanging="576"/>
      </w:pPr>
      <w:r w:rsidRPr="003A637E">
        <w:t xml:space="preserve">Unmanned Aircraft System (UAS) Maintenance </w:t>
      </w:r>
      <w:r>
        <w:t>Reports</w:t>
      </w:r>
    </w:p>
    <w:p w:rsidRPr="003A637E" w:rsidR="00825990" w:rsidP="00825990" w:rsidRDefault="00832B9F" w14:paraId="321FFD3F" w14:textId="4434283F">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PSP and BEYOND participants </w:t>
      </w:r>
      <w:r>
        <w:rPr>
          <w:rFonts w:ascii="Times New Roman" w:hAnsi="Times New Roman" w:eastAsia="Times New Roman" w:cs="Times New Roman"/>
          <w:sz w:val="24"/>
          <w:szCs w:val="24"/>
        </w:rPr>
        <w:t xml:space="preserve">will </w:t>
      </w:r>
      <w:r w:rsidR="003572BE">
        <w:rPr>
          <w:rFonts w:ascii="Times New Roman" w:hAnsi="Times New Roman" w:eastAsia="Times New Roman" w:cs="Times New Roman"/>
          <w:sz w:val="24"/>
          <w:szCs w:val="24"/>
        </w:rPr>
        <w:t>complete these reports</w:t>
      </w:r>
      <w:r>
        <w:rPr>
          <w:rFonts w:ascii="Times New Roman" w:hAnsi="Times New Roman" w:eastAsia="Times New Roman" w:cs="Times New Roman"/>
          <w:sz w:val="24"/>
          <w:szCs w:val="24"/>
        </w:rPr>
        <w:t>, so there will be 1</w:t>
      </w:r>
      <w:r w:rsidR="00825990">
        <w:rPr>
          <w:rFonts w:ascii="Times New Roman" w:hAnsi="Times New Roman" w:eastAsia="Times New Roman" w:cs="Times New Roman"/>
          <w:sz w:val="24"/>
          <w:szCs w:val="24"/>
        </w:rPr>
        <w:t>5</w:t>
      </w:r>
      <w:r w:rsidRPr="003A637E">
        <w:rPr>
          <w:rFonts w:ascii="Times New Roman" w:hAnsi="Times New Roman" w:eastAsia="Times New Roman" w:cs="Times New Roman"/>
          <w:sz w:val="24"/>
          <w:szCs w:val="24"/>
        </w:rPr>
        <w:t xml:space="preserve"> participants combined.</w:t>
      </w:r>
      <w:r>
        <w:rPr>
          <w:rFonts w:ascii="Times New Roman" w:hAnsi="Times New Roman" w:eastAsia="Times New Roman" w:cs="Times New Roman"/>
          <w:sz w:val="24"/>
          <w:szCs w:val="24"/>
        </w:rPr>
        <w:t xml:space="preserve"> I</w:t>
      </w:r>
      <w:r w:rsidRPr="003A637E">
        <w:rPr>
          <w:rFonts w:ascii="Times New Roman" w:hAnsi="Times New Roman" w:eastAsia="Times New Roman" w:cs="Times New Roman"/>
          <w:sz w:val="24"/>
          <w:szCs w:val="24"/>
        </w:rPr>
        <w:t xml:space="preserve">t typically takes between 30 and 50 </w:t>
      </w:r>
      <w:r>
        <w:rPr>
          <w:rFonts w:ascii="Times New Roman" w:hAnsi="Times New Roman" w:eastAsia="Times New Roman" w:cs="Times New Roman"/>
          <w:sz w:val="24"/>
          <w:szCs w:val="24"/>
        </w:rPr>
        <w:t>minutes to complete the maintenance reports</w:t>
      </w:r>
      <w:r w:rsidRPr="003A637E">
        <w:rPr>
          <w:rFonts w:ascii="Times New Roman" w:hAnsi="Times New Roman" w:eastAsia="Times New Roman" w:cs="Times New Roman"/>
          <w:sz w:val="24"/>
          <w:szCs w:val="24"/>
        </w:rPr>
        <w:t xml:space="preserve"> using the electronic system. Upload times typically take from 3 to 5 minutes. Therefore, in order to ensure we calculate the maximum burden, we used 1 hour</w:t>
      </w:r>
      <w:r>
        <w:rPr>
          <w:rFonts w:ascii="Times New Roman" w:hAnsi="Times New Roman" w:eastAsia="Times New Roman" w:cs="Times New Roman"/>
          <w:sz w:val="24"/>
          <w:szCs w:val="24"/>
        </w:rPr>
        <w:t xml:space="preserve"> each for the maintenance reports</w:t>
      </w:r>
      <w:r w:rsidRPr="003A637E">
        <w:rPr>
          <w:rFonts w:ascii="Times New Roman" w:hAnsi="Times New Roman" w:eastAsia="Times New Roman" w:cs="Times New Roman"/>
          <w:sz w:val="24"/>
          <w:szCs w:val="24"/>
        </w:rPr>
        <w:t xml:space="preserve">. As the data is submitted on a monthly basis, each participant will submit </w:t>
      </w:r>
      <w:r>
        <w:rPr>
          <w:rFonts w:ascii="Times New Roman" w:hAnsi="Times New Roman" w:eastAsia="Times New Roman" w:cs="Times New Roman"/>
          <w:sz w:val="24"/>
          <w:szCs w:val="24"/>
        </w:rPr>
        <w:t xml:space="preserve">maintenance </w:t>
      </w:r>
      <w:r w:rsidRPr="003A637E">
        <w:rPr>
          <w:rFonts w:ascii="Times New Roman" w:hAnsi="Times New Roman" w:eastAsia="Times New Roman" w:cs="Times New Roman"/>
          <w:sz w:val="24"/>
          <w:szCs w:val="24"/>
        </w:rPr>
        <w:t xml:space="preserve">data </w:t>
      </w:r>
      <w:r w:rsidR="000015C0">
        <w:rPr>
          <w:rFonts w:ascii="Times New Roman" w:hAnsi="Times New Roman" w:eastAsia="Times New Roman" w:cs="Times New Roman"/>
          <w:sz w:val="24"/>
          <w:szCs w:val="24"/>
        </w:rPr>
        <w:t>12</w:t>
      </w:r>
      <w:r w:rsidRPr="003A637E">
        <w:rPr>
          <w:rFonts w:ascii="Times New Roman" w:hAnsi="Times New Roman" w:eastAsia="Times New Roman" w:cs="Times New Roman"/>
          <w:sz w:val="24"/>
          <w:szCs w:val="24"/>
        </w:rPr>
        <w:t xml:space="preserve"> times annually at maximum. This calculates to a maximum burden of </w:t>
      </w:r>
      <w:r>
        <w:rPr>
          <w:rFonts w:ascii="Times New Roman" w:hAnsi="Times New Roman" w:eastAsia="Times New Roman" w:cs="Times New Roman"/>
          <w:sz w:val="24"/>
          <w:szCs w:val="24"/>
        </w:rPr>
        <w:t>1</w:t>
      </w:r>
      <w:r w:rsidR="00825990">
        <w:rPr>
          <w:rFonts w:ascii="Times New Roman" w:hAnsi="Times New Roman" w:eastAsia="Times New Roman" w:cs="Times New Roman"/>
          <w:sz w:val="24"/>
          <w:szCs w:val="24"/>
        </w:rPr>
        <w:t>80</w:t>
      </w:r>
      <w:r w:rsidRPr="003A637E">
        <w:rPr>
          <w:rFonts w:ascii="Times New Roman" w:hAnsi="Times New Roman" w:eastAsia="Times New Roman" w:cs="Times New Roman"/>
          <w:sz w:val="24"/>
          <w:szCs w:val="24"/>
        </w:rPr>
        <w:t xml:space="preserve"> hours annually. Recordkeeping was not ca</w:t>
      </w:r>
      <w:bookmarkStart w:name="_GoBack" w:id="0"/>
      <w:bookmarkEnd w:id="0"/>
      <w:r w:rsidRPr="003A637E">
        <w:rPr>
          <w:rFonts w:ascii="Times New Roman" w:hAnsi="Times New Roman" w:eastAsia="Times New Roman" w:cs="Times New Roman"/>
          <w:sz w:val="24"/>
          <w:szCs w:val="24"/>
        </w:rPr>
        <w:t>lculated as the reported data should be collected by the participants as a normal course of business. The respondents will be employees of the PSP industry partners and the BEYOND Lead Participants</w:t>
      </w:r>
      <w:r>
        <w:rPr>
          <w:rFonts w:ascii="Times New Roman" w:hAnsi="Times New Roman" w:eastAsia="Times New Roman" w:cs="Times New Roman"/>
          <w:sz w:val="24"/>
          <w:szCs w:val="24"/>
        </w:rPr>
        <w:t xml:space="preserve"> </w:t>
      </w:r>
      <w:r w:rsidRPr="003A637E">
        <w:rPr>
          <w:rFonts w:ascii="Times New Roman" w:hAnsi="Times New Roman" w:eastAsia="Times New Roman" w:cs="Times New Roman"/>
          <w:sz w:val="24"/>
          <w:szCs w:val="24"/>
        </w:rPr>
        <w:t>and are likely to be in roles similar to a Management Analyst</w:t>
      </w:r>
      <w:r w:rsidR="00FF1CE3">
        <w:rPr>
          <w:rStyle w:val="FootnoteReference"/>
          <w:rFonts w:ascii="Times New Roman" w:hAnsi="Times New Roman" w:eastAsia="Times New Roman" w:cs="Times New Roman"/>
          <w:sz w:val="24"/>
          <w:szCs w:val="24"/>
        </w:rPr>
        <w:footnoteReference w:id="12"/>
      </w:r>
      <w:r w:rsidRPr="003A637E">
        <w:rPr>
          <w:rFonts w:ascii="Times New Roman" w:hAnsi="Times New Roman" w:eastAsia="Times New Roman" w:cs="Times New Roman"/>
          <w:sz w:val="24"/>
          <w:szCs w:val="24"/>
        </w:rPr>
        <w:t xml:space="preserve"> or Project Management Specialist</w:t>
      </w:r>
      <w:r w:rsidR="00FF1CE3">
        <w:rPr>
          <w:rStyle w:val="FootnoteReference"/>
          <w:rFonts w:ascii="Times New Roman" w:hAnsi="Times New Roman" w:eastAsia="Times New Roman" w:cs="Times New Roman"/>
          <w:sz w:val="24"/>
          <w:szCs w:val="24"/>
        </w:rPr>
        <w:footnoteReference w:id="13"/>
      </w:r>
      <w:r w:rsidRPr="003A637E">
        <w:rPr>
          <w:rFonts w:ascii="Times New Roman" w:hAnsi="Times New Roman" w:eastAsia="Times New Roman" w:cs="Times New Roman"/>
          <w:sz w:val="24"/>
          <w:szCs w:val="24"/>
        </w:rPr>
        <w:t xml:space="preserve"> role, whose average salaries are $45.94 and $38.57/hour respectively. </w:t>
      </w:r>
      <w:r w:rsidRPr="003A637E" w:rsidR="00825990">
        <w:rPr>
          <w:rFonts w:ascii="Times New Roman" w:hAnsi="Times New Roman" w:eastAsia="Times New Roman" w:cs="Times New Roman"/>
          <w:sz w:val="24"/>
          <w:szCs w:val="24"/>
        </w:rPr>
        <w:t>Assuming the higher cost brings the total maximum cost burden for this data collection to $</w:t>
      </w:r>
      <w:r w:rsidR="00825990">
        <w:rPr>
          <w:rFonts w:ascii="Times New Roman" w:hAnsi="Times New Roman" w:eastAsia="Times New Roman" w:cs="Times New Roman"/>
          <w:sz w:val="24"/>
          <w:szCs w:val="24"/>
        </w:rPr>
        <w:t>8,269.20.</w:t>
      </w:r>
    </w:p>
    <w:p w:rsidRPr="003A637E" w:rsidR="00825990" w:rsidP="00825990" w:rsidRDefault="00825990" w14:paraId="1043196E" w14:textId="77777777">
      <w:pPr>
        <w:shd w:val="clear" w:color="auto" w:fill="FFFFFF"/>
        <w:spacing w:after="0" w:line="240" w:lineRule="auto"/>
        <w:ind w:left="576"/>
        <w:rPr>
          <w:rFonts w:ascii="Times New Roman" w:hAnsi="Times New Roman" w:eastAsia="Times New Roman" w:cs="Times New Roman"/>
          <w:sz w:val="24"/>
          <w:szCs w:val="24"/>
        </w:rPr>
      </w:pPr>
    </w:p>
    <w:p w:rsidRPr="003A637E" w:rsidR="00825990" w:rsidP="00825990" w:rsidRDefault="00825990" w14:paraId="793345A2"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r w:rsidRPr="003A637E">
        <w:rPr>
          <w:rFonts w:ascii="Times New Roman" w:hAnsi="Times New Roman" w:eastAsia="Times New Roman" w:cs="Times New Roman"/>
          <w:sz w:val="24"/>
          <w:szCs w:val="24"/>
        </w:rPr>
        <w:t xml:space="preserve"> respondents x </w:t>
      </w:r>
      <w:r>
        <w:rPr>
          <w:rFonts w:ascii="Times New Roman" w:hAnsi="Times New Roman" w:eastAsia="Times New Roman" w:cs="Times New Roman"/>
          <w:sz w:val="24"/>
          <w:szCs w:val="24"/>
        </w:rPr>
        <w:t>12</w:t>
      </w:r>
      <w:r w:rsidRPr="003A637E">
        <w:rPr>
          <w:rFonts w:ascii="Times New Roman" w:hAnsi="Times New Roman" w:eastAsia="Times New Roman" w:cs="Times New Roman"/>
          <w:sz w:val="24"/>
          <w:szCs w:val="24"/>
        </w:rPr>
        <w:t xml:space="preserve"> responses per respondent = </w:t>
      </w:r>
      <w:r>
        <w:rPr>
          <w:rFonts w:ascii="Times New Roman" w:hAnsi="Times New Roman" w:eastAsia="Times New Roman" w:cs="Times New Roman"/>
          <w:sz w:val="24"/>
          <w:szCs w:val="24"/>
        </w:rPr>
        <w:t>180</w:t>
      </w:r>
      <w:r w:rsidRPr="003A637E">
        <w:rPr>
          <w:rFonts w:ascii="Times New Roman" w:hAnsi="Times New Roman" w:eastAsia="Times New Roman" w:cs="Times New Roman"/>
          <w:sz w:val="24"/>
          <w:szCs w:val="24"/>
        </w:rPr>
        <w:t xml:space="preserve"> responses </w:t>
      </w:r>
    </w:p>
    <w:p w:rsidRPr="003A637E" w:rsidR="00825990" w:rsidP="00825990" w:rsidRDefault="00825990" w14:paraId="3F034C4A"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r w:rsidRPr="003A637E">
        <w:rPr>
          <w:rFonts w:ascii="Times New Roman" w:hAnsi="Times New Roman" w:eastAsia="Times New Roman" w:cs="Times New Roman"/>
          <w:sz w:val="24"/>
          <w:szCs w:val="24"/>
        </w:rPr>
        <w:t xml:space="preserve"> responses x 1 hour = </w:t>
      </w:r>
      <w:r>
        <w:rPr>
          <w:rFonts w:ascii="Times New Roman" w:hAnsi="Times New Roman" w:eastAsia="Times New Roman" w:cs="Times New Roman"/>
          <w:sz w:val="24"/>
          <w:szCs w:val="24"/>
        </w:rPr>
        <w:t>180</w:t>
      </w:r>
      <w:r w:rsidRPr="003A637E">
        <w:rPr>
          <w:rFonts w:ascii="Times New Roman" w:hAnsi="Times New Roman" w:eastAsia="Times New Roman" w:cs="Times New Roman"/>
          <w:sz w:val="24"/>
          <w:szCs w:val="24"/>
        </w:rPr>
        <w:t xml:space="preserve"> hours</w:t>
      </w:r>
    </w:p>
    <w:p w:rsidRPr="003A637E" w:rsidR="00825990" w:rsidP="00825990" w:rsidRDefault="00825990" w14:paraId="7C929735"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r w:rsidRPr="003A637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8,269.20</w:t>
      </w:r>
    </w:p>
    <w:p w:rsidRPr="003A637E" w:rsidR="00825990" w:rsidP="00825990" w:rsidRDefault="00825990" w14:paraId="1EBFD4C7" w14:textId="77777777">
      <w:pPr>
        <w:shd w:val="clear" w:color="auto" w:fill="FFFFFF"/>
        <w:spacing w:after="0" w:line="240" w:lineRule="auto"/>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510"/>
        <w:gridCol w:w="1800"/>
        <w:gridCol w:w="1890"/>
      </w:tblGrid>
      <w:tr w:rsidRPr="003A637E" w:rsidR="00FF1CE3" w:rsidTr="00FF1CE3" w14:paraId="4D30DAAC" w14:textId="77777777">
        <w:trPr>
          <w:trHeight w:val="432"/>
          <w:jc w:val="center"/>
        </w:trPr>
        <w:tc>
          <w:tcPr>
            <w:tcW w:w="35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FF1CE3" w:rsidP="005E3C11" w:rsidRDefault="00FF1CE3" w14:paraId="405287F9"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9D6A3C" w:rsidRDefault="00FF1CE3" w14:paraId="39371F58"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9D6A3C" w:rsidRDefault="00FF1CE3" w14:paraId="12BA3C2D"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FF1CE3" w:rsidTr="00FF1CE3" w14:paraId="57D46688" w14:textId="77777777">
        <w:trPr>
          <w:trHeight w:val="432"/>
          <w:jc w:val="center"/>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5E3C11" w:rsidRDefault="00FF1CE3" w14:paraId="6641E6A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E3C11" w:rsidRDefault="00FF1CE3" w14:paraId="093988C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5E3C11" w:rsidRDefault="00FF1CE3" w14:paraId="7F410F68" w14:textId="77777777">
            <w:pPr>
              <w:spacing w:after="0" w:line="240" w:lineRule="auto"/>
              <w:jc w:val="center"/>
              <w:rPr>
                <w:rFonts w:ascii="Times New Roman" w:hAnsi="Times New Roman" w:cs="Times New Roman"/>
                <w:sz w:val="24"/>
                <w:szCs w:val="24"/>
              </w:rPr>
            </w:pPr>
          </w:p>
        </w:tc>
      </w:tr>
      <w:tr w:rsidRPr="003A637E" w:rsidR="00FF1CE3" w:rsidTr="00FF1CE3" w14:paraId="38A8DE51" w14:textId="77777777">
        <w:trPr>
          <w:trHeight w:val="432"/>
          <w:jc w:val="center"/>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5E3C11" w:rsidRDefault="00FF1CE3" w14:paraId="0A6E537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E3C11" w:rsidRDefault="00FF1CE3" w14:paraId="4583B5F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5E3C11" w:rsidRDefault="00FF1CE3" w14:paraId="68E8D377" w14:textId="77777777">
            <w:pPr>
              <w:spacing w:after="0" w:line="240" w:lineRule="auto"/>
              <w:jc w:val="center"/>
              <w:rPr>
                <w:rFonts w:ascii="Times New Roman" w:hAnsi="Times New Roman" w:cs="Times New Roman"/>
                <w:sz w:val="24"/>
                <w:szCs w:val="24"/>
              </w:rPr>
            </w:pPr>
          </w:p>
        </w:tc>
      </w:tr>
      <w:tr w:rsidRPr="003A637E" w:rsidR="00FF1CE3" w:rsidTr="00FF1CE3" w14:paraId="6A2F2117" w14:textId="77777777">
        <w:trPr>
          <w:trHeight w:val="432"/>
          <w:jc w:val="center"/>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5E3C11" w:rsidRDefault="00FF1CE3" w14:paraId="4165939B"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E3C11" w:rsidRDefault="00FF1CE3" w14:paraId="70DC7467" w14:textId="77777777">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1 hour</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5E3C11" w:rsidRDefault="00FF1CE3" w14:paraId="546A7E1D" w14:textId="77777777">
            <w:pPr>
              <w:spacing w:after="0" w:line="240" w:lineRule="auto"/>
              <w:jc w:val="center"/>
              <w:rPr>
                <w:rFonts w:ascii="Times New Roman" w:hAnsi="Times New Roman" w:cs="Times New Roman"/>
                <w:sz w:val="24"/>
                <w:szCs w:val="24"/>
              </w:rPr>
            </w:pPr>
          </w:p>
        </w:tc>
      </w:tr>
      <w:tr w:rsidRPr="003A637E" w:rsidR="00FF1CE3" w:rsidTr="00FF1CE3" w14:paraId="4A297D85" w14:textId="77777777">
        <w:trPr>
          <w:trHeight w:val="432"/>
          <w:jc w:val="center"/>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5E3C11" w:rsidRDefault="00FF1CE3" w14:paraId="2D156B83"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5E3C11" w:rsidRDefault="00FF1CE3" w14:paraId="29CA599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5E3C11" w:rsidRDefault="00FF1CE3" w14:paraId="52DC610E" w14:textId="77777777">
            <w:pPr>
              <w:spacing w:after="0" w:line="240" w:lineRule="auto"/>
              <w:jc w:val="center"/>
              <w:rPr>
                <w:rFonts w:ascii="Times New Roman" w:hAnsi="Times New Roman" w:cs="Times New Roman"/>
                <w:sz w:val="24"/>
                <w:szCs w:val="24"/>
              </w:rPr>
            </w:pPr>
          </w:p>
        </w:tc>
      </w:tr>
    </w:tbl>
    <w:p w:rsidR="00832B9F" w:rsidP="00825990" w:rsidRDefault="00832B9F" w14:paraId="66BE4564" w14:textId="33A3E89F">
      <w:pPr>
        <w:shd w:val="clear" w:color="auto" w:fill="FFFFFF"/>
        <w:spacing w:after="0" w:line="240" w:lineRule="auto"/>
        <w:ind w:left="576"/>
      </w:pPr>
    </w:p>
    <w:p w:rsidRPr="003A637E" w:rsidR="00E76AB4" w:rsidP="002371CB" w:rsidRDefault="00E76AB4" w14:paraId="1A7A51B6" w14:textId="54937F0C">
      <w:pPr>
        <w:pStyle w:val="Heading2"/>
        <w:numPr>
          <w:ilvl w:val="1"/>
          <w:numId w:val="26"/>
        </w:numPr>
        <w:ind w:left="1152" w:hanging="576"/>
      </w:pPr>
      <w:r w:rsidRPr="003A637E">
        <w:lastRenderedPageBreak/>
        <w:t xml:space="preserve">Unmanned Aircraft System (UAS) </w:t>
      </w:r>
      <w:r>
        <w:t xml:space="preserve">Flight </w:t>
      </w:r>
      <w:r w:rsidRPr="003A637E">
        <w:t>Anomaly Reports</w:t>
      </w:r>
    </w:p>
    <w:p w:rsidRPr="003A637E" w:rsidR="00E76AB4" w:rsidP="00E76AB4" w:rsidRDefault="00E76AB4" w14:paraId="619D6791" w14:textId="549DB1B5">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PSP and BEYOND participants </w:t>
      </w:r>
      <w:r>
        <w:rPr>
          <w:rFonts w:ascii="Times New Roman" w:hAnsi="Times New Roman" w:eastAsia="Times New Roman" w:cs="Times New Roman"/>
          <w:sz w:val="24"/>
          <w:szCs w:val="24"/>
        </w:rPr>
        <w:t>could complete these reports, so there will be up to 15</w:t>
      </w:r>
      <w:r w:rsidRPr="003A637E">
        <w:rPr>
          <w:rFonts w:ascii="Times New Roman" w:hAnsi="Times New Roman" w:eastAsia="Times New Roman" w:cs="Times New Roman"/>
          <w:sz w:val="24"/>
          <w:szCs w:val="24"/>
        </w:rPr>
        <w:t xml:space="preserve"> participants combined.</w:t>
      </w:r>
      <w:r>
        <w:rPr>
          <w:rFonts w:ascii="Times New Roman" w:hAnsi="Times New Roman" w:eastAsia="Times New Roman" w:cs="Times New Roman"/>
          <w:sz w:val="24"/>
          <w:szCs w:val="24"/>
        </w:rPr>
        <w:t xml:space="preserve"> </w:t>
      </w:r>
      <w:r w:rsidRPr="003A637E">
        <w:rPr>
          <w:rFonts w:ascii="Times New Roman" w:hAnsi="Times New Roman" w:eastAsia="Times New Roman" w:cs="Times New Roman"/>
          <w:sz w:val="24"/>
          <w:szCs w:val="24"/>
        </w:rPr>
        <w:t>The number of responses per respondent depends on the number of anomalies that occur each year. During two years of the I</w:t>
      </w:r>
      <w:r>
        <w:rPr>
          <w:rFonts w:ascii="Times New Roman" w:hAnsi="Times New Roman" w:eastAsia="Times New Roman" w:cs="Times New Roman"/>
          <w:sz w:val="24"/>
          <w:szCs w:val="24"/>
        </w:rPr>
        <w:t>ntegration Pilot Program (IPP) (a former, similar program)</w:t>
      </w:r>
      <w:r w:rsidRPr="003A637E">
        <w:rPr>
          <w:rFonts w:ascii="Times New Roman" w:hAnsi="Times New Roman" w:eastAsia="Times New Roman" w:cs="Times New Roman"/>
          <w:sz w:val="24"/>
          <w:szCs w:val="24"/>
        </w:rPr>
        <w:t xml:space="preserve">, 44 anomaly reports </w:t>
      </w:r>
      <w:r>
        <w:rPr>
          <w:rFonts w:ascii="Times New Roman" w:hAnsi="Times New Roman" w:eastAsia="Times New Roman" w:cs="Times New Roman"/>
          <w:sz w:val="24"/>
          <w:szCs w:val="24"/>
        </w:rPr>
        <w:t xml:space="preserve">total </w:t>
      </w:r>
      <w:r w:rsidRPr="003A637E">
        <w:rPr>
          <w:rFonts w:ascii="Times New Roman" w:hAnsi="Times New Roman" w:eastAsia="Times New Roman" w:cs="Times New Roman"/>
          <w:sz w:val="24"/>
          <w:szCs w:val="24"/>
        </w:rPr>
        <w:t xml:space="preserve">were submitted by </w:t>
      </w:r>
      <w:r>
        <w:rPr>
          <w:rFonts w:ascii="Times New Roman" w:hAnsi="Times New Roman" w:eastAsia="Times New Roman" w:cs="Times New Roman"/>
          <w:sz w:val="24"/>
          <w:szCs w:val="24"/>
        </w:rPr>
        <w:t xml:space="preserve">the </w:t>
      </w:r>
      <w:r w:rsidRPr="003A637E">
        <w:rPr>
          <w:rFonts w:ascii="Times New Roman" w:hAnsi="Times New Roman" w:eastAsia="Times New Roman" w:cs="Times New Roman"/>
          <w:sz w:val="24"/>
          <w:szCs w:val="24"/>
        </w:rPr>
        <w:t xml:space="preserve">9 participants. That averages to be two responses per respondent annually. Because the PSP and BEYOND programs will require more types of anomalies to be reported than in the IPP, and to ensure calculation of the maximum burden, we estimated the annual number of responses per respondent will increase to </w:t>
      </w:r>
      <w:r>
        <w:rPr>
          <w:rFonts w:ascii="Times New Roman" w:hAnsi="Times New Roman" w:eastAsia="Times New Roman" w:cs="Times New Roman"/>
          <w:sz w:val="24"/>
          <w:szCs w:val="24"/>
        </w:rPr>
        <w:t>10</w:t>
      </w:r>
      <w:r w:rsidRPr="003A637E">
        <w:rPr>
          <w:rFonts w:ascii="Times New Roman" w:hAnsi="Times New Roman" w:eastAsia="Times New Roman" w:cs="Times New Roman"/>
          <w:sz w:val="24"/>
          <w:szCs w:val="24"/>
        </w:rPr>
        <w:t xml:space="preserve"> per year. The time per response depends on the type of anomaly that occurred and the impact of the anomaly. At a minimum, the respondent would be required to answer 8 questions. For an anomaly involving multiple system failures, the respondent would be required to answer up to 25 questions. Each question should take 1-2 minutes to answer. Using the maximum burden of 25 questions and 2 minutes per question, it should take 50 minutes to complete the form. Upload times typically take from 3 to 5 minutes. Therefore, to ensure we calculated the maximum burden, we used 1 hour. Recordkeeping was not calculated as the reported data should be collected by the participants as a normal course of business. The respondents will be employees of the BEYOND Lead Participants </w:t>
      </w:r>
      <w:r>
        <w:rPr>
          <w:rFonts w:ascii="Times New Roman" w:hAnsi="Times New Roman" w:eastAsia="Times New Roman" w:cs="Times New Roman"/>
          <w:sz w:val="24"/>
          <w:szCs w:val="24"/>
        </w:rPr>
        <w:t xml:space="preserve">and </w:t>
      </w:r>
      <w:r w:rsidRPr="003A637E">
        <w:rPr>
          <w:rFonts w:ascii="Times New Roman" w:hAnsi="Times New Roman" w:eastAsia="Times New Roman" w:cs="Times New Roman"/>
          <w:sz w:val="24"/>
          <w:szCs w:val="24"/>
        </w:rPr>
        <w:t>PSP industry partners and are likely to be in roles similar to a Management Analyst</w:t>
      </w:r>
      <w:r w:rsidR="00FF1CE3">
        <w:rPr>
          <w:rStyle w:val="FootnoteReference"/>
          <w:rFonts w:ascii="Times New Roman" w:hAnsi="Times New Roman" w:eastAsia="Times New Roman" w:cs="Times New Roman"/>
          <w:sz w:val="24"/>
          <w:szCs w:val="24"/>
        </w:rPr>
        <w:footnoteReference w:id="14"/>
      </w:r>
      <w:r w:rsidRPr="003A637E">
        <w:rPr>
          <w:rFonts w:ascii="Times New Roman" w:hAnsi="Times New Roman" w:eastAsia="Times New Roman" w:cs="Times New Roman"/>
          <w:sz w:val="24"/>
          <w:szCs w:val="24"/>
        </w:rPr>
        <w:t xml:space="preserve"> or Project Management Specialist</w:t>
      </w:r>
      <w:r w:rsidR="00FF1CE3">
        <w:rPr>
          <w:rStyle w:val="FootnoteReference"/>
          <w:rFonts w:ascii="Times New Roman" w:hAnsi="Times New Roman" w:eastAsia="Times New Roman" w:cs="Times New Roman"/>
          <w:sz w:val="24"/>
          <w:szCs w:val="24"/>
        </w:rPr>
        <w:footnoteReference w:id="15"/>
      </w:r>
      <w:r w:rsidRPr="003A637E">
        <w:rPr>
          <w:rFonts w:ascii="Times New Roman" w:hAnsi="Times New Roman" w:eastAsia="Times New Roman" w:cs="Times New Roman"/>
          <w:sz w:val="24"/>
          <w:szCs w:val="24"/>
        </w:rPr>
        <w:t xml:space="preserve"> role, whose average salaries are $45.94 and $38.57/hour respectively. Assuming the higher cost brings the total maximum cost burden for this data collection to $</w:t>
      </w:r>
      <w:r>
        <w:rPr>
          <w:rFonts w:ascii="Times New Roman" w:hAnsi="Times New Roman" w:eastAsia="Times New Roman" w:cs="Times New Roman"/>
          <w:sz w:val="24"/>
          <w:szCs w:val="24"/>
        </w:rPr>
        <w:t>6,891.00</w:t>
      </w:r>
      <w:r w:rsidRPr="003A637E">
        <w:rPr>
          <w:rFonts w:ascii="Times New Roman" w:hAnsi="Times New Roman" w:eastAsia="Times New Roman" w:cs="Times New Roman"/>
          <w:sz w:val="24"/>
          <w:szCs w:val="24"/>
        </w:rPr>
        <w:t>.</w:t>
      </w:r>
    </w:p>
    <w:p w:rsidRPr="003A637E" w:rsidR="00E76AB4" w:rsidP="00E76AB4" w:rsidRDefault="00E76AB4" w14:paraId="6E9B0535" w14:textId="77777777">
      <w:pPr>
        <w:shd w:val="clear" w:color="auto" w:fill="FFFFFF"/>
        <w:spacing w:after="0" w:line="240" w:lineRule="auto"/>
        <w:ind w:left="576"/>
        <w:rPr>
          <w:rFonts w:ascii="Times New Roman" w:hAnsi="Times New Roman" w:eastAsia="Times New Roman" w:cs="Times New Roman"/>
          <w:sz w:val="24"/>
          <w:szCs w:val="24"/>
        </w:rPr>
      </w:pPr>
    </w:p>
    <w:p w:rsidRPr="003A637E" w:rsidR="00E76AB4" w:rsidP="00E76AB4" w:rsidRDefault="00E76AB4" w14:paraId="4C23B2CC" w14:textId="77777777">
      <w:pPr>
        <w:shd w:val="clear" w:color="auto" w:fill="FFFFFF"/>
        <w:spacing w:after="0" w:line="240" w:lineRule="auto"/>
        <w:ind w:left="576" w:firstLine="72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1</w:t>
      </w:r>
      <w:r>
        <w:rPr>
          <w:rFonts w:ascii="Times New Roman" w:hAnsi="Times New Roman" w:eastAsia="Times New Roman" w:cs="Times New Roman"/>
          <w:sz w:val="24"/>
          <w:szCs w:val="24"/>
        </w:rPr>
        <w:t>5</w:t>
      </w:r>
      <w:r w:rsidRPr="003A637E">
        <w:rPr>
          <w:rFonts w:ascii="Times New Roman" w:hAnsi="Times New Roman" w:eastAsia="Times New Roman" w:cs="Times New Roman"/>
          <w:sz w:val="24"/>
          <w:szCs w:val="24"/>
        </w:rPr>
        <w:t xml:space="preserve"> respondents x 10 responses per respondent = </w:t>
      </w:r>
      <w:r>
        <w:rPr>
          <w:rFonts w:ascii="Times New Roman" w:hAnsi="Times New Roman" w:eastAsia="Times New Roman" w:cs="Times New Roman"/>
          <w:sz w:val="24"/>
          <w:szCs w:val="24"/>
        </w:rPr>
        <w:t>150</w:t>
      </w:r>
      <w:r w:rsidRPr="003A637E">
        <w:rPr>
          <w:rFonts w:ascii="Times New Roman" w:hAnsi="Times New Roman" w:eastAsia="Times New Roman" w:cs="Times New Roman"/>
          <w:sz w:val="24"/>
          <w:szCs w:val="24"/>
        </w:rPr>
        <w:t xml:space="preserve"> responses </w:t>
      </w:r>
    </w:p>
    <w:p w:rsidRPr="003A637E" w:rsidR="00E76AB4" w:rsidP="00E76AB4" w:rsidRDefault="00E76AB4" w14:paraId="108F0F5C" w14:textId="77777777">
      <w:pPr>
        <w:shd w:val="clear" w:color="auto" w:fill="FFFFFF"/>
        <w:spacing w:after="0" w:line="240" w:lineRule="auto"/>
        <w:ind w:left="576"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r w:rsidRPr="003A637E">
        <w:rPr>
          <w:rFonts w:ascii="Times New Roman" w:hAnsi="Times New Roman" w:eastAsia="Times New Roman" w:cs="Times New Roman"/>
          <w:sz w:val="24"/>
          <w:szCs w:val="24"/>
        </w:rPr>
        <w:t xml:space="preserve">0 responses x 1 hour = </w:t>
      </w:r>
      <w:r>
        <w:rPr>
          <w:rFonts w:ascii="Times New Roman" w:hAnsi="Times New Roman" w:eastAsia="Times New Roman" w:cs="Times New Roman"/>
          <w:sz w:val="24"/>
          <w:szCs w:val="24"/>
        </w:rPr>
        <w:t>15</w:t>
      </w:r>
      <w:r w:rsidRPr="003A637E">
        <w:rPr>
          <w:rFonts w:ascii="Times New Roman" w:hAnsi="Times New Roman" w:eastAsia="Times New Roman" w:cs="Times New Roman"/>
          <w:sz w:val="24"/>
          <w:szCs w:val="24"/>
        </w:rPr>
        <w:t>0 hours</w:t>
      </w:r>
    </w:p>
    <w:p w:rsidRPr="003A637E" w:rsidR="00E76AB4" w:rsidP="00E76AB4" w:rsidRDefault="00E76AB4" w14:paraId="5B4CE854" w14:textId="77777777">
      <w:pPr>
        <w:shd w:val="clear" w:color="auto" w:fill="FFFFFF"/>
        <w:spacing w:after="0" w:line="240" w:lineRule="auto"/>
        <w:ind w:left="576"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r w:rsidRPr="003A637E">
        <w:rPr>
          <w:rFonts w:ascii="Times New Roman" w:hAnsi="Times New Roman" w:eastAsia="Times New Roman" w:cs="Times New Roman"/>
          <w:sz w:val="24"/>
          <w:szCs w:val="24"/>
        </w:rPr>
        <w:t>0 hours x $45.94 per hour = $</w:t>
      </w:r>
      <w:r>
        <w:rPr>
          <w:rFonts w:ascii="Times New Roman" w:hAnsi="Times New Roman" w:eastAsia="Times New Roman" w:cs="Times New Roman"/>
          <w:sz w:val="24"/>
          <w:szCs w:val="24"/>
        </w:rPr>
        <w:t>6,891.00</w:t>
      </w:r>
    </w:p>
    <w:p w:rsidRPr="003A637E" w:rsidR="00E76AB4" w:rsidP="00E76AB4" w:rsidRDefault="00E76AB4" w14:paraId="3079C94A" w14:textId="77777777">
      <w:pPr>
        <w:shd w:val="clear" w:color="auto" w:fill="FFFFFF"/>
        <w:spacing w:after="0" w:line="240" w:lineRule="auto"/>
        <w:ind w:left="576" w:firstLine="720"/>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846"/>
        <w:gridCol w:w="1800"/>
        <w:gridCol w:w="1763"/>
      </w:tblGrid>
      <w:tr w:rsidRPr="003A637E" w:rsidR="00FF1CE3" w:rsidTr="00FF1CE3" w14:paraId="749545D9" w14:textId="77777777">
        <w:trPr>
          <w:trHeight w:val="432"/>
          <w:jc w:val="center"/>
        </w:trPr>
        <w:tc>
          <w:tcPr>
            <w:tcW w:w="38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FF1CE3" w:rsidP="007B5485" w:rsidRDefault="00FF1CE3" w14:paraId="4B2BEF81"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7B5485" w:rsidRDefault="00FF1CE3" w14:paraId="6F8FF69C"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7B5485" w:rsidRDefault="00FF1CE3" w14:paraId="00F4BB35"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FF1CE3" w:rsidTr="00FF1CE3" w14:paraId="59D37476" w14:textId="77777777">
        <w:trPr>
          <w:trHeight w:val="432"/>
          <w:jc w:val="center"/>
        </w:trPr>
        <w:tc>
          <w:tcPr>
            <w:tcW w:w="3846"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7B5485" w:rsidRDefault="00FF1CE3" w14:paraId="1DA57B4A"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70777742"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322713B7" w14:textId="77777777">
            <w:pPr>
              <w:spacing w:after="0" w:line="240" w:lineRule="auto"/>
              <w:jc w:val="center"/>
              <w:rPr>
                <w:rFonts w:ascii="Times New Roman" w:hAnsi="Times New Roman" w:cs="Times New Roman"/>
                <w:sz w:val="24"/>
                <w:szCs w:val="24"/>
              </w:rPr>
            </w:pPr>
          </w:p>
        </w:tc>
      </w:tr>
      <w:tr w:rsidRPr="003A637E" w:rsidR="00FF1CE3" w:rsidTr="00FF1CE3" w14:paraId="18901542" w14:textId="77777777">
        <w:trPr>
          <w:trHeight w:val="432"/>
          <w:jc w:val="center"/>
        </w:trPr>
        <w:tc>
          <w:tcPr>
            <w:tcW w:w="3846"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7B5485" w:rsidRDefault="00FF1CE3" w14:paraId="2027AC42"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2D082E3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2DE14CA5" w14:textId="77777777">
            <w:pPr>
              <w:spacing w:after="0" w:line="240" w:lineRule="auto"/>
              <w:jc w:val="center"/>
              <w:rPr>
                <w:rFonts w:ascii="Times New Roman" w:hAnsi="Times New Roman" w:cs="Times New Roman"/>
                <w:sz w:val="24"/>
                <w:szCs w:val="24"/>
              </w:rPr>
            </w:pPr>
          </w:p>
        </w:tc>
      </w:tr>
      <w:tr w:rsidRPr="003A637E" w:rsidR="00FF1CE3" w:rsidTr="00FF1CE3" w14:paraId="59695633" w14:textId="77777777">
        <w:trPr>
          <w:trHeight w:val="432"/>
          <w:jc w:val="center"/>
        </w:trPr>
        <w:tc>
          <w:tcPr>
            <w:tcW w:w="3846"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7B5485" w:rsidRDefault="00FF1CE3" w14:paraId="6A8C3321"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1F9274FF" w14:textId="77777777">
            <w:pPr>
              <w:spacing w:after="0" w:line="240" w:lineRule="auto"/>
              <w:jc w:val="center"/>
              <w:rPr>
                <w:rFonts w:ascii="Times New Roman" w:hAnsi="Times New Roman" w:cs="Times New Roman"/>
                <w:sz w:val="24"/>
                <w:szCs w:val="24"/>
              </w:rPr>
            </w:pPr>
            <w:r w:rsidRPr="003A637E">
              <w:rPr>
                <w:rFonts w:ascii="Times New Roman" w:hAnsi="Times New Roman" w:cs="Times New Roman"/>
                <w:sz w:val="24"/>
                <w:szCs w:val="24"/>
              </w:rPr>
              <w:t>1 hour</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509F25B7" w14:textId="77777777">
            <w:pPr>
              <w:spacing w:after="0" w:line="240" w:lineRule="auto"/>
              <w:jc w:val="center"/>
              <w:rPr>
                <w:rFonts w:ascii="Times New Roman" w:hAnsi="Times New Roman" w:cs="Times New Roman"/>
                <w:sz w:val="24"/>
                <w:szCs w:val="24"/>
              </w:rPr>
            </w:pPr>
          </w:p>
        </w:tc>
      </w:tr>
      <w:tr w:rsidRPr="003A637E" w:rsidR="00FF1CE3" w:rsidTr="00FF1CE3" w14:paraId="1C210F91" w14:textId="77777777">
        <w:trPr>
          <w:trHeight w:val="432"/>
          <w:jc w:val="center"/>
        </w:trPr>
        <w:tc>
          <w:tcPr>
            <w:tcW w:w="3846"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7B5485" w:rsidRDefault="00FF1CE3" w14:paraId="391CDA0A"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22E5809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5983A561" w14:textId="77777777">
            <w:pPr>
              <w:spacing w:after="0" w:line="240" w:lineRule="auto"/>
              <w:jc w:val="center"/>
              <w:rPr>
                <w:rFonts w:ascii="Times New Roman" w:hAnsi="Times New Roman" w:cs="Times New Roman"/>
                <w:sz w:val="24"/>
                <w:szCs w:val="24"/>
              </w:rPr>
            </w:pPr>
          </w:p>
        </w:tc>
      </w:tr>
      <w:tr w:rsidRPr="003A637E" w:rsidR="00FF1CE3" w:rsidTr="00FF1CE3" w14:paraId="65886AD6" w14:textId="77777777">
        <w:trPr>
          <w:trHeight w:val="432"/>
          <w:jc w:val="center"/>
        </w:trPr>
        <w:tc>
          <w:tcPr>
            <w:tcW w:w="3846" w:type="dxa"/>
            <w:tcBorders>
              <w:top w:val="nil"/>
              <w:left w:val="single" w:color="auto" w:sz="4" w:space="0"/>
              <w:bottom w:val="single" w:color="auto" w:sz="4" w:space="0"/>
              <w:right w:val="single" w:color="auto" w:sz="4" w:space="0"/>
            </w:tcBorders>
            <w:shd w:val="clear" w:color="auto" w:fill="auto"/>
            <w:noWrap/>
            <w:vAlign w:val="bottom"/>
          </w:tcPr>
          <w:p w:rsidRPr="003A637E" w:rsidR="00FF1CE3" w:rsidP="007B5485" w:rsidRDefault="00FF1CE3" w14:paraId="3B5EDEFB"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419D0A9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7B5485" w:rsidRDefault="00FF1CE3" w14:paraId="40AC20AA" w14:textId="77777777">
            <w:pPr>
              <w:spacing w:after="0" w:line="240" w:lineRule="auto"/>
              <w:jc w:val="center"/>
              <w:rPr>
                <w:rFonts w:ascii="Times New Roman" w:hAnsi="Times New Roman" w:cs="Times New Roman"/>
                <w:sz w:val="24"/>
                <w:szCs w:val="24"/>
              </w:rPr>
            </w:pPr>
          </w:p>
        </w:tc>
      </w:tr>
    </w:tbl>
    <w:p w:rsidR="00E76AB4" w:rsidP="00E76AB4" w:rsidRDefault="00E76AB4" w14:paraId="3D7775D3" w14:textId="77777777"/>
    <w:p w:rsidR="00A841D4" w:rsidP="002371CB" w:rsidRDefault="00973232" w14:paraId="53CAC74E" w14:textId="79181022">
      <w:pPr>
        <w:pStyle w:val="Heading2"/>
        <w:numPr>
          <w:ilvl w:val="1"/>
          <w:numId w:val="26"/>
        </w:numPr>
        <w:ind w:left="1152" w:hanging="576"/>
      </w:pPr>
      <w:r>
        <w:t xml:space="preserve">UAS </w:t>
      </w:r>
      <w:r w:rsidRPr="00A841D4" w:rsidR="00A841D4">
        <w:t xml:space="preserve">Test Data </w:t>
      </w:r>
      <w:r>
        <w:t>Reports</w:t>
      </w:r>
    </w:p>
    <w:p w:rsidR="006B3426" w:rsidP="00F63C93" w:rsidRDefault="00973232" w14:paraId="785039CD" w14:textId="28F45362">
      <w:pPr>
        <w:shd w:val="clear" w:color="auto" w:fill="FFFFFF"/>
        <w:spacing w:after="0" w:line="240" w:lineRule="auto"/>
        <w:ind w:left="576"/>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PSP and BEYOND participants </w:t>
      </w:r>
      <w:r>
        <w:rPr>
          <w:rFonts w:ascii="Times New Roman" w:hAnsi="Times New Roman" w:eastAsia="Times New Roman" w:cs="Times New Roman"/>
          <w:sz w:val="24"/>
          <w:szCs w:val="24"/>
        </w:rPr>
        <w:t xml:space="preserve">could </w:t>
      </w:r>
      <w:r w:rsidR="003572BE">
        <w:rPr>
          <w:rFonts w:ascii="Times New Roman" w:hAnsi="Times New Roman" w:eastAsia="Times New Roman" w:cs="Times New Roman"/>
          <w:sz w:val="24"/>
          <w:szCs w:val="24"/>
        </w:rPr>
        <w:t>complete these reports</w:t>
      </w:r>
      <w:r w:rsidR="00825990">
        <w:rPr>
          <w:rFonts w:ascii="Times New Roman" w:hAnsi="Times New Roman" w:eastAsia="Times New Roman" w:cs="Times New Roman"/>
          <w:sz w:val="24"/>
          <w:szCs w:val="24"/>
        </w:rPr>
        <w:t>, so there will be up to 15</w:t>
      </w:r>
      <w:r w:rsidRPr="003A637E">
        <w:rPr>
          <w:rFonts w:ascii="Times New Roman" w:hAnsi="Times New Roman" w:eastAsia="Times New Roman" w:cs="Times New Roman"/>
          <w:sz w:val="24"/>
          <w:szCs w:val="24"/>
        </w:rPr>
        <w:t xml:space="preserve"> participants combined.</w:t>
      </w:r>
      <w:r>
        <w:rPr>
          <w:rFonts w:ascii="Times New Roman" w:hAnsi="Times New Roman" w:eastAsia="Times New Roman" w:cs="Times New Roman"/>
          <w:sz w:val="24"/>
          <w:szCs w:val="24"/>
        </w:rPr>
        <w:t xml:space="preserve"> </w:t>
      </w:r>
      <w:r w:rsidRPr="00E559E4" w:rsidR="006B3426">
        <w:rPr>
          <w:rFonts w:ascii="Times New Roman" w:hAnsi="Times New Roman" w:cs="Times New Roman"/>
          <w:sz w:val="24"/>
          <w:szCs w:val="24"/>
        </w:rPr>
        <w:t xml:space="preserve">The </w:t>
      </w:r>
      <w:r>
        <w:rPr>
          <w:rFonts w:ascii="Times New Roman" w:hAnsi="Times New Roman" w:cs="Times New Roman"/>
          <w:sz w:val="24"/>
          <w:szCs w:val="24"/>
        </w:rPr>
        <w:t>UAS Test Data Reports</w:t>
      </w:r>
      <w:r w:rsidRPr="00E559E4" w:rsidR="006B3426">
        <w:rPr>
          <w:rFonts w:ascii="Times New Roman" w:hAnsi="Times New Roman" w:cs="Times New Roman"/>
          <w:sz w:val="24"/>
          <w:szCs w:val="24"/>
        </w:rPr>
        <w:t xml:space="preserve"> </w:t>
      </w:r>
      <w:r>
        <w:rPr>
          <w:rFonts w:ascii="Times New Roman" w:hAnsi="Times New Roman" w:cs="Times New Roman"/>
          <w:sz w:val="24"/>
          <w:szCs w:val="24"/>
        </w:rPr>
        <w:t>are</w:t>
      </w:r>
      <w:r w:rsidRPr="00E559E4" w:rsidR="006B3426">
        <w:rPr>
          <w:rFonts w:ascii="Times New Roman" w:hAnsi="Times New Roman" w:cs="Times New Roman"/>
          <w:sz w:val="24"/>
          <w:szCs w:val="24"/>
        </w:rPr>
        <w:t xml:space="preserve"> optional and ad hoc. The participants work through their test plans at their own pace. They will also collect their test </w:t>
      </w:r>
      <w:r w:rsidRPr="00E559E4" w:rsidR="006B3426">
        <w:rPr>
          <w:rFonts w:ascii="Times New Roman" w:hAnsi="Times New Roman" w:cs="Times New Roman"/>
          <w:sz w:val="24"/>
          <w:szCs w:val="24"/>
        </w:rPr>
        <w:lastRenderedPageBreak/>
        <w:t>data in a number of different ways. To minimize the reporting burden, the FAA will accept the test data in its native file format.</w:t>
      </w:r>
      <w:r w:rsidRPr="00E559E4" w:rsidR="00E559E4">
        <w:rPr>
          <w:rFonts w:ascii="Times New Roman" w:hAnsi="Times New Roman" w:cs="Times New Roman"/>
          <w:sz w:val="24"/>
          <w:szCs w:val="24"/>
        </w:rPr>
        <w:t xml:space="preserve"> The participants will need only attach a cover sheet with basic summary information that will take less than a minute to populate. Upload times typically take from 3 to 5 minutes. Therefore, we used 5 minutes as the maximum burden. This calculates to a maximum burden of </w:t>
      </w:r>
      <w:r w:rsidR="00825990">
        <w:rPr>
          <w:rFonts w:ascii="Times New Roman" w:hAnsi="Times New Roman" w:cs="Times New Roman"/>
          <w:sz w:val="24"/>
          <w:szCs w:val="24"/>
        </w:rPr>
        <w:t>1.25 hours</w:t>
      </w:r>
      <w:r w:rsidRPr="00E559E4" w:rsidR="00E559E4">
        <w:rPr>
          <w:rFonts w:ascii="Times New Roman" w:hAnsi="Times New Roman" w:cs="Times New Roman"/>
          <w:sz w:val="24"/>
          <w:szCs w:val="24"/>
        </w:rPr>
        <w:t xml:space="preserve"> annually.</w:t>
      </w:r>
      <w:r w:rsidR="00E559E4">
        <w:t xml:space="preserve"> </w:t>
      </w:r>
      <w:r w:rsidRPr="003A637E" w:rsidR="00E559E4">
        <w:rPr>
          <w:rFonts w:ascii="Times New Roman" w:hAnsi="Times New Roman" w:eastAsia="Times New Roman" w:cs="Times New Roman"/>
          <w:sz w:val="24"/>
          <w:szCs w:val="24"/>
        </w:rPr>
        <w:t>Recordkeeping was not calculated as the reported data should be collected by the participants as a normal course of business. The respondents will be employees of the PSP industry partners and the BEYOND Lead Participants</w:t>
      </w:r>
      <w:r w:rsidR="00E559E4">
        <w:rPr>
          <w:rFonts w:ascii="Times New Roman" w:hAnsi="Times New Roman" w:eastAsia="Times New Roman" w:cs="Times New Roman"/>
          <w:sz w:val="24"/>
          <w:szCs w:val="24"/>
        </w:rPr>
        <w:t xml:space="preserve"> </w:t>
      </w:r>
      <w:r w:rsidRPr="003A637E" w:rsidR="00E559E4">
        <w:rPr>
          <w:rFonts w:ascii="Times New Roman" w:hAnsi="Times New Roman" w:eastAsia="Times New Roman" w:cs="Times New Roman"/>
          <w:sz w:val="24"/>
          <w:szCs w:val="24"/>
        </w:rPr>
        <w:t>and are likely to be in roles similar to a Management Analyst</w:t>
      </w:r>
      <w:r w:rsidR="00FF1CE3">
        <w:rPr>
          <w:rStyle w:val="FootnoteReference"/>
          <w:rFonts w:ascii="Times New Roman" w:hAnsi="Times New Roman" w:eastAsia="Times New Roman" w:cs="Times New Roman"/>
          <w:sz w:val="24"/>
          <w:szCs w:val="24"/>
        </w:rPr>
        <w:footnoteReference w:id="16"/>
      </w:r>
      <w:r w:rsidRPr="003A637E" w:rsidR="00E559E4">
        <w:rPr>
          <w:rFonts w:ascii="Times New Roman" w:hAnsi="Times New Roman" w:eastAsia="Times New Roman" w:cs="Times New Roman"/>
          <w:sz w:val="24"/>
          <w:szCs w:val="24"/>
        </w:rPr>
        <w:t xml:space="preserve"> or Project Management Specialist</w:t>
      </w:r>
      <w:r w:rsidR="00FF1CE3">
        <w:rPr>
          <w:rStyle w:val="FootnoteReference"/>
          <w:rFonts w:ascii="Times New Roman" w:hAnsi="Times New Roman" w:eastAsia="Times New Roman" w:cs="Times New Roman"/>
          <w:sz w:val="24"/>
          <w:szCs w:val="24"/>
        </w:rPr>
        <w:footnoteReference w:id="17"/>
      </w:r>
      <w:r w:rsidRPr="003A637E" w:rsidR="00E559E4">
        <w:rPr>
          <w:rFonts w:ascii="Times New Roman" w:hAnsi="Times New Roman" w:eastAsia="Times New Roman" w:cs="Times New Roman"/>
          <w:sz w:val="24"/>
          <w:szCs w:val="24"/>
        </w:rPr>
        <w:t xml:space="preserve"> role, whose average salaries are $45.94 and $38.57/hour respectively. Assuming the higher cost brings the total maximum cost burden for this data collection to</w:t>
      </w:r>
      <w:r w:rsidR="00E559E4">
        <w:rPr>
          <w:rFonts w:ascii="Times New Roman" w:hAnsi="Times New Roman" w:eastAsia="Times New Roman" w:cs="Times New Roman"/>
          <w:sz w:val="24"/>
          <w:szCs w:val="24"/>
        </w:rPr>
        <w:t xml:space="preserve"> </w:t>
      </w:r>
      <w:r w:rsidR="00DA0406">
        <w:rPr>
          <w:rFonts w:ascii="Times New Roman" w:hAnsi="Times New Roman" w:eastAsia="Times New Roman" w:cs="Times New Roman"/>
          <w:sz w:val="24"/>
          <w:szCs w:val="24"/>
        </w:rPr>
        <w:t>$</w:t>
      </w:r>
      <w:r w:rsidR="00825990">
        <w:rPr>
          <w:rFonts w:ascii="Times New Roman" w:hAnsi="Times New Roman" w:eastAsia="Times New Roman" w:cs="Times New Roman"/>
          <w:sz w:val="24"/>
          <w:szCs w:val="24"/>
        </w:rPr>
        <w:t>57.43</w:t>
      </w:r>
      <w:r w:rsidR="00E559E4">
        <w:rPr>
          <w:rFonts w:ascii="Times New Roman" w:hAnsi="Times New Roman" w:eastAsia="Times New Roman" w:cs="Times New Roman"/>
          <w:sz w:val="24"/>
          <w:szCs w:val="24"/>
        </w:rPr>
        <w:t>.</w:t>
      </w:r>
    </w:p>
    <w:p w:rsidR="00A841D4" w:rsidP="00F63C93" w:rsidRDefault="00A841D4" w14:paraId="57154FC2" w14:textId="77777777">
      <w:pPr>
        <w:shd w:val="clear" w:color="auto" w:fill="FFFFFF"/>
        <w:spacing w:after="0" w:line="240" w:lineRule="auto"/>
        <w:ind w:left="576"/>
        <w:rPr>
          <w:rFonts w:ascii="Times New Roman" w:hAnsi="Times New Roman" w:eastAsia="Times New Roman" w:cs="Times New Roman"/>
          <w:sz w:val="24"/>
          <w:szCs w:val="24"/>
        </w:rPr>
      </w:pPr>
    </w:p>
    <w:p w:rsidRPr="003A637E" w:rsidR="00E559E4" w:rsidP="00E559E4" w:rsidRDefault="00E559E4" w14:paraId="20A43664" w14:textId="1D94A2B9">
      <w:pPr>
        <w:shd w:val="clear" w:color="auto" w:fill="FFFFFF"/>
        <w:spacing w:after="0" w:line="240" w:lineRule="auto"/>
        <w:ind w:left="144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1</w:t>
      </w:r>
      <w:r w:rsidR="00825990">
        <w:rPr>
          <w:rFonts w:ascii="Times New Roman" w:hAnsi="Times New Roman" w:eastAsia="Times New Roman" w:cs="Times New Roman"/>
          <w:sz w:val="24"/>
          <w:szCs w:val="24"/>
        </w:rPr>
        <w:t>5</w:t>
      </w:r>
      <w:r w:rsidRPr="003A637E">
        <w:rPr>
          <w:rFonts w:ascii="Times New Roman" w:hAnsi="Times New Roman" w:eastAsia="Times New Roman" w:cs="Times New Roman"/>
          <w:sz w:val="24"/>
          <w:szCs w:val="24"/>
        </w:rPr>
        <w:t xml:space="preserve"> resp</w:t>
      </w:r>
      <w:r>
        <w:rPr>
          <w:rFonts w:ascii="Times New Roman" w:hAnsi="Times New Roman" w:eastAsia="Times New Roman" w:cs="Times New Roman"/>
          <w:sz w:val="24"/>
          <w:szCs w:val="24"/>
        </w:rPr>
        <w:t>ondents x 1 response per respondent = 1</w:t>
      </w:r>
      <w:r w:rsidR="00825990">
        <w:rPr>
          <w:rFonts w:ascii="Times New Roman" w:hAnsi="Times New Roman" w:eastAsia="Times New Roman" w:cs="Times New Roman"/>
          <w:sz w:val="24"/>
          <w:szCs w:val="24"/>
        </w:rPr>
        <w:t>5</w:t>
      </w:r>
      <w:r w:rsidRPr="003A637E">
        <w:rPr>
          <w:rFonts w:ascii="Times New Roman" w:hAnsi="Times New Roman" w:eastAsia="Times New Roman" w:cs="Times New Roman"/>
          <w:sz w:val="24"/>
          <w:szCs w:val="24"/>
        </w:rPr>
        <w:t xml:space="preserve"> responses </w:t>
      </w:r>
    </w:p>
    <w:p w:rsidRPr="003A637E" w:rsidR="00E559E4" w:rsidP="00E559E4" w:rsidRDefault="00825990" w14:paraId="56C763D5" w14:textId="79EF49E6">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r w:rsidR="00E559E4">
        <w:rPr>
          <w:rFonts w:ascii="Times New Roman" w:hAnsi="Times New Roman" w:eastAsia="Times New Roman" w:cs="Times New Roman"/>
          <w:sz w:val="24"/>
          <w:szCs w:val="24"/>
        </w:rPr>
        <w:t xml:space="preserve"> responses x </w:t>
      </w:r>
      <w:r w:rsidR="00DA0406">
        <w:rPr>
          <w:rFonts w:ascii="Times New Roman" w:hAnsi="Times New Roman" w:eastAsia="Times New Roman" w:cs="Times New Roman"/>
          <w:sz w:val="24"/>
          <w:szCs w:val="24"/>
        </w:rPr>
        <w:t>0.08</w:t>
      </w:r>
      <w:r>
        <w:rPr>
          <w:rFonts w:ascii="Times New Roman" w:hAnsi="Times New Roman" w:eastAsia="Times New Roman" w:cs="Times New Roman"/>
          <w:sz w:val="24"/>
          <w:szCs w:val="24"/>
        </w:rPr>
        <w:t>33</w:t>
      </w:r>
      <w:r w:rsidR="00E559E4">
        <w:rPr>
          <w:rFonts w:ascii="Times New Roman" w:hAnsi="Times New Roman" w:eastAsia="Times New Roman" w:cs="Times New Roman"/>
          <w:sz w:val="24"/>
          <w:szCs w:val="24"/>
        </w:rPr>
        <w:t xml:space="preserve"> hours = </w:t>
      </w:r>
      <w:r w:rsidR="00DA0406">
        <w:rPr>
          <w:rFonts w:ascii="Times New Roman" w:hAnsi="Times New Roman" w:eastAsia="Times New Roman" w:cs="Times New Roman"/>
          <w:sz w:val="24"/>
          <w:szCs w:val="24"/>
        </w:rPr>
        <w:t>1.</w:t>
      </w:r>
      <w:r>
        <w:rPr>
          <w:rFonts w:ascii="Times New Roman" w:hAnsi="Times New Roman" w:eastAsia="Times New Roman" w:cs="Times New Roman"/>
          <w:sz w:val="24"/>
          <w:szCs w:val="24"/>
        </w:rPr>
        <w:t>25</w:t>
      </w:r>
      <w:r w:rsidRPr="003A637E" w:rsidR="00E559E4">
        <w:rPr>
          <w:rFonts w:ascii="Times New Roman" w:hAnsi="Times New Roman" w:eastAsia="Times New Roman" w:cs="Times New Roman"/>
          <w:sz w:val="24"/>
          <w:szCs w:val="24"/>
        </w:rPr>
        <w:t xml:space="preserve"> hours</w:t>
      </w:r>
    </w:p>
    <w:p w:rsidRPr="00973232" w:rsidR="00A841D4" w:rsidP="00973232" w:rsidRDefault="00825990" w14:paraId="234C1A21" w14:textId="0E538F05">
      <w:pPr>
        <w:shd w:val="clear" w:color="auto" w:fill="FFFFFF"/>
        <w:spacing w:after="0" w:line="240" w:lineRule="auto"/>
        <w:ind w:left="1440"/>
      </w:pPr>
      <w:r>
        <w:rPr>
          <w:rFonts w:ascii="Times New Roman" w:hAnsi="Times New Roman" w:eastAsia="Times New Roman" w:cs="Times New Roman"/>
          <w:sz w:val="24"/>
          <w:szCs w:val="24"/>
        </w:rPr>
        <w:t>1.</w:t>
      </w:r>
      <w:r w:rsidR="00973232">
        <w:rPr>
          <w:rFonts w:ascii="Times New Roman" w:hAnsi="Times New Roman" w:eastAsia="Times New Roman" w:cs="Times New Roman"/>
          <w:sz w:val="24"/>
          <w:szCs w:val="24"/>
        </w:rPr>
        <w:t>2</w:t>
      </w:r>
      <w:r>
        <w:rPr>
          <w:rFonts w:ascii="Times New Roman" w:hAnsi="Times New Roman" w:eastAsia="Times New Roman" w:cs="Times New Roman"/>
          <w:sz w:val="24"/>
          <w:szCs w:val="24"/>
        </w:rPr>
        <w:t>5</w:t>
      </w:r>
      <w:r w:rsidRPr="003A637E" w:rsidR="00E559E4">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57.43</w:t>
      </w:r>
    </w:p>
    <w:p w:rsidR="00E559E4" w:rsidP="00F63C93" w:rsidRDefault="00E559E4" w14:paraId="2A206661" w14:textId="6E477D88">
      <w:pPr>
        <w:shd w:val="clear" w:color="auto" w:fill="FFFFFF"/>
        <w:spacing w:after="0" w:line="240" w:lineRule="auto"/>
        <w:ind w:left="1440"/>
      </w:pPr>
    </w:p>
    <w:p w:rsidR="00CA1E77" w:rsidP="00F63C93" w:rsidRDefault="00CA1E77" w14:paraId="47A7CCEE" w14:textId="77777777">
      <w:pPr>
        <w:shd w:val="clear" w:color="auto" w:fill="FFFFFF"/>
        <w:spacing w:after="0" w:line="240" w:lineRule="auto"/>
        <w:ind w:left="1440"/>
      </w:pPr>
    </w:p>
    <w:tbl>
      <w:tblPr>
        <w:tblW w:w="7200" w:type="dxa"/>
        <w:jc w:val="center"/>
        <w:tblLook w:val="04A0" w:firstRow="1" w:lastRow="0" w:firstColumn="1" w:lastColumn="0" w:noHBand="0" w:noVBand="1"/>
      </w:tblPr>
      <w:tblGrid>
        <w:gridCol w:w="3666"/>
        <w:gridCol w:w="1631"/>
        <w:gridCol w:w="1903"/>
      </w:tblGrid>
      <w:tr w:rsidRPr="003A637E" w:rsidR="00FF1CE3" w:rsidTr="00FF1CE3" w14:paraId="7B2F6097" w14:textId="77777777">
        <w:trPr>
          <w:trHeight w:val="432"/>
          <w:jc w:val="center"/>
        </w:trPr>
        <w:tc>
          <w:tcPr>
            <w:tcW w:w="364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FF1CE3" w:rsidP="00E754C4" w:rsidRDefault="00FF1CE3" w14:paraId="0991D74E"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 Summary (Annual numbers)</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9D6A3C" w:rsidRDefault="00FF1CE3" w14:paraId="3AFD7CF0"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9D6A3C" w:rsidRDefault="00FF1CE3" w14:paraId="29AEE678"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FF1CE3" w:rsidTr="00FF1CE3" w14:paraId="564D34B3" w14:textId="77777777">
        <w:trPr>
          <w:trHeight w:val="432"/>
          <w:jc w:val="center"/>
        </w:trPr>
        <w:tc>
          <w:tcPr>
            <w:tcW w:w="364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E754C4" w:rsidRDefault="00FF1CE3" w14:paraId="63997E49"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62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128E930F" w14:textId="523561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02AC6671" w14:textId="77777777">
            <w:pPr>
              <w:spacing w:after="0" w:line="240" w:lineRule="auto"/>
              <w:jc w:val="center"/>
              <w:rPr>
                <w:rFonts w:ascii="Times New Roman" w:hAnsi="Times New Roman" w:cs="Times New Roman"/>
                <w:sz w:val="24"/>
                <w:szCs w:val="24"/>
              </w:rPr>
            </w:pPr>
          </w:p>
        </w:tc>
      </w:tr>
      <w:tr w:rsidRPr="003A637E" w:rsidR="00FF1CE3" w:rsidTr="00FF1CE3" w14:paraId="05B62F2F" w14:textId="77777777">
        <w:trPr>
          <w:trHeight w:val="432"/>
          <w:jc w:val="center"/>
        </w:trPr>
        <w:tc>
          <w:tcPr>
            <w:tcW w:w="364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E754C4" w:rsidRDefault="00FF1CE3" w14:paraId="6AEB8E17"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62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69B70B1A" w14:textId="1460DD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2E31E34D" w14:textId="77777777">
            <w:pPr>
              <w:spacing w:after="0" w:line="240" w:lineRule="auto"/>
              <w:jc w:val="center"/>
              <w:rPr>
                <w:rFonts w:ascii="Times New Roman" w:hAnsi="Times New Roman" w:cs="Times New Roman"/>
                <w:sz w:val="24"/>
                <w:szCs w:val="24"/>
              </w:rPr>
            </w:pPr>
          </w:p>
        </w:tc>
      </w:tr>
      <w:tr w:rsidRPr="003A637E" w:rsidR="00FF1CE3" w:rsidTr="00FF1CE3" w14:paraId="2B7D0069" w14:textId="77777777">
        <w:trPr>
          <w:trHeight w:val="432"/>
          <w:jc w:val="center"/>
        </w:trPr>
        <w:tc>
          <w:tcPr>
            <w:tcW w:w="364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E754C4" w:rsidRDefault="00FF1CE3" w14:paraId="393CBF31"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62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6A7F9F94" w14:textId="1910C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3A637E">
              <w:rPr>
                <w:rFonts w:ascii="Times New Roman" w:hAnsi="Times New Roman" w:cs="Times New Roman"/>
                <w:sz w:val="24"/>
                <w:szCs w:val="24"/>
              </w:rPr>
              <w:t xml:space="preserve"> min</w:t>
            </w:r>
            <w:r>
              <w:rPr>
                <w:rFonts w:ascii="Times New Roman" w:hAnsi="Times New Roman" w:cs="Times New Roman"/>
                <w:sz w:val="24"/>
                <w:szCs w:val="24"/>
              </w:rPr>
              <w:t>utes</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3D19D65E" w14:textId="77777777">
            <w:pPr>
              <w:spacing w:after="0" w:line="240" w:lineRule="auto"/>
              <w:jc w:val="center"/>
              <w:rPr>
                <w:rFonts w:ascii="Times New Roman" w:hAnsi="Times New Roman" w:cs="Times New Roman"/>
                <w:sz w:val="24"/>
                <w:szCs w:val="24"/>
              </w:rPr>
            </w:pPr>
          </w:p>
        </w:tc>
      </w:tr>
      <w:tr w:rsidRPr="003A637E" w:rsidR="00FF1CE3" w:rsidTr="00FF1CE3" w14:paraId="7BB0AE0B" w14:textId="77777777">
        <w:trPr>
          <w:trHeight w:val="432"/>
          <w:jc w:val="center"/>
        </w:trPr>
        <w:tc>
          <w:tcPr>
            <w:tcW w:w="364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E754C4" w:rsidRDefault="00FF1CE3" w14:paraId="75857875"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62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1C6B292D" w14:textId="173EB1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561762D0" w14:textId="77777777">
            <w:pPr>
              <w:spacing w:after="0" w:line="240" w:lineRule="auto"/>
              <w:jc w:val="center"/>
              <w:rPr>
                <w:rFonts w:ascii="Times New Roman" w:hAnsi="Times New Roman" w:cs="Times New Roman"/>
                <w:sz w:val="24"/>
                <w:szCs w:val="24"/>
              </w:rPr>
            </w:pPr>
          </w:p>
        </w:tc>
      </w:tr>
      <w:tr w:rsidRPr="003A637E" w:rsidR="00FF1CE3" w:rsidTr="00FF1CE3" w14:paraId="3BF73D27" w14:textId="77777777">
        <w:trPr>
          <w:trHeight w:val="432"/>
          <w:jc w:val="center"/>
        </w:trPr>
        <w:tc>
          <w:tcPr>
            <w:tcW w:w="3642" w:type="dxa"/>
            <w:tcBorders>
              <w:top w:val="nil"/>
              <w:left w:val="single" w:color="auto" w:sz="4" w:space="0"/>
              <w:bottom w:val="single" w:color="auto" w:sz="4" w:space="0"/>
              <w:right w:val="single" w:color="auto" w:sz="4" w:space="0"/>
            </w:tcBorders>
            <w:shd w:val="clear" w:color="auto" w:fill="auto"/>
            <w:noWrap/>
            <w:vAlign w:val="bottom"/>
          </w:tcPr>
          <w:p w:rsidRPr="003A637E" w:rsidR="00FF1CE3" w:rsidP="00E754C4" w:rsidRDefault="00FF1CE3" w14:paraId="4411E62A"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620" w:type="dxa"/>
            <w:tcBorders>
              <w:top w:val="nil"/>
              <w:left w:val="nil"/>
              <w:bottom w:val="single" w:color="auto" w:sz="4" w:space="0"/>
              <w:right w:val="single" w:color="auto" w:sz="4" w:space="0"/>
            </w:tcBorders>
            <w:shd w:val="clear" w:color="auto" w:fill="auto"/>
            <w:noWrap/>
            <w:vAlign w:val="bottom"/>
          </w:tcPr>
          <w:p w:rsidRPr="003A637E" w:rsidR="00FF1CE3" w:rsidP="00973232" w:rsidRDefault="00FF1CE3" w14:paraId="7DB7B0FF" w14:textId="08EFA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1890" w:type="dxa"/>
            <w:tcBorders>
              <w:top w:val="nil"/>
              <w:left w:val="nil"/>
              <w:bottom w:val="single" w:color="auto" w:sz="4" w:space="0"/>
              <w:right w:val="single" w:color="auto" w:sz="4" w:space="0"/>
            </w:tcBorders>
            <w:shd w:val="clear" w:color="auto" w:fill="auto"/>
            <w:noWrap/>
            <w:vAlign w:val="bottom"/>
          </w:tcPr>
          <w:p w:rsidRPr="003A637E" w:rsidR="00FF1CE3" w:rsidP="00E754C4" w:rsidRDefault="00FF1CE3" w14:paraId="0B0E1B61" w14:textId="77777777">
            <w:pPr>
              <w:spacing w:after="0" w:line="240" w:lineRule="auto"/>
              <w:jc w:val="center"/>
              <w:rPr>
                <w:rFonts w:ascii="Times New Roman" w:hAnsi="Times New Roman" w:cs="Times New Roman"/>
                <w:sz w:val="24"/>
                <w:szCs w:val="24"/>
              </w:rPr>
            </w:pPr>
          </w:p>
        </w:tc>
      </w:tr>
    </w:tbl>
    <w:p w:rsidRPr="003A637E" w:rsidR="00B0150D" w:rsidP="00973232" w:rsidRDefault="00B0150D" w14:paraId="79DA23C1" w14:textId="23A76594">
      <w:pPr>
        <w:shd w:val="clear" w:color="auto" w:fill="FFFFFF"/>
        <w:spacing w:after="0" w:line="240" w:lineRule="auto"/>
      </w:pPr>
    </w:p>
    <w:p w:rsidRPr="003572BE" w:rsidR="003572BE" w:rsidP="00C143B2" w:rsidRDefault="003572BE" w14:paraId="201E771C" w14:textId="5A7545B7">
      <w:pPr>
        <w:pStyle w:val="Heading2"/>
        <w:numPr>
          <w:ilvl w:val="0"/>
          <w:numId w:val="10"/>
        </w:numPr>
        <w:ind w:left="360"/>
        <w:rPr>
          <w:u w:val="single"/>
        </w:rPr>
      </w:pPr>
      <w:r w:rsidRPr="003572BE">
        <w:rPr>
          <w:u w:val="single"/>
        </w:rPr>
        <w:t>SOCIETAL AND ECONOMIC DATA</w:t>
      </w:r>
    </w:p>
    <w:p w:rsidRPr="003572BE" w:rsidR="003572BE" w:rsidP="002371CB" w:rsidRDefault="00712F00" w14:paraId="701975C0" w14:textId="73411C49">
      <w:pPr>
        <w:pStyle w:val="Heading2"/>
        <w:numPr>
          <w:ilvl w:val="1"/>
          <w:numId w:val="26"/>
        </w:numPr>
        <w:ind w:left="1152" w:hanging="576"/>
      </w:pPr>
      <w:r>
        <w:t xml:space="preserve">Legacy </w:t>
      </w:r>
      <w:r w:rsidR="003572BE">
        <w:t>Societal and Economic Data Reports</w:t>
      </w:r>
    </w:p>
    <w:p w:rsidR="003572BE" w:rsidP="003572BE" w:rsidRDefault="003572BE" w14:paraId="0BC354AA" w14:textId="7267E2B3">
      <w:pPr>
        <w:shd w:val="clear" w:color="auto" w:fill="FFFFFF"/>
        <w:spacing w:after="225" w:line="240" w:lineRule="auto"/>
        <w:ind w:left="576"/>
        <w:rPr>
          <w:rFonts w:ascii="Times New Roman" w:hAnsi="Times New Roman" w:eastAsia="Times New Roman" w:cs="Times New Roman"/>
          <w:sz w:val="24"/>
          <w:szCs w:val="24"/>
        </w:rPr>
      </w:pPr>
      <w:r w:rsidRPr="003572BE">
        <w:rPr>
          <w:rFonts w:ascii="Times New Roman" w:hAnsi="Times New Roman" w:eastAsia="Times New Roman" w:cs="Times New Roman"/>
          <w:sz w:val="24"/>
          <w:szCs w:val="24"/>
        </w:rPr>
        <w:t xml:space="preserve">PSP and BEYOND participants will </w:t>
      </w:r>
      <w:r>
        <w:rPr>
          <w:rFonts w:ascii="Times New Roman" w:hAnsi="Times New Roman" w:eastAsia="Times New Roman" w:cs="Times New Roman"/>
          <w:sz w:val="24"/>
          <w:szCs w:val="24"/>
        </w:rPr>
        <w:t>complete these reports</w:t>
      </w:r>
      <w:r w:rsidR="004556D1">
        <w:rPr>
          <w:rFonts w:ascii="Times New Roman" w:hAnsi="Times New Roman" w:eastAsia="Times New Roman" w:cs="Times New Roman"/>
          <w:sz w:val="24"/>
          <w:szCs w:val="24"/>
        </w:rPr>
        <w:t>, so there will be 15</w:t>
      </w:r>
      <w:r w:rsidRPr="003572BE">
        <w:rPr>
          <w:rFonts w:ascii="Times New Roman" w:hAnsi="Times New Roman" w:eastAsia="Times New Roman" w:cs="Times New Roman"/>
          <w:sz w:val="24"/>
          <w:szCs w:val="24"/>
        </w:rPr>
        <w:t xml:space="preserve"> participants combined. </w:t>
      </w:r>
      <w:r>
        <w:rPr>
          <w:rFonts w:ascii="Times New Roman" w:hAnsi="Times New Roman" w:eastAsia="Times New Roman" w:cs="Times New Roman"/>
          <w:sz w:val="24"/>
          <w:szCs w:val="24"/>
        </w:rPr>
        <w:t xml:space="preserve">It is not expected to take more than </w:t>
      </w:r>
      <w:r w:rsidR="00712F00">
        <w:rPr>
          <w:rFonts w:ascii="Times New Roman" w:hAnsi="Times New Roman" w:eastAsia="Times New Roman" w:cs="Times New Roman"/>
          <w:sz w:val="24"/>
          <w:szCs w:val="24"/>
        </w:rPr>
        <w:t>1</w:t>
      </w:r>
      <w:r>
        <w:rPr>
          <w:rFonts w:ascii="Times New Roman" w:hAnsi="Times New Roman" w:eastAsia="Times New Roman" w:cs="Times New Roman"/>
          <w:sz w:val="24"/>
          <w:szCs w:val="24"/>
        </w:rPr>
        <w:t xml:space="preserve"> hour per submission to complete the report as it is based on information pre-planned to collect and report about the participants</w:t>
      </w:r>
      <w:r w:rsidR="00365D0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operations. </w:t>
      </w:r>
      <w:r w:rsidR="00A03E03">
        <w:rPr>
          <w:rFonts w:ascii="Times New Roman" w:hAnsi="Times New Roman" w:eastAsia="Times New Roman" w:cs="Times New Roman"/>
          <w:sz w:val="24"/>
          <w:szCs w:val="24"/>
        </w:rPr>
        <w:t>The reports will be submitted in conjunction with the participants</w:t>
      </w:r>
      <w:r w:rsidR="00A75360">
        <w:rPr>
          <w:rFonts w:ascii="Times New Roman" w:hAnsi="Times New Roman" w:eastAsia="Times New Roman" w:cs="Times New Roman"/>
          <w:sz w:val="24"/>
          <w:szCs w:val="24"/>
        </w:rPr>
        <w:t>’</w:t>
      </w:r>
      <w:r w:rsidR="00A03E03">
        <w:rPr>
          <w:rFonts w:ascii="Times New Roman" w:hAnsi="Times New Roman" w:eastAsia="Times New Roman" w:cs="Times New Roman"/>
          <w:sz w:val="24"/>
          <w:szCs w:val="24"/>
        </w:rPr>
        <w:t xml:space="preserve"> quarterly (PSP) or semi-annual (BEYOND) reports, which means PSP participants will submit 4 per year and BEYOND participants will submit 2 per year. </w:t>
      </w:r>
      <w:r w:rsidRPr="003572BE">
        <w:rPr>
          <w:rFonts w:ascii="Times New Roman" w:hAnsi="Times New Roman" w:eastAsia="Times New Roman" w:cs="Times New Roman"/>
          <w:sz w:val="24"/>
          <w:szCs w:val="24"/>
        </w:rPr>
        <w:t>Recordkeeping was not calculated as the reported data should be collected by the participants as a normal course of business. The respondents will be employees of the PSP industry partners and the BEYOND Lead Participants and are likely to be in roles similar to a Management Analyst</w:t>
      </w:r>
      <w:r w:rsidRPr="00FF1CE3" w:rsidR="00FF1CE3">
        <w:rPr>
          <w:rFonts w:ascii="Times New Roman" w:hAnsi="Times New Roman" w:eastAsia="Times New Roman" w:cs="Times New Roman"/>
          <w:sz w:val="24"/>
          <w:szCs w:val="24"/>
          <w:vertAlign w:val="superscript"/>
        </w:rPr>
        <w:t>15</w:t>
      </w:r>
      <w:r w:rsidRPr="003572BE">
        <w:rPr>
          <w:rFonts w:ascii="Times New Roman" w:hAnsi="Times New Roman" w:eastAsia="Times New Roman" w:cs="Times New Roman"/>
          <w:sz w:val="24"/>
          <w:szCs w:val="24"/>
        </w:rPr>
        <w:t xml:space="preserve"> or Project Management Specialist</w:t>
      </w:r>
      <w:r w:rsidRPr="00FF1CE3" w:rsidR="00FF1CE3">
        <w:rPr>
          <w:rFonts w:ascii="Times New Roman" w:hAnsi="Times New Roman" w:eastAsia="Times New Roman" w:cs="Times New Roman"/>
          <w:sz w:val="24"/>
          <w:szCs w:val="24"/>
          <w:vertAlign w:val="superscript"/>
        </w:rPr>
        <w:t>1</w:t>
      </w:r>
      <w:r w:rsidR="00FF1CE3">
        <w:rPr>
          <w:rFonts w:ascii="Times New Roman" w:hAnsi="Times New Roman" w:eastAsia="Times New Roman" w:cs="Times New Roman"/>
          <w:sz w:val="24"/>
          <w:szCs w:val="24"/>
          <w:vertAlign w:val="superscript"/>
        </w:rPr>
        <w:t>6</w:t>
      </w:r>
      <w:r w:rsidRPr="003572BE">
        <w:rPr>
          <w:rFonts w:ascii="Times New Roman" w:hAnsi="Times New Roman" w:eastAsia="Times New Roman" w:cs="Times New Roman"/>
          <w:sz w:val="24"/>
          <w:szCs w:val="24"/>
        </w:rPr>
        <w:t xml:space="preserve"> role, whose average salaries are $45.94 and $38.57/hour </w:t>
      </w:r>
      <w:r w:rsidRPr="003572BE">
        <w:rPr>
          <w:rFonts w:ascii="Times New Roman" w:hAnsi="Times New Roman" w:eastAsia="Times New Roman" w:cs="Times New Roman"/>
          <w:sz w:val="24"/>
          <w:szCs w:val="24"/>
        </w:rPr>
        <w:lastRenderedPageBreak/>
        <w:t xml:space="preserve">respectively. Assuming the higher cost brings the total maximum </w:t>
      </w:r>
      <w:r w:rsidR="00A75360">
        <w:rPr>
          <w:rFonts w:ascii="Times New Roman" w:hAnsi="Times New Roman" w:eastAsia="Times New Roman" w:cs="Times New Roman"/>
          <w:sz w:val="24"/>
          <w:szCs w:val="24"/>
        </w:rPr>
        <w:t xml:space="preserve">annual </w:t>
      </w:r>
      <w:r w:rsidRPr="003572BE">
        <w:rPr>
          <w:rFonts w:ascii="Times New Roman" w:hAnsi="Times New Roman" w:eastAsia="Times New Roman" w:cs="Times New Roman"/>
          <w:sz w:val="24"/>
          <w:szCs w:val="24"/>
        </w:rPr>
        <w:t xml:space="preserve">cost burden for this data collection </w:t>
      </w:r>
      <w:r w:rsidR="00A03E03">
        <w:rPr>
          <w:rFonts w:ascii="Times New Roman" w:hAnsi="Times New Roman" w:eastAsia="Times New Roman" w:cs="Times New Roman"/>
          <w:sz w:val="24"/>
          <w:szCs w:val="24"/>
        </w:rPr>
        <w:t xml:space="preserve">for PSP participants </w:t>
      </w:r>
      <w:r w:rsidRPr="003572BE">
        <w:rPr>
          <w:rFonts w:ascii="Times New Roman" w:hAnsi="Times New Roman" w:eastAsia="Times New Roman" w:cs="Times New Roman"/>
          <w:sz w:val="24"/>
          <w:szCs w:val="24"/>
        </w:rPr>
        <w:t xml:space="preserve">to </w:t>
      </w:r>
      <w:r w:rsidR="00A03E03">
        <w:rPr>
          <w:rFonts w:ascii="Times New Roman" w:hAnsi="Times New Roman" w:eastAsia="Times New Roman" w:cs="Times New Roman"/>
          <w:sz w:val="24"/>
          <w:szCs w:val="24"/>
        </w:rPr>
        <w:t>$</w:t>
      </w:r>
      <w:r w:rsidR="004556D1">
        <w:rPr>
          <w:rFonts w:ascii="Times New Roman" w:hAnsi="Times New Roman" w:eastAsia="Times New Roman" w:cs="Times New Roman"/>
          <w:sz w:val="24"/>
          <w:szCs w:val="24"/>
        </w:rPr>
        <w:t>2,572.64</w:t>
      </w:r>
      <w:r w:rsidR="00A03E03">
        <w:rPr>
          <w:rFonts w:ascii="Times New Roman" w:hAnsi="Times New Roman" w:eastAsia="Times New Roman" w:cs="Times New Roman"/>
          <w:sz w:val="24"/>
          <w:szCs w:val="24"/>
        </w:rPr>
        <w:t>, for BEYOND participants to $1,470.08</w:t>
      </w:r>
      <w:r w:rsidR="004556D1">
        <w:rPr>
          <w:rFonts w:ascii="Times New Roman" w:hAnsi="Times New Roman" w:eastAsia="Times New Roman" w:cs="Times New Roman"/>
          <w:sz w:val="24"/>
          <w:szCs w:val="24"/>
        </w:rPr>
        <w:t>,</w:t>
      </w:r>
      <w:r w:rsidR="00A03E03">
        <w:rPr>
          <w:rFonts w:ascii="Times New Roman" w:hAnsi="Times New Roman" w:eastAsia="Times New Roman" w:cs="Times New Roman"/>
          <w:sz w:val="24"/>
          <w:szCs w:val="24"/>
        </w:rPr>
        <w:t xml:space="preserve"> and combined to </w:t>
      </w:r>
      <w:r w:rsidRPr="003572BE">
        <w:rPr>
          <w:rFonts w:ascii="Times New Roman" w:hAnsi="Times New Roman" w:eastAsia="Times New Roman" w:cs="Times New Roman"/>
          <w:sz w:val="24"/>
          <w:szCs w:val="24"/>
        </w:rPr>
        <w:t>$</w:t>
      </w:r>
      <w:r w:rsidR="004556D1">
        <w:rPr>
          <w:rFonts w:ascii="Times New Roman" w:hAnsi="Times New Roman" w:eastAsia="Times New Roman" w:cs="Times New Roman"/>
          <w:sz w:val="24"/>
          <w:szCs w:val="24"/>
        </w:rPr>
        <w:t>4,042.72</w:t>
      </w:r>
      <w:r w:rsidR="00A03E03">
        <w:rPr>
          <w:rFonts w:ascii="Times New Roman" w:hAnsi="Times New Roman" w:eastAsia="Times New Roman" w:cs="Times New Roman"/>
          <w:sz w:val="24"/>
          <w:szCs w:val="24"/>
        </w:rPr>
        <w:t>.</w:t>
      </w:r>
    </w:p>
    <w:p w:rsidRPr="003572BE" w:rsidR="00A03E03" w:rsidP="003572BE" w:rsidRDefault="00A03E03" w14:paraId="79D26716" w14:textId="7B6FF543">
      <w:pPr>
        <w:shd w:val="clear" w:color="auto" w:fill="FFFFFF"/>
        <w:spacing w:after="225" w:line="240" w:lineRule="auto"/>
        <w:ind w:left="576"/>
        <w:rPr>
          <w:rFonts w:ascii="Times New Roman" w:hAnsi="Times New Roman" w:eastAsia="Times New Roman" w:cs="Times New Roman"/>
          <w:sz w:val="24"/>
          <w:szCs w:val="24"/>
        </w:rPr>
      </w:pPr>
      <w:r>
        <w:rPr>
          <w:rFonts w:ascii="Times New Roman" w:hAnsi="Times New Roman" w:eastAsia="Times New Roman" w:cs="Times New Roman"/>
          <w:sz w:val="24"/>
          <w:szCs w:val="24"/>
        </w:rPr>
        <w:t>PSP Participant Burden:</w:t>
      </w:r>
    </w:p>
    <w:p w:rsidRPr="003A637E" w:rsidR="003572BE" w:rsidP="003572BE" w:rsidRDefault="004556D1" w14:paraId="0C532BA9" w14:textId="025C911A">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Pr="003A637E" w:rsidR="003572BE">
        <w:rPr>
          <w:rFonts w:ascii="Times New Roman" w:hAnsi="Times New Roman" w:eastAsia="Times New Roman" w:cs="Times New Roman"/>
          <w:sz w:val="24"/>
          <w:szCs w:val="24"/>
        </w:rPr>
        <w:t xml:space="preserve"> respondents x </w:t>
      </w:r>
      <w:r w:rsidR="00A03E03">
        <w:rPr>
          <w:rFonts w:ascii="Times New Roman" w:hAnsi="Times New Roman" w:eastAsia="Times New Roman" w:cs="Times New Roman"/>
          <w:sz w:val="24"/>
          <w:szCs w:val="24"/>
        </w:rPr>
        <w:t>4</w:t>
      </w:r>
      <w:r w:rsidRPr="003A637E" w:rsidR="003572BE">
        <w:rPr>
          <w:rFonts w:ascii="Times New Roman" w:hAnsi="Times New Roman" w:eastAsia="Times New Roman" w:cs="Times New Roman"/>
          <w:sz w:val="24"/>
          <w:szCs w:val="24"/>
        </w:rPr>
        <w:t xml:space="preserve"> responses per respondent = </w:t>
      </w:r>
      <w:r w:rsidR="00A03E03">
        <w:rPr>
          <w:rFonts w:ascii="Times New Roman" w:hAnsi="Times New Roman" w:eastAsia="Times New Roman" w:cs="Times New Roman"/>
          <w:sz w:val="24"/>
          <w:szCs w:val="24"/>
        </w:rPr>
        <w:t>2</w:t>
      </w:r>
      <w:r>
        <w:rPr>
          <w:rFonts w:ascii="Times New Roman" w:hAnsi="Times New Roman" w:eastAsia="Times New Roman" w:cs="Times New Roman"/>
          <w:sz w:val="24"/>
          <w:szCs w:val="24"/>
        </w:rPr>
        <w:t>8</w:t>
      </w:r>
      <w:r w:rsidRPr="003A637E" w:rsidR="003572BE">
        <w:rPr>
          <w:rFonts w:ascii="Times New Roman" w:hAnsi="Times New Roman" w:eastAsia="Times New Roman" w:cs="Times New Roman"/>
          <w:sz w:val="24"/>
          <w:szCs w:val="24"/>
        </w:rPr>
        <w:t xml:space="preserve"> responses </w:t>
      </w:r>
    </w:p>
    <w:p w:rsidRPr="003A637E" w:rsidR="003572BE" w:rsidP="003572BE" w:rsidRDefault="00A03E03" w14:paraId="6DBE9AB4" w14:textId="3AC263A0">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4556D1">
        <w:rPr>
          <w:rFonts w:ascii="Times New Roman" w:hAnsi="Times New Roman" w:eastAsia="Times New Roman" w:cs="Times New Roman"/>
          <w:sz w:val="24"/>
          <w:szCs w:val="24"/>
        </w:rPr>
        <w:t>8</w:t>
      </w:r>
      <w:r>
        <w:rPr>
          <w:rFonts w:ascii="Times New Roman" w:hAnsi="Times New Roman" w:eastAsia="Times New Roman" w:cs="Times New Roman"/>
          <w:sz w:val="24"/>
          <w:szCs w:val="24"/>
        </w:rPr>
        <w:t xml:space="preserve"> responses x </w:t>
      </w:r>
      <w:r w:rsidR="00712F00">
        <w:rPr>
          <w:rFonts w:ascii="Times New Roman" w:hAnsi="Times New Roman" w:eastAsia="Times New Roman" w:cs="Times New Roman"/>
          <w:sz w:val="24"/>
          <w:szCs w:val="24"/>
        </w:rPr>
        <w:t>1</w:t>
      </w:r>
      <w:r w:rsidRPr="003A637E" w:rsidR="003572BE">
        <w:rPr>
          <w:rFonts w:ascii="Times New Roman" w:hAnsi="Times New Roman" w:eastAsia="Times New Roman" w:cs="Times New Roman"/>
          <w:sz w:val="24"/>
          <w:szCs w:val="24"/>
        </w:rPr>
        <w:t xml:space="preserve"> hour = </w:t>
      </w:r>
      <w:r w:rsidR="00712F00">
        <w:rPr>
          <w:rFonts w:ascii="Times New Roman" w:hAnsi="Times New Roman" w:eastAsia="Times New Roman" w:cs="Times New Roman"/>
          <w:sz w:val="24"/>
          <w:szCs w:val="24"/>
        </w:rPr>
        <w:t>28</w:t>
      </w:r>
      <w:r w:rsidRPr="003A637E" w:rsidR="003572BE">
        <w:rPr>
          <w:rFonts w:ascii="Times New Roman" w:hAnsi="Times New Roman" w:eastAsia="Times New Roman" w:cs="Times New Roman"/>
          <w:sz w:val="24"/>
          <w:szCs w:val="24"/>
        </w:rPr>
        <w:t xml:space="preserve"> hours</w:t>
      </w:r>
    </w:p>
    <w:p w:rsidRPr="003A637E" w:rsidR="003572BE" w:rsidP="003572BE" w:rsidRDefault="00712F00" w14:paraId="4441E0F4" w14:textId="2DC1D41E">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r w:rsidRPr="003A637E" w:rsidR="003572B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1,286.32</w:t>
      </w:r>
    </w:p>
    <w:p w:rsidRPr="003A637E" w:rsidR="003572BE" w:rsidP="003572BE" w:rsidRDefault="003572BE" w14:paraId="2E5FCA55" w14:textId="77777777">
      <w:pPr>
        <w:shd w:val="clear" w:color="auto" w:fill="FFFFFF"/>
        <w:spacing w:after="0" w:line="240" w:lineRule="auto"/>
        <w:ind w:left="576" w:firstLine="720"/>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822"/>
        <w:gridCol w:w="1800"/>
        <w:gridCol w:w="1763"/>
      </w:tblGrid>
      <w:tr w:rsidRPr="003A637E" w:rsidR="00FF1CE3" w:rsidTr="00FF1CE3" w14:paraId="6E8A370F" w14:textId="77777777">
        <w:trPr>
          <w:trHeight w:val="432"/>
          <w:jc w:val="center"/>
        </w:trPr>
        <w:tc>
          <w:tcPr>
            <w:tcW w:w="3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FF1CE3" w:rsidP="00736722" w:rsidRDefault="00FF1CE3" w14:paraId="2BE1E29E" w14:textId="56EC897F">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9D6A3C" w:rsidRDefault="00FF1CE3" w14:paraId="13BF82AB"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3A637E" w:rsidR="00FF1CE3" w:rsidP="009D6A3C" w:rsidRDefault="00FF1CE3" w14:paraId="3504A799"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FF1CE3" w:rsidTr="00FF1CE3" w14:paraId="2A0DB67A"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3572BE" w:rsidRDefault="00FF1CE3" w14:paraId="476F3DF3"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11A864BA" w14:textId="5E4F65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042CF80F" w14:textId="77777777">
            <w:pPr>
              <w:spacing w:after="0" w:line="240" w:lineRule="auto"/>
              <w:jc w:val="center"/>
              <w:rPr>
                <w:rFonts w:ascii="Times New Roman" w:hAnsi="Times New Roman" w:cs="Times New Roman"/>
                <w:sz w:val="24"/>
                <w:szCs w:val="24"/>
              </w:rPr>
            </w:pPr>
          </w:p>
        </w:tc>
      </w:tr>
      <w:tr w:rsidRPr="003A637E" w:rsidR="00FF1CE3" w:rsidTr="00FF1CE3" w14:paraId="6A5F15CB"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3572BE" w:rsidRDefault="00FF1CE3" w14:paraId="6B1E3CDC"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0211BC43" w14:textId="5DE660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7D6FFF06" w14:textId="77777777">
            <w:pPr>
              <w:spacing w:after="0" w:line="240" w:lineRule="auto"/>
              <w:jc w:val="center"/>
              <w:rPr>
                <w:rFonts w:ascii="Times New Roman" w:hAnsi="Times New Roman" w:cs="Times New Roman"/>
                <w:sz w:val="24"/>
                <w:szCs w:val="24"/>
              </w:rPr>
            </w:pPr>
          </w:p>
        </w:tc>
      </w:tr>
      <w:tr w:rsidRPr="003A637E" w:rsidR="00FF1CE3" w:rsidTr="00FF1CE3" w14:paraId="7ADFB4CE"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3572BE" w:rsidRDefault="00FF1CE3" w14:paraId="5CD3EFA6"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499DAA84" w14:textId="35FA53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hour</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40A3636B" w14:textId="77777777">
            <w:pPr>
              <w:spacing w:after="0" w:line="240" w:lineRule="auto"/>
              <w:jc w:val="center"/>
              <w:rPr>
                <w:rFonts w:ascii="Times New Roman" w:hAnsi="Times New Roman" w:cs="Times New Roman"/>
                <w:sz w:val="24"/>
                <w:szCs w:val="24"/>
              </w:rPr>
            </w:pPr>
          </w:p>
        </w:tc>
      </w:tr>
      <w:tr w:rsidRPr="003A637E" w:rsidR="00FF1CE3" w:rsidTr="00FF1CE3" w14:paraId="75E75B88"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hideMark/>
          </w:tcPr>
          <w:p w:rsidRPr="003A637E" w:rsidR="00FF1CE3" w:rsidP="003572BE" w:rsidRDefault="00FF1CE3" w14:paraId="7328358C"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689B3FA8" w14:textId="4F0723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26E5FD5A" w14:textId="77777777">
            <w:pPr>
              <w:spacing w:after="0" w:line="240" w:lineRule="auto"/>
              <w:jc w:val="center"/>
              <w:rPr>
                <w:rFonts w:ascii="Times New Roman" w:hAnsi="Times New Roman" w:cs="Times New Roman"/>
                <w:sz w:val="24"/>
                <w:szCs w:val="24"/>
              </w:rPr>
            </w:pPr>
          </w:p>
        </w:tc>
      </w:tr>
      <w:tr w:rsidRPr="003A637E" w:rsidR="00FF1CE3" w:rsidTr="00FF1CE3" w14:paraId="6063CDB4"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tcPr>
          <w:p w:rsidRPr="003A637E" w:rsidR="00FF1CE3" w:rsidP="003572BE" w:rsidRDefault="00FF1CE3" w14:paraId="47AF79AD"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800"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31DBB2B2" w14:textId="5F55CC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763" w:type="dxa"/>
            <w:tcBorders>
              <w:top w:val="nil"/>
              <w:left w:val="nil"/>
              <w:bottom w:val="single" w:color="auto" w:sz="4" w:space="0"/>
              <w:right w:val="single" w:color="auto" w:sz="4" w:space="0"/>
            </w:tcBorders>
            <w:shd w:val="clear" w:color="auto" w:fill="auto"/>
            <w:noWrap/>
            <w:vAlign w:val="bottom"/>
          </w:tcPr>
          <w:p w:rsidRPr="003A637E" w:rsidR="00FF1CE3" w:rsidP="003572BE" w:rsidRDefault="00FF1CE3" w14:paraId="54633021" w14:textId="77777777">
            <w:pPr>
              <w:spacing w:after="0" w:line="240" w:lineRule="auto"/>
              <w:jc w:val="center"/>
              <w:rPr>
                <w:rFonts w:ascii="Times New Roman" w:hAnsi="Times New Roman" w:cs="Times New Roman"/>
                <w:sz w:val="24"/>
                <w:szCs w:val="24"/>
              </w:rPr>
            </w:pPr>
          </w:p>
        </w:tc>
      </w:tr>
    </w:tbl>
    <w:p w:rsidR="003572BE" w:rsidP="009B5984" w:rsidRDefault="003572BE" w14:paraId="0F72DF4B" w14:textId="641C9AB6">
      <w:pPr>
        <w:rPr>
          <w:rFonts w:ascii="Times New Roman" w:hAnsi="Times New Roman" w:eastAsia="Times New Roman" w:cs="Times New Roman"/>
          <w:sz w:val="24"/>
          <w:szCs w:val="24"/>
          <w:highlight w:val="yellow"/>
        </w:rPr>
      </w:pPr>
    </w:p>
    <w:p w:rsidRPr="003572BE" w:rsidR="00A03E03" w:rsidP="00A03E03" w:rsidRDefault="00A03E03" w14:paraId="42A5AAB1" w14:textId="2413695A">
      <w:pPr>
        <w:shd w:val="clear" w:color="auto" w:fill="FFFFFF"/>
        <w:spacing w:after="225" w:line="240" w:lineRule="auto"/>
        <w:ind w:left="576"/>
        <w:rPr>
          <w:rFonts w:ascii="Times New Roman" w:hAnsi="Times New Roman" w:eastAsia="Times New Roman" w:cs="Times New Roman"/>
          <w:sz w:val="24"/>
          <w:szCs w:val="24"/>
        </w:rPr>
      </w:pPr>
      <w:r>
        <w:rPr>
          <w:rFonts w:ascii="Times New Roman" w:hAnsi="Times New Roman" w:eastAsia="Times New Roman" w:cs="Times New Roman"/>
          <w:sz w:val="24"/>
          <w:szCs w:val="24"/>
        </w:rPr>
        <w:t>BEYOND Participant Burden:</w:t>
      </w:r>
    </w:p>
    <w:p w:rsidRPr="003A637E" w:rsidR="00A03E03" w:rsidP="00A03E03" w:rsidRDefault="00A03E03" w14:paraId="68921ADF" w14:textId="674E7942">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Pr="003A637E">
        <w:rPr>
          <w:rFonts w:ascii="Times New Roman" w:hAnsi="Times New Roman" w:eastAsia="Times New Roman" w:cs="Times New Roman"/>
          <w:sz w:val="24"/>
          <w:szCs w:val="24"/>
        </w:rPr>
        <w:t xml:space="preserve"> respondents x </w:t>
      </w:r>
      <w:r>
        <w:rPr>
          <w:rFonts w:ascii="Times New Roman" w:hAnsi="Times New Roman" w:eastAsia="Times New Roman" w:cs="Times New Roman"/>
          <w:sz w:val="24"/>
          <w:szCs w:val="24"/>
        </w:rPr>
        <w:t>2</w:t>
      </w:r>
      <w:r w:rsidRPr="003A637E">
        <w:rPr>
          <w:rFonts w:ascii="Times New Roman" w:hAnsi="Times New Roman" w:eastAsia="Times New Roman" w:cs="Times New Roman"/>
          <w:sz w:val="24"/>
          <w:szCs w:val="24"/>
        </w:rPr>
        <w:t xml:space="preserve"> responses per respondent = </w:t>
      </w:r>
      <w:r>
        <w:rPr>
          <w:rFonts w:ascii="Times New Roman" w:hAnsi="Times New Roman" w:eastAsia="Times New Roman" w:cs="Times New Roman"/>
          <w:sz w:val="24"/>
          <w:szCs w:val="24"/>
        </w:rPr>
        <w:t>16</w:t>
      </w:r>
      <w:r w:rsidRPr="003A637E">
        <w:rPr>
          <w:rFonts w:ascii="Times New Roman" w:hAnsi="Times New Roman" w:eastAsia="Times New Roman" w:cs="Times New Roman"/>
          <w:sz w:val="24"/>
          <w:szCs w:val="24"/>
        </w:rPr>
        <w:t xml:space="preserve"> responses </w:t>
      </w:r>
    </w:p>
    <w:p w:rsidRPr="003A637E" w:rsidR="00A03E03" w:rsidP="00A03E03" w:rsidRDefault="00A03E03" w14:paraId="481DBD4B" w14:textId="566FDC1C">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 responses x </w:t>
      </w:r>
      <w:r w:rsidR="00712F00">
        <w:rPr>
          <w:rFonts w:ascii="Times New Roman" w:hAnsi="Times New Roman" w:eastAsia="Times New Roman" w:cs="Times New Roman"/>
          <w:sz w:val="24"/>
          <w:szCs w:val="24"/>
        </w:rPr>
        <w:t>1</w:t>
      </w:r>
      <w:r w:rsidRPr="003A637E">
        <w:rPr>
          <w:rFonts w:ascii="Times New Roman" w:hAnsi="Times New Roman" w:eastAsia="Times New Roman" w:cs="Times New Roman"/>
          <w:sz w:val="24"/>
          <w:szCs w:val="24"/>
        </w:rPr>
        <w:t xml:space="preserve"> hour = </w:t>
      </w:r>
      <w:r w:rsidR="00712F00">
        <w:rPr>
          <w:rFonts w:ascii="Times New Roman" w:hAnsi="Times New Roman" w:eastAsia="Times New Roman" w:cs="Times New Roman"/>
          <w:sz w:val="24"/>
          <w:szCs w:val="24"/>
        </w:rPr>
        <w:t>16</w:t>
      </w:r>
      <w:r w:rsidRPr="003A637E">
        <w:rPr>
          <w:rFonts w:ascii="Times New Roman" w:hAnsi="Times New Roman" w:eastAsia="Times New Roman" w:cs="Times New Roman"/>
          <w:sz w:val="24"/>
          <w:szCs w:val="24"/>
        </w:rPr>
        <w:t xml:space="preserve"> hours</w:t>
      </w:r>
    </w:p>
    <w:p w:rsidRPr="003A637E" w:rsidR="00A03E03" w:rsidP="00A03E03" w:rsidRDefault="00712F00" w14:paraId="37F3CFBF" w14:textId="10F2A97F">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r w:rsidRPr="003A637E" w:rsidR="00A03E03">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735.04</w:t>
      </w:r>
    </w:p>
    <w:p w:rsidRPr="003A637E" w:rsidR="00A03E03" w:rsidP="00A03E03" w:rsidRDefault="00A03E03" w14:paraId="1F75A2A3" w14:textId="77777777">
      <w:pPr>
        <w:shd w:val="clear" w:color="auto" w:fill="FFFFFF"/>
        <w:spacing w:after="0" w:line="240" w:lineRule="auto"/>
        <w:ind w:left="576" w:firstLine="720"/>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816"/>
        <w:gridCol w:w="1800"/>
        <w:gridCol w:w="1763"/>
      </w:tblGrid>
      <w:tr w:rsidRPr="003A637E" w:rsidR="00755D08" w:rsidTr="00755D08" w14:paraId="6C57F490" w14:textId="77777777">
        <w:trPr>
          <w:trHeight w:val="432"/>
          <w:jc w:val="center"/>
        </w:trPr>
        <w:tc>
          <w:tcPr>
            <w:tcW w:w="38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7EED0F4B" w14:textId="4B63C03A">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E3C11" w:rsidRDefault="00755D08" w14:paraId="6770A668"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E3C11" w:rsidRDefault="00755D08" w14:paraId="67ACCEDA"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755D08" w:rsidTr="00755D08" w14:paraId="6A225068"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054E366C"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248A7553" w14:textId="05CD1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6EC3AB72" w14:textId="77777777">
            <w:pPr>
              <w:spacing w:after="0" w:line="240" w:lineRule="auto"/>
              <w:jc w:val="center"/>
              <w:rPr>
                <w:rFonts w:ascii="Times New Roman" w:hAnsi="Times New Roman" w:cs="Times New Roman"/>
                <w:sz w:val="24"/>
                <w:szCs w:val="24"/>
              </w:rPr>
            </w:pPr>
          </w:p>
        </w:tc>
      </w:tr>
      <w:tr w:rsidRPr="003A637E" w:rsidR="00755D08" w:rsidTr="00755D08" w14:paraId="60431885"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41739D11"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0B5D759D" w14:textId="2E6B58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1B75B2BF" w14:textId="77777777">
            <w:pPr>
              <w:spacing w:after="0" w:line="240" w:lineRule="auto"/>
              <w:jc w:val="center"/>
              <w:rPr>
                <w:rFonts w:ascii="Times New Roman" w:hAnsi="Times New Roman" w:cs="Times New Roman"/>
                <w:sz w:val="24"/>
                <w:szCs w:val="24"/>
              </w:rPr>
            </w:pPr>
          </w:p>
        </w:tc>
      </w:tr>
      <w:tr w:rsidRPr="003A637E" w:rsidR="00755D08" w:rsidTr="00755D08" w14:paraId="5DCBF426"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0910957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5C41AB79" w14:textId="379F1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hour</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5E5C2D3A" w14:textId="77777777">
            <w:pPr>
              <w:spacing w:after="0" w:line="240" w:lineRule="auto"/>
              <w:jc w:val="center"/>
              <w:rPr>
                <w:rFonts w:ascii="Times New Roman" w:hAnsi="Times New Roman" w:cs="Times New Roman"/>
                <w:sz w:val="24"/>
                <w:szCs w:val="24"/>
              </w:rPr>
            </w:pPr>
          </w:p>
        </w:tc>
      </w:tr>
      <w:tr w:rsidRPr="003A637E" w:rsidR="00755D08" w:rsidTr="00755D08" w14:paraId="251CC910"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74623376"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765D3804" w14:textId="739740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713ADEEC" w14:textId="77777777">
            <w:pPr>
              <w:spacing w:after="0" w:line="240" w:lineRule="auto"/>
              <w:jc w:val="center"/>
              <w:rPr>
                <w:rFonts w:ascii="Times New Roman" w:hAnsi="Times New Roman" w:cs="Times New Roman"/>
                <w:sz w:val="24"/>
                <w:szCs w:val="24"/>
              </w:rPr>
            </w:pPr>
          </w:p>
        </w:tc>
      </w:tr>
      <w:tr w:rsidRPr="003A637E" w:rsidR="00755D08" w:rsidTr="00755D08" w14:paraId="0D25D3D8"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tcPr>
          <w:p w:rsidRPr="003A637E" w:rsidR="00755D08" w:rsidP="005E3C11" w:rsidRDefault="00755D08" w14:paraId="5C5A2B06"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0A317893" w14:textId="6DB058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26EB4864" w14:textId="77777777">
            <w:pPr>
              <w:spacing w:after="0" w:line="240" w:lineRule="auto"/>
              <w:jc w:val="center"/>
              <w:rPr>
                <w:rFonts w:ascii="Times New Roman" w:hAnsi="Times New Roman" w:cs="Times New Roman"/>
                <w:sz w:val="24"/>
                <w:szCs w:val="24"/>
              </w:rPr>
            </w:pPr>
          </w:p>
        </w:tc>
      </w:tr>
    </w:tbl>
    <w:p w:rsidR="00A03E03" w:rsidP="009B5984" w:rsidRDefault="00A03E03" w14:paraId="2E66CDC8" w14:textId="1B0E27EC">
      <w:pPr>
        <w:rPr>
          <w:rFonts w:ascii="Times New Roman" w:hAnsi="Times New Roman" w:eastAsia="Times New Roman" w:cs="Times New Roman"/>
          <w:sz w:val="24"/>
          <w:szCs w:val="24"/>
          <w:highlight w:val="yellow"/>
        </w:rPr>
      </w:pPr>
    </w:p>
    <w:p w:rsidRPr="00A03E03" w:rsidR="00A03E03" w:rsidP="004556D1" w:rsidRDefault="00A03E03" w14:paraId="091E5491" w14:textId="569A50F1">
      <w:pPr>
        <w:ind w:left="720"/>
        <w:rPr>
          <w:rFonts w:ascii="Times New Roman" w:hAnsi="Times New Roman" w:eastAsia="Times New Roman" w:cs="Times New Roman"/>
          <w:sz w:val="24"/>
          <w:szCs w:val="24"/>
        </w:rPr>
      </w:pPr>
      <w:r w:rsidRPr="00A03E03">
        <w:rPr>
          <w:rFonts w:ascii="Times New Roman" w:hAnsi="Times New Roman" w:eastAsia="Times New Roman" w:cs="Times New Roman"/>
          <w:sz w:val="24"/>
          <w:szCs w:val="24"/>
        </w:rPr>
        <w:t xml:space="preserve">Total burden for </w:t>
      </w:r>
      <w:r w:rsidR="004556D1">
        <w:rPr>
          <w:rFonts w:ascii="Times New Roman" w:hAnsi="Times New Roman" w:eastAsia="Times New Roman" w:cs="Times New Roman"/>
          <w:sz w:val="24"/>
          <w:szCs w:val="24"/>
        </w:rPr>
        <w:t xml:space="preserve">PSP and BEYOND program participants for </w:t>
      </w:r>
      <w:r w:rsidR="00D93F4B">
        <w:rPr>
          <w:rFonts w:ascii="Times New Roman" w:hAnsi="Times New Roman" w:eastAsia="Times New Roman" w:cs="Times New Roman"/>
          <w:sz w:val="24"/>
          <w:szCs w:val="24"/>
        </w:rPr>
        <w:t xml:space="preserve">Legacy </w:t>
      </w:r>
      <w:r w:rsidRPr="00A03E03">
        <w:rPr>
          <w:rFonts w:ascii="Times New Roman" w:hAnsi="Times New Roman" w:eastAsia="Times New Roman" w:cs="Times New Roman"/>
          <w:sz w:val="24"/>
          <w:szCs w:val="24"/>
        </w:rPr>
        <w:t>Societal and Economic Data reporting:</w:t>
      </w:r>
    </w:p>
    <w:p w:rsidR="00D93F4B" w:rsidP="00A03E03" w:rsidRDefault="00A03E03" w14:paraId="581715D7" w14:textId="3BA6F811">
      <w:pPr>
        <w:rPr>
          <w:rFonts w:ascii="Times New Roman" w:hAnsi="Times New Roman" w:eastAsia="Times New Roman" w:cs="Times New Roman"/>
          <w:sz w:val="24"/>
          <w:szCs w:val="24"/>
        </w:rPr>
      </w:pPr>
      <w:r w:rsidRPr="00A03E03">
        <w:rPr>
          <w:rFonts w:ascii="Times New Roman" w:hAnsi="Times New Roman" w:eastAsia="Times New Roman" w:cs="Times New Roman"/>
          <w:sz w:val="24"/>
          <w:szCs w:val="24"/>
        </w:rPr>
        <w:tab/>
        <w:t>$</w:t>
      </w:r>
      <w:r w:rsidR="00712F00">
        <w:rPr>
          <w:rFonts w:ascii="Times New Roman" w:hAnsi="Times New Roman" w:eastAsia="Times New Roman" w:cs="Times New Roman"/>
          <w:sz w:val="24"/>
          <w:szCs w:val="24"/>
        </w:rPr>
        <w:t>1,286.32</w:t>
      </w:r>
      <w:r w:rsidR="004556D1">
        <w:rPr>
          <w:rFonts w:ascii="Times New Roman" w:hAnsi="Times New Roman" w:eastAsia="Times New Roman" w:cs="Times New Roman"/>
          <w:sz w:val="24"/>
          <w:szCs w:val="24"/>
        </w:rPr>
        <w:t xml:space="preserve"> (PSP) </w:t>
      </w:r>
      <w:r w:rsidRPr="00A03E03">
        <w:rPr>
          <w:rFonts w:ascii="Times New Roman" w:hAnsi="Times New Roman" w:eastAsia="Times New Roman" w:cs="Times New Roman"/>
          <w:sz w:val="24"/>
          <w:szCs w:val="24"/>
        </w:rPr>
        <w:t>+ $</w:t>
      </w:r>
      <w:r w:rsidR="00712F00">
        <w:rPr>
          <w:rFonts w:ascii="Times New Roman" w:hAnsi="Times New Roman" w:eastAsia="Times New Roman" w:cs="Times New Roman"/>
          <w:sz w:val="24"/>
          <w:szCs w:val="24"/>
        </w:rPr>
        <w:t>735.04</w:t>
      </w:r>
      <w:r w:rsidRPr="00A03E03">
        <w:rPr>
          <w:rFonts w:ascii="Times New Roman" w:hAnsi="Times New Roman" w:eastAsia="Times New Roman" w:cs="Times New Roman"/>
          <w:sz w:val="24"/>
          <w:szCs w:val="24"/>
        </w:rPr>
        <w:t xml:space="preserve"> </w:t>
      </w:r>
      <w:r w:rsidR="004556D1">
        <w:rPr>
          <w:rFonts w:ascii="Times New Roman" w:hAnsi="Times New Roman" w:eastAsia="Times New Roman" w:cs="Times New Roman"/>
          <w:sz w:val="24"/>
          <w:szCs w:val="24"/>
        </w:rPr>
        <w:t xml:space="preserve">(BEYOND) </w:t>
      </w:r>
      <w:r w:rsidRPr="00A03E03">
        <w:rPr>
          <w:rFonts w:ascii="Times New Roman" w:hAnsi="Times New Roman" w:eastAsia="Times New Roman" w:cs="Times New Roman"/>
          <w:sz w:val="24"/>
          <w:szCs w:val="24"/>
        </w:rPr>
        <w:t>= $</w:t>
      </w:r>
      <w:r w:rsidR="00712F00">
        <w:rPr>
          <w:rFonts w:ascii="Times New Roman" w:hAnsi="Times New Roman" w:eastAsia="Times New Roman" w:cs="Times New Roman"/>
          <w:sz w:val="24"/>
          <w:szCs w:val="24"/>
        </w:rPr>
        <w:t>2,021.36</w:t>
      </w:r>
    </w:p>
    <w:p w:rsidRPr="003572BE" w:rsidR="00D93F4B" w:rsidP="002371CB" w:rsidRDefault="00D93F4B" w14:paraId="4CB73A50" w14:textId="21563210">
      <w:pPr>
        <w:pStyle w:val="Heading2"/>
        <w:numPr>
          <w:ilvl w:val="1"/>
          <w:numId w:val="26"/>
        </w:numPr>
        <w:ind w:left="1152" w:hanging="576"/>
      </w:pPr>
      <w:r>
        <w:t>UAS Societal and Economic Data Reports</w:t>
      </w:r>
    </w:p>
    <w:p w:rsidR="00D93F4B" w:rsidP="00D93F4B" w:rsidRDefault="00D93F4B" w14:paraId="2C44EB9A" w14:textId="42807E5C">
      <w:pPr>
        <w:shd w:val="clear" w:color="auto" w:fill="FFFFFF"/>
        <w:spacing w:after="225" w:line="240" w:lineRule="auto"/>
        <w:ind w:left="576"/>
        <w:rPr>
          <w:rFonts w:ascii="Times New Roman" w:hAnsi="Times New Roman" w:eastAsia="Times New Roman" w:cs="Times New Roman"/>
          <w:sz w:val="24"/>
          <w:szCs w:val="24"/>
        </w:rPr>
      </w:pPr>
      <w:r w:rsidRPr="003572BE">
        <w:rPr>
          <w:rFonts w:ascii="Times New Roman" w:hAnsi="Times New Roman" w:eastAsia="Times New Roman" w:cs="Times New Roman"/>
          <w:sz w:val="24"/>
          <w:szCs w:val="24"/>
        </w:rPr>
        <w:t xml:space="preserve">PSP and BEYOND participants will </w:t>
      </w:r>
      <w:r>
        <w:rPr>
          <w:rFonts w:ascii="Times New Roman" w:hAnsi="Times New Roman" w:eastAsia="Times New Roman" w:cs="Times New Roman"/>
          <w:sz w:val="24"/>
          <w:szCs w:val="24"/>
        </w:rPr>
        <w:t>complete these reports, so there will be 15</w:t>
      </w:r>
      <w:r w:rsidRPr="003572BE">
        <w:rPr>
          <w:rFonts w:ascii="Times New Roman" w:hAnsi="Times New Roman" w:eastAsia="Times New Roman" w:cs="Times New Roman"/>
          <w:sz w:val="24"/>
          <w:szCs w:val="24"/>
        </w:rPr>
        <w:t xml:space="preserve"> participants combined. </w:t>
      </w:r>
      <w:r>
        <w:rPr>
          <w:rFonts w:ascii="Times New Roman" w:hAnsi="Times New Roman" w:eastAsia="Times New Roman" w:cs="Times New Roman"/>
          <w:sz w:val="24"/>
          <w:szCs w:val="24"/>
        </w:rPr>
        <w:t xml:space="preserve">It is not expected to take more than 1 hour per submission to complete the report as it is based on information pre-planned to collect and report about the participants’ </w:t>
      </w:r>
      <w:r>
        <w:rPr>
          <w:rFonts w:ascii="Times New Roman" w:hAnsi="Times New Roman" w:eastAsia="Times New Roman" w:cs="Times New Roman"/>
          <w:sz w:val="24"/>
          <w:szCs w:val="24"/>
        </w:rPr>
        <w:lastRenderedPageBreak/>
        <w:t xml:space="preserve">operations. The reports will be submitted in conjunction with the participants’ quarterly (PSP) or semi-annual (BEYOND) reports, which means PSP participants will submit 4 per year and BEYOND participants will submit 2 per year. </w:t>
      </w:r>
      <w:r w:rsidRPr="003572BE">
        <w:rPr>
          <w:rFonts w:ascii="Times New Roman" w:hAnsi="Times New Roman" w:eastAsia="Times New Roman" w:cs="Times New Roman"/>
          <w:sz w:val="24"/>
          <w:szCs w:val="24"/>
        </w:rPr>
        <w:t>Recordkeeping was not calculated as the reported data should be collected by the participants as a normal course of business. The respondents will be employees of the PSP industry partners and the BEYOND Lead Participants and are likely to be in roles similar to a Management Analyst</w:t>
      </w:r>
      <w:r w:rsidR="00755D08">
        <w:rPr>
          <w:rStyle w:val="FootnoteReference"/>
          <w:rFonts w:ascii="Times New Roman" w:hAnsi="Times New Roman" w:eastAsia="Times New Roman" w:cs="Times New Roman"/>
          <w:sz w:val="24"/>
          <w:szCs w:val="24"/>
        </w:rPr>
        <w:footnoteReference w:id="18"/>
      </w:r>
      <w:r w:rsidRPr="003572BE">
        <w:rPr>
          <w:rFonts w:ascii="Times New Roman" w:hAnsi="Times New Roman" w:eastAsia="Times New Roman" w:cs="Times New Roman"/>
          <w:sz w:val="24"/>
          <w:szCs w:val="24"/>
        </w:rPr>
        <w:t xml:space="preserve"> or Project Management Specialist</w:t>
      </w:r>
      <w:r w:rsidR="00755D08">
        <w:rPr>
          <w:rStyle w:val="FootnoteReference"/>
          <w:rFonts w:ascii="Times New Roman" w:hAnsi="Times New Roman" w:eastAsia="Times New Roman" w:cs="Times New Roman"/>
          <w:sz w:val="24"/>
          <w:szCs w:val="24"/>
        </w:rPr>
        <w:footnoteReference w:id="19"/>
      </w:r>
      <w:r w:rsidRPr="003572BE">
        <w:rPr>
          <w:rFonts w:ascii="Times New Roman" w:hAnsi="Times New Roman" w:eastAsia="Times New Roman" w:cs="Times New Roman"/>
          <w:sz w:val="24"/>
          <w:szCs w:val="24"/>
        </w:rPr>
        <w:t xml:space="preserve"> role, whose average salaries are $45.94 and $38.57/hour respectively. Assuming the higher cost brings the total maximum </w:t>
      </w:r>
      <w:r>
        <w:rPr>
          <w:rFonts w:ascii="Times New Roman" w:hAnsi="Times New Roman" w:eastAsia="Times New Roman" w:cs="Times New Roman"/>
          <w:sz w:val="24"/>
          <w:szCs w:val="24"/>
        </w:rPr>
        <w:t xml:space="preserve">annual </w:t>
      </w:r>
      <w:r w:rsidRPr="003572BE">
        <w:rPr>
          <w:rFonts w:ascii="Times New Roman" w:hAnsi="Times New Roman" w:eastAsia="Times New Roman" w:cs="Times New Roman"/>
          <w:sz w:val="24"/>
          <w:szCs w:val="24"/>
        </w:rPr>
        <w:t xml:space="preserve">cost burden for this data collection </w:t>
      </w:r>
      <w:r>
        <w:rPr>
          <w:rFonts w:ascii="Times New Roman" w:hAnsi="Times New Roman" w:eastAsia="Times New Roman" w:cs="Times New Roman"/>
          <w:sz w:val="24"/>
          <w:szCs w:val="24"/>
        </w:rPr>
        <w:t xml:space="preserve">for PSP participants </w:t>
      </w:r>
      <w:r w:rsidRPr="003572BE">
        <w:rPr>
          <w:rFonts w:ascii="Times New Roman" w:hAnsi="Times New Roman" w:eastAsia="Times New Roman" w:cs="Times New Roman"/>
          <w:sz w:val="24"/>
          <w:szCs w:val="24"/>
        </w:rPr>
        <w:t xml:space="preserve">to </w:t>
      </w:r>
      <w:r>
        <w:rPr>
          <w:rFonts w:ascii="Times New Roman" w:hAnsi="Times New Roman" w:eastAsia="Times New Roman" w:cs="Times New Roman"/>
          <w:sz w:val="24"/>
          <w:szCs w:val="24"/>
        </w:rPr>
        <w:t xml:space="preserve">$2,572.64, for BEYOND participants to $1,470.08, and combined to </w:t>
      </w:r>
      <w:r w:rsidRPr="003572BE">
        <w:rPr>
          <w:rFonts w:ascii="Times New Roman" w:hAnsi="Times New Roman" w:eastAsia="Times New Roman" w:cs="Times New Roman"/>
          <w:sz w:val="24"/>
          <w:szCs w:val="24"/>
        </w:rPr>
        <w:t>$</w:t>
      </w:r>
      <w:r>
        <w:rPr>
          <w:rFonts w:ascii="Times New Roman" w:hAnsi="Times New Roman" w:eastAsia="Times New Roman" w:cs="Times New Roman"/>
          <w:sz w:val="24"/>
          <w:szCs w:val="24"/>
        </w:rPr>
        <w:t>4,042.72.</w:t>
      </w:r>
    </w:p>
    <w:p w:rsidRPr="003572BE" w:rsidR="00D93F4B" w:rsidP="00D93F4B" w:rsidRDefault="00D93F4B" w14:paraId="6B0F32EF" w14:textId="77777777">
      <w:pPr>
        <w:shd w:val="clear" w:color="auto" w:fill="FFFFFF"/>
        <w:spacing w:after="225" w:line="240" w:lineRule="auto"/>
        <w:ind w:left="576"/>
        <w:rPr>
          <w:rFonts w:ascii="Times New Roman" w:hAnsi="Times New Roman" w:eastAsia="Times New Roman" w:cs="Times New Roman"/>
          <w:sz w:val="24"/>
          <w:szCs w:val="24"/>
        </w:rPr>
      </w:pPr>
      <w:r>
        <w:rPr>
          <w:rFonts w:ascii="Times New Roman" w:hAnsi="Times New Roman" w:eastAsia="Times New Roman" w:cs="Times New Roman"/>
          <w:sz w:val="24"/>
          <w:szCs w:val="24"/>
        </w:rPr>
        <w:t>PSP Participant Burden:</w:t>
      </w:r>
    </w:p>
    <w:p w:rsidRPr="003A637E" w:rsidR="00D93F4B" w:rsidP="00D93F4B" w:rsidRDefault="00D93F4B" w14:paraId="4121D94F"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Pr="003A637E">
        <w:rPr>
          <w:rFonts w:ascii="Times New Roman" w:hAnsi="Times New Roman" w:eastAsia="Times New Roman" w:cs="Times New Roman"/>
          <w:sz w:val="24"/>
          <w:szCs w:val="24"/>
        </w:rPr>
        <w:t xml:space="preserve"> respondents x </w:t>
      </w:r>
      <w:r>
        <w:rPr>
          <w:rFonts w:ascii="Times New Roman" w:hAnsi="Times New Roman" w:eastAsia="Times New Roman" w:cs="Times New Roman"/>
          <w:sz w:val="24"/>
          <w:szCs w:val="24"/>
        </w:rPr>
        <w:t>4</w:t>
      </w:r>
      <w:r w:rsidRPr="003A637E">
        <w:rPr>
          <w:rFonts w:ascii="Times New Roman" w:hAnsi="Times New Roman" w:eastAsia="Times New Roman" w:cs="Times New Roman"/>
          <w:sz w:val="24"/>
          <w:szCs w:val="24"/>
        </w:rPr>
        <w:t xml:space="preserve"> responses per respondent = </w:t>
      </w:r>
      <w:r>
        <w:rPr>
          <w:rFonts w:ascii="Times New Roman" w:hAnsi="Times New Roman" w:eastAsia="Times New Roman" w:cs="Times New Roman"/>
          <w:sz w:val="24"/>
          <w:szCs w:val="24"/>
        </w:rPr>
        <w:t>28</w:t>
      </w:r>
      <w:r w:rsidRPr="003A637E">
        <w:rPr>
          <w:rFonts w:ascii="Times New Roman" w:hAnsi="Times New Roman" w:eastAsia="Times New Roman" w:cs="Times New Roman"/>
          <w:sz w:val="24"/>
          <w:szCs w:val="24"/>
        </w:rPr>
        <w:t xml:space="preserve"> responses </w:t>
      </w:r>
    </w:p>
    <w:p w:rsidRPr="003A637E" w:rsidR="00D93F4B" w:rsidP="00D93F4B" w:rsidRDefault="00D93F4B" w14:paraId="4A9A877C"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28 responses x 1</w:t>
      </w:r>
      <w:r w:rsidRPr="003A637E">
        <w:rPr>
          <w:rFonts w:ascii="Times New Roman" w:hAnsi="Times New Roman" w:eastAsia="Times New Roman" w:cs="Times New Roman"/>
          <w:sz w:val="24"/>
          <w:szCs w:val="24"/>
        </w:rPr>
        <w:t xml:space="preserve"> hour = </w:t>
      </w:r>
      <w:r>
        <w:rPr>
          <w:rFonts w:ascii="Times New Roman" w:hAnsi="Times New Roman" w:eastAsia="Times New Roman" w:cs="Times New Roman"/>
          <w:sz w:val="24"/>
          <w:szCs w:val="24"/>
        </w:rPr>
        <w:t>28</w:t>
      </w:r>
      <w:r w:rsidRPr="003A637E">
        <w:rPr>
          <w:rFonts w:ascii="Times New Roman" w:hAnsi="Times New Roman" w:eastAsia="Times New Roman" w:cs="Times New Roman"/>
          <w:sz w:val="24"/>
          <w:szCs w:val="24"/>
        </w:rPr>
        <w:t xml:space="preserve"> hours</w:t>
      </w:r>
    </w:p>
    <w:p w:rsidRPr="003A637E" w:rsidR="00D93F4B" w:rsidP="00D93F4B" w:rsidRDefault="00D93F4B" w14:paraId="254C8D72"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28</w:t>
      </w:r>
      <w:r w:rsidRPr="003A637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1,286.32</w:t>
      </w:r>
    </w:p>
    <w:p w:rsidRPr="003A637E" w:rsidR="00D93F4B" w:rsidP="00D93F4B" w:rsidRDefault="00D93F4B" w14:paraId="04DB0963" w14:textId="77777777">
      <w:pPr>
        <w:shd w:val="clear" w:color="auto" w:fill="FFFFFF"/>
        <w:spacing w:after="0" w:line="240" w:lineRule="auto"/>
        <w:ind w:left="576" w:firstLine="720"/>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822"/>
        <w:gridCol w:w="1800"/>
        <w:gridCol w:w="1763"/>
      </w:tblGrid>
      <w:tr w:rsidRPr="003A637E" w:rsidR="00755D08" w:rsidTr="00755D08" w14:paraId="266A47BB" w14:textId="77777777">
        <w:trPr>
          <w:trHeight w:val="432"/>
          <w:jc w:val="center"/>
        </w:trPr>
        <w:tc>
          <w:tcPr>
            <w:tcW w:w="3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6203CC91"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06D71" w:rsidRDefault="00755D08" w14:paraId="46CBB9F5"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06D71" w:rsidRDefault="00755D08" w14:paraId="10A9B955" w14:textId="77777777">
            <w:pPr>
              <w:spacing w:after="0" w:line="240" w:lineRule="auto"/>
              <w:jc w:val="center"/>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755D08" w:rsidTr="00755D08" w14:paraId="28B141F8"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564E86F5"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1D9C3D6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0DED189A" w14:textId="77777777">
            <w:pPr>
              <w:spacing w:after="0" w:line="240" w:lineRule="auto"/>
              <w:jc w:val="center"/>
              <w:rPr>
                <w:rFonts w:ascii="Times New Roman" w:hAnsi="Times New Roman" w:cs="Times New Roman"/>
                <w:sz w:val="24"/>
                <w:szCs w:val="24"/>
              </w:rPr>
            </w:pPr>
          </w:p>
        </w:tc>
      </w:tr>
      <w:tr w:rsidRPr="003A637E" w:rsidR="00755D08" w:rsidTr="00755D08" w14:paraId="14877C1D"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333C8908"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3461CBC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26D26868" w14:textId="77777777">
            <w:pPr>
              <w:spacing w:after="0" w:line="240" w:lineRule="auto"/>
              <w:jc w:val="center"/>
              <w:rPr>
                <w:rFonts w:ascii="Times New Roman" w:hAnsi="Times New Roman" w:cs="Times New Roman"/>
                <w:sz w:val="24"/>
                <w:szCs w:val="24"/>
              </w:rPr>
            </w:pPr>
          </w:p>
        </w:tc>
      </w:tr>
      <w:tr w:rsidRPr="003A637E" w:rsidR="00755D08" w:rsidTr="00755D08" w14:paraId="57E805B8"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2CB1171D"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20D07E5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hour</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798AA78A" w14:textId="77777777">
            <w:pPr>
              <w:spacing w:after="0" w:line="240" w:lineRule="auto"/>
              <w:jc w:val="center"/>
              <w:rPr>
                <w:rFonts w:ascii="Times New Roman" w:hAnsi="Times New Roman" w:cs="Times New Roman"/>
                <w:sz w:val="24"/>
                <w:szCs w:val="24"/>
              </w:rPr>
            </w:pPr>
          </w:p>
        </w:tc>
      </w:tr>
      <w:tr w:rsidRPr="003A637E" w:rsidR="00755D08" w:rsidTr="00755D08" w14:paraId="1C32AA54"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7B3040E7"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0536CEB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22A3F7A7" w14:textId="77777777">
            <w:pPr>
              <w:spacing w:after="0" w:line="240" w:lineRule="auto"/>
              <w:jc w:val="center"/>
              <w:rPr>
                <w:rFonts w:ascii="Times New Roman" w:hAnsi="Times New Roman" w:cs="Times New Roman"/>
                <w:sz w:val="24"/>
                <w:szCs w:val="24"/>
              </w:rPr>
            </w:pPr>
          </w:p>
        </w:tc>
      </w:tr>
      <w:tr w:rsidRPr="003A637E" w:rsidR="00755D08" w:rsidTr="00755D08" w14:paraId="2B0C607E" w14:textId="77777777">
        <w:trPr>
          <w:trHeight w:val="432"/>
          <w:jc w:val="center"/>
        </w:trPr>
        <w:tc>
          <w:tcPr>
            <w:tcW w:w="3822" w:type="dxa"/>
            <w:tcBorders>
              <w:top w:val="nil"/>
              <w:left w:val="single" w:color="auto" w:sz="4" w:space="0"/>
              <w:bottom w:val="single" w:color="auto" w:sz="4" w:space="0"/>
              <w:right w:val="single" w:color="auto" w:sz="4" w:space="0"/>
            </w:tcBorders>
            <w:shd w:val="clear" w:color="auto" w:fill="auto"/>
            <w:noWrap/>
            <w:vAlign w:val="bottom"/>
          </w:tcPr>
          <w:p w:rsidRPr="003A637E" w:rsidR="00755D08" w:rsidP="00506D71" w:rsidRDefault="00755D08" w14:paraId="5EBD2132"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18AF5C5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1A768C5D" w14:textId="77777777">
            <w:pPr>
              <w:spacing w:after="0" w:line="240" w:lineRule="auto"/>
              <w:jc w:val="center"/>
              <w:rPr>
                <w:rFonts w:ascii="Times New Roman" w:hAnsi="Times New Roman" w:cs="Times New Roman"/>
                <w:sz w:val="24"/>
                <w:szCs w:val="24"/>
              </w:rPr>
            </w:pPr>
          </w:p>
        </w:tc>
      </w:tr>
    </w:tbl>
    <w:p w:rsidR="00D93F4B" w:rsidP="00D93F4B" w:rsidRDefault="00D93F4B" w14:paraId="14DE8DAE" w14:textId="77777777">
      <w:pPr>
        <w:rPr>
          <w:rFonts w:ascii="Times New Roman" w:hAnsi="Times New Roman" w:eastAsia="Times New Roman" w:cs="Times New Roman"/>
          <w:sz w:val="24"/>
          <w:szCs w:val="24"/>
          <w:highlight w:val="yellow"/>
        </w:rPr>
      </w:pPr>
    </w:p>
    <w:p w:rsidRPr="003572BE" w:rsidR="00D93F4B" w:rsidP="00D93F4B" w:rsidRDefault="00D93F4B" w14:paraId="38EDFFC3" w14:textId="77777777">
      <w:pPr>
        <w:shd w:val="clear" w:color="auto" w:fill="FFFFFF"/>
        <w:spacing w:after="225" w:line="240" w:lineRule="auto"/>
        <w:ind w:left="576"/>
        <w:rPr>
          <w:rFonts w:ascii="Times New Roman" w:hAnsi="Times New Roman" w:eastAsia="Times New Roman" w:cs="Times New Roman"/>
          <w:sz w:val="24"/>
          <w:szCs w:val="24"/>
        </w:rPr>
      </w:pPr>
      <w:r>
        <w:rPr>
          <w:rFonts w:ascii="Times New Roman" w:hAnsi="Times New Roman" w:eastAsia="Times New Roman" w:cs="Times New Roman"/>
          <w:sz w:val="24"/>
          <w:szCs w:val="24"/>
        </w:rPr>
        <w:t>BEYOND Participant Burden:</w:t>
      </w:r>
    </w:p>
    <w:p w:rsidRPr="003A637E" w:rsidR="00D93F4B" w:rsidP="00D93F4B" w:rsidRDefault="00D93F4B" w14:paraId="1D79B47C"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Pr="003A637E">
        <w:rPr>
          <w:rFonts w:ascii="Times New Roman" w:hAnsi="Times New Roman" w:eastAsia="Times New Roman" w:cs="Times New Roman"/>
          <w:sz w:val="24"/>
          <w:szCs w:val="24"/>
        </w:rPr>
        <w:t xml:space="preserve"> respondents x </w:t>
      </w:r>
      <w:r>
        <w:rPr>
          <w:rFonts w:ascii="Times New Roman" w:hAnsi="Times New Roman" w:eastAsia="Times New Roman" w:cs="Times New Roman"/>
          <w:sz w:val="24"/>
          <w:szCs w:val="24"/>
        </w:rPr>
        <w:t>2</w:t>
      </w:r>
      <w:r w:rsidRPr="003A637E">
        <w:rPr>
          <w:rFonts w:ascii="Times New Roman" w:hAnsi="Times New Roman" w:eastAsia="Times New Roman" w:cs="Times New Roman"/>
          <w:sz w:val="24"/>
          <w:szCs w:val="24"/>
        </w:rPr>
        <w:t xml:space="preserve"> responses per respondent = </w:t>
      </w:r>
      <w:r>
        <w:rPr>
          <w:rFonts w:ascii="Times New Roman" w:hAnsi="Times New Roman" w:eastAsia="Times New Roman" w:cs="Times New Roman"/>
          <w:sz w:val="24"/>
          <w:szCs w:val="24"/>
        </w:rPr>
        <w:t>16</w:t>
      </w:r>
      <w:r w:rsidRPr="003A637E">
        <w:rPr>
          <w:rFonts w:ascii="Times New Roman" w:hAnsi="Times New Roman" w:eastAsia="Times New Roman" w:cs="Times New Roman"/>
          <w:sz w:val="24"/>
          <w:szCs w:val="24"/>
        </w:rPr>
        <w:t xml:space="preserve"> responses </w:t>
      </w:r>
    </w:p>
    <w:p w:rsidRPr="003A637E" w:rsidR="00D93F4B" w:rsidP="00D93F4B" w:rsidRDefault="00D93F4B" w14:paraId="610DA7F3"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16 responses x 1</w:t>
      </w:r>
      <w:r w:rsidRPr="003A637E">
        <w:rPr>
          <w:rFonts w:ascii="Times New Roman" w:hAnsi="Times New Roman" w:eastAsia="Times New Roman" w:cs="Times New Roman"/>
          <w:sz w:val="24"/>
          <w:szCs w:val="24"/>
        </w:rPr>
        <w:t xml:space="preserve"> hour = </w:t>
      </w:r>
      <w:r>
        <w:rPr>
          <w:rFonts w:ascii="Times New Roman" w:hAnsi="Times New Roman" w:eastAsia="Times New Roman" w:cs="Times New Roman"/>
          <w:sz w:val="24"/>
          <w:szCs w:val="24"/>
        </w:rPr>
        <w:t>16</w:t>
      </w:r>
      <w:r w:rsidRPr="003A637E">
        <w:rPr>
          <w:rFonts w:ascii="Times New Roman" w:hAnsi="Times New Roman" w:eastAsia="Times New Roman" w:cs="Times New Roman"/>
          <w:sz w:val="24"/>
          <w:szCs w:val="24"/>
        </w:rPr>
        <w:t xml:space="preserve"> hours</w:t>
      </w:r>
    </w:p>
    <w:p w:rsidRPr="003A637E" w:rsidR="00D93F4B" w:rsidP="00D93F4B" w:rsidRDefault="00D93F4B" w14:paraId="63F10A3D"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r w:rsidRPr="003A637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735.04</w:t>
      </w:r>
    </w:p>
    <w:p w:rsidR="008E0CB5" w:rsidRDefault="008E0CB5" w14:paraId="3122B4C1" w14:textId="0E9700FB">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3A637E" w:rsidR="00D93F4B" w:rsidP="00D93F4B" w:rsidRDefault="00D93F4B" w14:paraId="520D4BF0" w14:textId="77777777">
      <w:pPr>
        <w:shd w:val="clear" w:color="auto" w:fill="FFFFFF"/>
        <w:spacing w:after="0" w:line="240" w:lineRule="auto"/>
        <w:ind w:left="576" w:firstLine="720"/>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816"/>
        <w:gridCol w:w="1800"/>
        <w:gridCol w:w="1763"/>
      </w:tblGrid>
      <w:tr w:rsidRPr="003A637E" w:rsidR="00755D08" w:rsidTr="00755D08" w14:paraId="5E907A16" w14:textId="77777777">
        <w:trPr>
          <w:trHeight w:val="432"/>
          <w:jc w:val="center"/>
        </w:trPr>
        <w:tc>
          <w:tcPr>
            <w:tcW w:w="38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1B7D2DDA" w14:textId="77777777">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06D71" w:rsidRDefault="00755D08" w14:paraId="2C54C097"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06D71" w:rsidRDefault="00755D08" w14:paraId="4A6D23C4"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755D08" w:rsidTr="00755D08" w14:paraId="4C46398A"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67A89307"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491D691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08560A6D" w14:textId="77777777">
            <w:pPr>
              <w:spacing w:after="0" w:line="240" w:lineRule="auto"/>
              <w:jc w:val="center"/>
              <w:rPr>
                <w:rFonts w:ascii="Times New Roman" w:hAnsi="Times New Roman" w:cs="Times New Roman"/>
                <w:sz w:val="24"/>
                <w:szCs w:val="24"/>
              </w:rPr>
            </w:pPr>
          </w:p>
        </w:tc>
      </w:tr>
      <w:tr w:rsidRPr="003A637E" w:rsidR="00755D08" w:rsidTr="00755D08" w14:paraId="1E194042"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3D1A303C"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30B9441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4E76EFF7" w14:textId="77777777">
            <w:pPr>
              <w:spacing w:after="0" w:line="240" w:lineRule="auto"/>
              <w:jc w:val="center"/>
              <w:rPr>
                <w:rFonts w:ascii="Times New Roman" w:hAnsi="Times New Roman" w:cs="Times New Roman"/>
                <w:sz w:val="24"/>
                <w:szCs w:val="24"/>
              </w:rPr>
            </w:pPr>
          </w:p>
        </w:tc>
      </w:tr>
      <w:tr w:rsidRPr="003A637E" w:rsidR="00755D08" w:rsidTr="00755D08" w14:paraId="129F2984"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49C2D56E"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5282B24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hour</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7AFF2FE7" w14:textId="77777777">
            <w:pPr>
              <w:spacing w:after="0" w:line="240" w:lineRule="auto"/>
              <w:jc w:val="center"/>
              <w:rPr>
                <w:rFonts w:ascii="Times New Roman" w:hAnsi="Times New Roman" w:cs="Times New Roman"/>
                <w:sz w:val="24"/>
                <w:szCs w:val="24"/>
              </w:rPr>
            </w:pPr>
          </w:p>
        </w:tc>
      </w:tr>
      <w:tr w:rsidRPr="003A637E" w:rsidR="00755D08" w:rsidTr="00755D08" w14:paraId="7DA88FD0"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06D71" w:rsidRDefault="00755D08" w14:paraId="7F086CCA"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0142784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6E0DB946" w14:textId="77777777">
            <w:pPr>
              <w:spacing w:after="0" w:line="240" w:lineRule="auto"/>
              <w:jc w:val="center"/>
              <w:rPr>
                <w:rFonts w:ascii="Times New Roman" w:hAnsi="Times New Roman" w:cs="Times New Roman"/>
                <w:sz w:val="24"/>
                <w:szCs w:val="24"/>
              </w:rPr>
            </w:pPr>
          </w:p>
        </w:tc>
      </w:tr>
      <w:tr w:rsidRPr="003A637E" w:rsidR="00755D08" w:rsidTr="00755D08" w14:paraId="1F8811C1"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tcPr>
          <w:p w:rsidRPr="003A637E" w:rsidR="00755D08" w:rsidP="00506D71" w:rsidRDefault="00755D08" w14:paraId="46A21EB1"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5480372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06D71" w:rsidRDefault="00755D08" w14:paraId="55D0BE9D" w14:textId="77777777">
            <w:pPr>
              <w:spacing w:after="0" w:line="240" w:lineRule="auto"/>
              <w:jc w:val="center"/>
              <w:rPr>
                <w:rFonts w:ascii="Times New Roman" w:hAnsi="Times New Roman" w:cs="Times New Roman"/>
                <w:sz w:val="24"/>
                <w:szCs w:val="24"/>
              </w:rPr>
            </w:pPr>
          </w:p>
        </w:tc>
      </w:tr>
    </w:tbl>
    <w:p w:rsidR="00D93F4B" w:rsidP="00D93F4B" w:rsidRDefault="00D93F4B" w14:paraId="421DCC4A" w14:textId="77777777">
      <w:pPr>
        <w:rPr>
          <w:rFonts w:ascii="Times New Roman" w:hAnsi="Times New Roman" w:eastAsia="Times New Roman" w:cs="Times New Roman"/>
          <w:sz w:val="24"/>
          <w:szCs w:val="24"/>
          <w:highlight w:val="yellow"/>
        </w:rPr>
      </w:pPr>
    </w:p>
    <w:p w:rsidRPr="00A03E03" w:rsidR="00D93F4B" w:rsidP="00D93F4B" w:rsidRDefault="00D93F4B" w14:paraId="0C330F0C" w14:textId="2DABEE35">
      <w:pPr>
        <w:ind w:left="720"/>
        <w:rPr>
          <w:rFonts w:ascii="Times New Roman" w:hAnsi="Times New Roman" w:eastAsia="Times New Roman" w:cs="Times New Roman"/>
          <w:sz w:val="24"/>
          <w:szCs w:val="24"/>
        </w:rPr>
      </w:pPr>
      <w:r w:rsidRPr="00A03E03">
        <w:rPr>
          <w:rFonts w:ascii="Times New Roman" w:hAnsi="Times New Roman" w:eastAsia="Times New Roman" w:cs="Times New Roman"/>
          <w:sz w:val="24"/>
          <w:szCs w:val="24"/>
        </w:rPr>
        <w:t xml:space="preserve">Total burden for </w:t>
      </w:r>
      <w:r>
        <w:rPr>
          <w:rFonts w:ascii="Times New Roman" w:hAnsi="Times New Roman" w:eastAsia="Times New Roman" w:cs="Times New Roman"/>
          <w:sz w:val="24"/>
          <w:szCs w:val="24"/>
        </w:rPr>
        <w:t xml:space="preserve">PSP and BEYOND program participants for UAS </w:t>
      </w:r>
      <w:r w:rsidRPr="00A03E03">
        <w:rPr>
          <w:rFonts w:ascii="Times New Roman" w:hAnsi="Times New Roman" w:eastAsia="Times New Roman" w:cs="Times New Roman"/>
          <w:sz w:val="24"/>
          <w:szCs w:val="24"/>
        </w:rPr>
        <w:t>Societal and Economic Data reporting:</w:t>
      </w:r>
    </w:p>
    <w:p w:rsidRPr="00A03E03" w:rsidR="00A03E03" w:rsidP="00A03E03" w:rsidRDefault="00D93F4B" w14:paraId="30CC4FB1" w14:textId="0F877015">
      <w:pPr>
        <w:rPr>
          <w:rFonts w:ascii="Times New Roman" w:hAnsi="Times New Roman" w:eastAsia="Times New Roman" w:cs="Times New Roman"/>
          <w:sz w:val="24"/>
          <w:szCs w:val="24"/>
        </w:rPr>
      </w:pPr>
      <w:r w:rsidRPr="00A03E03">
        <w:rPr>
          <w:rFonts w:ascii="Times New Roman" w:hAnsi="Times New Roman" w:eastAsia="Times New Roman" w:cs="Times New Roman"/>
          <w:sz w:val="24"/>
          <w:szCs w:val="24"/>
        </w:rPr>
        <w:tab/>
        <w:t>$</w:t>
      </w:r>
      <w:r>
        <w:rPr>
          <w:rFonts w:ascii="Times New Roman" w:hAnsi="Times New Roman" w:eastAsia="Times New Roman" w:cs="Times New Roman"/>
          <w:sz w:val="24"/>
          <w:szCs w:val="24"/>
        </w:rPr>
        <w:t xml:space="preserve">1,286.32 (PSP) </w:t>
      </w:r>
      <w:r w:rsidRPr="00A03E03">
        <w:rPr>
          <w:rFonts w:ascii="Times New Roman" w:hAnsi="Times New Roman" w:eastAsia="Times New Roman" w:cs="Times New Roman"/>
          <w:sz w:val="24"/>
          <w:szCs w:val="24"/>
        </w:rPr>
        <w:t>+ $</w:t>
      </w:r>
      <w:r>
        <w:rPr>
          <w:rFonts w:ascii="Times New Roman" w:hAnsi="Times New Roman" w:eastAsia="Times New Roman" w:cs="Times New Roman"/>
          <w:sz w:val="24"/>
          <w:szCs w:val="24"/>
        </w:rPr>
        <w:t>735.04</w:t>
      </w:r>
      <w:r w:rsidRPr="00A03E0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(BEYOND) </w:t>
      </w:r>
      <w:r w:rsidRPr="00A03E03">
        <w:rPr>
          <w:rFonts w:ascii="Times New Roman" w:hAnsi="Times New Roman" w:eastAsia="Times New Roman" w:cs="Times New Roman"/>
          <w:sz w:val="24"/>
          <w:szCs w:val="24"/>
        </w:rPr>
        <w:t>= $</w:t>
      </w:r>
      <w:r>
        <w:rPr>
          <w:rFonts w:ascii="Times New Roman" w:hAnsi="Times New Roman" w:eastAsia="Times New Roman" w:cs="Times New Roman"/>
          <w:sz w:val="24"/>
          <w:szCs w:val="24"/>
        </w:rPr>
        <w:t>2,021.36</w:t>
      </w:r>
    </w:p>
    <w:p w:rsidRPr="003572BE" w:rsidR="00A03E03" w:rsidP="00C143B2" w:rsidRDefault="00A03E03" w14:paraId="26B7B538" w14:textId="3E2CC7A1">
      <w:pPr>
        <w:pStyle w:val="Heading2"/>
        <w:numPr>
          <w:ilvl w:val="0"/>
          <w:numId w:val="10"/>
        </w:numPr>
        <w:ind w:left="360"/>
        <w:rPr>
          <w:u w:val="single"/>
        </w:rPr>
      </w:pPr>
      <w:r>
        <w:rPr>
          <w:u w:val="single"/>
        </w:rPr>
        <w:t>COMMUNITY ENGAGEMENT</w:t>
      </w:r>
    </w:p>
    <w:p w:rsidRPr="003572BE" w:rsidR="00A03E03" w:rsidP="002371CB" w:rsidRDefault="00A03E03" w14:paraId="70AFED92" w14:textId="59E3892E">
      <w:pPr>
        <w:pStyle w:val="Heading2"/>
        <w:numPr>
          <w:ilvl w:val="1"/>
          <w:numId w:val="26"/>
        </w:numPr>
        <w:ind w:left="1152" w:hanging="576"/>
      </w:pPr>
      <w:r>
        <w:t>Community Engagement Reports</w:t>
      </w:r>
    </w:p>
    <w:p w:rsidR="00A03E03" w:rsidP="00A03E03" w:rsidRDefault="00A03E03" w14:paraId="2839FE24" w14:textId="441FE007">
      <w:pPr>
        <w:shd w:val="clear" w:color="auto" w:fill="FFFFFF"/>
        <w:spacing w:after="225" w:line="240" w:lineRule="auto"/>
        <w:ind w:left="576"/>
        <w:rPr>
          <w:rFonts w:ascii="Times New Roman" w:hAnsi="Times New Roman" w:eastAsia="Times New Roman" w:cs="Times New Roman"/>
          <w:sz w:val="24"/>
          <w:szCs w:val="24"/>
        </w:rPr>
      </w:pPr>
      <w:r w:rsidRPr="003572BE">
        <w:rPr>
          <w:rFonts w:ascii="Times New Roman" w:hAnsi="Times New Roman" w:eastAsia="Times New Roman" w:cs="Times New Roman"/>
          <w:sz w:val="24"/>
          <w:szCs w:val="24"/>
        </w:rPr>
        <w:t xml:space="preserve">PSP and BEYOND participants will </w:t>
      </w:r>
      <w:r>
        <w:rPr>
          <w:rFonts w:ascii="Times New Roman" w:hAnsi="Times New Roman" w:eastAsia="Times New Roman" w:cs="Times New Roman"/>
          <w:sz w:val="24"/>
          <w:szCs w:val="24"/>
        </w:rPr>
        <w:t>complete these reports</w:t>
      </w:r>
      <w:r w:rsidR="004556D1">
        <w:rPr>
          <w:rFonts w:ascii="Times New Roman" w:hAnsi="Times New Roman" w:eastAsia="Times New Roman" w:cs="Times New Roman"/>
          <w:sz w:val="24"/>
          <w:szCs w:val="24"/>
        </w:rPr>
        <w:t>, so there will be 15</w:t>
      </w:r>
      <w:r w:rsidRPr="003572BE">
        <w:rPr>
          <w:rFonts w:ascii="Times New Roman" w:hAnsi="Times New Roman" w:eastAsia="Times New Roman" w:cs="Times New Roman"/>
          <w:sz w:val="24"/>
          <w:szCs w:val="24"/>
        </w:rPr>
        <w:t xml:space="preserve"> participants combined. </w:t>
      </w:r>
      <w:r>
        <w:rPr>
          <w:rFonts w:ascii="Times New Roman" w:hAnsi="Times New Roman" w:eastAsia="Times New Roman" w:cs="Times New Roman"/>
          <w:sz w:val="24"/>
          <w:szCs w:val="24"/>
        </w:rPr>
        <w:t>It is not expected to take more than 2 hours per submission to complete the report as it is based on information pre-planned to collect and report about the participants’ operations. The reports will be submitted in conjunction with the participants</w:t>
      </w:r>
      <w:r w:rsidR="00A7536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quarterly (PSP) or semi-annual (BEYOND) reports, which means PSP participants will submit 4 per year and BEYOND participants will submit 2 per year. </w:t>
      </w:r>
      <w:r w:rsidRPr="003572BE">
        <w:rPr>
          <w:rFonts w:ascii="Times New Roman" w:hAnsi="Times New Roman" w:eastAsia="Times New Roman" w:cs="Times New Roman"/>
          <w:sz w:val="24"/>
          <w:szCs w:val="24"/>
        </w:rPr>
        <w:t>Recordkeeping was not calculated as the reported data should be collected by the participants as a normal course of business. The respondents will be employees of the PSP industry partners and the BEYOND Lead Participants and are likely to be in roles similar to a Management Analyst</w:t>
      </w:r>
      <w:r w:rsidR="00755D08">
        <w:rPr>
          <w:rStyle w:val="FootnoteReference"/>
          <w:rFonts w:ascii="Times New Roman" w:hAnsi="Times New Roman" w:eastAsia="Times New Roman" w:cs="Times New Roman"/>
          <w:sz w:val="24"/>
          <w:szCs w:val="24"/>
        </w:rPr>
        <w:footnoteReference w:id="20"/>
      </w:r>
      <w:r w:rsidRPr="003572BE">
        <w:rPr>
          <w:rFonts w:ascii="Times New Roman" w:hAnsi="Times New Roman" w:eastAsia="Times New Roman" w:cs="Times New Roman"/>
          <w:sz w:val="24"/>
          <w:szCs w:val="24"/>
        </w:rPr>
        <w:t xml:space="preserve"> or Project Management Specialist</w:t>
      </w:r>
      <w:r w:rsidR="00755D08">
        <w:rPr>
          <w:rStyle w:val="FootnoteReference"/>
          <w:rFonts w:ascii="Times New Roman" w:hAnsi="Times New Roman" w:eastAsia="Times New Roman" w:cs="Times New Roman"/>
          <w:sz w:val="24"/>
          <w:szCs w:val="24"/>
        </w:rPr>
        <w:footnoteReference w:id="21"/>
      </w:r>
      <w:r w:rsidRPr="003572BE">
        <w:rPr>
          <w:rFonts w:ascii="Times New Roman" w:hAnsi="Times New Roman" w:eastAsia="Times New Roman" w:cs="Times New Roman"/>
          <w:sz w:val="24"/>
          <w:szCs w:val="24"/>
        </w:rPr>
        <w:t xml:space="preserve"> role, whose average salaries are $45.94 and $38.57/hour respectively. Assuming the higher cost brings the total maximum </w:t>
      </w:r>
      <w:r w:rsidR="00A75360">
        <w:rPr>
          <w:rFonts w:ascii="Times New Roman" w:hAnsi="Times New Roman" w:eastAsia="Times New Roman" w:cs="Times New Roman"/>
          <w:sz w:val="24"/>
          <w:szCs w:val="24"/>
        </w:rPr>
        <w:t xml:space="preserve">annual </w:t>
      </w:r>
      <w:r w:rsidRPr="003572BE">
        <w:rPr>
          <w:rFonts w:ascii="Times New Roman" w:hAnsi="Times New Roman" w:eastAsia="Times New Roman" w:cs="Times New Roman"/>
          <w:sz w:val="24"/>
          <w:szCs w:val="24"/>
        </w:rPr>
        <w:t xml:space="preserve">cost burden for this data collection </w:t>
      </w:r>
      <w:r>
        <w:rPr>
          <w:rFonts w:ascii="Times New Roman" w:hAnsi="Times New Roman" w:eastAsia="Times New Roman" w:cs="Times New Roman"/>
          <w:sz w:val="24"/>
          <w:szCs w:val="24"/>
        </w:rPr>
        <w:t xml:space="preserve">for PSP participants </w:t>
      </w:r>
      <w:r w:rsidRPr="003572BE">
        <w:rPr>
          <w:rFonts w:ascii="Times New Roman" w:hAnsi="Times New Roman" w:eastAsia="Times New Roman" w:cs="Times New Roman"/>
          <w:sz w:val="24"/>
          <w:szCs w:val="24"/>
        </w:rPr>
        <w:t xml:space="preserve">to </w:t>
      </w:r>
      <w:r>
        <w:rPr>
          <w:rFonts w:ascii="Times New Roman" w:hAnsi="Times New Roman" w:eastAsia="Times New Roman" w:cs="Times New Roman"/>
          <w:sz w:val="24"/>
          <w:szCs w:val="24"/>
        </w:rPr>
        <w:t>$2,</w:t>
      </w:r>
      <w:r w:rsidR="004556D1">
        <w:rPr>
          <w:rFonts w:ascii="Times New Roman" w:hAnsi="Times New Roman" w:eastAsia="Times New Roman" w:cs="Times New Roman"/>
          <w:sz w:val="24"/>
          <w:szCs w:val="24"/>
        </w:rPr>
        <w:t>572.64</w:t>
      </w:r>
      <w:r>
        <w:rPr>
          <w:rFonts w:ascii="Times New Roman" w:hAnsi="Times New Roman" w:eastAsia="Times New Roman" w:cs="Times New Roman"/>
          <w:sz w:val="24"/>
          <w:szCs w:val="24"/>
        </w:rPr>
        <w:t>, for BEYOND participants to $1,470.08</w:t>
      </w:r>
      <w:r w:rsidR="004556D1">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combined to </w:t>
      </w:r>
      <w:r w:rsidRPr="003572BE">
        <w:rPr>
          <w:rFonts w:ascii="Times New Roman" w:hAnsi="Times New Roman" w:eastAsia="Times New Roman" w:cs="Times New Roman"/>
          <w:sz w:val="24"/>
          <w:szCs w:val="24"/>
        </w:rPr>
        <w:t>$</w:t>
      </w:r>
      <w:r w:rsidR="004556D1">
        <w:rPr>
          <w:rFonts w:ascii="Times New Roman" w:hAnsi="Times New Roman" w:eastAsia="Times New Roman" w:cs="Times New Roman"/>
          <w:sz w:val="24"/>
          <w:szCs w:val="24"/>
        </w:rPr>
        <w:t>4,042.72</w:t>
      </w:r>
      <w:r>
        <w:rPr>
          <w:rFonts w:ascii="Times New Roman" w:hAnsi="Times New Roman" w:eastAsia="Times New Roman" w:cs="Times New Roman"/>
          <w:sz w:val="24"/>
          <w:szCs w:val="24"/>
        </w:rPr>
        <w:t>.</w:t>
      </w:r>
    </w:p>
    <w:p w:rsidRPr="003572BE" w:rsidR="004556D1" w:rsidP="004556D1" w:rsidRDefault="004556D1" w14:paraId="39C94803" w14:textId="77777777">
      <w:pPr>
        <w:shd w:val="clear" w:color="auto" w:fill="FFFFFF"/>
        <w:spacing w:after="225" w:line="240" w:lineRule="auto"/>
        <w:ind w:left="576"/>
        <w:rPr>
          <w:rFonts w:ascii="Times New Roman" w:hAnsi="Times New Roman" w:eastAsia="Times New Roman" w:cs="Times New Roman"/>
          <w:sz w:val="24"/>
          <w:szCs w:val="24"/>
        </w:rPr>
      </w:pPr>
      <w:r>
        <w:rPr>
          <w:rFonts w:ascii="Times New Roman" w:hAnsi="Times New Roman" w:eastAsia="Times New Roman" w:cs="Times New Roman"/>
          <w:sz w:val="24"/>
          <w:szCs w:val="24"/>
        </w:rPr>
        <w:t>PSP Participant Burden:</w:t>
      </w:r>
    </w:p>
    <w:p w:rsidRPr="003A637E" w:rsidR="004556D1" w:rsidP="004556D1" w:rsidRDefault="004556D1" w14:paraId="79DC60FF"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Pr="003A637E">
        <w:rPr>
          <w:rFonts w:ascii="Times New Roman" w:hAnsi="Times New Roman" w:eastAsia="Times New Roman" w:cs="Times New Roman"/>
          <w:sz w:val="24"/>
          <w:szCs w:val="24"/>
        </w:rPr>
        <w:t xml:space="preserve"> respondents x </w:t>
      </w:r>
      <w:r>
        <w:rPr>
          <w:rFonts w:ascii="Times New Roman" w:hAnsi="Times New Roman" w:eastAsia="Times New Roman" w:cs="Times New Roman"/>
          <w:sz w:val="24"/>
          <w:szCs w:val="24"/>
        </w:rPr>
        <w:t>4</w:t>
      </w:r>
      <w:r w:rsidRPr="003A637E">
        <w:rPr>
          <w:rFonts w:ascii="Times New Roman" w:hAnsi="Times New Roman" w:eastAsia="Times New Roman" w:cs="Times New Roman"/>
          <w:sz w:val="24"/>
          <w:szCs w:val="24"/>
        </w:rPr>
        <w:t xml:space="preserve"> responses per respondent = </w:t>
      </w:r>
      <w:r>
        <w:rPr>
          <w:rFonts w:ascii="Times New Roman" w:hAnsi="Times New Roman" w:eastAsia="Times New Roman" w:cs="Times New Roman"/>
          <w:sz w:val="24"/>
          <w:szCs w:val="24"/>
        </w:rPr>
        <w:t>28</w:t>
      </w:r>
      <w:r w:rsidRPr="003A637E">
        <w:rPr>
          <w:rFonts w:ascii="Times New Roman" w:hAnsi="Times New Roman" w:eastAsia="Times New Roman" w:cs="Times New Roman"/>
          <w:sz w:val="24"/>
          <w:szCs w:val="24"/>
        </w:rPr>
        <w:t xml:space="preserve"> responses </w:t>
      </w:r>
    </w:p>
    <w:p w:rsidRPr="003A637E" w:rsidR="004556D1" w:rsidP="004556D1" w:rsidRDefault="004556D1" w14:paraId="16820289"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28 responses x </w:t>
      </w:r>
      <w:r w:rsidRPr="003A637E">
        <w:rPr>
          <w:rFonts w:ascii="Times New Roman" w:hAnsi="Times New Roman" w:eastAsia="Times New Roman" w:cs="Times New Roman"/>
          <w:sz w:val="24"/>
          <w:szCs w:val="24"/>
        </w:rPr>
        <w:t xml:space="preserve">2 hours = </w:t>
      </w:r>
      <w:r>
        <w:rPr>
          <w:rFonts w:ascii="Times New Roman" w:hAnsi="Times New Roman" w:eastAsia="Times New Roman" w:cs="Times New Roman"/>
          <w:sz w:val="24"/>
          <w:szCs w:val="24"/>
        </w:rPr>
        <w:t>56</w:t>
      </w:r>
      <w:r w:rsidRPr="003A637E">
        <w:rPr>
          <w:rFonts w:ascii="Times New Roman" w:hAnsi="Times New Roman" w:eastAsia="Times New Roman" w:cs="Times New Roman"/>
          <w:sz w:val="24"/>
          <w:szCs w:val="24"/>
        </w:rPr>
        <w:t xml:space="preserve"> hours</w:t>
      </w:r>
    </w:p>
    <w:p w:rsidRPr="003A637E" w:rsidR="004556D1" w:rsidP="004556D1" w:rsidRDefault="004556D1" w14:paraId="14A80AD4"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r w:rsidRPr="003A637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2,572.64</w:t>
      </w:r>
    </w:p>
    <w:p w:rsidR="008E0CB5" w:rsidRDefault="008E0CB5" w14:paraId="0DB41E51" w14:textId="63271D36">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3A637E" w:rsidR="004556D1" w:rsidP="004556D1" w:rsidRDefault="004556D1" w14:paraId="6E989773" w14:textId="77777777">
      <w:pPr>
        <w:shd w:val="clear" w:color="auto" w:fill="FFFFFF"/>
        <w:spacing w:after="0" w:line="240" w:lineRule="auto"/>
        <w:ind w:left="576" w:firstLine="720"/>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816"/>
        <w:gridCol w:w="1800"/>
        <w:gridCol w:w="1763"/>
      </w:tblGrid>
      <w:tr w:rsidRPr="003A637E" w:rsidR="00755D08" w:rsidTr="00755D08" w14:paraId="3C9057E2" w14:textId="77777777">
        <w:trPr>
          <w:trHeight w:val="432"/>
          <w:jc w:val="center"/>
        </w:trPr>
        <w:tc>
          <w:tcPr>
            <w:tcW w:w="38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51FBBED9" w14:textId="591662D0">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E3C11" w:rsidRDefault="00755D08" w14:paraId="41D5783A"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E3C11" w:rsidRDefault="00755D08" w14:paraId="35722A67"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755D08" w:rsidTr="00755D08" w14:paraId="13563512"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08884682"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6F058EB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433FEF3F" w14:textId="77777777">
            <w:pPr>
              <w:spacing w:after="0" w:line="240" w:lineRule="auto"/>
              <w:jc w:val="center"/>
              <w:rPr>
                <w:rFonts w:ascii="Times New Roman" w:hAnsi="Times New Roman" w:cs="Times New Roman"/>
                <w:sz w:val="24"/>
                <w:szCs w:val="24"/>
              </w:rPr>
            </w:pPr>
          </w:p>
        </w:tc>
      </w:tr>
      <w:tr w:rsidRPr="003A637E" w:rsidR="00755D08" w:rsidTr="00755D08" w14:paraId="72971596"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6D3EC189"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1B93A85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0AAE1050" w14:textId="77777777">
            <w:pPr>
              <w:spacing w:after="0" w:line="240" w:lineRule="auto"/>
              <w:jc w:val="center"/>
              <w:rPr>
                <w:rFonts w:ascii="Times New Roman" w:hAnsi="Times New Roman" w:cs="Times New Roman"/>
                <w:sz w:val="24"/>
                <w:szCs w:val="24"/>
              </w:rPr>
            </w:pPr>
          </w:p>
        </w:tc>
      </w:tr>
      <w:tr w:rsidRPr="003A637E" w:rsidR="00755D08" w:rsidTr="00755D08" w14:paraId="22FD01ED"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29240897"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666A4E5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hours</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174B3B84" w14:textId="77777777">
            <w:pPr>
              <w:spacing w:after="0" w:line="240" w:lineRule="auto"/>
              <w:jc w:val="center"/>
              <w:rPr>
                <w:rFonts w:ascii="Times New Roman" w:hAnsi="Times New Roman" w:cs="Times New Roman"/>
                <w:sz w:val="24"/>
                <w:szCs w:val="24"/>
              </w:rPr>
            </w:pPr>
          </w:p>
        </w:tc>
      </w:tr>
      <w:tr w:rsidRPr="003A637E" w:rsidR="00755D08" w:rsidTr="00755D08" w14:paraId="1566DD5D"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5F3FABA6"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28A8F53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74D5219D" w14:textId="77777777">
            <w:pPr>
              <w:spacing w:after="0" w:line="240" w:lineRule="auto"/>
              <w:jc w:val="center"/>
              <w:rPr>
                <w:rFonts w:ascii="Times New Roman" w:hAnsi="Times New Roman" w:cs="Times New Roman"/>
                <w:sz w:val="24"/>
                <w:szCs w:val="24"/>
              </w:rPr>
            </w:pPr>
          </w:p>
        </w:tc>
      </w:tr>
      <w:tr w:rsidRPr="003A637E" w:rsidR="00755D08" w:rsidTr="00755D08" w14:paraId="20642AF5"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tcPr>
          <w:p w:rsidRPr="003A637E" w:rsidR="00755D08" w:rsidP="005E3C11" w:rsidRDefault="00755D08" w14:paraId="2646F448"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0B162A2D"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6C5CC6C7" w14:textId="77777777">
            <w:pPr>
              <w:spacing w:after="0" w:line="240" w:lineRule="auto"/>
              <w:jc w:val="center"/>
              <w:rPr>
                <w:rFonts w:ascii="Times New Roman" w:hAnsi="Times New Roman" w:cs="Times New Roman"/>
                <w:sz w:val="24"/>
                <w:szCs w:val="24"/>
              </w:rPr>
            </w:pPr>
          </w:p>
        </w:tc>
      </w:tr>
    </w:tbl>
    <w:p w:rsidR="004556D1" w:rsidP="004556D1" w:rsidRDefault="004556D1" w14:paraId="3DD0B9E4" w14:textId="77777777">
      <w:pPr>
        <w:rPr>
          <w:rFonts w:ascii="Times New Roman" w:hAnsi="Times New Roman" w:eastAsia="Times New Roman" w:cs="Times New Roman"/>
          <w:sz w:val="24"/>
          <w:szCs w:val="24"/>
          <w:highlight w:val="yellow"/>
        </w:rPr>
      </w:pPr>
    </w:p>
    <w:p w:rsidRPr="003572BE" w:rsidR="004556D1" w:rsidP="004556D1" w:rsidRDefault="004556D1" w14:paraId="0B784536" w14:textId="77777777">
      <w:pPr>
        <w:shd w:val="clear" w:color="auto" w:fill="FFFFFF"/>
        <w:spacing w:after="225" w:line="240" w:lineRule="auto"/>
        <w:ind w:left="576"/>
        <w:rPr>
          <w:rFonts w:ascii="Times New Roman" w:hAnsi="Times New Roman" w:eastAsia="Times New Roman" w:cs="Times New Roman"/>
          <w:sz w:val="24"/>
          <w:szCs w:val="24"/>
        </w:rPr>
      </w:pPr>
      <w:r>
        <w:rPr>
          <w:rFonts w:ascii="Times New Roman" w:hAnsi="Times New Roman" w:eastAsia="Times New Roman" w:cs="Times New Roman"/>
          <w:sz w:val="24"/>
          <w:szCs w:val="24"/>
        </w:rPr>
        <w:t>BEYOND Participant Burden:</w:t>
      </w:r>
    </w:p>
    <w:p w:rsidRPr="003A637E" w:rsidR="004556D1" w:rsidP="004556D1" w:rsidRDefault="004556D1" w14:paraId="2003D2E1"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Pr="003A637E">
        <w:rPr>
          <w:rFonts w:ascii="Times New Roman" w:hAnsi="Times New Roman" w:eastAsia="Times New Roman" w:cs="Times New Roman"/>
          <w:sz w:val="24"/>
          <w:szCs w:val="24"/>
        </w:rPr>
        <w:t xml:space="preserve"> respondents x </w:t>
      </w:r>
      <w:r>
        <w:rPr>
          <w:rFonts w:ascii="Times New Roman" w:hAnsi="Times New Roman" w:eastAsia="Times New Roman" w:cs="Times New Roman"/>
          <w:sz w:val="24"/>
          <w:szCs w:val="24"/>
        </w:rPr>
        <w:t>2</w:t>
      </w:r>
      <w:r w:rsidRPr="003A637E">
        <w:rPr>
          <w:rFonts w:ascii="Times New Roman" w:hAnsi="Times New Roman" w:eastAsia="Times New Roman" w:cs="Times New Roman"/>
          <w:sz w:val="24"/>
          <w:szCs w:val="24"/>
        </w:rPr>
        <w:t xml:space="preserve"> responses per respondent = </w:t>
      </w:r>
      <w:r>
        <w:rPr>
          <w:rFonts w:ascii="Times New Roman" w:hAnsi="Times New Roman" w:eastAsia="Times New Roman" w:cs="Times New Roman"/>
          <w:sz w:val="24"/>
          <w:szCs w:val="24"/>
        </w:rPr>
        <w:t>16</w:t>
      </w:r>
      <w:r w:rsidRPr="003A637E">
        <w:rPr>
          <w:rFonts w:ascii="Times New Roman" w:hAnsi="Times New Roman" w:eastAsia="Times New Roman" w:cs="Times New Roman"/>
          <w:sz w:val="24"/>
          <w:szCs w:val="24"/>
        </w:rPr>
        <w:t xml:space="preserve"> responses </w:t>
      </w:r>
    </w:p>
    <w:p w:rsidRPr="003A637E" w:rsidR="004556D1" w:rsidP="004556D1" w:rsidRDefault="004556D1" w14:paraId="4DBDC64C"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 responses x </w:t>
      </w:r>
      <w:r w:rsidRPr="003A637E">
        <w:rPr>
          <w:rFonts w:ascii="Times New Roman" w:hAnsi="Times New Roman" w:eastAsia="Times New Roman" w:cs="Times New Roman"/>
          <w:sz w:val="24"/>
          <w:szCs w:val="24"/>
        </w:rPr>
        <w:t xml:space="preserve">2 hours = </w:t>
      </w:r>
      <w:r>
        <w:rPr>
          <w:rFonts w:ascii="Times New Roman" w:hAnsi="Times New Roman" w:eastAsia="Times New Roman" w:cs="Times New Roman"/>
          <w:sz w:val="24"/>
          <w:szCs w:val="24"/>
        </w:rPr>
        <w:t>32</w:t>
      </w:r>
      <w:r w:rsidRPr="003A637E">
        <w:rPr>
          <w:rFonts w:ascii="Times New Roman" w:hAnsi="Times New Roman" w:eastAsia="Times New Roman" w:cs="Times New Roman"/>
          <w:sz w:val="24"/>
          <w:szCs w:val="24"/>
        </w:rPr>
        <w:t xml:space="preserve"> hours</w:t>
      </w:r>
    </w:p>
    <w:p w:rsidRPr="003A637E" w:rsidR="004556D1" w:rsidP="004556D1" w:rsidRDefault="004556D1" w14:paraId="046D332C" w14:textId="77777777">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r w:rsidRPr="003A637E">
        <w:rPr>
          <w:rFonts w:ascii="Times New Roman" w:hAnsi="Times New Roman" w:eastAsia="Times New Roman" w:cs="Times New Roman"/>
          <w:sz w:val="24"/>
          <w:szCs w:val="24"/>
        </w:rPr>
        <w:t xml:space="preserve"> hours x $45.94 per hour = $</w:t>
      </w:r>
      <w:r>
        <w:rPr>
          <w:rFonts w:ascii="Times New Roman" w:hAnsi="Times New Roman" w:eastAsia="Times New Roman" w:cs="Times New Roman"/>
          <w:sz w:val="24"/>
          <w:szCs w:val="24"/>
        </w:rPr>
        <w:t>1,470.08</w:t>
      </w:r>
    </w:p>
    <w:p w:rsidRPr="003A637E" w:rsidR="004556D1" w:rsidP="004556D1" w:rsidRDefault="004556D1" w14:paraId="6C50BF20" w14:textId="77777777">
      <w:pPr>
        <w:shd w:val="clear" w:color="auto" w:fill="FFFFFF"/>
        <w:spacing w:after="0" w:line="240" w:lineRule="auto"/>
        <w:ind w:left="576" w:firstLine="720"/>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816"/>
        <w:gridCol w:w="1800"/>
        <w:gridCol w:w="1763"/>
      </w:tblGrid>
      <w:tr w:rsidRPr="003A637E" w:rsidR="00755D08" w:rsidTr="00755D08" w14:paraId="78287046" w14:textId="77777777">
        <w:trPr>
          <w:trHeight w:val="432"/>
          <w:jc w:val="center"/>
        </w:trPr>
        <w:tc>
          <w:tcPr>
            <w:tcW w:w="38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70C12BE7" w14:textId="7E6C6AB5">
            <w:pPr>
              <w:spacing w:after="0" w:line="240" w:lineRule="auto"/>
              <w:rPr>
                <w:rFonts w:ascii="Times New Roman" w:hAnsi="Times New Roman" w:cs="Times New Roman"/>
                <w:sz w:val="24"/>
                <w:szCs w:val="24"/>
              </w:rPr>
            </w:pPr>
            <w:r w:rsidRPr="003A637E">
              <w:rPr>
                <w:rFonts w:ascii="Times New Roman" w:hAnsi="Times New Roman" w:cs="Times New Roman"/>
                <w:sz w:val="24"/>
                <w:szCs w:val="24"/>
              </w:rPr>
              <w:t>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E3C11" w:rsidRDefault="00755D08" w14:paraId="3DBE31BB"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3A637E" w:rsidR="00755D08" w:rsidP="005E3C11" w:rsidRDefault="00755D08" w14:paraId="4486B3AB"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Recordkeeping</w:t>
            </w:r>
          </w:p>
        </w:tc>
      </w:tr>
      <w:tr w:rsidRPr="003A637E" w:rsidR="00755D08" w:rsidTr="00755D08" w14:paraId="24DCC026"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42681E32"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2F5B4C3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5C88A576" w14:textId="77777777">
            <w:pPr>
              <w:spacing w:after="0" w:line="240" w:lineRule="auto"/>
              <w:jc w:val="center"/>
              <w:rPr>
                <w:rFonts w:ascii="Times New Roman" w:hAnsi="Times New Roman" w:cs="Times New Roman"/>
                <w:sz w:val="24"/>
                <w:szCs w:val="24"/>
              </w:rPr>
            </w:pPr>
          </w:p>
        </w:tc>
      </w:tr>
      <w:tr w:rsidRPr="003A637E" w:rsidR="00755D08" w:rsidTr="00755D08" w14:paraId="78280AD1"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43C42CA0"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 of Responses</w:t>
            </w:r>
            <w:r w:rsidRPr="003A637E">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57F0CBA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4BC1BFCD" w14:textId="77777777">
            <w:pPr>
              <w:spacing w:after="0" w:line="240" w:lineRule="auto"/>
              <w:jc w:val="center"/>
              <w:rPr>
                <w:rFonts w:ascii="Times New Roman" w:hAnsi="Times New Roman" w:cs="Times New Roman"/>
                <w:sz w:val="24"/>
                <w:szCs w:val="24"/>
              </w:rPr>
            </w:pPr>
          </w:p>
        </w:tc>
      </w:tr>
      <w:tr w:rsidRPr="003A637E" w:rsidR="00755D08" w:rsidTr="00755D08" w14:paraId="46BBD322"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3333F088"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6A9F6DF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hours</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01499CE8" w14:textId="77777777">
            <w:pPr>
              <w:spacing w:after="0" w:line="240" w:lineRule="auto"/>
              <w:jc w:val="center"/>
              <w:rPr>
                <w:rFonts w:ascii="Times New Roman" w:hAnsi="Times New Roman" w:cs="Times New Roman"/>
                <w:sz w:val="24"/>
                <w:szCs w:val="24"/>
              </w:rPr>
            </w:pPr>
          </w:p>
        </w:tc>
      </w:tr>
      <w:tr w:rsidRPr="003A637E" w:rsidR="00755D08" w:rsidTr="00755D08" w14:paraId="78AD9282"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3A637E" w:rsidR="00755D08" w:rsidP="005E3C11" w:rsidRDefault="00755D08" w14:paraId="2E9F8AEA"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39A1123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7345A931" w14:textId="77777777">
            <w:pPr>
              <w:spacing w:after="0" w:line="240" w:lineRule="auto"/>
              <w:jc w:val="center"/>
              <w:rPr>
                <w:rFonts w:ascii="Times New Roman" w:hAnsi="Times New Roman" w:cs="Times New Roman"/>
                <w:sz w:val="24"/>
                <w:szCs w:val="24"/>
              </w:rPr>
            </w:pPr>
          </w:p>
        </w:tc>
      </w:tr>
      <w:tr w:rsidRPr="003A637E" w:rsidR="00755D08" w:rsidTr="00755D08" w14:paraId="7022D53F"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tcPr>
          <w:p w:rsidRPr="003A637E" w:rsidR="00755D08" w:rsidP="005E3C11" w:rsidRDefault="00755D08" w14:paraId="35DA8D4C" w14:textId="77777777">
            <w:pPr>
              <w:spacing w:after="0" w:line="240" w:lineRule="auto"/>
              <w:rPr>
                <w:rFonts w:ascii="Times New Roman" w:hAnsi="Times New Roman" w:cs="Times New Roman"/>
                <w:b/>
                <w:bCs/>
                <w:sz w:val="24"/>
                <w:szCs w:val="24"/>
              </w:rPr>
            </w:pPr>
            <w:r w:rsidRPr="003A637E">
              <w:rPr>
                <w:rFonts w:ascii="Times New Roman" w:hAnsi="Times New Roman" w:cs="Times New Roman"/>
                <w:b/>
                <w:bCs/>
                <w:sz w:val="24"/>
                <w:szCs w:val="24"/>
              </w:rPr>
              <w:t>Total burden (hours)</w:t>
            </w:r>
          </w:p>
        </w:tc>
        <w:tc>
          <w:tcPr>
            <w:tcW w:w="1800"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1C6B710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763" w:type="dxa"/>
            <w:tcBorders>
              <w:top w:val="nil"/>
              <w:left w:val="nil"/>
              <w:bottom w:val="single" w:color="auto" w:sz="4" w:space="0"/>
              <w:right w:val="single" w:color="auto" w:sz="4" w:space="0"/>
            </w:tcBorders>
            <w:shd w:val="clear" w:color="auto" w:fill="auto"/>
            <w:noWrap/>
            <w:vAlign w:val="bottom"/>
          </w:tcPr>
          <w:p w:rsidRPr="003A637E" w:rsidR="00755D08" w:rsidP="005E3C11" w:rsidRDefault="00755D08" w14:paraId="60DCF4C2" w14:textId="77777777">
            <w:pPr>
              <w:spacing w:after="0" w:line="240" w:lineRule="auto"/>
              <w:jc w:val="center"/>
              <w:rPr>
                <w:rFonts w:ascii="Times New Roman" w:hAnsi="Times New Roman" w:cs="Times New Roman"/>
                <w:sz w:val="24"/>
                <w:szCs w:val="24"/>
              </w:rPr>
            </w:pPr>
          </w:p>
        </w:tc>
      </w:tr>
    </w:tbl>
    <w:p w:rsidR="004556D1" w:rsidP="004556D1" w:rsidRDefault="004556D1" w14:paraId="035BB505" w14:textId="77777777">
      <w:pPr>
        <w:rPr>
          <w:rFonts w:ascii="Times New Roman" w:hAnsi="Times New Roman" w:eastAsia="Times New Roman" w:cs="Times New Roman"/>
          <w:sz w:val="24"/>
          <w:szCs w:val="24"/>
          <w:highlight w:val="yellow"/>
        </w:rPr>
      </w:pPr>
    </w:p>
    <w:p w:rsidRPr="00A03E03" w:rsidR="00A03E03" w:rsidP="004556D1" w:rsidRDefault="00A03E03" w14:paraId="51E284CF" w14:textId="32BD7769">
      <w:pPr>
        <w:ind w:left="720"/>
        <w:rPr>
          <w:rFonts w:ascii="Times New Roman" w:hAnsi="Times New Roman" w:eastAsia="Times New Roman" w:cs="Times New Roman"/>
          <w:sz w:val="24"/>
          <w:szCs w:val="24"/>
        </w:rPr>
      </w:pPr>
      <w:r w:rsidRPr="00A03E03">
        <w:rPr>
          <w:rFonts w:ascii="Times New Roman" w:hAnsi="Times New Roman" w:eastAsia="Times New Roman" w:cs="Times New Roman"/>
          <w:sz w:val="24"/>
          <w:szCs w:val="24"/>
        </w:rPr>
        <w:t xml:space="preserve">Total burden </w:t>
      </w:r>
      <w:r w:rsidR="00365D06">
        <w:rPr>
          <w:rFonts w:ascii="Times New Roman" w:hAnsi="Times New Roman" w:eastAsia="Times New Roman" w:cs="Times New Roman"/>
          <w:sz w:val="24"/>
          <w:szCs w:val="24"/>
        </w:rPr>
        <w:t xml:space="preserve">on </w:t>
      </w:r>
      <w:r w:rsidR="004556D1">
        <w:rPr>
          <w:rFonts w:ascii="Times New Roman" w:hAnsi="Times New Roman" w:eastAsia="Times New Roman" w:cs="Times New Roman"/>
          <w:sz w:val="24"/>
          <w:szCs w:val="24"/>
        </w:rPr>
        <w:t xml:space="preserve">PSP and BEYOND </w:t>
      </w:r>
      <w:r w:rsidR="00365D06">
        <w:rPr>
          <w:rFonts w:ascii="Times New Roman" w:hAnsi="Times New Roman" w:eastAsia="Times New Roman" w:cs="Times New Roman"/>
          <w:sz w:val="24"/>
          <w:szCs w:val="24"/>
        </w:rPr>
        <w:t>program participants for</w:t>
      </w:r>
      <w:r w:rsidRPr="00A03E03">
        <w:rPr>
          <w:rFonts w:ascii="Times New Roman" w:hAnsi="Times New Roman" w:eastAsia="Times New Roman" w:cs="Times New Roman"/>
          <w:sz w:val="24"/>
          <w:szCs w:val="24"/>
        </w:rPr>
        <w:t xml:space="preserve"> </w:t>
      </w:r>
      <w:r w:rsidR="004556D1">
        <w:rPr>
          <w:rFonts w:ascii="Times New Roman" w:hAnsi="Times New Roman" w:eastAsia="Times New Roman" w:cs="Times New Roman"/>
          <w:sz w:val="24"/>
          <w:szCs w:val="24"/>
        </w:rPr>
        <w:t>Community Engagement</w:t>
      </w:r>
      <w:r w:rsidRPr="00A03E03">
        <w:rPr>
          <w:rFonts w:ascii="Times New Roman" w:hAnsi="Times New Roman" w:eastAsia="Times New Roman" w:cs="Times New Roman"/>
          <w:sz w:val="24"/>
          <w:szCs w:val="24"/>
        </w:rPr>
        <w:t xml:space="preserve"> Data reporting:</w:t>
      </w:r>
    </w:p>
    <w:p w:rsidRPr="00365D06" w:rsidR="00A03E03" w:rsidP="00365D06" w:rsidRDefault="00A03E03" w14:paraId="4415B8D1" w14:textId="03CD388A">
      <w:pPr>
        <w:rPr>
          <w:rFonts w:ascii="Times New Roman" w:hAnsi="Times New Roman" w:eastAsia="Times New Roman" w:cs="Times New Roman"/>
          <w:sz w:val="24"/>
          <w:szCs w:val="24"/>
        </w:rPr>
      </w:pPr>
      <w:r w:rsidRPr="00A03E03">
        <w:rPr>
          <w:rFonts w:ascii="Times New Roman" w:hAnsi="Times New Roman" w:eastAsia="Times New Roman" w:cs="Times New Roman"/>
          <w:sz w:val="24"/>
          <w:szCs w:val="24"/>
        </w:rPr>
        <w:tab/>
        <w:t>$</w:t>
      </w:r>
      <w:r w:rsidRPr="00A03E03" w:rsidR="004556D1">
        <w:rPr>
          <w:rFonts w:ascii="Times New Roman" w:hAnsi="Times New Roman" w:eastAsia="Times New Roman" w:cs="Times New Roman"/>
          <w:sz w:val="24"/>
          <w:szCs w:val="24"/>
        </w:rPr>
        <w:t>2,</w:t>
      </w:r>
      <w:r w:rsidR="004556D1">
        <w:rPr>
          <w:rFonts w:ascii="Times New Roman" w:hAnsi="Times New Roman" w:eastAsia="Times New Roman" w:cs="Times New Roman"/>
          <w:sz w:val="24"/>
          <w:szCs w:val="24"/>
        </w:rPr>
        <w:t xml:space="preserve">572.64 (PSP) </w:t>
      </w:r>
      <w:r w:rsidRPr="00A03E03">
        <w:rPr>
          <w:rFonts w:ascii="Times New Roman" w:hAnsi="Times New Roman" w:eastAsia="Times New Roman" w:cs="Times New Roman"/>
          <w:sz w:val="24"/>
          <w:szCs w:val="24"/>
        </w:rPr>
        <w:t>+ $1,470.08</w:t>
      </w:r>
      <w:r w:rsidR="004556D1">
        <w:rPr>
          <w:rFonts w:ascii="Times New Roman" w:hAnsi="Times New Roman" w:eastAsia="Times New Roman" w:cs="Times New Roman"/>
          <w:sz w:val="24"/>
          <w:szCs w:val="24"/>
        </w:rPr>
        <w:t xml:space="preserve"> (BEYOND)</w:t>
      </w:r>
      <w:r w:rsidRPr="00A03E03">
        <w:rPr>
          <w:rFonts w:ascii="Times New Roman" w:hAnsi="Times New Roman" w:eastAsia="Times New Roman" w:cs="Times New Roman"/>
          <w:sz w:val="24"/>
          <w:szCs w:val="24"/>
        </w:rPr>
        <w:t xml:space="preserve"> = </w:t>
      </w:r>
      <w:r w:rsidRPr="00A03E03" w:rsidR="004556D1">
        <w:rPr>
          <w:rFonts w:ascii="Times New Roman" w:hAnsi="Times New Roman" w:eastAsia="Times New Roman" w:cs="Times New Roman"/>
          <w:sz w:val="24"/>
          <w:szCs w:val="24"/>
        </w:rPr>
        <w:t>$</w:t>
      </w:r>
      <w:r w:rsidR="004556D1">
        <w:rPr>
          <w:rFonts w:ascii="Times New Roman" w:hAnsi="Times New Roman" w:eastAsia="Times New Roman" w:cs="Times New Roman"/>
          <w:sz w:val="24"/>
          <w:szCs w:val="24"/>
        </w:rPr>
        <w:t>4,042.72</w:t>
      </w:r>
    </w:p>
    <w:p w:rsidRPr="002371CB" w:rsidR="009221C5" w:rsidP="002371CB" w:rsidRDefault="00DB7ABB" w14:paraId="3AD2CBE1" w14:textId="370EDA26">
      <w:pPr>
        <w:pStyle w:val="Heading2"/>
        <w:numPr>
          <w:ilvl w:val="1"/>
          <w:numId w:val="26"/>
        </w:numPr>
        <w:ind w:left="1152" w:hanging="576"/>
      </w:pPr>
      <w:r w:rsidRPr="002371CB">
        <w:t xml:space="preserve">Community </w:t>
      </w:r>
      <w:r w:rsidRPr="002371CB" w:rsidR="008C6799">
        <w:t xml:space="preserve">Engagement </w:t>
      </w:r>
      <w:r w:rsidRPr="002371CB" w:rsidR="000A50F4">
        <w:t>Tool</w:t>
      </w:r>
    </w:p>
    <w:p w:rsidRPr="002371CB" w:rsidR="00365D06" w:rsidP="007B607B" w:rsidRDefault="00365D06" w14:paraId="15BF527F" w14:textId="318EFF3F">
      <w:pPr>
        <w:shd w:val="clear" w:color="auto" w:fill="FFFFFF"/>
        <w:spacing w:after="0" w:line="240" w:lineRule="auto"/>
        <w:ind w:left="576"/>
        <w:rPr>
          <w:rFonts w:ascii="Times New Roman" w:hAnsi="Times New Roman" w:eastAsia="Times New Roman" w:cs="Times New Roman"/>
          <w:sz w:val="24"/>
          <w:szCs w:val="24"/>
        </w:rPr>
      </w:pPr>
      <w:r w:rsidRPr="002371CB">
        <w:rPr>
          <w:rFonts w:ascii="Times New Roman" w:hAnsi="Times New Roman" w:eastAsia="Times New Roman" w:cs="Times New Roman"/>
          <w:sz w:val="24"/>
          <w:szCs w:val="24"/>
        </w:rPr>
        <w:t xml:space="preserve">Use of </w:t>
      </w:r>
      <w:r w:rsidRPr="002371CB" w:rsidR="008E3A11">
        <w:rPr>
          <w:rFonts w:ascii="Times New Roman" w:hAnsi="Times New Roman" w:eastAsia="Times New Roman" w:cs="Times New Roman"/>
          <w:sz w:val="24"/>
          <w:szCs w:val="24"/>
        </w:rPr>
        <w:t xml:space="preserve">questions from </w:t>
      </w:r>
      <w:r w:rsidRPr="002371CB">
        <w:rPr>
          <w:rFonts w:ascii="Times New Roman" w:hAnsi="Times New Roman" w:eastAsia="Times New Roman" w:cs="Times New Roman"/>
          <w:sz w:val="24"/>
          <w:szCs w:val="24"/>
        </w:rPr>
        <w:t xml:space="preserve">the Community Engagement Tool is completely optional for all </w:t>
      </w:r>
      <w:r w:rsidRPr="002371CB" w:rsidR="004556D1">
        <w:rPr>
          <w:rFonts w:ascii="Times New Roman" w:hAnsi="Times New Roman" w:eastAsia="Times New Roman" w:cs="Times New Roman"/>
          <w:sz w:val="24"/>
          <w:szCs w:val="24"/>
        </w:rPr>
        <w:t xml:space="preserve">BEYOND and PSP </w:t>
      </w:r>
      <w:r w:rsidRPr="002371CB">
        <w:rPr>
          <w:rFonts w:ascii="Times New Roman" w:hAnsi="Times New Roman" w:eastAsia="Times New Roman" w:cs="Times New Roman"/>
          <w:sz w:val="24"/>
          <w:szCs w:val="24"/>
        </w:rPr>
        <w:t xml:space="preserve">program participants. However, community outreach is a key component of both programs. </w:t>
      </w:r>
      <w:r w:rsidRPr="002371CB" w:rsidR="00AF6DD4">
        <w:rPr>
          <w:rFonts w:ascii="Times New Roman" w:hAnsi="Times New Roman" w:eastAsia="Times New Roman" w:cs="Times New Roman"/>
          <w:sz w:val="24"/>
          <w:szCs w:val="24"/>
        </w:rPr>
        <w:t xml:space="preserve">Assuming that all participants choose to </w:t>
      </w:r>
      <w:r w:rsidRPr="002371CB" w:rsidR="008E3A11">
        <w:rPr>
          <w:rFonts w:ascii="Times New Roman" w:hAnsi="Times New Roman" w:eastAsia="Times New Roman" w:cs="Times New Roman"/>
          <w:sz w:val="24"/>
          <w:szCs w:val="24"/>
        </w:rPr>
        <w:t xml:space="preserve">employ Community Engagement Tool </w:t>
      </w:r>
      <w:r w:rsidRPr="002371CB" w:rsidR="00AF6DD4">
        <w:rPr>
          <w:rFonts w:ascii="Times New Roman" w:hAnsi="Times New Roman" w:eastAsia="Times New Roman" w:cs="Times New Roman"/>
          <w:sz w:val="24"/>
          <w:szCs w:val="24"/>
        </w:rPr>
        <w:t xml:space="preserve">questions with the public, we then must consider </w:t>
      </w:r>
      <w:r w:rsidRPr="002371CB" w:rsidR="00EE3AC6">
        <w:rPr>
          <w:rFonts w:ascii="Times New Roman" w:hAnsi="Times New Roman" w:eastAsia="Times New Roman" w:cs="Times New Roman"/>
          <w:sz w:val="24"/>
          <w:szCs w:val="24"/>
        </w:rPr>
        <w:t>their intended audiences</w:t>
      </w:r>
      <w:r w:rsidRPr="002371CB" w:rsidR="004556D1">
        <w:rPr>
          <w:rFonts w:ascii="Times New Roman" w:hAnsi="Times New Roman" w:eastAsia="Times New Roman" w:cs="Times New Roman"/>
          <w:sz w:val="24"/>
          <w:szCs w:val="24"/>
        </w:rPr>
        <w:t>.</w:t>
      </w:r>
    </w:p>
    <w:p w:rsidRPr="002371CB" w:rsidR="006D60ED" w:rsidP="007B607B" w:rsidRDefault="00EE3AC6" w14:paraId="6F6DD5E3" w14:textId="16FA976E">
      <w:pPr>
        <w:shd w:val="clear" w:color="auto" w:fill="FFFFFF"/>
        <w:spacing w:after="0" w:line="240" w:lineRule="auto"/>
        <w:ind w:left="576"/>
        <w:rPr>
          <w:rFonts w:ascii="Times New Roman" w:hAnsi="Times New Roman" w:eastAsia="Times New Roman" w:cs="Times New Roman"/>
          <w:sz w:val="24"/>
          <w:szCs w:val="24"/>
        </w:rPr>
      </w:pPr>
      <w:r w:rsidRPr="002371CB">
        <w:rPr>
          <w:rFonts w:ascii="Times New Roman" w:hAnsi="Times New Roman" w:eastAsia="Times New Roman" w:cs="Times New Roman"/>
          <w:sz w:val="24"/>
          <w:szCs w:val="24"/>
        </w:rPr>
        <w:br/>
        <w:t xml:space="preserve">Each of the state, local and tribal government participants in the BEYOND program have submitted community engagement plans related to the concepts of operation for themselves and their industry partners. Those plans show that most public engagement will be targeted to local populations or stakeholders directly affected by the operations, meaning use of Community Engagement Tool questions will be relatively limited for now </w:t>
      </w:r>
      <w:r w:rsidRPr="002371CB">
        <w:rPr>
          <w:rFonts w:ascii="Times New Roman" w:hAnsi="Times New Roman" w:eastAsia="Times New Roman" w:cs="Times New Roman"/>
          <w:sz w:val="24"/>
          <w:szCs w:val="24"/>
        </w:rPr>
        <w:lastRenderedPageBreak/>
        <w:t>as operations have been limited in number and scope, and increase yearly as operational concepts are proven and expanded to new areas and from more rural areas to suburban and urban areas over time. Most outreach will be in the form of small events such as town halls or communications directly with local neighborhoods. We estimate that on average, the questions will reach no more than 5,000 people per year per participant</w:t>
      </w:r>
      <w:r w:rsidRPr="002371CB" w:rsidR="006D60ED">
        <w:rPr>
          <w:rFonts w:ascii="Times New Roman" w:hAnsi="Times New Roman" w:eastAsia="Times New Roman" w:cs="Times New Roman"/>
          <w:sz w:val="24"/>
          <w:szCs w:val="24"/>
        </w:rPr>
        <w:t xml:space="preserve"> the first year, and perhaps double each year thereafter.  That would bring the total to 35,000 members of the public potentially asked to answer the survey per participant over the course of three years, annualized to 11,667 per participant per year. </w:t>
      </w:r>
      <w:r w:rsidRPr="002371CB" w:rsidR="005E5AA4">
        <w:rPr>
          <w:rFonts w:ascii="Times New Roman" w:hAnsi="Times New Roman" w:eastAsia="Times New Roman" w:cs="Times New Roman"/>
          <w:sz w:val="24"/>
          <w:szCs w:val="24"/>
        </w:rPr>
        <w:t>We will assume a 100% response rate to determine the maximum burden on the public. There are eight participants in the BEYOND program and seven in the PSP program, which would bring the total respondents to 175,005 per year.</w:t>
      </w:r>
    </w:p>
    <w:p w:rsidRPr="002371CB" w:rsidR="006D60ED" w:rsidP="007B607B" w:rsidRDefault="006D60ED" w14:paraId="726D3898" w14:textId="5480BD8F">
      <w:pPr>
        <w:shd w:val="clear" w:color="auto" w:fill="FFFFFF"/>
        <w:spacing w:after="0" w:line="240" w:lineRule="auto"/>
        <w:ind w:left="576"/>
        <w:rPr>
          <w:rFonts w:ascii="Times New Roman" w:hAnsi="Times New Roman" w:eastAsia="Times New Roman" w:cs="Times New Roman"/>
          <w:sz w:val="24"/>
          <w:szCs w:val="24"/>
        </w:rPr>
      </w:pPr>
    </w:p>
    <w:p w:rsidRPr="002371CB" w:rsidR="00506D71" w:rsidP="007B607B" w:rsidRDefault="00506D71" w14:paraId="69F4FFFF" w14:textId="6122AC4B">
      <w:pPr>
        <w:shd w:val="clear" w:color="auto" w:fill="FFFFFF"/>
        <w:spacing w:after="0" w:line="240" w:lineRule="auto"/>
        <w:ind w:left="576"/>
        <w:rPr>
          <w:rFonts w:ascii="Times New Roman" w:hAnsi="Times New Roman" w:eastAsia="Times New Roman" w:cs="Times New Roman"/>
          <w:sz w:val="24"/>
          <w:szCs w:val="24"/>
        </w:rPr>
      </w:pPr>
      <w:r w:rsidRPr="002371CB">
        <w:rPr>
          <w:rFonts w:ascii="Times New Roman" w:hAnsi="Times New Roman" w:eastAsia="Times New Roman" w:cs="Times New Roman"/>
          <w:sz w:val="24"/>
          <w:szCs w:val="24"/>
        </w:rPr>
        <w:t>To determine the time opportunity costs associated with members of the public answering the Community Engagement Tool questions we utilized the DOT’s recommended hourly value of travel time savings.  This value for personal time is estimated to be $13.60/hour.</w:t>
      </w:r>
      <w:r w:rsidRPr="002371CB">
        <w:rPr>
          <w:rStyle w:val="FootnoteReference"/>
          <w:rFonts w:ascii="Times New Roman" w:hAnsi="Times New Roman" w:eastAsia="Times New Roman" w:cs="Times New Roman"/>
          <w:sz w:val="24"/>
          <w:szCs w:val="24"/>
        </w:rPr>
        <w:footnoteReference w:id="22"/>
      </w:r>
    </w:p>
    <w:p w:rsidRPr="002371CB" w:rsidR="00506D71" w:rsidP="007B607B" w:rsidRDefault="00506D71" w14:paraId="6E2616EF" w14:textId="77777777">
      <w:pPr>
        <w:shd w:val="clear" w:color="auto" w:fill="FFFFFF"/>
        <w:spacing w:after="0" w:line="240" w:lineRule="auto"/>
        <w:ind w:left="576"/>
        <w:rPr>
          <w:rFonts w:ascii="Times New Roman" w:hAnsi="Times New Roman" w:eastAsia="Times New Roman" w:cs="Times New Roman"/>
          <w:sz w:val="24"/>
          <w:szCs w:val="24"/>
        </w:rPr>
      </w:pPr>
    </w:p>
    <w:p w:rsidRPr="002371CB" w:rsidR="00EE3AC6" w:rsidP="007B607B" w:rsidRDefault="006D60ED" w14:paraId="570AC61D" w14:textId="2F4BE3D3">
      <w:pPr>
        <w:shd w:val="clear" w:color="auto" w:fill="FFFFFF"/>
        <w:spacing w:after="0" w:line="240" w:lineRule="auto"/>
        <w:ind w:left="576"/>
        <w:rPr>
          <w:rFonts w:ascii="Times New Roman" w:hAnsi="Times New Roman" w:eastAsia="Times New Roman" w:cs="Times New Roman"/>
          <w:sz w:val="24"/>
          <w:szCs w:val="24"/>
        </w:rPr>
      </w:pPr>
      <w:r w:rsidRPr="002371CB">
        <w:rPr>
          <w:rFonts w:ascii="Times New Roman" w:hAnsi="Times New Roman" w:eastAsia="Times New Roman" w:cs="Times New Roman"/>
          <w:sz w:val="24"/>
          <w:szCs w:val="24"/>
        </w:rPr>
        <w:t>The Community Engagement Tool includes 29 questions, some general in nature and others specific to operation types. Participants that use questions from the tool will likely only use the general questions and those specific to their operation type. However, if we assume each participant uses all of the questions, the survey should take no more than 10 minutes per respondent.</w:t>
      </w:r>
      <w:r w:rsidRPr="002371CB">
        <w:rPr>
          <w:rStyle w:val="FootnoteReference"/>
          <w:rFonts w:ascii="Times New Roman" w:hAnsi="Times New Roman" w:eastAsia="Times New Roman" w:cs="Times New Roman"/>
          <w:sz w:val="24"/>
          <w:szCs w:val="24"/>
        </w:rPr>
        <w:footnoteReference w:id="23"/>
      </w:r>
    </w:p>
    <w:p w:rsidRPr="002371CB" w:rsidR="00345671" w:rsidP="007B607B" w:rsidRDefault="00345671" w14:paraId="5BB6DBA0" w14:textId="61AF5219">
      <w:pPr>
        <w:shd w:val="clear" w:color="auto" w:fill="FFFFFF"/>
        <w:spacing w:after="0" w:line="240" w:lineRule="auto"/>
        <w:ind w:left="576"/>
        <w:rPr>
          <w:rFonts w:ascii="Times New Roman" w:hAnsi="Times New Roman" w:eastAsia="Times New Roman" w:cs="Times New Roman"/>
          <w:sz w:val="24"/>
          <w:szCs w:val="24"/>
        </w:rPr>
      </w:pPr>
    </w:p>
    <w:p w:rsidRPr="002371CB" w:rsidR="005E5AA4" w:rsidP="005E5AA4" w:rsidRDefault="005E5AA4" w14:paraId="1CE9C4EB" w14:textId="4EB9B735">
      <w:pPr>
        <w:shd w:val="clear" w:color="auto" w:fill="FFFFFF"/>
        <w:spacing w:after="0" w:line="240" w:lineRule="auto"/>
        <w:ind w:left="1440"/>
        <w:rPr>
          <w:rFonts w:ascii="Times New Roman" w:hAnsi="Times New Roman" w:eastAsia="Times New Roman" w:cs="Times New Roman"/>
          <w:sz w:val="24"/>
          <w:szCs w:val="24"/>
        </w:rPr>
      </w:pPr>
      <w:r w:rsidRPr="002371CB">
        <w:rPr>
          <w:rFonts w:ascii="Times New Roman" w:hAnsi="Times New Roman" w:eastAsia="Times New Roman" w:cs="Times New Roman"/>
          <w:sz w:val="24"/>
          <w:szCs w:val="24"/>
        </w:rPr>
        <w:t xml:space="preserve">175,005 respondents x 1 response per respondent = 175,005 responses </w:t>
      </w:r>
    </w:p>
    <w:p w:rsidRPr="002371CB" w:rsidR="005E5AA4" w:rsidP="005E5AA4" w:rsidRDefault="005E5AA4" w14:paraId="4F34388C" w14:textId="0F217678">
      <w:pPr>
        <w:shd w:val="clear" w:color="auto" w:fill="FFFFFF"/>
        <w:spacing w:after="0" w:line="240" w:lineRule="auto"/>
        <w:ind w:left="1440"/>
        <w:rPr>
          <w:rFonts w:ascii="Times New Roman" w:hAnsi="Times New Roman" w:eastAsia="Times New Roman" w:cs="Times New Roman"/>
          <w:sz w:val="24"/>
          <w:szCs w:val="24"/>
        </w:rPr>
      </w:pPr>
      <w:r w:rsidRPr="002371CB">
        <w:rPr>
          <w:rFonts w:ascii="Times New Roman" w:hAnsi="Times New Roman" w:eastAsia="Times New Roman" w:cs="Times New Roman"/>
          <w:sz w:val="24"/>
          <w:szCs w:val="24"/>
        </w:rPr>
        <w:t>175,005 responses x .167 hours = 29,226 hours</w:t>
      </w:r>
    </w:p>
    <w:p w:rsidRPr="002371CB" w:rsidR="005E5AA4" w:rsidP="005E5AA4" w:rsidRDefault="005E5AA4" w14:paraId="216A3026" w14:textId="385E8783">
      <w:pPr>
        <w:shd w:val="clear" w:color="auto" w:fill="FFFFFF"/>
        <w:spacing w:after="0" w:line="240" w:lineRule="auto"/>
        <w:ind w:left="1440"/>
        <w:rPr>
          <w:rFonts w:ascii="Times New Roman" w:hAnsi="Times New Roman" w:eastAsia="Times New Roman" w:cs="Times New Roman"/>
          <w:sz w:val="24"/>
          <w:szCs w:val="24"/>
        </w:rPr>
      </w:pPr>
      <w:r w:rsidRPr="002371CB">
        <w:rPr>
          <w:rFonts w:ascii="Times New Roman" w:hAnsi="Times New Roman" w:eastAsia="Times New Roman" w:cs="Times New Roman"/>
          <w:sz w:val="24"/>
          <w:szCs w:val="24"/>
        </w:rPr>
        <w:t>29,226 hours x $13.60 per hour = $397,473.</w:t>
      </w:r>
      <w:r w:rsidRPr="002371CB" w:rsidR="00C46734">
        <w:rPr>
          <w:rFonts w:ascii="Times New Roman" w:hAnsi="Times New Roman" w:eastAsia="Times New Roman" w:cs="Times New Roman"/>
          <w:sz w:val="24"/>
          <w:szCs w:val="24"/>
        </w:rPr>
        <w:t>60</w:t>
      </w:r>
    </w:p>
    <w:p w:rsidRPr="002371CB" w:rsidR="00EE3AC6" w:rsidP="007B607B" w:rsidRDefault="00EE3AC6" w14:paraId="1DED6A6B" w14:textId="3452EFC5">
      <w:pPr>
        <w:shd w:val="clear" w:color="auto" w:fill="FFFFFF"/>
        <w:spacing w:after="0" w:line="240" w:lineRule="auto"/>
        <w:ind w:left="576"/>
        <w:rPr>
          <w:rFonts w:ascii="Times New Roman" w:hAnsi="Times New Roman" w:eastAsia="Times New Roman" w:cs="Times New Roman"/>
          <w:sz w:val="24"/>
          <w:szCs w:val="24"/>
        </w:rPr>
      </w:pPr>
    </w:p>
    <w:tbl>
      <w:tblPr>
        <w:tblW w:w="7200" w:type="dxa"/>
        <w:jc w:val="center"/>
        <w:tblLook w:val="04A0" w:firstRow="1" w:lastRow="0" w:firstColumn="1" w:lastColumn="0" w:noHBand="0" w:noVBand="1"/>
      </w:tblPr>
      <w:tblGrid>
        <w:gridCol w:w="3816"/>
        <w:gridCol w:w="1800"/>
        <w:gridCol w:w="1763"/>
      </w:tblGrid>
      <w:tr w:rsidRPr="00530882" w:rsidR="00755D08" w:rsidTr="00755D08" w14:paraId="67255080" w14:textId="77777777">
        <w:trPr>
          <w:trHeight w:val="432"/>
          <w:jc w:val="center"/>
        </w:trPr>
        <w:tc>
          <w:tcPr>
            <w:tcW w:w="38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371CB" w:rsidR="00755D08" w:rsidP="00712F00" w:rsidRDefault="00755D08" w14:paraId="1586A5BB" w14:textId="77777777">
            <w:pPr>
              <w:spacing w:after="0" w:line="240" w:lineRule="auto"/>
              <w:rPr>
                <w:rFonts w:ascii="Times New Roman" w:hAnsi="Times New Roman" w:cs="Times New Roman"/>
                <w:sz w:val="24"/>
                <w:szCs w:val="24"/>
              </w:rPr>
            </w:pPr>
            <w:r w:rsidRPr="002371CB">
              <w:rPr>
                <w:rFonts w:ascii="Times New Roman" w:hAnsi="Times New Roman" w:cs="Times New Roman"/>
                <w:sz w:val="24"/>
                <w:szCs w:val="24"/>
              </w:rPr>
              <w:t>Summary (Annual numbers)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2371CB" w:rsidR="00755D08" w:rsidP="00712F00" w:rsidRDefault="00755D08" w14:paraId="6990BF63" w14:textId="77777777">
            <w:pPr>
              <w:spacing w:after="0" w:line="240" w:lineRule="auto"/>
              <w:rPr>
                <w:rFonts w:ascii="Times New Roman" w:hAnsi="Times New Roman" w:cs="Times New Roman"/>
                <w:b/>
                <w:bCs/>
                <w:sz w:val="24"/>
                <w:szCs w:val="24"/>
              </w:rPr>
            </w:pPr>
            <w:r w:rsidRPr="002371CB">
              <w:rPr>
                <w:rFonts w:ascii="Times New Roman" w:hAnsi="Times New Roman" w:cs="Times New Roman"/>
                <w:b/>
                <w:bCs/>
                <w:sz w:val="24"/>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2371CB" w:rsidR="00755D08" w:rsidP="00712F00" w:rsidRDefault="00755D08" w14:paraId="710B2B9A" w14:textId="77777777">
            <w:pPr>
              <w:spacing w:after="0" w:line="240" w:lineRule="auto"/>
              <w:rPr>
                <w:rFonts w:ascii="Times New Roman" w:hAnsi="Times New Roman" w:cs="Times New Roman"/>
                <w:b/>
                <w:bCs/>
                <w:sz w:val="24"/>
                <w:szCs w:val="24"/>
              </w:rPr>
            </w:pPr>
            <w:r w:rsidRPr="002371CB">
              <w:rPr>
                <w:rFonts w:ascii="Times New Roman" w:hAnsi="Times New Roman" w:cs="Times New Roman"/>
                <w:b/>
                <w:bCs/>
                <w:sz w:val="24"/>
                <w:szCs w:val="24"/>
              </w:rPr>
              <w:t>Recordkeeping</w:t>
            </w:r>
          </w:p>
        </w:tc>
      </w:tr>
      <w:tr w:rsidRPr="00530882" w:rsidR="00755D08" w:rsidTr="00755D08" w14:paraId="4556E280"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2371CB" w:rsidR="00755D08" w:rsidP="00712F00" w:rsidRDefault="00755D08" w14:paraId="1D8E1C9D" w14:textId="77777777">
            <w:pPr>
              <w:spacing w:after="0" w:line="240" w:lineRule="auto"/>
              <w:rPr>
                <w:rFonts w:ascii="Times New Roman" w:hAnsi="Times New Roman" w:cs="Times New Roman"/>
                <w:b/>
                <w:bCs/>
                <w:sz w:val="24"/>
                <w:szCs w:val="24"/>
              </w:rPr>
            </w:pPr>
            <w:r w:rsidRPr="002371CB">
              <w:rPr>
                <w:rFonts w:ascii="Times New Roman" w:hAnsi="Times New Roman" w:cs="Times New Roman"/>
                <w:b/>
                <w:bCs/>
                <w:sz w:val="24"/>
                <w:szCs w:val="24"/>
              </w:rPr>
              <w:t># of Respondents</w:t>
            </w:r>
          </w:p>
        </w:tc>
        <w:tc>
          <w:tcPr>
            <w:tcW w:w="1800" w:type="dxa"/>
            <w:tcBorders>
              <w:top w:val="nil"/>
              <w:left w:val="nil"/>
              <w:bottom w:val="single" w:color="auto" w:sz="4" w:space="0"/>
              <w:right w:val="single" w:color="auto" w:sz="4" w:space="0"/>
            </w:tcBorders>
            <w:shd w:val="clear" w:color="auto" w:fill="auto"/>
            <w:noWrap/>
            <w:vAlign w:val="bottom"/>
          </w:tcPr>
          <w:p w:rsidRPr="002371CB" w:rsidR="00755D08" w:rsidP="00712F00" w:rsidRDefault="00755D08" w14:paraId="6FEC6BE7" w14:textId="3EE7EF41">
            <w:pPr>
              <w:spacing w:after="0" w:line="240" w:lineRule="auto"/>
              <w:jc w:val="center"/>
              <w:rPr>
                <w:rFonts w:ascii="Times New Roman" w:hAnsi="Times New Roman" w:cs="Times New Roman"/>
                <w:sz w:val="24"/>
                <w:szCs w:val="24"/>
              </w:rPr>
            </w:pPr>
            <w:r w:rsidRPr="002371CB">
              <w:rPr>
                <w:rFonts w:ascii="Times New Roman" w:hAnsi="Times New Roman" w:cs="Times New Roman"/>
                <w:sz w:val="24"/>
                <w:szCs w:val="24"/>
              </w:rPr>
              <w:t>175,005</w:t>
            </w:r>
          </w:p>
        </w:tc>
        <w:tc>
          <w:tcPr>
            <w:tcW w:w="1763" w:type="dxa"/>
            <w:tcBorders>
              <w:top w:val="nil"/>
              <w:left w:val="nil"/>
              <w:bottom w:val="single" w:color="auto" w:sz="4" w:space="0"/>
              <w:right w:val="single" w:color="auto" w:sz="4" w:space="0"/>
            </w:tcBorders>
            <w:shd w:val="clear" w:color="auto" w:fill="auto"/>
            <w:noWrap/>
            <w:vAlign w:val="bottom"/>
          </w:tcPr>
          <w:p w:rsidRPr="002371CB" w:rsidR="00755D08" w:rsidP="00712F00" w:rsidRDefault="00755D08" w14:paraId="5BF477F3" w14:textId="77777777">
            <w:pPr>
              <w:spacing w:after="0" w:line="240" w:lineRule="auto"/>
              <w:jc w:val="center"/>
              <w:rPr>
                <w:rFonts w:ascii="Times New Roman" w:hAnsi="Times New Roman" w:cs="Times New Roman"/>
                <w:sz w:val="24"/>
                <w:szCs w:val="24"/>
              </w:rPr>
            </w:pPr>
          </w:p>
        </w:tc>
      </w:tr>
      <w:tr w:rsidRPr="00530882" w:rsidR="00755D08" w:rsidTr="00755D08" w14:paraId="190AE6B7"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2371CB" w:rsidR="00755D08" w:rsidP="00712F00" w:rsidRDefault="00755D08" w14:paraId="313C1AFF" w14:textId="77777777">
            <w:pPr>
              <w:spacing w:after="0" w:line="240" w:lineRule="auto"/>
              <w:rPr>
                <w:rFonts w:ascii="Times New Roman" w:hAnsi="Times New Roman" w:cs="Times New Roman"/>
                <w:b/>
                <w:bCs/>
                <w:sz w:val="24"/>
                <w:szCs w:val="24"/>
              </w:rPr>
            </w:pPr>
            <w:r w:rsidRPr="002371CB">
              <w:rPr>
                <w:rFonts w:ascii="Times New Roman" w:hAnsi="Times New Roman" w:cs="Times New Roman"/>
                <w:b/>
                <w:bCs/>
                <w:sz w:val="24"/>
                <w:szCs w:val="24"/>
              </w:rPr>
              <w:t># of Responses</w:t>
            </w:r>
            <w:r w:rsidRPr="002371CB">
              <w:rPr>
                <w:rFonts w:ascii="Times New Roman" w:hAnsi="Times New Roman" w:cs="Times New Roman"/>
                <w:b/>
                <w:bCs/>
                <w:noProof/>
                <w:sz w:val="24"/>
                <w:szCs w:val="24"/>
              </w:rPr>
              <w:t xml:space="preserve"> per respondent</w:t>
            </w:r>
          </w:p>
        </w:tc>
        <w:tc>
          <w:tcPr>
            <w:tcW w:w="1800" w:type="dxa"/>
            <w:tcBorders>
              <w:top w:val="nil"/>
              <w:left w:val="nil"/>
              <w:bottom w:val="single" w:color="auto" w:sz="4" w:space="0"/>
              <w:right w:val="single" w:color="auto" w:sz="4" w:space="0"/>
            </w:tcBorders>
            <w:shd w:val="clear" w:color="auto" w:fill="auto"/>
            <w:noWrap/>
            <w:vAlign w:val="bottom"/>
          </w:tcPr>
          <w:p w:rsidRPr="002371CB" w:rsidR="00755D08" w:rsidP="00712F00" w:rsidRDefault="00755D08" w14:paraId="69E481F3" w14:textId="77777777">
            <w:pPr>
              <w:spacing w:after="0" w:line="240" w:lineRule="auto"/>
              <w:jc w:val="center"/>
              <w:rPr>
                <w:rFonts w:ascii="Times New Roman" w:hAnsi="Times New Roman" w:cs="Times New Roman"/>
                <w:sz w:val="24"/>
                <w:szCs w:val="24"/>
              </w:rPr>
            </w:pPr>
            <w:r w:rsidRPr="002371CB">
              <w:rPr>
                <w:rFonts w:ascii="Times New Roman" w:hAnsi="Times New Roman" w:cs="Times New Roman"/>
                <w:sz w:val="24"/>
                <w:szCs w:val="24"/>
              </w:rPr>
              <w:t>1</w:t>
            </w:r>
          </w:p>
        </w:tc>
        <w:tc>
          <w:tcPr>
            <w:tcW w:w="1763" w:type="dxa"/>
            <w:tcBorders>
              <w:top w:val="nil"/>
              <w:left w:val="nil"/>
              <w:bottom w:val="single" w:color="auto" w:sz="4" w:space="0"/>
              <w:right w:val="single" w:color="auto" w:sz="4" w:space="0"/>
            </w:tcBorders>
            <w:shd w:val="clear" w:color="auto" w:fill="auto"/>
            <w:noWrap/>
            <w:vAlign w:val="bottom"/>
          </w:tcPr>
          <w:p w:rsidRPr="002371CB" w:rsidR="00755D08" w:rsidP="00712F00" w:rsidRDefault="00755D08" w14:paraId="7E5A34E5" w14:textId="77777777">
            <w:pPr>
              <w:spacing w:after="0" w:line="240" w:lineRule="auto"/>
              <w:jc w:val="center"/>
              <w:rPr>
                <w:rFonts w:ascii="Times New Roman" w:hAnsi="Times New Roman" w:cs="Times New Roman"/>
                <w:sz w:val="24"/>
                <w:szCs w:val="24"/>
              </w:rPr>
            </w:pPr>
          </w:p>
        </w:tc>
      </w:tr>
      <w:tr w:rsidRPr="00530882" w:rsidR="00755D08" w:rsidTr="00755D08" w14:paraId="5D840061"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2371CB" w:rsidR="00755D08" w:rsidP="00712F00" w:rsidRDefault="00755D08" w14:paraId="5241C675" w14:textId="77777777">
            <w:pPr>
              <w:spacing w:after="0" w:line="240" w:lineRule="auto"/>
              <w:rPr>
                <w:rFonts w:ascii="Times New Roman" w:hAnsi="Times New Roman" w:cs="Times New Roman"/>
                <w:b/>
                <w:bCs/>
                <w:sz w:val="24"/>
                <w:szCs w:val="24"/>
              </w:rPr>
            </w:pPr>
            <w:r w:rsidRPr="002371CB">
              <w:rPr>
                <w:rFonts w:ascii="Times New Roman" w:hAnsi="Times New Roman" w:cs="Times New Roman"/>
                <w:b/>
                <w:bCs/>
                <w:sz w:val="24"/>
                <w:szCs w:val="24"/>
              </w:rPr>
              <w:t>Time per Response</w:t>
            </w:r>
          </w:p>
        </w:tc>
        <w:tc>
          <w:tcPr>
            <w:tcW w:w="1800" w:type="dxa"/>
            <w:tcBorders>
              <w:top w:val="nil"/>
              <w:left w:val="nil"/>
              <w:bottom w:val="single" w:color="auto" w:sz="4" w:space="0"/>
              <w:right w:val="single" w:color="auto" w:sz="4" w:space="0"/>
            </w:tcBorders>
            <w:shd w:val="clear" w:color="auto" w:fill="auto"/>
            <w:noWrap/>
            <w:vAlign w:val="bottom"/>
          </w:tcPr>
          <w:p w:rsidRPr="002371CB" w:rsidR="00755D08" w:rsidP="00712F00" w:rsidRDefault="00755D08" w14:paraId="40675763" w14:textId="2D9EC3AA">
            <w:pPr>
              <w:spacing w:after="0" w:line="240" w:lineRule="auto"/>
              <w:jc w:val="center"/>
              <w:rPr>
                <w:rFonts w:ascii="Times New Roman" w:hAnsi="Times New Roman" w:cs="Times New Roman"/>
                <w:sz w:val="24"/>
                <w:szCs w:val="24"/>
              </w:rPr>
            </w:pPr>
            <w:r w:rsidRPr="002371CB">
              <w:rPr>
                <w:rFonts w:ascii="Times New Roman" w:hAnsi="Times New Roman" w:cs="Times New Roman"/>
                <w:sz w:val="24"/>
                <w:szCs w:val="24"/>
              </w:rPr>
              <w:t>10 minutes</w:t>
            </w:r>
          </w:p>
        </w:tc>
        <w:tc>
          <w:tcPr>
            <w:tcW w:w="1763" w:type="dxa"/>
            <w:tcBorders>
              <w:top w:val="nil"/>
              <w:left w:val="nil"/>
              <w:bottom w:val="single" w:color="auto" w:sz="4" w:space="0"/>
              <w:right w:val="single" w:color="auto" w:sz="4" w:space="0"/>
            </w:tcBorders>
            <w:shd w:val="clear" w:color="auto" w:fill="auto"/>
            <w:noWrap/>
            <w:vAlign w:val="bottom"/>
          </w:tcPr>
          <w:p w:rsidRPr="002371CB" w:rsidR="00755D08" w:rsidP="00712F00" w:rsidRDefault="00755D08" w14:paraId="5790457C" w14:textId="77777777">
            <w:pPr>
              <w:spacing w:after="0" w:line="240" w:lineRule="auto"/>
              <w:jc w:val="center"/>
              <w:rPr>
                <w:rFonts w:ascii="Times New Roman" w:hAnsi="Times New Roman" w:cs="Times New Roman"/>
                <w:sz w:val="24"/>
                <w:szCs w:val="24"/>
              </w:rPr>
            </w:pPr>
          </w:p>
        </w:tc>
      </w:tr>
      <w:tr w:rsidRPr="00530882" w:rsidR="00755D08" w:rsidTr="00755D08" w14:paraId="2382ECEA"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hideMark/>
          </w:tcPr>
          <w:p w:rsidRPr="002371CB" w:rsidR="00755D08" w:rsidP="00712F00" w:rsidRDefault="00755D08" w14:paraId="2C0F633B" w14:textId="77777777">
            <w:pPr>
              <w:spacing w:after="0" w:line="240" w:lineRule="auto"/>
              <w:rPr>
                <w:rFonts w:ascii="Times New Roman" w:hAnsi="Times New Roman" w:cs="Times New Roman"/>
                <w:b/>
                <w:bCs/>
                <w:sz w:val="24"/>
                <w:szCs w:val="24"/>
              </w:rPr>
            </w:pPr>
            <w:r w:rsidRPr="002371CB">
              <w:rPr>
                <w:rFonts w:ascii="Times New Roman" w:hAnsi="Times New Roman" w:cs="Times New Roman"/>
                <w:b/>
                <w:bCs/>
                <w:sz w:val="24"/>
                <w:szCs w:val="24"/>
              </w:rPr>
              <w:t>Total # of responses</w:t>
            </w:r>
          </w:p>
        </w:tc>
        <w:tc>
          <w:tcPr>
            <w:tcW w:w="1800" w:type="dxa"/>
            <w:tcBorders>
              <w:top w:val="nil"/>
              <w:left w:val="nil"/>
              <w:bottom w:val="single" w:color="auto" w:sz="4" w:space="0"/>
              <w:right w:val="single" w:color="auto" w:sz="4" w:space="0"/>
            </w:tcBorders>
            <w:shd w:val="clear" w:color="auto" w:fill="auto"/>
            <w:noWrap/>
            <w:vAlign w:val="bottom"/>
          </w:tcPr>
          <w:p w:rsidRPr="002371CB" w:rsidR="00755D08" w:rsidP="00712F00" w:rsidRDefault="00755D08" w14:paraId="655E87AD" w14:textId="725EBD6B">
            <w:pPr>
              <w:spacing w:after="0" w:line="240" w:lineRule="auto"/>
              <w:jc w:val="center"/>
              <w:rPr>
                <w:rFonts w:ascii="Times New Roman" w:hAnsi="Times New Roman" w:cs="Times New Roman"/>
                <w:sz w:val="24"/>
                <w:szCs w:val="24"/>
              </w:rPr>
            </w:pPr>
            <w:r w:rsidRPr="002371CB">
              <w:rPr>
                <w:rFonts w:ascii="Times New Roman" w:hAnsi="Times New Roman" w:cs="Times New Roman"/>
                <w:sz w:val="24"/>
                <w:szCs w:val="24"/>
              </w:rPr>
              <w:t>175,005</w:t>
            </w:r>
          </w:p>
        </w:tc>
        <w:tc>
          <w:tcPr>
            <w:tcW w:w="1763" w:type="dxa"/>
            <w:tcBorders>
              <w:top w:val="nil"/>
              <w:left w:val="nil"/>
              <w:bottom w:val="single" w:color="auto" w:sz="4" w:space="0"/>
              <w:right w:val="single" w:color="auto" w:sz="4" w:space="0"/>
            </w:tcBorders>
            <w:shd w:val="clear" w:color="auto" w:fill="auto"/>
            <w:noWrap/>
            <w:vAlign w:val="bottom"/>
          </w:tcPr>
          <w:p w:rsidRPr="002371CB" w:rsidR="00755D08" w:rsidP="00712F00" w:rsidRDefault="00755D08" w14:paraId="7687EF5B" w14:textId="77777777">
            <w:pPr>
              <w:spacing w:after="0" w:line="240" w:lineRule="auto"/>
              <w:jc w:val="center"/>
              <w:rPr>
                <w:rFonts w:ascii="Times New Roman" w:hAnsi="Times New Roman" w:cs="Times New Roman"/>
                <w:sz w:val="24"/>
                <w:szCs w:val="24"/>
              </w:rPr>
            </w:pPr>
          </w:p>
        </w:tc>
      </w:tr>
      <w:tr w:rsidRPr="00530882" w:rsidR="00755D08" w:rsidTr="00755D08" w14:paraId="201C1E19" w14:textId="77777777">
        <w:trPr>
          <w:trHeight w:val="432"/>
          <w:jc w:val="center"/>
        </w:trPr>
        <w:tc>
          <w:tcPr>
            <w:tcW w:w="3816" w:type="dxa"/>
            <w:tcBorders>
              <w:top w:val="nil"/>
              <w:left w:val="single" w:color="auto" w:sz="4" w:space="0"/>
              <w:bottom w:val="single" w:color="auto" w:sz="4" w:space="0"/>
              <w:right w:val="single" w:color="auto" w:sz="4" w:space="0"/>
            </w:tcBorders>
            <w:shd w:val="clear" w:color="auto" w:fill="auto"/>
            <w:noWrap/>
            <w:vAlign w:val="bottom"/>
          </w:tcPr>
          <w:p w:rsidRPr="002371CB" w:rsidR="00755D08" w:rsidP="00712F00" w:rsidRDefault="00755D08" w14:paraId="70C7A412" w14:textId="77777777">
            <w:pPr>
              <w:spacing w:after="0" w:line="240" w:lineRule="auto"/>
              <w:rPr>
                <w:rFonts w:ascii="Times New Roman" w:hAnsi="Times New Roman" w:cs="Times New Roman"/>
                <w:b/>
                <w:bCs/>
                <w:sz w:val="24"/>
                <w:szCs w:val="24"/>
              </w:rPr>
            </w:pPr>
            <w:r w:rsidRPr="002371CB">
              <w:rPr>
                <w:rFonts w:ascii="Times New Roman" w:hAnsi="Times New Roman" w:cs="Times New Roman"/>
                <w:b/>
                <w:bCs/>
                <w:sz w:val="24"/>
                <w:szCs w:val="24"/>
              </w:rPr>
              <w:t>Total burden (hours)</w:t>
            </w:r>
          </w:p>
        </w:tc>
        <w:tc>
          <w:tcPr>
            <w:tcW w:w="1800" w:type="dxa"/>
            <w:tcBorders>
              <w:top w:val="nil"/>
              <w:left w:val="nil"/>
              <w:bottom w:val="single" w:color="auto" w:sz="4" w:space="0"/>
              <w:right w:val="single" w:color="auto" w:sz="4" w:space="0"/>
            </w:tcBorders>
            <w:shd w:val="clear" w:color="auto" w:fill="auto"/>
            <w:noWrap/>
            <w:vAlign w:val="bottom"/>
          </w:tcPr>
          <w:p w:rsidRPr="00530882" w:rsidR="00755D08" w:rsidP="00712F00" w:rsidRDefault="00755D08" w14:paraId="35EE494A" w14:textId="5DD1EFB9">
            <w:pPr>
              <w:spacing w:after="0" w:line="240" w:lineRule="auto"/>
              <w:jc w:val="center"/>
              <w:rPr>
                <w:rFonts w:ascii="Times New Roman" w:hAnsi="Times New Roman" w:cs="Times New Roman"/>
                <w:sz w:val="24"/>
                <w:szCs w:val="24"/>
              </w:rPr>
            </w:pPr>
            <w:r w:rsidRPr="00530882">
              <w:rPr>
                <w:rFonts w:ascii="Times New Roman" w:hAnsi="Times New Roman" w:cs="Times New Roman"/>
                <w:sz w:val="24"/>
                <w:szCs w:val="24"/>
              </w:rPr>
              <w:t>29,226</w:t>
            </w:r>
          </w:p>
        </w:tc>
        <w:tc>
          <w:tcPr>
            <w:tcW w:w="1763" w:type="dxa"/>
            <w:tcBorders>
              <w:top w:val="nil"/>
              <w:left w:val="nil"/>
              <w:bottom w:val="single" w:color="auto" w:sz="4" w:space="0"/>
              <w:right w:val="single" w:color="auto" w:sz="4" w:space="0"/>
            </w:tcBorders>
            <w:shd w:val="clear" w:color="auto" w:fill="auto"/>
            <w:noWrap/>
            <w:vAlign w:val="bottom"/>
          </w:tcPr>
          <w:p w:rsidRPr="00530882" w:rsidR="00755D08" w:rsidP="00712F00" w:rsidRDefault="00755D08" w14:paraId="117E7460" w14:textId="77777777">
            <w:pPr>
              <w:spacing w:after="0" w:line="240" w:lineRule="auto"/>
              <w:jc w:val="center"/>
              <w:rPr>
                <w:rFonts w:ascii="Times New Roman" w:hAnsi="Times New Roman" w:cs="Times New Roman"/>
                <w:sz w:val="24"/>
                <w:szCs w:val="24"/>
              </w:rPr>
            </w:pPr>
          </w:p>
        </w:tc>
      </w:tr>
    </w:tbl>
    <w:p w:rsidRPr="002371CB" w:rsidR="00B956A1" w:rsidP="00B956A1" w:rsidRDefault="00B956A1" w14:paraId="173DD0A1" w14:textId="1E624A84">
      <w:pPr>
        <w:pStyle w:val="Heading2"/>
        <w:numPr>
          <w:ilvl w:val="0"/>
          <w:numId w:val="0"/>
        </w:numPr>
        <w:ind w:left="576" w:hanging="576"/>
      </w:pPr>
      <w:r w:rsidRPr="002371CB">
        <w:t>Total Cost</w:t>
      </w:r>
    </w:p>
    <w:p w:rsidRPr="002371CB" w:rsidR="0030000A" w:rsidP="007B607B" w:rsidRDefault="0030000A" w14:paraId="7C24E499" w14:textId="7DDEA40A">
      <w:pPr>
        <w:shd w:val="clear" w:color="auto" w:fill="FFFFFF"/>
        <w:spacing w:after="0" w:line="240" w:lineRule="auto"/>
        <w:ind w:left="576"/>
        <w:rPr>
          <w:rFonts w:ascii="Times New Roman" w:hAnsi="Times New Roman" w:cs="Times New Roman"/>
          <w:sz w:val="24"/>
          <w:szCs w:val="24"/>
        </w:rPr>
      </w:pPr>
      <w:r w:rsidRPr="002371CB">
        <w:rPr>
          <w:rFonts w:ascii="Times New Roman" w:hAnsi="Times New Roman" w:eastAsia="Times New Roman" w:cs="Times New Roman"/>
          <w:sz w:val="24"/>
          <w:szCs w:val="24"/>
        </w:rPr>
        <w:t>The</w:t>
      </w:r>
      <w:r w:rsidRPr="002371CB">
        <w:rPr>
          <w:rFonts w:ascii="Times New Roman" w:hAnsi="Times New Roman" w:cs="Times New Roman"/>
          <w:sz w:val="24"/>
          <w:szCs w:val="24"/>
        </w:rPr>
        <w:t xml:space="preserve"> total cost of the BEYOND and PSP data collections for the respondents </w:t>
      </w:r>
      <w:r w:rsidRPr="002371CB" w:rsidR="00FA6552">
        <w:rPr>
          <w:rFonts w:ascii="Times New Roman" w:hAnsi="Times New Roman" w:cs="Times New Roman"/>
          <w:sz w:val="24"/>
          <w:szCs w:val="24"/>
        </w:rPr>
        <w:t>is estimated to be</w:t>
      </w:r>
      <w:r w:rsidRPr="002371CB">
        <w:rPr>
          <w:rFonts w:ascii="Times New Roman" w:hAnsi="Times New Roman" w:cs="Times New Roman"/>
          <w:sz w:val="24"/>
          <w:szCs w:val="24"/>
        </w:rPr>
        <w:t xml:space="preserve"> </w:t>
      </w:r>
      <w:r w:rsidRPr="002371CB" w:rsidR="0043269D">
        <w:rPr>
          <w:rFonts w:ascii="Times New Roman" w:hAnsi="Times New Roman" w:cs="Times New Roman"/>
          <w:sz w:val="24"/>
          <w:szCs w:val="24"/>
        </w:rPr>
        <w:t>$</w:t>
      </w:r>
      <w:r w:rsidRPr="002371CB" w:rsidR="00C46734">
        <w:rPr>
          <w:rFonts w:ascii="Times New Roman" w:hAnsi="Times New Roman" w:cs="Times New Roman"/>
          <w:sz w:val="24"/>
          <w:szCs w:val="24"/>
        </w:rPr>
        <w:t>608,300.68</w:t>
      </w:r>
      <w:r w:rsidRPr="002371CB" w:rsidR="0043269D">
        <w:rPr>
          <w:rFonts w:ascii="Times New Roman" w:hAnsi="Times New Roman" w:cs="Times New Roman"/>
          <w:sz w:val="24"/>
          <w:szCs w:val="24"/>
        </w:rPr>
        <w:t xml:space="preserve"> </w:t>
      </w:r>
      <w:r w:rsidRPr="002371CB" w:rsidR="00FA6552">
        <w:rPr>
          <w:rFonts w:ascii="Times New Roman" w:hAnsi="Times New Roman" w:cs="Times New Roman"/>
          <w:sz w:val="24"/>
          <w:szCs w:val="24"/>
        </w:rPr>
        <w:t>based upon the assumptions cited</w:t>
      </w:r>
      <w:r w:rsidRPr="002371CB" w:rsidR="00E86B26">
        <w:rPr>
          <w:rFonts w:ascii="Times New Roman" w:hAnsi="Times New Roman" w:cs="Times New Roman"/>
          <w:sz w:val="24"/>
          <w:szCs w:val="24"/>
        </w:rPr>
        <w:t>.</w:t>
      </w:r>
    </w:p>
    <w:p w:rsidR="008E0CB5" w:rsidRDefault="008E0CB5" w14:paraId="1E352E74" w14:textId="6EF71A20">
      <w:pPr>
        <w:rPr>
          <w:rFonts w:ascii="Times New Roman" w:hAnsi="Times New Roman" w:cs="Times New Roman"/>
          <w:sz w:val="24"/>
          <w:szCs w:val="24"/>
        </w:rPr>
      </w:pPr>
      <w:r>
        <w:rPr>
          <w:rFonts w:ascii="Times New Roman" w:hAnsi="Times New Roman" w:cs="Times New Roman"/>
          <w:sz w:val="24"/>
          <w:szCs w:val="24"/>
        </w:rPr>
        <w:br w:type="page"/>
      </w:r>
    </w:p>
    <w:p w:rsidRPr="002371CB" w:rsidR="00C150FD" w:rsidP="007B607B" w:rsidRDefault="00C150FD" w14:paraId="18B22780" w14:textId="77777777">
      <w:pPr>
        <w:shd w:val="clear" w:color="auto" w:fill="FFFFFF"/>
        <w:spacing w:after="0" w:line="240" w:lineRule="auto"/>
        <w:ind w:left="576"/>
        <w:rPr>
          <w:rFonts w:ascii="Times New Roman" w:hAnsi="Times New Roman" w:cs="Times New Roman"/>
          <w:sz w:val="24"/>
          <w:szCs w:val="24"/>
        </w:rPr>
      </w:pPr>
    </w:p>
    <w:tbl>
      <w:tblPr>
        <w:tblStyle w:val="TableGrid"/>
        <w:tblW w:w="7200" w:type="dxa"/>
        <w:jc w:val="center"/>
        <w:tblLook w:val="04A0" w:firstRow="1" w:lastRow="0" w:firstColumn="1" w:lastColumn="0" w:noHBand="0" w:noVBand="1"/>
      </w:tblPr>
      <w:tblGrid>
        <w:gridCol w:w="4919"/>
        <w:gridCol w:w="2281"/>
      </w:tblGrid>
      <w:tr w:rsidRPr="00530882" w:rsidR="00735023" w:rsidTr="008E0CB5" w14:paraId="76EC9D7F" w14:textId="77777777">
        <w:trPr>
          <w:jc w:val="center"/>
        </w:trPr>
        <w:tc>
          <w:tcPr>
            <w:tcW w:w="4464" w:type="dxa"/>
          </w:tcPr>
          <w:p w:rsidRPr="002371CB" w:rsidR="0030000A" w:rsidP="00735023" w:rsidRDefault="0030000A" w14:paraId="2E72D99B" w14:textId="214B51CB">
            <w:pPr>
              <w:spacing w:before="100" w:beforeAutospacing="1" w:after="225"/>
              <w:jc w:val="center"/>
              <w:rPr>
                <w:rFonts w:ascii="Times New Roman" w:hAnsi="Times New Roman" w:cs="Times New Roman"/>
                <w:b/>
                <w:sz w:val="24"/>
                <w:szCs w:val="24"/>
              </w:rPr>
            </w:pPr>
            <w:r w:rsidRPr="002371CB">
              <w:rPr>
                <w:rFonts w:ascii="Times New Roman" w:hAnsi="Times New Roman" w:cs="Times New Roman"/>
                <w:b/>
                <w:sz w:val="24"/>
                <w:szCs w:val="24"/>
              </w:rPr>
              <w:t>Data Collection</w:t>
            </w:r>
          </w:p>
        </w:tc>
        <w:tc>
          <w:tcPr>
            <w:tcW w:w="2070" w:type="dxa"/>
          </w:tcPr>
          <w:p w:rsidRPr="002371CB" w:rsidR="0030000A" w:rsidP="00735023" w:rsidRDefault="0030000A" w14:paraId="0712CA6E" w14:textId="0C801838">
            <w:pPr>
              <w:spacing w:before="100" w:beforeAutospacing="1" w:after="225"/>
              <w:jc w:val="center"/>
              <w:rPr>
                <w:rFonts w:ascii="Times New Roman" w:hAnsi="Times New Roman" w:cs="Times New Roman"/>
                <w:b/>
                <w:sz w:val="24"/>
                <w:szCs w:val="24"/>
              </w:rPr>
            </w:pPr>
            <w:r w:rsidRPr="002371CB">
              <w:rPr>
                <w:rFonts w:ascii="Times New Roman" w:hAnsi="Times New Roman" w:cs="Times New Roman"/>
                <w:b/>
                <w:sz w:val="24"/>
                <w:szCs w:val="24"/>
              </w:rPr>
              <w:t>Cost</w:t>
            </w:r>
          </w:p>
        </w:tc>
      </w:tr>
      <w:tr w:rsidRPr="00530882" w:rsidR="00735023" w:rsidTr="008E0CB5" w14:paraId="2CBCE361" w14:textId="77777777">
        <w:trPr>
          <w:jc w:val="center"/>
        </w:trPr>
        <w:tc>
          <w:tcPr>
            <w:tcW w:w="4464" w:type="dxa"/>
          </w:tcPr>
          <w:p w:rsidRPr="002371CB" w:rsidR="0030000A" w:rsidP="002371CB" w:rsidRDefault="0030000A" w14:paraId="6E631289" w14:textId="04628FDB">
            <w:pPr>
              <w:pStyle w:val="ListParagraph"/>
              <w:numPr>
                <w:ilvl w:val="0"/>
                <w:numId w:val="29"/>
              </w:numPr>
              <w:spacing w:before="100" w:beforeAutospacing="1" w:after="225"/>
              <w:rPr>
                <w:sz w:val="24"/>
                <w:szCs w:val="24"/>
              </w:rPr>
            </w:pPr>
            <w:r w:rsidRPr="002371CB">
              <w:rPr>
                <w:sz w:val="24"/>
                <w:szCs w:val="24"/>
              </w:rPr>
              <w:t>PSP Quarterly Reports</w:t>
            </w:r>
          </w:p>
        </w:tc>
        <w:tc>
          <w:tcPr>
            <w:tcW w:w="2070" w:type="dxa"/>
          </w:tcPr>
          <w:p w:rsidRPr="002371CB" w:rsidR="0030000A" w:rsidP="00735023" w:rsidRDefault="0030000A" w14:paraId="69CB0648" w14:textId="4A2584AA">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$102,905.60</w:t>
            </w:r>
          </w:p>
        </w:tc>
      </w:tr>
      <w:tr w:rsidRPr="00530882" w:rsidR="00FA34B4" w:rsidTr="008E0CB5" w14:paraId="40423C9F" w14:textId="77777777">
        <w:trPr>
          <w:jc w:val="center"/>
        </w:trPr>
        <w:tc>
          <w:tcPr>
            <w:tcW w:w="4464" w:type="dxa"/>
          </w:tcPr>
          <w:p w:rsidRPr="002371CB" w:rsidR="0030000A" w:rsidP="002371CB" w:rsidRDefault="0030000A" w14:paraId="656BD74E" w14:textId="04D16280">
            <w:pPr>
              <w:pStyle w:val="ListParagraph"/>
              <w:numPr>
                <w:ilvl w:val="0"/>
                <w:numId w:val="29"/>
              </w:numPr>
              <w:spacing w:before="100" w:beforeAutospacing="1" w:after="225"/>
              <w:rPr>
                <w:sz w:val="24"/>
                <w:szCs w:val="24"/>
              </w:rPr>
            </w:pPr>
            <w:r w:rsidRPr="002371CB">
              <w:rPr>
                <w:sz w:val="24"/>
                <w:szCs w:val="24"/>
              </w:rPr>
              <w:t>BEYOND Semi-Annual Reports</w:t>
            </w:r>
          </w:p>
        </w:tc>
        <w:tc>
          <w:tcPr>
            <w:tcW w:w="2070" w:type="dxa"/>
          </w:tcPr>
          <w:p w:rsidRPr="002371CB" w:rsidR="0030000A" w:rsidP="00735023" w:rsidRDefault="0030000A" w14:paraId="752FA7B8" w14:textId="61480226">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w:t>
            </w:r>
            <w:r w:rsidRPr="002371CB" w:rsidR="00710111">
              <w:rPr>
                <w:rFonts w:ascii="Times New Roman" w:hAnsi="Times New Roman" w:cs="Times New Roman"/>
                <w:sz w:val="24"/>
                <w:szCs w:val="24"/>
              </w:rPr>
              <w:t>58,803.20</w:t>
            </w:r>
          </w:p>
        </w:tc>
      </w:tr>
      <w:tr w:rsidRPr="00530882" w:rsidR="0043269D" w:rsidTr="008E0CB5" w14:paraId="71C7A4E5" w14:textId="77777777">
        <w:trPr>
          <w:jc w:val="center"/>
        </w:trPr>
        <w:tc>
          <w:tcPr>
            <w:tcW w:w="4464" w:type="dxa"/>
          </w:tcPr>
          <w:p w:rsidRPr="002371CB" w:rsidR="0043269D" w:rsidP="002371CB" w:rsidRDefault="0043269D" w14:paraId="63EF3B59" w14:textId="22876903">
            <w:pPr>
              <w:pStyle w:val="ListParagraph"/>
              <w:numPr>
                <w:ilvl w:val="0"/>
                <w:numId w:val="29"/>
              </w:numPr>
              <w:spacing w:before="100" w:beforeAutospacing="1" w:after="225"/>
              <w:rPr>
                <w:sz w:val="24"/>
                <w:szCs w:val="24"/>
              </w:rPr>
            </w:pPr>
            <w:r w:rsidRPr="002371CB">
              <w:rPr>
                <w:sz w:val="24"/>
                <w:szCs w:val="24"/>
              </w:rPr>
              <w:t>BEYOND Final Reports</w:t>
            </w:r>
          </w:p>
        </w:tc>
        <w:tc>
          <w:tcPr>
            <w:tcW w:w="2070" w:type="dxa"/>
          </w:tcPr>
          <w:p w:rsidRPr="002371CB" w:rsidR="0043269D" w:rsidRDefault="0043269D" w14:paraId="6BC4A3AA" w14:textId="3FD45F92">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w:t>
            </w:r>
            <w:r w:rsidRPr="002371CB" w:rsidR="00710111">
              <w:rPr>
                <w:rFonts w:ascii="Times New Roman" w:hAnsi="Times New Roman" w:cs="Times New Roman"/>
                <w:sz w:val="24"/>
                <w:szCs w:val="24"/>
              </w:rPr>
              <w:t>4,906.39</w:t>
            </w:r>
          </w:p>
        </w:tc>
      </w:tr>
      <w:tr w:rsidRPr="00530882" w:rsidR="00710111" w:rsidTr="008E0CB5" w14:paraId="28F45169" w14:textId="77777777">
        <w:trPr>
          <w:jc w:val="center"/>
        </w:trPr>
        <w:tc>
          <w:tcPr>
            <w:tcW w:w="4464" w:type="dxa"/>
          </w:tcPr>
          <w:p w:rsidRPr="002371CB" w:rsidR="00710111" w:rsidP="002371CB" w:rsidRDefault="00710111" w14:paraId="14E314EF" w14:textId="2EA0684A">
            <w:pPr>
              <w:pStyle w:val="ListParagraph"/>
              <w:numPr>
                <w:ilvl w:val="0"/>
                <w:numId w:val="29"/>
              </w:numPr>
              <w:spacing w:before="100" w:beforeAutospacing="1" w:after="225"/>
              <w:rPr>
                <w:sz w:val="24"/>
                <w:szCs w:val="24"/>
              </w:rPr>
            </w:pPr>
            <w:r w:rsidRPr="002371CB">
              <w:rPr>
                <w:sz w:val="24"/>
                <w:szCs w:val="24"/>
              </w:rPr>
              <w:t>PSP Final Reports</w:t>
            </w:r>
          </w:p>
        </w:tc>
        <w:tc>
          <w:tcPr>
            <w:tcW w:w="2070" w:type="dxa"/>
          </w:tcPr>
          <w:p w:rsidRPr="002371CB" w:rsidR="00710111" w:rsidP="00735023" w:rsidRDefault="00710111" w14:paraId="66A6D2DD" w14:textId="59342092">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$4,287.73</w:t>
            </w:r>
          </w:p>
        </w:tc>
      </w:tr>
      <w:tr w:rsidRPr="00530882" w:rsidR="00D447E9" w:rsidTr="008E0CB5" w14:paraId="002336D4" w14:textId="77777777">
        <w:trPr>
          <w:jc w:val="center"/>
        </w:trPr>
        <w:tc>
          <w:tcPr>
            <w:tcW w:w="4464" w:type="dxa"/>
          </w:tcPr>
          <w:p w:rsidRPr="002371CB" w:rsidR="00D447E9" w:rsidP="002371CB" w:rsidRDefault="00D447E9" w14:paraId="0CEBF302" w14:textId="434BA2F6">
            <w:pPr>
              <w:pStyle w:val="ListParagraph"/>
              <w:numPr>
                <w:ilvl w:val="0"/>
                <w:numId w:val="29"/>
              </w:numPr>
              <w:spacing w:before="100" w:beforeAutospacing="1" w:after="225"/>
              <w:rPr>
                <w:sz w:val="24"/>
                <w:szCs w:val="24"/>
              </w:rPr>
            </w:pPr>
            <w:r w:rsidRPr="002371CB">
              <w:rPr>
                <w:sz w:val="24"/>
                <w:szCs w:val="24"/>
              </w:rPr>
              <w:t>BEYOND Program Withdrawal Reports</w:t>
            </w:r>
          </w:p>
        </w:tc>
        <w:tc>
          <w:tcPr>
            <w:tcW w:w="2070" w:type="dxa"/>
          </w:tcPr>
          <w:p w:rsidRPr="002371CB" w:rsidR="00D447E9" w:rsidRDefault="00D447E9" w14:paraId="52D63E5C" w14:textId="516348D1">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w:t>
            </w:r>
            <w:r w:rsidRPr="002371CB" w:rsidR="00710111">
              <w:rPr>
                <w:rFonts w:ascii="Times New Roman" w:hAnsi="Times New Roman" w:cs="Times New Roman"/>
                <w:sz w:val="24"/>
                <w:szCs w:val="24"/>
              </w:rPr>
              <w:t>4,906.39</w:t>
            </w:r>
          </w:p>
        </w:tc>
      </w:tr>
      <w:tr w:rsidRPr="00530882" w:rsidR="00FA34B4" w:rsidTr="008E0CB5" w14:paraId="4D2BDDFB" w14:textId="77777777">
        <w:trPr>
          <w:jc w:val="center"/>
        </w:trPr>
        <w:tc>
          <w:tcPr>
            <w:tcW w:w="4464" w:type="dxa"/>
          </w:tcPr>
          <w:p w:rsidRPr="002371CB" w:rsidR="0030000A" w:rsidP="002371CB" w:rsidRDefault="00710111" w14:paraId="481C867D" w14:textId="11F36264">
            <w:pPr>
              <w:pStyle w:val="ListParagraph"/>
              <w:numPr>
                <w:ilvl w:val="0"/>
                <w:numId w:val="29"/>
              </w:numPr>
              <w:spacing w:before="100" w:beforeAutospacing="1" w:after="225"/>
              <w:rPr>
                <w:sz w:val="24"/>
                <w:szCs w:val="24"/>
              </w:rPr>
            </w:pPr>
            <w:r w:rsidRPr="002371CB">
              <w:rPr>
                <w:sz w:val="24"/>
                <w:szCs w:val="24"/>
              </w:rPr>
              <w:t>UAS Characteristics Reports</w:t>
            </w:r>
          </w:p>
        </w:tc>
        <w:tc>
          <w:tcPr>
            <w:tcW w:w="2070" w:type="dxa"/>
          </w:tcPr>
          <w:p w:rsidRPr="002371CB" w:rsidR="0030000A" w:rsidRDefault="0030000A" w14:paraId="09604460" w14:textId="41124D8D">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w:t>
            </w:r>
            <w:r w:rsidRPr="002371CB" w:rsidR="00710111">
              <w:rPr>
                <w:rFonts w:ascii="Times New Roman" w:hAnsi="Times New Roman" w:cs="Times New Roman"/>
                <w:sz w:val="24"/>
                <w:szCs w:val="24"/>
              </w:rPr>
              <w:t>3,445.50</w:t>
            </w:r>
          </w:p>
        </w:tc>
      </w:tr>
      <w:tr w:rsidRPr="00530882" w:rsidR="00710111" w:rsidTr="008E0CB5" w14:paraId="2FCECAE8" w14:textId="77777777">
        <w:trPr>
          <w:jc w:val="center"/>
        </w:trPr>
        <w:tc>
          <w:tcPr>
            <w:tcW w:w="4464" w:type="dxa"/>
          </w:tcPr>
          <w:p w:rsidRPr="002371CB" w:rsidR="00710111" w:rsidP="002371CB" w:rsidRDefault="00710111" w14:paraId="19C64B22" w14:textId="52699B53">
            <w:pPr>
              <w:pStyle w:val="ListParagraph"/>
              <w:numPr>
                <w:ilvl w:val="0"/>
                <w:numId w:val="29"/>
              </w:numPr>
              <w:spacing w:before="100" w:beforeAutospacing="1" w:after="225"/>
              <w:rPr>
                <w:sz w:val="24"/>
                <w:szCs w:val="24"/>
              </w:rPr>
            </w:pPr>
            <w:r w:rsidRPr="002371CB">
              <w:rPr>
                <w:sz w:val="24"/>
                <w:szCs w:val="24"/>
              </w:rPr>
              <w:t xml:space="preserve">UAS </w:t>
            </w:r>
            <w:r w:rsidR="00E71CB4">
              <w:rPr>
                <w:sz w:val="24"/>
                <w:szCs w:val="24"/>
              </w:rPr>
              <w:t xml:space="preserve">Monthly </w:t>
            </w:r>
            <w:r w:rsidRPr="002371CB">
              <w:rPr>
                <w:sz w:val="24"/>
                <w:szCs w:val="24"/>
              </w:rPr>
              <w:t>Operational Flight Reports</w:t>
            </w:r>
          </w:p>
        </w:tc>
        <w:tc>
          <w:tcPr>
            <w:tcW w:w="2070" w:type="dxa"/>
          </w:tcPr>
          <w:p w:rsidRPr="002371CB" w:rsidR="00710111" w:rsidP="00E27DC7" w:rsidRDefault="00710111" w14:paraId="673D255A" w14:textId="40DE672A">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$8,269.20</w:t>
            </w:r>
          </w:p>
        </w:tc>
      </w:tr>
      <w:tr w:rsidRPr="00530882" w:rsidR="00FA34B4" w:rsidTr="008E0CB5" w14:paraId="61EDD2FB" w14:textId="77777777">
        <w:trPr>
          <w:jc w:val="center"/>
        </w:trPr>
        <w:tc>
          <w:tcPr>
            <w:tcW w:w="4464" w:type="dxa"/>
          </w:tcPr>
          <w:p w:rsidRPr="002371CB" w:rsidR="00334819" w:rsidP="002371CB" w:rsidRDefault="00334819" w14:paraId="5F0940C1" w14:textId="06E346D7">
            <w:pPr>
              <w:pStyle w:val="ListParagraph"/>
              <w:numPr>
                <w:ilvl w:val="0"/>
                <w:numId w:val="29"/>
              </w:numPr>
              <w:spacing w:before="100" w:beforeAutospacing="1" w:after="225"/>
              <w:rPr>
                <w:sz w:val="24"/>
                <w:szCs w:val="24"/>
              </w:rPr>
            </w:pPr>
            <w:r w:rsidRPr="002371CB">
              <w:rPr>
                <w:sz w:val="24"/>
                <w:szCs w:val="24"/>
              </w:rPr>
              <w:t xml:space="preserve">UAS </w:t>
            </w:r>
            <w:r w:rsidRPr="002371CB" w:rsidR="00710111">
              <w:rPr>
                <w:sz w:val="24"/>
                <w:szCs w:val="24"/>
              </w:rPr>
              <w:t>Maintenance</w:t>
            </w:r>
            <w:r w:rsidRPr="002371CB">
              <w:rPr>
                <w:sz w:val="24"/>
                <w:szCs w:val="24"/>
              </w:rPr>
              <w:t xml:space="preserve"> </w:t>
            </w:r>
            <w:r w:rsidRPr="002371CB" w:rsidR="00B6759F">
              <w:rPr>
                <w:sz w:val="24"/>
                <w:szCs w:val="24"/>
              </w:rPr>
              <w:t>Report</w:t>
            </w:r>
            <w:r w:rsidRPr="002371CB">
              <w:rPr>
                <w:sz w:val="24"/>
                <w:szCs w:val="24"/>
              </w:rPr>
              <w:t>s</w:t>
            </w:r>
          </w:p>
        </w:tc>
        <w:tc>
          <w:tcPr>
            <w:tcW w:w="2070" w:type="dxa"/>
          </w:tcPr>
          <w:p w:rsidRPr="002371CB" w:rsidR="00334819" w:rsidRDefault="00334819" w14:paraId="010618B0" w14:textId="58216232">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w:t>
            </w:r>
            <w:r w:rsidRPr="002371CB" w:rsidR="00710111">
              <w:rPr>
                <w:rFonts w:ascii="Times New Roman" w:hAnsi="Times New Roman" w:cs="Times New Roman"/>
                <w:sz w:val="24"/>
                <w:szCs w:val="24"/>
              </w:rPr>
              <w:t>8,269.20</w:t>
            </w:r>
          </w:p>
        </w:tc>
      </w:tr>
      <w:tr w:rsidRPr="00530882" w:rsidR="00FA34B4" w:rsidTr="008E0CB5" w14:paraId="6E66947B" w14:textId="77777777">
        <w:trPr>
          <w:jc w:val="center"/>
        </w:trPr>
        <w:tc>
          <w:tcPr>
            <w:tcW w:w="4464" w:type="dxa"/>
          </w:tcPr>
          <w:p w:rsidRPr="002371CB" w:rsidR="0030000A" w:rsidP="002371CB" w:rsidRDefault="00334819" w14:paraId="26EFCE7C" w14:textId="13C10BEE">
            <w:pPr>
              <w:pStyle w:val="ListParagraph"/>
              <w:numPr>
                <w:ilvl w:val="0"/>
                <w:numId w:val="29"/>
              </w:numPr>
              <w:spacing w:before="100" w:beforeAutospacing="1" w:after="225"/>
              <w:rPr>
                <w:sz w:val="24"/>
                <w:szCs w:val="24"/>
              </w:rPr>
            </w:pPr>
            <w:r w:rsidRPr="002371CB">
              <w:rPr>
                <w:sz w:val="24"/>
                <w:szCs w:val="24"/>
              </w:rPr>
              <w:t xml:space="preserve">UAS </w:t>
            </w:r>
            <w:r w:rsidRPr="002371CB" w:rsidR="00B6759F">
              <w:rPr>
                <w:sz w:val="24"/>
                <w:szCs w:val="24"/>
              </w:rPr>
              <w:t xml:space="preserve">Flight </w:t>
            </w:r>
            <w:r w:rsidRPr="002371CB">
              <w:rPr>
                <w:sz w:val="24"/>
                <w:szCs w:val="24"/>
              </w:rPr>
              <w:t xml:space="preserve">Anomaly </w:t>
            </w:r>
            <w:r w:rsidRPr="002371CB" w:rsidR="00B6759F">
              <w:rPr>
                <w:sz w:val="24"/>
                <w:szCs w:val="24"/>
              </w:rPr>
              <w:t>Report</w:t>
            </w:r>
            <w:r w:rsidRPr="002371CB" w:rsidR="00B956A1">
              <w:rPr>
                <w:sz w:val="24"/>
                <w:szCs w:val="24"/>
              </w:rPr>
              <w:t>s</w:t>
            </w:r>
          </w:p>
        </w:tc>
        <w:tc>
          <w:tcPr>
            <w:tcW w:w="2070" w:type="dxa"/>
          </w:tcPr>
          <w:p w:rsidRPr="002371CB" w:rsidR="0030000A" w:rsidRDefault="003D6235" w14:paraId="58D13EE4" w14:textId="6FF37549">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w:t>
            </w:r>
            <w:r w:rsidRPr="002371CB" w:rsidR="00710111">
              <w:rPr>
                <w:rFonts w:ascii="Times New Roman" w:hAnsi="Times New Roman" w:cs="Times New Roman"/>
                <w:sz w:val="24"/>
                <w:szCs w:val="24"/>
              </w:rPr>
              <w:t>6,891.00</w:t>
            </w:r>
          </w:p>
        </w:tc>
      </w:tr>
      <w:tr w:rsidRPr="00530882" w:rsidR="00DA0406" w:rsidTr="008E0CB5" w14:paraId="6E55CCC8" w14:textId="77777777">
        <w:trPr>
          <w:jc w:val="center"/>
        </w:trPr>
        <w:tc>
          <w:tcPr>
            <w:tcW w:w="4464" w:type="dxa"/>
          </w:tcPr>
          <w:p w:rsidRPr="002371CB" w:rsidR="00DA0406" w:rsidP="00B956A1" w:rsidRDefault="00710111" w14:paraId="51F359A4" w14:textId="69E76AD4">
            <w:pPr>
              <w:spacing w:before="100" w:beforeAutospacing="1" w:after="225"/>
              <w:rPr>
                <w:rFonts w:ascii="Times New Roman" w:hAnsi="Times New Roman" w:cs="Times New Roman"/>
                <w:sz w:val="24"/>
                <w:szCs w:val="24"/>
              </w:rPr>
            </w:pPr>
            <w:r w:rsidRPr="002371CB">
              <w:rPr>
                <w:rFonts w:ascii="Times New Roman" w:hAnsi="Times New Roman" w:cs="Times New Roman"/>
                <w:sz w:val="24"/>
                <w:szCs w:val="24"/>
              </w:rPr>
              <w:t xml:space="preserve">(10) </w:t>
            </w:r>
            <w:r w:rsidRPr="002371CB" w:rsidR="00DA0406">
              <w:rPr>
                <w:rFonts w:ascii="Times New Roman" w:hAnsi="Times New Roman" w:cs="Times New Roman"/>
                <w:sz w:val="24"/>
                <w:szCs w:val="24"/>
              </w:rPr>
              <w:t xml:space="preserve">UAS Test Data </w:t>
            </w:r>
            <w:r w:rsidRPr="002371CB" w:rsidR="00B6759F">
              <w:rPr>
                <w:rFonts w:ascii="Times New Roman" w:hAnsi="Times New Roman" w:cs="Times New Roman"/>
                <w:sz w:val="24"/>
                <w:szCs w:val="24"/>
              </w:rPr>
              <w:t>Report</w:t>
            </w:r>
            <w:r w:rsidRPr="002371CB" w:rsidR="00DA0406">
              <w:rPr>
                <w:rFonts w:ascii="Times New Roman" w:hAnsi="Times New Roman" w:cs="Times New Roman"/>
                <w:sz w:val="24"/>
                <w:szCs w:val="24"/>
              </w:rPr>
              <w:t>s</w:t>
            </w:r>
          </w:p>
        </w:tc>
        <w:tc>
          <w:tcPr>
            <w:tcW w:w="2070" w:type="dxa"/>
          </w:tcPr>
          <w:p w:rsidRPr="002371CB" w:rsidR="00DA0406" w:rsidP="00735023" w:rsidRDefault="00DA0406" w14:paraId="7FC2C6E9" w14:textId="6DFA23D9">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w:t>
            </w:r>
            <w:r w:rsidRPr="002371CB" w:rsidR="00710111">
              <w:rPr>
                <w:rFonts w:ascii="Times New Roman" w:hAnsi="Times New Roman" w:cs="Times New Roman"/>
                <w:sz w:val="24"/>
                <w:szCs w:val="24"/>
              </w:rPr>
              <w:t>57.43</w:t>
            </w:r>
          </w:p>
        </w:tc>
      </w:tr>
      <w:tr w:rsidRPr="00530882" w:rsidR="00710111" w:rsidTr="008E0CB5" w14:paraId="6601CA70" w14:textId="77777777">
        <w:trPr>
          <w:jc w:val="center"/>
        </w:trPr>
        <w:tc>
          <w:tcPr>
            <w:tcW w:w="4464" w:type="dxa"/>
          </w:tcPr>
          <w:p w:rsidRPr="002371CB" w:rsidR="00710111" w:rsidP="00B956A1" w:rsidRDefault="00710111" w14:paraId="69C182E6" w14:textId="7FD1B15F">
            <w:pPr>
              <w:spacing w:before="100" w:beforeAutospacing="1" w:after="225"/>
              <w:rPr>
                <w:rFonts w:ascii="Times New Roman" w:hAnsi="Times New Roman" w:cs="Times New Roman"/>
                <w:sz w:val="24"/>
                <w:szCs w:val="24"/>
              </w:rPr>
            </w:pPr>
            <w:r w:rsidRPr="002371CB">
              <w:rPr>
                <w:rFonts w:ascii="Times New Roman" w:hAnsi="Times New Roman" w:cs="Times New Roman"/>
                <w:sz w:val="24"/>
                <w:szCs w:val="24"/>
              </w:rPr>
              <w:t xml:space="preserve">(11) </w:t>
            </w:r>
            <w:r w:rsidRPr="002371CB" w:rsidR="00D93F4B">
              <w:rPr>
                <w:rFonts w:ascii="Times New Roman" w:hAnsi="Times New Roman" w:cs="Times New Roman"/>
                <w:sz w:val="24"/>
                <w:szCs w:val="24"/>
              </w:rPr>
              <w:t xml:space="preserve">Legacy </w:t>
            </w:r>
            <w:r w:rsidRPr="002371CB">
              <w:rPr>
                <w:rFonts w:ascii="Times New Roman" w:hAnsi="Times New Roman" w:cs="Times New Roman"/>
                <w:sz w:val="24"/>
                <w:szCs w:val="24"/>
              </w:rPr>
              <w:t>Societal and Economic Data Reports</w:t>
            </w:r>
          </w:p>
        </w:tc>
        <w:tc>
          <w:tcPr>
            <w:tcW w:w="2070" w:type="dxa"/>
          </w:tcPr>
          <w:p w:rsidRPr="002371CB" w:rsidR="00710111" w:rsidP="00735023" w:rsidRDefault="00D93F4B" w14:paraId="3FC79090" w14:textId="7BFD16F4">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$2,021.36</w:t>
            </w:r>
          </w:p>
        </w:tc>
      </w:tr>
      <w:tr w:rsidRPr="00530882" w:rsidR="00D93F4B" w:rsidTr="008E0CB5" w14:paraId="6CA6078A" w14:textId="77777777">
        <w:trPr>
          <w:jc w:val="center"/>
        </w:trPr>
        <w:tc>
          <w:tcPr>
            <w:tcW w:w="4464" w:type="dxa"/>
          </w:tcPr>
          <w:p w:rsidRPr="002371CB" w:rsidR="00D93F4B" w:rsidP="00B956A1" w:rsidRDefault="00D93F4B" w14:paraId="12F61CCE" w14:textId="69AEECC5">
            <w:pPr>
              <w:spacing w:before="100" w:beforeAutospacing="1" w:after="225"/>
              <w:rPr>
                <w:rFonts w:ascii="Times New Roman" w:hAnsi="Times New Roman" w:cs="Times New Roman"/>
                <w:sz w:val="24"/>
                <w:szCs w:val="24"/>
              </w:rPr>
            </w:pPr>
            <w:r w:rsidRPr="002371CB">
              <w:rPr>
                <w:rFonts w:ascii="Times New Roman" w:hAnsi="Times New Roman" w:cs="Times New Roman"/>
                <w:sz w:val="24"/>
                <w:szCs w:val="24"/>
              </w:rPr>
              <w:t>(12) UAS Societal and Economic Data Reports</w:t>
            </w:r>
          </w:p>
        </w:tc>
        <w:tc>
          <w:tcPr>
            <w:tcW w:w="2070" w:type="dxa"/>
          </w:tcPr>
          <w:p w:rsidRPr="002371CB" w:rsidR="00D93F4B" w:rsidP="00735023" w:rsidRDefault="00D93F4B" w14:paraId="06BBC5F5" w14:textId="680B7AF2">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$2,021.36</w:t>
            </w:r>
          </w:p>
        </w:tc>
      </w:tr>
      <w:tr w:rsidRPr="00530882" w:rsidR="00710111" w:rsidTr="008E0CB5" w14:paraId="17E16DAE" w14:textId="77777777">
        <w:trPr>
          <w:jc w:val="center"/>
        </w:trPr>
        <w:tc>
          <w:tcPr>
            <w:tcW w:w="4464" w:type="dxa"/>
          </w:tcPr>
          <w:p w:rsidRPr="002371CB" w:rsidR="00710111" w:rsidP="00B956A1" w:rsidRDefault="00D93F4B" w14:paraId="1EC0D473" w14:textId="0FEA5B9A">
            <w:pPr>
              <w:spacing w:before="100" w:beforeAutospacing="1" w:after="225"/>
              <w:rPr>
                <w:rFonts w:ascii="Times New Roman" w:hAnsi="Times New Roman" w:cs="Times New Roman"/>
                <w:sz w:val="24"/>
                <w:szCs w:val="24"/>
              </w:rPr>
            </w:pPr>
            <w:r w:rsidRPr="002371CB">
              <w:rPr>
                <w:rFonts w:ascii="Times New Roman" w:hAnsi="Times New Roman" w:cs="Times New Roman"/>
                <w:sz w:val="24"/>
                <w:szCs w:val="24"/>
              </w:rPr>
              <w:t>(13</w:t>
            </w:r>
            <w:r w:rsidRPr="002371CB" w:rsidR="00710111">
              <w:rPr>
                <w:rFonts w:ascii="Times New Roman" w:hAnsi="Times New Roman" w:cs="Times New Roman"/>
                <w:sz w:val="24"/>
                <w:szCs w:val="24"/>
              </w:rPr>
              <w:t>) Community Engagement Reports</w:t>
            </w:r>
          </w:p>
        </w:tc>
        <w:tc>
          <w:tcPr>
            <w:tcW w:w="2070" w:type="dxa"/>
          </w:tcPr>
          <w:p w:rsidRPr="002371CB" w:rsidR="00710111" w:rsidP="00735023" w:rsidRDefault="00710111" w14:paraId="66A30AC7" w14:textId="18EDDA0D">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$4,042.72</w:t>
            </w:r>
          </w:p>
        </w:tc>
      </w:tr>
      <w:tr w:rsidRPr="00530882" w:rsidR="00735023" w:rsidTr="008E0CB5" w14:paraId="072A68A5" w14:textId="77777777">
        <w:trPr>
          <w:jc w:val="center"/>
        </w:trPr>
        <w:tc>
          <w:tcPr>
            <w:tcW w:w="4464" w:type="dxa"/>
            <w:tcBorders>
              <w:bottom w:val="double" w:color="auto" w:sz="4" w:space="0"/>
            </w:tcBorders>
          </w:tcPr>
          <w:p w:rsidRPr="002371CB" w:rsidR="0030000A" w:rsidRDefault="00D93F4B" w14:paraId="094DD07B" w14:textId="0D4CB3F6">
            <w:pPr>
              <w:spacing w:before="100" w:beforeAutospacing="1" w:after="225"/>
              <w:rPr>
                <w:rFonts w:ascii="Times New Roman" w:hAnsi="Times New Roman" w:cs="Times New Roman"/>
                <w:sz w:val="24"/>
                <w:szCs w:val="24"/>
              </w:rPr>
            </w:pPr>
            <w:r w:rsidRPr="002371CB">
              <w:rPr>
                <w:rFonts w:ascii="Times New Roman" w:hAnsi="Times New Roman" w:cs="Times New Roman"/>
                <w:sz w:val="24"/>
                <w:szCs w:val="24"/>
              </w:rPr>
              <w:t>(14</w:t>
            </w:r>
            <w:r w:rsidRPr="002371CB" w:rsidR="00710111">
              <w:rPr>
                <w:rFonts w:ascii="Times New Roman" w:hAnsi="Times New Roman" w:cs="Times New Roman"/>
                <w:sz w:val="24"/>
                <w:szCs w:val="24"/>
              </w:rPr>
              <w:t xml:space="preserve">) </w:t>
            </w:r>
            <w:r w:rsidRPr="002371CB" w:rsidR="0030000A">
              <w:rPr>
                <w:rFonts w:ascii="Times New Roman" w:hAnsi="Times New Roman" w:cs="Times New Roman"/>
                <w:sz w:val="24"/>
                <w:szCs w:val="24"/>
              </w:rPr>
              <w:t xml:space="preserve">Community Engagement </w:t>
            </w:r>
            <w:r w:rsidRPr="002371CB" w:rsidR="000A50F4">
              <w:rPr>
                <w:rFonts w:ascii="Times New Roman" w:hAnsi="Times New Roman" w:cs="Times New Roman"/>
                <w:sz w:val="24"/>
                <w:szCs w:val="24"/>
              </w:rPr>
              <w:t>Tool</w:t>
            </w:r>
          </w:p>
        </w:tc>
        <w:tc>
          <w:tcPr>
            <w:tcW w:w="2070" w:type="dxa"/>
            <w:tcBorders>
              <w:bottom w:val="double" w:color="auto" w:sz="4" w:space="0"/>
            </w:tcBorders>
          </w:tcPr>
          <w:p w:rsidRPr="002371CB" w:rsidR="0030000A" w:rsidP="00C46734" w:rsidRDefault="0030000A" w14:paraId="0943C006" w14:textId="303E3E0F">
            <w:pPr>
              <w:spacing w:before="100" w:beforeAutospacing="1" w:after="225"/>
              <w:jc w:val="right"/>
              <w:rPr>
                <w:rFonts w:ascii="Times New Roman" w:hAnsi="Times New Roman" w:cs="Times New Roman"/>
                <w:sz w:val="24"/>
                <w:szCs w:val="24"/>
              </w:rPr>
            </w:pPr>
            <w:r w:rsidRPr="002371CB">
              <w:rPr>
                <w:rFonts w:ascii="Times New Roman" w:hAnsi="Times New Roman" w:cs="Times New Roman"/>
                <w:sz w:val="24"/>
                <w:szCs w:val="24"/>
              </w:rPr>
              <w:t>$</w:t>
            </w:r>
            <w:r w:rsidRPr="002371CB" w:rsidR="00C46734">
              <w:rPr>
                <w:rFonts w:ascii="Times New Roman" w:hAnsi="Times New Roman" w:cs="Times New Roman"/>
                <w:sz w:val="24"/>
                <w:szCs w:val="24"/>
              </w:rPr>
              <w:t>397,473.60</w:t>
            </w:r>
          </w:p>
        </w:tc>
      </w:tr>
      <w:tr w:rsidRPr="00710111" w:rsidR="00735023" w:rsidTr="008E0CB5" w14:paraId="102ED6B1" w14:textId="77777777">
        <w:trPr>
          <w:jc w:val="center"/>
        </w:trPr>
        <w:tc>
          <w:tcPr>
            <w:tcW w:w="4464" w:type="dxa"/>
            <w:tcBorders>
              <w:top w:val="double" w:color="auto" w:sz="4" w:space="0"/>
            </w:tcBorders>
          </w:tcPr>
          <w:p w:rsidRPr="002371CB" w:rsidR="0030000A" w:rsidP="001F0724" w:rsidRDefault="0030000A" w14:paraId="12ADC42F" w14:textId="72754F6D">
            <w:pPr>
              <w:spacing w:before="100" w:beforeAutospacing="1" w:after="225"/>
              <w:rPr>
                <w:rFonts w:ascii="Times New Roman" w:hAnsi="Times New Roman" w:cs="Times New Roman"/>
                <w:b/>
                <w:sz w:val="24"/>
                <w:szCs w:val="24"/>
              </w:rPr>
            </w:pPr>
            <w:r w:rsidRPr="002371CB">
              <w:rPr>
                <w:rFonts w:ascii="Times New Roman" w:hAnsi="Times New Roman" w:cs="Times New Roman"/>
                <w:b/>
                <w:sz w:val="24"/>
                <w:szCs w:val="24"/>
              </w:rPr>
              <w:t>TOTAL</w:t>
            </w:r>
          </w:p>
        </w:tc>
        <w:tc>
          <w:tcPr>
            <w:tcW w:w="2070" w:type="dxa"/>
            <w:tcBorders>
              <w:top w:val="double" w:color="auto" w:sz="4" w:space="0"/>
            </w:tcBorders>
          </w:tcPr>
          <w:p w:rsidRPr="00530882" w:rsidR="0030000A" w:rsidP="00C46734" w:rsidRDefault="003D6235" w14:paraId="2F4BF626" w14:textId="2453C7E9">
            <w:pPr>
              <w:spacing w:before="100" w:beforeAutospacing="1" w:after="225"/>
              <w:jc w:val="right"/>
              <w:rPr>
                <w:rFonts w:ascii="Times New Roman" w:hAnsi="Times New Roman" w:cs="Times New Roman"/>
                <w:b/>
                <w:sz w:val="24"/>
                <w:szCs w:val="24"/>
              </w:rPr>
            </w:pPr>
            <w:r w:rsidRPr="002371CB">
              <w:rPr>
                <w:rFonts w:ascii="Times New Roman" w:hAnsi="Times New Roman" w:cs="Times New Roman"/>
                <w:b/>
                <w:sz w:val="24"/>
                <w:szCs w:val="24"/>
              </w:rPr>
              <w:t>$</w:t>
            </w:r>
            <w:r w:rsidRPr="002371CB" w:rsidR="00C46734">
              <w:rPr>
                <w:rFonts w:ascii="Times New Roman" w:hAnsi="Times New Roman" w:cs="Times New Roman"/>
                <w:b/>
                <w:sz w:val="24"/>
                <w:szCs w:val="24"/>
              </w:rPr>
              <w:t>608,300.68</w:t>
            </w:r>
          </w:p>
        </w:tc>
      </w:tr>
    </w:tbl>
    <w:p w:rsidRPr="003A637E" w:rsidR="00C64707" w:rsidP="005E72B2" w:rsidRDefault="00C64707" w14:paraId="3E832E57" w14:textId="77777777">
      <w:pPr>
        <w:pStyle w:val="Heading1"/>
      </w:pPr>
      <w:r w:rsidRPr="003A637E">
        <w:t>13. Provide an estimate for the total annual cost burden to respondents or record keepers resulting from the collection of information.</w:t>
      </w:r>
    </w:p>
    <w:p w:rsidRPr="003A637E" w:rsidR="00274AE1" w:rsidP="00C64707" w:rsidRDefault="00274AE1" w14:paraId="66CA2DFB" w14:textId="3BD847F1">
      <w:pPr>
        <w:shd w:val="clear" w:color="auto" w:fill="FFFFFF"/>
        <w:spacing w:after="0" w:line="240" w:lineRule="auto"/>
        <w:rPr>
          <w:rFonts w:eastAsia="Times New Roman" w:cstheme="minorHAnsi"/>
          <w:color w:val="555555"/>
          <w:sz w:val="24"/>
          <w:szCs w:val="24"/>
        </w:rPr>
      </w:pPr>
    </w:p>
    <w:p w:rsidRPr="003A637E" w:rsidR="00003095" w:rsidP="007B607B" w:rsidRDefault="00F2416A" w14:paraId="2C73E93B" w14:textId="07DEDF42">
      <w:pPr>
        <w:shd w:val="clear" w:color="auto" w:fill="FFFFFF"/>
        <w:spacing w:after="0" w:line="240" w:lineRule="auto"/>
        <w:ind w:left="63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The costs</w:t>
      </w:r>
      <w:r w:rsidRPr="003A637E" w:rsidR="00003095">
        <w:rPr>
          <w:rFonts w:ascii="Times New Roman" w:hAnsi="Times New Roman" w:eastAsia="Times New Roman" w:cs="Times New Roman"/>
          <w:sz w:val="24"/>
          <w:szCs w:val="24"/>
        </w:rPr>
        <w:t xml:space="preserve"> to the </w:t>
      </w:r>
      <w:r w:rsidR="00793319">
        <w:rPr>
          <w:rFonts w:ascii="Times New Roman" w:hAnsi="Times New Roman" w:eastAsia="Times New Roman" w:cs="Times New Roman"/>
          <w:sz w:val="24"/>
          <w:szCs w:val="24"/>
        </w:rPr>
        <w:t xml:space="preserve">BEYOND and PSP </w:t>
      </w:r>
      <w:r w:rsidRPr="003A637E" w:rsidR="00003095">
        <w:rPr>
          <w:rFonts w:ascii="Times New Roman" w:hAnsi="Times New Roman" w:eastAsia="Times New Roman" w:cs="Times New Roman"/>
          <w:sz w:val="24"/>
          <w:szCs w:val="24"/>
        </w:rPr>
        <w:t>participants</w:t>
      </w:r>
      <w:r w:rsidRPr="003A637E">
        <w:rPr>
          <w:rFonts w:ascii="Times New Roman" w:hAnsi="Times New Roman" w:eastAsia="Times New Roman" w:cs="Times New Roman"/>
          <w:sz w:val="24"/>
          <w:szCs w:val="24"/>
        </w:rPr>
        <w:t xml:space="preserve"> to store </w:t>
      </w:r>
      <w:r w:rsidRPr="003A637E" w:rsidR="007F7798">
        <w:rPr>
          <w:rFonts w:ascii="Times New Roman" w:hAnsi="Times New Roman" w:eastAsia="Times New Roman" w:cs="Times New Roman"/>
          <w:sz w:val="24"/>
          <w:szCs w:val="24"/>
        </w:rPr>
        <w:t xml:space="preserve">the data </w:t>
      </w:r>
      <w:r w:rsidRPr="003A637E">
        <w:rPr>
          <w:rFonts w:ascii="Times New Roman" w:hAnsi="Times New Roman" w:eastAsia="Times New Roman" w:cs="Times New Roman"/>
          <w:sz w:val="24"/>
          <w:szCs w:val="24"/>
        </w:rPr>
        <w:t xml:space="preserve">and submit </w:t>
      </w:r>
      <w:r w:rsidRPr="003A637E" w:rsidR="007F7798">
        <w:rPr>
          <w:rFonts w:ascii="Times New Roman" w:hAnsi="Times New Roman" w:eastAsia="Times New Roman" w:cs="Times New Roman"/>
          <w:sz w:val="24"/>
          <w:szCs w:val="24"/>
        </w:rPr>
        <w:t>it</w:t>
      </w:r>
      <w:r w:rsidRPr="003A637E">
        <w:rPr>
          <w:rFonts w:ascii="Times New Roman" w:hAnsi="Times New Roman" w:eastAsia="Times New Roman" w:cs="Times New Roman"/>
          <w:sz w:val="24"/>
          <w:szCs w:val="24"/>
        </w:rPr>
        <w:t xml:space="preserve"> to</w:t>
      </w:r>
      <w:r w:rsidRPr="003A637E" w:rsidR="007F7798">
        <w:rPr>
          <w:rFonts w:ascii="Times New Roman" w:hAnsi="Times New Roman" w:eastAsia="Times New Roman" w:cs="Times New Roman"/>
          <w:sz w:val="24"/>
          <w:szCs w:val="24"/>
        </w:rPr>
        <w:t xml:space="preserve"> the</w:t>
      </w:r>
      <w:r w:rsidRPr="003A637E">
        <w:rPr>
          <w:rFonts w:ascii="Times New Roman" w:hAnsi="Times New Roman" w:eastAsia="Times New Roman" w:cs="Times New Roman"/>
          <w:sz w:val="24"/>
          <w:szCs w:val="24"/>
        </w:rPr>
        <w:t xml:space="preserve"> FAA would be virtually $0. The information </w:t>
      </w:r>
      <w:r w:rsidRPr="003A637E" w:rsidR="007F7798">
        <w:rPr>
          <w:rFonts w:ascii="Times New Roman" w:hAnsi="Times New Roman" w:eastAsia="Times New Roman" w:cs="Times New Roman"/>
          <w:sz w:val="24"/>
          <w:szCs w:val="24"/>
        </w:rPr>
        <w:t xml:space="preserve">will </w:t>
      </w:r>
      <w:r w:rsidRPr="003A637E">
        <w:rPr>
          <w:rFonts w:ascii="Times New Roman" w:hAnsi="Times New Roman" w:eastAsia="Times New Roman" w:cs="Times New Roman"/>
          <w:sz w:val="24"/>
          <w:szCs w:val="24"/>
        </w:rPr>
        <w:t xml:space="preserve">be housed on systems the </w:t>
      </w:r>
      <w:r w:rsidR="00793319">
        <w:rPr>
          <w:rFonts w:ascii="Times New Roman" w:hAnsi="Times New Roman" w:eastAsia="Times New Roman" w:cs="Times New Roman"/>
          <w:sz w:val="24"/>
          <w:szCs w:val="24"/>
        </w:rPr>
        <w:t>p</w:t>
      </w:r>
      <w:r w:rsidRPr="003A637E">
        <w:rPr>
          <w:rFonts w:ascii="Times New Roman" w:hAnsi="Times New Roman" w:eastAsia="Times New Roman" w:cs="Times New Roman"/>
          <w:sz w:val="24"/>
          <w:szCs w:val="24"/>
        </w:rPr>
        <w:t xml:space="preserve">articipants already own, and uploaded using software and internet services </w:t>
      </w:r>
      <w:r w:rsidRPr="003A637E" w:rsidR="007F7798">
        <w:rPr>
          <w:rFonts w:ascii="Times New Roman" w:hAnsi="Times New Roman" w:eastAsia="Times New Roman" w:cs="Times New Roman"/>
          <w:sz w:val="24"/>
          <w:szCs w:val="24"/>
        </w:rPr>
        <w:t xml:space="preserve">for </w:t>
      </w:r>
      <w:r w:rsidRPr="003A637E">
        <w:rPr>
          <w:rFonts w:ascii="Times New Roman" w:hAnsi="Times New Roman" w:eastAsia="Times New Roman" w:cs="Times New Roman"/>
          <w:sz w:val="24"/>
          <w:szCs w:val="24"/>
        </w:rPr>
        <w:t xml:space="preserve">which they already pay and use for their own purposes. </w:t>
      </w:r>
      <w:r w:rsidRPr="003A637E" w:rsidR="00003095">
        <w:rPr>
          <w:rFonts w:ascii="Times New Roman" w:hAnsi="Times New Roman" w:eastAsia="Times New Roman" w:cs="Times New Roman"/>
          <w:sz w:val="24"/>
          <w:szCs w:val="24"/>
        </w:rPr>
        <w:t xml:space="preserve">The FAA has provided the </w:t>
      </w:r>
      <w:r w:rsidR="00793319">
        <w:rPr>
          <w:rFonts w:ascii="Times New Roman" w:hAnsi="Times New Roman" w:eastAsia="Times New Roman" w:cs="Times New Roman"/>
          <w:sz w:val="24"/>
          <w:szCs w:val="24"/>
        </w:rPr>
        <w:t>Aeronautical Data Exchange (</w:t>
      </w:r>
      <w:r w:rsidRPr="003A637E" w:rsidR="00003095">
        <w:rPr>
          <w:rFonts w:ascii="Times New Roman" w:hAnsi="Times New Roman" w:eastAsia="Times New Roman" w:cs="Times New Roman"/>
          <w:sz w:val="24"/>
          <w:szCs w:val="24"/>
        </w:rPr>
        <w:t>ADX</w:t>
      </w:r>
      <w:r w:rsidR="00793319">
        <w:rPr>
          <w:rFonts w:ascii="Times New Roman" w:hAnsi="Times New Roman" w:eastAsia="Times New Roman" w:cs="Times New Roman"/>
          <w:sz w:val="24"/>
          <w:szCs w:val="24"/>
        </w:rPr>
        <w:t>)</w:t>
      </w:r>
      <w:r w:rsidRPr="003A637E" w:rsidR="00003095">
        <w:rPr>
          <w:rFonts w:ascii="Times New Roman" w:hAnsi="Times New Roman" w:eastAsia="Times New Roman" w:cs="Times New Roman"/>
          <w:sz w:val="24"/>
          <w:szCs w:val="24"/>
        </w:rPr>
        <w:t xml:space="preserve"> system to house the forms and templates to be completed, and to act as the data repository for the participants in order to relieve any potential burden.</w:t>
      </w:r>
    </w:p>
    <w:p w:rsidRPr="003A637E" w:rsidR="00003095" w:rsidP="007B607B" w:rsidRDefault="00003095" w14:paraId="4D43E527" w14:textId="77777777">
      <w:pPr>
        <w:shd w:val="clear" w:color="auto" w:fill="FFFFFF"/>
        <w:spacing w:after="0" w:line="240" w:lineRule="auto"/>
        <w:ind w:left="630"/>
        <w:rPr>
          <w:rFonts w:ascii="Times New Roman" w:hAnsi="Times New Roman" w:eastAsia="Times New Roman" w:cs="Times New Roman"/>
          <w:sz w:val="24"/>
          <w:szCs w:val="24"/>
        </w:rPr>
      </w:pPr>
    </w:p>
    <w:p w:rsidRPr="00790C36" w:rsidR="00C64707" w:rsidP="00790C36" w:rsidRDefault="00F2416A" w14:paraId="7C64C418" w14:textId="48606849">
      <w:pPr>
        <w:shd w:val="clear" w:color="auto" w:fill="FFFFFF"/>
        <w:spacing w:after="0" w:line="240" w:lineRule="auto"/>
        <w:ind w:left="630"/>
        <w:rPr>
          <w:rFonts w:ascii="Times New Roman" w:hAnsi="Times New Roman" w:eastAsia="Times New Roman" w:cs="Times New Roman"/>
          <w:color w:val="2E74B5" w:themeColor="accent1" w:themeShade="BF"/>
          <w:sz w:val="24"/>
          <w:szCs w:val="24"/>
        </w:rPr>
      </w:pPr>
      <w:r w:rsidRPr="003A637E">
        <w:rPr>
          <w:rFonts w:ascii="Times New Roman" w:hAnsi="Times New Roman" w:eastAsia="Times New Roman" w:cs="Times New Roman"/>
          <w:sz w:val="24"/>
          <w:szCs w:val="24"/>
        </w:rPr>
        <w:t xml:space="preserve">Members of the general public who choose to </w:t>
      </w:r>
      <w:r w:rsidR="000A50F4">
        <w:rPr>
          <w:rFonts w:ascii="Times New Roman" w:hAnsi="Times New Roman" w:eastAsia="Times New Roman" w:cs="Times New Roman"/>
          <w:sz w:val="24"/>
          <w:szCs w:val="24"/>
        </w:rPr>
        <w:t>answer</w:t>
      </w:r>
      <w:r w:rsidRPr="003A637E">
        <w:rPr>
          <w:rFonts w:ascii="Times New Roman" w:hAnsi="Times New Roman" w:eastAsia="Times New Roman" w:cs="Times New Roman"/>
          <w:sz w:val="24"/>
          <w:szCs w:val="24"/>
        </w:rPr>
        <w:t xml:space="preserve"> the community engagement </w:t>
      </w:r>
      <w:r w:rsidR="000A50F4">
        <w:rPr>
          <w:rFonts w:ascii="Times New Roman" w:hAnsi="Times New Roman" w:eastAsia="Times New Roman" w:cs="Times New Roman"/>
          <w:sz w:val="24"/>
          <w:szCs w:val="24"/>
        </w:rPr>
        <w:t xml:space="preserve">tool questions </w:t>
      </w:r>
      <w:r w:rsidRPr="003A637E">
        <w:rPr>
          <w:rFonts w:ascii="Times New Roman" w:hAnsi="Times New Roman" w:eastAsia="Times New Roman" w:cs="Times New Roman"/>
          <w:sz w:val="24"/>
          <w:szCs w:val="24"/>
        </w:rPr>
        <w:t>would also incur no costs to do so.</w:t>
      </w:r>
    </w:p>
    <w:p w:rsidRPr="003A637E" w:rsidR="00C64707" w:rsidP="00735023" w:rsidRDefault="00C64707" w14:paraId="40C3C4D4" w14:textId="5C28AF9C">
      <w:pPr>
        <w:pStyle w:val="Heading1"/>
        <w:rPr>
          <w:rFonts w:eastAsia="Times New Roman" w:cstheme="minorHAnsi"/>
          <w:color w:val="555555"/>
          <w:sz w:val="24"/>
          <w:szCs w:val="24"/>
        </w:rPr>
      </w:pPr>
      <w:r w:rsidRPr="003A637E">
        <w:rPr>
          <w:rFonts w:eastAsia="Times New Roman"/>
        </w:rPr>
        <w:lastRenderedPageBreak/>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3A637E" w:rsidR="00771C53" w:rsidP="003A637E" w:rsidRDefault="00771C53" w14:paraId="77B2FD84" w14:textId="7226AE41">
      <w:pPr>
        <w:shd w:val="clear" w:color="auto" w:fill="FFFFFF"/>
        <w:spacing w:after="0" w:line="240" w:lineRule="auto"/>
        <w:rPr>
          <w:rFonts w:eastAsia="Times New Roman" w:cstheme="minorHAnsi"/>
          <w:color w:val="555555"/>
          <w:sz w:val="24"/>
          <w:szCs w:val="24"/>
        </w:rPr>
      </w:pPr>
    </w:p>
    <w:p w:rsidRPr="003A637E" w:rsidR="00FA34B4" w:rsidP="007B607B" w:rsidRDefault="003F316E" w14:paraId="31ABE834" w14:textId="135C31F0">
      <w:pPr>
        <w:shd w:val="clear" w:color="auto" w:fill="FFFFFF"/>
        <w:spacing w:after="0" w:line="240" w:lineRule="auto"/>
        <w:ind w:left="63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The </w:t>
      </w:r>
      <w:r w:rsidR="00793319">
        <w:rPr>
          <w:rFonts w:ascii="Times New Roman" w:hAnsi="Times New Roman" w:eastAsia="Times New Roman" w:cs="Times New Roman"/>
          <w:sz w:val="24"/>
          <w:szCs w:val="24"/>
        </w:rPr>
        <w:t>UAS Integration Office (AUS)</w:t>
      </w:r>
      <w:r w:rsidRPr="003A637E" w:rsidR="00FA34B4">
        <w:rPr>
          <w:rFonts w:ascii="Times New Roman" w:hAnsi="Times New Roman" w:eastAsia="Times New Roman" w:cs="Times New Roman"/>
          <w:sz w:val="24"/>
          <w:szCs w:val="24"/>
        </w:rPr>
        <w:t xml:space="preserve"> </w:t>
      </w:r>
      <w:r w:rsidRPr="003A637E" w:rsidR="005E23E8">
        <w:rPr>
          <w:rFonts w:ascii="Times New Roman" w:hAnsi="Times New Roman" w:eastAsia="Times New Roman" w:cs="Times New Roman"/>
          <w:sz w:val="24"/>
          <w:szCs w:val="24"/>
        </w:rPr>
        <w:t>staff</w:t>
      </w:r>
      <w:r w:rsidR="00793319">
        <w:rPr>
          <w:rFonts w:ascii="Times New Roman" w:hAnsi="Times New Roman" w:eastAsia="Times New Roman" w:cs="Times New Roman"/>
          <w:sz w:val="24"/>
          <w:szCs w:val="24"/>
        </w:rPr>
        <w:t>s</w:t>
      </w:r>
      <w:r w:rsidRPr="003A637E" w:rsidR="005E23E8">
        <w:rPr>
          <w:rFonts w:ascii="Times New Roman" w:hAnsi="Times New Roman" w:eastAsia="Times New Roman" w:cs="Times New Roman"/>
          <w:sz w:val="24"/>
          <w:szCs w:val="24"/>
        </w:rPr>
        <w:t xml:space="preserve"> a number of federal and contract employees responsible for </w:t>
      </w:r>
      <w:r w:rsidRPr="003A637E" w:rsidR="00F56ACA">
        <w:rPr>
          <w:rFonts w:ascii="Times New Roman" w:hAnsi="Times New Roman" w:eastAsia="Times New Roman" w:cs="Times New Roman"/>
          <w:sz w:val="24"/>
          <w:szCs w:val="24"/>
        </w:rPr>
        <w:t xml:space="preserve">review, </w:t>
      </w:r>
      <w:r w:rsidRPr="003A637E">
        <w:rPr>
          <w:rFonts w:ascii="Times New Roman" w:hAnsi="Times New Roman" w:eastAsia="Times New Roman" w:cs="Times New Roman"/>
          <w:sz w:val="24"/>
          <w:szCs w:val="24"/>
        </w:rPr>
        <w:t>analysis</w:t>
      </w:r>
      <w:r w:rsidR="00793319">
        <w:rPr>
          <w:rFonts w:ascii="Times New Roman" w:hAnsi="Times New Roman" w:eastAsia="Times New Roman" w:cs="Times New Roman"/>
          <w:sz w:val="24"/>
          <w:szCs w:val="24"/>
        </w:rPr>
        <w:t>,</w:t>
      </w:r>
      <w:r w:rsidRPr="003A637E" w:rsidR="00F56ACA">
        <w:rPr>
          <w:rFonts w:ascii="Times New Roman" w:hAnsi="Times New Roman" w:eastAsia="Times New Roman" w:cs="Times New Roman"/>
          <w:sz w:val="24"/>
          <w:szCs w:val="24"/>
        </w:rPr>
        <w:t xml:space="preserve"> and interpretation of information collected in the</w:t>
      </w:r>
      <w:r w:rsidR="00C40E74">
        <w:rPr>
          <w:rFonts w:ascii="Times New Roman" w:hAnsi="Times New Roman" w:eastAsia="Times New Roman" w:cs="Times New Roman"/>
          <w:sz w:val="24"/>
          <w:szCs w:val="24"/>
        </w:rPr>
        <w:t>se data collections</w:t>
      </w:r>
      <w:r w:rsidRPr="003A637E" w:rsidR="005E23E8">
        <w:rPr>
          <w:rFonts w:ascii="Times New Roman" w:hAnsi="Times New Roman" w:eastAsia="Times New Roman" w:cs="Times New Roman"/>
          <w:sz w:val="24"/>
          <w:szCs w:val="24"/>
        </w:rPr>
        <w:t xml:space="preserve">. This work is </w:t>
      </w:r>
      <w:r w:rsidRPr="003A637E">
        <w:rPr>
          <w:rFonts w:ascii="Times New Roman" w:hAnsi="Times New Roman" w:eastAsia="Times New Roman" w:cs="Times New Roman"/>
          <w:sz w:val="24"/>
          <w:szCs w:val="24"/>
        </w:rPr>
        <w:t>expected to consume</w:t>
      </w:r>
      <w:r w:rsidR="00063CC3">
        <w:rPr>
          <w:rFonts w:ascii="Times New Roman" w:hAnsi="Times New Roman" w:eastAsia="Times New Roman" w:cs="Times New Roman"/>
          <w:sz w:val="24"/>
          <w:szCs w:val="24"/>
        </w:rPr>
        <w:t>,</w:t>
      </w:r>
      <w:r w:rsidRPr="003A637E">
        <w:rPr>
          <w:rFonts w:ascii="Times New Roman" w:hAnsi="Times New Roman" w:eastAsia="Times New Roman" w:cs="Times New Roman"/>
          <w:sz w:val="24"/>
          <w:szCs w:val="24"/>
        </w:rPr>
        <w:t xml:space="preserve"> </w:t>
      </w:r>
      <w:r w:rsidR="00063CC3">
        <w:rPr>
          <w:rFonts w:ascii="Times New Roman" w:hAnsi="Times New Roman" w:eastAsia="Times New Roman" w:cs="Times New Roman"/>
          <w:sz w:val="24"/>
          <w:szCs w:val="24"/>
        </w:rPr>
        <w:t xml:space="preserve">at most, </w:t>
      </w:r>
      <w:r w:rsidRPr="003A637E" w:rsidR="00F56ACA">
        <w:rPr>
          <w:rFonts w:ascii="Times New Roman" w:hAnsi="Times New Roman" w:eastAsia="Times New Roman" w:cs="Times New Roman"/>
          <w:sz w:val="24"/>
          <w:szCs w:val="24"/>
        </w:rPr>
        <w:t>10% of annual work time for the following staff:</w:t>
      </w:r>
      <w:r w:rsidRPr="003A637E">
        <w:rPr>
          <w:rFonts w:ascii="Times New Roman" w:hAnsi="Times New Roman" w:eastAsia="Times New Roman" w:cs="Times New Roman"/>
          <w:sz w:val="24"/>
          <w:szCs w:val="24"/>
        </w:rPr>
        <w:t xml:space="preserve"> </w:t>
      </w:r>
      <w:r w:rsidR="00227C90">
        <w:rPr>
          <w:rFonts w:ascii="Times New Roman" w:hAnsi="Times New Roman" w:eastAsia="Times New Roman" w:cs="Times New Roman"/>
          <w:sz w:val="24"/>
          <w:szCs w:val="24"/>
        </w:rPr>
        <w:t>nine</w:t>
      </w:r>
      <w:r w:rsidRPr="003A637E" w:rsidR="00227C90">
        <w:rPr>
          <w:rFonts w:ascii="Times New Roman" w:hAnsi="Times New Roman" w:eastAsia="Times New Roman" w:cs="Times New Roman"/>
          <w:sz w:val="24"/>
          <w:szCs w:val="24"/>
        </w:rPr>
        <w:t xml:space="preserve"> </w:t>
      </w:r>
      <w:r w:rsidRPr="003A637E">
        <w:rPr>
          <w:rFonts w:ascii="Times New Roman" w:hAnsi="Times New Roman" w:eastAsia="Times New Roman" w:cs="Times New Roman"/>
          <w:sz w:val="24"/>
          <w:szCs w:val="24"/>
        </w:rPr>
        <w:t xml:space="preserve">project managers, </w:t>
      </w:r>
      <w:r w:rsidR="00601D1A">
        <w:rPr>
          <w:rFonts w:ascii="Times New Roman" w:hAnsi="Times New Roman" w:eastAsia="Times New Roman" w:cs="Times New Roman"/>
          <w:sz w:val="24"/>
          <w:szCs w:val="24"/>
        </w:rPr>
        <w:t xml:space="preserve">with an </w:t>
      </w:r>
      <w:r w:rsidR="00790C36">
        <w:rPr>
          <w:rFonts w:ascii="Times New Roman" w:hAnsi="Times New Roman" w:eastAsia="Times New Roman" w:cs="Times New Roman"/>
          <w:sz w:val="24"/>
          <w:szCs w:val="24"/>
        </w:rPr>
        <w:t xml:space="preserve">average </w:t>
      </w:r>
      <w:r w:rsidR="00601D1A">
        <w:rPr>
          <w:rFonts w:ascii="Times New Roman" w:hAnsi="Times New Roman" w:eastAsia="Times New Roman" w:cs="Times New Roman"/>
          <w:sz w:val="24"/>
          <w:szCs w:val="24"/>
        </w:rPr>
        <w:t>expected salary no more than $168,820</w:t>
      </w:r>
      <w:r w:rsidRPr="003A637E">
        <w:rPr>
          <w:rFonts w:ascii="Times New Roman" w:hAnsi="Times New Roman" w:eastAsia="Times New Roman" w:cs="Times New Roman"/>
          <w:sz w:val="24"/>
          <w:szCs w:val="24"/>
        </w:rPr>
        <w:t xml:space="preserve"> per year</w:t>
      </w:r>
      <w:r w:rsidR="00601D1A">
        <w:rPr>
          <w:rStyle w:val="FootnoteReference"/>
          <w:rFonts w:ascii="Times New Roman" w:hAnsi="Times New Roman" w:eastAsia="Times New Roman" w:cs="Times New Roman"/>
          <w:sz w:val="24"/>
          <w:szCs w:val="24"/>
        </w:rPr>
        <w:footnoteReference w:id="24"/>
      </w:r>
      <w:r w:rsidRPr="003A637E">
        <w:rPr>
          <w:rFonts w:ascii="Times New Roman" w:hAnsi="Times New Roman" w:eastAsia="Times New Roman" w:cs="Times New Roman"/>
          <w:sz w:val="24"/>
          <w:szCs w:val="24"/>
        </w:rPr>
        <w:t xml:space="preserve">, </w:t>
      </w:r>
      <w:r w:rsidRPr="003A637E" w:rsidR="00F56ACA">
        <w:rPr>
          <w:rFonts w:ascii="Times New Roman" w:hAnsi="Times New Roman" w:eastAsia="Times New Roman" w:cs="Times New Roman"/>
          <w:sz w:val="24"/>
          <w:szCs w:val="24"/>
        </w:rPr>
        <w:t>two</w:t>
      </w:r>
      <w:r w:rsidR="00601D1A">
        <w:rPr>
          <w:rFonts w:ascii="Times New Roman" w:hAnsi="Times New Roman" w:eastAsia="Times New Roman" w:cs="Times New Roman"/>
          <w:sz w:val="24"/>
          <w:szCs w:val="24"/>
        </w:rPr>
        <w:t xml:space="preserve"> federal support staff</w:t>
      </w:r>
      <w:r w:rsidRPr="003A637E">
        <w:rPr>
          <w:rFonts w:ascii="Times New Roman" w:hAnsi="Times New Roman" w:eastAsia="Times New Roman" w:cs="Times New Roman"/>
          <w:sz w:val="24"/>
          <w:szCs w:val="24"/>
        </w:rPr>
        <w:t xml:space="preserve"> </w:t>
      </w:r>
      <w:r w:rsidR="00601D1A">
        <w:rPr>
          <w:rFonts w:ascii="Times New Roman" w:hAnsi="Times New Roman" w:eastAsia="Times New Roman" w:cs="Times New Roman"/>
          <w:sz w:val="24"/>
          <w:szCs w:val="24"/>
        </w:rPr>
        <w:t xml:space="preserve">with an </w:t>
      </w:r>
      <w:r w:rsidR="00790C36">
        <w:rPr>
          <w:rFonts w:ascii="Times New Roman" w:hAnsi="Times New Roman" w:eastAsia="Times New Roman" w:cs="Times New Roman"/>
          <w:sz w:val="24"/>
          <w:szCs w:val="24"/>
        </w:rPr>
        <w:t xml:space="preserve">average </w:t>
      </w:r>
      <w:r w:rsidR="00601D1A">
        <w:rPr>
          <w:rFonts w:ascii="Times New Roman" w:hAnsi="Times New Roman" w:eastAsia="Times New Roman" w:cs="Times New Roman"/>
          <w:sz w:val="24"/>
          <w:szCs w:val="24"/>
        </w:rPr>
        <w:t>expected salary no more than</w:t>
      </w:r>
      <w:r w:rsidRPr="003A637E">
        <w:rPr>
          <w:rFonts w:ascii="Times New Roman" w:hAnsi="Times New Roman" w:eastAsia="Times New Roman" w:cs="Times New Roman"/>
          <w:sz w:val="24"/>
          <w:szCs w:val="24"/>
        </w:rPr>
        <w:t xml:space="preserve"> $</w:t>
      </w:r>
      <w:r w:rsidR="00601D1A">
        <w:rPr>
          <w:rFonts w:ascii="Times New Roman" w:hAnsi="Times New Roman" w:eastAsia="Times New Roman" w:cs="Times New Roman"/>
          <w:sz w:val="24"/>
          <w:szCs w:val="24"/>
        </w:rPr>
        <w:t>113,677</w:t>
      </w:r>
      <w:r w:rsidRPr="003A637E">
        <w:rPr>
          <w:rFonts w:ascii="Times New Roman" w:hAnsi="Times New Roman" w:eastAsia="Times New Roman" w:cs="Times New Roman"/>
          <w:sz w:val="24"/>
          <w:szCs w:val="24"/>
        </w:rPr>
        <w:t xml:space="preserve"> per year</w:t>
      </w:r>
      <w:r w:rsidR="00601D1A">
        <w:rPr>
          <w:rStyle w:val="FootnoteReference"/>
          <w:rFonts w:ascii="Times New Roman" w:hAnsi="Times New Roman" w:eastAsia="Times New Roman" w:cs="Times New Roman"/>
          <w:sz w:val="24"/>
          <w:szCs w:val="24"/>
        </w:rPr>
        <w:footnoteReference w:id="25"/>
      </w:r>
      <w:r w:rsidRPr="003A637E">
        <w:rPr>
          <w:rFonts w:ascii="Times New Roman" w:hAnsi="Times New Roman" w:eastAsia="Times New Roman" w:cs="Times New Roman"/>
          <w:sz w:val="24"/>
          <w:szCs w:val="24"/>
        </w:rPr>
        <w:t xml:space="preserve">, </w:t>
      </w:r>
      <w:r w:rsidR="00790C36">
        <w:rPr>
          <w:rFonts w:ascii="Times New Roman" w:hAnsi="Times New Roman" w:eastAsia="Times New Roman" w:cs="Times New Roman"/>
          <w:sz w:val="24"/>
          <w:szCs w:val="24"/>
        </w:rPr>
        <w:t xml:space="preserve">and eight </w:t>
      </w:r>
      <w:r w:rsidRPr="003A637E" w:rsidR="00F56ACA">
        <w:rPr>
          <w:rFonts w:ascii="Times New Roman" w:hAnsi="Times New Roman" w:eastAsia="Times New Roman" w:cs="Times New Roman"/>
          <w:sz w:val="24"/>
          <w:szCs w:val="24"/>
        </w:rPr>
        <w:t>contract</w:t>
      </w:r>
      <w:r w:rsidR="00790C36">
        <w:rPr>
          <w:rFonts w:ascii="Times New Roman" w:hAnsi="Times New Roman" w:eastAsia="Times New Roman" w:cs="Times New Roman"/>
          <w:sz w:val="24"/>
          <w:szCs w:val="24"/>
        </w:rPr>
        <w:t>or</w:t>
      </w:r>
      <w:r w:rsidRPr="003A637E" w:rsidR="00F56ACA">
        <w:rPr>
          <w:rFonts w:ascii="Times New Roman" w:hAnsi="Times New Roman" w:eastAsia="Times New Roman" w:cs="Times New Roman"/>
          <w:sz w:val="24"/>
          <w:szCs w:val="24"/>
        </w:rPr>
        <w:t xml:space="preserve"> analysts, </w:t>
      </w:r>
      <w:r w:rsidR="00601D1A">
        <w:rPr>
          <w:rFonts w:ascii="Times New Roman" w:hAnsi="Times New Roman" w:eastAsia="Times New Roman" w:cs="Times New Roman"/>
          <w:sz w:val="24"/>
          <w:szCs w:val="24"/>
        </w:rPr>
        <w:t>with an</w:t>
      </w:r>
      <w:r w:rsidR="00790C36">
        <w:rPr>
          <w:rFonts w:ascii="Times New Roman" w:hAnsi="Times New Roman" w:eastAsia="Times New Roman" w:cs="Times New Roman"/>
          <w:sz w:val="24"/>
          <w:szCs w:val="24"/>
        </w:rPr>
        <w:t xml:space="preserve"> average</w:t>
      </w:r>
      <w:r w:rsidR="00601D1A">
        <w:rPr>
          <w:rFonts w:ascii="Times New Roman" w:hAnsi="Times New Roman" w:eastAsia="Times New Roman" w:cs="Times New Roman"/>
          <w:sz w:val="24"/>
          <w:szCs w:val="24"/>
        </w:rPr>
        <w:t xml:space="preserve"> expected salary no more than</w:t>
      </w:r>
      <w:r w:rsidRPr="003A637E" w:rsidR="00F56ACA">
        <w:rPr>
          <w:rFonts w:ascii="Times New Roman" w:hAnsi="Times New Roman" w:eastAsia="Times New Roman" w:cs="Times New Roman"/>
          <w:sz w:val="24"/>
          <w:szCs w:val="24"/>
        </w:rPr>
        <w:t xml:space="preserve"> </w:t>
      </w:r>
      <w:r w:rsidRPr="003A637E" w:rsidR="00D86529">
        <w:rPr>
          <w:rFonts w:ascii="Times New Roman" w:hAnsi="Times New Roman" w:eastAsia="Times New Roman" w:cs="Times New Roman"/>
          <w:sz w:val="24"/>
          <w:szCs w:val="24"/>
        </w:rPr>
        <w:t>$</w:t>
      </w:r>
      <w:r w:rsidR="00AF70D9">
        <w:rPr>
          <w:rFonts w:ascii="Times New Roman" w:hAnsi="Times New Roman" w:eastAsia="Times New Roman" w:cs="Times New Roman"/>
          <w:sz w:val="24"/>
          <w:szCs w:val="24"/>
        </w:rPr>
        <w:t>95,560</w:t>
      </w:r>
      <w:r w:rsidR="00D54187">
        <w:rPr>
          <w:rFonts w:ascii="Times New Roman" w:hAnsi="Times New Roman" w:eastAsia="Times New Roman" w:cs="Times New Roman"/>
          <w:sz w:val="24"/>
          <w:szCs w:val="24"/>
        </w:rPr>
        <w:t xml:space="preserve"> per year</w:t>
      </w:r>
      <w:r w:rsidR="00601D1A">
        <w:rPr>
          <w:rStyle w:val="FootnoteReference"/>
          <w:rFonts w:ascii="Times New Roman" w:hAnsi="Times New Roman" w:eastAsia="Times New Roman" w:cs="Times New Roman"/>
          <w:sz w:val="24"/>
          <w:szCs w:val="24"/>
        </w:rPr>
        <w:footnoteReference w:id="26"/>
      </w:r>
      <w:r w:rsidRPr="003A637E" w:rsidR="00F56ACA">
        <w:rPr>
          <w:rFonts w:ascii="Times New Roman" w:hAnsi="Times New Roman" w:eastAsia="Times New Roman" w:cs="Times New Roman"/>
          <w:sz w:val="24"/>
          <w:szCs w:val="24"/>
        </w:rPr>
        <w:t xml:space="preserve">. </w:t>
      </w:r>
      <w:r w:rsidRPr="003A637E" w:rsidR="005E23E8">
        <w:rPr>
          <w:rFonts w:ascii="Times New Roman" w:hAnsi="Times New Roman" w:eastAsia="Times New Roman" w:cs="Times New Roman"/>
          <w:sz w:val="24"/>
          <w:szCs w:val="24"/>
        </w:rPr>
        <w:t xml:space="preserve">There </w:t>
      </w:r>
      <w:r w:rsidR="00790C36">
        <w:rPr>
          <w:rFonts w:ascii="Times New Roman" w:hAnsi="Times New Roman" w:eastAsia="Times New Roman" w:cs="Times New Roman"/>
          <w:sz w:val="24"/>
          <w:szCs w:val="24"/>
        </w:rPr>
        <w:t>will also be one Federal</w:t>
      </w:r>
      <w:r w:rsidRPr="003A637E" w:rsidR="005E23E8">
        <w:rPr>
          <w:rFonts w:ascii="Times New Roman" w:hAnsi="Times New Roman" w:eastAsia="Times New Roman" w:cs="Times New Roman"/>
          <w:sz w:val="24"/>
          <w:szCs w:val="24"/>
        </w:rPr>
        <w:t xml:space="preserve"> data project manager</w:t>
      </w:r>
      <w:r w:rsidRPr="003A637E" w:rsidR="00FB3C89">
        <w:rPr>
          <w:rFonts w:ascii="Times New Roman" w:hAnsi="Times New Roman" w:eastAsia="Times New Roman" w:cs="Times New Roman"/>
          <w:sz w:val="24"/>
          <w:szCs w:val="24"/>
        </w:rPr>
        <w:t>, with a</w:t>
      </w:r>
      <w:r w:rsidR="00790C36">
        <w:rPr>
          <w:rFonts w:ascii="Times New Roman" w:hAnsi="Times New Roman" w:eastAsia="Times New Roman" w:cs="Times New Roman"/>
          <w:sz w:val="24"/>
          <w:szCs w:val="24"/>
        </w:rPr>
        <w:t>n average expected</w:t>
      </w:r>
      <w:r w:rsidRPr="003A637E" w:rsidR="00FB3C89">
        <w:rPr>
          <w:rFonts w:ascii="Times New Roman" w:hAnsi="Times New Roman" w:eastAsia="Times New Roman" w:cs="Times New Roman"/>
          <w:sz w:val="24"/>
          <w:szCs w:val="24"/>
        </w:rPr>
        <w:t xml:space="preserve"> salary</w:t>
      </w:r>
      <w:r w:rsidR="00790C36">
        <w:rPr>
          <w:rFonts w:ascii="Times New Roman" w:hAnsi="Times New Roman" w:eastAsia="Times New Roman" w:cs="Times New Roman"/>
          <w:sz w:val="24"/>
          <w:szCs w:val="24"/>
        </w:rPr>
        <w:t xml:space="preserve"> no more than</w:t>
      </w:r>
      <w:r w:rsidRPr="003A637E" w:rsidR="00FB3C89">
        <w:rPr>
          <w:rFonts w:ascii="Times New Roman" w:hAnsi="Times New Roman" w:eastAsia="Times New Roman" w:cs="Times New Roman"/>
          <w:sz w:val="24"/>
          <w:szCs w:val="24"/>
        </w:rPr>
        <w:t xml:space="preserve"> $</w:t>
      </w:r>
      <w:r w:rsidR="00790C36">
        <w:rPr>
          <w:rFonts w:ascii="Times New Roman" w:hAnsi="Times New Roman" w:eastAsia="Times New Roman" w:cs="Times New Roman"/>
          <w:sz w:val="24"/>
          <w:szCs w:val="24"/>
        </w:rPr>
        <w:t>168,82</w:t>
      </w:r>
      <w:r w:rsidRPr="003A637E" w:rsidR="00FB3C89">
        <w:rPr>
          <w:rFonts w:ascii="Times New Roman" w:hAnsi="Times New Roman" w:eastAsia="Times New Roman" w:cs="Times New Roman"/>
          <w:sz w:val="24"/>
          <w:szCs w:val="24"/>
        </w:rPr>
        <w:t>0</w:t>
      </w:r>
      <w:r w:rsidR="00D54187">
        <w:rPr>
          <w:rFonts w:ascii="Times New Roman" w:hAnsi="Times New Roman" w:eastAsia="Times New Roman" w:cs="Times New Roman"/>
          <w:sz w:val="24"/>
          <w:szCs w:val="24"/>
        </w:rPr>
        <w:t xml:space="preserve"> per year</w:t>
      </w:r>
      <w:r w:rsidR="00790C36">
        <w:rPr>
          <w:rStyle w:val="FootnoteReference"/>
          <w:rFonts w:ascii="Times New Roman" w:hAnsi="Times New Roman" w:eastAsia="Times New Roman" w:cs="Times New Roman"/>
          <w:sz w:val="24"/>
          <w:szCs w:val="24"/>
        </w:rPr>
        <w:footnoteReference w:id="27"/>
      </w:r>
      <w:r w:rsidRPr="003A637E" w:rsidR="00FB3C89">
        <w:rPr>
          <w:rFonts w:ascii="Times New Roman" w:hAnsi="Times New Roman" w:eastAsia="Times New Roman" w:cs="Times New Roman"/>
          <w:sz w:val="24"/>
          <w:szCs w:val="24"/>
        </w:rPr>
        <w:t>,</w:t>
      </w:r>
      <w:r w:rsidRPr="003A637E" w:rsidR="005E23E8">
        <w:rPr>
          <w:rFonts w:ascii="Times New Roman" w:hAnsi="Times New Roman" w:eastAsia="Times New Roman" w:cs="Times New Roman"/>
          <w:sz w:val="24"/>
          <w:szCs w:val="24"/>
        </w:rPr>
        <w:t xml:space="preserve"> who </w:t>
      </w:r>
      <w:r w:rsidR="00790C36">
        <w:rPr>
          <w:rFonts w:ascii="Times New Roman" w:hAnsi="Times New Roman" w:eastAsia="Times New Roman" w:cs="Times New Roman"/>
          <w:sz w:val="24"/>
          <w:szCs w:val="24"/>
        </w:rPr>
        <w:t>will spend</w:t>
      </w:r>
      <w:r w:rsidRPr="003A637E" w:rsidR="005E23E8">
        <w:rPr>
          <w:rFonts w:ascii="Times New Roman" w:hAnsi="Times New Roman" w:eastAsia="Times New Roman" w:cs="Times New Roman"/>
          <w:sz w:val="24"/>
          <w:szCs w:val="24"/>
        </w:rPr>
        <w:t xml:space="preserve"> approximately 50% of </w:t>
      </w:r>
      <w:r w:rsidR="00790C36">
        <w:rPr>
          <w:rFonts w:ascii="Times New Roman" w:hAnsi="Times New Roman" w:eastAsia="Times New Roman" w:cs="Times New Roman"/>
          <w:sz w:val="24"/>
          <w:szCs w:val="24"/>
        </w:rPr>
        <w:t xml:space="preserve">his or </w:t>
      </w:r>
      <w:r w:rsidRPr="003A637E" w:rsidR="005E23E8">
        <w:rPr>
          <w:rFonts w:ascii="Times New Roman" w:hAnsi="Times New Roman" w:eastAsia="Times New Roman" w:cs="Times New Roman"/>
          <w:sz w:val="24"/>
          <w:szCs w:val="24"/>
        </w:rPr>
        <w:t xml:space="preserve">her time reviewing, analyzing, interpreting, developing reports and other data-related tasks related to the operational data, UAS characteristics data, and UAS </w:t>
      </w:r>
      <w:r w:rsidR="00793319">
        <w:rPr>
          <w:rFonts w:ascii="Times New Roman" w:hAnsi="Times New Roman" w:eastAsia="Times New Roman" w:cs="Times New Roman"/>
          <w:sz w:val="24"/>
          <w:szCs w:val="24"/>
        </w:rPr>
        <w:t xml:space="preserve">flight </w:t>
      </w:r>
      <w:r w:rsidRPr="003A637E" w:rsidR="005E23E8">
        <w:rPr>
          <w:rFonts w:ascii="Times New Roman" w:hAnsi="Times New Roman" w:eastAsia="Times New Roman" w:cs="Times New Roman"/>
          <w:sz w:val="24"/>
          <w:szCs w:val="24"/>
        </w:rPr>
        <w:t>anomaly data.</w:t>
      </w:r>
    </w:p>
    <w:p w:rsidRPr="003A637E" w:rsidR="00FA34B4" w:rsidP="007B607B" w:rsidRDefault="00FA34B4" w14:paraId="4DFFAB06" w14:textId="77777777">
      <w:pPr>
        <w:shd w:val="clear" w:color="auto" w:fill="FFFFFF"/>
        <w:spacing w:after="0" w:line="240" w:lineRule="auto"/>
        <w:ind w:left="630"/>
        <w:rPr>
          <w:rFonts w:ascii="Times New Roman" w:hAnsi="Times New Roman" w:eastAsia="Times New Roman" w:cs="Times New Roman"/>
          <w:sz w:val="24"/>
          <w:szCs w:val="24"/>
        </w:rPr>
      </w:pPr>
    </w:p>
    <w:p w:rsidRPr="003A637E" w:rsidR="00FA34B4" w:rsidP="007B607B" w:rsidRDefault="00227C90" w14:paraId="338C1521" w14:textId="4B68B984">
      <w:pPr>
        <w:shd w:val="clear" w:color="auto" w:fill="FFFFFF"/>
        <w:spacing w:after="0" w:line="24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sidRPr="003A637E">
        <w:rPr>
          <w:rFonts w:ascii="Times New Roman" w:hAnsi="Times New Roman" w:eastAsia="Times New Roman" w:cs="Times New Roman"/>
          <w:sz w:val="24"/>
          <w:szCs w:val="24"/>
        </w:rPr>
        <w:t xml:space="preserve"> </w:t>
      </w:r>
      <w:r w:rsidRPr="003A637E" w:rsidR="00FA34B4">
        <w:rPr>
          <w:rFonts w:ascii="Times New Roman" w:hAnsi="Times New Roman" w:eastAsia="Times New Roman" w:cs="Times New Roman"/>
          <w:sz w:val="24"/>
          <w:szCs w:val="24"/>
        </w:rPr>
        <w:t>federal project managers x $</w:t>
      </w:r>
      <w:r w:rsidR="00790C36">
        <w:rPr>
          <w:rFonts w:ascii="Times New Roman" w:hAnsi="Times New Roman" w:eastAsia="Times New Roman" w:cs="Times New Roman"/>
          <w:sz w:val="24"/>
          <w:szCs w:val="24"/>
        </w:rPr>
        <w:t>168,820</w:t>
      </w:r>
      <w:r w:rsidRPr="003A637E" w:rsidR="00FA34B4">
        <w:rPr>
          <w:rFonts w:ascii="Times New Roman" w:hAnsi="Times New Roman" w:eastAsia="Times New Roman" w:cs="Times New Roman"/>
          <w:sz w:val="24"/>
          <w:szCs w:val="24"/>
        </w:rPr>
        <w:t xml:space="preserve"> per year = $</w:t>
      </w:r>
      <w:r w:rsidRPr="003A637E" w:rsidR="005E23E8">
        <w:rPr>
          <w:rFonts w:ascii="Times New Roman" w:hAnsi="Times New Roman" w:eastAsia="Times New Roman" w:cs="Times New Roman"/>
          <w:sz w:val="24"/>
          <w:szCs w:val="24"/>
        </w:rPr>
        <w:t>1,</w:t>
      </w:r>
      <w:r>
        <w:rPr>
          <w:rFonts w:ascii="Times New Roman" w:hAnsi="Times New Roman" w:eastAsia="Times New Roman" w:cs="Times New Roman"/>
          <w:sz w:val="24"/>
          <w:szCs w:val="24"/>
        </w:rPr>
        <w:t>519,380</w:t>
      </w:r>
      <w:r w:rsidRPr="003A637E" w:rsidR="00FA34B4">
        <w:rPr>
          <w:rFonts w:ascii="Times New Roman" w:hAnsi="Times New Roman" w:eastAsia="Times New Roman" w:cs="Times New Roman"/>
          <w:sz w:val="24"/>
          <w:szCs w:val="24"/>
        </w:rPr>
        <w:t xml:space="preserve"> (10% = $</w:t>
      </w:r>
      <w:r>
        <w:rPr>
          <w:rFonts w:ascii="Times New Roman" w:hAnsi="Times New Roman" w:eastAsia="Times New Roman" w:cs="Times New Roman"/>
          <w:sz w:val="24"/>
          <w:szCs w:val="24"/>
        </w:rPr>
        <w:t>151,938</w:t>
      </w:r>
      <w:r w:rsidRPr="003A637E" w:rsidR="00FA34B4">
        <w:rPr>
          <w:rFonts w:ascii="Times New Roman" w:hAnsi="Times New Roman" w:eastAsia="Times New Roman" w:cs="Times New Roman"/>
          <w:sz w:val="24"/>
          <w:szCs w:val="24"/>
        </w:rPr>
        <w:t>)</w:t>
      </w:r>
    </w:p>
    <w:p w:rsidRPr="003A637E" w:rsidR="00FA34B4" w:rsidP="007B607B" w:rsidRDefault="00FA34B4" w14:paraId="07004D6B" w14:textId="4EDA7B83">
      <w:pPr>
        <w:shd w:val="clear" w:color="auto" w:fill="FFFFFF"/>
        <w:spacing w:after="0" w:line="240" w:lineRule="auto"/>
        <w:ind w:left="144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2 federal support staff x $</w:t>
      </w:r>
      <w:r w:rsidR="00790C36">
        <w:rPr>
          <w:rFonts w:ascii="Times New Roman" w:hAnsi="Times New Roman" w:eastAsia="Times New Roman" w:cs="Times New Roman"/>
          <w:sz w:val="24"/>
          <w:szCs w:val="24"/>
        </w:rPr>
        <w:t>113,677</w:t>
      </w:r>
      <w:r w:rsidRPr="003A637E">
        <w:rPr>
          <w:rFonts w:ascii="Times New Roman" w:hAnsi="Times New Roman" w:eastAsia="Times New Roman" w:cs="Times New Roman"/>
          <w:sz w:val="24"/>
          <w:szCs w:val="24"/>
        </w:rPr>
        <w:t xml:space="preserve"> per year = $</w:t>
      </w:r>
      <w:r w:rsidR="00790C36">
        <w:rPr>
          <w:rFonts w:ascii="Times New Roman" w:hAnsi="Times New Roman" w:eastAsia="Times New Roman" w:cs="Times New Roman"/>
          <w:sz w:val="24"/>
          <w:szCs w:val="24"/>
        </w:rPr>
        <w:t>227,354 (10% = $22,735</w:t>
      </w:r>
      <w:r w:rsidRPr="003A637E">
        <w:rPr>
          <w:rFonts w:ascii="Times New Roman" w:hAnsi="Times New Roman" w:eastAsia="Times New Roman" w:cs="Times New Roman"/>
          <w:sz w:val="24"/>
          <w:szCs w:val="24"/>
        </w:rPr>
        <w:t>)</w:t>
      </w:r>
    </w:p>
    <w:p w:rsidRPr="003A637E" w:rsidR="00FA34B4" w:rsidP="00790C36" w:rsidRDefault="00790C36" w14:paraId="2FB21E6B" w14:textId="546D3931">
      <w:pPr>
        <w:shd w:val="clear" w:color="auto" w:fill="FFFFFF"/>
        <w:spacing w:after="0" w:line="240" w:lineRule="auto"/>
        <w:ind w:left="1440" w:right="-9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Pr="003A637E" w:rsidR="00FA34B4">
        <w:rPr>
          <w:rFonts w:ascii="Times New Roman" w:hAnsi="Times New Roman" w:eastAsia="Times New Roman" w:cs="Times New Roman"/>
          <w:sz w:val="24"/>
          <w:szCs w:val="24"/>
        </w:rPr>
        <w:t xml:space="preserve"> contract project support analysts x $</w:t>
      </w:r>
      <w:r w:rsidR="00AF70D9">
        <w:rPr>
          <w:rFonts w:ascii="Times New Roman" w:hAnsi="Times New Roman" w:eastAsia="Times New Roman" w:cs="Times New Roman"/>
          <w:sz w:val="24"/>
          <w:szCs w:val="24"/>
        </w:rPr>
        <w:t>95,560</w:t>
      </w:r>
      <w:r w:rsidRPr="003A637E" w:rsidR="00FA34B4">
        <w:rPr>
          <w:rFonts w:ascii="Times New Roman" w:hAnsi="Times New Roman" w:eastAsia="Times New Roman" w:cs="Times New Roman"/>
          <w:sz w:val="24"/>
          <w:szCs w:val="24"/>
        </w:rPr>
        <w:t xml:space="preserve"> per year = $</w:t>
      </w:r>
      <w:r w:rsidR="00AF70D9">
        <w:rPr>
          <w:rFonts w:ascii="Times New Roman" w:hAnsi="Times New Roman" w:eastAsia="Times New Roman" w:cs="Times New Roman"/>
          <w:sz w:val="24"/>
          <w:szCs w:val="24"/>
        </w:rPr>
        <w:t>764,48</w:t>
      </w:r>
      <w:r>
        <w:rPr>
          <w:rFonts w:ascii="Times New Roman" w:hAnsi="Times New Roman" w:eastAsia="Times New Roman" w:cs="Times New Roman"/>
          <w:sz w:val="24"/>
          <w:szCs w:val="24"/>
        </w:rPr>
        <w:t>0</w:t>
      </w:r>
      <w:r w:rsidRPr="003A637E" w:rsidR="00FA34B4">
        <w:rPr>
          <w:rFonts w:ascii="Times New Roman" w:hAnsi="Times New Roman" w:eastAsia="Times New Roman" w:cs="Times New Roman"/>
          <w:sz w:val="24"/>
          <w:szCs w:val="24"/>
        </w:rPr>
        <w:t xml:space="preserve"> (10% = $</w:t>
      </w:r>
      <w:r w:rsidR="00AF70D9">
        <w:rPr>
          <w:rFonts w:ascii="Times New Roman" w:hAnsi="Times New Roman" w:eastAsia="Times New Roman" w:cs="Times New Roman"/>
          <w:sz w:val="24"/>
          <w:szCs w:val="24"/>
        </w:rPr>
        <w:t>76,448</w:t>
      </w:r>
      <w:r w:rsidRPr="003A637E" w:rsidR="00FA34B4">
        <w:rPr>
          <w:rFonts w:ascii="Times New Roman" w:hAnsi="Times New Roman" w:eastAsia="Times New Roman" w:cs="Times New Roman"/>
          <w:sz w:val="24"/>
          <w:szCs w:val="24"/>
        </w:rPr>
        <w:t>)</w:t>
      </w:r>
    </w:p>
    <w:p w:rsidRPr="003A637E" w:rsidR="00FB3C89" w:rsidP="007B607B" w:rsidRDefault="00FB3C89" w14:paraId="204DBD82" w14:textId="68DF0B8A">
      <w:pPr>
        <w:shd w:val="clear" w:color="auto" w:fill="FFFFFF"/>
        <w:spacing w:after="0" w:line="240" w:lineRule="auto"/>
        <w:ind w:left="144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1</w:t>
      </w:r>
      <w:r w:rsidR="00F639F8">
        <w:rPr>
          <w:rFonts w:ascii="Times New Roman" w:hAnsi="Times New Roman" w:eastAsia="Times New Roman" w:cs="Times New Roman"/>
          <w:sz w:val="24"/>
          <w:szCs w:val="24"/>
        </w:rPr>
        <w:t xml:space="preserve"> federal</w:t>
      </w:r>
      <w:r w:rsidRPr="003A637E">
        <w:rPr>
          <w:rFonts w:ascii="Times New Roman" w:hAnsi="Times New Roman" w:eastAsia="Times New Roman" w:cs="Times New Roman"/>
          <w:sz w:val="24"/>
          <w:szCs w:val="24"/>
        </w:rPr>
        <w:t xml:space="preserve"> data project manager x $</w:t>
      </w:r>
      <w:r w:rsidR="00790C36">
        <w:rPr>
          <w:rFonts w:ascii="Times New Roman" w:hAnsi="Times New Roman" w:eastAsia="Times New Roman" w:cs="Times New Roman"/>
          <w:sz w:val="24"/>
          <w:szCs w:val="24"/>
        </w:rPr>
        <w:t>168,820</w:t>
      </w:r>
      <w:r w:rsidRPr="003A637E">
        <w:rPr>
          <w:rFonts w:ascii="Times New Roman" w:hAnsi="Times New Roman" w:eastAsia="Times New Roman" w:cs="Times New Roman"/>
          <w:sz w:val="24"/>
          <w:szCs w:val="24"/>
        </w:rPr>
        <w:t xml:space="preserve"> per year = $</w:t>
      </w:r>
      <w:r w:rsidR="00790C36">
        <w:rPr>
          <w:rFonts w:ascii="Times New Roman" w:hAnsi="Times New Roman" w:eastAsia="Times New Roman" w:cs="Times New Roman"/>
          <w:sz w:val="24"/>
          <w:szCs w:val="24"/>
        </w:rPr>
        <w:t>168,820</w:t>
      </w:r>
      <w:r w:rsidRPr="003A637E">
        <w:rPr>
          <w:rFonts w:ascii="Times New Roman" w:hAnsi="Times New Roman" w:eastAsia="Times New Roman" w:cs="Times New Roman"/>
          <w:sz w:val="24"/>
          <w:szCs w:val="24"/>
        </w:rPr>
        <w:t xml:space="preserve"> (50% = $</w:t>
      </w:r>
      <w:r w:rsidR="00790C36">
        <w:rPr>
          <w:rFonts w:ascii="Times New Roman" w:hAnsi="Times New Roman" w:eastAsia="Times New Roman" w:cs="Times New Roman"/>
          <w:sz w:val="24"/>
          <w:szCs w:val="24"/>
        </w:rPr>
        <w:t>84,410</w:t>
      </w:r>
      <w:r w:rsidRPr="003A637E">
        <w:rPr>
          <w:rFonts w:ascii="Times New Roman" w:hAnsi="Times New Roman" w:eastAsia="Times New Roman" w:cs="Times New Roman"/>
          <w:sz w:val="24"/>
          <w:szCs w:val="24"/>
        </w:rPr>
        <w:t>)</w:t>
      </w:r>
    </w:p>
    <w:p w:rsidRPr="003A637E" w:rsidR="00FA34B4" w:rsidP="007B607B" w:rsidRDefault="00FA34B4" w14:paraId="1F5E3AB4" w14:textId="77777777">
      <w:pPr>
        <w:shd w:val="clear" w:color="auto" w:fill="FFFFFF"/>
        <w:spacing w:after="0" w:line="240" w:lineRule="auto"/>
        <w:ind w:left="1440"/>
        <w:rPr>
          <w:rFonts w:ascii="Times New Roman" w:hAnsi="Times New Roman" w:eastAsia="Times New Roman" w:cs="Times New Roman"/>
          <w:sz w:val="24"/>
          <w:szCs w:val="24"/>
        </w:rPr>
      </w:pPr>
    </w:p>
    <w:p w:rsidRPr="003A637E" w:rsidR="003F316E" w:rsidP="007B607B" w:rsidRDefault="00F56ACA" w14:paraId="1615957C" w14:textId="0616E3D5">
      <w:pPr>
        <w:shd w:val="clear" w:color="auto" w:fill="FFFFFF"/>
        <w:spacing w:after="0" w:line="240" w:lineRule="auto"/>
        <w:ind w:left="63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This comes to a</w:t>
      </w:r>
      <w:r w:rsidR="00063CC3">
        <w:rPr>
          <w:rFonts w:ascii="Times New Roman" w:hAnsi="Times New Roman" w:eastAsia="Times New Roman" w:cs="Times New Roman"/>
          <w:sz w:val="24"/>
          <w:szCs w:val="24"/>
        </w:rPr>
        <w:t xml:space="preserve"> maximum</w:t>
      </w:r>
      <w:r w:rsidRPr="003A637E">
        <w:rPr>
          <w:rFonts w:ascii="Times New Roman" w:hAnsi="Times New Roman" w:eastAsia="Times New Roman" w:cs="Times New Roman"/>
          <w:sz w:val="24"/>
          <w:szCs w:val="24"/>
        </w:rPr>
        <w:t xml:space="preserve"> total of $</w:t>
      </w:r>
      <w:r w:rsidR="00AF70D9">
        <w:rPr>
          <w:rFonts w:ascii="Times New Roman" w:hAnsi="Times New Roman" w:eastAsia="Times New Roman" w:cs="Times New Roman"/>
          <w:sz w:val="24"/>
          <w:szCs w:val="24"/>
        </w:rPr>
        <w:t>335,531</w:t>
      </w:r>
      <w:r w:rsidRPr="003A637E" w:rsidR="00FB3C89">
        <w:rPr>
          <w:rFonts w:ascii="Times New Roman" w:hAnsi="Times New Roman" w:eastAsia="Times New Roman" w:cs="Times New Roman"/>
          <w:sz w:val="24"/>
          <w:szCs w:val="24"/>
        </w:rPr>
        <w:t xml:space="preserve"> </w:t>
      </w:r>
      <w:r w:rsidRPr="003A637E">
        <w:rPr>
          <w:rFonts w:ascii="Times New Roman" w:hAnsi="Times New Roman" w:eastAsia="Times New Roman" w:cs="Times New Roman"/>
          <w:sz w:val="24"/>
          <w:szCs w:val="24"/>
        </w:rPr>
        <w:t>per year.</w:t>
      </w:r>
    </w:p>
    <w:p w:rsidRPr="003A637E" w:rsidR="003F316E" w:rsidP="007B607B" w:rsidRDefault="003F316E" w14:paraId="5DD7AB82" w14:textId="59F48ADB">
      <w:pPr>
        <w:shd w:val="clear" w:color="auto" w:fill="FFFFFF"/>
        <w:spacing w:after="0" w:line="240" w:lineRule="auto"/>
        <w:ind w:left="630"/>
        <w:rPr>
          <w:rFonts w:ascii="Times New Roman" w:hAnsi="Times New Roman" w:eastAsia="Times New Roman" w:cs="Times New Roman"/>
          <w:sz w:val="24"/>
          <w:szCs w:val="24"/>
        </w:rPr>
      </w:pPr>
    </w:p>
    <w:p w:rsidRPr="003A637E" w:rsidR="00D86529" w:rsidP="007B607B" w:rsidRDefault="003F316E" w14:paraId="2D646CA7" w14:textId="59752A08">
      <w:pPr>
        <w:shd w:val="clear" w:color="auto" w:fill="FFFFFF"/>
        <w:spacing w:after="0" w:line="240" w:lineRule="auto"/>
        <w:ind w:left="63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The </w:t>
      </w:r>
      <w:r w:rsidRPr="003A637E" w:rsidR="00D86529">
        <w:rPr>
          <w:rFonts w:ascii="Times New Roman" w:hAnsi="Times New Roman" w:eastAsia="Times New Roman" w:cs="Times New Roman"/>
          <w:sz w:val="24"/>
          <w:szCs w:val="24"/>
        </w:rPr>
        <w:t xml:space="preserve">operational data </w:t>
      </w:r>
      <w:r w:rsidRPr="003A637E">
        <w:rPr>
          <w:rFonts w:ascii="Times New Roman" w:hAnsi="Times New Roman" w:eastAsia="Times New Roman" w:cs="Times New Roman"/>
          <w:sz w:val="24"/>
          <w:szCs w:val="24"/>
        </w:rPr>
        <w:t>also requires secured storage, which is expected to cost $</w:t>
      </w:r>
      <w:r w:rsidRPr="003A637E" w:rsidR="00FB3C89">
        <w:rPr>
          <w:rFonts w:ascii="Times New Roman" w:hAnsi="Times New Roman" w:eastAsia="Times New Roman" w:cs="Times New Roman"/>
          <w:sz w:val="24"/>
          <w:szCs w:val="24"/>
        </w:rPr>
        <w:t xml:space="preserve">2,500 total, </w:t>
      </w:r>
      <w:r w:rsidR="00227C90">
        <w:rPr>
          <w:rFonts w:ascii="Times New Roman" w:hAnsi="Times New Roman" w:eastAsia="Times New Roman" w:cs="Times New Roman"/>
          <w:sz w:val="24"/>
          <w:szCs w:val="24"/>
        </w:rPr>
        <w:t xml:space="preserve">annualized </w:t>
      </w:r>
      <w:r w:rsidRPr="003A637E" w:rsidR="00FB3C89">
        <w:rPr>
          <w:rFonts w:ascii="Times New Roman" w:hAnsi="Times New Roman" w:eastAsia="Times New Roman" w:cs="Times New Roman"/>
          <w:sz w:val="24"/>
          <w:szCs w:val="24"/>
        </w:rPr>
        <w:t>to $833.33</w:t>
      </w:r>
      <w:r w:rsidRPr="00227C90" w:rsidR="00227C90">
        <w:rPr>
          <w:rFonts w:ascii="Times New Roman" w:hAnsi="Times New Roman" w:eastAsia="Times New Roman" w:cs="Times New Roman"/>
          <w:sz w:val="24"/>
          <w:szCs w:val="24"/>
        </w:rPr>
        <w:t xml:space="preserve"> </w:t>
      </w:r>
      <w:r w:rsidR="00227C90">
        <w:rPr>
          <w:rFonts w:ascii="Times New Roman" w:hAnsi="Times New Roman" w:eastAsia="Times New Roman" w:cs="Times New Roman"/>
          <w:sz w:val="24"/>
          <w:szCs w:val="24"/>
        </w:rPr>
        <w:t>and development and licensing which is expected to cost $6,400 per year</w:t>
      </w:r>
      <w:r w:rsidRPr="003A637E" w:rsidR="00FB3C89">
        <w:rPr>
          <w:rFonts w:ascii="Times New Roman" w:hAnsi="Times New Roman" w:eastAsia="Times New Roman" w:cs="Times New Roman"/>
          <w:sz w:val="24"/>
          <w:szCs w:val="24"/>
        </w:rPr>
        <w:t>.</w:t>
      </w:r>
      <w:r w:rsidR="00227C90">
        <w:rPr>
          <w:rFonts w:ascii="Times New Roman" w:hAnsi="Times New Roman" w:eastAsia="Times New Roman" w:cs="Times New Roman"/>
          <w:sz w:val="24"/>
          <w:szCs w:val="24"/>
        </w:rPr>
        <w:t xml:space="preserve">  This comes to a total of 7,233.33 per year.</w:t>
      </w:r>
    </w:p>
    <w:p w:rsidRPr="003A637E" w:rsidR="00D86529" w:rsidP="007B607B" w:rsidRDefault="00D86529" w14:paraId="1408B776" w14:textId="77777777">
      <w:pPr>
        <w:shd w:val="clear" w:color="auto" w:fill="FFFFFF"/>
        <w:spacing w:after="0" w:line="240" w:lineRule="auto"/>
        <w:ind w:left="630"/>
        <w:rPr>
          <w:rFonts w:ascii="Times New Roman" w:hAnsi="Times New Roman" w:eastAsia="Times New Roman" w:cs="Times New Roman"/>
          <w:sz w:val="24"/>
          <w:szCs w:val="24"/>
        </w:rPr>
      </w:pPr>
    </w:p>
    <w:p w:rsidRPr="003A637E" w:rsidR="00D86529" w:rsidP="007B607B" w:rsidRDefault="00D86529" w14:paraId="0612CA86" w14:textId="0FC63A62">
      <w:pPr>
        <w:shd w:val="clear" w:color="auto" w:fill="FFFFFF"/>
        <w:spacing w:after="0" w:line="240" w:lineRule="auto"/>
        <w:ind w:left="63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Project managers, fed</w:t>
      </w:r>
      <w:r w:rsidR="00063CC3">
        <w:rPr>
          <w:rFonts w:ascii="Times New Roman" w:hAnsi="Times New Roman" w:eastAsia="Times New Roman" w:cs="Times New Roman"/>
          <w:sz w:val="24"/>
          <w:szCs w:val="24"/>
        </w:rPr>
        <w:t xml:space="preserve">eral support staff and contractor </w:t>
      </w:r>
      <w:r w:rsidRPr="003A637E">
        <w:rPr>
          <w:rFonts w:ascii="Times New Roman" w:hAnsi="Times New Roman" w:eastAsia="Times New Roman" w:cs="Times New Roman"/>
          <w:sz w:val="24"/>
          <w:szCs w:val="24"/>
        </w:rPr>
        <w:t xml:space="preserve">analysts may be required to travel in order to meet with the </w:t>
      </w:r>
      <w:r w:rsidR="00793319">
        <w:rPr>
          <w:rFonts w:ascii="Times New Roman" w:hAnsi="Times New Roman" w:eastAsia="Times New Roman" w:cs="Times New Roman"/>
          <w:sz w:val="24"/>
          <w:szCs w:val="24"/>
        </w:rPr>
        <w:t>BEYOND and PSP p</w:t>
      </w:r>
      <w:r w:rsidRPr="003A637E">
        <w:rPr>
          <w:rFonts w:ascii="Times New Roman" w:hAnsi="Times New Roman" w:eastAsia="Times New Roman" w:cs="Times New Roman"/>
          <w:sz w:val="24"/>
          <w:szCs w:val="24"/>
        </w:rPr>
        <w:t xml:space="preserve">articipants to discuss their operations, future plans, and data submissions. We estimate that each </w:t>
      </w:r>
      <w:r w:rsidRPr="003A637E" w:rsidR="00FB3C89">
        <w:rPr>
          <w:rFonts w:ascii="Times New Roman" w:hAnsi="Times New Roman" w:eastAsia="Times New Roman" w:cs="Times New Roman"/>
          <w:sz w:val="24"/>
          <w:szCs w:val="24"/>
        </w:rPr>
        <w:t>employee</w:t>
      </w:r>
      <w:r w:rsidRPr="003A637E">
        <w:rPr>
          <w:rFonts w:ascii="Times New Roman" w:hAnsi="Times New Roman" w:eastAsia="Times New Roman" w:cs="Times New Roman"/>
          <w:sz w:val="24"/>
          <w:szCs w:val="24"/>
        </w:rPr>
        <w:t xml:space="preserve"> will travel once or twice per year, so average that to 1.5 trips per staff member per year. At an average cost of $2,000 </w:t>
      </w:r>
      <w:r w:rsidRPr="003A637E">
        <w:rPr>
          <w:rFonts w:ascii="Times New Roman" w:hAnsi="Times New Roman" w:eastAsia="Times New Roman" w:cs="Times New Roman"/>
          <w:sz w:val="24"/>
          <w:szCs w:val="24"/>
        </w:rPr>
        <w:lastRenderedPageBreak/>
        <w:t xml:space="preserve">per trip multiplied by </w:t>
      </w:r>
      <w:r w:rsidRPr="003A637E" w:rsidR="00FB3C89">
        <w:rPr>
          <w:rFonts w:ascii="Times New Roman" w:hAnsi="Times New Roman" w:eastAsia="Times New Roman" w:cs="Times New Roman"/>
          <w:sz w:val="24"/>
          <w:szCs w:val="24"/>
        </w:rPr>
        <w:t>1</w:t>
      </w:r>
      <w:r w:rsidR="00227C90">
        <w:rPr>
          <w:rFonts w:ascii="Times New Roman" w:hAnsi="Times New Roman" w:eastAsia="Times New Roman" w:cs="Times New Roman"/>
          <w:sz w:val="24"/>
          <w:szCs w:val="24"/>
        </w:rPr>
        <w:t>6</w:t>
      </w:r>
      <w:r w:rsidRPr="003A637E">
        <w:rPr>
          <w:rFonts w:ascii="Times New Roman" w:hAnsi="Times New Roman" w:eastAsia="Times New Roman" w:cs="Times New Roman"/>
          <w:sz w:val="24"/>
          <w:szCs w:val="24"/>
        </w:rPr>
        <w:t xml:space="preserve"> staff members that will cost approximately $</w:t>
      </w:r>
      <w:r w:rsidR="00227C90">
        <w:rPr>
          <w:rFonts w:ascii="Times New Roman" w:hAnsi="Times New Roman" w:eastAsia="Times New Roman" w:cs="Times New Roman"/>
          <w:sz w:val="24"/>
          <w:szCs w:val="24"/>
        </w:rPr>
        <w:t>48</w:t>
      </w:r>
      <w:r w:rsidRPr="003A637E">
        <w:rPr>
          <w:rFonts w:ascii="Times New Roman" w:hAnsi="Times New Roman" w:eastAsia="Times New Roman" w:cs="Times New Roman"/>
          <w:sz w:val="24"/>
          <w:szCs w:val="24"/>
        </w:rPr>
        <w:t xml:space="preserve">,000 per year. </w:t>
      </w:r>
      <w:r w:rsidRPr="003A637E" w:rsidR="00FA6552">
        <w:rPr>
          <w:rFonts w:ascii="Times New Roman" w:hAnsi="Times New Roman" w:eastAsia="Times New Roman" w:cs="Times New Roman"/>
          <w:sz w:val="24"/>
          <w:szCs w:val="24"/>
        </w:rPr>
        <w:t>As the trips will not primarily be for the purpose of discussing data collection requirements and submissions, we will assume that only half the cost will be related to the data collection elements of the BEYOND and PSP programs, which calculates to $</w:t>
      </w:r>
      <w:r w:rsidRPr="003A637E" w:rsidR="00227C90">
        <w:rPr>
          <w:rFonts w:ascii="Times New Roman" w:hAnsi="Times New Roman" w:eastAsia="Times New Roman" w:cs="Times New Roman"/>
          <w:sz w:val="24"/>
          <w:szCs w:val="24"/>
        </w:rPr>
        <w:t>2</w:t>
      </w:r>
      <w:r w:rsidR="00227C90">
        <w:rPr>
          <w:rFonts w:ascii="Times New Roman" w:hAnsi="Times New Roman" w:eastAsia="Times New Roman" w:cs="Times New Roman"/>
          <w:sz w:val="24"/>
          <w:szCs w:val="24"/>
        </w:rPr>
        <w:t>4</w:t>
      </w:r>
      <w:r w:rsidRPr="003A637E" w:rsidR="00FA6552">
        <w:rPr>
          <w:rFonts w:ascii="Times New Roman" w:hAnsi="Times New Roman" w:eastAsia="Times New Roman" w:cs="Times New Roman"/>
          <w:sz w:val="24"/>
          <w:szCs w:val="24"/>
        </w:rPr>
        <w:t>,000 per year.</w:t>
      </w:r>
    </w:p>
    <w:p w:rsidRPr="003A637E" w:rsidR="003F316E" w:rsidP="007B607B" w:rsidRDefault="003F316E" w14:paraId="0E6791D3" w14:textId="66839B09">
      <w:pPr>
        <w:shd w:val="clear" w:color="auto" w:fill="FFFFFF"/>
        <w:spacing w:after="0" w:line="240" w:lineRule="auto"/>
        <w:ind w:left="630"/>
        <w:rPr>
          <w:rFonts w:ascii="Times New Roman" w:hAnsi="Times New Roman" w:eastAsia="Times New Roman" w:cs="Times New Roman"/>
          <w:sz w:val="24"/>
          <w:szCs w:val="24"/>
        </w:rPr>
      </w:pPr>
    </w:p>
    <w:p w:rsidRPr="003A637E" w:rsidR="003F316E" w:rsidP="007B607B" w:rsidRDefault="003F316E" w14:paraId="36521083" w14:textId="3AFC5647">
      <w:pPr>
        <w:shd w:val="clear" w:color="auto" w:fill="FFFFFF"/>
        <w:spacing w:after="0" w:line="240" w:lineRule="auto"/>
        <w:ind w:left="630"/>
        <w:rPr>
          <w:rFonts w:ascii="Times New Roman" w:hAnsi="Times New Roman" w:eastAsia="Times New Roman" w:cs="Times New Roman"/>
          <w:sz w:val="24"/>
          <w:szCs w:val="24"/>
        </w:rPr>
      </w:pPr>
      <w:r w:rsidRPr="003A637E">
        <w:rPr>
          <w:rFonts w:ascii="Times New Roman" w:hAnsi="Times New Roman" w:eastAsia="Times New Roman" w:cs="Times New Roman"/>
          <w:sz w:val="24"/>
          <w:szCs w:val="24"/>
        </w:rPr>
        <w:t xml:space="preserve">In total, the </w:t>
      </w:r>
      <w:r w:rsidRPr="003A637E" w:rsidR="00D86529">
        <w:rPr>
          <w:rFonts w:ascii="Times New Roman" w:hAnsi="Times New Roman" w:eastAsia="Times New Roman" w:cs="Times New Roman"/>
          <w:sz w:val="24"/>
          <w:szCs w:val="24"/>
        </w:rPr>
        <w:t>BEYOND</w:t>
      </w:r>
      <w:r w:rsidR="00793319">
        <w:rPr>
          <w:rFonts w:ascii="Times New Roman" w:hAnsi="Times New Roman" w:eastAsia="Times New Roman" w:cs="Times New Roman"/>
          <w:sz w:val="24"/>
          <w:szCs w:val="24"/>
        </w:rPr>
        <w:t xml:space="preserve"> and PSP</w:t>
      </w:r>
      <w:r w:rsidRPr="003A637E" w:rsidR="00D86529">
        <w:rPr>
          <w:rFonts w:ascii="Times New Roman" w:hAnsi="Times New Roman" w:eastAsia="Times New Roman" w:cs="Times New Roman"/>
          <w:sz w:val="24"/>
          <w:szCs w:val="24"/>
        </w:rPr>
        <w:t xml:space="preserve"> data collections are</w:t>
      </w:r>
      <w:r w:rsidRPr="003A637E">
        <w:rPr>
          <w:rFonts w:ascii="Times New Roman" w:hAnsi="Times New Roman" w:eastAsia="Times New Roman" w:cs="Times New Roman"/>
          <w:sz w:val="24"/>
          <w:szCs w:val="24"/>
        </w:rPr>
        <w:t xml:space="preserve"> expected to cost</w:t>
      </w:r>
      <w:r w:rsidRPr="003A637E" w:rsidR="007F7798">
        <w:rPr>
          <w:rFonts w:ascii="Times New Roman" w:hAnsi="Times New Roman" w:eastAsia="Times New Roman" w:cs="Times New Roman"/>
          <w:sz w:val="24"/>
          <w:szCs w:val="24"/>
        </w:rPr>
        <w:t xml:space="preserve"> the Federal Government</w:t>
      </w:r>
      <w:r w:rsidRPr="003A637E">
        <w:rPr>
          <w:rFonts w:ascii="Times New Roman" w:hAnsi="Times New Roman" w:eastAsia="Times New Roman" w:cs="Times New Roman"/>
          <w:sz w:val="24"/>
          <w:szCs w:val="24"/>
        </w:rPr>
        <w:t xml:space="preserve"> $</w:t>
      </w:r>
      <w:r w:rsidR="008E0CB5">
        <w:rPr>
          <w:rFonts w:ascii="Times New Roman" w:hAnsi="Times New Roman" w:eastAsia="Times New Roman" w:cs="Times New Roman"/>
          <w:sz w:val="24"/>
          <w:szCs w:val="24"/>
        </w:rPr>
        <w:t>366,764</w:t>
      </w:r>
      <w:r w:rsidRPr="003A637E" w:rsidR="00FB3C89">
        <w:rPr>
          <w:rFonts w:ascii="Times New Roman" w:hAnsi="Times New Roman" w:eastAsia="Times New Roman" w:cs="Times New Roman"/>
          <w:sz w:val="24"/>
          <w:szCs w:val="24"/>
        </w:rPr>
        <w:t>.33</w:t>
      </w:r>
      <w:r w:rsidR="00063CC3">
        <w:rPr>
          <w:rFonts w:ascii="Times New Roman" w:hAnsi="Times New Roman" w:eastAsia="Times New Roman" w:cs="Times New Roman"/>
          <w:sz w:val="24"/>
          <w:szCs w:val="24"/>
        </w:rPr>
        <w:t xml:space="preserve"> per year</w:t>
      </w:r>
      <w:r w:rsidRPr="003A637E">
        <w:rPr>
          <w:rFonts w:ascii="Times New Roman" w:hAnsi="Times New Roman" w:eastAsia="Times New Roman" w:cs="Times New Roman"/>
          <w:sz w:val="24"/>
          <w:szCs w:val="24"/>
        </w:rPr>
        <w:t xml:space="preserve">. </w:t>
      </w:r>
    </w:p>
    <w:p w:rsidRPr="003A637E" w:rsidR="003F316E" w:rsidP="007B607B" w:rsidRDefault="003F316E" w14:paraId="055048A9" w14:textId="77777777">
      <w:pPr>
        <w:shd w:val="clear" w:color="auto" w:fill="FFFFFF"/>
        <w:spacing w:after="0" w:line="240" w:lineRule="auto"/>
        <w:ind w:left="630"/>
        <w:rPr>
          <w:rFonts w:ascii="Times New Roman" w:hAnsi="Times New Roman" w:eastAsia="Times New Roman" w:cs="Times New Roman"/>
          <w:sz w:val="24"/>
          <w:szCs w:val="24"/>
        </w:rPr>
      </w:pPr>
    </w:p>
    <w:p w:rsidRPr="003A637E" w:rsidR="003F316E" w:rsidP="007B607B" w:rsidRDefault="003F316E" w14:paraId="7400316A" w14:textId="6E75EEB6">
      <w:pPr>
        <w:shd w:val="clear" w:color="auto" w:fill="FFFFFF"/>
        <w:spacing w:after="0" w:line="240" w:lineRule="auto"/>
        <w:ind w:left="630"/>
        <w:rPr>
          <w:rFonts w:ascii="Times New Roman" w:hAnsi="Times New Roman" w:eastAsia="Times New Roman" w:cs="Times New Roman"/>
          <w:color w:val="2E74B5" w:themeColor="accent1" w:themeShade="BF"/>
          <w:sz w:val="24"/>
          <w:szCs w:val="24"/>
        </w:rPr>
      </w:pPr>
      <w:r w:rsidRPr="003A637E">
        <w:rPr>
          <w:rFonts w:ascii="Times New Roman" w:hAnsi="Times New Roman" w:eastAsia="Times New Roman" w:cs="Times New Roman"/>
          <w:sz w:val="24"/>
          <w:szCs w:val="24"/>
        </w:rPr>
        <w:t>The estimated costs to the Federal Government are as follows:</w:t>
      </w:r>
    </w:p>
    <w:p w:rsidRPr="003A637E" w:rsidR="003F316E" w:rsidP="007B607B" w:rsidRDefault="003F316E" w14:paraId="44BC04DA" w14:textId="1A4764F2">
      <w:pPr>
        <w:shd w:val="clear" w:color="auto" w:fill="FFFFFF"/>
        <w:spacing w:after="0" w:line="240" w:lineRule="auto"/>
        <w:rPr>
          <w:rFonts w:eastAsia="Times New Roman" w:cstheme="minorHAnsi"/>
          <w:sz w:val="24"/>
          <w:szCs w:val="24"/>
        </w:rPr>
      </w:pPr>
    </w:p>
    <w:p w:rsidRPr="003A637E" w:rsidR="003F316E" w:rsidP="007B607B" w:rsidRDefault="003F316E" w14:paraId="7C12E64D" w14:textId="236DA63F">
      <w:pPr>
        <w:shd w:val="clear" w:color="auto" w:fill="FFFFFF"/>
        <w:spacing w:after="0" w:line="240" w:lineRule="auto"/>
        <w:ind w:left="630"/>
        <w:rPr>
          <w:rFonts w:eastAsia="Times New Roman" w:cstheme="minorHAnsi"/>
          <w:b/>
          <w:sz w:val="24"/>
          <w:szCs w:val="24"/>
        </w:rPr>
      </w:pPr>
      <w:r w:rsidRPr="003A637E">
        <w:rPr>
          <w:rFonts w:eastAsia="Times New Roman" w:cstheme="minorHAnsi"/>
          <w:b/>
          <w:sz w:val="24"/>
          <w:szCs w:val="24"/>
        </w:rPr>
        <w:t>Direct Labor</w:t>
      </w:r>
      <w:r w:rsidRPr="003A637E" w:rsidR="007B607B">
        <w:rPr>
          <w:rFonts w:eastAsia="Times New Roman" w:cstheme="minorHAnsi"/>
          <w:b/>
          <w:sz w:val="24"/>
          <w:szCs w:val="24"/>
        </w:rPr>
        <w:t xml:space="preserve"> Costs</w:t>
      </w:r>
    </w:p>
    <w:p w:rsidRPr="003A637E" w:rsidR="003F316E" w:rsidP="007B607B" w:rsidRDefault="003F316E" w14:paraId="7C1A0045" w14:textId="77777777">
      <w:pPr>
        <w:shd w:val="clear" w:color="auto" w:fill="FFFFFF"/>
        <w:spacing w:after="0" w:line="240" w:lineRule="auto"/>
        <w:ind w:left="630"/>
        <w:rPr>
          <w:rFonts w:eastAsia="Times New Roman" w:cstheme="minorHAnsi"/>
          <w:sz w:val="24"/>
          <w:szCs w:val="24"/>
        </w:rPr>
      </w:pPr>
    </w:p>
    <w:p w:rsidRPr="003A637E" w:rsidR="003F316E" w:rsidP="007B607B" w:rsidRDefault="00334392" w14:paraId="0C895147" w14:textId="09606CF4">
      <w:pPr>
        <w:shd w:val="clear" w:color="auto" w:fill="FFFFFF"/>
        <w:spacing w:after="0" w:line="240" w:lineRule="auto"/>
        <w:ind w:left="630"/>
        <w:rPr>
          <w:rFonts w:eastAsia="Times New Roman" w:cstheme="minorHAnsi"/>
          <w:sz w:val="24"/>
          <w:szCs w:val="24"/>
        </w:rPr>
      </w:pPr>
      <w:r w:rsidRPr="003A637E">
        <w:rPr>
          <w:rFonts w:eastAsia="Times New Roman" w:cstheme="minorHAnsi"/>
          <w:sz w:val="24"/>
          <w:szCs w:val="24"/>
        </w:rPr>
        <w:t>Project Managers</w:t>
      </w:r>
      <w:r w:rsidRPr="003A637E" w:rsidR="003F316E">
        <w:rPr>
          <w:rFonts w:eastAsia="Times New Roman" w:cstheme="minorHAnsi"/>
          <w:sz w:val="24"/>
          <w:szCs w:val="24"/>
        </w:rPr>
        <w:t>:</w:t>
      </w:r>
      <w:r w:rsidRPr="003A637E" w:rsidR="003F316E">
        <w:rPr>
          <w:rFonts w:eastAsia="Times New Roman" w:cstheme="minorHAnsi"/>
          <w:sz w:val="24"/>
          <w:szCs w:val="24"/>
        </w:rPr>
        <w:tab/>
      </w:r>
      <w:r w:rsidRPr="003A637E" w:rsidR="003F316E">
        <w:rPr>
          <w:rFonts w:eastAsia="Times New Roman" w:cstheme="minorHAnsi"/>
          <w:sz w:val="24"/>
          <w:szCs w:val="24"/>
        </w:rPr>
        <w:tab/>
        <w:t xml:space="preserve">    </w:t>
      </w:r>
      <w:r w:rsidRPr="003A637E" w:rsidR="003F316E">
        <w:rPr>
          <w:rFonts w:eastAsia="Times New Roman" w:cstheme="minorHAnsi"/>
          <w:sz w:val="24"/>
          <w:szCs w:val="24"/>
        </w:rPr>
        <w:tab/>
      </w:r>
      <w:r w:rsidRPr="003A637E" w:rsidR="003F316E">
        <w:rPr>
          <w:rFonts w:eastAsia="Times New Roman" w:cstheme="minorHAnsi"/>
          <w:sz w:val="24"/>
          <w:szCs w:val="24"/>
        </w:rPr>
        <w:tab/>
        <w:t>$</w:t>
      </w:r>
      <w:r w:rsidR="00227C90">
        <w:rPr>
          <w:rFonts w:eastAsia="Times New Roman" w:cstheme="minorHAnsi"/>
          <w:sz w:val="24"/>
          <w:szCs w:val="24"/>
        </w:rPr>
        <w:t>151,938</w:t>
      </w:r>
    </w:p>
    <w:p w:rsidRPr="003A637E" w:rsidR="003F316E" w:rsidP="007B607B" w:rsidRDefault="00334392" w14:paraId="0AFFCE2A" w14:textId="56D25D8C">
      <w:pPr>
        <w:shd w:val="clear" w:color="auto" w:fill="FFFFFF"/>
        <w:spacing w:after="0" w:line="240" w:lineRule="auto"/>
        <w:ind w:left="630"/>
        <w:rPr>
          <w:rFonts w:eastAsia="Times New Roman" w:cstheme="minorHAnsi"/>
          <w:sz w:val="24"/>
          <w:szCs w:val="24"/>
        </w:rPr>
      </w:pPr>
      <w:r w:rsidRPr="003A637E">
        <w:rPr>
          <w:rFonts w:eastAsia="Times New Roman" w:cstheme="minorHAnsi"/>
          <w:sz w:val="24"/>
          <w:szCs w:val="24"/>
        </w:rPr>
        <w:t>Federal support staff:</w:t>
      </w:r>
      <w:r w:rsidRPr="003A637E" w:rsidR="003F316E">
        <w:rPr>
          <w:rFonts w:eastAsia="Times New Roman" w:cstheme="minorHAnsi"/>
          <w:sz w:val="24"/>
          <w:szCs w:val="24"/>
        </w:rPr>
        <w:tab/>
        <w:t xml:space="preserve">    </w:t>
      </w:r>
      <w:r w:rsidRPr="003A637E" w:rsidR="003F316E">
        <w:rPr>
          <w:rFonts w:eastAsia="Times New Roman" w:cstheme="minorHAnsi"/>
          <w:sz w:val="24"/>
          <w:szCs w:val="24"/>
        </w:rPr>
        <w:tab/>
      </w:r>
      <w:r w:rsidRPr="003A637E" w:rsidR="003F316E">
        <w:rPr>
          <w:rFonts w:eastAsia="Times New Roman" w:cstheme="minorHAnsi"/>
          <w:sz w:val="24"/>
          <w:szCs w:val="24"/>
        </w:rPr>
        <w:tab/>
      </w:r>
      <w:r w:rsidRPr="003A637E" w:rsidR="001238DE">
        <w:rPr>
          <w:rFonts w:eastAsia="Times New Roman" w:cstheme="minorHAnsi"/>
          <w:sz w:val="24"/>
          <w:szCs w:val="24"/>
        </w:rPr>
        <w:tab/>
      </w:r>
      <w:r w:rsidRPr="003A637E" w:rsidR="003F316E">
        <w:rPr>
          <w:rFonts w:eastAsia="Times New Roman" w:cstheme="minorHAnsi"/>
          <w:sz w:val="24"/>
          <w:szCs w:val="24"/>
        </w:rPr>
        <w:t>$</w:t>
      </w:r>
      <w:r w:rsidR="00790C36">
        <w:rPr>
          <w:rFonts w:eastAsia="Times New Roman" w:cstheme="minorHAnsi"/>
          <w:sz w:val="24"/>
          <w:szCs w:val="24"/>
        </w:rPr>
        <w:t>22,735</w:t>
      </w:r>
    </w:p>
    <w:p w:rsidRPr="003A637E" w:rsidR="003F316E" w:rsidP="007B607B" w:rsidRDefault="00790C36" w14:paraId="1294CBAC" w14:textId="369CBBB8">
      <w:pPr>
        <w:shd w:val="clear" w:color="auto" w:fill="FFFFFF"/>
        <w:spacing w:after="0" w:line="240" w:lineRule="auto"/>
        <w:ind w:left="630"/>
        <w:rPr>
          <w:rFonts w:eastAsia="Times New Roman" w:cstheme="minorHAnsi"/>
          <w:sz w:val="24"/>
          <w:szCs w:val="24"/>
        </w:rPr>
      </w:pPr>
      <w:r>
        <w:rPr>
          <w:rFonts w:eastAsia="Times New Roman" w:cstheme="minorHAnsi"/>
          <w:sz w:val="24"/>
          <w:szCs w:val="24"/>
        </w:rPr>
        <w:t xml:space="preserve">Contractor </w:t>
      </w:r>
      <w:r w:rsidRPr="003A637E" w:rsidR="00334392">
        <w:rPr>
          <w:rFonts w:eastAsia="Times New Roman" w:cstheme="minorHAnsi"/>
          <w:sz w:val="24"/>
          <w:szCs w:val="24"/>
        </w:rPr>
        <w:t>analysts</w:t>
      </w:r>
      <w:r w:rsidRPr="003A637E" w:rsidR="003F316E">
        <w:rPr>
          <w:rFonts w:eastAsia="Times New Roman" w:cstheme="minorHAnsi"/>
          <w:sz w:val="24"/>
          <w:szCs w:val="24"/>
        </w:rPr>
        <w:t xml:space="preserve">: </w:t>
      </w:r>
      <w:r w:rsidRPr="003A637E" w:rsidR="003F316E">
        <w:rPr>
          <w:rFonts w:eastAsia="Times New Roman" w:cstheme="minorHAnsi"/>
          <w:sz w:val="24"/>
          <w:szCs w:val="24"/>
        </w:rPr>
        <w:tab/>
      </w:r>
      <w:r w:rsidRPr="003A637E" w:rsidR="001238DE">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Pr="003A637E" w:rsidR="003F316E">
        <w:rPr>
          <w:rFonts w:eastAsia="Times New Roman" w:cstheme="minorHAnsi"/>
          <w:sz w:val="24"/>
          <w:szCs w:val="24"/>
        </w:rPr>
        <w:t>$</w:t>
      </w:r>
      <w:r w:rsidR="00AF70D9">
        <w:rPr>
          <w:rFonts w:eastAsia="Times New Roman" w:cstheme="minorHAnsi"/>
          <w:sz w:val="24"/>
          <w:szCs w:val="24"/>
        </w:rPr>
        <w:t>76,448</w:t>
      </w:r>
    </w:p>
    <w:p w:rsidRPr="003A637E" w:rsidR="007B607B" w:rsidP="007B607B" w:rsidRDefault="00790C36" w14:paraId="03144284" w14:textId="5E97A4FD">
      <w:pPr>
        <w:shd w:val="clear" w:color="auto" w:fill="FFFFFF"/>
        <w:spacing w:after="0" w:line="240" w:lineRule="auto"/>
        <w:ind w:left="630"/>
        <w:rPr>
          <w:rFonts w:eastAsia="Times New Roman" w:cstheme="minorHAnsi"/>
          <w:sz w:val="24"/>
          <w:szCs w:val="24"/>
        </w:rPr>
      </w:pPr>
      <w:r>
        <w:rPr>
          <w:rFonts w:eastAsia="Times New Roman" w:cstheme="minorHAnsi"/>
          <w:sz w:val="24"/>
          <w:szCs w:val="24"/>
        </w:rPr>
        <w:t>Data project manager:</w:t>
      </w:r>
      <w:r w:rsidRPr="003A637E" w:rsidR="007B607B">
        <w:rPr>
          <w:rFonts w:eastAsia="Times New Roman" w:cstheme="minorHAnsi"/>
          <w:sz w:val="24"/>
          <w:szCs w:val="24"/>
        </w:rPr>
        <w:tab/>
      </w:r>
      <w:r w:rsidRPr="003A637E" w:rsidR="007B607B">
        <w:rPr>
          <w:rFonts w:eastAsia="Times New Roman" w:cstheme="minorHAnsi"/>
          <w:sz w:val="24"/>
          <w:szCs w:val="24"/>
        </w:rPr>
        <w:tab/>
      </w:r>
      <w:r w:rsidRPr="003A637E" w:rsidR="007B607B">
        <w:rPr>
          <w:rFonts w:eastAsia="Times New Roman" w:cstheme="minorHAnsi"/>
          <w:sz w:val="24"/>
          <w:szCs w:val="24"/>
        </w:rPr>
        <w:tab/>
      </w:r>
      <w:r w:rsidRPr="003A637E" w:rsidR="007B607B">
        <w:rPr>
          <w:rFonts w:eastAsia="Times New Roman" w:cstheme="minorHAnsi"/>
          <w:sz w:val="24"/>
          <w:szCs w:val="24"/>
        </w:rPr>
        <w:tab/>
        <w:t>$</w:t>
      </w:r>
      <w:r>
        <w:rPr>
          <w:rFonts w:eastAsia="Times New Roman" w:cstheme="minorHAnsi"/>
          <w:sz w:val="24"/>
          <w:szCs w:val="24"/>
        </w:rPr>
        <w:t>84,410</w:t>
      </w:r>
    </w:p>
    <w:p w:rsidRPr="003A637E" w:rsidR="003F316E" w:rsidP="007B607B" w:rsidRDefault="003F316E" w14:paraId="12BA53B7" w14:textId="77777777">
      <w:pPr>
        <w:shd w:val="clear" w:color="auto" w:fill="FFFFFF"/>
        <w:spacing w:after="0" w:line="240" w:lineRule="auto"/>
        <w:ind w:left="630"/>
        <w:rPr>
          <w:rFonts w:eastAsia="Times New Roman" w:cstheme="minorHAnsi"/>
          <w:sz w:val="24"/>
          <w:szCs w:val="24"/>
        </w:rPr>
      </w:pPr>
    </w:p>
    <w:p w:rsidRPr="003A637E" w:rsidR="003F316E" w:rsidP="007B607B" w:rsidRDefault="003F316E" w14:paraId="112A5ABE" w14:textId="093938BA">
      <w:pPr>
        <w:shd w:val="clear" w:color="auto" w:fill="FFFFFF"/>
        <w:spacing w:after="0" w:line="240" w:lineRule="auto"/>
        <w:ind w:left="630"/>
        <w:rPr>
          <w:rFonts w:eastAsia="Times New Roman" w:cstheme="minorHAnsi"/>
          <w:sz w:val="24"/>
          <w:szCs w:val="24"/>
          <w:u w:val="single"/>
        </w:rPr>
      </w:pPr>
      <w:r w:rsidRPr="003A637E">
        <w:rPr>
          <w:rFonts w:eastAsia="Times New Roman" w:cstheme="minorHAnsi"/>
          <w:sz w:val="24"/>
          <w:szCs w:val="24"/>
          <w:u w:val="single"/>
        </w:rPr>
        <w:t>Total Direct Labor:</w:t>
      </w:r>
      <w:r w:rsidRPr="003A637E">
        <w:rPr>
          <w:rFonts w:eastAsia="Times New Roman" w:cstheme="minorHAnsi"/>
          <w:sz w:val="24"/>
          <w:szCs w:val="24"/>
          <w:u w:val="single"/>
        </w:rPr>
        <w:tab/>
      </w:r>
      <w:r w:rsidRPr="003A637E">
        <w:rPr>
          <w:rFonts w:eastAsia="Times New Roman" w:cstheme="minorHAnsi"/>
          <w:sz w:val="24"/>
          <w:szCs w:val="24"/>
          <w:u w:val="single"/>
        </w:rPr>
        <w:tab/>
      </w:r>
      <w:r w:rsidRPr="003A637E">
        <w:rPr>
          <w:rFonts w:eastAsia="Times New Roman" w:cstheme="minorHAnsi"/>
          <w:sz w:val="24"/>
          <w:szCs w:val="24"/>
          <w:u w:val="single"/>
        </w:rPr>
        <w:tab/>
      </w:r>
      <w:r w:rsidRPr="003A637E">
        <w:rPr>
          <w:rFonts w:eastAsia="Times New Roman" w:cstheme="minorHAnsi"/>
          <w:sz w:val="24"/>
          <w:szCs w:val="24"/>
          <w:u w:val="single"/>
        </w:rPr>
        <w:tab/>
        <w:t>$</w:t>
      </w:r>
      <w:r w:rsidR="00AF70D9">
        <w:rPr>
          <w:rFonts w:eastAsia="Times New Roman" w:cstheme="minorHAnsi"/>
          <w:sz w:val="24"/>
          <w:szCs w:val="24"/>
          <w:u w:val="single"/>
        </w:rPr>
        <w:t>335,531</w:t>
      </w:r>
    </w:p>
    <w:p w:rsidRPr="003A637E" w:rsidR="003F316E" w:rsidP="007B607B" w:rsidRDefault="003F316E" w14:paraId="20E7D489" w14:textId="78D8E3EE">
      <w:pPr>
        <w:shd w:val="clear" w:color="auto" w:fill="FFFFFF"/>
        <w:spacing w:after="0" w:line="240" w:lineRule="auto"/>
        <w:ind w:left="630"/>
        <w:rPr>
          <w:rFonts w:eastAsia="Times New Roman" w:cstheme="minorHAnsi"/>
          <w:sz w:val="24"/>
          <w:szCs w:val="24"/>
        </w:rPr>
      </w:pPr>
    </w:p>
    <w:p w:rsidRPr="003A637E" w:rsidR="007B607B" w:rsidP="007B607B" w:rsidRDefault="007B607B" w14:paraId="33AD1633" w14:textId="77777777">
      <w:pPr>
        <w:shd w:val="clear" w:color="auto" w:fill="FFFFFF"/>
        <w:spacing w:after="0" w:line="240" w:lineRule="auto"/>
        <w:ind w:left="630"/>
        <w:rPr>
          <w:rFonts w:eastAsia="Times New Roman" w:cstheme="minorHAnsi"/>
          <w:sz w:val="24"/>
          <w:szCs w:val="24"/>
        </w:rPr>
      </w:pPr>
    </w:p>
    <w:p w:rsidRPr="003A637E" w:rsidR="003F316E" w:rsidP="007B607B" w:rsidRDefault="003F316E" w14:paraId="78D1575E" w14:textId="77777777">
      <w:pPr>
        <w:shd w:val="clear" w:color="auto" w:fill="FFFFFF"/>
        <w:spacing w:after="0" w:line="240" w:lineRule="auto"/>
        <w:ind w:left="630"/>
        <w:rPr>
          <w:rFonts w:eastAsia="Times New Roman" w:cstheme="minorHAnsi"/>
          <w:b/>
          <w:sz w:val="24"/>
          <w:szCs w:val="24"/>
        </w:rPr>
      </w:pPr>
      <w:r w:rsidRPr="003A637E">
        <w:rPr>
          <w:rFonts w:eastAsia="Times New Roman" w:cstheme="minorHAnsi"/>
          <w:b/>
          <w:sz w:val="24"/>
          <w:szCs w:val="24"/>
        </w:rPr>
        <w:t>Other Direct Costs</w:t>
      </w:r>
    </w:p>
    <w:p w:rsidRPr="003A637E" w:rsidR="003F316E" w:rsidP="007B607B" w:rsidRDefault="003F316E" w14:paraId="1211BBEB" w14:textId="77777777">
      <w:pPr>
        <w:shd w:val="clear" w:color="auto" w:fill="FFFFFF"/>
        <w:spacing w:after="0" w:line="240" w:lineRule="auto"/>
        <w:ind w:left="630"/>
        <w:rPr>
          <w:rFonts w:eastAsia="Times New Roman" w:cstheme="minorHAnsi"/>
          <w:sz w:val="24"/>
          <w:szCs w:val="24"/>
        </w:rPr>
      </w:pPr>
    </w:p>
    <w:p w:rsidR="003F316E" w:rsidP="007B607B" w:rsidRDefault="007B607B" w14:paraId="4D62E922" w14:textId="09032D64">
      <w:pPr>
        <w:shd w:val="clear" w:color="auto" w:fill="FFFFFF"/>
        <w:spacing w:after="0" w:line="240" w:lineRule="auto"/>
        <w:ind w:left="630"/>
        <w:rPr>
          <w:rFonts w:eastAsia="Times New Roman" w:cstheme="minorHAnsi"/>
          <w:sz w:val="24"/>
          <w:szCs w:val="24"/>
        </w:rPr>
      </w:pPr>
      <w:r w:rsidRPr="003A637E">
        <w:rPr>
          <w:rFonts w:eastAsia="Times New Roman" w:cstheme="minorHAnsi"/>
          <w:sz w:val="24"/>
          <w:szCs w:val="24"/>
        </w:rPr>
        <w:t>Data Secured Storage</w:t>
      </w:r>
      <w:r w:rsidRPr="003A637E" w:rsidR="00334392">
        <w:rPr>
          <w:rFonts w:eastAsia="Times New Roman" w:cstheme="minorHAnsi"/>
          <w:sz w:val="24"/>
          <w:szCs w:val="24"/>
        </w:rPr>
        <w:t>:</w:t>
      </w:r>
      <w:r w:rsidRPr="003A637E" w:rsidR="00334392">
        <w:rPr>
          <w:rFonts w:eastAsia="Times New Roman" w:cstheme="minorHAnsi"/>
          <w:sz w:val="24"/>
          <w:szCs w:val="24"/>
        </w:rPr>
        <w:tab/>
      </w:r>
      <w:r w:rsidRPr="003A637E" w:rsidR="00334392">
        <w:rPr>
          <w:rFonts w:eastAsia="Times New Roman" w:cstheme="minorHAnsi"/>
          <w:sz w:val="24"/>
          <w:szCs w:val="24"/>
        </w:rPr>
        <w:tab/>
        <w:t xml:space="preserve">    </w:t>
      </w:r>
      <w:r w:rsidRPr="003A637E" w:rsidR="00334392">
        <w:rPr>
          <w:rFonts w:eastAsia="Times New Roman" w:cstheme="minorHAnsi"/>
          <w:sz w:val="24"/>
          <w:szCs w:val="24"/>
        </w:rPr>
        <w:tab/>
      </w:r>
      <w:r w:rsidRPr="003A637E" w:rsidR="00334392">
        <w:rPr>
          <w:rFonts w:eastAsia="Times New Roman" w:cstheme="minorHAnsi"/>
          <w:sz w:val="24"/>
          <w:szCs w:val="24"/>
        </w:rPr>
        <w:tab/>
        <w:t>$</w:t>
      </w:r>
      <w:r w:rsidRPr="003A637E">
        <w:rPr>
          <w:rFonts w:eastAsia="Times New Roman" w:cstheme="minorHAnsi"/>
          <w:sz w:val="24"/>
          <w:szCs w:val="24"/>
        </w:rPr>
        <w:t>833.33</w:t>
      </w:r>
    </w:p>
    <w:p w:rsidRPr="003A637E" w:rsidR="00227C90" w:rsidP="007B607B" w:rsidRDefault="00227C90" w14:paraId="59F112FE" w14:textId="3926D67C">
      <w:pPr>
        <w:shd w:val="clear" w:color="auto" w:fill="FFFFFF"/>
        <w:spacing w:after="0" w:line="240" w:lineRule="auto"/>
        <w:ind w:left="630"/>
        <w:rPr>
          <w:rFonts w:eastAsia="Times New Roman" w:cstheme="minorHAnsi"/>
          <w:sz w:val="24"/>
          <w:szCs w:val="24"/>
        </w:rPr>
      </w:pPr>
      <w:r>
        <w:rPr>
          <w:rFonts w:eastAsia="Times New Roman" w:cstheme="minorHAnsi"/>
          <w:sz w:val="24"/>
          <w:szCs w:val="24"/>
        </w:rPr>
        <w:t>Development and Licensing:</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$6,400</w:t>
      </w:r>
    </w:p>
    <w:p w:rsidRPr="003A637E" w:rsidR="003F316E" w:rsidP="007B607B" w:rsidRDefault="003F316E" w14:paraId="6696911F" w14:textId="6E06BEFB">
      <w:pPr>
        <w:shd w:val="clear" w:color="auto" w:fill="FFFFFF"/>
        <w:spacing w:after="0" w:line="240" w:lineRule="auto"/>
        <w:ind w:left="630"/>
        <w:rPr>
          <w:rFonts w:eastAsia="Times New Roman" w:cstheme="minorHAnsi"/>
          <w:sz w:val="24"/>
          <w:szCs w:val="24"/>
        </w:rPr>
      </w:pPr>
      <w:r w:rsidRPr="003A637E">
        <w:rPr>
          <w:rFonts w:eastAsia="Times New Roman" w:cstheme="minorHAnsi"/>
          <w:sz w:val="24"/>
          <w:szCs w:val="24"/>
        </w:rPr>
        <w:t>Travel and Related Costs:</w:t>
      </w:r>
      <w:r w:rsidRPr="003A637E">
        <w:rPr>
          <w:rFonts w:eastAsia="Times New Roman" w:cstheme="minorHAnsi"/>
          <w:sz w:val="24"/>
          <w:szCs w:val="24"/>
        </w:rPr>
        <w:tab/>
        <w:t xml:space="preserve">    </w:t>
      </w:r>
      <w:r w:rsidRPr="003A637E">
        <w:rPr>
          <w:rFonts w:eastAsia="Times New Roman" w:cstheme="minorHAnsi"/>
          <w:sz w:val="24"/>
          <w:szCs w:val="24"/>
        </w:rPr>
        <w:tab/>
      </w:r>
      <w:r w:rsidRPr="003A637E">
        <w:rPr>
          <w:rFonts w:eastAsia="Times New Roman" w:cstheme="minorHAnsi"/>
          <w:sz w:val="24"/>
          <w:szCs w:val="24"/>
        </w:rPr>
        <w:tab/>
        <w:t>$</w:t>
      </w:r>
      <w:r w:rsidRPr="003A637E" w:rsidR="007E1ADD">
        <w:rPr>
          <w:rFonts w:eastAsia="Times New Roman" w:cstheme="minorHAnsi"/>
          <w:sz w:val="24"/>
          <w:szCs w:val="24"/>
        </w:rPr>
        <w:t>2</w:t>
      </w:r>
      <w:r w:rsidR="00227C90">
        <w:rPr>
          <w:rFonts w:eastAsia="Times New Roman" w:cstheme="minorHAnsi"/>
          <w:sz w:val="24"/>
          <w:szCs w:val="24"/>
        </w:rPr>
        <w:t>4</w:t>
      </w:r>
      <w:r w:rsidRPr="003A637E" w:rsidR="00334392">
        <w:rPr>
          <w:rFonts w:eastAsia="Times New Roman" w:cstheme="minorHAnsi"/>
          <w:sz w:val="24"/>
          <w:szCs w:val="24"/>
        </w:rPr>
        <w:t>,000</w:t>
      </w:r>
    </w:p>
    <w:p w:rsidRPr="003A637E" w:rsidR="003F316E" w:rsidP="007B607B" w:rsidRDefault="003F316E" w14:paraId="6DF7EE33" w14:textId="77777777">
      <w:pPr>
        <w:shd w:val="clear" w:color="auto" w:fill="FFFFFF"/>
        <w:spacing w:after="0" w:line="240" w:lineRule="auto"/>
        <w:ind w:left="630"/>
        <w:rPr>
          <w:rFonts w:eastAsia="Times New Roman" w:cstheme="minorHAnsi"/>
          <w:sz w:val="24"/>
          <w:szCs w:val="24"/>
        </w:rPr>
      </w:pPr>
    </w:p>
    <w:p w:rsidRPr="003A637E" w:rsidR="003F316E" w:rsidP="007B607B" w:rsidRDefault="003F316E" w14:paraId="5B7A1722" w14:textId="1BCBC7D7">
      <w:pPr>
        <w:shd w:val="clear" w:color="auto" w:fill="FFFFFF"/>
        <w:spacing w:after="0" w:line="240" w:lineRule="auto"/>
        <w:ind w:left="630"/>
        <w:rPr>
          <w:rFonts w:eastAsia="Times New Roman" w:cstheme="minorHAnsi"/>
          <w:sz w:val="24"/>
          <w:szCs w:val="24"/>
          <w:u w:val="single"/>
        </w:rPr>
      </w:pPr>
      <w:r w:rsidRPr="003A637E">
        <w:rPr>
          <w:rFonts w:eastAsia="Times New Roman" w:cstheme="minorHAnsi"/>
          <w:sz w:val="24"/>
          <w:szCs w:val="24"/>
          <w:u w:val="single"/>
        </w:rPr>
        <w:t>Other Direct Cost Total:</w:t>
      </w:r>
      <w:r w:rsidRPr="003A637E">
        <w:rPr>
          <w:rFonts w:eastAsia="Times New Roman" w:cstheme="minorHAnsi"/>
          <w:sz w:val="24"/>
          <w:szCs w:val="24"/>
          <w:u w:val="single"/>
        </w:rPr>
        <w:tab/>
      </w:r>
      <w:r w:rsidRPr="003A637E">
        <w:rPr>
          <w:rFonts w:eastAsia="Times New Roman" w:cstheme="minorHAnsi"/>
          <w:sz w:val="24"/>
          <w:szCs w:val="24"/>
          <w:u w:val="single"/>
        </w:rPr>
        <w:tab/>
      </w:r>
      <w:r w:rsidRPr="003A637E">
        <w:rPr>
          <w:rFonts w:eastAsia="Times New Roman" w:cstheme="minorHAnsi"/>
          <w:sz w:val="24"/>
          <w:szCs w:val="24"/>
          <w:u w:val="single"/>
        </w:rPr>
        <w:tab/>
        <w:t>$</w:t>
      </w:r>
      <w:r w:rsidR="00227C90">
        <w:rPr>
          <w:rFonts w:eastAsia="Times New Roman" w:cstheme="minorHAnsi"/>
          <w:sz w:val="24"/>
          <w:szCs w:val="24"/>
          <w:u w:val="single"/>
        </w:rPr>
        <w:t>31,233</w:t>
      </w:r>
      <w:r w:rsidRPr="003A637E" w:rsidR="007B607B">
        <w:rPr>
          <w:rFonts w:eastAsia="Times New Roman" w:cstheme="minorHAnsi"/>
          <w:sz w:val="24"/>
          <w:szCs w:val="24"/>
          <w:u w:val="single"/>
        </w:rPr>
        <w:t>.33</w:t>
      </w:r>
    </w:p>
    <w:p w:rsidRPr="003A637E" w:rsidR="003F316E" w:rsidP="007B607B" w:rsidRDefault="003F316E" w14:paraId="75D64FE3" w14:textId="3C73FA5F">
      <w:pPr>
        <w:shd w:val="clear" w:color="auto" w:fill="FFFFFF"/>
        <w:spacing w:after="0" w:line="240" w:lineRule="auto"/>
        <w:ind w:left="630"/>
        <w:rPr>
          <w:rFonts w:eastAsia="Times New Roman" w:cstheme="minorHAnsi"/>
          <w:sz w:val="24"/>
          <w:szCs w:val="24"/>
        </w:rPr>
      </w:pPr>
    </w:p>
    <w:p w:rsidRPr="003A637E" w:rsidR="007B607B" w:rsidP="007B607B" w:rsidRDefault="007B607B" w14:paraId="4858DC5D" w14:textId="77777777">
      <w:pPr>
        <w:shd w:val="clear" w:color="auto" w:fill="FFFFFF"/>
        <w:spacing w:after="0" w:line="240" w:lineRule="auto"/>
        <w:ind w:left="630"/>
        <w:rPr>
          <w:rFonts w:eastAsia="Times New Roman" w:cstheme="minorHAnsi"/>
          <w:sz w:val="24"/>
          <w:szCs w:val="24"/>
        </w:rPr>
      </w:pPr>
    </w:p>
    <w:p w:rsidRPr="003A637E" w:rsidR="003F316E" w:rsidP="007B607B" w:rsidRDefault="003F316E" w14:paraId="39C39DD1" w14:textId="75A83BD8">
      <w:pPr>
        <w:shd w:val="clear" w:color="auto" w:fill="FFFFFF"/>
        <w:spacing w:after="0" w:line="240" w:lineRule="auto"/>
        <w:ind w:left="630"/>
        <w:rPr>
          <w:rFonts w:eastAsia="Times New Roman" w:cstheme="minorHAnsi"/>
          <w:b/>
          <w:sz w:val="24"/>
          <w:szCs w:val="24"/>
          <w:u w:val="single"/>
        </w:rPr>
      </w:pPr>
      <w:r w:rsidRPr="003A637E">
        <w:rPr>
          <w:rFonts w:eastAsia="Times New Roman" w:cstheme="minorHAnsi"/>
          <w:b/>
          <w:sz w:val="24"/>
          <w:szCs w:val="24"/>
          <w:u w:val="single"/>
        </w:rPr>
        <w:t>Total Cost:</w:t>
      </w:r>
      <w:r w:rsidRPr="003A637E">
        <w:rPr>
          <w:rFonts w:eastAsia="Times New Roman" w:cstheme="minorHAnsi"/>
          <w:b/>
          <w:sz w:val="24"/>
          <w:szCs w:val="24"/>
          <w:u w:val="single"/>
        </w:rPr>
        <w:tab/>
      </w:r>
      <w:r w:rsidRPr="003A637E">
        <w:rPr>
          <w:rFonts w:eastAsia="Times New Roman" w:cstheme="minorHAnsi"/>
          <w:b/>
          <w:sz w:val="24"/>
          <w:szCs w:val="24"/>
          <w:u w:val="single"/>
        </w:rPr>
        <w:tab/>
      </w:r>
      <w:r w:rsidRPr="003A637E">
        <w:rPr>
          <w:rFonts w:eastAsia="Times New Roman" w:cstheme="minorHAnsi"/>
          <w:b/>
          <w:sz w:val="24"/>
          <w:szCs w:val="24"/>
          <w:u w:val="single"/>
        </w:rPr>
        <w:tab/>
      </w:r>
      <w:r w:rsidRPr="003A637E">
        <w:rPr>
          <w:rFonts w:eastAsia="Times New Roman" w:cstheme="minorHAnsi"/>
          <w:b/>
          <w:sz w:val="24"/>
          <w:szCs w:val="24"/>
          <w:u w:val="single"/>
        </w:rPr>
        <w:tab/>
      </w:r>
      <w:r w:rsidRPr="003A637E">
        <w:rPr>
          <w:rFonts w:eastAsia="Times New Roman" w:cstheme="minorHAnsi"/>
          <w:b/>
          <w:sz w:val="24"/>
          <w:szCs w:val="24"/>
          <w:u w:val="single"/>
        </w:rPr>
        <w:tab/>
        <w:t>$</w:t>
      </w:r>
      <w:r w:rsidR="00AF70D9">
        <w:rPr>
          <w:rFonts w:eastAsia="Times New Roman" w:cstheme="minorHAnsi"/>
          <w:b/>
          <w:sz w:val="24"/>
          <w:szCs w:val="24"/>
          <w:u w:val="single"/>
        </w:rPr>
        <w:t>366,764</w:t>
      </w:r>
      <w:r w:rsidR="00227C90">
        <w:rPr>
          <w:rFonts w:eastAsia="Times New Roman" w:cstheme="minorHAnsi"/>
          <w:b/>
          <w:sz w:val="24"/>
          <w:szCs w:val="24"/>
          <w:u w:val="single"/>
        </w:rPr>
        <w:t>.33</w:t>
      </w:r>
    </w:p>
    <w:p w:rsidRPr="003A637E" w:rsidR="00955135" w:rsidP="00C64707" w:rsidRDefault="00955135" w14:paraId="46286396" w14:textId="28230283">
      <w:pPr>
        <w:shd w:val="clear" w:color="auto" w:fill="FFFFFF"/>
        <w:spacing w:after="0" w:line="240" w:lineRule="auto"/>
        <w:rPr>
          <w:rFonts w:eastAsia="Times New Roman" w:cstheme="minorHAnsi"/>
          <w:b/>
          <w:bCs/>
          <w:color w:val="555555"/>
          <w:sz w:val="24"/>
          <w:szCs w:val="24"/>
        </w:rPr>
      </w:pPr>
    </w:p>
    <w:p w:rsidRPr="003A637E" w:rsidR="00C64707" w:rsidP="007B607B" w:rsidRDefault="00C64707" w14:paraId="34007FAE" w14:textId="1321D517">
      <w:pPr>
        <w:pStyle w:val="Heading1"/>
        <w:rPr>
          <w:rFonts w:eastAsia="Times New Roman" w:cstheme="minorHAnsi"/>
          <w:color w:val="555555"/>
          <w:sz w:val="24"/>
          <w:szCs w:val="24"/>
        </w:rPr>
      </w:pPr>
      <w:r w:rsidRPr="003A637E">
        <w:rPr>
          <w:rFonts w:eastAsia="Times New Roman"/>
        </w:rPr>
        <w:t>15. Explain the reasons for any program changes or adjustments.</w:t>
      </w:r>
    </w:p>
    <w:p w:rsidRPr="003A637E" w:rsidR="00274AE1" w:rsidP="00C64707" w:rsidRDefault="00274AE1" w14:paraId="03188ECB" w14:textId="125364E1">
      <w:pPr>
        <w:shd w:val="clear" w:color="auto" w:fill="FFFFFF"/>
        <w:spacing w:after="0" w:line="240" w:lineRule="auto"/>
        <w:rPr>
          <w:rFonts w:eastAsia="Times New Roman" w:cstheme="minorHAnsi"/>
          <w:color w:val="2E74B5" w:themeColor="accent1" w:themeShade="BF"/>
        </w:rPr>
      </w:pPr>
    </w:p>
    <w:p w:rsidRPr="003A637E" w:rsidR="00C64707" w:rsidP="005E72B2" w:rsidRDefault="00AF40FF" w14:paraId="284C9068" w14:textId="4E96A103">
      <w:pPr>
        <w:pStyle w:val="Heading2"/>
        <w:numPr>
          <w:ilvl w:val="0"/>
          <w:numId w:val="0"/>
        </w:numPr>
        <w:ind w:left="576"/>
        <w:rPr>
          <w:b w:val="0"/>
        </w:rPr>
      </w:pPr>
      <w:r w:rsidRPr="003A637E">
        <w:rPr>
          <w:b w:val="0"/>
        </w:rPr>
        <w:t>This is a new collection.</w:t>
      </w:r>
    </w:p>
    <w:p w:rsidRPr="003A637E" w:rsidR="00AF40FF" w:rsidP="00C64707" w:rsidRDefault="00AF40FF" w14:paraId="652ED89B" w14:textId="77777777">
      <w:pPr>
        <w:shd w:val="clear" w:color="auto" w:fill="FFFFFF"/>
        <w:spacing w:after="0" w:line="240" w:lineRule="auto"/>
        <w:rPr>
          <w:rFonts w:eastAsia="Times New Roman" w:cstheme="minorHAnsi"/>
          <w:color w:val="555555"/>
          <w:sz w:val="24"/>
          <w:szCs w:val="24"/>
        </w:rPr>
      </w:pPr>
    </w:p>
    <w:p w:rsidRPr="003A637E" w:rsidR="00C64707" w:rsidP="005E72B2" w:rsidRDefault="00C64707" w14:paraId="1C4CA94B" w14:textId="77777777">
      <w:pPr>
        <w:pStyle w:val="Heading1"/>
        <w:rPr>
          <w:rFonts w:eastAsia="Times New Roman" w:cstheme="minorHAnsi"/>
          <w:color w:val="555555"/>
          <w:sz w:val="24"/>
          <w:szCs w:val="24"/>
        </w:rPr>
      </w:pPr>
      <w:r w:rsidRPr="003A637E">
        <w:rPr>
          <w:rFonts w:eastAsia="Times New Roman"/>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A637E" w:rsidR="00AF40FF" w:rsidP="00C64707" w:rsidRDefault="00AF40FF" w14:paraId="0BAF9F01" w14:textId="764039E2">
      <w:pPr>
        <w:shd w:val="clear" w:color="auto" w:fill="FFFFFF"/>
        <w:spacing w:after="0" w:line="240" w:lineRule="auto"/>
        <w:rPr>
          <w:rFonts w:eastAsia="Times New Roman" w:cstheme="minorHAnsi"/>
          <w:color w:val="555555"/>
          <w:sz w:val="24"/>
          <w:szCs w:val="24"/>
        </w:rPr>
      </w:pPr>
    </w:p>
    <w:p w:rsidRPr="003A637E" w:rsidR="00AF40FF" w:rsidP="003A637E" w:rsidRDefault="00AF40FF" w14:paraId="049536C4" w14:textId="533A3776">
      <w:pPr>
        <w:pStyle w:val="Heading2"/>
        <w:numPr>
          <w:ilvl w:val="0"/>
          <w:numId w:val="0"/>
        </w:numPr>
        <w:ind w:left="576"/>
        <w:rPr>
          <w:b w:val="0"/>
          <w:color w:val="2E74B5" w:themeColor="accent1" w:themeShade="BF"/>
        </w:rPr>
      </w:pPr>
      <w:r w:rsidRPr="003A637E">
        <w:rPr>
          <w:b w:val="0"/>
        </w:rPr>
        <w:t>The results of this collection of information will not be published.</w:t>
      </w:r>
    </w:p>
    <w:p w:rsidRPr="003A637E" w:rsidR="00C64707" w:rsidP="00C64707" w:rsidRDefault="00C64707" w14:paraId="6698D547" w14:textId="77777777">
      <w:pPr>
        <w:shd w:val="clear" w:color="auto" w:fill="FFFFFF"/>
        <w:spacing w:after="0" w:line="240" w:lineRule="auto"/>
        <w:rPr>
          <w:rFonts w:eastAsia="Times New Roman" w:cstheme="minorHAnsi"/>
          <w:color w:val="555555"/>
          <w:sz w:val="24"/>
          <w:szCs w:val="24"/>
        </w:rPr>
      </w:pPr>
    </w:p>
    <w:p w:rsidRPr="003A637E" w:rsidR="00C64707" w:rsidP="000E0A17" w:rsidRDefault="00C64707" w14:paraId="103B04B3" w14:textId="77777777">
      <w:pPr>
        <w:pStyle w:val="Heading1"/>
        <w:rPr>
          <w:rFonts w:eastAsia="Times New Roman" w:cstheme="minorHAnsi"/>
          <w:color w:val="555555"/>
          <w:sz w:val="24"/>
          <w:szCs w:val="24"/>
        </w:rPr>
      </w:pPr>
      <w:r w:rsidRPr="003A637E">
        <w:rPr>
          <w:rFonts w:eastAsia="Times New Roman"/>
        </w:rPr>
        <w:t>17. If seeking approval to not display the expiration date for OMB approval of the information collection, explain the reasons why display would be inappropriate.</w:t>
      </w:r>
    </w:p>
    <w:p w:rsidRPr="003A637E" w:rsidR="00AF40FF" w:rsidP="00C64707" w:rsidRDefault="00AF40FF" w14:paraId="3C88A9C1" w14:textId="77777777">
      <w:pPr>
        <w:shd w:val="clear" w:color="auto" w:fill="FFFFFF"/>
        <w:spacing w:after="0" w:line="240" w:lineRule="auto"/>
        <w:rPr>
          <w:rFonts w:eastAsia="Times New Roman" w:cstheme="minorHAnsi"/>
          <w:color w:val="555555"/>
          <w:sz w:val="24"/>
          <w:szCs w:val="24"/>
        </w:rPr>
      </w:pPr>
    </w:p>
    <w:p w:rsidRPr="003A637E" w:rsidR="00C64707" w:rsidP="000E0A17" w:rsidRDefault="00AF40FF" w14:paraId="23031487" w14:textId="34E70428">
      <w:pPr>
        <w:pStyle w:val="Heading2"/>
        <w:numPr>
          <w:ilvl w:val="0"/>
          <w:numId w:val="0"/>
        </w:numPr>
        <w:ind w:left="576"/>
        <w:rPr>
          <w:color w:val="555555"/>
        </w:rPr>
      </w:pPr>
      <w:r w:rsidRPr="003A637E">
        <w:rPr>
          <w:b w:val="0"/>
        </w:rPr>
        <w:t>Not seeking approval to not display the expiration date for the OMB approval</w:t>
      </w:r>
      <w:r w:rsidRPr="003A637E">
        <w:t xml:space="preserve">.  </w:t>
      </w:r>
    </w:p>
    <w:p w:rsidRPr="003A637E" w:rsidR="00C64707" w:rsidP="00C64707" w:rsidRDefault="00C64707" w14:paraId="48374BC5" w14:textId="6ADD4A12">
      <w:pPr>
        <w:shd w:val="clear" w:color="auto" w:fill="FFFFFF"/>
        <w:spacing w:after="0" w:line="240" w:lineRule="auto"/>
        <w:rPr>
          <w:rFonts w:eastAsia="Times New Roman" w:cstheme="minorHAnsi"/>
          <w:color w:val="555555"/>
          <w:sz w:val="24"/>
          <w:szCs w:val="24"/>
        </w:rPr>
      </w:pPr>
    </w:p>
    <w:p w:rsidRPr="003A637E" w:rsidR="00C64707" w:rsidP="000E0A17" w:rsidRDefault="00C64707" w14:paraId="0C629E69" w14:textId="77777777">
      <w:pPr>
        <w:pStyle w:val="Heading1"/>
        <w:rPr>
          <w:rFonts w:eastAsia="Times New Roman" w:cstheme="minorHAnsi"/>
          <w:color w:val="555555"/>
          <w:sz w:val="24"/>
          <w:szCs w:val="24"/>
        </w:rPr>
      </w:pPr>
      <w:r w:rsidRPr="003A637E">
        <w:rPr>
          <w:rFonts w:eastAsia="Times New Roman"/>
        </w:rPr>
        <w:t>18. Explain each exception to the topics of the certification statement identified in “Certification for Paperwork Reduction Act Submissions.”</w:t>
      </w:r>
    </w:p>
    <w:p w:rsidRPr="003A637E" w:rsidR="00AF40FF" w:rsidRDefault="00AF40FF" w14:paraId="5E24E14E" w14:textId="77777777">
      <w:pPr>
        <w:rPr>
          <w:rFonts w:eastAsia="Times New Roman" w:cstheme="minorHAnsi"/>
          <w:color w:val="2E74B5" w:themeColor="accent1" w:themeShade="BF"/>
        </w:rPr>
      </w:pPr>
    </w:p>
    <w:p w:rsidRPr="007B607B" w:rsidR="005B4EB0" w:rsidP="000E0A17" w:rsidRDefault="00AF40FF" w14:paraId="0F9393A2" w14:textId="5D749FD7">
      <w:pPr>
        <w:pStyle w:val="Heading2"/>
        <w:numPr>
          <w:ilvl w:val="0"/>
          <w:numId w:val="0"/>
        </w:numPr>
        <w:ind w:left="576"/>
        <w:rPr>
          <w:b w:val="0"/>
        </w:rPr>
      </w:pPr>
      <w:r w:rsidRPr="003A637E">
        <w:rPr>
          <w:b w:val="0"/>
        </w:rPr>
        <w:t>No exceptions.</w:t>
      </w:r>
    </w:p>
    <w:sectPr w:rsidRPr="007B607B"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D6BC3" w14:textId="77777777" w:rsidR="009653A5" w:rsidRDefault="009653A5" w:rsidP="008150EE">
      <w:pPr>
        <w:spacing w:after="0" w:line="240" w:lineRule="auto"/>
      </w:pPr>
      <w:r>
        <w:separator/>
      </w:r>
    </w:p>
  </w:endnote>
  <w:endnote w:type="continuationSeparator" w:id="0">
    <w:p w14:paraId="485F942A" w14:textId="77777777" w:rsidR="009653A5" w:rsidRDefault="009653A5" w:rsidP="008150EE">
      <w:pPr>
        <w:spacing w:after="0" w:line="240" w:lineRule="auto"/>
      </w:pPr>
      <w:r>
        <w:continuationSeparator/>
      </w:r>
    </w:p>
  </w:endnote>
  <w:endnote w:type="continuationNotice" w:id="1">
    <w:p w14:paraId="18B26BAB" w14:textId="77777777" w:rsidR="009653A5" w:rsidRDefault="00965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6AE03" w14:textId="77777777" w:rsidR="009653A5" w:rsidRDefault="009653A5" w:rsidP="008150EE">
      <w:pPr>
        <w:spacing w:after="0" w:line="240" w:lineRule="auto"/>
      </w:pPr>
      <w:r>
        <w:separator/>
      </w:r>
    </w:p>
  </w:footnote>
  <w:footnote w:type="continuationSeparator" w:id="0">
    <w:p w14:paraId="15E606E4" w14:textId="77777777" w:rsidR="009653A5" w:rsidRDefault="009653A5" w:rsidP="008150EE">
      <w:pPr>
        <w:spacing w:after="0" w:line="240" w:lineRule="auto"/>
      </w:pPr>
      <w:r>
        <w:continuationSeparator/>
      </w:r>
    </w:p>
  </w:footnote>
  <w:footnote w:type="continuationNotice" w:id="1">
    <w:p w14:paraId="70E79DCE" w14:textId="77777777" w:rsidR="009653A5" w:rsidRDefault="009653A5">
      <w:pPr>
        <w:spacing w:after="0" w:line="240" w:lineRule="auto"/>
      </w:pPr>
    </w:p>
  </w:footnote>
  <w:footnote w:id="2">
    <w:p w14:paraId="3EE02D18" w14:textId="743EB0AC" w:rsidR="00BE42CC" w:rsidRDefault="00BE42CC">
      <w:pPr>
        <w:pStyle w:val="FootnoteText"/>
      </w:pPr>
      <w:r>
        <w:rPr>
          <w:rStyle w:val="FootnoteReference"/>
        </w:rPr>
        <w:footnoteRef/>
      </w:r>
      <w:r>
        <w:t xml:space="preserve"> Salary information taken from the U.S. Bureau of Labor Statistics, May 2019 National Occupational Employment and Wage Estimates United States at </w:t>
      </w:r>
      <w:hyperlink r:id="rId1" w:history="1">
        <w:r w:rsidRPr="000C58FC">
          <w:rPr>
            <w:rStyle w:val="Hyperlink"/>
          </w:rPr>
          <w:t>https://www.bls.gov/oes/2019/may/oes131111.htm</w:t>
        </w:r>
      </w:hyperlink>
      <w:r>
        <w:t xml:space="preserve"> </w:t>
      </w:r>
    </w:p>
  </w:footnote>
  <w:footnote w:id="3">
    <w:p w14:paraId="5CB848C5" w14:textId="685A82D1" w:rsidR="00BE42CC" w:rsidRDefault="00BE42CC">
      <w:pPr>
        <w:pStyle w:val="FootnoteText"/>
      </w:pPr>
      <w:r>
        <w:rPr>
          <w:rStyle w:val="FootnoteReference"/>
        </w:rPr>
        <w:footnoteRef/>
      </w:r>
      <w:r>
        <w:t xml:space="preserve"> Salary information taken from the U.S. Bureau of Labor Statistics, May 2019 National Occupational Employment and Wage Estimates United States at </w:t>
      </w:r>
      <w:hyperlink r:id="rId2" w:history="1">
        <w:r w:rsidRPr="000C58FC">
          <w:rPr>
            <w:rStyle w:val="Hyperlink"/>
          </w:rPr>
          <w:t>https://www.bls.gov/oes/2019/may/oes131198.htm</w:t>
        </w:r>
      </w:hyperlink>
      <w:r>
        <w:t xml:space="preserve"> </w:t>
      </w:r>
    </w:p>
  </w:footnote>
  <w:footnote w:id="4">
    <w:p w14:paraId="2A78B47C" w14:textId="35A082DE" w:rsidR="00BE42CC" w:rsidRDefault="00BE42CC">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3" w:history="1">
        <w:r w:rsidRPr="00295755">
          <w:rPr>
            <w:rStyle w:val="Hyperlink"/>
          </w:rPr>
          <w:t>https://www.bls.gov/oes/2019/may/oes131111.htm</w:t>
        </w:r>
      </w:hyperlink>
      <w:r w:rsidRPr="00295755">
        <w:t xml:space="preserve"> </w:t>
      </w:r>
    </w:p>
  </w:footnote>
  <w:footnote w:id="5">
    <w:p w14:paraId="6C7423A8" w14:textId="26EF70D1" w:rsidR="00BE42CC" w:rsidRPr="00BE42CC" w:rsidRDefault="00BE42CC" w:rsidP="00BE42CC">
      <w:pPr>
        <w:rPr>
          <w:sz w:val="20"/>
          <w:szCs w:val="20"/>
        </w:rPr>
      </w:pPr>
      <w:r>
        <w:rPr>
          <w:rStyle w:val="FootnoteReference"/>
        </w:rPr>
        <w:footnoteRef/>
      </w:r>
      <w:r>
        <w:t xml:space="preserve"> </w:t>
      </w:r>
      <w:r w:rsidRPr="00295755">
        <w:rPr>
          <w:sz w:val="20"/>
          <w:szCs w:val="20"/>
        </w:rPr>
        <w:t xml:space="preserve">Salary information taken from the U.S. Bureau of Labor Statistics, May 2019 National Occupational Employment and Wage Estimates United States at </w:t>
      </w:r>
      <w:hyperlink r:id="rId4" w:history="1">
        <w:r w:rsidRPr="00295755">
          <w:rPr>
            <w:rStyle w:val="Hyperlink"/>
            <w:sz w:val="20"/>
            <w:szCs w:val="20"/>
          </w:rPr>
          <w:t>https://www.bls.gov/oes/2019/may/oes131198.htm</w:t>
        </w:r>
      </w:hyperlink>
    </w:p>
  </w:footnote>
  <w:footnote w:id="6">
    <w:p w14:paraId="2D519936" w14:textId="60548B70" w:rsidR="00571747" w:rsidRDefault="00571747">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5" w:history="1">
        <w:r w:rsidRPr="00295755">
          <w:rPr>
            <w:rStyle w:val="Hyperlink"/>
          </w:rPr>
          <w:t>https://www.bls.gov/oes/2019/may/oes131111.htm</w:t>
        </w:r>
      </w:hyperlink>
      <w:r w:rsidRPr="00295755">
        <w:t xml:space="preserve"> </w:t>
      </w:r>
    </w:p>
  </w:footnote>
  <w:footnote w:id="7">
    <w:p w14:paraId="36B591D7" w14:textId="2F8C5D3B" w:rsidR="00571747" w:rsidRPr="00571747" w:rsidRDefault="00571747" w:rsidP="00571747">
      <w:pPr>
        <w:rPr>
          <w:sz w:val="20"/>
          <w:szCs w:val="20"/>
        </w:rPr>
      </w:pPr>
      <w:r>
        <w:rPr>
          <w:rStyle w:val="FootnoteReference"/>
        </w:rPr>
        <w:footnoteRef/>
      </w:r>
      <w:r>
        <w:t xml:space="preserve"> </w:t>
      </w:r>
      <w:r w:rsidRPr="00295755">
        <w:rPr>
          <w:sz w:val="20"/>
          <w:szCs w:val="20"/>
        </w:rPr>
        <w:t xml:space="preserve">Salary information taken from the U.S. Bureau of Labor Statistics, May 2019 National Occupational Employment and Wage Estimates United States at </w:t>
      </w:r>
      <w:hyperlink r:id="rId6" w:history="1">
        <w:r w:rsidRPr="00295755">
          <w:rPr>
            <w:rStyle w:val="Hyperlink"/>
            <w:sz w:val="20"/>
            <w:szCs w:val="20"/>
          </w:rPr>
          <w:t>https://www.bls.gov/oes/2019/may/oes131198.htm</w:t>
        </w:r>
      </w:hyperlink>
    </w:p>
  </w:footnote>
  <w:footnote w:id="8">
    <w:p w14:paraId="09610A4E" w14:textId="18411493" w:rsidR="00FF1CE3" w:rsidRDefault="00FF1CE3">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7" w:history="1">
        <w:r w:rsidRPr="00295755">
          <w:rPr>
            <w:rStyle w:val="Hyperlink"/>
          </w:rPr>
          <w:t>https://www.bls.gov/oes/2019/may/oes131111.htm</w:t>
        </w:r>
      </w:hyperlink>
    </w:p>
  </w:footnote>
  <w:footnote w:id="9">
    <w:p w14:paraId="211C9139" w14:textId="065B56C3" w:rsidR="00FF1CE3" w:rsidRPr="00FF1CE3" w:rsidRDefault="00FF1CE3" w:rsidP="00FF1CE3">
      <w:pPr>
        <w:rPr>
          <w:sz w:val="20"/>
          <w:szCs w:val="20"/>
        </w:rPr>
      </w:pPr>
      <w:r>
        <w:rPr>
          <w:rStyle w:val="FootnoteReference"/>
        </w:rPr>
        <w:footnoteRef/>
      </w:r>
      <w:r>
        <w:t xml:space="preserve"> </w:t>
      </w:r>
      <w:r w:rsidRPr="00295755">
        <w:rPr>
          <w:sz w:val="20"/>
          <w:szCs w:val="20"/>
        </w:rPr>
        <w:t xml:space="preserve">Salary information taken from the U.S. Bureau of Labor Statistics, May 2019 National Occupational Employment and Wage Estimates United States at </w:t>
      </w:r>
      <w:hyperlink r:id="rId8" w:history="1">
        <w:r w:rsidRPr="00295755">
          <w:rPr>
            <w:rStyle w:val="Hyperlink"/>
            <w:sz w:val="20"/>
            <w:szCs w:val="20"/>
          </w:rPr>
          <w:t>https://www.bls.gov/oes/2019/may/oes131198.htm</w:t>
        </w:r>
      </w:hyperlink>
    </w:p>
  </w:footnote>
  <w:footnote w:id="10">
    <w:p w14:paraId="7FDAA11F" w14:textId="389F6BCC" w:rsidR="00FF1CE3" w:rsidRDefault="00FF1CE3">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9" w:history="1">
        <w:r w:rsidRPr="00295755">
          <w:rPr>
            <w:rStyle w:val="Hyperlink"/>
          </w:rPr>
          <w:t>https://www.bls.gov/oes/2019/may/oes131111.htm</w:t>
        </w:r>
      </w:hyperlink>
    </w:p>
  </w:footnote>
  <w:footnote w:id="11">
    <w:p w14:paraId="691431A9" w14:textId="57D118A6" w:rsidR="00FF1CE3" w:rsidRDefault="00FF1CE3">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10" w:history="1">
        <w:r w:rsidRPr="00295755">
          <w:rPr>
            <w:rStyle w:val="Hyperlink"/>
          </w:rPr>
          <w:t>https://www.bls.gov/oes/2019/may/oes131198.htm</w:t>
        </w:r>
      </w:hyperlink>
    </w:p>
  </w:footnote>
  <w:footnote w:id="12">
    <w:p w14:paraId="5C3B523F" w14:textId="1DD81979" w:rsidR="00FF1CE3" w:rsidRDefault="00FF1CE3">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11" w:history="1">
        <w:r w:rsidRPr="00295755">
          <w:rPr>
            <w:rStyle w:val="Hyperlink"/>
          </w:rPr>
          <w:t>https://www.bls.gov/oes/2019/may/oes131111.htm</w:t>
        </w:r>
      </w:hyperlink>
    </w:p>
  </w:footnote>
  <w:footnote w:id="13">
    <w:p w14:paraId="2893DB8F" w14:textId="2BDFD672" w:rsidR="00FF1CE3" w:rsidRDefault="00FF1CE3">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12" w:history="1">
        <w:r w:rsidRPr="00295755">
          <w:rPr>
            <w:rStyle w:val="Hyperlink"/>
          </w:rPr>
          <w:t>https://www.bls.gov/oes/2019/may/oes131198.htm</w:t>
        </w:r>
      </w:hyperlink>
    </w:p>
  </w:footnote>
  <w:footnote w:id="14">
    <w:p w14:paraId="5EA003A5" w14:textId="262E2DBF" w:rsidR="00FF1CE3" w:rsidRDefault="00FF1CE3">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13" w:history="1">
        <w:r w:rsidRPr="00295755">
          <w:rPr>
            <w:rStyle w:val="Hyperlink"/>
          </w:rPr>
          <w:t>https://www.bls.gov/oes/2019/may/oes131111.htm</w:t>
        </w:r>
      </w:hyperlink>
      <w:r w:rsidRPr="00295755">
        <w:t xml:space="preserve"> </w:t>
      </w:r>
    </w:p>
  </w:footnote>
  <w:footnote w:id="15">
    <w:p w14:paraId="40B744DF" w14:textId="79E8BF4D" w:rsidR="00FF1CE3" w:rsidRDefault="00FF1CE3">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14" w:history="1">
        <w:r w:rsidRPr="00295755">
          <w:rPr>
            <w:rStyle w:val="Hyperlink"/>
          </w:rPr>
          <w:t>https://www.bls.gov/oes/2019/may/oes131198.htm</w:t>
        </w:r>
      </w:hyperlink>
    </w:p>
  </w:footnote>
  <w:footnote w:id="16">
    <w:p w14:paraId="1C9DBB2C" w14:textId="7E374238" w:rsidR="00FF1CE3" w:rsidRDefault="00FF1CE3">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15" w:history="1">
        <w:r w:rsidRPr="00295755">
          <w:rPr>
            <w:rStyle w:val="Hyperlink"/>
          </w:rPr>
          <w:t>https://www.bls.gov/oes/2019/may/oes131111.htm</w:t>
        </w:r>
      </w:hyperlink>
    </w:p>
  </w:footnote>
  <w:footnote w:id="17">
    <w:p w14:paraId="402FA5F3" w14:textId="24271C04" w:rsidR="00FF1CE3" w:rsidRPr="00FF1CE3" w:rsidRDefault="00FF1CE3" w:rsidP="00FF1CE3">
      <w:pPr>
        <w:rPr>
          <w:sz w:val="20"/>
          <w:szCs w:val="20"/>
        </w:rPr>
      </w:pPr>
      <w:r>
        <w:rPr>
          <w:rStyle w:val="FootnoteReference"/>
        </w:rPr>
        <w:footnoteRef/>
      </w:r>
      <w:r>
        <w:t xml:space="preserve"> </w:t>
      </w:r>
      <w:r w:rsidRPr="00295755">
        <w:rPr>
          <w:sz w:val="20"/>
          <w:szCs w:val="20"/>
        </w:rPr>
        <w:t xml:space="preserve">Salary information taken from the U.S. Bureau of Labor Statistics, May 2019 National Occupational Employment and Wage Estimates United States at </w:t>
      </w:r>
      <w:hyperlink r:id="rId16" w:history="1">
        <w:r w:rsidRPr="00295755">
          <w:rPr>
            <w:rStyle w:val="Hyperlink"/>
            <w:sz w:val="20"/>
            <w:szCs w:val="20"/>
          </w:rPr>
          <w:t>https://www.bls.gov/oes/2019/may/oes131198.htm</w:t>
        </w:r>
      </w:hyperlink>
    </w:p>
  </w:footnote>
  <w:footnote w:id="18">
    <w:p w14:paraId="7D76A8FF" w14:textId="1391268C" w:rsidR="00755D08" w:rsidRDefault="00755D08">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17" w:history="1">
        <w:r w:rsidRPr="00295755">
          <w:rPr>
            <w:rStyle w:val="Hyperlink"/>
          </w:rPr>
          <w:t>https://www.bls.gov/oes/2019/may/oes131111.htm</w:t>
        </w:r>
      </w:hyperlink>
      <w:r w:rsidRPr="00295755">
        <w:t xml:space="preserve"> </w:t>
      </w:r>
    </w:p>
  </w:footnote>
  <w:footnote w:id="19">
    <w:p w14:paraId="567C68EC" w14:textId="33373ACB" w:rsidR="00755D08" w:rsidRPr="00755D08" w:rsidRDefault="00755D08" w:rsidP="00755D08">
      <w:pPr>
        <w:rPr>
          <w:sz w:val="20"/>
          <w:szCs w:val="20"/>
        </w:rPr>
      </w:pPr>
      <w:r>
        <w:rPr>
          <w:rStyle w:val="FootnoteReference"/>
        </w:rPr>
        <w:footnoteRef/>
      </w:r>
      <w:r>
        <w:t xml:space="preserve"> </w:t>
      </w:r>
      <w:r w:rsidRPr="00295755">
        <w:rPr>
          <w:sz w:val="20"/>
          <w:szCs w:val="20"/>
        </w:rPr>
        <w:t xml:space="preserve">Salary information taken from the U.S. Bureau of Labor Statistics, May 2019 National Occupational Employment and Wage Estimates United States at </w:t>
      </w:r>
      <w:hyperlink r:id="rId18" w:history="1">
        <w:r w:rsidRPr="00295755">
          <w:rPr>
            <w:rStyle w:val="Hyperlink"/>
            <w:sz w:val="20"/>
            <w:szCs w:val="20"/>
          </w:rPr>
          <w:t>https://www.bls.gov/oes/2019/may/oes131198.htm</w:t>
        </w:r>
      </w:hyperlink>
    </w:p>
  </w:footnote>
  <w:footnote w:id="20">
    <w:p w14:paraId="0C16925D" w14:textId="1156A5B6" w:rsidR="00755D08" w:rsidRDefault="00755D08">
      <w:pPr>
        <w:pStyle w:val="FootnoteText"/>
      </w:pPr>
      <w:r>
        <w:rPr>
          <w:rStyle w:val="FootnoteReference"/>
        </w:rPr>
        <w:footnoteRef/>
      </w:r>
      <w:r>
        <w:t xml:space="preserve"> </w:t>
      </w:r>
      <w:r w:rsidRPr="00295755">
        <w:t xml:space="preserve">Salary information taken from the U.S. Bureau of Labor Statistics, May 2019 National Occupational Employment and Wage Estimates United States at </w:t>
      </w:r>
      <w:hyperlink r:id="rId19" w:history="1">
        <w:r w:rsidRPr="00295755">
          <w:rPr>
            <w:rStyle w:val="Hyperlink"/>
          </w:rPr>
          <w:t>https://www.bls.gov/oes/2019/may/oes131111.htm</w:t>
        </w:r>
      </w:hyperlink>
    </w:p>
  </w:footnote>
  <w:footnote w:id="21">
    <w:p w14:paraId="15E24D21" w14:textId="3FBAFC99" w:rsidR="00755D08" w:rsidRPr="00755D08" w:rsidRDefault="00755D08" w:rsidP="00755D08">
      <w:pPr>
        <w:rPr>
          <w:sz w:val="20"/>
          <w:szCs w:val="20"/>
        </w:rPr>
      </w:pPr>
      <w:r>
        <w:rPr>
          <w:rStyle w:val="FootnoteReference"/>
        </w:rPr>
        <w:footnoteRef/>
      </w:r>
      <w:r>
        <w:t xml:space="preserve"> </w:t>
      </w:r>
      <w:r w:rsidRPr="00295755">
        <w:rPr>
          <w:sz w:val="20"/>
          <w:szCs w:val="20"/>
        </w:rPr>
        <w:t xml:space="preserve">Salary information taken from the U.S. Bureau of Labor Statistics, May 2019 National Occupational Employment and Wage Estimates United States at </w:t>
      </w:r>
      <w:hyperlink r:id="rId20" w:history="1">
        <w:r w:rsidRPr="00295755">
          <w:rPr>
            <w:rStyle w:val="Hyperlink"/>
            <w:sz w:val="20"/>
            <w:szCs w:val="20"/>
          </w:rPr>
          <w:t>https://www.bls.gov/oes/2019/may/oes131198.htm</w:t>
        </w:r>
      </w:hyperlink>
    </w:p>
  </w:footnote>
  <w:footnote w:id="22">
    <w:p w14:paraId="58F44B90" w14:textId="2930E95C" w:rsidR="003F7461" w:rsidRDefault="003F7461">
      <w:pPr>
        <w:pStyle w:val="FootnoteText"/>
      </w:pPr>
      <w:r>
        <w:rPr>
          <w:rStyle w:val="FootnoteReference"/>
        </w:rPr>
        <w:footnoteRef/>
      </w:r>
      <w:r>
        <w:t xml:space="preserve"> </w:t>
      </w:r>
      <w:hyperlink r:id="rId21" w:history="1">
        <w:r>
          <w:rPr>
            <w:rStyle w:val="Hyperlink"/>
          </w:rPr>
          <w:t>https://www.faa.gov/regulations_policies/policy_guidance/benefit_cost/media/econ-value-section-1-tx-time.pdf</w:t>
        </w:r>
      </w:hyperlink>
    </w:p>
  </w:footnote>
  <w:footnote w:id="23">
    <w:p w14:paraId="39045E73" w14:textId="32641901" w:rsidR="003F7461" w:rsidRDefault="003F7461">
      <w:pPr>
        <w:pStyle w:val="FootnoteText"/>
      </w:pPr>
      <w:r>
        <w:rPr>
          <w:rStyle w:val="FootnoteReference"/>
        </w:rPr>
        <w:footnoteRef/>
      </w:r>
      <w:r>
        <w:t xml:space="preserve"> </w:t>
      </w:r>
      <w:hyperlink r:id="rId22" w:history="1">
        <w:r>
          <w:rPr>
            <w:rStyle w:val="Hyperlink"/>
          </w:rPr>
          <w:t>How long should a survey be? What is the ideal survey length? | SurveyMonkey</w:t>
        </w:r>
      </w:hyperlink>
      <w:r>
        <w:t xml:space="preserve"> </w:t>
      </w:r>
      <w:hyperlink r:id="rId23" w:history="1">
        <w:r w:rsidRPr="004C12EE">
          <w:rPr>
            <w:rStyle w:val="Hyperlink"/>
          </w:rPr>
          <w:t>https://surveytown.com/keeping-your-survey-to-a-reasonable-length/</w:t>
        </w:r>
      </w:hyperlink>
    </w:p>
  </w:footnote>
  <w:footnote w:id="24">
    <w:p w14:paraId="4C5BCF56" w14:textId="2E5FE95A" w:rsidR="003F7461" w:rsidRDefault="003F7461">
      <w:pPr>
        <w:pStyle w:val="FootnoteText"/>
      </w:pPr>
      <w:r>
        <w:rPr>
          <w:rStyle w:val="FootnoteReference"/>
        </w:rPr>
        <w:footnoteRef/>
      </w:r>
      <w:r>
        <w:t xml:space="preserve"> Salary based on the maximum salary for an FAA J-Band employee using the 2021 pay levels and the Washington, DC locality. </w:t>
      </w:r>
      <w:hyperlink r:id="rId24" w:anchor="plansTables" w:history="1">
        <w:r w:rsidRPr="002C714E">
          <w:rPr>
            <w:rStyle w:val="Hyperlink"/>
          </w:rPr>
          <w:t>https://my.faa.gov/employee_services/pay_perf/pay.html.html#plansTables</w:t>
        </w:r>
      </w:hyperlink>
    </w:p>
  </w:footnote>
  <w:footnote w:id="25">
    <w:p w14:paraId="106A8AC9" w14:textId="683D314E" w:rsidR="003F7461" w:rsidRDefault="003F7461">
      <w:pPr>
        <w:pStyle w:val="FootnoteText"/>
      </w:pPr>
      <w:r>
        <w:rPr>
          <w:rStyle w:val="FootnoteReference"/>
        </w:rPr>
        <w:footnoteRef/>
      </w:r>
      <w:r>
        <w:t xml:space="preserve"> Salary based on the maximum salary for an FAA H-Band employee using the 2021 pay levels and the Washington, DC locality. </w:t>
      </w:r>
      <w:hyperlink r:id="rId25" w:anchor="plansTables" w:history="1">
        <w:r w:rsidRPr="002C714E">
          <w:rPr>
            <w:rStyle w:val="Hyperlink"/>
          </w:rPr>
          <w:t>https://my.faa.gov/employee_services/pay_perf/pay.html.html#plansTables</w:t>
        </w:r>
      </w:hyperlink>
    </w:p>
  </w:footnote>
  <w:footnote w:id="26">
    <w:p w14:paraId="46BA0452" w14:textId="6EACBE14" w:rsidR="003F7461" w:rsidRDefault="003F7461">
      <w:pPr>
        <w:pStyle w:val="FootnoteText"/>
      </w:pPr>
      <w:r>
        <w:rPr>
          <w:rStyle w:val="FootnoteReference"/>
        </w:rPr>
        <w:footnoteRef/>
      </w:r>
      <w:r>
        <w:t xml:space="preserve"> Salary information taken from the U.S. Bureau of Labor Statistics, May 2019 National Occupational Employment and Wage Estimates United States at </w:t>
      </w:r>
      <w:hyperlink r:id="rId26" w:history="1">
        <w:r w:rsidR="00AF70D9" w:rsidRPr="000C58FC">
          <w:rPr>
            <w:rStyle w:val="Hyperlink"/>
          </w:rPr>
          <w:t>https://www.bls.gov/oes/2019/may/oes131111.htm</w:t>
        </w:r>
      </w:hyperlink>
      <w:r>
        <w:t>. Salary based on Management Analyst annual mean wage.</w:t>
      </w:r>
    </w:p>
  </w:footnote>
  <w:footnote w:id="27">
    <w:p w14:paraId="4BE98476" w14:textId="47D10A34" w:rsidR="003F7461" w:rsidRDefault="003F7461">
      <w:pPr>
        <w:pStyle w:val="FootnoteText"/>
      </w:pPr>
      <w:r>
        <w:rPr>
          <w:rStyle w:val="FootnoteReference"/>
        </w:rPr>
        <w:footnoteRef/>
      </w:r>
      <w:r>
        <w:t xml:space="preserve"> Salary based on the maximum salary for an FAA J-Band employee using the 2021 pay levels and the Washington, DC locality. </w:t>
      </w:r>
      <w:hyperlink r:id="rId27" w:anchor="plansTables" w:history="1">
        <w:r w:rsidRPr="002C714E">
          <w:rPr>
            <w:rStyle w:val="Hyperlink"/>
          </w:rPr>
          <w:t>https://my.faa.gov/employee_services/pay_perf/pay.html.html#plansTables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9C6"/>
    <w:multiLevelType w:val="hybridMultilevel"/>
    <w:tmpl w:val="D44A9230"/>
    <w:lvl w:ilvl="0" w:tplc="FE7464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10B05"/>
    <w:multiLevelType w:val="multilevel"/>
    <w:tmpl w:val="4128069C"/>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F4965"/>
    <w:multiLevelType w:val="multilevel"/>
    <w:tmpl w:val="2A54612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3.%3"/>
      <w:lvlJc w:val="left"/>
      <w:pPr>
        <w:ind w:left="990" w:hanging="720"/>
      </w:pPr>
      <w:rPr>
        <w:rFonts w:hint="default"/>
        <w:b/>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8317FD"/>
    <w:multiLevelType w:val="hybridMultilevel"/>
    <w:tmpl w:val="38C424A4"/>
    <w:lvl w:ilvl="0" w:tplc="017C2E7C">
      <w:start w:val="1"/>
      <w:numFmt w:val="decimal"/>
      <w:lvlText w:val="(%1)"/>
      <w:lvlJc w:val="left"/>
      <w:pPr>
        <w:ind w:left="1656" w:hanging="360"/>
      </w:pPr>
      <w:rPr>
        <w:rFonts w:ascii="Times New Roman" w:eastAsia="Times New Roman" w:hAnsi="Times New Roman" w:cstheme="minorHAnsi"/>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C2DAE"/>
    <w:multiLevelType w:val="hybridMultilevel"/>
    <w:tmpl w:val="1DD005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9562884"/>
    <w:multiLevelType w:val="hybridMultilevel"/>
    <w:tmpl w:val="2CB69186"/>
    <w:lvl w:ilvl="0" w:tplc="662E70F0">
      <w:start w:val="6"/>
      <w:numFmt w:val="decimal"/>
      <w:lvlText w:val="(%1)"/>
      <w:lvlJc w:val="left"/>
      <w:pPr>
        <w:ind w:left="936" w:hanging="360"/>
      </w:pPr>
      <w:rPr>
        <w:rFonts w:ascii="Times New Roman" w:eastAsia="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33A08"/>
    <w:multiLevelType w:val="hybridMultilevel"/>
    <w:tmpl w:val="E61C633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2456313D"/>
    <w:multiLevelType w:val="hybridMultilevel"/>
    <w:tmpl w:val="38C424A4"/>
    <w:lvl w:ilvl="0" w:tplc="017C2E7C">
      <w:start w:val="1"/>
      <w:numFmt w:val="decimal"/>
      <w:lvlText w:val="(%1)"/>
      <w:lvlJc w:val="left"/>
      <w:pPr>
        <w:ind w:left="1656" w:hanging="360"/>
      </w:pPr>
      <w:rPr>
        <w:rFonts w:ascii="Times New Roman" w:eastAsia="Times New Roman" w:hAnsi="Times New Roman" w:cstheme="minorHAnsi"/>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 w15:restartNumberingAfterBreak="0">
    <w:nsid w:val="326C25A6"/>
    <w:multiLevelType w:val="hybridMultilevel"/>
    <w:tmpl w:val="F306B90C"/>
    <w:lvl w:ilvl="0" w:tplc="ADE80DA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5718A"/>
    <w:multiLevelType w:val="hybridMultilevel"/>
    <w:tmpl w:val="0AE65422"/>
    <w:lvl w:ilvl="0" w:tplc="428C564E">
      <w:start w:val="1"/>
      <w:numFmt w:val="lowerRoman"/>
      <w:pStyle w:val="ListParagraph"/>
      <w:lvlText w:val="(i%1)"/>
      <w:lvlJc w:val="right"/>
      <w:pPr>
        <w:ind w:left="1220" w:hanging="360"/>
      </w:pPr>
      <w:rPr>
        <w:rFonts w:hint="default"/>
        <w:spacing w:val="-1"/>
        <w:w w:val="99"/>
        <w:sz w:val="24"/>
        <w:szCs w:val="24"/>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1" w15:restartNumberingAfterBreak="0">
    <w:nsid w:val="39390916"/>
    <w:multiLevelType w:val="multilevel"/>
    <w:tmpl w:val="4128069C"/>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AF70E7"/>
    <w:multiLevelType w:val="multilevel"/>
    <w:tmpl w:val="0142A46A"/>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660099"/>
    <w:multiLevelType w:val="hybridMultilevel"/>
    <w:tmpl w:val="FFB8DB8E"/>
    <w:lvl w:ilvl="0" w:tplc="BE7E9D0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972916"/>
    <w:multiLevelType w:val="hybridMultilevel"/>
    <w:tmpl w:val="EE363436"/>
    <w:lvl w:ilvl="0" w:tplc="6E367810">
      <w:start w:val="7"/>
      <w:numFmt w:val="decimal"/>
      <w:lvlText w:val="(%1)"/>
      <w:lvlJc w:val="left"/>
      <w:pPr>
        <w:ind w:left="1656" w:hanging="360"/>
      </w:pPr>
      <w:rPr>
        <w:rFonts w:ascii="Times New Roman" w:eastAsia="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D1CEE"/>
    <w:multiLevelType w:val="hybridMultilevel"/>
    <w:tmpl w:val="38C424A4"/>
    <w:lvl w:ilvl="0" w:tplc="017C2E7C">
      <w:start w:val="1"/>
      <w:numFmt w:val="decimal"/>
      <w:lvlText w:val="(%1)"/>
      <w:lvlJc w:val="left"/>
      <w:pPr>
        <w:ind w:left="1656" w:hanging="360"/>
      </w:pPr>
      <w:rPr>
        <w:rFonts w:ascii="Times New Roman" w:eastAsia="Times New Roman" w:hAnsi="Times New Roman" w:cstheme="minorHAnsi"/>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15:restartNumberingAfterBreak="0">
    <w:nsid w:val="510740CE"/>
    <w:multiLevelType w:val="hybridMultilevel"/>
    <w:tmpl w:val="BE9AB8B2"/>
    <w:lvl w:ilvl="0" w:tplc="08E80AE2">
      <w:start w:val="6"/>
      <w:numFmt w:val="decimal"/>
      <w:lvlText w:val="(%1)"/>
      <w:lvlJc w:val="left"/>
      <w:pPr>
        <w:ind w:left="936" w:hanging="360"/>
      </w:pPr>
      <w:rPr>
        <w:rFonts w:ascii="Times New Roman" w:eastAsia="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02A94"/>
    <w:multiLevelType w:val="hybridMultilevel"/>
    <w:tmpl w:val="9AA637A4"/>
    <w:lvl w:ilvl="0" w:tplc="04090015">
      <w:start w:val="1"/>
      <w:numFmt w:val="upperLetter"/>
      <w:lvlText w:val="%1."/>
      <w:lvlJc w:val="left"/>
      <w:pPr>
        <w:ind w:left="936" w:hanging="36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5434237E"/>
    <w:multiLevelType w:val="hybridMultilevel"/>
    <w:tmpl w:val="0C4071BC"/>
    <w:lvl w:ilvl="0" w:tplc="FE7464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D847C8"/>
    <w:multiLevelType w:val="hybridMultilevel"/>
    <w:tmpl w:val="38C424A4"/>
    <w:lvl w:ilvl="0" w:tplc="017C2E7C">
      <w:start w:val="1"/>
      <w:numFmt w:val="decimal"/>
      <w:lvlText w:val="(%1)"/>
      <w:lvlJc w:val="left"/>
      <w:pPr>
        <w:ind w:left="1656" w:hanging="360"/>
      </w:pPr>
      <w:rPr>
        <w:rFonts w:ascii="Times New Roman" w:eastAsia="Times New Roman" w:hAnsi="Times New Roman" w:cstheme="minorHAnsi"/>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0" w15:restartNumberingAfterBreak="0">
    <w:nsid w:val="5EFD6997"/>
    <w:multiLevelType w:val="hybridMultilevel"/>
    <w:tmpl w:val="484E6AD6"/>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21" w15:restartNumberingAfterBreak="0">
    <w:nsid w:val="668E16B8"/>
    <w:multiLevelType w:val="hybridMultilevel"/>
    <w:tmpl w:val="D9B0E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26D32"/>
    <w:multiLevelType w:val="multilevel"/>
    <w:tmpl w:val="35FA3C7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073BD0"/>
    <w:multiLevelType w:val="hybridMultilevel"/>
    <w:tmpl w:val="BE122A9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4" w15:restartNumberingAfterBreak="0">
    <w:nsid w:val="72474BE1"/>
    <w:multiLevelType w:val="hybridMultilevel"/>
    <w:tmpl w:val="BB66E3D4"/>
    <w:lvl w:ilvl="0" w:tplc="75FE2BC6">
      <w:start w:val="1"/>
      <w:numFmt w:val="decimal"/>
      <w:lvlText w:val="(%1)"/>
      <w:lvlJc w:val="left"/>
      <w:pPr>
        <w:ind w:left="1656" w:hanging="360"/>
      </w:pPr>
      <w:rPr>
        <w:rFonts w:ascii="Times New Roman" w:eastAsia="Times New Roman" w:hAnsi="Times New Roman" w:cstheme="minorHAnsi"/>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5" w15:restartNumberingAfterBreak="0">
    <w:nsid w:val="74E240B3"/>
    <w:multiLevelType w:val="multilevel"/>
    <w:tmpl w:val="90CC4900"/>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9642A3"/>
    <w:multiLevelType w:val="hybridMultilevel"/>
    <w:tmpl w:val="76728106"/>
    <w:lvl w:ilvl="0" w:tplc="EB76C14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E6E69"/>
    <w:multiLevelType w:val="hybridMultilevel"/>
    <w:tmpl w:val="21D40DA6"/>
    <w:lvl w:ilvl="0" w:tplc="11181318">
      <w:start w:val="5"/>
      <w:numFmt w:val="decimal"/>
      <w:lvlText w:val="(%1)"/>
      <w:lvlJc w:val="left"/>
      <w:pPr>
        <w:ind w:left="1656" w:hanging="360"/>
      </w:pPr>
      <w:rPr>
        <w:rFonts w:ascii="Times New Roman" w:eastAsia="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C10EA"/>
    <w:multiLevelType w:val="hybridMultilevel"/>
    <w:tmpl w:val="74EAA3F8"/>
    <w:lvl w:ilvl="0" w:tplc="F52E97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57301"/>
    <w:multiLevelType w:val="hybridMultilevel"/>
    <w:tmpl w:val="2CB69186"/>
    <w:lvl w:ilvl="0" w:tplc="662E70F0">
      <w:start w:val="6"/>
      <w:numFmt w:val="decimal"/>
      <w:lvlText w:val="(%1)"/>
      <w:lvlJc w:val="left"/>
      <w:pPr>
        <w:ind w:left="936" w:hanging="360"/>
      </w:pPr>
      <w:rPr>
        <w:rFonts w:ascii="Times New Roman" w:eastAsia="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10"/>
  </w:num>
  <w:num w:numId="4">
    <w:abstractNumId w:val="2"/>
  </w:num>
  <w:num w:numId="5">
    <w:abstractNumId w:val="23"/>
  </w:num>
  <w:num w:numId="6">
    <w:abstractNumId w:val="5"/>
  </w:num>
  <w:num w:numId="7">
    <w:abstractNumId w:val="17"/>
  </w:num>
  <w:num w:numId="8">
    <w:abstractNumId w:val="8"/>
  </w:num>
  <w:num w:numId="9">
    <w:abstractNumId w:val="28"/>
  </w:num>
  <w:num w:numId="10">
    <w:abstractNumId w:val="21"/>
  </w:num>
  <w:num w:numId="11">
    <w:abstractNumId w:val="3"/>
  </w:num>
  <w:num w:numId="12">
    <w:abstractNumId w:val="7"/>
  </w:num>
  <w:num w:numId="13">
    <w:abstractNumId w:val="14"/>
  </w:num>
  <w:num w:numId="14">
    <w:abstractNumId w:val="6"/>
  </w:num>
  <w:num w:numId="15">
    <w:abstractNumId w:val="20"/>
  </w:num>
  <w:num w:numId="16">
    <w:abstractNumId w:val="24"/>
  </w:num>
  <w:num w:numId="17">
    <w:abstractNumId w:val="19"/>
  </w:num>
  <w:num w:numId="18">
    <w:abstractNumId w:val="16"/>
  </w:num>
  <w:num w:numId="19">
    <w:abstractNumId w:val="15"/>
  </w:num>
  <w:num w:numId="20">
    <w:abstractNumId w:val="27"/>
  </w:num>
  <w:num w:numId="21">
    <w:abstractNumId w:val="29"/>
  </w:num>
  <w:num w:numId="22">
    <w:abstractNumId w:val="0"/>
  </w:num>
  <w:num w:numId="23">
    <w:abstractNumId w:val="26"/>
  </w:num>
  <w:num w:numId="24">
    <w:abstractNumId w:val="13"/>
  </w:num>
  <w:num w:numId="25">
    <w:abstractNumId w:val="9"/>
  </w:num>
  <w:num w:numId="26">
    <w:abstractNumId w:val="1"/>
  </w:num>
  <w:num w:numId="27">
    <w:abstractNumId w:val="25"/>
  </w:num>
  <w:num w:numId="28">
    <w:abstractNumId w:val="12"/>
  </w:num>
  <w:num w:numId="29">
    <w:abstractNumId w:val="18"/>
  </w:num>
  <w:num w:numId="30">
    <w:abstractNumId w:val="11"/>
  </w:num>
  <w:num w:numId="31">
    <w:abstractNumId w:val="2"/>
  </w:num>
  <w:num w:numId="32">
    <w:abstractNumId w:val="2"/>
  </w:num>
  <w:num w:numId="33">
    <w:abstractNumId w:val="2"/>
  </w:num>
  <w:num w:numId="3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0858"/>
    <w:rsid w:val="000015C0"/>
    <w:rsid w:val="00003095"/>
    <w:rsid w:val="000072C5"/>
    <w:rsid w:val="000116FA"/>
    <w:rsid w:val="000207F5"/>
    <w:rsid w:val="00026066"/>
    <w:rsid w:val="000306F2"/>
    <w:rsid w:val="00033FD0"/>
    <w:rsid w:val="00035F51"/>
    <w:rsid w:val="00037D53"/>
    <w:rsid w:val="00043EB3"/>
    <w:rsid w:val="000463AD"/>
    <w:rsid w:val="000510D9"/>
    <w:rsid w:val="00057804"/>
    <w:rsid w:val="00063CC3"/>
    <w:rsid w:val="000641F8"/>
    <w:rsid w:val="0007332B"/>
    <w:rsid w:val="00080BD7"/>
    <w:rsid w:val="00082CFD"/>
    <w:rsid w:val="00083AEE"/>
    <w:rsid w:val="00085C88"/>
    <w:rsid w:val="000861A3"/>
    <w:rsid w:val="000A07BC"/>
    <w:rsid w:val="000A1F08"/>
    <w:rsid w:val="000A50F4"/>
    <w:rsid w:val="000A6C49"/>
    <w:rsid w:val="000B033E"/>
    <w:rsid w:val="000B04A6"/>
    <w:rsid w:val="000B5702"/>
    <w:rsid w:val="000B6867"/>
    <w:rsid w:val="000C6DFB"/>
    <w:rsid w:val="000D5891"/>
    <w:rsid w:val="000D6B31"/>
    <w:rsid w:val="000E0A17"/>
    <w:rsid w:val="000E3C36"/>
    <w:rsid w:val="000F050E"/>
    <w:rsid w:val="000F2FB7"/>
    <w:rsid w:val="000F4937"/>
    <w:rsid w:val="001024E1"/>
    <w:rsid w:val="001032E6"/>
    <w:rsid w:val="00104D27"/>
    <w:rsid w:val="001129E2"/>
    <w:rsid w:val="001238DE"/>
    <w:rsid w:val="0012455D"/>
    <w:rsid w:val="0013266A"/>
    <w:rsid w:val="001343C1"/>
    <w:rsid w:val="00134ABD"/>
    <w:rsid w:val="001358C5"/>
    <w:rsid w:val="00137903"/>
    <w:rsid w:val="00137CB3"/>
    <w:rsid w:val="0014093B"/>
    <w:rsid w:val="001524C5"/>
    <w:rsid w:val="00153759"/>
    <w:rsid w:val="00155BB8"/>
    <w:rsid w:val="001578FF"/>
    <w:rsid w:val="0016034C"/>
    <w:rsid w:val="00161EC0"/>
    <w:rsid w:val="001653DE"/>
    <w:rsid w:val="00165878"/>
    <w:rsid w:val="00170EC6"/>
    <w:rsid w:val="0017333C"/>
    <w:rsid w:val="001753A2"/>
    <w:rsid w:val="00182191"/>
    <w:rsid w:val="00185F9E"/>
    <w:rsid w:val="00191258"/>
    <w:rsid w:val="00196532"/>
    <w:rsid w:val="001A1ED1"/>
    <w:rsid w:val="001A45CE"/>
    <w:rsid w:val="001B766C"/>
    <w:rsid w:val="001B76A2"/>
    <w:rsid w:val="001C1726"/>
    <w:rsid w:val="001D4D4D"/>
    <w:rsid w:val="001D6685"/>
    <w:rsid w:val="001D68FC"/>
    <w:rsid w:val="001E163A"/>
    <w:rsid w:val="001E58A4"/>
    <w:rsid w:val="001E5BC1"/>
    <w:rsid w:val="001F0724"/>
    <w:rsid w:val="001F185F"/>
    <w:rsid w:val="001F51D8"/>
    <w:rsid w:val="00210487"/>
    <w:rsid w:val="00222B59"/>
    <w:rsid w:val="0022537A"/>
    <w:rsid w:val="00227C90"/>
    <w:rsid w:val="002371CB"/>
    <w:rsid w:val="00254BB0"/>
    <w:rsid w:val="00254E24"/>
    <w:rsid w:val="00256070"/>
    <w:rsid w:val="002566E2"/>
    <w:rsid w:val="00257B16"/>
    <w:rsid w:val="00260A8E"/>
    <w:rsid w:val="00264952"/>
    <w:rsid w:val="00271466"/>
    <w:rsid w:val="00273255"/>
    <w:rsid w:val="00273C7B"/>
    <w:rsid w:val="00274AE1"/>
    <w:rsid w:val="00275D96"/>
    <w:rsid w:val="002A019E"/>
    <w:rsid w:val="002A0E5A"/>
    <w:rsid w:val="002A5C78"/>
    <w:rsid w:val="002D2CD7"/>
    <w:rsid w:val="002D504E"/>
    <w:rsid w:val="002E2CDA"/>
    <w:rsid w:val="002E420A"/>
    <w:rsid w:val="002E519B"/>
    <w:rsid w:val="002F52CB"/>
    <w:rsid w:val="0030000A"/>
    <w:rsid w:val="003078F5"/>
    <w:rsid w:val="00316F29"/>
    <w:rsid w:val="00327F44"/>
    <w:rsid w:val="00331092"/>
    <w:rsid w:val="00331FCF"/>
    <w:rsid w:val="003339FD"/>
    <w:rsid w:val="00334392"/>
    <w:rsid w:val="0033456E"/>
    <w:rsid w:val="00334819"/>
    <w:rsid w:val="00335F30"/>
    <w:rsid w:val="00345671"/>
    <w:rsid w:val="00351110"/>
    <w:rsid w:val="003572BE"/>
    <w:rsid w:val="00362CCC"/>
    <w:rsid w:val="00365D06"/>
    <w:rsid w:val="00367594"/>
    <w:rsid w:val="003765B4"/>
    <w:rsid w:val="0038028E"/>
    <w:rsid w:val="003830B1"/>
    <w:rsid w:val="00385160"/>
    <w:rsid w:val="00386971"/>
    <w:rsid w:val="0039366A"/>
    <w:rsid w:val="00397884"/>
    <w:rsid w:val="003A0C06"/>
    <w:rsid w:val="003A1286"/>
    <w:rsid w:val="003A2C0B"/>
    <w:rsid w:val="003A46B9"/>
    <w:rsid w:val="003A5A5F"/>
    <w:rsid w:val="003A637E"/>
    <w:rsid w:val="003B1C30"/>
    <w:rsid w:val="003B3E86"/>
    <w:rsid w:val="003B472C"/>
    <w:rsid w:val="003C0818"/>
    <w:rsid w:val="003C54C9"/>
    <w:rsid w:val="003C7F98"/>
    <w:rsid w:val="003D3CA3"/>
    <w:rsid w:val="003D6235"/>
    <w:rsid w:val="003E2094"/>
    <w:rsid w:val="003E37D5"/>
    <w:rsid w:val="003F316E"/>
    <w:rsid w:val="003F7461"/>
    <w:rsid w:val="00400A52"/>
    <w:rsid w:val="004268A3"/>
    <w:rsid w:val="0043269D"/>
    <w:rsid w:val="004371F1"/>
    <w:rsid w:val="004456AD"/>
    <w:rsid w:val="004465E3"/>
    <w:rsid w:val="00451904"/>
    <w:rsid w:val="00452FB7"/>
    <w:rsid w:val="004556D1"/>
    <w:rsid w:val="004559F1"/>
    <w:rsid w:val="00461116"/>
    <w:rsid w:val="00464F4C"/>
    <w:rsid w:val="00466118"/>
    <w:rsid w:val="004665E0"/>
    <w:rsid w:val="00480A76"/>
    <w:rsid w:val="0049174E"/>
    <w:rsid w:val="0049706C"/>
    <w:rsid w:val="00497920"/>
    <w:rsid w:val="004A12C0"/>
    <w:rsid w:val="004B7C44"/>
    <w:rsid w:val="004C1813"/>
    <w:rsid w:val="004F28A9"/>
    <w:rsid w:val="004F364B"/>
    <w:rsid w:val="004F4E63"/>
    <w:rsid w:val="004F5A6E"/>
    <w:rsid w:val="00503144"/>
    <w:rsid w:val="00506D71"/>
    <w:rsid w:val="00511AAE"/>
    <w:rsid w:val="00513EFE"/>
    <w:rsid w:val="00514186"/>
    <w:rsid w:val="00514BA9"/>
    <w:rsid w:val="005229B8"/>
    <w:rsid w:val="00530882"/>
    <w:rsid w:val="00532E55"/>
    <w:rsid w:val="00533216"/>
    <w:rsid w:val="0053347D"/>
    <w:rsid w:val="00534F1D"/>
    <w:rsid w:val="00534F9B"/>
    <w:rsid w:val="00536512"/>
    <w:rsid w:val="00542D1D"/>
    <w:rsid w:val="0054598A"/>
    <w:rsid w:val="005462CE"/>
    <w:rsid w:val="00565C6A"/>
    <w:rsid w:val="00571747"/>
    <w:rsid w:val="00574C5D"/>
    <w:rsid w:val="005771F4"/>
    <w:rsid w:val="00580C11"/>
    <w:rsid w:val="00585040"/>
    <w:rsid w:val="00585BA3"/>
    <w:rsid w:val="00590A1A"/>
    <w:rsid w:val="00590D12"/>
    <w:rsid w:val="0059273F"/>
    <w:rsid w:val="005A7021"/>
    <w:rsid w:val="005A7A4B"/>
    <w:rsid w:val="005B07A9"/>
    <w:rsid w:val="005B4964"/>
    <w:rsid w:val="005B4EB0"/>
    <w:rsid w:val="005B65D6"/>
    <w:rsid w:val="005C6F95"/>
    <w:rsid w:val="005D191A"/>
    <w:rsid w:val="005D5358"/>
    <w:rsid w:val="005E23E8"/>
    <w:rsid w:val="005E3384"/>
    <w:rsid w:val="005E3C11"/>
    <w:rsid w:val="005E3CEB"/>
    <w:rsid w:val="005E59BC"/>
    <w:rsid w:val="005E5AA4"/>
    <w:rsid w:val="005E6D59"/>
    <w:rsid w:val="005E72B2"/>
    <w:rsid w:val="00601D1A"/>
    <w:rsid w:val="00617352"/>
    <w:rsid w:val="0062100C"/>
    <w:rsid w:val="00621426"/>
    <w:rsid w:val="00634DD9"/>
    <w:rsid w:val="00640353"/>
    <w:rsid w:val="0064215F"/>
    <w:rsid w:val="0064261B"/>
    <w:rsid w:val="0065444D"/>
    <w:rsid w:val="006561AF"/>
    <w:rsid w:val="00667D23"/>
    <w:rsid w:val="00672B75"/>
    <w:rsid w:val="006835A3"/>
    <w:rsid w:val="00683D73"/>
    <w:rsid w:val="006904C2"/>
    <w:rsid w:val="006911AC"/>
    <w:rsid w:val="006A0A4E"/>
    <w:rsid w:val="006A22D6"/>
    <w:rsid w:val="006A2D8B"/>
    <w:rsid w:val="006A6A6D"/>
    <w:rsid w:val="006A7F47"/>
    <w:rsid w:val="006B23BF"/>
    <w:rsid w:val="006B3426"/>
    <w:rsid w:val="006C06DF"/>
    <w:rsid w:val="006C416E"/>
    <w:rsid w:val="006C48E1"/>
    <w:rsid w:val="006C799C"/>
    <w:rsid w:val="006D60ED"/>
    <w:rsid w:val="006E0E52"/>
    <w:rsid w:val="006E7B09"/>
    <w:rsid w:val="006F0A80"/>
    <w:rsid w:val="006F1373"/>
    <w:rsid w:val="007052CF"/>
    <w:rsid w:val="00710111"/>
    <w:rsid w:val="00712F00"/>
    <w:rsid w:val="007174F0"/>
    <w:rsid w:val="007232CA"/>
    <w:rsid w:val="0072330B"/>
    <w:rsid w:val="00724C6C"/>
    <w:rsid w:val="0072660E"/>
    <w:rsid w:val="00732BCC"/>
    <w:rsid w:val="00735023"/>
    <w:rsid w:val="007360FE"/>
    <w:rsid w:val="00736722"/>
    <w:rsid w:val="0074582F"/>
    <w:rsid w:val="00755D08"/>
    <w:rsid w:val="00760911"/>
    <w:rsid w:val="00771C53"/>
    <w:rsid w:val="00773564"/>
    <w:rsid w:val="007757FC"/>
    <w:rsid w:val="00775BA7"/>
    <w:rsid w:val="0078082D"/>
    <w:rsid w:val="007829BD"/>
    <w:rsid w:val="00784C12"/>
    <w:rsid w:val="00787A50"/>
    <w:rsid w:val="00790C36"/>
    <w:rsid w:val="00793319"/>
    <w:rsid w:val="00796BBE"/>
    <w:rsid w:val="0079764B"/>
    <w:rsid w:val="007A4124"/>
    <w:rsid w:val="007A57DE"/>
    <w:rsid w:val="007B5485"/>
    <w:rsid w:val="007B607B"/>
    <w:rsid w:val="007B740B"/>
    <w:rsid w:val="007C09AA"/>
    <w:rsid w:val="007C3C46"/>
    <w:rsid w:val="007C69DC"/>
    <w:rsid w:val="007D144F"/>
    <w:rsid w:val="007D2FB5"/>
    <w:rsid w:val="007D554A"/>
    <w:rsid w:val="007D680F"/>
    <w:rsid w:val="007E10FD"/>
    <w:rsid w:val="007E1ADD"/>
    <w:rsid w:val="007E6CB8"/>
    <w:rsid w:val="007F60A0"/>
    <w:rsid w:val="007F7798"/>
    <w:rsid w:val="007F7F25"/>
    <w:rsid w:val="00803F5A"/>
    <w:rsid w:val="008150EE"/>
    <w:rsid w:val="00815430"/>
    <w:rsid w:val="008166EA"/>
    <w:rsid w:val="00825990"/>
    <w:rsid w:val="00832B9F"/>
    <w:rsid w:val="00837569"/>
    <w:rsid w:val="00837CB7"/>
    <w:rsid w:val="0085482B"/>
    <w:rsid w:val="00871EAB"/>
    <w:rsid w:val="00885D2A"/>
    <w:rsid w:val="008865BD"/>
    <w:rsid w:val="00887990"/>
    <w:rsid w:val="00892520"/>
    <w:rsid w:val="008A4937"/>
    <w:rsid w:val="008B6897"/>
    <w:rsid w:val="008C48D3"/>
    <w:rsid w:val="008C6799"/>
    <w:rsid w:val="008E0137"/>
    <w:rsid w:val="008E0CB5"/>
    <w:rsid w:val="008E2775"/>
    <w:rsid w:val="008E3A11"/>
    <w:rsid w:val="008E6C67"/>
    <w:rsid w:val="008F609F"/>
    <w:rsid w:val="00900792"/>
    <w:rsid w:val="00906579"/>
    <w:rsid w:val="009117BF"/>
    <w:rsid w:val="0091493B"/>
    <w:rsid w:val="009158DE"/>
    <w:rsid w:val="00917B06"/>
    <w:rsid w:val="009221C5"/>
    <w:rsid w:val="00927455"/>
    <w:rsid w:val="009303C4"/>
    <w:rsid w:val="009327D3"/>
    <w:rsid w:val="00933CCF"/>
    <w:rsid w:val="00934448"/>
    <w:rsid w:val="009353AC"/>
    <w:rsid w:val="009407D1"/>
    <w:rsid w:val="00950601"/>
    <w:rsid w:val="00951E13"/>
    <w:rsid w:val="00955135"/>
    <w:rsid w:val="00964C35"/>
    <w:rsid w:val="009653A5"/>
    <w:rsid w:val="0096606C"/>
    <w:rsid w:val="00972F11"/>
    <w:rsid w:val="00973232"/>
    <w:rsid w:val="009808A5"/>
    <w:rsid w:val="009875D1"/>
    <w:rsid w:val="00987FFC"/>
    <w:rsid w:val="009A6AA9"/>
    <w:rsid w:val="009A74F3"/>
    <w:rsid w:val="009B5984"/>
    <w:rsid w:val="009C1077"/>
    <w:rsid w:val="009C30F6"/>
    <w:rsid w:val="009D6A3C"/>
    <w:rsid w:val="009E6ABE"/>
    <w:rsid w:val="009E7D01"/>
    <w:rsid w:val="00A03E03"/>
    <w:rsid w:val="00A04FDC"/>
    <w:rsid w:val="00A20C50"/>
    <w:rsid w:val="00A232C9"/>
    <w:rsid w:val="00A24804"/>
    <w:rsid w:val="00A33FE0"/>
    <w:rsid w:val="00A34E2F"/>
    <w:rsid w:val="00A43872"/>
    <w:rsid w:val="00A50652"/>
    <w:rsid w:val="00A54688"/>
    <w:rsid w:val="00A6347E"/>
    <w:rsid w:val="00A63ED2"/>
    <w:rsid w:val="00A6457D"/>
    <w:rsid w:val="00A7485B"/>
    <w:rsid w:val="00A75360"/>
    <w:rsid w:val="00A7659D"/>
    <w:rsid w:val="00A7786C"/>
    <w:rsid w:val="00A8023F"/>
    <w:rsid w:val="00A807B7"/>
    <w:rsid w:val="00A8205F"/>
    <w:rsid w:val="00A841D4"/>
    <w:rsid w:val="00A85E84"/>
    <w:rsid w:val="00A933D5"/>
    <w:rsid w:val="00A9607C"/>
    <w:rsid w:val="00AA61DA"/>
    <w:rsid w:val="00AA7E0A"/>
    <w:rsid w:val="00AB053D"/>
    <w:rsid w:val="00AB3599"/>
    <w:rsid w:val="00AB4560"/>
    <w:rsid w:val="00AB4B7B"/>
    <w:rsid w:val="00AC052A"/>
    <w:rsid w:val="00AD06BC"/>
    <w:rsid w:val="00AD2CB2"/>
    <w:rsid w:val="00AD484D"/>
    <w:rsid w:val="00AD5499"/>
    <w:rsid w:val="00AE2705"/>
    <w:rsid w:val="00AE3504"/>
    <w:rsid w:val="00AF24B7"/>
    <w:rsid w:val="00AF40FF"/>
    <w:rsid w:val="00AF5F3A"/>
    <w:rsid w:val="00AF6DD4"/>
    <w:rsid w:val="00AF70D9"/>
    <w:rsid w:val="00B0150D"/>
    <w:rsid w:val="00B052E0"/>
    <w:rsid w:val="00B071AA"/>
    <w:rsid w:val="00B14133"/>
    <w:rsid w:val="00B167E9"/>
    <w:rsid w:val="00B27D24"/>
    <w:rsid w:val="00B3773D"/>
    <w:rsid w:val="00B3798F"/>
    <w:rsid w:val="00B50885"/>
    <w:rsid w:val="00B547C8"/>
    <w:rsid w:val="00B63DD1"/>
    <w:rsid w:val="00B671CF"/>
    <w:rsid w:val="00B6759F"/>
    <w:rsid w:val="00B72600"/>
    <w:rsid w:val="00B7760C"/>
    <w:rsid w:val="00B8179B"/>
    <w:rsid w:val="00B85F1F"/>
    <w:rsid w:val="00B943EE"/>
    <w:rsid w:val="00B956A1"/>
    <w:rsid w:val="00BA02C4"/>
    <w:rsid w:val="00BA0A23"/>
    <w:rsid w:val="00BA39C7"/>
    <w:rsid w:val="00BB419E"/>
    <w:rsid w:val="00BB732E"/>
    <w:rsid w:val="00BB7CF6"/>
    <w:rsid w:val="00BC5A95"/>
    <w:rsid w:val="00BD7778"/>
    <w:rsid w:val="00BE1096"/>
    <w:rsid w:val="00BE11E6"/>
    <w:rsid w:val="00BE26E7"/>
    <w:rsid w:val="00BE42CC"/>
    <w:rsid w:val="00BE6969"/>
    <w:rsid w:val="00BE6DEB"/>
    <w:rsid w:val="00BE7373"/>
    <w:rsid w:val="00C04038"/>
    <w:rsid w:val="00C143B2"/>
    <w:rsid w:val="00C150FD"/>
    <w:rsid w:val="00C3439E"/>
    <w:rsid w:val="00C40E74"/>
    <w:rsid w:val="00C43A28"/>
    <w:rsid w:val="00C45EEB"/>
    <w:rsid w:val="00C46734"/>
    <w:rsid w:val="00C60C0A"/>
    <w:rsid w:val="00C64707"/>
    <w:rsid w:val="00C6562E"/>
    <w:rsid w:val="00C71263"/>
    <w:rsid w:val="00C74515"/>
    <w:rsid w:val="00C95C3E"/>
    <w:rsid w:val="00C961DA"/>
    <w:rsid w:val="00CA1E77"/>
    <w:rsid w:val="00CA2912"/>
    <w:rsid w:val="00CB2002"/>
    <w:rsid w:val="00CB7E93"/>
    <w:rsid w:val="00CC0373"/>
    <w:rsid w:val="00CC0802"/>
    <w:rsid w:val="00CC6C53"/>
    <w:rsid w:val="00CE2B79"/>
    <w:rsid w:val="00CE7A78"/>
    <w:rsid w:val="00CF08C2"/>
    <w:rsid w:val="00CF148A"/>
    <w:rsid w:val="00CF3353"/>
    <w:rsid w:val="00D077D6"/>
    <w:rsid w:val="00D16CA4"/>
    <w:rsid w:val="00D27BD2"/>
    <w:rsid w:val="00D33EA9"/>
    <w:rsid w:val="00D3549F"/>
    <w:rsid w:val="00D37B04"/>
    <w:rsid w:val="00D447E9"/>
    <w:rsid w:val="00D516C7"/>
    <w:rsid w:val="00D54187"/>
    <w:rsid w:val="00D5568E"/>
    <w:rsid w:val="00D5616D"/>
    <w:rsid w:val="00D63EBE"/>
    <w:rsid w:val="00D674E2"/>
    <w:rsid w:val="00D71606"/>
    <w:rsid w:val="00D74ECC"/>
    <w:rsid w:val="00D847FA"/>
    <w:rsid w:val="00D86529"/>
    <w:rsid w:val="00D93F4B"/>
    <w:rsid w:val="00DA0406"/>
    <w:rsid w:val="00DA044D"/>
    <w:rsid w:val="00DB0085"/>
    <w:rsid w:val="00DB0999"/>
    <w:rsid w:val="00DB14E5"/>
    <w:rsid w:val="00DB1B08"/>
    <w:rsid w:val="00DB355D"/>
    <w:rsid w:val="00DB6A69"/>
    <w:rsid w:val="00DB7ABB"/>
    <w:rsid w:val="00DC3636"/>
    <w:rsid w:val="00DC4E22"/>
    <w:rsid w:val="00DC5298"/>
    <w:rsid w:val="00DD3212"/>
    <w:rsid w:val="00DD5B95"/>
    <w:rsid w:val="00DE46E7"/>
    <w:rsid w:val="00DE69A1"/>
    <w:rsid w:val="00DF04CC"/>
    <w:rsid w:val="00DF0CCB"/>
    <w:rsid w:val="00DF234A"/>
    <w:rsid w:val="00E020F5"/>
    <w:rsid w:val="00E03E84"/>
    <w:rsid w:val="00E13F3F"/>
    <w:rsid w:val="00E24032"/>
    <w:rsid w:val="00E264B4"/>
    <w:rsid w:val="00E27DC7"/>
    <w:rsid w:val="00E40AA0"/>
    <w:rsid w:val="00E44806"/>
    <w:rsid w:val="00E45679"/>
    <w:rsid w:val="00E4678E"/>
    <w:rsid w:val="00E5107D"/>
    <w:rsid w:val="00E5243F"/>
    <w:rsid w:val="00E559E4"/>
    <w:rsid w:val="00E662B9"/>
    <w:rsid w:val="00E71CB4"/>
    <w:rsid w:val="00E754C4"/>
    <w:rsid w:val="00E76AB4"/>
    <w:rsid w:val="00E76F7F"/>
    <w:rsid w:val="00E86B26"/>
    <w:rsid w:val="00EA024E"/>
    <w:rsid w:val="00EA0D44"/>
    <w:rsid w:val="00EA2EFF"/>
    <w:rsid w:val="00EA5F24"/>
    <w:rsid w:val="00EB606D"/>
    <w:rsid w:val="00EC080A"/>
    <w:rsid w:val="00ED4D8B"/>
    <w:rsid w:val="00EE2F4E"/>
    <w:rsid w:val="00EE3AC6"/>
    <w:rsid w:val="00EF3CB3"/>
    <w:rsid w:val="00EF481C"/>
    <w:rsid w:val="00F05DE4"/>
    <w:rsid w:val="00F112A5"/>
    <w:rsid w:val="00F11359"/>
    <w:rsid w:val="00F135F7"/>
    <w:rsid w:val="00F206CE"/>
    <w:rsid w:val="00F2416A"/>
    <w:rsid w:val="00F25D48"/>
    <w:rsid w:val="00F278D8"/>
    <w:rsid w:val="00F3285B"/>
    <w:rsid w:val="00F33932"/>
    <w:rsid w:val="00F3434C"/>
    <w:rsid w:val="00F5382B"/>
    <w:rsid w:val="00F56ACA"/>
    <w:rsid w:val="00F573C0"/>
    <w:rsid w:val="00F62249"/>
    <w:rsid w:val="00F639F8"/>
    <w:rsid w:val="00F63C93"/>
    <w:rsid w:val="00F64873"/>
    <w:rsid w:val="00F66644"/>
    <w:rsid w:val="00F6693B"/>
    <w:rsid w:val="00F76BE7"/>
    <w:rsid w:val="00F806AA"/>
    <w:rsid w:val="00F83828"/>
    <w:rsid w:val="00FA0A79"/>
    <w:rsid w:val="00FA2B3F"/>
    <w:rsid w:val="00FA34B4"/>
    <w:rsid w:val="00FA3E42"/>
    <w:rsid w:val="00FA419C"/>
    <w:rsid w:val="00FA4B33"/>
    <w:rsid w:val="00FA6552"/>
    <w:rsid w:val="00FA6D32"/>
    <w:rsid w:val="00FB1490"/>
    <w:rsid w:val="00FB3656"/>
    <w:rsid w:val="00FB3C89"/>
    <w:rsid w:val="00FC6FA3"/>
    <w:rsid w:val="00FD2EC7"/>
    <w:rsid w:val="00FF1CE3"/>
    <w:rsid w:val="00FF301E"/>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4E9"/>
  <w15:chartTrackingRefBased/>
  <w15:docId w15:val="{F46A615E-A902-44C8-A90B-2E7291C7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1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E7B09"/>
    <w:pPr>
      <w:widowControl w:val="0"/>
      <w:numPr>
        <w:ilvl w:val="1"/>
        <w:numId w:val="4"/>
      </w:numPr>
      <w:autoSpaceDE w:val="0"/>
      <w:autoSpaceDN w:val="0"/>
      <w:spacing w:before="120" w:after="120" w:line="240" w:lineRule="auto"/>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unhideWhenUsed/>
    <w:qFormat/>
    <w:rsid w:val="006E7B09"/>
    <w:pPr>
      <w:keepNext/>
      <w:keepLines/>
      <w:widowControl w:val="0"/>
      <w:numPr>
        <w:ilvl w:val="3"/>
        <w:numId w:val="4"/>
      </w:numPr>
      <w:autoSpaceDE w:val="0"/>
      <w:autoSpaceDN w:val="0"/>
      <w:spacing w:before="40" w:after="0" w:line="240" w:lineRule="auto"/>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semiHidden/>
    <w:unhideWhenUsed/>
    <w:qFormat/>
    <w:rsid w:val="006E7B09"/>
    <w:pPr>
      <w:keepNext/>
      <w:keepLines/>
      <w:widowControl w:val="0"/>
      <w:numPr>
        <w:ilvl w:val="4"/>
        <w:numId w:val="4"/>
      </w:numPr>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E7B09"/>
    <w:pPr>
      <w:keepNext/>
      <w:keepLines/>
      <w:widowControl w:val="0"/>
      <w:numPr>
        <w:ilvl w:val="5"/>
        <w:numId w:val="4"/>
      </w:numPr>
      <w:autoSpaceDE w:val="0"/>
      <w:autoSpaceDN w:val="0"/>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E7B09"/>
    <w:pPr>
      <w:keepNext/>
      <w:keepLines/>
      <w:widowControl w:val="0"/>
      <w:numPr>
        <w:ilvl w:val="6"/>
        <w:numId w:val="4"/>
      </w:numPr>
      <w:autoSpaceDE w:val="0"/>
      <w:autoSpaceDN w:val="0"/>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E7B09"/>
    <w:pPr>
      <w:keepNext/>
      <w:keepLines/>
      <w:widowControl w:val="0"/>
      <w:numPr>
        <w:ilvl w:val="7"/>
        <w:numId w:val="4"/>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7B09"/>
    <w:pPr>
      <w:keepNext/>
      <w:keepLines/>
      <w:widowControl w:val="0"/>
      <w:numPr>
        <w:ilvl w:val="8"/>
        <w:numId w:val="4"/>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
    <w:name w:val="Body Text"/>
    <w:basedOn w:val="Normal"/>
    <w:link w:val="BodyTextChar"/>
    <w:uiPriority w:val="99"/>
    <w:semiHidden/>
    <w:unhideWhenUsed/>
    <w:rsid w:val="003A1286"/>
    <w:pPr>
      <w:spacing w:after="120"/>
    </w:pPr>
  </w:style>
  <w:style w:type="character" w:customStyle="1" w:styleId="BodyTextChar">
    <w:name w:val="Body Text Char"/>
    <w:basedOn w:val="DefaultParagraphFont"/>
    <w:link w:val="BodyText"/>
    <w:uiPriority w:val="99"/>
    <w:semiHidden/>
    <w:rsid w:val="003A1286"/>
  </w:style>
  <w:style w:type="character" w:styleId="Hyperlink">
    <w:name w:val="Hyperlink"/>
    <w:basedOn w:val="DefaultParagraphFont"/>
    <w:uiPriority w:val="99"/>
    <w:unhideWhenUsed/>
    <w:rsid w:val="003A1286"/>
    <w:rPr>
      <w:color w:val="0563C1" w:themeColor="hyperlink"/>
      <w:u w:val="single"/>
    </w:rPr>
  </w:style>
  <w:style w:type="character" w:customStyle="1" w:styleId="Heading2Char">
    <w:name w:val="Heading 2 Char"/>
    <w:basedOn w:val="DefaultParagraphFont"/>
    <w:link w:val="Heading2"/>
    <w:uiPriority w:val="1"/>
    <w:rsid w:val="006E7B0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6E7B09"/>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6E7B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E7B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E7B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E7B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7B0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E7B09"/>
    <w:pPr>
      <w:widowControl w:val="0"/>
      <w:numPr>
        <w:numId w:val="3"/>
      </w:numPr>
      <w:autoSpaceDE w:val="0"/>
      <w:autoSpaceDN w:val="0"/>
      <w:spacing w:after="0"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116FA"/>
    <w:rPr>
      <w:b/>
      <w:bCs/>
    </w:rPr>
  </w:style>
  <w:style w:type="character" w:customStyle="1" w:styleId="CommentSubjectChar">
    <w:name w:val="Comment Subject Char"/>
    <w:basedOn w:val="CommentTextChar"/>
    <w:link w:val="CommentSubject"/>
    <w:uiPriority w:val="99"/>
    <w:semiHidden/>
    <w:rsid w:val="000116FA"/>
    <w:rPr>
      <w:b/>
      <w:bCs/>
      <w:sz w:val="20"/>
      <w:szCs w:val="20"/>
    </w:rPr>
  </w:style>
  <w:style w:type="paragraph" w:styleId="NormalWeb">
    <w:name w:val="Normal (Web)"/>
    <w:basedOn w:val="Normal"/>
    <w:uiPriority w:val="99"/>
    <w:semiHidden/>
    <w:unhideWhenUsed/>
    <w:rsid w:val="007B74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5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0EE"/>
  </w:style>
  <w:style w:type="paragraph" w:styleId="Footer">
    <w:name w:val="footer"/>
    <w:basedOn w:val="Normal"/>
    <w:link w:val="FooterChar"/>
    <w:uiPriority w:val="99"/>
    <w:unhideWhenUsed/>
    <w:rsid w:val="00815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0EE"/>
  </w:style>
  <w:style w:type="paragraph" w:styleId="Revision">
    <w:name w:val="Revision"/>
    <w:hidden/>
    <w:uiPriority w:val="99"/>
    <w:semiHidden/>
    <w:rsid w:val="00933CCF"/>
    <w:pPr>
      <w:spacing w:after="0" w:line="240" w:lineRule="auto"/>
    </w:pPr>
  </w:style>
  <w:style w:type="paragraph" w:styleId="FootnoteText">
    <w:name w:val="footnote text"/>
    <w:basedOn w:val="Normal"/>
    <w:link w:val="FootnoteTextChar"/>
    <w:uiPriority w:val="99"/>
    <w:semiHidden/>
    <w:unhideWhenUsed/>
    <w:rsid w:val="003A5A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A5F"/>
    <w:rPr>
      <w:sz w:val="20"/>
      <w:szCs w:val="20"/>
    </w:rPr>
  </w:style>
  <w:style w:type="character" w:styleId="FootnoteReference">
    <w:name w:val="footnote reference"/>
    <w:basedOn w:val="DefaultParagraphFont"/>
    <w:uiPriority w:val="99"/>
    <w:semiHidden/>
    <w:unhideWhenUsed/>
    <w:rsid w:val="003A5A5F"/>
    <w:rPr>
      <w:vertAlign w:val="superscript"/>
    </w:rPr>
  </w:style>
  <w:style w:type="table" w:styleId="TableGrid">
    <w:name w:val="Table Grid"/>
    <w:basedOn w:val="TableNormal"/>
    <w:uiPriority w:val="39"/>
    <w:rsid w:val="0030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1110"/>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A645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457D"/>
    <w:rPr>
      <w:sz w:val="20"/>
      <w:szCs w:val="20"/>
    </w:rPr>
  </w:style>
  <w:style w:type="character" w:styleId="EndnoteReference">
    <w:name w:val="endnote reference"/>
    <w:basedOn w:val="DefaultParagraphFont"/>
    <w:uiPriority w:val="99"/>
    <w:semiHidden/>
    <w:unhideWhenUsed/>
    <w:rsid w:val="00A6457D"/>
    <w:rPr>
      <w:vertAlign w:val="superscript"/>
    </w:rPr>
  </w:style>
  <w:style w:type="character" w:styleId="FollowedHyperlink">
    <w:name w:val="FollowedHyperlink"/>
    <w:basedOn w:val="DefaultParagraphFont"/>
    <w:uiPriority w:val="99"/>
    <w:semiHidden/>
    <w:unhideWhenUsed/>
    <w:rsid w:val="00AF70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7602">
      <w:bodyDiv w:val="1"/>
      <w:marLeft w:val="0"/>
      <w:marRight w:val="0"/>
      <w:marTop w:val="0"/>
      <w:marBottom w:val="0"/>
      <w:divBdr>
        <w:top w:val="none" w:sz="0" w:space="0" w:color="auto"/>
        <w:left w:val="none" w:sz="0" w:space="0" w:color="auto"/>
        <w:bottom w:val="none" w:sz="0" w:space="0" w:color="auto"/>
        <w:right w:val="none" w:sz="0" w:space="0" w:color="auto"/>
      </w:divBdr>
      <w:divsChild>
        <w:div w:id="657928189">
          <w:marLeft w:val="446"/>
          <w:marRight w:val="0"/>
          <w:marTop w:val="0"/>
          <w:marBottom w:val="0"/>
          <w:divBdr>
            <w:top w:val="none" w:sz="0" w:space="0" w:color="auto"/>
            <w:left w:val="none" w:sz="0" w:space="0" w:color="auto"/>
            <w:bottom w:val="none" w:sz="0" w:space="0" w:color="auto"/>
            <w:right w:val="none" w:sz="0" w:space="0" w:color="auto"/>
          </w:divBdr>
        </w:div>
        <w:div w:id="1813862467">
          <w:marLeft w:val="446"/>
          <w:marRight w:val="0"/>
          <w:marTop w:val="0"/>
          <w:marBottom w:val="0"/>
          <w:divBdr>
            <w:top w:val="none" w:sz="0" w:space="0" w:color="auto"/>
            <w:left w:val="none" w:sz="0" w:space="0" w:color="auto"/>
            <w:bottom w:val="none" w:sz="0" w:space="0" w:color="auto"/>
            <w:right w:val="none" w:sz="0" w:space="0" w:color="auto"/>
          </w:divBdr>
        </w:div>
      </w:divsChild>
    </w:div>
    <w:div w:id="240600636">
      <w:bodyDiv w:val="1"/>
      <w:marLeft w:val="0"/>
      <w:marRight w:val="0"/>
      <w:marTop w:val="0"/>
      <w:marBottom w:val="0"/>
      <w:divBdr>
        <w:top w:val="none" w:sz="0" w:space="0" w:color="auto"/>
        <w:left w:val="none" w:sz="0" w:space="0" w:color="auto"/>
        <w:bottom w:val="none" w:sz="0" w:space="0" w:color="auto"/>
        <w:right w:val="none" w:sz="0" w:space="0" w:color="auto"/>
      </w:divBdr>
      <w:divsChild>
        <w:div w:id="403525488">
          <w:marLeft w:val="360"/>
          <w:marRight w:val="0"/>
          <w:marTop w:val="0"/>
          <w:marBottom w:val="0"/>
          <w:divBdr>
            <w:top w:val="none" w:sz="0" w:space="0" w:color="auto"/>
            <w:left w:val="none" w:sz="0" w:space="0" w:color="auto"/>
            <w:bottom w:val="none" w:sz="0" w:space="0" w:color="auto"/>
            <w:right w:val="none" w:sz="0" w:space="0" w:color="auto"/>
          </w:divBdr>
        </w:div>
        <w:div w:id="1499536744">
          <w:marLeft w:val="360"/>
          <w:marRight w:val="0"/>
          <w:marTop w:val="0"/>
          <w:marBottom w:val="0"/>
          <w:divBdr>
            <w:top w:val="none" w:sz="0" w:space="0" w:color="auto"/>
            <w:left w:val="none" w:sz="0" w:space="0" w:color="auto"/>
            <w:bottom w:val="none" w:sz="0" w:space="0" w:color="auto"/>
            <w:right w:val="none" w:sz="0" w:space="0" w:color="auto"/>
          </w:divBdr>
        </w:div>
        <w:div w:id="1930193281">
          <w:marLeft w:val="360"/>
          <w:marRight w:val="0"/>
          <w:marTop w:val="0"/>
          <w:marBottom w:val="0"/>
          <w:divBdr>
            <w:top w:val="none" w:sz="0" w:space="0" w:color="auto"/>
            <w:left w:val="none" w:sz="0" w:space="0" w:color="auto"/>
            <w:bottom w:val="none" w:sz="0" w:space="0" w:color="auto"/>
            <w:right w:val="none" w:sz="0" w:space="0" w:color="auto"/>
          </w:divBdr>
        </w:div>
        <w:div w:id="2086686416">
          <w:marLeft w:val="360"/>
          <w:marRight w:val="0"/>
          <w:marTop w:val="0"/>
          <w:marBottom w:val="0"/>
          <w:divBdr>
            <w:top w:val="none" w:sz="0" w:space="0" w:color="auto"/>
            <w:left w:val="none" w:sz="0" w:space="0" w:color="auto"/>
            <w:bottom w:val="none" w:sz="0" w:space="0" w:color="auto"/>
            <w:right w:val="none" w:sz="0" w:space="0" w:color="auto"/>
          </w:divBdr>
        </w:div>
      </w:divsChild>
    </w:div>
    <w:div w:id="542595748">
      <w:bodyDiv w:val="1"/>
      <w:marLeft w:val="0"/>
      <w:marRight w:val="0"/>
      <w:marTop w:val="0"/>
      <w:marBottom w:val="0"/>
      <w:divBdr>
        <w:top w:val="none" w:sz="0" w:space="0" w:color="auto"/>
        <w:left w:val="none" w:sz="0" w:space="0" w:color="auto"/>
        <w:bottom w:val="none" w:sz="0" w:space="0" w:color="auto"/>
        <w:right w:val="none" w:sz="0" w:space="0" w:color="auto"/>
      </w:divBdr>
      <w:divsChild>
        <w:div w:id="900754777">
          <w:marLeft w:val="0"/>
          <w:marRight w:val="0"/>
          <w:marTop w:val="0"/>
          <w:marBottom w:val="0"/>
          <w:divBdr>
            <w:top w:val="none" w:sz="0" w:space="0" w:color="auto"/>
            <w:left w:val="none" w:sz="0" w:space="0" w:color="auto"/>
            <w:bottom w:val="none" w:sz="0" w:space="0" w:color="auto"/>
            <w:right w:val="none" w:sz="0" w:space="0" w:color="auto"/>
          </w:divBdr>
          <w:divsChild>
            <w:div w:id="976105607">
              <w:marLeft w:val="0"/>
              <w:marRight w:val="0"/>
              <w:marTop w:val="0"/>
              <w:marBottom w:val="0"/>
              <w:divBdr>
                <w:top w:val="none" w:sz="0" w:space="0" w:color="auto"/>
                <w:left w:val="none" w:sz="0" w:space="0" w:color="auto"/>
                <w:bottom w:val="none" w:sz="0" w:space="0" w:color="auto"/>
                <w:right w:val="none" w:sz="0" w:space="0" w:color="auto"/>
              </w:divBdr>
              <w:divsChild>
                <w:div w:id="1124348129">
                  <w:marLeft w:val="0"/>
                  <w:marRight w:val="0"/>
                  <w:marTop w:val="0"/>
                  <w:marBottom w:val="0"/>
                  <w:divBdr>
                    <w:top w:val="none" w:sz="0" w:space="0" w:color="auto"/>
                    <w:left w:val="none" w:sz="0" w:space="0" w:color="auto"/>
                    <w:bottom w:val="none" w:sz="0" w:space="0" w:color="auto"/>
                    <w:right w:val="none" w:sz="0" w:space="0" w:color="auto"/>
                  </w:divBdr>
                  <w:divsChild>
                    <w:div w:id="1793792337">
                      <w:marLeft w:val="-225"/>
                      <w:marRight w:val="-225"/>
                      <w:marTop w:val="0"/>
                      <w:marBottom w:val="0"/>
                      <w:divBdr>
                        <w:top w:val="none" w:sz="0" w:space="0" w:color="auto"/>
                        <w:left w:val="none" w:sz="0" w:space="0" w:color="auto"/>
                        <w:bottom w:val="none" w:sz="0" w:space="0" w:color="auto"/>
                        <w:right w:val="none" w:sz="0" w:space="0" w:color="auto"/>
                      </w:divBdr>
                      <w:divsChild>
                        <w:div w:id="882323422">
                          <w:marLeft w:val="0"/>
                          <w:marRight w:val="0"/>
                          <w:marTop w:val="0"/>
                          <w:marBottom w:val="0"/>
                          <w:divBdr>
                            <w:top w:val="single" w:sz="6" w:space="8" w:color="EEEEEE"/>
                            <w:left w:val="single" w:sz="6" w:space="8" w:color="EEEEEE"/>
                            <w:bottom w:val="single" w:sz="6" w:space="8" w:color="EEEEEE"/>
                            <w:right w:val="single" w:sz="6" w:space="8" w:color="EEEEEE"/>
                          </w:divBdr>
                          <w:divsChild>
                            <w:div w:id="2127654801">
                              <w:marLeft w:val="0"/>
                              <w:marRight w:val="0"/>
                              <w:marTop w:val="0"/>
                              <w:marBottom w:val="0"/>
                              <w:divBdr>
                                <w:top w:val="none" w:sz="0" w:space="0" w:color="auto"/>
                                <w:left w:val="none" w:sz="0" w:space="0" w:color="auto"/>
                                <w:bottom w:val="none" w:sz="0" w:space="0" w:color="auto"/>
                                <w:right w:val="none" w:sz="0" w:space="0" w:color="auto"/>
                              </w:divBdr>
                              <w:divsChild>
                                <w:div w:id="1547059865">
                                  <w:marLeft w:val="0"/>
                                  <w:marRight w:val="0"/>
                                  <w:marTop w:val="0"/>
                                  <w:marBottom w:val="0"/>
                                  <w:divBdr>
                                    <w:top w:val="none" w:sz="0" w:space="0" w:color="auto"/>
                                    <w:left w:val="none" w:sz="0" w:space="0" w:color="auto"/>
                                    <w:bottom w:val="none" w:sz="0" w:space="0" w:color="auto"/>
                                    <w:right w:val="none" w:sz="0" w:space="0" w:color="auto"/>
                                  </w:divBdr>
                                  <w:divsChild>
                                    <w:div w:id="547953011">
                                      <w:marLeft w:val="0"/>
                                      <w:marRight w:val="0"/>
                                      <w:marTop w:val="0"/>
                                      <w:marBottom w:val="0"/>
                                      <w:divBdr>
                                        <w:top w:val="none" w:sz="0" w:space="0" w:color="auto"/>
                                        <w:left w:val="none" w:sz="0" w:space="0" w:color="auto"/>
                                        <w:bottom w:val="none" w:sz="0" w:space="0" w:color="auto"/>
                                        <w:right w:val="none" w:sz="0" w:space="0" w:color="auto"/>
                                      </w:divBdr>
                                      <w:divsChild>
                                        <w:div w:id="84376829">
                                          <w:marLeft w:val="0"/>
                                          <w:marRight w:val="0"/>
                                          <w:marTop w:val="0"/>
                                          <w:marBottom w:val="0"/>
                                          <w:divBdr>
                                            <w:top w:val="none" w:sz="0" w:space="0" w:color="auto"/>
                                            <w:left w:val="none" w:sz="0" w:space="0" w:color="auto"/>
                                            <w:bottom w:val="none" w:sz="0" w:space="0" w:color="auto"/>
                                            <w:right w:val="none" w:sz="0" w:space="0" w:color="auto"/>
                                          </w:divBdr>
                                          <w:divsChild>
                                            <w:div w:id="1812793885">
                                              <w:marLeft w:val="3"/>
                                              <w:marRight w:val="7"/>
                                              <w:marTop w:val="240"/>
                                              <w:marBottom w:val="60"/>
                                              <w:divBdr>
                                                <w:top w:val="none" w:sz="0" w:space="0" w:color="auto"/>
                                                <w:left w:val="none" w:sz="0" w:space="0" w:color="auto"/>
                                                <w:bottom w:val="none" w:sz="0" w:space="0" w:color="auto"/>
                                                <w:right w:val="none" w:sz="0" w:space="0" w:color="auto"/>
                                              </w:divBdr>
                                              <w:divsChild>
                                                <w:div w:id="300892624">
                                                  <w:marLeft w:val="3"/>
                                                  <w:marRight w:val="0"/>
                                                  <w:marTop w:val="60"/>
                                                  <w:marBottom w:val="60"/>
                                                  <w:divBdr>
                                                    <w:top w:val="none" w:sz="0" w:space="0" w:color="auto"/>
                                                    <w:left w:val="none" w:sz="0" w:space="0" w:color="auto"/>
                                                    <w:bottom w:val="none" w:sz="0" w:space="0" w:color="auto"/>
                                                    <w:right w:val="none" w:sz="0" w:space="0" w:color="auto"/>
                                                  </w:divBdr>
                                                  <w:divsChild>
                                                    <w:div w:id="1136921211">
                                                      <w:marLeft w:val="240"/>
                                                      <w:marRight w:val="0"/>
                                                      <w:marTop w:val="60"/>
                                                      <w:marBottom w:val="60"/>
                                                      <w:divBdr>
                                                        <w:top w:val="none" w:sz="0" w:space="0" w:color="auto"/>
                                                        <w:left w:val="none" w:sz="0" w:space="0" w:color="auto"/>
                                                        <w:bottom w:val="none" w:sz="0" w:space="0" w:color="auto"/>
                                                        <w:right w:val="none" w:sz="0" w:space="0" w:color="auto"/>
                                                      </w:divBdr>
                                                      <w:divsChild>
                                                        <w:div w:id="5566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0119241">
      <w:bodyDiv w:val="1"/>
      <w:marLeft w:val="0"/>
      <w:marRight w:val="0"/>
      <w:marTop w:val="0"/>
      <w:marBottom w:val="0"/>
      <w:divBdr>
        <w:top w:val="none" w:sz="0" w:space="0" w:color="auto"/>
        <w:left w:val="none" w:sz="0" w:space="0" w:color="auto"/>
        <w:bottom w:val="none" w:sz="0" w:space="0" w:color="auto"/>
        <w:right w:val="none" w:sz="0" w:space="0" w:color="auto"/>
      </w:divBdr>
      <w:divsChild>
        <w:div w:id="208494620">
          <w:marLeft w:val="446"/>
          <w:marRight w:val="0"/>
          <w:marTop w:val="0"/>
          <w:marBottom w:val="0"/>
          <w:divBdr>
            <w:top w:val="none" w:sz="0" w:space="0" w:color="auto"/>
            <w:left w:val="none" w:sz="0" w:space="0" w:color="auto"/>
            <w:bottom w:val="none" w:sz="0" w:space="0" w:color="auto"/>
            <w:right w:val="none" w:sz="0" w:space="0" w:color="auto"/>
          </w:divBdr>
        </w:div>
        <w:div w:id="514466911">
          <w:marLeft w:val="446"/>
          <w:marRight w:val="0"/>
          <w:marTop w:val="0"/>
          <w:marBottom w:val="0"/>
          <w:divBdr>
            <w:top w:val="none" w:sz="0" w:space="0" w:color="auto"/>
            <w:left w:val="none" w:sz="0" w:space="0" w:color="auto"/>
            <w:bottom w:val="none" w:sz="0" w:space="0" w:color="auto"/>
            <w:right w:val="none" w:sz="0" w:space="0" w:color="auto"/>
          </w:divBdr>
        </w:div>
        <w:div w:id="965087182">
          <w:marLeft w:val="446"/>
          <w:marRight w:val="0"/>
          <w:marTop w:val="0"/>
          <w:marBottom w:val="0"/>
          <w:divBdr>
            <w:top w:val="none" w:sz="0" w:space="0" w:color="auto"/>
            <w:left w:val="none" w:sz="0" w:space="0" w:color="auto"/>
            <w:bottom w:val="none" w:sz="0" w:space="0" w:color="auto"/>
            <w:right w:val="none" w:sz="0" w:space="0" w:color="auto"/>
          </w:divBdr>
        </w:div>
        <w:div w:id="1248614167">
          <w:marLeft w:val="446"/>
          <w:marRight w:val="0"/>
          <w:marTop w:val="0"/>
          <w:marBottom w:val="0"/>
          <w:divBdr>
            <w:top w:val="none" w:sz="0" w:space="0" w:color="auto"/>
            <w:left w:val="none" w:sz="0" w:space="0" w:color="auto"/>
            <w:bottom w:val="none" w:sz="0" w:space="0" w:color="auto"/>
            <w:right w:val="none" w:sz="0" w:space="0" w:color="auto"/>
          </w:divBdr>
        </w:div>
        <w:div w:id="1822039663">
          <w:marLeft w:val="446"/>
          <w:marRight w:val="0"/>
          <w:marTop w:val="0"/>
          <w:marBottom w:val="0"/>
          <w:divBdr>
            <w:top w:val="none" w:sz="0" w:space="0" w:color="auto"/>
            <w:left w:val="none" w:sz="0" w:space="0" w:color="auto"/>
            <w:bottom w:val="none" w:sz="0" w:space="0" w:color="auto"/>
            <w:right w:val="none" w:sz="0" w:space="0" w:color="auto"/>
          </w:divBdr>
        </w:div>
        <w:div w:id="2120181033">
          <w:marLeft w:val="446"/>
          <w:marRight w:val="0"/>
          <w:marTop w:val="0"/>
          <w:marBottom w:val="0"/>
          <w:divBdr>
            <w:top w:val="none" w:sz="0" w:space="0" w:color="auto"/>
            <w:left w:val="none" w:sz="0" w:space="0" w:color="auto"/>
            <w:bottom w:val="none" w:sz="0" w:space="0" w:color="auto"/>
            <w:right w:val="none" w:sz="0" w:space="0" w:color="auto"/>
          </w:divBdr>
        </w:div>
      </w:divsChild>
    </w:div>
    <w:div w:id="564340330">
      <w:bodyDiv w:val="1"/>
      <w:marLeft w:val="0"/>
      <w:marRight w:val="0"/>
      <w:marTop w:val="0"/>
      <w:marBottom w:val="0"/>
      <w:divBdr>
        <w:top w:val="none" w:sz="0" w:space="0" w:color="auto"/>
        <w:left w:val="none" w:sz="0" w:space="0" w:color="auto"/>
        <w:bottom w:val="none" w:sz="0" w:space="0" w:color="auto"/>
        <w:right w:val="none" w:sz="0" w:space="0" w:color="auto"/>
      </w:divBdr>
      <w:divsChild>
        <w:div w:id="169763005">
          <w:marLeft w:val="446"/>
          <w:marRight w:val="0"/>
          <w:marTop w:val="0"/>
          <w:marBottom w:val="0"/>
          <w:divBdr>
            <w:top w:val="none" w:sz="0" w:space="0" w:color="auto"/>
            <w:left w:val="none" w:sz="0" w:space="0" w:color="auto"/>
            <w:bottom w:val="none" w:sz="0" w:space="0" w:color="auto"/>
            <w:right w:val="none" w:sz="0" w:space="0" w:color="auto"/>
          </w:divBdr>
        </w:div>
        <w:div w:id="575210169">
          <w:marLeft w:val="446"/>
          <w:marRight w:val="0"/>
          <w:marTop w:val="0"/>
          <w:marBottom w:val="0"/>
          <w:divBdr>
            <w:top w:val="none" w:sz="0" w:space="0" w:color="auto"/>
            <w:left w:val="none" w:sz="0" w:space="0" w:color="auto"/>
            <w:bottom w:val="none" w:sz="0" w:space="0" w:color="auto"/>
            <w:right w:val="none" w:sz="0" w:space="0" w:color="auto"/>
          </w:divBdr>
        </w:div>
        <w:div w:id="1201477383">
          <w:marLeft w:val="446"/>
          <w:marRight w:val="0"/>
          <w:marTop w:val="0"/>
          <w:marBottom w:val="0"/>
          <w:divBdr>
            <w:top w:val="none" w:sz="0" w:space="0" w:color="auto"/>
            <w:left w:val="none" w:sz="0" w:space="0" w:color="auto"/>
            <w:bottom w:val="none" w:sz="0" w:space="0" w:color="auto"/>
            <w:right w:val="none" w:sz="0" w:space="0" w:color="auto"/>
          </w:divBdr>
        </w:div>
        <w:div w:id="1444183868">
          <w:marLeft w:val="446"/>
          <w:marRight w:val="0"/>
          <w:marTop w:val="0"/>
          <w:marBottom w:val="0"/>
          <w:divBdr>
            <w:top w:val="none" w:sz="0" w:space="0" w:color="auto"/>
            <w:left w:val="none" w:sz="0" w:space="0" w:color="auto"/>
            <w:bottom w:val="none" w:sz="0" w:space="0" w:color="auto"/>
            <w:right w:val="none" w:sz="0" w:space="0" w:color="auto"/>
          </w:divBdr>
        </w:div>
        <w:div w:id="1605185625">
          <w:marLeft w:val="446"/>
          <w:marRight w:val="0"/>
          <w:marTop w:val="0"/>
          <w:marBottom w:val="0"/>
          <w:divBdr>
            <w:top w:val="none" w:sz="0" w:space="0" w:color="auto"/>
            <w:left w:val="none" w:sz="0" w:space="0" w:color="auto"/>
            <w:bottom w:val="none" w:sz="0" w:space="0" w:color="auto"/>
            <w:right w:val="none" w:sz="0" w:space="0" w:color="auto"/>
          </w:divBdr>
        </w:div>
        <w:div w:id="1752118407">
          <w:marLeft w:val="446"/>
          <w:marRight w:val="0"/>
          <w:marTop w:val="0"/>
          <w:marBottom w:val="0"/>
          <w:divBdr>
            <w:top w:val="none" w:sz="0" w:space="0" w:color="auto"/>
            <w:left w:val="none" w:sz="0" w:space="0" w:color="auto"/>
            <w:bottom w:val="none" w:sz="0" w:space="0" w:color="auto"/>
            <w:right w:val="none" w:sz="0" w:space="0" w:color="auto"/>
          </w:divBdr>
        </w:div>
      </w:divsChild>
    </w:div>
    <w:div w:id="715812905">
      <w:bodyDiv w:val="1"/>
      <w:marLeft w:val="0"/>
      <w:marRight w:val="0"/>
      <w:marTop w:val="0"/>
      <w:marBottom w:val="0"/>
      <w:divBdr>
        <w:top w:val="none" w:sz="0" w:space="0" w:color="auto"/>
        <w:left w:val="none" w:sz="0" w:space="0" w:color="auto"/>
        <w:bottom w:val="none" w:sz="0" w:space="0" w:color="auto"/>
        <w:right w:val="none" w:sz="0" w:space="0" w:color="auto"/>
      </w:divBdr>
      <w:divsChild>
        <w:div w:id="212354357">
          <w:marLeft w:val="547"/>
          <w:marRight w:val="0"/>
          <w:marTop w:val="0"/>
          <w:marBottom w:val="0"/>
          <w:divBdr>
            <w:top w:val="none" w:sz="0" w:space="0" w:color="auto"/>
            <w:left w:val="none" w:sz="0" w:space="0" w:color="auto"/>
            <w:bottom w:val="none" w:sz="0" w:space="0" w:color="auto"/>
            <w:right w:val="none" w:sz="0" w:space="0" w:color="auto"/>
          </w:divBdr>
        </w:div>
        <w:div w:id="1021931539">
          <w:marLeft w:val="547"/>
          <w:marRight w:val="0"/>
          <w:marTop w:val="0"/>
          <w:marBottom w:val="0"/>
          <w:divBdr>
            <w:top w:val="none" w:sz="0" w:space="0" w:color="auto"/>
            <w:left w:val="none" w:sz="0" w:space="0" w:color="auto"/>
            <w:bottom w:val="none" w:sz="0" w:space="0" w:color="auto"/>
            <w:right w:val="none" w:sz="0" w:space="0" w:color="auto"/>
          </w:divBdr>
        </w:div>
        <w:div w:id="1128356318">
          <w:marLeft w:val="547"/>
          <w:marRight w:val="0"/>
          <w:marTop w:val="0"/>
          <w:marBottom w:val="0"/>
          <w:divBdr>
            <w:top w:val="none" w:sz="0" w:space="0" w:color="auto"/>
            <w:left w:val="none" w:sz="0" w:space="0" w:color="auto"/>
            <w:bottom w:val="none" w:sz="0" w:space="0" w:color="auto"/>
            <w:right w:val="none" w:sz="0" w:space="0" w:color="auto"/>
          </w:divBdr>
        </w:div>
      </w:divsChild>
    </w:div>
    <w:div w:id="851451281">
      <w:bodyDiv w:val="1"/>
      <w:marLeft w:val="0"/>
      <w:marRight w:val="0"/>
      <w:marTop w:val="0"/>
      <w:marBottom w:val="0"/>
      <w:divBdr>
        <w:top w:val="none" w:sz="0" w:space="0" w:color="auto"/>
        <w:left w:val="none" w:sz="0" w:space="0" w:color="auto"/>
        <w:bottom w:val="none" w:sz="0" w:space="0" w:color="auto"/>
        <w:right w:val="none" w:sz="0" w:space="0" w:color="auto"/>
      </w:divBdr>
    </w:div>
    <w:div w:id="1031808841">
      <w:bodyDiv w:val="1"/>
      <w:marLeft w:val="0"/>
      <w:marRight w:val="0"/>
      <w:marTop w:val="0"/>
      <w:marBottom w:val="0"/>
      <w:divBdr>
        <w:top w:val="none" w:sz="0" w:space="0" w:color="auto"/>
        <w:left w:val="none" w:sz="0" w:space="0" w:color="auto"/>
        <w:bottom w:val="none" w:sz="0" w:space="0" w:color="auto"/>
        <w:right w:val="none" w:sz="0" w:space="0" w:color="auto"/>
      </w:divBdr>
    </w:div>
    <w:div w:id="1358698889">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 w:id="1653560414">
      <w:bodyDiv w:val="1"/>
      <w:marLeft w:val="0"/>
      <w:marRight w:val="0"/>
      <w:marTop w:val="0"/>
      <w:marBottom w:val="0"/>
      <w:divBdr>
        <w:top w:val="none" w:sz="0" w:space="0" w:color="auto"/>
        <w:left w:val="none" w:sz="0" w:space="0" w:color="auto"/>
        <w:bottom w:val="none" w:sz="0" w:space="0" w:color="auto"/>
        <w:right w:val="none" w:sz="0" w:space="0" w:color="auto"/>
      </w:divBdr>
    </w:div>
    <w:div w:id="211670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definitions/uscode.php?width=840&amp;height=800&amp;iframe=true&amp;def_id=49-USC-1419699195-997845645&amp;term_occur=999&amp;term_sr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uscode/text/5/551" TargetMode="External"/><Relationship Id="rId17" Type="http://schemas.openxmlformats.org/officeDocument/2006/relationships/hyperlink" Target="https://www.law.cornell.edu/definitions/uscode.php?width=840&amp;height=800&amp;iframe=true&amp;def_id=49-USC-1419699195-997845645&amp;term_occur=999&amp;term_src=title:49:subtitle:I:chapter:1:section:106" TargetMode="External"/><Relationship Id="rId2" Type="http://schemas.openxmlformats.org/officeDocument/2006/relationships/customXml" Target="../customXml/item2.xml"/><Relationship Id="rId16" Type="http://schemas.openxmlformats.org/officeDocument/2006/relationships/hyperlink" Target="https://www.law.cornell.edu/definitions/uscode.php?width=840&amp;height=800&amp;iframe=true&amp;def_id=49-USC-1419699195-997845645&amp;term_occur=999&amp;term_src=title:49:subtitle:I:chapter:1:section: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uscode.php?width=840&amp;height=800&amp;iframe=true&amp;def_id=49-USC-1419699195-997845645&amp;term_occur=999&amp;term_src=" TargetMode="External"/><Relationship Id="rId5" Type="http://schemas.openxmlformats.org/officeDocument/2006/relationships/numbering" Target="numbering.xml"/><Relationship Id="rId15" Type="http://schemas.openxmlformats.org/officeDocument/2006/relationships/hyperlink" Target="https://www.law.cornell.edu/definitions/uscode.php?width=840&amp;height=800&amp;iframe=true&amp;def_id=49-USC-1419699195-997845645&amp;term_occur=999&amp;term_src=title:49:subtitle:I:chapter:1:section:10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5/55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2019/may/oes131198.htm" TargetMode="External"/><Relationship Id="rId13" Type="http://schemas.openxmlformats.org/officeDocument/2006/relationships/hyperlink" Target="https://www.bls.gov/oes/2019/may/oes131111.htm" TargetMode="External"/><Relationship Id="rId18" Type="http://schemas.openxmlformats.org/officeDocument/2006/relationships/hyperlink" Target="https://www.bls.gov/oes/2019/may/oes131198.htm" TargetMode="External"/><Relationship Id="rId26" Type="http://schemas.openxmlformats.org/officeDocument/2006/relationships/hyperlink" Target="https://www.bls.gov/oes/2019/may/oes131111.htm" TargetMode="External"/><Relationship Id="rId3" Type="http://schemas.openxmlformats.org/officeDocument/2006/relationships/hyperlink" Target="https://www.bls.gov/oes/2019/may/oes131111.htm" TargetMode="External"/><Relationship Id="rId21" Type="http://schemas.openxmlformats.org/officeDocument/2006/relationships/hyperlink" Target="https://www.faa.gov/regulations_policies/policy_guidance/benefit_cost/media/econ-value-section-1-tx-time.pdf" TargetMode="External"/><Relationship Id="rId7" Type="http://schemas.openxmlformats.org/officeDocument/2006/relationships/hyperlink" Target="https://www.bls.gov/oes/2019/may/oes131111.htm" TargetMode="External"/><Relationship Id="rId12" Type="http://schemas.openxmlformats.org/officeDocument/2006/relationships/hyperlink" Target="https://www.bls.gov/oes/2019/may/oes131198.htm" TargetMode="External"/><Relationship Id="rId17" Type="http://schemas.openxmlformats.org/officeDocument/2006/relationships/hyperlink" Target="https://www.bls.gov/oes/2019/may/oes131111.htm" TargetMode="External"/><Relationship Id="rId25" Type="http://schemas.openxmlformats.org/officeDocument/2006/relationships/hyperlink" Target="https://my.faa.gov/employee_services/pay_perf/pay.html.html" TargetMode="External"/><Relationship Id="rId2" Type="http://schemas.openxmlformats.org/officeDocument/2006/relationships/hyperlink" Target="https://www.bls.gov/oes/2019/may/oes131198.htm" TargetMode="External"/><Relationship Id="rId16" Type="http://schemas.openxmlformats.org/officeDocument/2006/relationships/hyperlink" Target="https://www.bls.gov/oes/2019/may/oes131198.htm" TargetMode="External"/><Relationship Id="rId20" Type="http://schemas.openxmlformats.org/officeDocument/2006/relationships/hyperlink" Target="https://www.bls.gov/oes/2019/may/oes131198.htm" TargetMode="External"/><Relationship Id="rId1" Type="http://schemas.openxmlformats.org/officeDocument/2006/relationships/hyperlink" Target="https://www.bls.gov/oes/2019/may/oes131111.htm" TargetMode="External"/><Relationship Id="rId6" Type="http://schemas.openxmlformats.org/officeDocument/2006/relationships/hyperlink" Target="https://www.bls.gov/oes/2019/may/oes131198.htm" TargetMode="External"/><Relationship Id="rId11" Type="http://schemas.openxmlformats.org/officeDocument/2006/relationships/hyperlink" Target="https://www.bls.gov/oes/2019/may/oes131111.htm" TargetMode="External"/><Relationship Id="rId24" Type="http://schemas.openxmlformats.org/officeDocument/2006/relationships/hyperlink" Target="https://my.faa.gov/employee_services/pay_perf/pay.html.html" TargetMode="External"/><Relationship Id="rId5" Type="http://schemas.openxmlformats.org/officeDocument/2006/relationships/hyperlink" Target="https://www.bls.gov/oes/2019/may/oes131111.htm" TargetMode="External"/><Relationship Id="rId15" Type="http://schemas.openxmlformats.org/officeDocument/2006/relationships/hyperlink" Target="https://www.bls.gov/oes/2019/may/oes131111.htm" TargetMode="External"/><Relationship Id="rId23" Type="http://schemas.openxmlformats.org/officeDocument/2006/relationships/hyperlink" Target="https://surveytown.com/keeping-your-survey-to-a-reasonable-length/" TargetMode="External"/><Relationship Id="rId10" Type="http://schemas.openxmlformats.org/officeDocument/2006/relationships/hyperlink" Target="https://www.bls.gov/oes/2019/may/oes131198.htm" TargetMode="External"/><Relationship Id="rId19" Type="http://schemas.openxmlformats.org/officeDocument/2006/relationships/hyperlink" Target="https://www.bls.gov/oes/2019/may/oes131111.htm" TargetMode="External"/><Relationship Id="rId4" Type="http://schemas.openxmlformats.org/officeDocument/2006/relationships/hyperlink" Target="https://www.bls.gov/oes/2019/may/oes131198.htm" TargetMode="External"/><Relationship Id="rId9" Type="http://schemas.openxmlformats.org/officeDocument/2006/relationships/hyperlink" Target="https://www.bls.gov/oes/2019/may/oes131111.htm" TargetMode="External"/><Relationship Id="rId14" Type="http://schemas.openxmlformats.org/officeDocument/2006/relationships/hyperlink" Target="https://www.bls.gov/oes/2019/may/oes131198.htm" TargetMode="External"/><Relationship Id="rId22" Type="http://schemas.openxmlformats.org/officeDocument/2006/relationships/hyperlink" Target="https://www.surveymonkey.com/curiosity/survey_completion_times/" TargetMode="External"/><Relationship Id="rId27" Type="http://schemas.openxmlformats.org/officeDocument/2006/relationships/hyperlink" Target="https://my.faa.gov/employee_services/pay_perf/pay.ht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16A36769BC24B87AE521810D2AB01" ma:contentTypeVersion="0" ma:contentTypeDescription="Create a new document." ma:contentTypeScope="" ma:versionID="fefcef853199a83b4c6cfde197761d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354D-B486-4AE9-9DB2-8DFBA8499EFD}">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59E4FB1-303E-463F-A107-72DF21059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DEB739-6A15-4673-B4D0-7A98026EEAC7}">
  <ds:schemaRefs>
    <ds:schemaRef ds:uri="http://schemas.microsoft.com/sharepoint/v3/contenttype/forms"/>
  </ds:schemaRefs>
</ds:datastoreItem>
</file>

<file path=customXml/itemProps4.xml><?xml version="1.0" encoding="utf-8"?>
<ds:datastoreItem xmlns:ds="http://schemas.openxmlformats.org/officeDocument/2006/customXml" ds:itemID="{B197FA77-5DFB-4BC0-B58A-10DF5C23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33</Pages>
  <Words>10769</Words>
  <Characters>61708</Characters>
  <Application>Microsoft Office Word</Application>
  <DocSecurity>0</DocSecurity>
  <Lines>921</Lines>
  <Paragraphs>130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72347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Jones, Corbin T (FAA)</cp:lastModifiedBy>
  <cp:revision>3</cp:revision>
  <dcterms:created xsi:type="dcterms:W3CDTF">2021-07-02T12:00:00Z</dcterms:created>
  <dcterms:modified xsi:type="dcterms:W3CDTF">2021-07-02T17:34:00Z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0x01010050D16A36769BC24B87AE521810D2AB01</vt:lpwstr>
  </property>
  <property fmtid="{D5CDD505-2E9C-101B-9397-08002B2CF9AE}" pid="3" name="Order">
    <vt:r8>853700</vt:r8>
  </property>
  <property fmtid="{D5CDD505-2E9C-101B-9397-08002B2CF9AE}" pid="4" name="_CopySource">
    <vt:lpwstr>https://ksn2.faa.gov/faa/uasipp/PMDocuments/Post-IPP BEYOND/PRA/2020-11-13 - BEYOND and PSP - Supporting Statement A - V11.docx</vt:lpwstr>
  </property>
  <property fmtid="{D5CDD505-2E9C-101B-9397-08002B2CF9AE}" pid="5" name="xd_ProgID">
    <vt:lpwstr/>
  </property>
  <property fmtid="{D5CDD505-2E9C-101B-9397-08002B2CF9AE}" pid="6" name="TemplateUrl">
    <vt:lpwstr/>
  </property>
</Properties>
</file>