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587" w:rsidP="00BA3587" w:rsidRDefault="00BA3587" w14:paraId="7BFF2D05" w14:textId="714C55FE">
      <w:pPr>
        <w:pStyle w:val="Title"/>
        <w:rPr>
          <w:rFonts w:cs="Arial"/>
          <w:sz w:val="22"/>
        </w:rPr>
      </w:pPr>
      <w:bookmarkStart w:name="_GoBack" w:id="0"/>
      <w:bookmarkEnd w:id="0"/>
      <w:r w:rsidRPr="004A76BC">
        <w:rPr>
          <w:rFonts w:cs="Arial"/>
          <w:sz w:val="22"/>
        </w:rPr>
        <w:t>Supporting Statement</w:t>
      </w:r>
    </w:p>
    <w:p w:rsidR="003A55A3" w:rsidP="00BA3587" w:rsidRDefault="003A55A3" w14:paraId="076F047E" w14:textId="77777777">
      <w:pPr>
        <w:pStyle w:val="Title"/>
        <w:rPr>
          <w:rFonts w:cs="Arial"/>
          <w:sz w:val="22"/>
        </w:rPr>
      </w:pPr>
      <w:r w:rsidRPr="003A55A3">
        <w:rPr>
          <w:rFonts w:cs="Arial"/>
          <w:sz w:val="22"/>
        </w:rPr>
        <w:t>Unmanned Aircraft Systems (UAS) BEYOND and Partnership for Safety Plan (PSP) Programs</w:t>
      </w:r>
    </w:p>
    <w:p w:rsidRPr="004A76BC" w:rsidR="00BA3587" w:rsidP="00BA3587" w:rsidRDefault="00E17D84" w14:paraId="490C0A00" w14:textId="516A99B6">
      <w:pPr>
        <w:pStyle w:val="Title"/>
        <w:rPr>
          <w:rFonts w:cs="Arial"/>
          <w:sz w:val="22"/>
        </w:rPr>
      </w:pPr>
      <w:r>
        <w:rPr>
          <w:rFonts w:cs="Arial"/>
          <w:noProof/>
          <w:snapToGrid/>
          <w:sz w:val="22"/>
        </w:rPr>
        <mc:AlternateContent>
          <mc:Choice Requires="wps">
            <w:drawing>
              <wp:anchor distT="0" distB="0" distL="114300" distR="114300" simplePos="0" relativeHeight="251657728" behindDoc="0" locked="0" layoutInCell="1" allowOverlap="1" wp14:editId="25733FFD" wp14:anchorId="6C1D3F1F">
                <wp:simplePos x="0" y="0"/>
                <wp:positionH relativeFrom="column">
                  <wp:posOffset>-26670</wp:posOffset>
                </wp:positionH>
                <wp:positionV relativeFrom="paragraph">
                  <wp:posOffset>106680</wp:posOffset>
                </wp:positionV>
                <wp:extent cx="6372225" cy="0"/>
                <wp:effectExtent l="19050" t="16510" r="19050" b="215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2.1pt,8.4pt" to="499.65pt,8.4pt" w14:anchorId="266DA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MEwIAACkEAAAOAAAAZHJzL2Uyb0RvYy54bWysU02P2jAQvVfqf7B8h3wssGxEWFUJ9EK7&#10;SLv9AcZ2iFXHtmxDQFX/e8eGILa9VFVzcMaemec388aL51Mn0ZFbJ7QqcTZOMeKKaibUvsTf3taj&#10;OUbOE8WI1IqX+Mwdfl5+/LDoTcFz3WrJuEUAolzRmxK33psiSRxteUfcWBuuwNlo2xEPW7tPmCU9&#10;oHcyydN0lvTaMmM15c7BaX1x4mXEbxpO/UvTOO6RLDFw83G1cd2FNVkuSLG3xLSCXmmQf2DREaHg&#10;0htUTTxBByv+gOoEtdrpxo+p7hLdNILyWANUk6W/VfPaEsNjLdAcZ25tcv8Pln49bi0SDLTDSJEO&#10;JNoIxVEeOtMbV0BApbY21EZP6tVsNP3ukNJVS9SeR4ZvZwNpWchI3qWEjTOAv+u/aAYx5OB1bNOp&#10;sV2AhAagU1TjfFODnzyicDh7eMzzfIoRHXwJKYZEY53/zHWHglFiCZwjMDlunA9ESDGEhHuUXgsp&#10;o9hSob7E+Xz6OI0ZTkvBgjfEObvfVdKiIwnzEr9YFnjuw6w+KBbRWk7Y6mp7IuTFhtulCnhQC/C5&#10;WpeB+PGUPq3mq/lkNMlnq9EkrevRp3U1Gc3W2eO0fqirqs5+BmrZpGgFY1wFdsNwZpO/E//6TC5j&#10;dRvPWx+S9+ixYUB2+EfSUcyg32USdpqdt3YQGeYxBl/fThj4+z3Y9y98+QsAAP//AwBQSwMEFAAG&#10;AAgAAAAhAKCPWdTcAAAACAEAAA8AAABkcnMvZG93bnJldi54bWxMj0FLw0AQhe+C/2EZwYu0G6uU&#10;JmZTasGbFKwiHifZaRLMzobstkn/vSMe7HHee7z5Xr6eXKdONITWs4H7eQKKuPK25drAx/vLbAUq&#10;RGSLnWcycKYA6+L6KsfM+pHf6LSPtZISDhkaaGLsM61D1ZDDMPc9sXgHPziMcg61tgOOUu46vUiS&#10;pXbYsnxosKdtQ9X3/ugMVLjb7vDwqUeMX5vnu/L1PNQrY25vps0TqEhT/A/DL76gQyFMpT+yDaoz&#10;MHtcSFL0pSwQP03TB1Dln6CLXF8OKH4AAAD//wMAUEsBAi0AFAAGAAgAAAAhALaDOJL+AAAA4QEA&#10;ABMAAAAAAAAAAAAAAAAAAAAAAFtDb250ZW50X1R5cGVzXS54bWxQSwECLQAUAAYACAAAACEAOP0h&#10;/9YAAACUAQAACwAAAAAAAAAAAAAAAAAvAQAAX3JlbHMvLnJlbHNQSwECLQAUAAYACAAAACEAWsgv&#10;zBMCAAApBAAADgAAAAAAAAAAAAAAAAAuAgAAZHJzL2Uyb0RvYy54bWxQSwECLQAUAAYACAAAACEA&#10;oI9Z1NwAAAAIAQAADwAAAAAAAAAAAAAAAABtBAAAZHJzL2Rvd25yZXYueG1sUEsFBgAAAAAEAAQA&#10;8wAAAHYFAAAAAA==&#10;"/>
            </w:pict>
          </mc:Fallback>
        </mc:AlternateContent>
      </w:r>
    </w:p>
    <w:p w:rsidR="00BA3587" w:rsidP="00BA3587" w:rsidRDefault="00BA3587" w14:paraId="6DE86CA0" w14:textId="77777777">
      <w:pPr>
        <w:rPr>
          <w:b/>
          <w:sz w:val="22"/>
          <w:u w:val="single"/>
        </w:rPr>
      </w:pPr>
    </w:p>
    <w:p w:rsidR="00BA3587" w:rsidP="00BA3587" w:rsidRDefault="00BA3587" w14:paraId="089C3309" w14:textId="77777777">
      <w:pPr>
        <w:rPr>
          <w:sz w:val="22"/>
        </w:rPr>
      </w:pPr>
      <w:r>
        <w:rPr>
          <w:b/>
          <w:sz w:val="22"/>
          <w:u w:val="single"/>
        </w:rPr>
        <w:t>B.  Statistical Methods</w:t>
      </w:r>
    </w:p>
    <w:p w:rsidR="00BA3587" w:rsidP="00BA3587" w:rsidRDefault="00BA3587" w14:paraId="6B5E8BF3" w14:textId="77777777">
      <w:pPr>
        <w:rPr>
          <w:sz w:val="22"/>
        </w:rPr>
      </w:pPr>
    </w:p>
    <w:p w:rsidRPr="00AD06BC" w:rsidR="0022309E" w:rsidP="0022309E" w:rsidRDefault="0022309E" w14:paraId="7B6889FD" w14:textId="77777777">
      <w:pPr>
        <w:autoSpaceDE w:val="0"/>
        <w:autoSpaceDN w:val="0"/>
        <w:adjustRightInd w:val="0"/>
        <w:rPr>
          <w:rFonts w:ascii="Times New Roman" w:hAnsi="Times New Roman"/>
          <w:bCs/>
          <w:szCs w:val="24"/>
        </w:rPr>
      </w:pPr>
      <w:r w:rsidRPr="00AD06BC">
        <w:rPr>
          <w:rFonts w:ascii="Times New Roman" w:hAnsi="Times New Roman"/>
          <w:szCs w:val="24"/>
        </w:rPr>
        <w:t xml:space="preserve">The purpose of the </w:t>
      </w:r>
      <w:r w:rsidRPr="00AD06BC">
        <w:rPr>
          <w:rFonts w:ascii="Times New Roman" w:hAnsi="Times New Roman"/>
          <w:bCs/>
          <w:szCs w:val="24"/>
        </w:rPr>
        <w:t xml:space="preserve">Unmanned Aircraft Systems (UAS) BEYOND and Partnership for Safety Plan (PSP) programs is for the Federal Aviation Administration (FAA) to work with state, local and tribal </w:t>
      </w:r>
      <w:r>
        <w:rPr>
          <w:rFonts w:ascii="Times New Roman" w:hAnsi="Times New Roman"/>
          <w:bCs/>
          <w:szCs w:val="24"/>
        </w:rPr>
        <w:t xml:space="preserve">(SLT) </w:t>
      </w:r>
      <w:r w:rsidRPr="00AD06BC">
        <w:rPr>
          <w:rFonts w:ascii="Times New Roman" w:hAnsi="Times New Roman"/>
          <w:bCs/>
          <w:szCs w:val="24"/>
        </w:rPr>
        <w:t xml:space="preserve">governments (BEYOND) and private UAS operators (PSP) to work toward full, safe integration of UAS into the national airspace system (NAS). </w:t>
      </w:r>
      <w:r>
        <w:rPr>
          <w:rFonts w:ascii="Times New Roman" w:hAnsi="Times New Roman"/>
          <w:bCs/>
          <w:szCs w:val="24"/>
        </w:rPr>
        <w:t xml:space="preserve">There are eight SLT governments in the BEYOND program and seven industry participants in the PSP program. </w:t>
      </w:r>
      <w:r w:rsidRPr="00AD06BC">
        <w:rPr>
          <w:rFonts w:ascii="Times New Roman" w:hAnsi="Times New Roman"/>
          <w:bCs/>
          <w:szCs w:val="24"/>
        </w:rPr>
        <w:t>The programs have multiple data collections that serve different purposes to help the FAA achieve the goals.</w:t>
      </w:r>
    </w:p>
    <w:p w:rsidRPr="00AD06BC" w:rsidR="0022309E" w:rsidP="0022309E" w:rsidRDefault="0022309E" w14:paraId="7482A824" w14:textId="77777777">
      <w:pPr>
        <w:autoSpaceDE w:val="0"/>
        <w:autoSpaceDN w:val="0"/>
        <w:adjustRightInd w:val="0"/>
        <w:rPr>
          <w:rFonts w:ascii="Times New Roman" w:hAnsi="Times New Roman"/>
          <w:bCs/>
          <w:szCs w:val="24"/>
        </w:rPr>
      </w:pPr>
    </w:p>
    <w:p w:rsidR="0022309E" w:rsidP="0022309E" w:rsidRDefault="0022309E" w14:paraId="53796962" w14:textId="1568A82E">
      <w:pPr>
        <w:autoSpaceDE w:val="0"/>
        <w:autoSpaceDN w:val="0"/>
        <w:adjustRightInd w:val="0"/>
        <w:rPr>
          <w:rFonts w:ascii="Times New Roman" w:hAnsi="Times New Roman"/>
          <w:bCs/>
          <w:szCs w:val="24"/>
        </w:rPr>
      </w:pPr>
      <w:r w:rsidRPr="00AD06BC">
        <w:rPr>
          <w:rFonts w:ascii="Times New Roman" w:hAnsi="Times New Roman"/>
          <w:bCs/>
          <w:szCs w:val="24"/>
        </w:rPr>
        <w:t xml:space="preserve">First, there are narrative reports that will provide qualitative, non-statistical data that will inform the FAA of operational trends, highlight successes and failures and their causes, </w:t>
      </w:r>
      <w:r>
        <w:rPr>
          <w:rFonts w:ascii="Times New Roman" w:hAnsi="Times New Roman"/>
          <w:bCs/>
          <w:szCs w:val="24"/>
        </w:rPr>
        <w:t xml:space="preserve">and </w:t>
      </w:r>
      <w:r w:rsidRPr="00AD06BC">
        <w:rPr>
          <w:rFonts w:ascii="Times New Roman" w:hAnsi="Times New Roman"/>
          <w:bCs/>
          <w:szCs w:val="24"/>
        </w:rPr>
        <w:t xml:space="preserve">describe challenges and lessons learned.  These narrative reports are meant to inform the FAA of progress being made, </w:t>
      </w:r>
      <w:r w:rsidR="002E7579">
        <w:rPr>
          <w:rFonts w:ascii="Times New Roman" w:hAnsi="Times New Roman"/>
          <w:bCs/>
          <w:szCs w:val="24"/>
        </w:rPr>
        <w:t xml:space="preserve">to identify </w:t>
      </w:r>
      <w:r w:rsidRPr="00AD06BC">
        <w:rPr>
          <w:rFonts w:ascii="Times New Roman" w:hAnsi="Times New Roman"/>
          <w:bCs/>
          <w:szCs w:val="24"/>
        </w:rPr>
        <w:t xml:space="preserve">where there are challenges or gaps in understanding, and to help the FAA make policy and resource decisions. </w:t>
      </w:r>
      <w:r>
        <w:rPr>
          <w:rFonts w:ascii="Times New Roman" w:hAnsi="Times New Roman"/>
          <w:bCs/>
          <w:szCs w:val="24"/>
        </w:rPr>
        <w:t xml:space="preserve">The data will be supplied by the eight SLT governments in the BEYOND program, and the seven industry operators in the PSP program. </w:t>
      </w:r>
      <w:r w:rsidRPr="00AD06BC">
        <w:rPr>
          <w:rFonts w:ascii="Times New Roman" w:hAnsi="Times New Roman"/>
          <w:bCs/>
          <w:szCs w:val="24"/>
        </w:rPr>
        <w:t xml:space="preserve">The collection instruments include: </w:t>
      </w:r>
    </w:p>
    <w:p w:rsidRPr="00AD06BC" w:rsidR="0022309E" w:rsidP="0022309E" w:rsidRDefault="0022309E" w14:paraId="73CCBBA0" w14:textId="77777777">
      <w:pPr>
        <w:autoSpaceDE w:val="0"/>
        <w:autoSpaceDN w:val="0"/>
        <w:adjustRightInd w:val="0"/>
        <w:rPr>
          <w:rFonts w:ascii="Times New Roman" w:hAnsi="Times New Roman"/>
          <w:bCs/>
          <w:szCs w:val="24"/>
        </w:rPr>
      </w:pPr>
    </w:p>
    <w:p w:rsidRPr="00AD06BC" w:rsidR="0022309E" w:rsidP="0022309E" w:rsidRDefault="0022309E" w14:paraId="1046DFF7" w14:textId="77777777">
      <w:pPr>
        <w:pStyle w:val="ListParagraph"/>
        <w:numPr>
          <w:ilvl w:val="0"/>
          <w:numId w:val="5"/>
        </w:numPr>
        <w:adjustRightInd w:val="0"/>
        <w:ind w:left="1080" w:hanging="720"/>
        <w:rPr>
          <w:bCs/>
          <w:sz w:val="24"/>
          <w:szCs w:val="24"/>
        </w:rPr>
      </w:pPr>
      <w:r w:rsidRPr="00AD06BC">
        <w:rPr>
          <w:bCs/>
          <w:sz w:val="24"/>
          <w:szCs w:val="24"/>
        </w:rPr>
        <w:t>PSP Quarterly Reports</w:t>
      </w:r>
    </w:p>
    <w:p w:rsidRPr="00AD06BC" w:rsidR="0022309E" w:rsidDel="00AB3599" w:rsidP="0022309E" w:rsidRDefault="0022309E" w14:paraId="0A0ABD82" w14:textId="77777777">
      <w:pPr>
        <w:pStyle w:val="ListParagraph"/>
        <w:numPr>
          <w:ilvl w:val="0"/>
          <w:numId w:val="5"/>
        </w:numPr>
        <w:adjustRightInd w:val="0"/>
        <w:ind w:left="1080" w:hanging="720"/>
        <w:rPr>
          <w:bCs/>
          <w:sz w:val="24"/>
          <w:szCs w:val="24"/>
        </w:rPr>
      </w:pPr>
      <w:r w:rsidRPr="00AD06BC" w:rsidDel="00AB3599">
        <w:rPr>
          <w:bCs/>
          <w:sz w:val="24"/>
          <w:szCs w:val="24"/>
        </w:rPr>
        <w:t>BEYOND Semi-Annual Reports</w:t>
      </w:r>
    </w:p>
    <w:p w:rsidRPr="00AD06BC" w:rsidR="0022309E" w:rsidP="0022309E" w:rsidRDefault="0022309E" w14:paraId="5914CF3C" w14:textId="77777777">
      <w:pPr>
        <w:pStyle w:val="ListParagraph"/>
        <w:numPr>
          <w:ilvl w:val="0"/>
          <w:numId w:val="5"/>
        </w:numPr>
        <w:adjustRightInd w:val="0"/>
        <w:ind w:left="1080" w:hanging="720"/>
        <w:rPr>
          <w:bCs/>
          <w:sz w:val="24"/>
          <w:szCs w:val="24"/>
        </w:rPr>
      </w:pPr>
      <w:r w:rsidRPr="00AD06BC">
        <w:rPr>
          <w:bCs/>
          <w:sz w:val="24"/>
          <w:szCs w:val="24"/>
        </w:rPr>
        <w:t>BEYOND Final Reports</w:t>
      </w:r>
    </w:p>
    <w:p w:rsidRPr="00AD06BC" w:rsidR="0022309E" w:rsidP="0022309E" w:rsidRDefault="0022309E" w14:paraId="0E5F14AE" w14:textId="77777777">
      <w:pPr>
        <w:pStyle w:val="ListParagraph"/>
        <w:numPr>
          <w:ilvl w:val="0"/>
          <w:numId w:val="5"/>
        </w:numPr>
        <w:adjustRightInd w:val="0"/>
        <w:ind w:left="1080" w:hanging="720"/>
        <w:rPr>
          <w:bCs/>
          <w:sz w:val="24"/>
          <w:szCs w:val="24"/>
        </w:rPr>
      </w:pPr>
      <w:r w:rsidRPr="00AD06BC">
        <w:rPr>
          <w:bCs/>
          <w:sz w:val="24"/>
          <w:szCs w:val="24"/>
        </w:rPr>
        <w:t>PSP Final Reports</w:t>
      </w:r>
    </w:p>
    <w:p w:rsidRPr="00AD06BC" w:rsidR="0022309E" w:rsidDel="00AB3599" w:rsidP="0022309E" w:rsidRDefault="0022309E" w14:paraId="70A90F8E" w14:textId="77777777">
      <w:pPr>
        <w:pStyle w:val="ListParagraph"/>
        <w:numPr>
          <w:ilvl w:val="0"/>
          <w:numId w:val="5"/>
        </w:numPr>
        <w:adjustRightInd w:val="0"/>
        <w:ind w:left="1080" w:hanging="720"/>
        <w:rPr>
          <w:bCs/>
          <w:sz w:val="24"/>
          <w:szCs w:val="24"/>
        </w:rPr>
      </w:pPr>
      <w:r w:rsidRPr="00AD06BC" w:rsidDel="00AB3599">
        <w:rPr>
          <w:bCs/>
          <w:sz w:val="24"/>
          <w:szCs w:val="24"/>
        </w:rPr>
        <w:t xml:space="preserve">BEYOND Program Withdrawal Reports </w:t>
      </w:r>
    </w:p>
    <w:p w:rsidRPr="00AD06BC" w:rsidR="0022309E" w:rsidP="0022309E" w:rsidRDefault="0022309E" w14:paraId="20C6AB35" w14:textId="77777777">
      <w:pPr>
        <w:autoSpaceDE w:val="0"/>
        <w:autoSpaceDN w:val="0"/>
        <w:adjustRightInd w:val="0"/>
        <w:rPr>
          <w:rFonts w:ascii="Times New Roman" w:hAnsi="Times New Roman"/>
          <w:bCs/>
          <w:szCs w:val="24"/>
        </w:rPr>
      </w:pPr>
    </w:p>
    <w:p w:rsidR="0022309E" w:rsidP="0022309E" w:rsidRDefault="0022309E" w14:paraId="00A2C409" w14:textId="77777777">
      <w:pPr>
        <w:autoSpaceDE w:val="0"/>
        <w:autoSpaceDN w:val="0"/>
        <w:adjustRightInd w:val="0"/>
        <w:rPr>
          <w:rFonts w:ascii="Times New Roman" w:hAnsi="Times New Roman"/>
          <w:bCs/>
          <w:szCs w:val="24"/>
        </w:rPr>
      </w:pPr>
      <w:r w:rsidRPr="00AD06BC">
        <w:rPr>
          <w:rFonts w:ascii="Times New Roman" w:hAnsi="Times New Roman"/>
          <w:bCs/>
          <w:szCs w:val="24"/>
        </w:rPr>
        <w:t>Second, there are operation</w:t>
      </w:r>
      <w:r>
        <w:rPr>
          <w:rFonts w:ascii="Times New Roman" w:hAnsi="Times New Roman"/>
          <w:bCs/>
          <w:szCs w:val="24"/>
        </w:rPr>
        <w:t>al</w:t>
      </w:r>
      <w:r w:rsidRPr="00AD06BC">
        <w:rPr>
          <w:rFonts w:ascii="Times New Roman" w:hAnsi="Times New Roman"/>
          <w:bCs/>
          <w:szCs w:val="24"/>
        </w:rPr>
        <w:t xml:space="preserve"> data submissions which will provide </w:t>
      </w:r>
      <w:r>
        <w:rPr>
          <w:rFonts w:ascii="Times New Roman" w:hAnsi="Times New Roman"/>
          <w:bCs/>
          <w:szCs w:val="24"/>
        </w:rPr>
        <w:t>both quantitative and qualitative</w:t>
      </w:r>
      <w:r w:rsidRPr="00AD06BC">
        <w:rPr>
          <w:rFonts w:ascii="Times New Roman" w:hAnsi="Times New Roman"/>
          <w:bCs/>
          <w:szCs w:val="24"/>
        </w:rPr>
        <w:t xml:space="preserve"> information about the </w:t>
      </w:r>
      <w:r>
        <w:rPr>
          <w:rFonts w:ascii="Times New Roman" w:hAnsi="Times New Roman"/>
          <w:bCs/>
          <w:szCs w:val="24"/>
        </w:rPr>
        <w:t xml:space="preserve">program participants’ aircraft, </w:t>
      </w:r>
      <w:r w:rsidRPr="00AD06BC">
        <w:rPr>
          <w:rFonts w:ascii="Times New Roman" w:hAnsi="Times New Roman"/>
          <w:bCs/>
          <w:szCs w:val="24"/>
        </w:rPr>
        <w:t xml:space="preserve">flights, </w:t>
      </w:r>
      <w:r>
        <w:rPr>
          <w:rFonts w:ascii="Times New Roman" w:hAnsi="Times New Roman"/>
          <w:bCs/>
          <w:szCs w:val="24"/>
        </w:rPr>
        <w:t xml:space="preserve">corrective </w:t>
      </w:r>
      <w:r w:rsidRPr="00AD06BC">
        <w:rPr>
          <w:rFonts w:ascii="Times New Roman" w:hAnsi="Times New Roman"/>
          <w:bCs/>
          <w:szCs w:val="24"/>
        </w:rPr>
        <w:t>maintenance</w:t>
      </w:r>
      <w:r>
        <w:rPr>
          <w:rFonts w:ascii="Times New Roman" w:hAnsi="Times New Roman"/>
          <w:bCs/>
          <w:szCs w:val="24"/>
        </w:rPr>
        <w:t xml:space="preserve"> actions, off-nominal flight events, and UAS testing activities</w:t>
      </w:r>
      <w:r w:rsidRPr="00AD06BC">
        <w:rPr>
          <w:rFonts w:ascii="Times New Roman" w:hAnsi="Times New Roman"/>
          <w:bCs/>
          <w:szCs w:val="24"/>
        </w:rPr>
        <w:t xml:space="preserve">. The submissions are not statistical in nature but are designed to supply </w:t>
      </w:r>
      <w:r>
        <w:rPr>
          <w:rFonts w:ascii="Times New Roman" w:hAnsi="Times New Roman"/>
          <w:bCs/>
          <w:szCs w:val="24"/>
        </w:rPr>
        <w:t>data</w:t>
      </w:r>
      <w:r w:rsidRPr="00AD06BC">
        <w:rPr>
          <w:rFonts w:ascii="Times New Roman" w:hAnsi="Times New Roman"/>
          <w:bCs/>
          <w:szCs w:val="24"/>
        </w:rPr>
        <w:t xml:space="preserve"> that will help </w:t>
      </w:r>
      <w:r>
        <w:rPr>
          <w:rFonts w:ascii="Times New Roman" w:hAnsi="Times New Roman"/>
          <w:bCs/>
          <w:szCs w:val="24"/>
        </w:rPr>
        <w:t>inform</w:t>
      </w:r>
      <w:r w:rsidRPr="00AD06BC">
        <w:rPr>
          <w:rFonts w:ascii="Times New Roman" w:hAnsi="Times New Roman"/>
          <w:bCs/>
          <w:szCs w:val="24"/>
        </w:rPr>
        <w:t xml:space="preserve"> policy </w:t>
      </w:r>
      <w:r>
        <w:rPr>
          <w:rFonts w:ascii="Times New Roman" w:hAnsi="Times New Roman"/>
          <w:bCs/>
          <w:szCs w:val="24"/>
        </w:rPr>
        <w:t>and standards related to UAS pilots flying their aircraft beyond their visual line of sight.</w:t>
      </w:r>
      <w:r w:rsidRPr="00AD06BC">
        <w:rPr>
          <w:rFonts w:ascii="Times New Roman" w:hAnsi="Times New Roman"/>
          <w:bCs/>
          <w:szCs w:val="24"/>
        </w:rPr>
        <w:t xml:space="preserve">  </w:t>
      </w:r>
      <w:r>
        <w:rPr>
          <w:rFonts w:ascii="Times New Roman" w:hAnsi="Times New Roman"/>
          <w:bCs/>
          <w:szCs w:val="24"/>
        </w:rPr>
        <w:t xml:space="preserve">The data will be supplied by the eight SLT governments in the BEYOND program, and the seven industry operators in the PSP program. </w:t>
      </w:r>
      <w:r w:rsidRPr="00AD06BC">
        <w:rPr>
          <w:rFonts w:ascii="Times New Roman" w:hAnsi="Times New Roman"/>
          <w:bCs/>
          <w:szCs w:val="24"/>
        </w:rPr>
        <w:t>The collection instruments include:</w:t>
      </w:r>
    </w:p>
    <w:p w:rsidRPr="00AD06BC" w:rsidR="0022309E" w:rsidP="0022309E" w:rsidRDefault="0022309E" w14:paraId="7F472E16" w14:textId="77777777">
      <w:pPr>
        <w:autoSpaceDE w:val="0"/>
        <w:autoSpaceDN w:val="0"/>
        <w:adjustRightInd w:val="0"/>
        <w:rPr>
          <w:rFonts w:ascii="Times New Roman" w:hAnsi="Times New Roman"/>
          <w:bCs/>
          <w:szCs w:val="24"/>
        </w:rPr>
      </w:pPr>
    </w:p>
    <w:p w:rsidR="0022309E" w:rsidP="0022309E" w:rsidRDefault="0022309E" w14:paraId="68BFF142" w14:textId="77777777">
      <w:pPr>
        <w:pStyle w:val="ListParagraph"/>
        <w:numPr>
          <w:ilvl w:val="0"/>
          <w:numId w:val="5"/>
        </w:numPr>
        <w:adjustRightInd w:val="0"/>
        <w:ind w:left="1080" w:hanging="720"/>
        <w:rPr>
          <w:bCs/>
          <w:sz w:val="24"/>
          <w:szCs w:val="24"/>
        </w:rPr>
      </w:pPr>
      <w:r w:rsidRPr="00AD06BC">
        <w:rPr>
          <w:bCs/>
          <w:sz w:val="24"/>
          <w:szCs w:val="24"/>
        </w:rPr>
        <w:t xml:space="preserve">UAS Characteristics Reports </w:t>
      </w:r>
    </w:p>
    <w:p w:rsidRPr="00832B9F" w:rsidR="0022309E" w:rsidP="0022309E" w:rsidRDefault="0022309E" w14:paraId="269772AE" w14:textId="26FE04CF">
      <w:pPr>
        <w:pStyle w:val="ListParagraph"/>
        <w:numPr>
          <w:ilvl w:val="0"/>
          <w:numId w:val="5"/>
        </w:numPr>
        <w:adjustRightInd w:val="0"/>
        <w:ind w:left="1080" w:hanging="720"/>
        <w:rPr>
          <w:bCs/>
          <w:sz w:val="24"/>
          <w:szCs w:val="24"/>
        </w:rPr>
      </w:pPr>
      <w:r w:rsidRPr="00AD06BC">
        <w:rPr>
          <w:bCs/>
          <w:sz w:val="24"/>
          <w:szCs w:val="24"/>
        </w:rPr>
        <w:t xml:space="preserve">UAS </w:t>
      </w:r>
      <w:r w:rsidR="003426C3">
        <w:rPr>
          <w:bCs/>
          <w:sz w:val="24"/>
          <w:szCs w:val="24"/>
        </w:rPr>
        <w:t xml:space="preserve">Monthly </w:t>
      </w:r>
      <w:r w:rsidRPr="00AD06BC">
        <w:rPr>
          <w:bCs/>
          <w:sz w:val="24"/>
          <w:szCs w:val="24"/>
        </w:rPr>
        <w:t>Operational Flight Reports</w:t>
      </w:r>
      <w:r w:rsidRPr="00AD06BC" w:rsidDel="00AB3599">
        <w:rPr>
          <w:bCs/>
          <w:sz w:val="24"/>
          <w:szCs w:val="24"/>
        </w:rPr>
        <w:t xml:space="preserve"> </w:t>
      </w:r>
    </w:p>
    <w:p w:rsidRPr="005E3C11" w:rsidR="0022309E" w:rsidP="0022309E" w:rsidRDefault="0022309E" w14:paraId="1B1740CD" w14:textId="77777777">
      <w:pPr>
        <w:pStyle w:val="ListParagraph"/>
        <w:numPr>
          <w:ilvl w:val="0"/>
          <w:numId w:val="5"/>
        </w:numPr>
        <w:adjustRightInd w:val="0"/>
        <w:ind w:left="1080" w:hanging="720"/>
        <w:rPr>
          <w:bCs/>
          <w:sz w:val="24"/>
          <w:szCs w:val="24"/>
        </w:rPr>
      </w:pPr>
      <w:r w:rsidRPr="00AD06BC">
        <w:rPr>
          <w:bCs/>
          <w:sz w:val="24"/>
          <w:szCs w:val="24"/>
        </w:rPr>
        <w:t>UAS Maintenance Reports</w:t>
      </w:r>
      <w:r w:rsidRPr="00AD06BC" w:rsidDel="00AB3599">
        <w:rPr>
          <w:bCs/>
          <w:sz w:val="24"/>
          <w:szCs w:val="24"/>
        </w:rPr>
        <w:t xml:space="preserve"> </w:t>
      </w:r>
    </w:p>
    <w:p w:rsidRPr="00AD06BC" w:rsidR="0022309E" w:rsidP="0022309E" w:rsidRDefault="0022309E" w14:paraId="661DA5CD" w14:textId="77777777">
      <w:pPr>
        <w:pStyle w:val="ListParagraph"/>
        <w:numPr>
          <w:ilvl w:val="0"/>
          <w:numId w:val="5"/>
        </w:numPr>
        <w:adjustRightInd w:val="0"/>
        <w:ind w:left="1080" w:hanging="720"/>
        <w:rPr>
          <w:bCs/>
          <w:sz w:val="24"/>
          <w:szCs w:val="24"/>
        </w:rPr>
      </w:pPr>
      <w:r w:rsidRPr="00AD06BC">
        <w:rPr>
          <w:bCs/>
          <w:sz w:val="24"/>
          <w:szCs w:val="24"/>
        </w:rPr>
        <w:t>UAS Flight Anomaly Reports</w:t>
      </w:r>
    </w:p>
    <w:p w:rsidRPr="00AD06BC" w:rsidR="0022309E" w:rsidP="0022309E" w:rsidRDefault="0022309E" w14:paraId="1A6EA58E" w14:textId="77777777">
      <w:pPr>
        <w:pStyle w:val="ListParagraph"/>
        <w:numPr>
          <w:ilvl w:val="0"/>
          <w:numId w:val="5"/>
        </w:numPr>
        <w:adjustRightInd w:val="0"/>
        <w:ind w:left="1080" w:hanging="720"/>
        <w:rPr>
          <w:bCs/>
          <w:sz w:val="24"/>
          <w:szCs w:val="24"/>
        </w:rPr>
      </w:pPr>
      <w:r w:rsidRPr="00AD06BC">
        <w:rPr>
          <w:bCs/>
          <w:sz w:val="24"/>
          <w:szCs w:val="24"/>
        </w:rPr>
        <w:t>UAS Test Data Reports</w:t>
      </w:r>
      <w:r w:rsidRPr="00AD06BC" w:rsidDel="00AB3599">
        <w:rPr>
          <w:bCs/>
          <w:sz w:val="24"/>
          <w:szCs w:val="24"/>
        </w:rPr>
        <w:t xml:space="preserve"> </w:t>
      </w:r>
    </w:p>
    <w:p w:rsidRPr="00AD06BC" w:rsidR="0022309E" w:rsidP="0022309E" w:rsidRDefault="0022309E" w14:paraId="21D20AA2" w14:textId="77777777">
      <w:pPr>
        <w:pStyle w:val="ListParagraph"/>
        <w:numPr>
          <w:ilvl w:val="0"/>
          <w:numId w:val="0"/>
        </w:numPr>
        <w:adjustRightInd w:val="0"/>
        <w:ind w:left="1080"/>
        <w:rPr>
          <w:bCs/>
          <w:sz w:val="24"/>
          <w:szCs w:val="24"/>
        </w:rPr>
      </w:pPr>
    </w:p>
    <w:p w:rsidRPr="00AD06BC" w:rsidR="0022309E" w:rsidP="0022309E" w:rsidRDefault="0022309E" w14:paraId="11EEBEB9" w14:textId="6CE4B9EC">
      <w:pPr>
        <w:adjustRightInd w:val="0"/>
        <w:rPr>
          <w:rFonts w:ascii="Times New Roman" w:hAnsi="Times New Roman"/>
          <w:szCs w:val="24"/>
        </w:rPr>
      </w:pPr>
      <w:r w:rsidRPr="00AD06BC">
        <w:rPr>
          <w:rFonts w:ascii="Times New Roman" w:hAnsi="Times New Roman"/>
          <w:bCs/>
          <w:szCs w:val="24"/>
        </w:rPr>
        <w:t xml:space="preserve">Third, there are societal and economic data submissions that will provide qualitative and quantitative data regarding the potential societal and economic impacts of participant UAS operations.  </w:t>
      </w:r>
      <w:r w:rsidRPr="00AD06BC">
        <w:rPr>
          <w:rFonts w:ascii="Times New Roman" w:hAnsi="Times New Roman"/>
          <w:szCs w:val="24"/>
        </w:rPr>
        <w:t xml:space="preserve">These are non-statistical reports that provide </w:t>
      </w:r>
      <w:r>
        <w:rPr>
          <w:rFonts w:ascii="Times New Roman" w:hAnsi="Times New Roman"/>
          <w:szCs w:val="24"/>
        </w:rPr>
        <w:t>insight into</w:t>
      </w:r>
      <w:r w:rsidRPr="00AD06BC">
        <w:rPr>
          <w:rFonts w:ascii="Times New Roman" w:hAnsi="Times New Roman"/>
          <w:szCs w:val="24"/>
        </w:rPr>
        <w:t xml:space="preserve"> the types of societal and economic benefits or </w:t>
      </w:r>
      <w:r>
        <w:rPr>
          <w:rFonts w:ascii="Times New Roman" w:hAnsi="Times New Roman"/>
          <w:szCs w:val="24"/>
        </w:rPr>
        <w:t>detriments</w:t>
      </w:r>
      <w:r w:rsidRPr="00AD06BC">
        <w:rPr>
          <w:rFonts w:ascii="Times New Roman" w:hAnsi="Times New Roman"/>
          <w:szCs w:val="24"/>
        </w:rPr>
        <w:t xml:space="preserve"> the</w:t>
      </w:r>
      <w:r>
        <w:rPr>
          <w:rFonts w:ascii="Times New Roman" w:hAnsi="Times New Roman"/>
          <w:szCs w:val="24"/>
        </w:rPr>
        <w:t xml:space="preserve"> participants’ UAS operations</w:t>
      </w:r>
      <w:r w:rsidRPr="00AD06BC">
        <w:rPr>
          <w:rFonts w:ascii="Times New Roman" w:hAnsi="Times New Roman"/>
          <w:szCs w:val="24"/>
        </w:rPr>
        <w:t xml:space="preserve"> are having on their communities</w:t>
      </w:r>
      <w:r>
        <w:rPr>
          <w:rFonts w:ascii="Times New Roman" w:hAnsi="Times New Roman"/>
          <w:szCs w:val="24"/>
        </w:rPr>
        <w:t xml:space="preserve"> and their business operations compared to non-UAS (legacy) operations</w:t>
      </w:r>
      <w:r w:rsidRPr="00AD06BC">
        <w:rPr>
          <w:rFonts w:ascii="Times New Roman" w:hAnsi="Times New Roman"/>
          <w:szCs w:val="24"/>
        </w:rPr>
        <w:t xml:space="preserve">. </w:t>
      </w:r>
      <w:r w:rsidRPr="00AD06BC">
        <w:rPr>
          <w:rFonts w:ascii="Times New Roman" w:hAnsi="Times New Roman"/>
          <w:bCs/>
          <w:szCs w:val="24"/>
        </w:rPr>
        <w:t xml:space="preserve">These submissions will help to </w:t>
      </w:r>
      <w:r w:rsidRPr="00AD06BC">
        <w:rPr>
          <w:rFonts w:ascii="Times New Roman" w:hAnsi="Times New Roman"/>
          <w:szCs w:val="24"/>
        </w:rPr>
        <w:t xml:space="preserve">inform FAA policy and decision-making toward integrating different types of operations into the NAS, and to inform discussions with the public on the potential benefits of using UAS. </w:t>
      </w:r>
      <w:r>
        <w:rPr>
          <w:rFonts w:ascii="Times New Roman" w:hAnsi="Times New Roman"/>
          <w:bCs/>
          <w:szCs w:val="24"/>
        </w:rPr>
        <w:t xml:space="preserve">The data will be supplied by the eight SLT governments in the BEYOND program, and the seven industry operators in the PSP program. </w:t>
      </w:r>
      <w:r w:rsidRPr="00AD06BC">
        <w:rPr>
          <w:rFonts w:ascii="Times New Roman" w:hAnsi="Times New Roman"/>
          <w:szCs w:val="24"/>
        </w:rPr>
        <w:t>The collection instrument</w:t>
      </w:r>
      <w:r w:rsidR="002E7579">
        <w:rPr>
          <w:rFonts w:ascii="Times New Roman" w:hAnsi="Times New Roman"/>
          <w:szCs w:val="24"/>
        </w:rPr>
        <w:t>s</w:t>
      </w:r>
      <w:r w:rsidRPr="00AD06BC">
        <w:rPr>
          <w:rFonts w:ascii="Times New Roman" w:hAnsi="Times New Roman"/>
          <w:szCs w:val="24"/>
        </w:rPr>
        <w:t xml:space="preserve"> include:</w:t>
      </w:r>
    </w:p>
    <w:p w:rsidR="0022309E" w:rsidP="0022309E" w:rsidRDefault="0022309E" w14:paraId="0F1778D5" w14:textId="77777777">
      <w:pPr>
        <w:pStyle w:val="ListParagraph"/>
        <w:numPr>
          <w:ilvl w:val="0"/>
          <w:numId w:val="5"/>
        </w:numPr>
        <w:adjustRightInd w:val="0"/>
        <w:ind w:left="1080" w:hanging="720"/>
        <w:rPr>
          <w:bCs/>
          <w:sz w:val="24"/>
          <w:szCs w:val="24"/>
        </w:rPr>
      </w:pPr>
      <w:r>
        <w:rPr>
          <w:bCs/>
          <w:sz w:val="24"/>
          <w:szCs w:val="24"/>
        </w:rPr>
        <w:lastRenderedPageBreak/>
        <w:t xml:space="preserve">Legacy </w:t>
      </w:r>
      <w:r w:rsidRPr="00AD06BC">
        <w:rPr>
          <w:bCs/>
          <w:sz w:val="24"/>
          <w:szCs w:val="24"/>
        </w:rPr>
        <w:t>Societal and Economic Data Reports</w:t>
      </w:r>
    </w:p>
    <w:p w:rsidRPr="00AD06BC" w:rsidR="0022309E" w:rsidP="0022309E" w:rsidRDefault="0022309E" w14:paraId="12832AA5" w14:textId="77777777">
      <w:pPr>
        <w:pStyle w:val="ListParagraph"/>
        <w:numPr>
          <w:ilvl w:val="0"/>
          <w:numId w:val="5"/>
        </w:numPr>
        <w:adjustRightInd w:val="0"/>
        <w:ind w:left="1080" w:hanging="720"/>
        <w:rPr>
          <w:bCs/>
          <w:sz w:val="24"/>
          <w:szCs w:val="24"/>
        </w:rPr>
      </w:pPr>
      <w:r>
        <w:rPr>
          <w:bCs/>
          <w:sz w:val="24"/>
          <w:szCs w:val="24"/>
        </w:rPr>
        <w:t>UAS Societal and Economic Data Reports</w:t>
      </w:r>
    </w:p>
    <w:p w:rsidRPr="00AD06BC" w:rsidR="0022309E" w:rsidP="0022309E" w:rsidRDefault="0022309E" w14:paraId="4D07B64F" w14:textId="77777777">
      <w:pPr>
        <w:pStyle w:val="ListParagraph"/>
        <w:numPr>
          <w:ilvl w:val="0"/>
          <w:numId w:val="0"/>
        </w:numPr>
        <w:adjustRightInd w:val="0"/>
        <w:ind w:left="1080"/>
        <w:rPr>
          <w:bCs/>
          <w:sz w:val="24"/>
          <w:szCs w:val="24"/>
        </w:rPr>
      </w:pPr>
    </w:p>
    <w:p w:rsidR="0022309E" w:rsidP="0022309E" w:rsidRDefault="0022309E" w14:paraId="3BE9E1A5" w14:textId="2ADCFFA9">
      <w:pPr>
        <w:adjustRightInd w:val="0"/>
        <w:rPr>
          <w:rFonts w:ascii="Times New Roman" w:hAnsi="Times New Roman"/>
          <w:szCs w:val="24"/>
        </w:rPr>
      </w:pPr>
      <w:r w:rsidRPr="00AD06BC">
        <w:rPr>
          <w:rFonts w:ascii="Times New Roman" w:hAnsi="Times New Roman"/>
          <w:szCs w:val="24"/>
        </w:rPr>
        <w:t xml:space="preserve">Fourth, there </w:t>
      </w:r>
      <w:r>
        <w:rPr>
          <w:rFonts w:ascii="Times New Roman" w:hAnsi="Times New Roman"/>
          <w:szCs w:val="24"/>
        </w:rPr>
        <w:t>is a community engagement component to the programs which includes two separate, but related, collections.  One of these is the</w:t>
      </w:r>
      <w:r w:rsidRPr="00AD06BC">
        <w:rPr>
          <w:rFonts w:ascii="Times New Roman" w:hAnsi="Times New Roman"/>
          <w:szCs w:val="24"/>
        </w:rPr>
        <w:t xml:space="preserve"> </w:t>
      </w:r>
      <w:r>
        <w:rPr>
          <w:rFonts w:ascii="Times New Roman" w:hAnsi="Times New Roman"/>
          <w:szCs w:val="24"/>
        </w:rPr>
        <w:t>reports</w:t>
      </w:r>
      <w:r w:rsidRPr="00AD06BC">
        <w:rPr>
          <w:rFonts w:ascii="Times New Roman" w:hAnsi="Times New Roman"/>
          <w:szCs w:val="24"/>
        </w:rPr>
        <w:t xml:space="preserve"> that will provide qualitative and quantitative data regarding </w:t>
      </w:r>
      <w:r>
        <w:rPr>
          <w:rFonts w:ascii="Times New Roman" w:hAnsi="Times New Roman"/>
          <w:szCs w:val="24"/>
        </w:rPr>
        <w:t xml:space="preserve">the </w:t>
      </w:r>
      <w:r w:rsidRPr="00AD06BC">
        <w:rPr>
          <w:rFonts w:ascii="Times New Roman" w:hAnsi="Times New Roman"/>
          <w:szCs w:val="24"/>
        </w:rPr>
        <w:t>participant</w:t>
      </w:r>
      <w:r>
        <w:rPr>
          <w:rFonts w:ascii="Times New Roman" w:hAnsi="Times New Roman"/>
          <w:szCs w:val="24"/>
        </w:rPr>
        <w:t>s’</w:t>
      </w:r>
      <w:r w:rsidRPr="00AD06BC">
        <w:rPr>
          <w:rFonts w:ascii="Times New Roman" w:hAnsi="Times New Roman"/>
          <w:szCs w:val="24"/>
        </w:rPr>
        <w:t xml:space="preserve"> community outreach activities, including the types of activities, </w:t>
      </w:r>
      <w:r>
        <w:rPr>
          <w:rFonts w:ascii="Times New Roman" w:hAnsi="Times New Roman"/>
          <w:szCs w:val="24"/>
        </w:rPr>
        <w:t>the targeted audiences</w:t>
      </w:r>
      <w:r w:rsidRPr="00AD06BC">
        <w:rPr>
          <w:rFonts w:ascii="Times New Roman" w:hAnsi="Times New Roman"/>
          <w:szCs w:val="24"/>
        </w:rPr>
        <w:t xml:space="preserve">, </w:t>
      </w:r>
      <w:r>
        <w:rPr>
          <w:rFonts w:ascii="Times New Roman" w:hAnsi="Times New Roman"/>
          <w:szCs w:val="24"/>
        </w:rPr>
        <w:t xml:space="preserve">and the </w:t>
      </w:r>
      <w:r w:rsidRPr="00AD06BC">
        <w:rPr>
          <w:rFonts w:ascii="Times New Roman" w:hAnsi="Times New Roman"/>
          <w:szCs w:val="24"/>
        </w:rPr>
        <w:t xml:space="preserve">types </w:t>
      </w:r>
      <w:r>
        <w:rPr>
          <w:rFonts w:ascii="Times New Roman" w:hAnsi="Times New Roman"/>
          <w:szCs w:val="24"/>
        </w:rPr>
        <w:t xml:space="preserve">and quantity </w:t>
      </w:r>
      <w:r w:rsidRPr="00AD06BC">
        <w:rPr>
          <w:rFonts w:ascii="Times New Roman" w:hAnsi="Times New Roman"/>
          <w:szCs w:val="24"/>
        </w:rPr>
        <w:t xml:space="preserve">of feedback received. </w:t>
      </w:r>
      <w:r>
        <w:rPr>
          <w:rFonts w:ascii="Times New Roman" w:hAnsi="Times New Roman"/>
          <w:szCs w:val="24"/>
        </w:rPr>
        <w:t xml:space="preserve">The reports will include any raw data collected using questionnaires or surveys. </w:t>
      </w:r>
      <w:r w:rsidRPr="00AD06BC">
        <w:rPr>
          <w:rFonts w:ascii="Times New Roman" w:hAnsi="Times New Roman"/>
          <w:szCs w:val="24"/>
        </w:rPr>
        <w:t xml:space="preserve">These submissions are not statistical in nature, but will provide valuable information to the FAA that will inform community engagement best practices and lessons learned which can be shared with the public. </w:t>
      </w:r>
      <w:r>
        <w:rPr>
          <w:rFonts w:ascii="Times New Roman" w:hAnsi="Times New Roman"/>
          <w:bCs/>
          <w:szCs w:val="24"/>
        </w:rPr>
        <w:t xml:space="preserve">The data will be supplied by the eight SLT governments in the BEYOND program, and the seven industry operators in the PSP program. </w:t>
      </w:r>
      <w:r w:rsidRPr="00AD06BC">
        <w:rPr>
          <w:rFonts w:ascii="Times New Roman" w:hAnsi="Times New Roman"/>
          <w:szCs w:val="24"/>
        </w:rPr>
        <w:t>The collection instruments will include:</w:t>
      </w:r>
    </w:p>
    <w:p w:rsidRPr="00AD06BC" w:rsidR="0022309E" w:rsidP="0022309E" w:rsidRDefault="0022309E" w14:paraId="7B48CB49" w14:textId="77777777">
      <w:pPr>
        <w:adjustRightInd w:val="0"/>
        <w:rPr>
          <w:rFonts w:ascii="Times New Roman" w:hAnsi="Times New Roman"/>
          <w:szCs w:val="24"/>
        </w:rPr>
      </w:pPr>
    </w:p>
    <w:p w:rsidRPr="00AD06BC" w:rsidR="0022309E" w:rsidP="0022309E" w:rsidRDefault="0022309E" w14:paraId="168254D4" w14:textId="77777777">
      <w:pPr>
        <w:pStyle w:val="ListParagraph"/>
        <w:numPr>
          <w:ilvl w:val="0"/>
          <w:numId w:val="5"/>
        </w:numPr>
        <w:adjustRightInd w:val="0"/>
        <w:ind w:left="1080" w:hanging="720"/>
        <w:rPr>
          <w:bCs/>
          <w:sz w:val="24"/>
          <w:szCs w:val="24"/>
        </w:rPr>
      </w:pPr>
      <w:r w:rsidRPr="00AD06BC">
        <w:rPr>
          <w:bCs/>
          <w:sz w:val="24"/>
          <w:szCs w:val="24"/>
        </w:rPr>
        <w:t>Community Engagement Reports</w:t>
      </w:r>
    </w:p>
    <w:p w:rsidRPr="00AD06BC" w:rsidR="0022309E" w:rsidP="0022309E" w:rsidRDefault="0022309E" w14:paraId="20FD1359" w14:textId="77777777">
      <w:pPr>
        <w:autoSpaceDE w:val="0"/>
        <w:autoSpaceDN w:val="0"/>
        <w:adjustRightInd w:val="0"/>
        <w:rPr>
          <w:rFonts w:ascii="Times New Roman" w:hAnsi="Times New Roman"/>
          <w:bCs/>
          <w:szCs w:val="24"/>
        </w:rPr>
      </w:pPr>
    </w:p>
    <w:p w:rsidR="0022309E" w:rsidP="0022309E" w:rsidRDefault="0022309E" w14:paraId="27DBF801" w14:textId="18DF3675">
      <w:pPr>
        <w:autoSpaceDE w:val="0"/>
        <w:autoSpaceDN w:val="0"/>
        <w:adjustRightInd w:val="0"/>
        <w:rPr>
          <w:rFonts w:ascii="Times New Roman" w:hAnsi="Times New Roman"/>
          <w:bCs/>
          <w:szCs w:val="24"/>
        </w:rPr>
      </w:pPr>
      <w:r>
        <w:rPr>
          <w:rFonts w:ascii="Times New Roman" w:hAnsi="Times New Roman"/>
          <w:bCs/>
          <w:szCs w:val="24"/>
        </w:rPr>
        <w:t>The other piece of the community engagement component is the</w:t>
      </w:r>
      <w:r w:rsidRPr="00AD06BC">
        <w:rPr>
          <w:rFonts w:ascii="Times New Roman" w:hAnsi="Times New Roman"/>
          <w:bCs/>
          <w:szCs w:val="24"/>
        </w:rPr>
        <w:t xml:space="preserve"> Community Engagement Tool</w:t>
      </w:r>
      <w:r>
        <w:rPr>
          <w:rFonts w:ascii="Times New Roman" w:hAnsi="Times New Roman"/>
          <w:bCs/>
          <w:szCs w:val="24"/>
        </w:rPr>
        <w:t>, which</w:t>
      </w:r>
      <w:r w:rsidRPr="00AD06BC">
        <w:rPr>
          <w:rFonts w:ascii="Times New Roman" w:hAnsi="Times New Roman"/>
          <w:bCs/>
          <w:szCs w:val="24"/>
        </w:rPr>
        <w:t xml:space="preserve"> will include </w:t>
      </w:r>
      <w:r>
        <w:rPr>
          <w:rFonts w:ascii="Times New Roman" w:hAnsi="Times New Roman"/>
          <w:bCs/>
          <w:szCs w:val="24"/>
        </w:rPr>
        <w:t xml:space="preserve">a </w:t>
      </w:r>
      <w:r w:rsidRPr="00AD06BC">
        <w:rPr>
          <w:rFonts w:ascii="Times New Roman" w:hAnsi="Times New Roman"/>
          <w:bCs/>
          <w:szCs w:val="24"/>
        </w:rPr>
        <w:t xml:space="preserve">potential burden on the general public. </w:t>
      </w:r>
      <w:r>
        <w:rPr>
          <w:rFonts w:ascii="Times New Roman" w:hAnsi="Times New Roman"/>
          <w:bCs/>
          <w:szCs w:val="24"/>
        </w:rPr>
        <w:t>The Community Engagement Tool</w:t>
      </w:r>
      <w:r w:rsidRPr="00AD06BC">
        <w:rPr>
          <w:rFonts w:ascii="Times New Roman" w:hAnsi="Times New Roman"/>
          <w:bCs/>
          <w:szCs w:val="24"/>
        </w:rPr>
        <w:t xml:space="preserve"> was developed by the FAA as an </w:t>
      </w:r>
      <w:r w:rsidRPr="00043EB3">
        <w:rPr>
          <w:rFonts w:ascii="Times New Roman" w:hAnsi="Times New Roman"/>
          <w:bCs/>
          <w:szCs w:val="24"/>
        </w:rPr>
        <w:t>optional</w:t>
      </w:r>
      <w:r w:rsidRPr="00AD06BC">
        <w:rPr>
          <w:rFonts w:ascii="Times New Roman" w:hAnsi="Times New Roman"/>
          <w:bCs/>
          <w:szCs w:val="24"/>
        </w:rPr>
        <w:t xml:space="preserve"> </w:t>
      </w:r>
      <w:r>
        <w:rPr>
          <w:rFonts w:ascii="Times New Roman" w:hAnsi="Times New Roman"/>
          <w:bCs/>
          <w:szCs w:val="24"/>
        </w:rPr>
        <w:t>aid</w:t>
      </w:r>
      <w:r w:rsidRPr="00AD06BC">
        <w:rPr>
          <w:rFonts w:ascii="Times New Roman" w:hAnsi="Times New Roman"/>
          <w:bCs/>
          <w:szCs w:val="24"/>
        </w:rPr>
        <w:t xml:space="preserve"> for program participants that includes general and operation-specific questions related to UAS operations. The BEYOND and PSP participants may </w:t>
      </w:r>
      <w:r>
        <w:rPr>
          <w:rFonts w:ascii="Times New Roman" w:hAnsi="Times New Roman"/>
          <w:bCs/>
          <w:szCs w:val="24"/>
        </w:rPr>
        <w:t xml:space="preserve">choose to </w:t>
      </w:r>
      <w:r w:rsidRPr="00AD06BC">
        <w:rPr>
          <w:rFonts w:ascii="Times New Roman" w:hAnsi="Times New Roman"/>
          <w:bCs/>
          <w:szCs w:val="24"/>
        </w:rPr>
        <w:t xml:space="preserve">use </w:t>
      </w:r>
      <w:r>
        <w:rPr>
          <w:rFonts w:ascii="Times New Roman" w:hAnsi="Times New Roman"/>
          <w:bCs/>
          <w:szCs w:val="24"/>
        </w:rPr>
        <w:t xml:space="preserve">any of the pertinent sample survey questions when </w:t>
      </w:r>
      <w:r w:rsidRPr="00AD06BC">
        <w:rPr>
          <w:rFonts w:ascii="Times New Roman" w:hAnsi="Times New Roman"/>
          <w:bCs/>
          <w:szCs w:val="24"/>
        </w:rPr>
        <w:t>develop</w:t>
      </w:r>
      <w:r>
        <w:rPr>
          <w:rFonts w:ascii="Times New Roman" w:hAnsi="Times New Roman"/>
          <w:bCs/>
          <w:szCs w:val="24"/>
        </w:rPr>
        <w:t>ing</w:t>
      </w:r>
      <w:r w:rsidRPr="00AD06BC">
        <w:rPr>
          <w:rFonts w:ascii="Times New Roman" w:hAnsi="Times New Roman"/>
          <w:bCs/>
          <w:szCs w:val="24"/>
        </w:rPr>
        <w:t xml:space="preserve"> their own questionnaires </w:t>
      </w:r>
      <w:r>
        <w:rPr>
          <w:rFonts w:ascii="Times New Roman" w:hAnsi="Times New Roman"/>
          <w:bCs/>
          <w:szCs w:val="24"/>
        </w:rPr>
        <w:t>to survey</w:t>
      </w:r>
      <w:r w:rsidRPr="00AD06BC">
        <w:rPr>
          <w:rFonts w:ascii="Times New Roman" w:hAnsi="Times New Roman"/>
          <w:bCs/>
          <w:szCs w:val="24"/>
        </w:rPr>
        <w:t xml:space="preserve"> the general public in their communities. The tool includes questions on general knowledge of UAS and sentiments toward potential benefits or drawbacks of UAS operations. The Community Engagement Tool is intended to help the </w:t>
      </w:r>
      <w:r>
        <w:rPr>
          <w:rFonts w:ascii="Times New Roman" w:hAnsi="Times New Roman"/>
          <w:bCs/>
          <w:szCs w:val="24"/>
        </w:rPr>
        <w:t>program</w:t>
      </w:r>
      <w:r w:rsidRPr="00AD06BC">
        <w:rPr>
          <w:rFonts w:ascii="Times New Roman" w:hAnsi="Times New Roman"/>
          <w:bCs/>
          <w:szCs w:val="24"/>
        </w:rPr>
        <w:t xml:space="preserve"> </w:t>
      </w:r>
      <w:r>
        <w:rPr>
          <w:rFonts w:ascii="Times New Roman" w:hAnsi="Times New Roman"/>
          <w:bCs/>
          <w:szCs w:val="24"/>
        </w:rPr>
        <w:t>p</w:t>
      </w:r>
      <w:r w:rsidRPr="00AD06BC">
        <w:rPr>
          <w:rFonts w:ascii="Times New Roman" w:hAnsi="Times New Roman"/>
          <w:bCs/>
          <w:szCs w:val="24"/>
        </w:rPr>
        <w:t xml:space="preserve">articipants develop simple questionnaires with no intended utility other than gaining insight </w:t>
      </w:r>
      <w:r>
        <w:rPr>
          <w:rFonts w:ascii="Times New Roman" w:hAnsi="Times New Roman"/>
          <w:bCs/>
          <w:szCs w:val="24"/>
        </w:rPr>
        <w:t xml:space="preserve">into the general public’s experience with, and opinions of, </w:t>
      </w:r>
      <w:r w:rsidRPr="00AD06BC">
        <w:rPr>
          <w:rFonts w:ascii="Times New Roman" w:hAnsi="Times New Roman"/>
          <w:bCs/>
          <w:szCs w:val="24"/>
        </w:rPr>
        <w:t xml:space="preserve">UAS operations. No statistical analysis or inference will be performed other than tabulation of responses. Results may be used to help develop lessons learned or best practices for </w:t>
      </w:r>
      <w:r>
        <w:rPr>
          <w:rFonts w:ascii="Times New Roman" w:hAnsi="Times New Roman"/>
          <w:bCs/>
          <w:szCs w:val="24"/>
        </w:rPr>
        <w:t xml:space="preserve">other UAS </w:t>
      </w:r>
      <w:r w:rsidRPr="00AD06BC">
        <w:rPr>
          <w:rFonts w:ascii="Times New Roman" w:hAnsi="Times New Roman"/>
          <w:bCs/>
          <w:szCs w:val="24"/>
        </w:rPr>
        <w:t>stakeholders pertaining to community engagement activities.</w:t>
      </w:r>
    </w:p>
    <w:p w:rsidR="0022309E" w:rsidP="0022309E" w:rsidRDefault="0022309E" w14:paraId="3CC5FA75" w14:textId="77777777">
      <w:pPr>
        <w:autoSpaceDE w:val="0"/>
        <w:autoSpaceDN w:val="0"/>
        <w:adjustRightInd w:val="0"/>
        <w:rPr>
          <w:rFonts w:ascii="Times New Roman" w:hAnsi="Times New Roman"/>
          <w:bCs/>
          <w:szCs w:val="24"/>
        </w:rPr>
      </w:pPr>
    </w:p>
    <w:p w:rsidRPr="00AD06BC" w:rsidR="0022309E" w:rsidP="0022309E" w:rsidRDefault="0022309E" w14:paraId="122627E8" w14:textId="77777777">
      <w:pPr>
        <w:pStyle w:val="ListParagraph"/>
        <w:numPr>
          <w:ilvl w:val="0"/>
          <w:numId w:val="5"/>
        </w:numPr>
        <w:adjustRightInd w:val="0"/>
        <w:ind w:left="1080" w:hanging="720"/>
        <w:rPr>
          <w:bCs/>
          <w:sz w:val="24"/>
          <w:szCs w:val="24"/>
        </w:rPr>
      </w:pPr>
      <w:r w:rsidRPr="00AD06BC">
        <w:rPr>
          <w:bCs/>
          <w:sz w:val="24"/>
          <w:szCs w:val="24"/>
        </w:rPr>
        <w:t>Community Engagement Tool</w:t>
      </w:r>
    </w:p>
    <w:p w:rsidR="0022309E" w:rsidP="0022309E" w:rsidRDefault="0022309E" w14:paraId="59A3B277" w14:textId="632013BB">
      <w:pPr>
        <w:autoSpaceDE w:val="0"/>
        <w:autoSpaceDN w:val="0"/>
        <w:adjustRightInd w:val="0"/>
        <w:rPr>
          <w:rFonts w:ascii="Times New Roman" w:hAnsi="Times New Roman"/>
          <w:bCs/>
          <w:szCs w:val="24"/>
        </w:rPr>
      </w:pPr>
    </w:p>
    <w:p w:rsidR="006131DA" w:rsidP="00BA3587" w:rsidRDefault="006131DA" w14:paraId="404A72F7" w14:textId="77777777">
      <w:pPr>
        <w:rPr>
          <w:b/>
          <w:sz w:val="22"/>
        </w:rPr>
      </w:pPr>
    </w:p>
    <w:p w:rsidR="00BA3587" w:rsidP="00BA3587" w:rsidRDefault="00BA3587" w14:paraId="03294494" w14:textId="77777777">
      <w:pPr>
        <w:rPr>
          <w:b/>
          <w:sz w:val="22"/>
        </w:rPr>
      </w:pPr>
      <w:r>
        <w:rPr>
          <w:b/>
          <w:sz w:val="22"/>
        </w:rPr>
        <w:t>1.  Describe the potential respondent universe.</w:t>
      </w:r>
    </w:p>
    <w:p w:rsidR="00520060" w:rsidP="00520060" w:rsidRDefault="00520060" w14:paraId="613882E2" w14:textId="77777777">
      <w:pPr>
        <w:rPr>
          <w:rFonts w:ascii="Times New Roman" w:hAnsi="Times New Roman"/>
          <w:szCs w:val="24"/>
        </w:rPr>
      </w:pPr>
    </w:p>
    <w:p w:rsidRPr="005B7A6C" w:rsidR="00EE6815" w:rsidP="00EE6815" w:rsidRDefault="00EE6815" w14:paraId="5001FCE2" w14:textId="77777777">
      <w:pPr>
        <w:rPr>
          <w:i/>
          <w:sz w:val="22"/>
        </w:rPr>
      </w:pPr>
      <w:r w:rsidRPr="005B7A6C">
        <w:rPr>
          <w:i/>
          <w:sz w:val="22"/>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EE6815" w:rsidP="00BA3587" w:rsidRDefault="00EE6815" w14:paraId="774F4057" w14:textId="4D6F5D45">
      <w:pPr>
        <w:rPr>
          <w:rFonts w:ascii="Times New Roman" w:hAnsi="Times New Roman"/>
          <w:szCs w:val="24"/>
        </w:rPr>
      </w:pPr>
    </w:p>
    <w:tbl>
      <w:tblPr>
        <w:tblW w:w="10710" w:type="dxa"/>
        <w:jc w:val="center"/>
        <w:tblLayout w:type="fixed"/>
        <w:tblLook w:val="04A0" w:firstRow="1" w:lastRow="0" w:firstColumn="1" w:lastColumn="0" w:noHBand="0" w:noVBand="1"/>
      </w:tblPr>
      <w:tblGrid>
        <w:gridCol w:w="1705"/>
        <w:gridCol w:w="2700"/>
        <w:gridCol w:w="1440"/>
        <w:gridCol w:w="1350"/>
        <w:gridCol w:w="1170"/>
        <w:gridCol w:w="1170"/>
        <w:gridCol w:w="1175"/>
      </w:tblGrid>
      <w:tr w:rsidRPr="009D1B3C" w:rsidR="009D1B3C" w:rsidTr="002C721A" w14:paraId="51BF643E" w14:textId="77777777">
        <w:trPr>
          <w:cantSplit/>
          <w:trHeight w:val="576"/>
          <w:tblHeader/>
          <w:jc w:val="center"/>
        </w:trPr>
        <w:tc>
          <w:tcPr>
            <w:tcW w:w="1705" w:type="dxa"/>
            <w:tcBorders>
              <w:top w:val="single" w:color="BFBFBF" w:sz="4" w:space="0"/>
              <w:left w:val="single" w:color="BFBFBF" w:sz="4" w:space="0"/>
              <w:bottom w:val="single" w:color="BFBFBF" w:sz="4" w:space="0"/>
              <w:right w:val="single" w:color="BFBFBF" w:sz="4" w:space="0"/>
            </w:tcBorders>
            <w:shd w:val="clear" w:color="000000" w:fill="A6A6A6"/>
            <w:hideMark/>
          </w:tcPr>
          <w:p w:rsidRPr="009D1B3C" w:rsidR="009D1B3C" w:rsidP="002C721A" w:rsidRDefault="009D1B3C" w14:paraId="112E6CD4" w14:textId="77777777">
            <w:pPr>
              <w:rPr>
                <w:rFonts w:asciiTheme="minorHAnsi" w:hAnsiTheme="minorHAnsi" w:cstheme="minorHAnsi"/>
                <w:b/>
                <w:bCs/>
                <w:color w:val="000000"/>
                <w:sz w:val="20"/>
              </w:rPr>
            </w:pPr>
            <w:r w:rsidRPr="009D1B3C">
              <w:rPr>
                <w:rFonts w:asciiTheme="minorHAnsi" w:hAnsiTheme="minorHAnsi" w:cstheme="minorHAnsi"/>
                <w:b/>
                <w:bCs/>
                <w:color w:val="000000"/>
                <w:sz w:val="20"/>
              </w:rPr>
              <w:t>Report/ Form</w:t>
            </w:r>
          </w:p>
        </w:tc>
        <w:tc>
          <w:tcPr>
            <w:tcW w:w="2700" w:type="dxa"/>
            <w:tcBorders>
              <w:top w:val="single" w:color="BFBFBF" w:sz="4" w:space="0"/>
              <w:left w:val="nil"/>
              <w:bottom w:val="single" w:color="BFBFBF" w:sz="4" w:space="0"/>
              <w:right w:val="single" w:color="BFBFBF" w:sz="4" w:space="0"/>
            </w:tcBorders>
            <w:shd w:val="clear" w:color="000000" w:fill="A6A6A6"/>
            <w:hideMark/>
          </w:tcPr>
          <w:p w:rsidRPr="009D1B3C" w:rsidR="009D1B3C" w:rsidP="002C721A" w:rsidRDefault="009D1B3C" w14:paraId="3D11B22B" w14:textId="77777777">
            <w:pPr>
              <w:rPr>
                <w:rFonts w:asciiTheme="minorHAnsi" w:hAnsiTheme="minorHAnsi" w:cstheme="minorHAnsi"/>
                <w:b/>
                <w:bCs/>
                <w:color w:val="000000"/>
                <w:sz w:val="20"/>
              </w:rPr>
            </w:pPr>
            <w:r w:rsidRPr="009D1B3C">
              <w:rPr>
                <w:rFonts w:asciiTheme="minorHAnsi" w:hAnsiTheme="minorHAnsi" w:cstheme="minorHAnsi"/>
                <w:b/>
                <w:bCs/>
                <w:color w:val="000000"/>
                <w:sz w:val="20"/>
              </w:rPr>
              <w:t>Affected Public</w:t>
            </w:r>
          </w:p>
        </w:tc>
        <w:tc>
          <w:tcPr>
            <w:tcW w:w="1440" w:type="dxa"/>
            <w:tcBorders>
              <w:top w:val="single" w:color="BFBFBF" w:sz="4" w:space="0"/>
              <w:left w:val="nil"/>
              <w:bottom w:val="single" w:color="BFBFBF" w:sz="4" w:space="0"/>
              <w:right w:val="single" w:color="BFBFBF" w:sz="4" w:space="0"/>
            </w:tcBorders>
            <w:shd w:val="clear" w:color="000000" w:fill="A6A6A6"/>
            <w:hideMark/>
          </w:tcPr>
          <w:p w:rsidRPr="009D1B3C" w:rsidR="009D1B3C" w:rsidP="002C721A" w:rsidRDefault="009D1B3C" w14:paraId="6AECFB74" w14:textId="77777777">
            <w:pPr>
              <w:rPr>
                <w:rFonts w:asciiTheme="minorHAnsi" w:hAnsiTheme="minorHAnsi" w:cstheme="minorHAnsi"/>
                <w:b/>
                <w:bCs/>
                <w:color w:val="000000"/>
                <w:sz w:val="20"/>
              </w:rPr>
            </w:pPr>
            <w:r w:rsidRPr="009D1B3C">
              <w:rPr>
                <w:rFonts w:asciiTheme="minorHAnsi" w:hAnsiTheme="minorHAnsi" w:cstheme="minorHAnsi"/>
                <w:b/>
                <w:bCs/>
                <w:color w:val="000000"/>
                <w:sz w:val="20"/>
              </w:rPr>
              <w:t>Frequency</w:t>
            </w:r>
          </w:p>
        </w:tc>
        <w:tc>
          <w:tcPr>
            <w:tcW w:w="1350" w:type="dxa"/>
            <w:tcBorders>
              <w:top w:val="single" w:color="BFBFBF" w:sz="4" w:space="0"/>
              <w:left w:val="nil"/>
              <w:bottom w:val="single" w:color="BFBFBF" w:sz="4" w:space="0"/>
              <w:right w:val="single" w:color="BFBFBF" w:sz="4" w:space="0"/>
            </w:tcBorders>
            <w:shd w:val="clear" w:color="000000" w:fill="A6A6A6"/>
            <w:hideMark/>
          </w:tcPr>
          <w:p w:rsidRPr="009D1B3C" w:rsidR="009D1B3C" w:rsidP="002C721A" w:rsidRDefault="009D1B3C" w14:paraId="20777732" w14:textId="77777777">
            <w:pPr>
              <w:rPr>
                <w:rFonts w:asciiTheme="minorHAnsi" w:hAnsiTheme="minorHAnsi" w:cstheme="minorHAnsi"/>
                <w:b/>
                <w:bCs/>
                <w:color w:val="000000"/>
                <w:sz w:val="20"/>
              </w:rPr>
            </w:pPr>
            <w:r w:rsidRPr="009D1B3C">
              <w:rPr>
                <w:rFonts w:asciiTheme="minorHAnsi" w:hAnsiTheme="minorHAnsi" w:cstheme="minorHAnsi"/>
                <w:b/>
                <w:bCs/>
                <w:color w:val="000000"/>
                <w:sz w:val="20"/>
              </w:rPr>
              <w:t>Number of Respondents</w:t>
            </w:r>
          </w:p>
        </w:tc>
        <w:tc>
          <w:tcPr>
            <w:tcW w:w="1170" w:type="dxa"/>
            <w:tcBorders>
              <w:top w:val="single" w:color="BFBFBF" w:sz="4" w:space="0"/>
              <w:left w:val="nil"/>
              <w:bottom w:val="single" w:color="BFBFBF" w:sz="4" w:space="0"/>
              <w:right w:val="single" w:color="BFBFBF" w:sz="4" w:space="0"/>
            </w:tcBorders>
            <w:shd w:val="clear" w:color="000000" w:fill="A6A6A6"/>
            <w:hideMark/>
          </w:tcPr>
          <w:p w:rsidRPr="009D1B3C" w:rsidR="009D1B3C" w:rsidP="002C721A" w:rsidRDefault="009D1B3C" w14:paraId="22247BED" w14:textId="77777777">
            <w:pPr>
              <w:rPr>
                <w:rFonts w:asciiTheme="minorHAnsi" w:hAnsiTheme="minorHAnsi" w:cstheme="minorHAnsi"/>
                <w:b/>
                <w:bCs/>
                <w:color w:val="000000"/>
                <w:sz w:val="20"/>
              </w:rPr>
            </w:pPr>
            <w:r w:rsidRPr="009D1B3C">
              <w:rPr>
                <w:rFonts w:asciiTheme="minorHAnsi" w:hAnsiTheme="minorHAnsi" w:cstheme="minorHAnsi"/>
                <w:b/>
                <w:bCs/>
                <w:color w:val="000000"/>
                <w:sz w:val="20"/>
              </w:rPr>
              <w:t>Total Number of Responses</w:t>
            </w:r>
          </w:p>
        </w:tc>
        <w:tc>
          <w:tcPr>
            <w:tcW w:w="1170" w:type="dxa"/>
            <w:tcBorders>
              <w:top w:val="single" w:color="BFBFBF" w:sz="4" w:space="0"/>
              <w:left w:val="nil"/>
              <w:bottom w:val="single" w:color="BFBFBF" w:sz="4" w:space="0"/>
              <w:right w:val="single" w:color="BFBFBF" w:sz="4" w:space="0"/>
            </w:tcBorders>
            <w:shd w:val="clear" w:color="000000" w:fill="A6A6A6"/>
            <w:hideMark/>
          </w:tcPr>
          <w:p w:rsidRPr="009D1B3C" w:rsidR="009D1B3C" w:rsidP="002C721A" w:rsidRDefault="009D1B3C" w14:paraId="6CB306DD" w14:textId="77777777">
            <w:pPr>
              <w:rPr>
                <w:rFonts w:asciiTheme="minorHAnsi" w:hAnsiTheme="minorHAnsi" w:cstheme="minorHAnsi"/>
                <w:b/>
                <w:bCs/>
                <w:color w:val="000000"/>
                <w:sz w:val="20"/>
              </w:rPr>
            </w:pPr>
            <w:r w:rsidRPr="009D1B3C">
              <w:rPr>
                <w:rFonts w:asciiTheme="minorHAnsi" w:hAnsiTheme="minorHAnsi" w:cstheme="minorHAnsi"/>
                <w:b/>
                <w:bCs/>
                <w:color w:val="000000"/>
                <w:sz w:val="20"/>
              </w:rPr>
              <w:t>Estimated Average Burden Per Response (hours)</w:t>
            </w:r>
          </w:p>
        </w:tc>
        <w:tc>
          <w:tcPr>
            <w:tcW w:w="1175" w:type="dxa"/>
            <w:tcBorders>
              <w:top w:val="single" w:color="BFBFBF" w:sz="4" w:space="0"/>
              <w:left w:val="nil"/>
              <w:bottom w:val="single" w:color="BFBFBF" w:sz="4" w:space="0"/>
              <w:right w:val="single" w:color="BFBFBF" w:sz="4" w:space="0"/>
            </w:tcBorders>
            <w:shd w:val="clear" w:color="000000" w:fill="A6A6A6"/>
            <w:hideMark/>
          </w:tcPr>
          <w:p w:rsidRPr="009D1B3C" w:rsidR="009D1B3C" w:rsidP="002C721A" w:rsidRDefault="009D1B3C" w14:paraId="2B1B4F56" w14:textId="77777777">
            <w:pPr>
              <w:rPr>
                <w:rFonts w:asciiTheme="minorHAnsi" w:hAnsiTheme="minorHAnsi" w:cstheme="minorHAnsi"/>
                <w:b/>
                <w:bCs/>
                <w:color w:val="000000"/>
                <w:sz w:val="20"/>
              </w:rPr>
            </w:pPr>
            <w:r w:rsidRPr="009D1B3C">
              <w:rPr>
                <w:rFonts w:asciiTheme="minorHAnsi" w:hAnsiTheme="minorHAnsi" w:cstheme="minorHAnsi"/>
                <w:b/>
                <w:bCs/>
                <w:color w:val="000000"/>
                <w:sz w:val="20"/>
              </w:rPr>
              <w:t>Estimated Total Annual Burden (hours)</w:t>
            </w:r>
          </w:p>
        </w:tc>
      </w:tr>
      <w:tr w:rsidRPr="009D1B3C" w:rsidR="009D1B3C" w:rsidTr="002C721A" w14:paraId="5418B3A3" w14:textId="77777777">
        <w:trPr>
          <w:cantSplit/>
          <w:trHeight w:val="144"/>
          <w:jc w:val="center"/>
        </w:trPr>
        <w:tc>
          <w:tcPr>
            <w:tcW w:w="10710" w:type="dxa"/>
            <w:gridSpan w:val="7"/>
            <w:tcBorders>
              <w:top w:val="single" w:color="BFBFBF" w:sz="4" w:space="0"/>
              <w:left w:val="single" w:color="BFBFBF" w:sz="4" w:space="0"/>
              <w:bottom w:val="single" w:color="BFBFBF" w:sz="4" w:space="0"/>
              <w:right w:val="single" w:color="BFBFBF" w:sz="4" w:space="0"/>
            </w:tcBorders>
            <w:shd w:val="clear" w:color="000000" w:fill="D9D9D9"/>
            <w:hideMark/>
          </w:tcPr>
          <w:p w:rsidRPr="009D1B3C" w:rsidR="009D1B3C" w:rsidP="002C721A" w:rsidRDefault="009D1B3C" w14:paraId="36757BBC" w14:textId="77777777">
            <w:pPr>
              <w:rPr>
                <w:rFonts w:asciiTheme="minorHAnsi" w:hAnsiTheme="minorHAnsi" w:cstheme="minorHAnsi"/>
                <w:b/>
                <w:bCs/>
                <w:color w:val="000000"/>
                <w:sz w:val="20"/>
              </w:rPr>
            </w:pPr>
            <w:r w:rsidRPr="009D1B3C">
              <w:rPr>
                <w:rFonts w:asciiTheme="minorHAnsi" w:hAnsiTheme="minorHAnsi" w:cstheme="minorHAnsi"/>
                <w:b/>
                <w:bCs/>
                <w:color w:val="000000"/>
                <w:sz w:val="20"/>
              </w:rPr>
              <w:t>Narrative Reports</w:t>
            </w:r>
          </w:p>
        </w:tc>
      </w:tr>
      <w:tr w:rsidRPr="009D1B3C" w:rsidR="009D1B3C" w:rsidTr="002C721A" w14:paraId="7C9F93AE" w14:textId="77777777">
        <w:trPr>
          <w:cantSplit/>
          <w:trHeight w:val="593"/>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9D1B3C" w:rsidR="009D1B3C" w:rsidP="002C721A" w:rsidRDefault="009D1B3C" w14:paraId="52B053F9" w14:textId="77777777">
            <w:pPr>
              <w:rPr>
                <w:rFonts w:asciiTheme="minorHAnsi" w:hAnsiTheme="minorHAnsi" w:cstheme="minorHAnsi"/>
                <w:color w:val="000000"/>
                <w:sz w:val="20"/>
              </w:rPr>
            </w:pPr>
            <w:r w:rsidRPr="009D1B3C">
              <w:rPr>
                <w:rFonts w:asciiTheme="minorHAnsi" w:hAnsiTheme="minorHAnsi" w:cstheme="minorHAnsi"/>
                <w:color w:val="000000"/>
                <w:sz w:val="20"/>
              </w:rPr>
              <w:t>PSP Quarterly Reports</w:t>
            </w:r>
          </w:p>
        </w:tc>
        <w:tc>
          <w:tcPr>
            <w:tcW w:w="270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5192568A" w14:textId="77777777">
            <w:pPr>
              <w:rPr>
                <w:rFonts w:asciiTheme="minorHAnsi" w:hAnsiTheme="minorHAnsi" w:cstheme="minorHAnsi"/>
                <w:color w:val="000000"/>
                <w:sz w:val="20"/>
              </w:rPr>
            </w:pPr>
            <w:r w:rsidRPr="009D1B3C">
              <w:rPr>
                <w:rFonts w:asciiTheme="minorHAnsi" w:hAnsiTheme="minorHAnsi" w:cstheme="minorHAnsi"/>
                <w:color w:val="000000"/>
                <w:sz w:val="20"/>
              </w:rPr>
              <w:t>Business or other for-profit, PSP participants only</w:t>
            </w:r>
          </w:p>
        </w:tc>
        <w:tc>
          <w:tcPr>
            <w:tcW w:w="144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760ED93A" w14:textId="77777777">
            <w:pPr>
              <w:rPr>
                <w:rFonts w:asciiTheme="minorHAnsi" w:hAnsiTheme="minorHAnsi" w:cstheme="minorHAnsi"/>
                <w:color w:val="000000"/>
                <w:sz w:val="20"/>
              </w:rPr>
            </w:pPr>
            <w:r w:rsidRPr="009D1B3C">
              <w:rPr>
                <w:rFonts w:asciiTheme="minorHAnsi" w:hAnsiTheme="minorHAnsi" w:cstheme="minorHAnsi"/>
                <w:color w:val="000000"/>
                <w:sz w:val="20"/>
              </w:rPr>
              <w:t>Quarterly</w:t>
            </w:r>
          </w:p>
        </w:tc>
        <w:tc>
          <w:tcPr>
            <w:tcW w:w="135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32B071E5"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7.00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360E205B"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28.00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56FC0572"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80.00</w:t>
            </w:r>
          </w:p>
        </w:tc>
        <w:tc>
          <w:tcPr>
            <w:tcW w:w="1175"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1D69BDB5"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2,240.00</w:t>
            </w:r>
          </w:p>
        </w:tc>
      </w:tr>
      <w:tr w:rsidRPr="009D1B3C" w:rsidR="009D1B3C" w:rsidTr="002C721A" w14:paraId="7956648D" w14:textId="77777777">
        <w:trPr>
          <w:cantSplit/>
          <w:trHeight w:val="576"/>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9D1B3C" w:rsidR="009D1B3C" w:rsidP="002C721A" w:rsidRDefault="009D1B3C" w14:paraId="10F16CA1" w14:textId="77777777">
            <w:pPr>
              <w:rPr>
                <w:rFonts w:asciiTheme="minorHAnsi" w:hAnsiTheme="minorHAnsi" w:cstheme="minorHAnsi"/>
                <w:color w:val="000000"/>
                <w:sz w:val="20"/>
              </w:rPr>
            </w:pPr>
            <w:r w:rsidRPr="009D1B3C">
              <w:rPr>
                <w:rFonts w:asciiTheme="minorHAnsi" w:hAnsiTheme="minorHAnsi" w:cstheme="minorHAnsi"/>
                <w:color w:val="000000"/>
                <w:sz w:val="20"/>
              </w:rPr>
              <w:lastRenderedPageBreak/>
              <w:t>BEYOND Semi-Annual Reports</w:t>
            </w:r>
          </w:p>
        </w:tc>
        <w:tc>
          <w:tcPr>
            <w:tcW w:w="270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18E11E0E" w14:textId="77777777">
            <w:pPr>
              <w:rPr>
                <w:rFonts w:asciiTheme="minorHAnsi" w:hAnsiTheme="minorHAnsi" w:cstheme="minorHAnsi"/>
                <w:color w:val="000000"/>
                <w:sz w:val="20"/>
              </w:rPr>
            </w:pPr>
            <w:r w:rsidRPr="009D1B3C">
              <w:rPr>
                <w:rFonts w:asciiTheme="minorHAnsi" w:hAnsiTheme="minorHAnsi" w:cstheme="minorHAnsi"/>
                <w:color w:val="000000"/>
                <w:sz w:val="20"/>
              </w:rPr>
              <w:t>State, Local or Tribal Government, BEYOND participants only</w:t>
            </w:r>
          </w:p>
        </w:tc>
        <w:tc>
          <w:tcPr>
            <w:tcW w:w="144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0F4AB018" w14:textId="77777777">
            <w:pPr>
              <w:rPr>
                <w:rFonts w:asciiTheme="minorHAnsi" w:hAnsiTheme="minorHAnsi" w:cstheme="minorHAnsi"/>
                <w:color w:val="000000"/>
                <w:sz w:val="20"/>
              </w:rPr>
            </w:pPr>
            <w:r w:rsidRPr="009D1B3C">
              <w:rPr>
                <w:rFonts w:asciiTheme="minorHAnsi" w:hAnsiTheme="minorHAnsi" w:cstheme="minorHAnsi"/>
                <w:color w:val="000000"/>
                <w:sz w:val="20"/>
              </w:rPr>
              <w:t>Semi-Annually</w:t>
            </w:r>
          </w:p>
        </w:tc>
        <w:tc>
          <w:tcPr>
            <w:tcW w:w="135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3F523441"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8.00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4FAB698B"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16.00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7DFCE1B8"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80.00</w:t>
            </w:r>
          </w:p>
        </w:tc>
        <w:tc>
          <w:tcPr>
            <w:tcW w:w="1175"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696C4315"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1,280.00</w:t>
            </w:r>
          </w:p>
        </w:tc>
      </w:tr>
      <w:tr w:rsidRPr="009D1B3C" w:rsidR="009D1B3C" w:rsidTr="002C721A" w14:paraId="698F585D" w14:textId="77777777">
        <w:trPr>
          <w:cantSplit/>
          <w:trHeight w:val="602"/>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9D1B3C" w:rsidR="009D1B3C" w:rsidP="002C721A" w:rsidRDefault="009D1B3C" w14:paraId="025C72F5" w14:textId="77777777">
            <w:pPr>
              <w:rPr>
                <w:rFonts w:asciiTheme="minorHAnsi" w:hAnsiTheme="minorHAnsi" w:cstheme="minorHAnsi"/>
                <w:color w:val="000000"/>
                <w:sz w:val="20"/>
              </w:rPr>
            </w:pPr>
            <w:r w:rsidRPr="009D1B3C">
              <w:rPr>
                <w:rFonts w:asciiTheme="minorHAnsi" w:hAnsiTheme="minorHAnsi" w:cstheme="minorHAnsi"/>
                <w:color w:val="000000"/>
                <w:sz w:val="20"/>
              </w:rPr>
              <w:t>PSP Final Reports</w:t>
            </w:r>
          </w:p>
        </w:tc>
        <w:tc>
          <w:tcPr>
            <w:tcW w:w="270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2FB2CCB0" w14:textId="77777777">
            <w:pPr>
              <w:rPr>
                <w:rFonts w:asciiTheme="minorHAnsi" w:hAnsiTheme="minorHAnsi" w:cstheme="minorHAnsi"/>
                <w:color w:val="000000"/>
                <w:sz w:val="20"/>
              </w:rPr>
            </w:pPr>
            <w:r w:rsidRPr="009D1B3C">
              <w:rPr>
                <w:rFonts w:asciiTheme="minorHAnsi" w:hAnsiTheme="minorHAnsi" w:cstheme="minorHAnsi"/>
                <w:color w:val="000000"/>
                <w:sz w:val="20"/>
              </w:rPr>
              <w:t>Business or other for-profit, PSP participants only</w:t>
            </w:r>
          </w:p>
        </w:tc>
        <w:tc>
          <w:tcPr>
            <w:tcW w:w="144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796351CE" w14:textId="77777777">
            <w:pPr>
              <w:rPr>
                <w:rFonts w:asciiTheme="minorHAnsi" w:hAnsiTheme="minorHAnsi" w:cstheme="minorHAnsi"/>
                <w:color w:val="000000"/>
                <w:sz w:val="20"/>
              </w:rPr>
            </w:pPr>
            <w:r w:rsidRPr="009D1B3C">
              <w:rPr>
                <w:rFonts w:asciiTheme="minorHAnsi" w:hAnsiTheme="minorHAnsi" w:cstheme="minorHAnsi"/>
                <w:color w:val="000000"/>
                <w:sz w:val="20"/>
              </w:rPr>
              <w:t>One-Time Submission</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724642D2"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7.00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C7E5D37"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2.33</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66CAC23F"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40.00</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B8ADEBB"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93.20</w:t>
            </w:r>
          </w:p>
        </w:tc>
      </w:tr>
      <w:tr w:rsidRPr="009D1B3C" w:rsidR="009D1B3C" w:rsidTr="002C721A" w14:paraId="3A1AFC77" w14:textId="77777777">
        <w:trPr>
          <w:cantSplit/>
          <w:trHeight w:val="864"/>
          <w:jc w:val="center"/>
        </w:trPr>
        <w:tc>
          <w:tcPr>
            <w:tcW w:w="1705" w:type="dxa"/>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3B3DDCF9" w14:textId="77777777">
            <w:pPr>
              <w:rPr>
                <w:rFonts w:asciiTheme="minorHAnsi" w:hAnsiTheme="minorHAnsi" w:cstheme="minorHAnsi"/>
                <w:color w:val="000000"/>
                <w:sz w:val="20"/>
              </w:rPr>
            </w:pPr>
            <w:r w:rsidRPr="009D1B3C">
              <w:rPr>
                <w:rFonts w:asciiTheme="minorHAnsi" w:hAnsiTheme="minorHAnsi" w:cstheme="minorHAnsi"/>
                <w:color w:val="000000"/>
                <w:sz w:val="20"/>
              </w:rPr>
              <w:t>BEYOND Final Reports</w:t>
            </w:r>
          </w:p>
        </w:tc>
        <w:tc>
          <w:tcPr>
            <w:tcW w:w="2700" w:type="dxa"/>
            <w:tcBorders>
              <w:top w:val="nil"/>
              <w:left w:val="nil"/>
              <w:bottom w:val="single" w:color="BFBFBF" w:sz="4" w:space="0"/>
              <w:right w:val="single" w:color="BFBFBF" w:sz="4" w:space="0"/>
            </w:tcBorders>
            <w:shd w:val="clear" w:color="auto" w:fill="auto"/>
          </w:tcPr>
          <w:p w:rsidRPr="009D1B3C" w:rsidR="009D1B3C" w:rsidP="002C721A" w:rsidRDefault="009D1B3C" w14:paraId="4F531998" w14:textId="77777777">
            <w:pPr>
              <w:rPr>
                <w:rFonts w:asciiTheme="minorHAnsi" w:hAnsiTheme="minorHAnsi" w:cstheme="minorHAnsi"/>
                <w:color w:val="000000"/>
                <w:sz w:val="20"/>
              </w:rPr>
            </w:pPr>
            <w:r w:rsidRPr="009D1B3C">
              <w:rPr>
                <w:rFonts w:asciiTheme="minorHAnsi" w:hAnsiTheme="minorHAnsi" w:cstheme="minorHAnsi"/>
                <w:color w:val="000000"/>
                <w:sz w:val="20"/>
              </w:rPr>
              <w:t>State, Local or Tribal Government, BEYOND participants only</w:t>
            </w:r>
          </w:p>
        </w:tc>
        <w:tc>
          <w:tcPr>
            <w:tcW w:w="1440" w:type="dxa"/>
            <w:tcBorders>
              <w:top w:val="nil"/>
              <w:left w:val="nil"/>
              <w:bottom w:val="single" w:color="BFBFBF" w:sz="4" w:space="0"/>
              <w:right w:val="single" w:color="BFBFBF" w:sz="4" w:space="0"/>
            </w:tcBorders>
            <w:shd w:val="clear" w:color="auto" w:fill="auto"/>
          </w:tcPr>
          <w:p w:rsidRPr="009D1B3C" w:rsidR="009D1B3C" w:rsidP="002C721A" w:rsidRDefault="009D1B3C" w14:paraId="4209AD97" w14:textId="77777777">
            <w:pPr>
              <w:rPr>
                <w:rFonts w:asciiTheme="minorHAnsi" w:hAnsiTheme="minorHAnsi" w:cstheme="minorHAnsi"/>
                <w:color w:val="000000"/>
                <w:sz w:val="20"/>
              </w:rPr>
            </w:pPr>
            <w:r w:rsidRPr="009D1B3C">
              <w:rPr>
                <w:rFonts w:asciiTheme="minorHAnsi" w:hAnsiTheme="minorHAnsi" w:cstheme="minorHAnsi"/>
                <w:color w:val="000000"/>
                <w:sz w:val="20"/>
              </w:rPr>
              <w:t>One-Time Submission</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8555DBD"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8.00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4DF9D401"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2.67</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4471AFC"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40.00</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36E2E940"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106.80</w:t>
            </w:r>
          </w:p>
        </w:tc>
      </w:tr>
      <w:tr w:rsidRPr="009D1B3C" w:rsidR="009D1B3C" w:rsidTr="002C721A" w14:paraId="7D0C0E76" w14:textId="77777777">
        <w:trPr>
          <w:cantSplit/>
          <w:trHeight w:val="576"/>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9D1B3C" w:rsidR="009D1B3C" w:rsidP="002C721A" w:rsidRDefault="009D1B3C" w14:paraId="38542E42" w14:textId="77777777">
            <w:pPr>
              <w:rPr>
                <w:rFonts w:asciiTheme="minorHAnsi" w:hAnsiTheme="minorHAnsi" w:cstheme="minorHAnsi"/>
                <w:color w:val="000000"/>
                <w:sz w:val="20"/>
              </w:rPr>
            </w:pPr>
            <w:r w:rsidRPr="009D1B3C">
              <w:rPr>
                <w:rFonts w:asciiTheme="minorHAnsi" w:hAnsiTheme="minorHAnsi" w:cstheme="minorHAnsi"/>
                <w:color w:val="000000"/>
                <w:sz w:val="20"/>
              </w:rPr>
              <w:t>BEYOND Program Withdrawal Reports</w:t>
            </w:r>
          </w:p>
        </w:tc>
        <w:tc>
          <w:tcPr>
            <w:tcW w:w="270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107F6954" w14:textId="77777777">
            <w:pPr>
              <w:rPr>
                <w:rFonts w:asciiTheme="minorHAnsi" w:hAnsiTheme="minorHAnsi" w:cstheme="minorHAnsi"/>
                <w:color w:val="000000"/>
                <w:sz w:val="20"/>
              </w:rPr>
            </w:pPr>
            <w:r w:rsidRPr="009D1B3C">
              <w:rPr>
                <w:rFonts w:asciiTheme="minorHAnsi" w:hAnsiTheme="minorHAnsi" w:cstheme="minorHAnsi"/>
                <w:color w:val="000000"/>
                <w:sz w:val="20"/>
              </w:rPr>
              <w:t>State, Local or Tribal Government, BEYOND participants only</w:t>
            </w:r>
          </w:p>
        </w:tc>
        <w:tc>
          <w:tcPr>
            <w:tcW w:w="144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02F87CB5" w14:textId="77777777">
            <w:pPr>
              <w:rPr>
                <w:rFonts w:asciiTheme="minorHAnsi" w:hAnsiTheme="minorHAnsi" w:cstheme="minorHAnsi"/>
                <w:color w:val="000000"/>
                <w:sz w:val="20"/>
              </w:rPr>
            </w:pPr>
            <w:r w:rsidRPr="009D1B3C">
              <w:rPr>
                <w:rFonts w:asciiTheme="minorHAnsi" w:hAnsiTheme="minorHAnsi" w:cstheme="minorHAnsi"/>
                <w:color w:val="000000"/>
                <w:sz w:val="20"/>
              </w:rPr>
              <w:t>One-Time Submission</w:t>
            </w:r>
          </w:p>
        </w:tc>
        <w:tc>
          <w:tcPr>
            <w:tcW w:w="135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11D4E048"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8.00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2EACEA4C"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2.67</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3AA542AC"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40.00</w:t>
            </w:r>
          </w:p>
        </w:tc>
        <w:tc>
          <w:tcPr>
            <w:tcW w:w="1175"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70FB8AE3"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106.80</w:t>
            </w:r>
          </w:p>
        </w:tc>
      </w:tr>
      <w:tr w:rsidRPr="009D1B3C" w:rsidR="009D1B3C" w:rsidTr="002C721A" w14:paraId="57BA044B" w14:textId="77777777">
        <w:trPr>
          <w:cantSplit/>
          <w:trHeight w:val="274"/>
          <w:jc w:val="center"/>
        </w:trPr>
        <w:tc>
          <w:tcPr>
            <w:tcW w:w="5845" w:type="dxa"/>
            <w:gridSpan w:val="3"/>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5293C990" w14:textId="77777777">
            <w:pPr>
              <w:rPr>
                <w:rFonts w:asciiTheme="minorHAnsi" w:hAnsiTheme="minorHAnsi" w:cstheme="minorHAnsi"/>
                <w:color w:val="000000"/>
                <w:sz w:val="20"/>
              </w:rPr>
            </w:pPr>
            <w:r w:rsidRPr="009D1B3C">
              <w:rPr>
                <w:rFonts w:asciiTheme="minorHAnsi" w:hAnsiTheme="minorHAnsi" w:cstheme="minorHAnsi"/>
                <w:color w:val="000000"/>
                <w:sz w:val="20"/>
              </w:rPr>
              <w:t>Narrative Reports Sub-Totals</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AA88D88"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38.00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7F4A4350"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51.67</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5F055B02"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74.06</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6B813ACF"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3826.80</w:t>
            </w:r>
          </w:p>
        </w:tc>
      </w:tr>
      <w:tr w:rsidRPr="009D1B3C" w:rsidR="009D1B3C" w:rsidTr="002C721A" w14:paraId="3AED7DA0" w14:textId="77777777">
        <w:trPr>
          <w:cantSplit/>
          <w:trHeight w:val="144"/>
          <w:jc w:val="center"/>
        </w:trPr>
        <w:tc>
          <w:tcPr>
            <w:tcW w:w="10710" w:type="dxa"/>
            <w:gridSpan w:val="7"/>
            <w:tcBorders>
              <w:top w:val="single" w:color="BFBFBF" w:sz="4" w:space="0"/>
              <w:left w:val="single" w:color="BFBFBF" w:sz="4" w:space="0"/>
              <w:bottom w:val="single" w:color="BFBFBF" w:sz="4" w:space="0"/>
              <w:right w:val="single" w:color="BFBFBF" w:sz="4" w:space="0"/>
            </w:tcBorders>
            <w:shd w:val="clear" w:color="000000" w:fill="D9D9D9"/>
            <w:hideMark/>
          </w:tcPr>
          <w:p w:rsidRPr="009D1B3C" w:rsidR="009D1B3C" w:rsidP="002C721A" w:rsidRDefault="009D1B3C" w14:paraId="16439D12" w14:textId="77777777">
            <w:pPr>
              <w:rPr>
                <w:rFonts w:asciiTheme="minorHAnsi" w:hAnsiTheme="minorHAnsi" w:cstheme="minorHAnsi"/>
                <w:b/>
                <w:bCs/>
                <w:color w:val="000000"/>
                <w:sz w:val="20"/>
              </w:rPr>
            </w:pPr>
            <w:r w:rsidRPr="009D1B3C">
              <w:rPr>
                <w:rFonts w:asciiTheme="minorHAnsi" w:hAnsiTheme="minorHAnsi" w:cstheme="minorHAnsi"/>
                <w:b/>
                <w:bCs/>
                <w:color w:val="000000"/>
                <w:sz w:val="20"/>
              </w:rPr>
              <w:t>Systems and Operations Data</w:t>
            </w:r>
          </w:p>
        </w:tc>
      </w:tr>
      <w:tr w:rsidRPr="009D1B3C" w:rsidR="009D1B3C" w:rsidTr="002C721A" w14:paraId="76300097" w14:textId="77777777">
        <w:trPr>
          <w:cantSplit/>
          <w:trHeight w:val="720"/>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9D1B3C" w:rsidR="009D1B3C" w:rsidP="002C721A" w:rsidRDefault="009D1B3C" w14:paraId="43F944E8" w14:textId="77777777">
            <w:pPr>
              <w:rPr>
                <w:rFonts w:asciiTheme="minorHAnsi" w:hAnsiTheme="minorHAnsi" w:cstheme="minorHAnsi"/>
                <w:color w:val="000000"/>
                <w:sz w:val="20"/>
              </w:rPr>
            </w:pPr>
            <w:r w:rsidRPr="009D1B3C">
              <w:rPr>
                <w:rFonts w:asciiTheme="minorHAnsi" w:hAnsiTheme="minorHAnsi" w:cstheme="minorHAnsi"/>
                <w:color w:val="000000"/>
                <w:sz w:val="20"/>
              </w:rPr>
              <w:t xml:space="preserve">UAS Monthly Operational Flight Reports </w:t>
            </w:r>
          </w:p>
        </w:tc>
        <w:tc>
          <w:tcPr>
            <w:tcW w:w="270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4CD553B1" w14:textId="77777777">
            <w:pPr>
              <w:rPr>
                <w:rFonts w:asciiTheme="minorHAnsi" w:hAnsiTheme="minorHAnsi" w:cstheme="minorHAnsi"/>
                <w:color w:val="000000"/>
                <w:sz w:val="20"/>
              </w:rPr>
            </w:pPr>
            <w:r w:rsidRPr="009D1B3C">
              <w:rPr>
                <w:rFonts w:asciiTheme="minorHAnsi" w:hAnsiTheme="minorHAnsi" w:cstheme="minorHAnsi"/>
                <w:color w:val="000000"/>
                <w:sz w:val="20"/>
              </w:rPr>
              <w:t>Business or other for-profit – PSP participants only, and State, Local or Tribal Government – BEYOND participants only</w:t>
            </w:r>
          </w:p>
        </w:tc>
        <w:tc>
          <w:tcPr>
            <w:tcW w:w="144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2EF89E38" w14:textId="77777777">
            <w:pPr>
              <w:rPr>
                <w:rFonts w:asciiTheme="minorHAnsi" w:hAnsiTheme="minorHAnsi" w:cstheme="minorHAnsi"/>
                <w:color w:val="000000"/>
                <w:sz w:val="20"/>
              </w:rPr>
            </w:pPr>
            <w:r w:rsidRPr="009D1B3C">
              <w:rPr>
                <w:rFonts w:asciiTheme="minorHAnsi" w:hAnsiTheme="minorHAnsi" w:cstheme="minorHAnsi"/>
                <w:color w:val="000000"/>
                <w:sz w:val="20"/>
              </w:rPr>
              <w:t>Monthly</w:t>
            </w:r>
          </w:p>
        </w:tc>
        <w:tc>
          <w:tcPr>
            <w:tcW w:w="135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12DA99EC"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15.00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674FA276"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180.00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75187DC1"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1.00</w:t>
            </w:r>
          </w:p>
        </w:tc>
        <w:tc>
          <w:tcPr>
            <w:tcW w:w="1175"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479D3CBD"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180.00</w:t>
            </w:r>
          </w:p>
        </w:tc>
      </w:tr>
      <w:tr w:rsidRPr="009D1B3C" w:rsidR="009D1B3C" w:rsidTr="002C721A" w14:paraId="6B010E01" w14:textId="77777777">
        <w:trPr>
          <w:cantSplit/>
          <w:trHeight w:val="720"/>
          <w:jc w:val="center"/>
        </w:trPr>
        <w:tc>
          <w:tcPr>
            <w:tcW w:w="1705" w:type="dxa"/>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2A938A35" w14:textId="77777777">
            <w:pPr>
              <w:rPr>
                <w:rFonts w:asciiTheme="minorHAnsi" w:hAnsiTheme="minorHAnsi" w:cstheme="minorHAnsi"/>
                <w:color w:val="000000"/>
                <w:sz w:val="20"/>
              </w:rPr>
            </w:pPr>
            <w:r w:rsidRPr="009D1B3C">
              <w:rPr>
                <w:rFonts w:asciiTheme="minorHAnsi" w:hAnsiTheme="minorHAnsi" w:cstheme="minorHAnsi"/>
                <w:color w:val="000000"/>
                <w:sz w:val="20"/>
              </w:rPr>
              <w:t>UAS Maintenance Reports</w:t>
            </w:r>
          </w:p>
        </w:tc>
        <w:tc>
          <w:tcPr>
            <w:tcW w:w="2700" w:type="dxa"/>
            <w:tcBorders>
              <w:top w:val="nil"/>
              <w:left w:val="nil"/>
              <w:bottom w:val="single" w:color="BFBFBF" w:sz="4" w:space="0"/>
              <w:right w:val="single" w:color="BFBFBF" w:sz="4" w:space="0"/>
            </w:tcBorders>
            <w:shd w:val="clear" w:color="auto" w:fill="auto"/>
          </w:tcPr>
          <w:p w:rsidRPr="009D1B3C" w:rsidR="009D1B3C" w:rsidP="002C721A" w:rsidRDefault="009D1B3C" w14:paraId="7929D5B6" w14:textId="77777777">
            <w:pPr>
              <w:rPr>
                <w:rFonts w:asciiTheme="minorHAnsi" w:hAnsiTheme="minorHAnsi" w:cstheme="minorHAnsi"/>
                <w:color w:val="000000"/>
                <w:sz w:val="20"/>
              </w:rPr>
            </w:pPr>
            <w:r w:rsidRPr="009D1B3C">
              <w:rPr>
                <w:rFonts w:asciiTheme="minorHAnsi" w:hAnsiTheme="minorHAnsi" w:cstheme="minorHAnsi"/>
                <w:color w:val="000000"/>
                <w:sz w:val="20"/>
              </w:rPr>
              <w:t>Business or other for-profit – PSP participants only, and State, Local or Tribal Government – BEYOND participants only</w:t>
            </w:r>
          </w:p>
        </w:tc>
        <w:tc>
          <w:tcPr>
            <w:tcW w:w="1440" w:type="dxa"/>
            <w:tcBorders>
              <w:top w:val="nil"/>
              <w:left w:val="nil"/>
              <w:bottom w:val="single" w:color="BFBFBF" w:sz="4" w:space="0"/>
              <w:right w:val="single" w:color="BFBFBF" w:sz="4" w:space="0"/>
            </w:tcBorders>
            <w:shd w:val="clear" w:color="auto" w:fill="auto"/>
          </w:tcPr>
          <w:p w:rsidRPr="009D1B3C" w:rsidR="009D1B3C" w:rsidP="002C721A" w:rsidRDefault="009D1B3C" w14:paraId="54F8ABBD" w14:textId="77777777">
            <w:pPr>
              <w:rPr>
                <w:rFonts w:asciiTheme="minorHAnsi" w:hAnsiTheme="minorHAnsi" w:cstheme="minorHAnsi"/>
                <w:color w:val="000000"/>
                <w:sz w:val="20"/>
              </w:rPr>
            </w:pPr>
            <w:r w:rsidRPr="009D1B3C">
              <w:rPr>
                <w:rFonts w:asciiTheme="minorHAnsi" w:hAnsiTheme="minorHAnsi" w:cstheme="minorHAnsi"/>
                <w:color w:val="000000"/>
                <w:sz w:val="20"/>
              </w:rPr>
              <w:t>Monthly</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62E15EFB"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15.00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7B059D8B"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180.00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2179DFF3"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1.00</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5B9129E5"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180.00</w:t>
            </w:r>
          </w:p>
        </w:tc>
      </w:tr>
      <w:tr w:rsidRPr="009D1B3C" w:rsidR="009D1B3C" w:rsidTr="002C721A" w14:paraId="16998447" w14:textId="77777777">
        <w:trPr>
          <w:cantSplit/>
          <w:trHeight w:val="1196"/>
          <w:jc w:val="center"/>
        </w:trPr>
        <w:tc>
          <w:tcPr>
            <w:tcW w:w="1705" w:type="dxa"/>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22833812" w14:textId="77777777">
            <w:pPr>
              <w:rPr>
                <w:rFonts w:asciiTheme="minorHAnsi" w:hAnsiTheme="minorHAnsi" w:cstheme="minorHAnsi"/>
                <w:color w:val="000000"/>
                <w:sz w:val="20"/>
              </w:rPr>
            </w:pPr>
            <w:r w:rsidRPr="009D1B3C">
              <w:rPr>
                <w:rFonts w:asciiTheme="minorHAnsi" w:hAnsiTheme="minorHAnsi" w:cstheme="minorHAnsi"/>
                <w:color w:val="000000"/>
                <w:sz w:val="20"/>
              </w:rPr>
              <w:t>UAS Test Data Reports (optional)</w:t>
            </w:r>
          </w:p>
        </w:tc>
        <w:tc>
          <w:tcPr>
            <w:tcW w:w="2700" w:type="dxa"/>
            <w:tcBorders>
              <w:top w:val="nil"/>
              <w:left w:val="nil"/>
              <w:bottom w:val="single" w:color="BFBFBF" w:sz="4" w:space="0"/>
              <w:right w:val="single" w:color="BFBFBF" w:sz="4" w:space="0"/>
            </w:tcBorders>
            <w:shd w:val="clear" w:color="auto" w:fill="auto"/>
          </w:tcPr>
          <w:p w:rsidRPr="009D1B3C" w:rsidR="009D1B3C" w:rsidP="002C721A" w:rsidRDefault="009D1B3C" w14:paraId="1F0AE02F" w14:textId="77777777">
            <w:pPr>
              <w:rPr>
                <w:rFonts w:asciiTheme="minorHAnsi" w:hAnsiTheme="minorHAnsi" w:cstheme="minorHAnsi"/>
                <w:color w:val="000000"/>
                <w:sz w:val="20"/>
              </w:rPr>
            </w:pPr>
            <w:r w:rsidRPr="009D1B3C">
              <w:rPr>
                <w:rFonts w:asciiTheme="minorHAnsi" w:hAnsiTheme="minorHAnsi" w:cstheme="minorHAnsi"/>
                <w:color w:val="000000"/>
                <w:sz w:val="20"/>
              </w:rPr>
              <w:t>Business or other for-profit – PSP participants only, and State, Local or Tribal Government – BEYOND participants only</w:t>
            </w:r>
          </w:p>
        </w:tc>
        <w:tc>
          <w:tcPr>
            <w:tcW w:w="1440" w:type="dxa"/>
            <w:tcBorders>
              <w:top w:val="nil"/>
              <w:left w:val="nil"/>
              <w:bottom w:val="single" w:color="BFBFBF" w:sz="4" w:space="0"/>
              <w:right w:val="single" w:color="BFBFBF" w:sz="4" w:space="0"/>
            </w:tcBorders>
            <w:shd w:val="clear" w:color="auto" w:fill="auto"/>
          </w:tcPr>
          <w:p w:rsidRPr="009D1B3C" w:rsidR="009D1B3C" w:rsidP="002C721A" w:rsidRDefault="009D1B3C" w14:paraId="7F473626" w14:textId="77777777">
            <w:pPr>
              <w:rPr>
                <w:rFonts w:asciiTheme="minorHAnsi" w:hAnsiTheme="minorHAnsi" w:cstheme="minorHAnsi"/>
                <w:color w:val="000000"/>
                <w:sz w:val="20"/>
              </w:rPr>
            </w:pPr>
            <w:r w:rsidRPr="009D1B3C">
              <w:rPr>
                <w:rFonts w:asciiTheme="minorHAnsi" w:hAnsiTheme="minorHAnsi" w:cstheme="minorHAnsi"/>
                <w:color w:val="000000"/>
                <w:sz w:val="20"/>
              </w:rPr>
              <w:t>Ad hoc</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69F55028"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15.00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310EE38"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15.00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3B8F8C19"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0.08</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CFE65F1"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1.25</w:t>
            </w:r>
          </w:p>
        </w:tc>
      </w:tr>
      <w:tr w:rsidRPr="009D1B3C" w:rsidR="009D1B3C" w:rsidTr="002C721A" w14:paraId="1FDF0F80" w14:textId="77777777">
        <w:trPr>
          <w:cantSplit/>
          <w:trHeight w:val="1196"/>
          <w:jc w:val="center"/>
        </w:trPr>
        <w:tc>
          <w:tcPr>
            <w:tcW w:w="1705" w:type="dxa"/>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1A745456" w14:textId="77777777">
            <w:pPr>
              <w:rPr>
                <w:rFonts w:asciiTheme="minorHAnsi" w:hAnsiTheme="minorHAnsi" w:cstheme="minorHAnsi"/>
                <w:color w:val="000000"/>
                <w:sz w:val="20"/>
              </w:rPr>
            </w:pPr>
            <w:r w:rsidRPr="009D1B3C">
              <w:rPr>
                <w:rFonts w:asciiTheme="minorHAnsi" w:hAnsiTheme="minorHAnsi" w:cstheme="minorHAnsi"/>
                <w:color w:val="000000"/>
                <w:sz w:val="20"/>
              </w:rPr>
              <w:t>UAS Anomaly Reports</w:t>
            </w:r>
          </w:p>
        </w:tc>
        <w:tc>
          <w:tcPr>
            <w:tcW w:w="2700" w:type="dxa"/>
            <w:tcBorders>
              <w:top w:val="nil"/>
              <w:left w:val="nil"/>
              <w:bottom w:val="single" w:color="BFBFBF" w:sz="4" w:space="0"/>
              <w:right w:val="single" w:color="BFBFBF" w:sz="4" w:space="0"/>
            </w:tcBorders>
            <w:shd w:val="clear" w:color="auto" w:fill="auto"/>
          </w:tcPr>
          <w:p w:rsidRPr="009D1B3C" w:rsidR="009D1B3C" w:rsidP="002C721A" w:rsidRDefault="009D1B3C" w14:paraId="7BD43816" w14:textId="77777777">
            <w:pPr>
              <w:rPr>
                <w:rFonts w:asciiTheme="minorHAnsi" w:hAnsiTheme="minorHAnsi" w:cstheme="minorHAnsi"/>
                <w:color w:val="000000"/>
                <w:sz w:val="20"/>
              </w:rPr>
            </w:pPr>
            <w:r w:rsidRPr="009D1B3C">
              <w:rPr>
                <w:rFonts w:asciiTheme="minorHAnsi" w:hAnsiTheme="minorHAnsi" w:cstheme="minorHAnsi"/>
                <w:color w:val="000000"/>
                <w:sz w:val="20"/>
              </w:rPr>
              <w:t>Business or other for-profit – PSP participants only, and State, Local or Tribal Government – BEYOND participants only</w:t>
            </w:r>
          </w:p>
        </w:tc>
        <w:tc>
          <w:tcPr>
            <w:tcW w:w="1440" w:type="dxa"/>
            <w:tcBorders>
              <w:top w:val="nil"/>
              <w:left w:val="nil"/>
              <w:bottom w:val="single" w:color="BFBFBF" w:sz="4" w:space="0"/>
              <w:right w:val="single" w:color="BFBFBF" w:sz="4" w:space="0"/>
            </w:tcBorders>
            <w:shd w:val="clear" w:color="auto" w:fill="auto"/>
          </w:tcPr>
          <w:p w:rsidRPr="009D1B3C" w:rsidR="009D1B3C" w:rsidP="002C721A" w:rsidRDefault="009D1B3C" w14:paraId="1778A3D3" w14:textId="77777777">
            <w:pPr>
              <w:rPr>
                <w:rFonts w:asciiTheme="minorHAnsi" w:hAnsiTheme="minorHAnsi" w:cstheme="minorHAnsi"/>
                <w:color w:val="000000"/>
                <w:sz w:val="20"/>
              </w:rPr>
            </w:pPr>
            <w:r w:rsidRPr="009D1B3C">
              <w:rPr>
                <w:rFonts w:asciiTheme="minorHAnsi" w:hAnsiTheme="minorHAnsi" w:cstheme="minorHAnsi"/>
                <w:color w:val="000000"/>
                <w:sz w:val="20"/>
              </w:rPr>
              <w:t>On Occasion – Assuming 10 annually per participant</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A3184A3"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15.00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28BA106C"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150.00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514C359"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1.00</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896E515"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150.00</w:t>
            </w:r>
          </w:p>
        </w:tc>
      </w:tr>
      <w:tr w:rsidRPr="009D1B3C" w:rsidR="009D1B3C" w:rsidTr="002C721A" w14:paraId="4C5A88D9" w14:textId="77777777">
        <w:trPr>
          <w:cantSplit/>
          <w:trHeight w:val="1196"/>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9D1B3C" w:rsidR="009D1B3C" w:rsidP="002C721A" w:rsidRDefault="009D1B3C" w14:paraId="4B62762B" w14:textId="77777777">
            <w:pPr>
              <w:rPr>
                <w:rFonts w:asciiTheme="minorHAnsi" w:hAnsiTheme="minorHAnsi" w:cstheme="minorHAnsi"/>
                <w:color w:val="000000"/>
                <w:sz w:val="20"/>
              </w:rPr>
            </w:pPr>
            <w:r w:rsidRPr="009D1B3C">
              <w:rPr>
                <w:rFonts w:asciiTheme="minorHAnsi" w:hAnsiTheme="minorHAnsi" w:cstheme="minorHAnsi"/>
                <w:color w:val="000000"/>
                <w:sz w:val="20"/>
              </w:rPr>
              <w:t>UAS Aircraft Characteristics Submissions</w:t>
            </w:r>
          </w:p>
        </w:tc>
        <w:tc>
          <w:tcPr>
            <w:tcW w:w="270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1B5C3334" w14:textId="77777777">
            <w:pPr>
              <w:rPr>
                <w:rFonts w:asciiTheme="minorHAnsi" w:hAnsiTheme="minorHAnsi" w:cstheme="minorHAnsi"/>
                <w:color w:val="000000"/>
                <w:sz w:val="20"/>
              </w:rPr>
            </w:pPr>
            <w:r w:rsidRPr="009D1B3C">
              <w:rPr>
                <w:rFonts w:asciiTheme="minorHAnsi" w:hAnsiTheme="minorHAnsi" w:cstheme="minorHAnsi"/>
                <w:color w:val="000000"/>
                <w:sz w:val="20"/>
              </w:rPr>
              <w:t>Business or other for-profit – PSP participants only, and State, Local or Tribal Government – BEYOND participants only</w:t>
            </w:r>
          </w:p>
        </w:tc>
        <w:tc>
          <w:tcPr>
            <w:tcW w:w="144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3B2514BA" w14:textId="77777777">
            <w:pPr>
              <w:rPr>
                <w:rFonts w:asciiTheme="minorHAnsi" w:hAnsiTheme="minorHAnsi" w:cstheme="minorHAnsi"/>
                <w:color w:val="000000"/>
                <w:sz w:val="20"/>
              </w:rPr>
            </w:pPr>
            <w:r w:rsidRPr="009D1B3C">
              <w:rPr>
                <w:rFonts w:asciiTheme="minorHAnsi" w:hAnsiTheme="minorHAnsi" w:cstheme="minorHAnsi"/>
                <w:color w:val="000000"/>
                <w:sz w:val="20"/>
              </w:rPr>
              <w:t>On Occasion – for each New Aircraft – Assuming average 25 annual submissions</w:t>
            </w:r>
          </w:p>
        </w:tc>
        <w:tc>
          <w:tcPr>
            <w:tcW w:w="135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1898FE50"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15.00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4060F544"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375.00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62AE0000"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0.20</w:t>
            </w:r>
          </w:p>
        </w:tc>
        <w:tc>
          <w:tcPr>
            <w:tcW w:w="1175"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4842F915"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75.00</w:t>
            </w:r>
          </w:p>
        </w:tc>
      </w:tr>
      <w:tr w:rsidRPr="009D1B3C" w:rsidR="009D1B3C" w:rsidTr="002C721A" w14:paraId="07AE1221" w14:textId="77777777">
        <w:trPr>
          <w:cantSplit/>
          <w:trHeight w:val="274"/>
          <w:jc w:val="center"/>
        </w:trPr>
        <w:tc>
          <w:tcPr>
            <w:tcW w:w="5845" w:type="dxa"/>
            <w:gridSpan w:val="3"/>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4840CE17" w14:textId="77777777">
            <w:pPr>
              <w:rPr>
                <w:rFonts w:asciiTheme="minorHAnsi" w:hAnsiTheme="minorHAnsi" w:cstheme="minorHAnsi"/>
                <w:color w:val="000000"/>
                <w:sz w:val="20"/>
              </w:rPr>
            </w:pPr>
            <w:r w:rsidRPr="009D1B3C">
              <w:rPr>
                <w:rFonts w:asciiTheme="minorHAnsi" w:hAnsiTheme="minorHAnsi" w:cstheme="minorHAnsi"/>
                <w:color w:val="000000"/>
                <w:sz w:val="20"/>
              </w:rPr>
              <w:t>Systems and Operations Data Sub-Totals</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792F195A"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75.00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1EEC7919"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900.00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70EE8108"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0.65</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8D8FEA7"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586.25</w:t>
            </w:r>
          </w:p>
        </w:tc>
      </w:tr>
      <w:tr w:rsidRPr="009D1B3C" w:rsidR="009D1B3C" w:rsidTr="002C721A" w14:paraId="0A2C40B0" w14:textId="77777777">
        <w:trPr>
          <w:cantSplit/>
          <w:trHeight w:val="278"/>
          <w:jc w:val="center"/>
        </w:trPr>
        <w:tc>
          <w:tcPr>
            <w:tcW w:w="10710" w:type="dxa"/>
            <w:gridSpan w:val="7"/>
            <w:tcBorders>
              <w:top w:val="nil"/>
              <w:left w:val="single" w:color="BFBFBF" w:sz="4" w:space="0"/>
              <w:bottom w:val="single" w:color="BFBFBF" w:sz="4" w:space="0"/>
              <w:right w:val="single" w:color="BFBFBF" w:sz="4" w:space="0"/>
            </w:tcBorders>
            <w:shd w:val="clear" w:color="auto" w:fill="D9D9D9" w:themeFill="background1" w:themeFillShade="D9"/>
            <w:hideMark/>
          </w:tcPr>
          <w:p w:rsidRPr="009D1B3C" w:rsidR="009D1B3C" w:rsidP="002C721A" w:rsidRDefault="009D1B3C" w14:paraId="3BFA3E13" w14:textId="77777777">
            <w:pPr>
              <w:rPr>
                <w:rFonts w:asciiTheme="minorHAnsi" w:hAnsiTheme="minorHAnsi" w:cstheme="minorHAnsi"/>
                <w:b/>
                <w:bCs/>
                <w:color w:val="000000"/>
                <w:sz w:val="20"/>
              </w:rPr>
            </w:pPr>
            <w:r w:rsidRPr="009D1B3C">
              <w:rPr>
                <w:rFonts w:asciiTheme="minorHAnsi" w:hAnsiTheme="minorHAnsi" w:cstheme="minorHAnsi"/>
                <w:b/>
                <w:bCs/>
                <w:color w:val="000000"/>
                <w:sz w:val="20"/>
              </w:rPr>
              <w:t>Societal and Economic Data</w:t>
            </w:r>
          </w:p>
        </w:tc>
      </w:tr>
      <w:tr w:rsidRPr="009D1B3C" w:rsidR="009D1B3C" w:rsidTr="002C721A" w14:paraId="763FEAA2" w14:textId="77777777">
        <w:trPr>
          <w:cantSplit/>
          <w:trHeight w:val="1008"/>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9D1B3C" w:rsidR="009D1B3C" w:rsidP="002C721A" w:rsidRDefault="009D1B3C" w14:paraId="5EBA54FC" w14:textId="77777777">
            <w:pPr>
              <w:rPr>
                <w:rFonts w:asciiTheme="minorHAnsi" w:hAnsiTheme="minorHAnsi" w:cstheme="minorHAnsi"/>
                <w:color w:val="000000"/>
                <w:sz w:val="20"/>
              </w:rPr>
            </w:pPr>
            <w:r w:rsidRPr="009D1B3C">
              <w:rPr>
                <w:rFonts w:asciiTheme="minorHAnsi" w:hAnsiTheme="minorHAnsi" w:cstheme="minorHAnsi"/>
                <w:color w:val="000000"/>
                <w:sz w:val="20"/>
              </w:rPr>
              <w:t>Legacy Societal and Economic Data Reports (PSP participants)</w:t>
            </w:r>
          </w:p>
        </w:tc>
        <w:tc>
          <w:tcPr>
            <w:tcW w:w="270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2D5B3877" w14:textId="77777777">
            <w:pPr>
              <w:rPr>
                <w:rFonts w:asciiTheme="minorHAnsi" w:hAnsiTheme="minorHAnsi" w:cstheme="minorHAnsi"/>
                <w:color w:val="000000"/>
                <w:sz w:val="20"/>
              </w:rPr>
            </w:pPr>
            <w:r w:rsidRPr="009D1B3C">
              <w:rPr>
                <w:rFonts w:asciiTheme="minorHAnsi" w:hAnsiTheme="minorHAnsi" w:cstheme="minorHAnsi"/>
                <w:color w:val="000000"/>
                <w:sz w:val="20"/>
              </w:rPr>
              <w:t xml:space="preserve">Business or other for-profit – PSP participants only </w:t>
            </w:r>
          </w:p>
        </w:tc>
        <w:tc>
          <w:tcPr>
            <w:tcW w:w="144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1F91FCCE" w14:textId="77777777">
            <w:pPr>
              <w:rPr>
                <w:rFonts w:asciiTheme="minorHAnsi" w:hAnsiTheme="minorHAnsi" w:cstheme="minorHAnsi"/>
                <w:color w:val="000000"/>
                <w:sz w:val="20"/>
              </w:rPr>
            </w:pPr>
            <w:r w:rsidRPr="009D1B3C">
              <w:rPr>
                <w:rFonts w:asciiTheme="minorHAnsi" w:hAnsiTheme="minorHAnsi" w:cstheme="minorHAnsi"/>
                <w:color w:val="000000"/>
                <w:sz w:val="20"/>
              </w:rPr>
              <w:t>Quarterly</w:t>
            </w:r>
          </w:p>
        </w:tc>
        <w:tc>
          <w:tcPr>
            <w:tcW w:w="135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3E9C40EE"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7.00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0B73B8FD"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28.00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718C832C"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1.00</w:t>
            </w:r>
          </w:p>
        </w:tc>
        <w:tc>
          <w:tcPr>
            <w:tcW w:w="1175"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369110D7"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28.00</w:t>
            </w:r>
          </w:p>
        </w:tc>
      </w:tr>
      <w:tr w:rsidRPr="009D1B3C" w:rsidR="009D1B3C" w:rsidTr="002C721A" w14:paraId="0E3FAE7B" w14:textId="77777777">
        <w:trPr>
          <w:cantSplit/>
          <w:trHeight w:val="1008"/>
          <w:jc w:val="center"/>
        </w:trPr>
        <w:tc>
          <w:tcPr>
            <w:tcW w:w="1705" w:type="dxa"/>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0D194396" w14:textId="77777777">
            <w:pPr>
              <w:rPr>
                <w:rFonts w:asciiTheme="minorHAnsi" w:hAnsiTheme="minorHAnsi" w:cstheme="minorHAnsi"/>
                <w:color w:val="000000"/>
                <w:sz w:val="20"/>
              </w:rPr>
            </w:pPr>
            <w:r w:rsidRPr="009D1B3C">
              <w:rPr>
                <w:rFonts w:asciiTheme="minorHAnsi" w:hAnsiTheme="minorHAnsi" w:cstheme="minorHAnsi"/>
                <w:color w:val="000000"/>
                <w:sz w:val="20"/>
              </w:rPr>
              <w:lastRenderedPageBreak/>
              <w:t>UAS Societal and Economic Data Reports (PSP participants)</w:t>
            </w:r>
          </w:p>
        </w:tc>
        <w:tc>
          <w:tcPr>
            <w:tcW w:w="2700" w:type="dxa"/>
            <w:tcBorders>
              <w:top w:val="nil"/>
              <w:left w:val="nil"/>
              <w:bottom w:val="single" w:color="BFBFBF" w:sz="4" w:space="0"/>
              <w:right w:val="single" w:color="BFBFBF" w:sz="4" w:space="0"/>
            </w:tcBorders>
            <w:shd w:val="clear" w:color="auto" w:fill="auto"/>
          </w:tcPr>
          <w:p w:rsidRPr="009D1B3C" w:rsidR="009D1B3C" w:rsidP="002C721A" w:rsidRDefault="009D1B3C" w14:paraId="1D42995A" w14:textId="77777777">
            <w:pPr>
              <w:rPr>
                <w:rFonts w:asciiTheme="minorHAnsi" w:hAnsiTheme="minorHAnsi" w:cstheme="minorHAnsi"/>
                <w:color w:val="000000"/>
                <w:sz w:val="20"/>
              </w:rPr>
            </w:pPr>
            <w:r w:rsidRPr="009D1B3C">
              <w:rPr>
                <w:rFonts w:asciiTheme="minorHAnsi" w:hAnsiTheme="minorHAnsi" w:cstheme="minorHAnsi"/>
                <w:color w:val="000000"/>
                <w:sz w:val="20"/>
              </w:rPr>
              <w:t xml:space="preserve">Business or other for-profit – PSP participants only </w:t>
            </w:r>
          </w:p>
        </w:tc>
        <w:tc>
          <w:tcPr>
            <w:tcW w:w="1440" w:type="dxa"/>
            <w:tcBorders>
              <w:top w:val="nil"/>
              <w:left w:val="nil"/>
              <w:bottom w:val="single" w:color="BFBFBF" w:sz="4" w:space="0"/>
              <w:right w:val="single" w:color="BFBFBF" w:sz="4" w:space="0"/>
            </w:tcBorders>
            <w:shd w:val="clear" w:color="auto" w:fill="auto"/>
          </w:tcPr>
          <w:p w:rsidRPr="009D1B3C" w:rsidR="009D1B3C" w:rsidP="002C721A" w:rsidRDefault="009D1B3C" w14:paraId="1F01CC97" w14:textId="77777777">
            <w:pPr>
              <w:rPr>
                <w:rFonts w:asciiTheme="minorHAnsi" w:hAnsiTheme="minorHAnsi" w:cstheme="minorHAnsi"/>
                <w:color w:val="000000"/>
                <w:sz w:val="20"/>
              </w:rPr>
            </w:pPr>
            <w:r w:rsidRPr="009D1B3C">
              <w:rPr>
                <w:rFonts w:asciiTheme="minorHAnsi" w:hAnsiTheme="minorHAnsi" w:cstheme="minorHAnsi"/>
                <w:color w:val="000000"/>
                <w:sz w:val="20"/>
              </w:rPr>
              <w:t>Quarterly</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23128DDB"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7.00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19D8CB99"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28.00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2D077989"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1.00</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12CE4527"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28.00</w:t>
            </w:r>
          </w:p>
        </w:tc>
      </w:tr>
      <w:tr w:rsidRPr="009D1B3C" w:rsidR="009D1B3C" w:rsidTr="002C721A" w14:paraId="26F503F3" w14:textId="77777777">
        <w:trPr>
          <w:cantSplit/>
          <w:trHeight w:val="1008"/>
          <w:jc w:val="center"/>
        </w:trPr>
        <w:tc>
          <w:tcPr>
            <w:tcW w:w="1705" w:type="dxa"/>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3C1558D6" w14:textId="77777777">
            <w:pPr>
              <w:rPr>
                <w:rFonts w:asciiTheme="minorHAnsi" w:hAnsiTheme="minorHAnsi" w:cstheme="minorHAnsi"/>
                <w:color w:val="000000"/>
                <w:sz w:val="20"/>
              </w:rPr>
            </w:pPr>
            <w:r w:rsidRPr="009D1B3C">
              <w:rPr>
                <w:rFonts w:asciiTheme="minorHAnsi" w:hAnsiTheme="minorHAnsi" w:cstheme="minorHAnsi"/>
                <w:color w:val="000000"/>
                <w:sz w:val="20"/>
              </w:rPr>
              <w:t>Legacy Societal and Economic Data Reports (BEYOND participants)</w:t>
            </w:r>
          </w:p>
        </w:tc>
        <w:tc>
          <w:tcPr>
            <w:tcW w:w="2700" w:type="dxa"/>
            <w:tcBorders>
              <w:top w:val="nil"/>
              <w:left w:val="nil"/>
              <w:bottom w:val="single" w:color="BFBFBF" w:sz="4" w:space="0"/>
              <w:right w:val="single" w:color="BFBFBF" w:sz="4" w:space="0"/>
            </w:tcBorders>
            <w:shd w:val="clear" w:color="auto" w:fill="auto"/>
          </w:tcPr>
          <w:p w:rsidRPr="009D1B3C" w:rsidR="009D1B3C" w:rsidP="002C721A" w:rsidRDefault="009D1B3C" w14:paraId="19FDCD68" w14:textId="77777777">
            <w:pPr>
              <w:rPr>
                <w:rFonts w:asciiTheme="minorHAnsi" w:hAnsiTheme="minorHAnsi" w:cstheme="minorHAnsi"/>
                <w:color w:val="000000"/>
                <w:sz w:val="20"/>
              </w:rPr>
            </w:pPr>
            <w:r w:rsidRPr="009D1B3C">
              <w:rPr>
                <w:rFonts w:asciiTheme="minorHAnsi" w:hAnsiTheme="minorHAnsi" w:cstheme="minorHAnsi"/>
                <w:color w:val="000000"/>
                <w:sz w:val="20"/>
              </w:rPr>
              <w:t>State, Local or Tribal Government – BEYOND participants only</w:t>
            </w:r>
          </w:p>
        </w:tc>
        <w:tc>
          <w:tcPr>
            <w:tcW w:w="1440" w:type="dxa"/>
            <w:tcBorders>
              <w:top w:val="nil"/>
              <w:left w:val="nil"/>
              <w:bottom w:val="single" w:color="BFBFBF" w:sz="4" w:space="0"/>
              <w:right w:val="single" w:color="BFBFBF" w:sz="4" w:space="0"/>
            </w:tcBorders>
            <w:shd w:val="clear" w:color="auto" w:fill="auto"/>
          </w:tcPr>
          <w:p w:rsidRPr="009D1B3C" w:rsidR="009D1B3C" w:rsidP="002C721A" w:rsidRDefault="009D1B3C" w14:paraId="38BDC315" w14:textId="77777777">
            <w:pPr>
              <w:rPr>
                <w:rFonts w:asciiTheme="minorHAnsi" w:hAnsiTheme="minorHAnsi" w:cstheme="minorHAnsi"/>
                <w:color w:val="000000"/>
                <w:sz w:val="20"/>
              </w:rPr>
            </w:pPr>
            <w:r w:rsidRPr="009D1B3C">
              <w:rPr>
                <w:rFonts w:asciiTheme="minorHAnsi" w:hAnsiTheme="minorHAnsi" w:cstheme="minorHAnsi"/>
                <w:color w:val="000000"/>
                <w:sz w:val="20"/>
              </w:rPr>
              <w:t>Semi-Annually</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62F1CE39"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8.00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7181597D"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16.00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A530920"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1.00</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2E91B5B7"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16.00</w:t>
            </w:r>
          </w:p>
        </w:tc>
      </w:tr>
      <w:tr w:rsidRPr="009D1B3C" w:rsidR="009D1B3C" w:rsidTr="002C721A" w14:paraId="561DF8FC" w14:textId="77777777">
        <w:trPr>
          <w:cantSplit/>
          <w:trHeight w:val="1008"/>
          <w:jc w:val="center"/>
        </w:trPr>
        <w:tc>
          <w:tcPr>
            <w:tcW w:w="1705" w:type="dxa"/>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20A54C48" w14:textId="77777777">
            <w:pPr>
              <w:rPr>
                <w:rFonts w:asciiTheme="minorHAnsi" w:hAnsiTheme="minorHAnsi" w:cstheme="minorHAnsi"/>
                <w:color w:val="000000"/>
                <w:sz w:val="20"/>
              </w:rPr>
            </w:pPr>
            <w:r w:rsidRPr="009D1B3C">
              <w:rPr>
                <w:rFonts w:asciiTheme="minorHAnsi" w:hAnsiTheme="minorHAnsi" w:cstheme="minorHAnsi"/>
                <w:color w:val="000000"/>
                <w:sz w:val="20"/>
              </w:rPr>
              <w:t>UAS Societal and Economic Data Reports (BEYOND participants)</w:t>
            </w:r>
          </w:p>
        </w:tc>
        <w:tc>
          <w:tcPr>
            <w:tcW w:w="2700" w:type="dxa"/>
            <w:tcBorders>
              <w:top w:val="nil"/>
              <w:left w:val="nil"/>
              <w:bottom w:val="single" w:color="BFBFBF" w:sz="4" w:space="0"/>
              <w:right w:val="single" w:color="BFBFBF" w:sz="4" w:space="0"/>
            </w:tcBorders>
            <w:shd w:val="clear" w:color="auto" w:fill="auto"/>
          </w:tcPr>
          <w:p w:rsidRPr="009D1B3C" w:rsidR="009D1B3C" w:rsidP="002C721A" w:rsidRDefault="009D1B3C" w14:paraId="006C392E" w14:textId="77777777">
            <w:pPr>
              <w:rPr>
                <w:rFonts w:asciiTheme="minorHAnsi" w:hAnsiTheme="minorHAnsi" w:cstheme="minorHAnsi"/>
                <w:color w:val="000000"/>
                <w:sz w:val="20"/>
              </w:rPr>
            </w:pPr>
            <w:r w:rsidRPr="009D1B3C">
              <w:rPr>
                <w:rFonts w:asciiTheme="minorHAnsi" w:hAnsiTheme="minorHAnsi" w:cstheme="minorHAnsi"/>
                <w:color w:val="000000"/>
                <w:sz w:val="20"/>
              </w:rPr>
              <w:t>State, Local or Tribal Government – BEYOND participants only</w:t>
            </w:r>
          </w:p>
        </w:tc>
        <w:tc>
          <w:tcPr>
            <w:tcW w:w="1440" w:type="dxa"/>
            <w:tcBorders>
              <w:top w:val="nil"/>
              <w:left w:val="nil"/>
              <w:bottom w:val="single" w:color="BFBFBF" w:sz="4" w:space="0"/>
              <w:right w:val="single" w:color="BFBFBF" w:sz="4" w:space="0"/>
            </w:tcBorders>
            <w:shd w:val="clear" w:color="auto" w:fill="auto"/>
          </w:tcPr>
          <w:p w:rsidRPr="009D1B3C" w:rsidR="009D1B3C" w:rsidP="002C721A" w:rsidRDefault="009D1B3C" w14:paraId="52DA5714" w14:textId="77777777">
            <w:pPr>
              <w:rPr>
                <w:rFonts w:asciiTheme="minorHAnsi" w:hAnsiTheme="minorHAnsi" w:cstheme="minorHAnsi"/>
                <w:color w:val="000000"/>
                <w:sz w:val="20"/>
              </w:rPr>
            </w:pPr>
            <w:r w:rsidRPr="009D1B3C">
              <w:rPr>
                <w:rFonts w:asciiTheme="minorHAnsi" w:hAnsiTheme="minorHAnsi" w:cstheme="minorHAnsi"/>
                <w:color w:val="000000"/>
                <w:sz w:val="20"/>
              </w:rPr>
              <w:t>Semi-Annually</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1D4B6B0B"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8.00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71563C97"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16.00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145F6485"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1.00</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2A9FF8F1"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16.00</w:t>
            </w:r>
          </w:p>
        </w:tc>
      </w:tr>
      <w:tr w:rsidRPr="009D1B3C" w:rsidR="009D1B3C" w:rsidTr="002C721A" w14:paraId="6EFB5AD3" w14:textId="77777777">
        <w:trPr>
          <w:cantSplit/>
          <w:trHeight w:val="274"/>
          <w:jc w:val="center"/>
        </w:trPr>
        <w:tc>
          <w:tcPr>
            <w:tcW w:w="5845" w:type="dxa"/>
            <w:gridSpan w:val="3"/>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56E5C7AB" w14:textId="77777777">
            <w:pPr>
              <w:rPr>
                <w:rFonts w:asciiTheme="minorHAnsi" w:hAnsiTheme="minorHAnsi" w:cstheme="minorHAnsi"/>
                <w:color w:val="000000"/>
                <w:sz w:val="20"/>
              </w:rPr>
            </w:pPr>
            <w:r w:rsidRPr="009D1B3C">
              <w:rPr>
                <w:rFonts w:asciiTheme="minorHAnsi" w:hAnsiTheme="minorHAnsi" w:cstheme="minorHAnsi"/>
                <w:color w:val="000000"/>
                <w:sz w:val="20"/>
              </w:rPr>
              <w:t>Societal and Economic Data Sub-Totals</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4829C915"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30.00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0613FBEE"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88.00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47B49002"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1.00</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75057F8E"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88.00</w:t>
            </w:r>
          </w:p>
        </w:tc>
      </w:tr>
      <w:tr w:rsidRPr="009D1B3C" w:rsidR="009D1B3C" w:rsidTr="002C721A" w14:paraId="75382C94" w14:textId="77777777">
        <w:trPr>
          <w:cantSplit/>
          <w:trHeight w:val="288"/>
          <w:jc w:val="center"/>
        </w:trPr>
        <w:tc>
          <w:tcPr>
            <w:tcW w:w="10710" w:type="dxa"/>
            <w:gridSpan w:val="7"/>
            <w:tcBorders>
              <w:top w:val="nil"/>
              <w:left w:val="single" w:color="BFBFBF" w:sz="4" w:space="0"/>
              <w:bottom w:val="single" w:color="BFBFBF" w:sz="4" w:space="0"/>
              <w:right w:val="single" w:color="BFBFBF" w:sz="4" w:space="0"/>
            </w:tcBorders>
            <w:shd w:val="clear" w:color="000000" w:fill="D9D9D9"/>
          </w:tcPr>
          <w:p w:rsidRPr="009D1B3C" w:rsidR="009D1B3C" w:rsidP="002C721A" w:rsidRDefault="009D1B3C" w14:paraId="3BD854C0" w14:textId="77777777">
            <w:pPr>
              <w:rPr>
                <w:rFonts w:asciiTheme="minorHAnsi" w:hAnsiTheme="minorHAnsi" w:cstheme="minorHAnsi"/>
                <w:b/>
                <w:bCs/>
                <w:color w:val="000000"/>
                <w:sz w:val="20"/>
              </w:rPr>
            </w:pPr>
            <w:r w:rsidRPr="009D1B3C">
              <w:rPr>
                <w:rFonts w:asciiTheme="minorHAnsi" w:hAnsiTheme="minorHAnsi" w:cstheme="minorHAnsi"/>
                <w:b/>
                <w:bCs/>
                <w:color w:val="000000"/>
                <w:sz w:val="20"/>
              </w:rPr>
              <w:t>Community Engagement</w:t>
            </w:r>
          </w:p>
        </w:tc>
      </w:tr>
      <w:tr w:rsidRPr="009D1B3C" w:rsidR="009D1B3C" w:rsidTr="002C721A" w14:paraId="0318F4B1" w14:textId="77777777">
        <w:trPr>
          <w:cantSplit/>
          <w:trHeight w:val="288"/>
          <w:jc w:val="center"/>
        </w:trPr>
        <w:tc>
          <w:tcPr>
            <w:tcW w:w="1705" w:type="dxa"/>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07131A03" w14:textId="77777777">
            <w:pPr>
              <w:rPr>
                <w:rFonts w:asciiTheme="minorHAnsi" w:hAnsiTheme="minorHAnsi" w:cstheme="minorHAnsi"/>
                <w:bCs/>
                <w:color w:val="000000"/>
                <w:sz w:val="20"/>
              </w:rPr>
            </w:pPr>
            <w:r w:rsidRPr="009D1B3C">
              <w:rPr>
                <w:rFonts w:asciiTheme="minorHAnsi" w:hAnsiTheme="minorHAnsi" w:cstheme="minorHAnsi"/>
                <w:bCs/>
                <w:color w:val="000000"/>
                <w:sz w:val="20"/>
              </w:rPr>
              <w:t>Community Engagement Data Reports (PSP participants)</w:t>
            </w:r>
          </w:p>
        </w:tc>
        <w:tc>
          <w:tcPr>
            <w:tcW w:w="2700" w:type="dxa"/>
            <w:tcBorders>
              <w:top w:val="nil"/>
              <w:left w:val="nil"/>
              <w:bottom w:val="single" w:color="BFBFBF" w:sz="4" w:space="0"/>
              <w:right w:val="single" w:color="BFBFBF" w:sz="4" w:space="0"/>
            </w:tcBorders>
            <w:shd w:val="clear" w:color="auto" w:fill="auto"/>
          </w:tcPr>
          <w:p w:rsidRPr="009D1B3C" w:rsidR="009D1B3C" w:rsidP="002C721A" w:rsidRDefault="009D1B3C" w14:paraId="02D99C77" w14:textId="77777777">
            <w:pPr>
              <w:rPr>
                <w:rFonts w:asciiTheme="minorHAnsi" w:hAnsiTheme="minorHAnsi" w:cstheme="minorHAnsi"/>
                <w:color w:val="000000"/>
                <w:sz w:val="20"/>
              </w:rPr>
            </w:pPr>
            <w:r w:rsidRPr="009D1B3C">
              <w:rPr>
                <w:rFonts w:asciiTheme="minorHAnsi" w:hAnsiTheme="minorHAnsi" w:cstheme="minorHAnsi"/>
                <w:color w:val="000000"/>
                <w:sz w:val="20"/>
              </w:rPr>
              <w:t xml:space="preserve">Business or other for-profit – PSP participants only </w:t>
            </w:r>
          </w:p>
        </w:tc>
        <w:tc>
          <w:tcPr>
            <w:tcW w:w="1440" w:type="dxa"/>
            <w:tcBorders>
              <w:top w:val="nil"/>
              <w:left w:val="nil"/>
              <w:bottom w:val="single" w:color="BFBFBF" w:sz="4" w:space="0"/>
              <w:right w:val="single" w:color="BFBFBF" w:sz="4" w:space="0"/>
            </w:tcBorders>
            <w:shd w:val="clear" w:color="auto" w:fill="auto"/>
          </w:tcPr>
          <w:p w:rsidRPr="009D1B3C" w:rsidR="009D1B3C" w:rsidP="002C721A" w:rsidRDefault="009D1B3C" w14:paraId="71543D9F" w14:textId="77777777">
            <w:pPr>
              <w:rPr>
                <w:rFonts w:asciiTheme="minorHAnsi" w:hAnsiTheme="minorHAnsi" w:cstheme="minorHAnsi"/>
                <w:color w:val="000000"/>
                <w:sz w:val="20"/>
              </w:rPr>
            </w:pPr>
            <w:r w:rsidRPr="009D1B3C">
              <w:rPr>
                <w:rFonts w:asciiTheme="minorHAnsi" w:hAnsiTheme="minorHAnsi" w:cstheme="minorHAnsi"/>
                <w:color w:val="000000"/>
                <w:sz w:val="20"/>
              </w:rPr>
              <w:t>Quarterly</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47CCE60A"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7.00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1AA1DFFB"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28.00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4F1A6B90"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2.00</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439D42D0"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56.00</w:t>
            </w:r>
          </w:p>
        </w:tc>
      </w:tr>
      <w:tr w:rsidRPr="009D1B3C" w:rsidR="009D1B3C" w:rsidTr="002C721A" w14:paraId="3B356E4C" w14:textId="77777777">
        <w:trPr>
          <w:cantSplit/>
          <w:trHeight w:val="288"/>
          <w:jc w:val="center"/>
        </w:trPr>
        <w:tc>
          <w:tcPr>
            <w:tcW w:w="1705" w:type="dxa"/>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6F6FD695" w14:textId="77777777">
            <w:pPr>
              <w:rPr>
                <w:rFonts w:asciiTheme="minorHAnsi" w:hAnsiTheme="minorHAnsi" w:cstheme="minorHAnsi"/>
                <w:bCs/>
                <w:color w:val="000000"/>
                <w:sz w:val="20"/>
              </w:rPr>
            </w:pPr>
            <w:r w:rsidRPr="009D1B3C">
              <w:rPr>
                <w:rFonts w:asciiTheme="minorHAnsi" w:hAnsiTheme="minorHAnsi" w:cstheme="minorHAnsi"/>
                <w:bCs/>
                <w:color w:val="000000"/>
                <w:sz w:val="20"/>
              </w:rPr>
              <w:t>Community Engagement Data Reports (BEYOND participants)</w:t>
            </w:r>
          </w:p>
        </w:tc>
        <w:tc>
          <w:tcPr>
            <w:tcW w:w="2700" w:type="dxa"/>
            <w:tcBorders>
              <w:top w:val="nil"/>
              <w:left w:val="nil"/>
              <w:bottom w:val="single" w:color="BFBFBF" w:sz="4" w:space="0"/>
              <w:right w:val="single" w:color="BFBFBF" w:sz="4" w:space="0"/>
            </w:tcBorders>
            <w:shd w:val="clear" w:color="auto" w:fill="auto"/>
          </w:tcPr>
          <w:p w:rsidRPr="009D1B3C" w:rsidR="009D1B3C" w:rsidP="002C721A" w:rsidRDefault="009D1B3C" w14:paraId="3087F962" w14:textId="77777777">
            <w:pPr>
              <w:rPr>
                <w:rFonts w:asciiTheme="minorHAnsi" w:hAnsiTheme="minorHAnsi" w:cstheme="minorHAnsi"/>
                <w:color w:val="000000"/>
                <w:sz w:val="20"/>
              </w:rPr>
            </w:pPr>
            <w:r w:rsidRPr="009D1B3C">
              <w:rPr>
                <w:rFonts w:asciiTheme="minorHAnsi" w:hAnsiTheme="minorHAnsi" w:cstheme="minorHAnsi"/>
                <w:color w:val="000000"/>
                <w:sz w:val="20"/>
              </w:rPr>
              <w:t>State, Local or Tribal Government – BEYOND participants only</w:t>
            </w:r>
          </w:p>
        </w:tc>
        <w:tc>
          <w:tcPr>
            <w:tcW w:w="1440" w:type="dxa"/>
            <w:tcBorders>
              <w:top w:val="nil"/>
              <w:left w:val="nil"/>
              <w:bottom w:val="single" w:color="BFBFBF" w:sz="4" w:space="0"/>
              <w:right w:val="single" w:color="BFBFBF" w:sz="4" w:space="0"/>
            </w:tcBorders>
            <w:shd w:val="clear" w:color="auto" w:fill="auto"/>
          </w:tcPr>
          <w:p w:rsidRPr="009D1B3C" w:rsidR="009D1B3C" w:rsidP="002C721A" w:rsidRDefault="009D1B3C" w14:paraId="6B76FAB1" w14:textId="77777777">
            <w:pPr>
              <w:rPr>
                <w:rFonts w:asciiTheme="minorHAnsi" w:hAnsiTheme="minorHAnsi" w:cstheme="minorHAnsi"/>
                <w:color w:val="000000"/>
                <w:sz w:val="20"/>
              </w:rPr>
            </w:pPr>
            <w:r w:rsidRPr="009D1B3C">
              <w:rPr>
                <w:rFonts w:asciiTheme="minorHAnsi" w:hAnsiTheme="minorHAnsi" w:cstheme="minorHAnsi"/>
                <w:color w:val="000000"/>
                <w:sz w:val="20"/>
              </w:rPr>
              <w:t>Semi-Annually</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4E7C4D30"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8.00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11AA1211"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16.00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4483D1AB"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2.00</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100F6F81"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32.00</w:t>
            </w:r>
          </w:p>
        </w:tc>
      </w:tr>
      <w:tr w:rsidRPr="009D1B3C" w:rsidR="009D1B3C" w:rsidTr="002C721A" w14:paraId="0DB8B8FE" w14:textId="77777777">
        <w:trPr>
          <w:cantSplit/>
          <w:trHeight w:val="288"/>
          <w:jc w:val="center"/>
        </w:trPr>
        <w:tc>
          <w:tcPr>
            <w:tcW w:w="1705" w:type="dxa"/>
            <w:tcBorders>
              <w:top w:val="nil"/>
              <w:left w:val="single" w:color="BFBFBF" w:sz="4" w:space="0"/>
              <w:bottom w:val="single" w:color="BFBFBF" w:sz="4" w:space="0"/>
              <w:right w:val="single" w:color="BFBFBF" w:sz="4" w:space="0"/>
            </w:tcBorders>
            <w:shd w:val="clear" w:color="auto" w:fill="auto"/>
            <w:hideMark/>
          </w:tcPr>
          <w:p w:rsidRPr="009D1B3C" w:rsidR="009D1B3C" w:rsidP="002C721A" w:rsidRDefault="009D1B3C" w14:paraId="0BD52990" w14:textId="77777777">
            <w:pPr>
              <w:rPr>
                <w:rFonts w:asciiTheme="minorHAnsi" w:hAnsiTheme="minorHAnsi" w:cstheme="minorHAnsi"/>
                <w:bCs/>
                <w:color w:val="000000"/>
                <w:sz w:val="20"/>
              </w:rPr>
            </w:pPr>
            <w:r w:rsidRPr="009D1B3C">
              <w:rPr>
                <w:rFonts w:asciiTheme="minorHAnsi" w:hAnsiTheme="minorHAnsi" w:cstheme="minorHAnsi"/>
                <w:bCs/>
                <w:color w:val="000000"/>
                <w:sz w:val="20"/>
              </w:rPr>
              <w:t>Community Engagement Tool (optional)</w:t>
            </w:r>
          </w:p>
        </w:tc>
        <w:tc>
          <w:tcPr>
            <w:tcW w:w="270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0BA82586" w14:textId="77777777">
            <w:pPr>
              <w:rPr>
                <w:rFonts w:asciiTheme="minorHAnsi" w:hAnsiTheme="minorHAnsi" w:cstheme="minorHAnsi"/>
                <w:color w:val="000000"/>
                <w:sz w:val="20"/>
              </w:rPr>
            </w:pPr>
            <w:r w:rsidRPr="009D1B3C">
              <w:rPr>
                <w:rFonts w:asciiTheme="minorHAnsi" w:hAnsiTheme="minorHAnsi" w:cstheme="minorHAnsi"/>
                <w:color w:val="000000"/>
                <w:sz w:val="20"/>
              </w:rPr>
              <w:t>Individuals or Households</w:t>
            </w:r>
          </w:p>
        </w:tc>
        <w:tc>
          <w:tcPr>
            <w:tcW w:w="1440" w:type="dxa"/>
            <w:tcBorders>
              <w:top w:val="nil"/>
              <w:left w:val="nil"/>
              <w:bottom w:val="single" w:color="BFBFBF" w:sz="4" w:space="0"/>
              <w:right w:val="single" w:color="BFBFBF" w:sz="4" w:space="0"/>
            </w:tcBorders>
            <w:shd w:val="clear" w:color="auto" w:fill="auto"/>
            <w:hideMark/>
          </w:tcPr>
          <w:p w:rsidRPr="009D1B3C" w:rsidR="009D1B3C" w:rsidP="002C721A" w:rsidRDefault="009D1B3C" w14:paraId="4CB43F99" w14:textId="77777777">
            <w:pPr>
              <w:rPr>
                <w:rFonts w:asciiTheme="minorHAnsi" w:hAnsiTheme="minorHAnsi" w:cstheme="minorHAnsi"/>
                <w:color w:val="000000"/>
                <w:sz w:val="20"/>
              </w:rPr>
            </w:pPr>
            <w:r w:rsidRPr="009D1B3C">
              <w:rPr>
                <w:rFonts w:asciiTheme="minorHAnsi" w:hAnsiTheme="minorHAnsi" w:cstheme="minorHAnsi"/>
                <w:color w:val="000000"/>
                <w:sz w:val="20"/>
              </w:rPr>
              <w:t>On Occasion</w:t>
            </w:r>
          </w:p>
        </w:tc>
        <w:tc>
          <w:tcPr>
            <w:tcW w:w="135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39F8BA15"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175,005.00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160787E1"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175,005.00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39F48AD2"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0.17</w:t>
            </w:r>
          </w:p>
        </w:tc>
        <w:tc>
          <w:tcPr>
            <w:tcW w:w="1175"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757E6A16"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29,167.00</w:t>
            </w:r>
          </w:p>
        </w:tc>
      </w:tr>
      <w:tr w:rsidRPr="009D1B3C" w:rsidR="009D1B3C" w:rsidTr="002C721A" w14:paraId="50E25BDA" w14:textId="77777777">
        <w:trPr>
          <w:cantSplit/>
          <w:trHeight w:val="274"/>
          <w:jc w:val="center"/>
        </w:trPr>
        <w:tc>
          <w:tcPr>
            <w:tcW w:w="5845" w:type="dxa"/>
            <w:gridSpan w:val="3"/>
            <w:tcBorders>
              <w:top w:val="nil"/>
              <w:left w:val="single" w:color="BFBFBF" w:sz="4" w:space="0"/>
              <w:bottom w:val="single" w:color="BFBFBF" w:sz="4" w:space="0"/>
              <w:right w:val="single" w:color="BFBFBF" w:sz="4" w:space="0"/>
            </w:tcBorders>
            <w:shd w:val="clear" w:color="auto" w:fill="auto"/>
          </w:tcPr>
          <w:p w:rsidRPr="009D1B3C" w:rsidR="009D1B3C" w:rsidP="002C721A" w:rsidRDefault="009D1B3C" w14:paraId="029DAA70" w14:textId="77777777">
            <w:pPr>
              <w:rPr>
                <w:rFonts w:asciiTheme="minorHAnsi" w:hAnsiTheme="minorHAnsi" w:cstheme="minorHAnsi"/>
                <w:color w:val="000000"/>
                <w:sz w:val="20"/>
              </w:rPr>
            </w:pPr>
            <w:r w:rsidRPr="009D1B3C">
              <w:rPr>
                <w:rFonts w:asciiTheme="minorHAnsi" w:hAnsiTheme="minorHAnsi" w:cstheme="minorHAnsi"/>
                <w:color w:val="000000"/>
                <w:sz w:val="20"/>
              </w:rPr>
              <w:t>Community Engagement Sub-Totals</w:t>
            </w:r>
          </w:p>
        </w:tc>
        <w:tc>
          <w:tcPr>
            <w:tcW w:w="135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75A04D12"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175,020.00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21B9A933"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175,049.00</w:t>
            </w:r>
          </w:p>
        </w:tc>
        <w:tc>
          <w:tcPr>
            <w:tcW w:w="1170" w:type="dxa"/>
            <w:tcBorders>
              <w:top w:val="nil"/>
              <w:left w:val="nil"/>
              <w:bottom w:val="single" w:color="BFBFBF" w:sz="4" w:space="0"/>
              <w:right w:val="single" w:color="BFBFBF" w:sz="4" w:space="0"/>
            </w:tcBorders>
            <w:shd w:val="clear" w:color="auto" w:fill="auto"/>
            <w:noWrap/>
          </w:tcPr>
          <w:p w:rsidRPr="009D1B3C" w:rsidR="009D1B3C" w:rsidP="002C721A" w:rsidRDefault="009D1B3C" w14:paraId="6A9CC518"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0.17</w:t>
            </w:r>
          </w:p>
        </w:tc>
        <w:tc>
          <w:tcPr>
            <w:tcW w:w="1175" w:type="dxa"/>
            <w:tcBorders>
              <w:top w:val="nil"/>
              <w:left w:val="nil"/>
              <w:bottom w:val="single" w:color="BFBFBF" w:sz="4" w:space="0"/>
              <w:right w:val="single" w:color="BFBFBF" w:sz="4" w:space="0"/>
            </w:tcBorders>
            <w:shd w:val="clear" w:color="auto" w:fill="auto"/>
            <w:noWrap/>
          </w:tcPr>
          <w:p w:rsidRPr="009D1B3C" w:rsidR="009D1B3C" w:rsidP="002C721A" w:rsidRDefault="009D1B3C" w14:paraId="1B421312" w14:textId="77777777">
            <w:pPr>
              <w:jc w:val="right"/>
              <w:rPr>
                <w:rFonts w:asciiTheme="minorHAnsi" w:hAnsiTheme="minorHAnsi" w:cstheme="minorHAnsi"/>
                <w:color w:val="000000"/>
                <w:sz w:val="20"/>
              </w:rPr>
            </w:pPr>
            <w:r w:rsidRPr="009D1B3C">
              <w:rPr>
                <w:rFonts w:asciiTheme="minorHAnsi" w:hAnsiTheme="minorHAnsi" w:cstheme="minorHAnsi"/>
                <w:color w:val="000000"/>
                <w:sz w:val="20"/>
              </w:rPr>
              <w:t>29,255.00</w:t>
            </w:r>
          </w:p>
        </w:tc>
      </w:tr>
      <w:tr w:rsidRPr="009D1B3C" w:rsidR="009D1B3C" w:rsidTr="002C721A" w14:paraId="55A34C17" w14:textId="77777777">
        <w:trPr>
          <w:cantSplit/>
          <w:trHeight w:val="144"/>
          <w:jc w:val="center"/>
        </w:trPr>
        <w:tc>
          <w:tcPr>
            <w:tcW w:w="5845" w:type="dxa"/>
            <w:gridSpan w:val="3"/>
            <w:tcBorders>
              <w:top w:val="single" w:color="BFBFBF" w:sz="4" w:space="0"/>
              <w:left w:val="single" w:color="BFBFBF" w:sz="4" w:space="0"/>
              <w:bottom w:val="single" w:color="BFBFBF" w:sz="4" w:space="0"/>
              <w:right w:val="single" w:color="BFBFBF" w:sz="4" w:space="0"/>
            </w:tcBorders>
            <w:shd w:val="clear" w:color="auto" w:fill="auto"/>
            <w:hideMark/>
          </w:tcPr>
          <w:p w:rsidRPr="009D1B3C" w:rsidR="009D1B3C" w:rsidP="002C721A" w:rsidRDefault="009D1B3C" w14:paraId="16EA8A85" w14:textId="77777777">
            <w:pPr>
              <w:jc w:val="right"/>
              <w:rPr>
                <w:rFonts w:asciiTheme="minorHAnsi" w:hAnsiTheme="minorHAnsi" w:cstheme="minorHAnsi"/>
                <w:b/>
                <w:bCs/>
                <w:color w:val="000000"/>
                <w:sz w:val="20"/>
              </w:rPr>
            </w:pPr>
            <w:r w:rsidRPr="009D1B3C">
              <w:rPr>
                <w:rFonts w:asciiTheme="minorHAnsi" w:hAnsiTheme="minorHAnsi" w:cstheme="minorHAnsi"/>
                <w:b/>
                <w:bCs/>
                <w:color w:val="000000"/>
                <w:sz w:val="20"/>
              </w:rPr>
              <w:t>Totals</w:t>
            </w:r>
          </w:p>
        </w:tc>
        <w:tc>
          <w:tcPr>
            <w:tcW w:w="135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3ED0DF5E" w14:textId="77777777">
            <w:pPr>
              <w:jc w:val="right"/>
              <w:rPr>
                <w:rFonts w:asciiTheme="minorHAnsi" w:hAnsiTheme="minorHAnsi" w:cstheme="minorHAnsi"/>
                <w:b/>
                <w:bCs/>
                <w:color w:val="000000"/>
                <w:sz w:val="20"/>
              </w:rPr>
            </w:pPr>
            <w:r w:rsidRPr="009D1B3C">
              <w:rPr>
                <w:rFonts w:asciiTheme="minorHAnsi" w:hAnsiTheme="minorHAnsi" w:cstheme="minorHAnsi"/>
                <w:b/>
                <w:bCs/>
                <w:color w:val="000000"/>
                <w:sz w:val="20"/>
              </w:rPr>
              <w:t>175,163.00</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6E15E4D3" w14:textId="77777777">
            <w:pPr>
              <w:jc w:val="right"/>
              <w:rPr>
                <w:rFonts w:asciiTheme="minorHAnsi" w:hAnsiTheme="minorHAnsi" w:cstheme="minorHAnsi"/>
                <w:b/>
                <w:bCs/>
                <w:color w:val="000000"/>
                <w:sz w:val="20"/>
              </w:rPr>
            </w:pPr>
            <w:r w:rsidRPr="009D1B3C">
              <w:rPr>
                <w:rFonts w:asciiTheme="minorHAnsi" w:hAnsiTheme="minorHAnsi" w:cstheme="minorHAnsi"/>
                <w:b/>
                <w:bCs/>
                <w:color w:val="000000"/>
                <w:sz w:val="20"/>
              </w:rPr>
              <w:t>176,088.67</w:t>
            </w:r>
          </w:p>
        </w:tc>
        <w:tc>
          <w:tcPr>
            <w:tcW w:w="1170"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58F85E06" w14:textId="77777777">
            <w:pPr>
              <w:jc w:val="right"/>
              <w:rPr>
                <w:rFonts w:asciiTheme="minorHAnsi" w:hAnsiTheme="minorHAnsi" w:cstheme="minorHAnsi"/>
                <w:b/>
                <w:bCs/>
                <w:color w:val="000000"/>
                <w:sz w:val="20"/>
              </w:rPr>
            </w:pPr>
            <w:r w:rsidRPr="009D1B3C">
              <w:rPr>
                <w:rFonts w:asciiTheme="minorHAnsi" w:hAnsiTheme="minorHAnsi" w:cstheme="minorHAnsi"/>
                <w:b/>
                <w:bCs/>
                <w:color w:val="000000"/>
                <w:sz w:val="20"/>
              </w:rPr>
              <w:t>0.19</w:t>
            </w:r>
          </w:p>
        </w:tc>
        <w:tc>
          <w:tcPr>
            <w:tcW w:w="1175" w:type="dxa"/>
            <w:tcBorders>
              <w:top w:val="nil"/>
              <w:left w:val="nil"/>
              <w:bottom w:val="single" w:color="BFBFBF" w:sz="4" w:space="0"/>
              <w:right w:val="single" w:color="BFBFBF" w:sz="4" w:space="0"/>
            </w:tcBorders>
            <w:shd w:val="clear" w:color="auto" w:fill="auto"/>
            <w:noWrap/>
            <w:hideMark/>
          </w:tcPr>
          <w:p w:rsidRPr="009D1B3C" w:rsidR="009D1B3C" w:rsidP="002C721A" w:rsidRDefault="009D1B3C" w14:paraId="4B3BF142" w14:textId="77777777">
            <w:pPr>
              <w:jc w:val="right"/>
              <w:rPr>
                <w:rFonts w:asciiTheme="minorHAnsi" w:hAnsiTheme="minorHAnsi" w:cstheme="minorHAnsi"/>
                <w:b/>
                <w:bCs/>
                <w:color w:val="000000"/>
                <w:sz w:val="20"/>
              </w:rPr>
            </w:pPr>
            <w:r w:rsidRPr="009D1B3C">
              <w:rPr>
                <w:rFonts w:asciiTheme="minorHAnsi" w:hAnsiTheme="minorHAnsi" w:cstheme="minorHAnsi"/>
                <w:b/>
                <w:bCs/>
                <w:color w:val="000000"/>
                <w:sz w:val="20"/>
              </w:rPr>
              <w:t>33,756.05</w:t>
            </w:r>
          </w:p>
        </w:tc>
      </w:tr>
    </w:tbl>
    <w:p w:rsidR="00B83D66" w:rsidP="00BA3587" w:rsidRDefault="00B83D66" w14:paraId="445A110F" w14:textId="035DC09C">
      <w:pPr>
        <w:rPr>
          <w:rFonts w:ascii="Times New Roman" w:hAnsi="Times New Roman"/>
          <w:szCs w:val="24"/>
        </w:rPr>
      </w:pPr>
    </w:p>
    <w:p w:rsidR="009D1B3C" w:rsidP="00BA3587" w:rsidRDefault="009D1B3C" w14:paraId="3EB2C83C" w14:textId="77777777">
      <w:pPr>
        <w:rPr>
          <w:rFonts w:ascii="Times New Roman" w:hAnsi="Times New Roman"/>
          <w:szCs w:val="24"/>
        </w:rPr>
      </w:pPr>
    </w:p>
    <w:p w:rsidR="00B954B2" w:rsidP="00BA3587" w:rsidRDefault="00B954B2" w14:paraId="6DB63559" w14:textId="33861751">
      <w:pPr>
        <w:rPr>
          <w:rFonts w:ascii="Times New Roman" w:hAnsi="Times New Roman"/>
          <w:szCs w:val="24"/>
        </w:rPr>
      </w:pPr>
      <w:r>
        <w:rPr>
          <w:rFonts w:ascii="Times New Roman" w:hAnsi="Times New Roman"/>
          <w:szCs w:val="24"/>
        </w:rPr>
        <w:t xml:space="preserve">For collection instruments one (1) through 13, the respondents will include the eight (8) BEYOND state, local and tribal government lead participants and/or the seven (7) PSP industry participants. We expect all of the participants to submit the data based upon the </w:t>
      </w:r>
      <w:r w:rsidR="00B83D66">
        <w:rPr>
          <w:rFonts w:ascii="Times New Roman" w:hAnsi="Times New Roman"/>
          <w:szCs w:val="24"/>
        </w:rPr>
        <w:t xml:space="preserve">reporting frequencies described in the chart above.  None of these data collections are meant to be statistical in nature, but to </w:t>
      </w:r>
      <w:r w:rsidR="00220523">
        <w:rPr>
          <w:rFonts w:ascii="Times New Roman" w:hAnsi="Times New Roman"/>
          <w:szCs w:val="24"/>
        </w:rPr>
        <w:t>be</w:t>
      </w:r>
      <w:r w:rsidR="00B83D66">
        <w:rPr>
          <w:rFonts w:ascii="Times New Roman" w:hAnsi="Times New Roman"/>
          <w:szCs w:val="24"/>
        </w:rPr>
        <w:t xml:space="preserve"> specific to the aircraft and operations for each </w:t>
      </w:r>
      <w:r w:rsidR="00522BBC">
        <w:rPr>
          <w:rFonts w:ascii="Times New Roman" w:hAnsi="Times New Roman"/>
          <w:szCs w:val="24"/>
        </w:rPr>
        <w:t>participant</w:t>
      </w:r>
      <w:r w:rsidR="00B83D66">
        <w:rPr>
          <w:rFonts w:ascii="Times New Roman" w:hAnsi="Times New Roman"/>
          <w:szCs w:val="24"/>
        </w:rPr>
        <w:t>. The data will be aggrega</w:t>
      </w:r>
      <w:r w:rsidR="00220523">
        <w:rPr>
          <w:rFonts w:ascii="Times New Roman" w:hAnsi="Times New Roman"/>
          <w:szCs w:val="24"/>
        </w:rPr>
        <w:t xml:space="preserve">ted when possible for data analysis purposes as one of the tools to inform potential policy and/or decision making. </w:t>
      </w:r>
    </w:p>
    <w:p w:rsidR="00520060" w:rsidP="00BA3587" w:rsidRDefault="00520060" w14:paraId="40D4F77F" w14:textId="77777777">
      <w:pPr>
        <w:rPr>
          <w:rFonts w:ascii="Times New Roman" w:hAnsi="Times New Roman"/>
          <w:szCs w:val="24"/>
        </w:rPr>
      </w:pPr>
    </w:p>
    <w:p w:rsidRPr="004B6094" w:rsidR="000F7AE9" w:rsidP="004B6094" w:rsidRDefault="00220523" w14:paraId="5D758F4D" w14:textId="5E17B6D2">
      <w:pPr>
        <w:shd w:val="clear" w:color="auto" w:fill="FFFFFF"/>
        <w:rPr>
          <w:rFonts w:ascii="Times New Roman" w:hAnsi="Times New Roman"/>
          <w:szCs w:val="24"/>
        </w:rPr>
      </w:pPr>
      <w:r w:rsidRPr="004B6094">
        <w:rPr>
          <w:rFonts w:ascii="Times New Roman" w:hAnsi="Times New Roman"/>
          <w:szCs w:val="24"/>
        </w:rPr>
        <w:t xml:space="preserve">The final collection instrument, number 14, is a Community Engagement Tool. </w:t>
      </w:r>
      <w:r w:rsidRPr="004B6094" w:rsidR="000F7AE9">
        <w:rPr>
          <w:rFonts w:ascii="Times New Roman" w:hAnsi="Times New Roman"/>
          <w:szCs w:val="24"/>
        </w:rPr>
        <w:t xml:space="preserve">Each of the state, local and tribal government participants in the BEYOND program have submitted community engagement plans related to the concepts of operation for themselves and their industry partners. Those plans show that most public engagement will be targeted to local populations or stakeholders directly affected by the </w:t>
      </w:r>
      <w:r w:rsidRPr="004B6094" w:rsidR="00396996">
        <w:rPr>
          <w:rFonts w:ascii="Times New Roman" w:hAnsi="Times New Roman"/>
          <w:szCs w:val="24"/>
        </w:rPr>
        <w:t xml:space="preserve">UAS </w:t>
      </w:r>
      <w:r w:rsidRPr="004B6094" w:rsidR="000F7AE9">
        <w:rPr>
          <w:rFonts w:ascii="Times New Roman" w:hAnsi="Times New Roman"/>
          <w:szCs w:val="24"/>
        </w:rPr>
        <w:t xml:space="preserve">operations, meaning use of Community Engagement Tool questions will be relatively limited for now as operations have been limited in number and scope, and increase yearly as operational concepts are proven and expanded to new areas and from more rural areas to suburban and urban areas over time. Most outreach will be in the form of small events such as town halls or communications directly with local neighborhoods. We estimate that on average, the questions will reach no more than </w:t>
      </w:r>
      <w:r w:rsidRPr="004B6094" w:rsidR="000F7AE9">
        <w:rPr>
          <w:rFonts w:ascii="Times New Roman" w:hAnsi="Times New Roman"/>
          <w:szCs w:val="24"/>
        </w:rPr>
        <w:lastRenderedPageBreak/>
        <w:t xml:space="preserve">5,000 people per year per participant the first year, and perhaps double each year thereafter.  That would bring the total to 35,000 members of the public potentially asked to answer the </w:t>
      </w:r>
      <w:r w:rsidRPr="004B6094" w:rsidR="00396996">
        <w:rPr>
          <w:rFonts w:ascii="Times New Roman" w:hAnsi="Times New Roman"/>
          <w:szCs w:val="24"/>
        </w:rPr>
        <w:t>questions</w:t>
      </w:r>
      <w:r w:rsidRPr="004B6094" w:rsidR="000F7AE9">
        <w:rPr>
          <w:rFonts w:ascii="Times New Roman" w:hAnsi="Times New Roman"/>
          <w:szCs w:val="24"/>
        </w:rPr>
        <w:t xml:space="preserve"> per participant over the course of three years, annualized to 11,667 per participant per year. We will assume a 100% response rate to determine the maximum burden on the public. There are eight participants in the BEYOND program and seven in the PSP program, which would bring the total </w:t>
      </w:r>
      <w:r w:rsidRPr="004B6094">
        <w:rPr>
          <w:rFonts w:ascii="Times New Roman" w:hAnsi="Times New Roman"/>
          <w:szCs w:val="24"/>
        </w:rPr>
        <w:t xml:space="preserve">estimated </w:t>
      </w:r>
      <w:r w:rsidRPr="004B6094" w:rsidR="000F7AE9">
        <w:rPr>
          <w:rFonts w:ascii="Times New Roman" w:hAnsi="Times New Roman"/>
          <w:szCs w:val="24"/>
        </w:rPr>
        <w:t>respondents to 175,005 per year.</w:t>
      </w:r>
    </w:p>
    <w:p w:rsidR="00BA3587" w:rsidP="00BA3587" w:rsidRDefault="00BA3587" w14:paraId="19652F86" w14:textId="77777777">
      <w:pPr>
        <w:rPr>
          <w:sz w:val="22"/>
        </w:rPr>
      </w:pPr>
    </w:p>
    <w:p w:rsidR="00EE6815" w:rsidP="00BA3587" w:rsidRDefault="007E15B5" w14:paraId="59DCEC03" w14:textId="2944B5CA">
      <w:pPr>
        <w:rPr>
          <w:rFonts w:ascii="Times New Roman" w:hAnsi="Times New Roman"/>
          <w:bCs/>
          <w:szCs w:val="24"/>
        </w:rPr>
      </w:pPr>
      <w:r w:rsidRPr="006131DA">
        <w:rPr>
          <w:rFonts w:ascii="Times New Roman" w:hAnsi="Times New Roman"/>
          <w:bCs/>
          <w:szCs w:val="24"/>
        </w:rPr>
        <w:t xml:space="preserve">The community engagement tool is intended to help the </w:t>
      </w:r>
      <w:r w:rsidR="00365E63">
        <w:rPr>
          <w:rFonts w:ascii="Times New Roman" w:hAnsi="Times New Roman"/>
          <w:bCs/>
          <w:szCs w:val="24"/>
        </w:rPr>
        <w:t>p</w:t>
      </w:r>
      <w:r w:rsidRPr="006131DA">
        <w:rPr>
          <w:rFonts w:ascii="Times New Roman" w:hAnsi="Times New Roman"/>
          <w:bCs/>
          <w:szCs w:val="24"/>
        </w:rPr>
        <w:t xml:space="preserve">articipants develop simple questionnaires with no intended utility other than gaining insight on the opinions and experience of the general public </w:t>
      </w:r>
      <w:r w:rsidR="00365E63">
        <w:rPr>
          <w:rFonts w:ascii="Times New Roman" w:hAnsi="Times New Roman"/>
          <w:bCs/>
          <w:szCs w:val="24"/>
        </w:rPr>
        <w:t>regarding</w:t>
      </w:r>
      <w:r w:rsidRPr="006131DA">
        <w:rPr>
          <w:rFonts w:ascii="Times New Roman" w:hAnsi="Times New Roman"/>
          <w:bCs/>
          <w:szCs w:val="24"/>
        </w:rPr>
        <w:t xml:space="preserve"> UAS operations. No statistical analysis or inference will be performed, other than tabulation of responses. Results may be used to help develop lessons learned </w:t>
      </w:r>
      <w:r>
        <w:rPr>
          <w:rFonts w:ascii="Times New Roman" w:hAnsi="Times New Roman"/>
          <w:bCs/>
          <w:szCs w:val="24"/>
        </w:rPr>
        <w:t>or</w:t>
      </w:r>
      <w:r w:rsidRPr="006131DA">
        <w:rPr>
          <w:rFonts w:ascii="Times New Roman" w:hAnsi="Times New Roman"/>
          <w:bCs/>
          <w:szCs w:val="24"/>
        </w:rPr>
        <w:t xml:space="preserve"> best practices worksheets for stakeholders pertaining to community engagement activities.</w:t>
      </w:r>
    </w:p>
    <w:p w:rsidR="003A55A3" w:rsidP="00BA3587" w:rsidRDefault="003A55A3" w14:paraId="0B57221C" w14:textId="77777777">
      <w:pPr>
        <w:rPr>
          <w:sz w:val="22"/>
        </w:rPr>
      </w:pPr>
    </w:p>
    <w:p w:rsidR="00BA3587" w:rsidP="00BA3587" w:rsidRDefault="00BA3587" w14:paraId="28C438AE" w14:textId="77777777">
      <w:pPr>
        <w:rPr>
          <w:b/>
          <w:sz w:val="22"/>
        </w:rPr>
      </w:pPr>
      <w:r>
        <w:rPr>
          <w:b/>
          <w:sz w:val="22"/>
        </w:rPr>
        <w:t>2.  Describe the procedures for the collection of information.</w:t>
      </w:r>
    </w:p>
    <w:p w:rsidRPr="005B7A6C" w:rsidR="005B7A6C" w:rsidP="00BA3587" w:rsidRDefault="005B7A6C" w14:paraId="0ABF4102" w14:textId="77777777">
      <w:pPr>
        <w:rPr>
          <w:i/>
          <w:sz w:val="22"/>
        </w:rPr>
      </w:pPr>
      <w:r w:rsidRPr="005B7A6C">
        <w:rPr>
          <w:i/>
          <w:sz w:val="22"/>
        </w:rPr>
        <w:t>Describe the procedures for the collection of information including:</w:t>
      </w:r>
    </w:p>
    <w:p w:rsidRPr="005B7A6C" w:rsidR="005B7A6C" w:rsidP="00BA3587" w:rsidRDefault="005B7A6C" w14:paraId="662D9C60" w14:textId="77777777">
      <w:pPr>
        <w:rPr>
          <w:i/>
          <w:sz w:val="22"/>
        </w:rPr>
      </w:pPr>
      <w:r w:rsidRPr="005B7A6C">
        <w:rPr>
          <w:i/>
          <w:sz w:val="22"/>
        </w:rPr>
        <w:t>* Statistical methodology for stratification and sample selection,</w:t>
      </w:r>
    </w:p>
    <w:p w:rsidRPr="005B7A6C" w:rsidR="005B7A6C" w:rsidP="00BA3587" w:rsidRDefault="005B7A6C" w14:paraId="7ED506FB" w14:textId="77777777">
      <w:pPr>
        <w:rPr>
          <w:i/>
          <w:sz w:val="22"/>
        </w:rPr>
      </w:pPr>
      <w:r w:rsidRPr="005B7A6C">
        <w:rPr>
          <w:i/>
          <w:sz w:val="22"/>
        </w:rPr>
        <w:t>* Estimation procedure,</w:t>
      </w:r>
    </w:p>
    <w:p w:rsidRPr="005B7A6C" w:rsidR="005B7A6C" w:rsidP="00BA3587" w:rsidRDefault="005B7A6C" w14:paraId="4D79D1E7" w14:textId="77777777">
      <w:pPr>
        <w:rPr>
          <w:i/>
          <w:sz w:val="22"/>
        </w:rPr>
      </w:pPr>
      <w:r w:rsidRPr="005B7A6C">
        <w:rPr>
          <w:i/>
          <w:sz w:val="22"/>
        </w:rPr>
        <w:t>* Degree of accuracy needed for the purpose described in the justification,</w:t>
      </w:r>
    </w:p>
    <w:p w:rsidRPr="005B7A6C" w:rsidR="005B7A6C" w:rsidP="00BA3587" w:rsidRDefault="005B7A6C" w14:paraId="55767B89" w14:textId="77777777">
      <w:pPr>
        <w:rPr>
          <w:i/>
          <w:sz w:val="22"/>
        </w:rPr>
      </w:pPr>
      <w:r w:rsidRPr="005B7A6C">
        <w:rPr>
          <w:i/>
          <w:sz w:val="22"/>
        </w:rPr>
        <w:t>* Unusual problems requiring specialized sampling procedures, and</w:t>
      </w:r>
    </w:p>
    <w:p w:rsidRPr="005B7A6C" w:rsidR="005B7A6C" w:rsidP="00BA3587" w:rsidRDefault="005B7A6C" w14:paraId="3D6E10D5" w14:textId="77777777">
      <w:pPr>
        <w:rPr>
          <w:i/>
          <w:sz w:val="22"/>
        </w:rPr>
      </w:pPr>
      <w:r w:rsidRPr="005B7A6C">
        <w:rPr>
          <w:i/>
          <w:sz w:val="22"/>
        </w:rPr>
        <w:t>* Any use of periodic (less frequent than annual) data collection cycles to reduce burden.</w:t>
      </w:r>
    </w:p>
    <w:p w:rsidR="00522BBC" w:rsidP="00BA3587" w:rsidRDefault="00522BBC" w14:paraId="7E99515C" w14:textId="1C96D549">
      <w:pPr>
        <w:rPr>
          <w:rFonts w:ascii="Times New Roman" w:hAnsi="Times New Roman"/>
          <w:szCs w:val="24"/>
        </w:rPr>
      </w:pPr>
    </w:p>
    <w:p w:rsidR="00215FAD" w:rsidP="00BA3587" w:rsidRDefault="00215FAD" w14:paraId="4B570E7E" w14:textId="50A50EA4">
      <w:pPr>
        <w:rPr>
          <w:rFonts w:ascii="Times New Roman" w:hAnsi="Times New Roman"/>
          <w:szCs w:val="24"/>
        </w:rPr>
      </w:pPr>
      <w:r>
        <w:rPr>
          <w:rFonts w:ascii="Times New Roman" w:hAnsi="Times New Roman"/>
          <w:szCs w:val="24"/>
        </w:rPr>
        <w:t>For collection instruments one (1) through 13, the respondents will only include the eight (8) BEYOND state, local and tribal government lead participants and/or the seven (7) PSP industry participants. Each of the participants has signed a memorandum of agreement (MOA) or memorandum of understanding (MOU) with the FAA which describes the data collections and frequency. Each participant is expected to submit the information as a condition of their participation in the program. The selection process for each program provided the FAA an opportunity to choose diverse groups of participants working on different types of UAS operations</w:t>
      </w:r>
      <w:r w:rsidR="00396996">
        <w:rPr>
          <w:rFonts w:ascii="Times New Roman" w:hAnsi="Times New Roman"/>
          <w:szCs w:val="24"/>
        </w:rPr>
        <w:t xml:space="preserve"> in a variety of environments. </w:t>
      </w:r>
      <w:r>
        <w:rPr>
          <w:rFonts w:ascii="Times New Roman" w:hAnsi="Times New Roman"/>
          <w:szCs w:val="24"/>
        </w:rPr>
        <w:t>The only collection instruments to be submitted more frequently than quarterly include flight reports and maintenance report</w:t>
      </w:r>
      <w:r w:rsidR="00396996">
        <w:rPr>
          <w:rFonts w:ascii="Times New Roman" w:hAnsi="Times New Roman"/>
          <w:szCs w:val="24"/>
        </w:rPr>
        <w:t xml:space="preserve">s. </w:t>
      </w:r>
      <w:r>
        <w:rPr>
          <w:rFonts w:ascii="Times New Roman" w:hAnsi="Times New Roman"/>
          <w:szCs w:val="24"/>
        </w:rPr>
        <w:t>Each of these is needed by FAA on a monthly basis to inform the durability and reliability of various aircraft and provide FAA important data related to the safety and performance of UAS operations.</w:t>
      </w:r>
      <w:r w:rsidRPr="00396996" w:rsidR="00396996">
        <w:rPr>
          <w:rFonts w:ascii="Times New Roman" w:hAnsi="Times New Roman"/>
          <w:szCs w:val="24"/>
        </w:rPr>
        <w:t xml:space="preserve"> </w:t>
      </w:r>
      <w:r w:rsidR="00396996">
        <w:rPr>
          <w:rFonts w:ascii="Times New Roman" w:hAnsi="Times New Roman"/>
          <w:szCs w:val="24"/>
        </w:rPr>
        <w:t xml:space="preserve">There will </w:t>
      </w:r>
      <w:r w:rsidRPr="009D6ACF" w:rsidR="00396996">
        <w:rPr>
          <w:rFonts w:ascii="Times New Roman" w:hAnsi="Times New Roman"/>
          <w:szCs w:val="24"/>
        </w:rPr>
        <w:t>be no statistical methodology for stratification and sample selection.</w:t>
      </w:r>
    </w:p>
    <w:p w:rsidR="00215FAD" w:rsidP="00BA3587" w:rsidRDefault="00215FAD" w14:paraId="46C84DB2" w14:textId="77777777">
      <w:pPr>
        <w:rPr>
          <w:rFonts w:ascii="Times New Roman" w:hAnsi="Times New Roman"/>
          <w:szCs w:val="24"/>
        </w:rPr>
      </w:pPr>
    </w:p>
    <w:p w:rsidRPr="004B6094" w:rsidR="00EE6815" w:rsidP="00BA3587" w:rsidRDefault="00396996" w14:paraId="0EBA0109" w14:textId="69333CDE">
      <w:pPr>
        <w:rPr>
          <w:rFonts w:ascii="Times New Roman" w:hAnsi="Times New Roman"/>
          <w:szCs w:val="24"/>
        </w:rPr>
      </w:pPr>
      <w:r>
        <w:rPr>
          <w:rFonts w:ascii="Times New Roman" w:hAnsi="Times New Roman"/>
          <w:szCs w:val="24"/>
        </w:rPr>
        <w:t xml:space="preserve">Regarding use of </w:t>
      </w:r>
      <w:r w:rsidRPr="00396996">
        <w:rPr>
          <w:rFonts w:ascii="Times New Roman" w:hAnsi="Times New Roman"/>
          <w:szCs w:val="24"/>
        </w:rPr>
        <w:t>questions in the Community Engagement Tool t</w:t>
      </w:r>
      <w:r w:rsidRPr="004B6094" w:rsidR="00EE6815">
        <w:rPr>
          <w:rFonts w:ascii="Times New Roman" w:hAnsi="Times New Roman"/>
          <w:szCs w:val="24"/>
        </w:rPr>
        <w:t xml:space="preserve">here will </w:t>
      </w:r>
      <w:r w:rsidRPr="00396996">
        <w:rPr>
          <w:rFonts w:ascii="Times New Roman" w:hAnsi="Times New Roman"/>
          <w:szCs w:val="24"/>
        </w:rPr>
        <w:t xml:space="preserve">also </w:t>
      </w:r>
      <w:r w:rsidRPr="004B6094" w:rsidR="00EE6815">
        <w:rPr>
          <w:rFonts w:ascii="Times New Roman" w:hAnsi="Times New Roman"/>
          <w:szCs w:val="24"/>
        </w:rPr>
        <w:t>be no statistical methodology for stratification and sample selection. Estimation procedure</w:t>
      </w:r>
      <w:r w:rsidRPr="004B6094" w:rsidR="007E15B5">
        <w:rPr>
          <w:rFonts w:ascii="Times New Roman" w:hAnsi="Times New Roman"/>
          <w:szCs w:val="24"/>
        </w:rPr>
        <w:t>s</w:t>
      </w:r>
      <w:r w:rsidRPr="004B6094" w:rsidR="00EE6815">
        <w:rPr>
          <w:rFonts w:ascii="Times New Roman" w:hAnsi="Times New Roman"/>
          <w:szCs w:val="24"/>
        </w:rPr>
        <w:t xml:space="preserve"> </w:t>
      </w:r>
      <w:r w:rsidRPr="004B6094" w:rsidR="00365E63">
        <w:rPr>
          <w:rFonts w:ascii="Times New Roman" w:hAnsi="Times New Roman"/>
          <w:szCs w:val="24"/>
        </w:rPr>
        <w:t>are based on participants’ community engagement plans</w:t>
      </w:r>
      <w:r w:rsidRPr="004B6094" w:rsidR="00EE6815">
        <w:rPr>
          <w:rFonts w:ascii="Times New Roman" w:hAnsi="Times New Roman"/>
          <w:szCs w:val="24"/>
        </w:rPr>
        <w:t xml:space="preserve">. </w:t>
      </w:r>
      <w:r w:rsidRPr="004B6094" w:rsidR="00365E63">
        <w:rPr>
          <w:rFonts w:ascii="Times New Roman" w:hAnsi="Times New Roman"/>
          <w:szCs w:val="24"/>
        </w:rPr>
        <w:t xml:space="preserve">Those plans show that most public engagement will be targeted to local populations or stakeholders directly affected by the operations, meaning use of Community Engagement Tool questions will be relatively limited for now as operations have been limited in number and scope, and increase yearly as operational concepts are proven and expanded to new areas and from more rural areas to suburban and urban areas over time. Most outreach will be in the form of small events such as town halls or communications directly with local neighborhoods. We estimate that on average, the questions will reach no more than 5,000 people per year per participant the first year, and perhaps double each year thereafter. That would bring the total to 35,000 members of the public potentially asked to answer the survey per participant over the course of three years, annualized to 11,667 per participant per year. </w:t>
      </w:r>
      <w:r w:rsidRPr="004B6094" w:rsidR="00EE6815">
        <w:rPr>
          <w:rFonts w:ascii="Times New Roman" w:hAnsi="Times New Roman"/>
          <w:szCs w:val="24"/>
        </w:rPr>
        <w:t xml:space="preserve">There are no unusual problems that could require specialized sampling procedures.  </w:t>
      </w:r>
    </w:p>
    <w:p w:rsidRPr="004B6094" w:rsidR="00EE6815" w:rsidP="00BA3587" w:rsidRDefault="00EE6815" w14:paraId="10C65F42" w14:textId="77777777">
      <w:pPr>
        <w:rPr>
          <w:rFonts w:ascii="Times New Roman" w:hAnsi="Times New Roman"/>
          <w:szCs w:val="24"/>
        </w:rPr>
      </w:pPr>
    </w:p>
    <w:p w:rsidRPr="004B6094" w:rsidR="00EE6815" w:rsidP="00EE6815" w:rsidRDefault="00F41508" w14:paraId="2541282B" w14:textId="3958103E">
      <w:pPr>
        <w:rPr>
          <w:rFonts w:ascii="Times New Roman" w:hAnsi="Times New Roman"/>
          <w:szCs w:val="24"/>
        </w:rPr>
      </w:pPr>
      <w:r w:rsidRPr="004B6094">
        <w:rPr>
          <w:rFonts w:ascii="Times New Roman" w:hAnsi="Times New Roman"/>
          <w:szCs w:val="24"/>
        </w:rPr>
        <w:t xml:space="preserve">Participants may use as many or as few of the questions provided in the community engagement tool as they choose based upon their community engagement plans and operations. </w:t>
      </w:r>
      <w:r w:rsidRPr="004B6094" w:rsidR="00EE6815">
        <w:rPr>
          <w:rFonts w:ascii="Times New Roman" w:hAnsi="Times New Roman"/>
          <w:szCs w:val="24"/>
        </w:rPr>
        <w:t xml:space="preserve">Information </w:t>
      </w:r>
      <w:r w:rsidRPr="004B6094">
        <w:rPr>
          <w:rFonts w:ascii="Times New Roman" w:hAnsi="Times New Roman"/>
          <w:szCs w:val="24"/>
        </w:rPr>
        <w:t xml:space="preserve">collected </w:t>
      </w:r>
      <w:r w:rsidRPr="004B6094" w:rsidR="00EE6815">
        <w:rPr>
          <w:rFonts w:ascii="Times New Roman" w:hAnsi="Times New Roman"/>
          <w:szCs w:val="24"/>
        </w:rPr>
        <w:t xml:space="preserve">is </w:t>
      </w:r>
      <w:r w:rsidRPr="004B6094" w:rsidR="00EE6815">
        <w:rPr>
          <w:rFonts w:ascii="Times New Roman" w:hAnsi="Times New Roman"/>
          <w:szCs w:val="24"/>
        </w:rPr>
        <w:lastRenderedPageBreak/>
        <w:t xml:space="preserve">expected to be </w:t>
      </w:r>
      <w:r w:rsidRPr="004B6094" w:rsidR="00A70BCC">
        <w:rPr>
          <w:rFonts w:ascii="Times New Roman" w:hAnsi="Times New Roman"/>
          <w:szCs w:val="24"/>
        </w:rPr>
        <w:t>submitted s</w:t>
      </w:r>
      <w:r w:rsidRPr="004B6094" w:rsidR="00EE6815">
        <w:rPr>
          <w:rFonts w:ascii="Times New Roman" w:hAnsi="Times New Roman"/>
          <w:szCs w:val="24"/>
        </w:rPr>
        <w:t>emi-</w:t>
      </w:r>
      <w:r w:rsidRPr="004B6094" w:rsidR="00A70BCC">
        <w:rPr>
          <w:rFonts w:ascii="Times New Roman" w:hAnsi="Times New Roman"/>
          <w:szCs w:val="24"/>
        </w:rPr>
        <w:t>a</w:t>
      </w:r>
      <w:r w:rsidRPr="004B6094" w:rsidR="00EE6815">
        <w:rPr>
          <w:rFonts w:ascii="Times New Roman" w:hAnsi="Times New Roman"/>
          <w:szCs w:val="24"/>
        </w:rPr>
        <w:t xml:space="preserve">nnually </w:t>
      </w:r>
      <w:r w:rsidRPr="004B6094" w:rsidR="008F675D">
        <w:rPr>
          <w:rFonts w:ascii="Times New Roman" w:hAnsi="Times New Roman"/>
          <w:szCs w:val="24"/>
        </w:rPr>
        <w:t>in the BEYOND program and quarterly in the PSP</w:t>
      </w:r>
      <w:r w:rsidRPr="004B6094" w:rsidR="00A70BCC">
        <w:rPr>
          <w:rFonts w:ascii="Times New Roman" w:hAnsi="Times New Roman"/>
          <w:szCs w:val="24"/>
        </w:rPr>
        <w:t>, in conjunction with other submissions for those programs,</w:t>
      </w:r>
      <w:r w:rsidRPr="004B6094" w:rsidR="008F675D">
        <w:rPr>
          <w:rFonts w:ascii="Times New Roman" w:hAnsi="Times New Roman"/>
          <w:szCs w:val="24"/>
        </w:rPr>
        <w:t xml:space="preserve"> </w:t>
      </w:r>
      <w:r w:rsidRPr="004B6094" w:rsidR="00EE6815">
        <w:rPr>
          <w:rFonts w:ascii="Times New Roman" w:hAnsi="Times New Roman"/>
          <w:szCs w:val="24"/>
        </w:rPr>
        <w:t xml:space="preserve">to </w:t>
      </w:r>
      <w:r w:rsidRPr="004B6094" w:rsidR="00A70BCC">
        <w:rPr>
          <w:rFonts w:ascii="Times New Roman" w:hAnsi="Times New Roman"/>
          <w:szCs w:val="24"/>
        </w:rPr>
        <w:t>minimize</w:t>
      </w:r>
      <w:r w:rsidRPr="004B6094" w:rsidR="00EE6815">
        <w:rPr>
          <w:rFonts w:ascii="Times New Roman" w:hAnsi="Times New Roman"/>
          <w:szCs w:val="24"/>
        </w:rPr>
        <w:t xml:space="preserve"> the </w:t>
      </w:r>
      <w:r w:rsidRPr="004B6094" w:rsidR="00A70BCC">
        <w:rPr>
          <w:rFonts w:ascii="Times New Roman" w:hAnsi="Times New Roman"/>
          <w:szCs w:val="24"/>
        </w:rPr>
        <w:t xml:space="preserve">potential </w:t>
      </w:r>
      <w:r w:rsidRPr="004B6094" w:rsidR="00EE6815">
        <w:rPr>
          <w:rFonts w:ascii="Times New Roman" w:hAnsi="Times New Roman"/>
          <w:szCs w:val="24"/>
        </w:rPr>
        <w:t>burden</w:t>
      </w:r>
      <w:r w:rsidRPr="004B6094" w:rsidR="00A70BCC">
        <w:rPr>
          <w:rFonts w:ascii="Times New Roman" w:hAnsi="Times New Roman"/>
          <w:szCs w:val="24"/>
        </w:rPr>
        <w:t xml:space="preserve"> on participants</w:t>
      </w:r>
      <w:r w:rsidRPr="004B6094" w:rsidR="00EE6815">
        <w:rPr>
          <w:rFonts w:ascii="Times New Roman" w:hAnsi="Times New Roman"/>
          <w:szCs w:val="24"/>
        </w:rPr>
        <w:t xml:space="preserve">. </w:t>
      </w:r>
      <w:r w:rsidRPr="004B6094" w:rsidR="00A70BCC">
        <w:rPr>
          <w:rFonts w:ascii="Times New Roman" w:hAnsi="Times New Roman"/>
          <w:szCs w:val="24"/>
        </w:rPr>
        <w:t>We estimate that the burden on respondents will be a maximum of 1</w:t>
      </w:r>
      <w:r w:rsidR="00365E63">
        <w:rPr>
          <w:rFonts w:ascii="Times New Roman" w:hAnsi="Times New Roman"/>
          <w:szCs w:val="24"/>
        </w:rPr>
        <w:t>0</w:t>
      </w:r>
      <w:r w:rsidRPr="004B6094" w:rsidR="00A70BCC">
        <w:rPr>
          <w:rFonts w:ascii="Times New Roman" w:hAnsi="Times New Roman"/>
          <w:szCs w:val="24"/>
        </w:rPr>
        <w:t xml:space="preserve"> minutes</w:t>
      </w:r>
      <w:r w:rsidRPr="004B6094">
        <w:rPr>
          <w:rFonts w:ascii="Times New Roman" w:hAnsi="Times New Roman"/>
          <w:szCs w:val="24"/>
        </w:rPr>
        <w:t>, and participation will be on a voluntary basis</w:t>
      </w:r>
      <w:r w:rsidRPr="004B6094" w:rsidR="00A70BCC">
        <w:rPr>
          <w:rFonts w:ascii="Times New Roman" w:hAnsi="Times New Roman"/>
          <w:szCs w:val="24"/>
        </w:rPr>
        <w:t>.</w:t>
      </w:r>
      <w:r w:rsidRPr="004B6094">
        <w:rPr>
          <w:rFonts w:ascii="Times New Roman" w:hAnsi="Times New Roman"/>
          <w:szCs w:val="24"/>
        </w:rPr>
        <w:t xml:space="preserve"> </w:t>
      </w:r>
      <w:r w:rsidRPr="004B6094" w:rsidR="00EE6815">
        <w:rPr>
          <w:rFonts w:ascii="Times New Roman" w:hAnsi="Times New Roman"/>
          <w:szCs w:val="24"/>
        </w:rPr>
        <w:t>In addition, all efforts will be made to ensure that the requested data is collected and submitted electronically further reducing the time and burden of the compliance.</w:t>
      </w:r>
    </w:p>
    <w:p w:rsidR="00BA3587" w:rsidP="00BA3587" w:rsidRDefault="00BA3587" w14:paraId="4FAEAE25" w14:textId="77777777">
      <w:pPr>
        <w:rPr>
          <w:sz w:val="22"/>
          <w:szCs w:val="22"/>
        </w:rPr>
      </w:pPr>
    </w:p>
    <w:p w:rsidR="00BA3587" w:rsidP="00BA3587" w:rsidRDefault="00BA3587" w14:paraId="7B5BA7F1" w14:textId="77777777">
      <w:pPr>
        <w:rPr>
          <w:b/>
          <w:sz w:val="22"/>
        </w:rPr>
      </w:pPr>
      <w:r>
        <w:rPr>
          <w:b/>
          <w:sz w:val="22"/>
        </w:rPr>
        <w:t>3.  Describe methods to maximize response rates.</w:t>
      </w:r>
    </w:p>
    <w:p w:rsidR="005B7A6C" w:rsidP="00BA3587" w:rsidRDefault="005B7A6C" w14:paraId="0646B4FA" w14:textId="77777777">
      <w:pPr>
        <w:rPr>
          <w:i/>
          <w:sz w:val="22"/>
        </w:rPr>
      </w:pPr>
      <w:r w:rsidRPr="005B7A6C">
        <w:rPr>
          <w:i/>
          <w:sz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CF269F" w:rsidP="00BA3587" w:rsidRDefault="00CF269F" w14:paraId="61998800" w14:textId="77777777">
      <w:pPr>
        <w:rPr>
          <w:i/>
          <w:sz w:val="22"/>
        </w:rPr>
      </w:pPr>
    </w:p>
    <w:p w:rsidR="00060F48" w:rsidP="00060F48" w:rsidRDefault="00060F48" w14:paraId="6CBD7A6E" w14:textId="3800A701">
      <w:pPr>
        <w:rPr>
          <w:rFonts w:ascii="Times New Roman" w:hAnsi="Times New Roman"/>
          <w:szCs w:val="24"/>
        </w:rPr>
      </w:pPr>
      <w:r>
        <w:rPr>
          <w:rFonts w:ascii="Times New Roman" w:hAnsi="Times New Roman"/>
          <w:szCs w:val="24"/>
        </w:rPr>
        <w:t xml:space="preserve">For collection instruments one (1) through 13, each of the program participants has signed a memorandum of agreement (MOA) or memorandum of understanding (MOU) with the FAA which describes the data collections and frequency. Each participant is expected to submit the information as a condition of their participation in the program. </w:t>
      </w:r>
      <w:r w:rsidR="0003037C">
        <w:rPr>
          <w:rFonts w:ascii="Times New Roman" w:hAnsi="Times New Roman"/>
          <w:szCs w:val="24"/>
        </w:rPr>
        <w:t>Some of the information to be submitted to the FAA is program specific, and will not need to be statistically significant. For data that is of use FAA-wide for decision-making purposes, the data collected from the programs will be aggregated with other FAA UAS data collections, and therefore does not require statistical significance on its own.</w:t>
      </w:r>
      <w:r w:rsidR="009D1B3C">
        <w:rPr>
          <w:rFonts w:ascii="Times New Roman" w:hAnsi="Times New Roman"/>
          <w:szCs w:val="24"/>
        </w:rPr>
        <w:t xml:space="preserve"> </w:t>
      </w:r>
    </w:p>
    <w:p w:rsidR="00060F48" w:rsidP="00BA3587" w:rsidRDefault="00060F48" w14:paraId="5821E4FD" w14:textId="77777777">
      <w:pPr>
        <w:rPr>
          <w:rFonts w:ascii="Times New Roman" w:hAnsi="Times New Roman"/>
          <w:szCs w:val="24"/>
        </w:rPr>
      </w:pPr>
    </w:p>
    <w:p w:rsidRPr="004B6094" w:rsidR="00CF269F" w:rsidP="00BA3587" w:rsidRDefault="00060F48" w14:paraId="5A035625" w14:textId="0273F198">
      <w:pPr>
        <w:rPr>
          <w:rFonts w:ascii="Times New Roman" w:hAnsi="Times New Roman"/>
          <w:szCs w:val="24"/>
        </w:rPr>
      </w:pPr>
      <w:r>
        <w:rPr>
          <w:rFonts w:ascii="Times New Roman" w:hAnsi="Times New Roman"/>
          <w:szCs w:val="24"/>
        </w:rPr>
        <w:t>In regards to the Community Engagement Tool, t</w:t>
      </w:r>
      <w:r w:rsidRPr="004B6094" w:rsidR="00F41508">
        <w:rPr>
          <w:rFonts w:ascii="Times New Roman" w:hAnsi="Times New Roman"/>
          <w:szCs w:val="24"/>
        </w:rPr>
        <w:t>he program participants will be generally encouraged to conduct community engagement activities, including deploying questions from the tool</w:t>
      </w:r>
      <w:r w:rsidRPr="004B6094" w:rsidR="00365E63">
        <w:rPr>
          <w:rFonts w:ascii="Times New Roman" w:hAnsi="Times New Roman"/>
          <w:szCs w:val="24"/>
        </w:rPr>
        <w:t xml:space="preserve"> or other operation-appropriate questions</w:t>
      </w:r>
      <w:r w:rsidRPr="004B6094" w:rsidR="00F41508">
        <w:rPr>
          <w:rFonts w:ascii="Times New Roman" w:hAnsi="Times New Roman"/>
          <w:szCs w:val="24"/>
        </w:rPr>
        <w:t xml:space="preserve"> and collecting relevant information as much as possible, but their level of participation is at their discretion. </w:t>
      </w:r>
      <w:r w:rsidRPr="004B6094" w:rsidR="00CF269F">
        <w:rPr>
          <w:rFonts w:ascii="Times New Roman" w:hAnsi="Times New Roman"/>
          <w:szCs w:val="24"/>
        </w:rPr>
        <w:t>Since data co</w:t>
      </w:r>
      <w:r w:rsidRPr="004B6094" w:rsidR="0068184E">
        <w:rPr>
          <w:rFonts w:ascii="Times New Roman" w:hAnsi="Times New Roman"/>
          <w:szCs w:val="24"/>
        </w:rPr>
        <w:t>llection is not meant to be statistical in nature, nor to provide statistically significant information for policy or decision-making</w:t>
      </w:r>
      <w:r w:rsidRPr="004B6094" w:rsidR="00365E63">
        <w:rPr>
          <w:rFonts w:ascii="Times New Roman" w:hAnsi="Times New Roman"/>
          <w:szCs w:val="24"/>
        </w:rPr>
        <w:t>,</w:t>
      </w:r>
      <w:r w:rsidRPr="004B6094" w:rsidR="0068184E">
        <w:rPr>
          <w:rFonts w:ascii="Times New Roman" w:hAnsi="Times New Roman"/>
          <w:szCs w:val="24"/>
        </w:rPr>
        <w:t xml:space="preserve"> no extraordinary efforts are expected to be undertaken in order to maximize response rates and/or to deal with issues of non-response.</w:t>
      </w:r>
      <w:r w:rsidRPr="004B6094" w:rsidR="008F675D">
        <w:rPr>
          <w:rFonts w:ascii="Times New Roman" w:hAnsi="Times New Roman"/>
          <w:szCs w:val="24"/>
        </w:rPr>
        <w:t xml:space="preserve"> </w:t>
      </w:r>
    </w:p>
    <w:p w:rsidR="00BA3587" w:rsidP="00BA3587" w:rsidRDefault="00BA3587" w14:paraId="4D0CA3BB" w14:textId="2DF56C6B">
      <w:pPr>
        <w:rPr>
          <w:sz w:val="22"/>
        </w:rPr>
      </w:pPr>
    </w:p>
    <w:p w:rsidRPr="00F35443" w:rsidR="00582C64" w:rsidP="00BA3587" w:rsidRDefault="00582C64" w14:paraId="3B4D15B8" w14:textId="16B4FD4E">
      <w:pPr>
        <w:rPr>
          <w:rFonts w:ascii="Times New Roman" w:hAnsi="Times New Roman"/>
          <w:szCs w:val="24"/>
        </w:rPr>
      </w:pPr>
      <w:r w:rsidRPr="00F35443">
        <w:rPr>
          <w:rFonts w:ascii="Times New Roman" w:hAnsi="Times New Roman"/>
          <w:szCs w:val="24"/>
        </w:rPr>
        <w:t xml:space="preserve">The BEYOND and PSP programs </w:t>
      </w:r>
      <w:r w:rsidRPr="00F35443" w:rsidR="009E2224">
        <w:rPr>
          <w:rFonts w:ascii="Times New Roman" w:hAnsi="Times New Roman"/>
          <w:szCs w:val="24"/>
        </w:rPr>
        <w:t>are meant to be short-term</w:t>
      </w:r>
      <w:r w:rsidRPr="00F35443">
        <w:rPr>
          <w:rFonts w:ascii="Times New Roman" w:hAnsi="Times New Roman"/>
          <w:szCs w:val="24"/>
        </w:rPr>
        <w:t xml:space="preserve"> programs with the objective of informing FAA efforts to integrate UAS into the NAS. </w:t>
      </w:r>
      <w:r w:rsidRPr="00F35443" w:rsidR="009E2224">
        <w:rPr>
          <w:rFonts w:ascii="Times New Roman" w:hAnsi="Times New Roman"/>
          <w:szCs w:val="24"/>
        </w:rPr>
        <w:t xml:space="preserve">As necessary, future programs with their own clearance(s) may be needed to further these goals. If so, data, best practices and lessons learned collected from BEYOND and PSP programs will be used to </w:t>
      </w:r>
      <w:r w:rsidRPr="00F35443" w:rsidR="00F35443">
        <w:rPr>
          <w:rFonts w:ascii="Times New Roman" w:hAnsi="Times New Roman"/>
          <w:szCs w:val="24"/>
        </w:rPr>
        <w:t xml:space="preserve">inform those future data collection efforts. </w:t>
      </w:r>
      <w:r w:rsidRPr="00F35443" w:rsidR="009E2224">
        <w:rPr>
          <w:rFonts w:ascii="Times New Roman" w:hAnsi="Times New Roman"/>
          <w:szCs w:val="24"/>
        </w:rPr>
        <w:t xml:space="preserve">However, as UAS become more fully integrated into the NAS, </w:t>
      </w:r>
      <w:r w:rsidRPr="00F35443" w:rsidR="00F35443">
        <w:rPr>
          <w:rFonts w:ascii="Times New Roman" w:hAnsi="Times New Roman"/>
          <w:szCs w:val="24"/>
        </w:rPr>
        <w:t>these data collection efforts may no longer be needed.</w:t>
      </w:r>
    </w:p>
    <w:p w:rsidR="00582C64" w:rsidP="00BA3587" w:rsidRDefault="00582C64" w14:paraId="1BD664E5" w14:textId="77777777">
      <w:pPr>
        <w:rPr>
          <w:sz w:val="22"/>
        </w:rPr>
      </w:pPr>
    </w:p>
    <w:p w:rsidR="00BA3587" w:rsidP="00BA3587" w:rsidRDefault="00BA3587" w14:paraId="78F2120D" w14:textId="77777777">
      <w:pPr>
        <w:rPr>
          <w:b/>
          <w:sz w:val="22"/>
        </w:rPr>
      </w:pPr>
      <w:r>
        <w:rPr>
          <w:b/>
          <w:sz w:val="22"/>
        </w:rPr>
        <w:t>4.  Describe tests of procedures and methods to be undertaken.</w:t>
      </w:r>
    </w:p>
    <w:p w:rsidRPr="005B7A6C" w:rsidR="005B7A6C" w:rsidP="00BA3587" w:rsidRDefault="005B7A6C" w14:paraId="79AB63BF" w14:textId="77777777">
      <w:pPr>
        <w:rPr>
          <w:i/>
          <w:sz w:val="22"/>
        </w:rPr>
      </w:pPr>
      <w:r w:rsidRPr="005B7A6C">
        <w:rPr>
          <w:i/>
          <w:sz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68184E" w:rsidP="0068184E" w:rsidRDefault="0068184E" w14:paraId="3F1E8D4C" w14:textId="77777777">
      <w:pPr>
        <w:rPr>
          <w:sz w:val="22"/>
        </w:rPr>
      </w:pPr>
    </w:p>
    <w:p w:rsidR="0003037C" w:rsidP="0003037C" w:rsidRDefault="0003037C" w14:paraId="5E38642A" w14:textId="463BF7B0">
      <w:pPr>
        <w:rPr>
          <w:rFonts w:ascii="Times New Roman" w:hAnsi="Times New Roman"/>
          <w:szCs w:val="24"/>
        </w:rPr>
      </w:pPr>
      <w:r>
        <w:rPr>
          <w:rFonts w:ascii="Times New Roman" w:hAnsi="Times New Roman"/>
          <w:szCs w:val="24"/>
        </w:rPr>
        <w:t xml:space="preserve">For collection instruments one (1) through 13, each of the program participants has signed a memorandum of agreement (MOA) or memorandum of understanding (MOU) with the FAA which describes the data collections and frequency. Participants in the programs were given opportunities to comment on and shape the information collections to ensure collection and submission is feasible. FAA lines of business were also given opportunities to review and give feedback to ensure the data collections have clear lines of sight to for FAA’s use of the data. As the data collections do not require statistical significance to be useful, we do not plan to conduct tests of procedures and methods to be </w:t>
      </w:r>
      <w:r>
        <w:rPr>
          <w:rFonts w:ascii="Times New Roman" w:hAnsi="Times New Roman"/>
          <w:szCs w:val="24"/>
        </w:rPr>
        <w:lastRenderedPageBreak/>
        <w:t>undertaken.</w:t>
      </w:r>
    </w:p>
    <w:p w:rsidR="0003037C" w:rsidP="0068184E" w:rsidRDefault="0003037C" w14:paraId="13F1287D" w14:textId="3D0066DB">
      <w:pPr>
        <w:rPr>
          <w:rFonts w:ascii="Times New Roman" w:hAnsi="Times New Roman"/>
          <w:szCs w:val="24"/>
        </w:rPr>
      </w:pPr>
    </w:p>
    <w:p w:rsidRPr="004B6094" w:rsidR="0068184E" w:rsidP="0068184E" w:rsidRDefault="0003037C" w14:paraId="121F80A4" w14:textId="107DC4F2">
      <w:pPr>
        <w:rPr>
          <w:rFonts w:ascii="Times New Roman" w:hAnsi="Times New Roman"/>
          <w:szCs w:val="24"/>
        </w:rPr>
      </w:pPr>
      <w:r>
        <w:rPr>
          <w:rFonts w:ascii="Times New Roman" w:hAnsi="Times New Roman"/>
          <w:szCs w:val="24"/>
        </w:rPr>
        <w:t>For the Community Engagement Tool, s</w:t>
      </w:r>
      <w:r w:rsidRPr="004B6094" w:rsidR="0068184E">
        <w:rPr>
          <w:rFonts w:ascii="Times New Roman" w:hAnsi="Times New Roman"/>
          <w:szCs w:val="24"/>
        </w:rPr>
        <w:t xml:space="preserve">ince data collection </w:t>
      </w:r>
      <w:r w:rsidR="00A153C7">
        <w:rPr>
          <w:rFonts w:ascii="Times New Roman" w:hAnsi="Times New Roman"/>
          <w:szCs w:val="24"/>
        </w:rPr>
        <w:t xml:space="preserve">completely optional, </w:t>
      </w:r>
      <w:r w:rsidRPr="004B6094" w:rsidR="0068184E">
        <w:rPr>
          <w:rFonts w:ascii="Times New Roman" w:hAnsi="Times New Roman"/>
          <w:szCs w:val="24"/>
        </w:rPr>
        <w:t>is not meant to be statistical in nature, nor to provide statistically significant information for policy or decision-making</w:t>
      </w:r>
      <w:r w:rsidRPr="004B6094" w:rsidR="00F41508">
        <w:rPr>
          <w:rFonts w:ascii="Times New Roman" w:hAnsi="Times New Roman"/>
          <w:szCs w:val="24"/>
        </w:rPr>
        <w:t xml:space="preserve">, we do not plan to conduct tests of procedures and methods to be undertaken. </w:t>
      </w:r>
    </w:p>
    <w:p w:rsidR="00BA3587" w:rsidP="00BA3587" w:rsidRDefault="00BA3587" w14:paraId="5D96D9DC" w14:textId="77777777">
      <w:pPr>
        <w:rPr>
          <w:sz w:val="22"/>
        </w:rPr>
      </w:pPr>
    </w:p>
    <w:p w:rsidR="00BA3587" w:rsidP="00BA3587" w:rsidRDefault="00BA3587" w14:paraId="7F30B54B" w14:textId="77777777">
      <w:pPr>
        <w:rPr>
          <w:b/>
          <w:sz w:val="22"/>
        </w:rPr>
      </w:pPr>
      <w:r>
        <w:rPr>
          <w:b/>
          <w:sz w:val="22"/>
        </w:rPr>
        <w:t>5.  Provide the names of consultants and the person who will collect and analyze the information.</w:t>
      </w:r>
    </w:p>
    <w:p w:rsidRPr="005B7A6C" w:rsidR="005B7A6C" w:rsidP="00BA3587" w:rsidRDefault="005B7A6C" w14:paraId="0AA7FF6D" w14:textId="77777777">
      <w:pPr>
        <w:rPr>
          <w:i/>
          <w:sz w:val="22"/>
        </w:rPr>
      </w:pPr>
      <w:r w:rsidRPr="005B7A6C">
        <w:rPr>
          <w:i/>
          <w:sz w:val="22"/>
        </w:rPr>
        <w:t>Provide the name and telephone number of individuals consulted on statistical aspects of the design and the name of the agency unit, contractor(s), grantee(s), or other person(s) who will actually collect and/or analyze the information for the agency.</w:t>
      </w:r>
    </w:p>
    <w:p w:rsidR="00BA3587" w:rsidP="00BA3587" w:rsidRDefault="00BA3587" w14:paraId="69FEB1C4" w14:textId="77777777">
      <w:pPr>
        <w:rPr>
          <w:sz w:val="22"/>
        </w:rPr>
      </w:pPr>
    </w:p>
    <w:p w:rsidRPr="004B6094" w:rsidR="00BA3587" w:rsidRDefault="00953C8F" w14:paraId="6AF69CBE" w14:textId="5A86DDDC">
      <w:pPr>
        <w:rPr>
          <w:rFonts w:ascii="Times New Roman" w:hAnsi="Times New Roman"/>
          <w:szCs w:val="24"/>
        </w:rPr>
      </w:pPr>
      <w:r w:rsidRPr="004B6094">
        <w:rPr>
          <w:rFonts w:ascii="Times New Roman" w:hAnsi="Times New Roman"/>
          <w:szCs w:val="24"/>
        </w:rPr>
        <w:t xml:space="preserve">No individuals were consulted on statistical aspects of the </w:t>
      </w:r>
      <w:r w:rsidR="00F81241">
        <w:rPr>
          <w:rFonts w:ascii="Times New Roman" w:hAnsi="Times New Roman"/>
          <w:szCs w:val="24"/>
        </w:rPr>
        <w:t xml:space="preserve">data collections </w:t>
      </w:r>
      <w:r w:rsidRPr="004B6094">
        <w:rPr>
          <w:rFonts w:ascii="Times New Roman" w:hAnsi="Times New Roman"/>
          <w:szCs w:val="24"/>
        </w:rPr>
        <w:t>because th</w:t>
      </w:r>
      <w:r w:rsidR="00F81241">
        <w:rPr>
          <w:rFonts w:ascii="Times New Roman" w:hAnsi="Times New Roman"/>
          <w:szCs w:val="24"/>
        </w:rPr>
        <w:t>ey are</w:t>
      </w:r>
      <w:r w:rsidRPr="004B6094">
        <w:rPr>
          <w:rFonts w:ascii="Times New Roman" w:hAnsi="Times New Roman"/>
          <w:szCs w:val="24"/>
        </w:rPr>
        <w:t xml:space="preserve"> not meant to be statistical in nature</w:t>
      </w:r>
      <w:r w:rsidR="00F81241">
        <w:rPr>
          <w:rFonts w:ascii="Times New Roman" w:hAnsi="Times New Roman"/>
          <w:szCs w:val="24"/>
        </w:rPr>
        <w:t xml:space="preserve"> nor to provide statistically significant information.  Additionally, the Community Engagement Tool is not intended </w:t>
      </w:r>
      <w:r w:rsidRPr="004B6094">
        <w:rPr>
          <w:rFonts w:ascii="Times New Roman" w:hAnsi="Times New Roman"/>
          <w:szCs w:val="24"/>
        </w:rPr>
        <w:t>for policy or decision-making</w:t>
      </w:r>
      <w:r w:rsidR="00F81241">
        <w:rPr>
          <w:rFonts w:ascii="Times New Roman" w:hAnsi="Times New Roman"/>
          <w:szCs w:val="24"/>
        </w:rPr>
        <w:t>, merely to assist the participants with their community engagement activities and potentially be used in the development of best practices and lessons learned</w:t>
      </w:r>
      <w:r w:rsidRPr="004B6094">
        <w:rPr>
          <w:rFonts w:ascii="Times New Roman" w:hAnsi="Times New Roman"/>
          <w:szCs w:val="24"/>
        </w:rPr>
        <w:t>.</w:t>
      </w:r>
    </w:p>
    <w:p w:rsidRPr="004B6094" w:rsidR="00953C8F" w:rsidRDefault="00953C8F" w14:paraId="11E81E7C" w14:textId="77777777">
      <w:pPr>
        <w:rPr>
          <w:rFonts w:ascii="Times New Roman" w:hAnsi="Times New Roman"/>
          <w:szCs w:val="24"/>
        </w:rPr>
      </w:pPr>
    </w:p>
    <w:p w:rsidR="00953C8F" w:rsidRDefault="00953C8F" w14:paraId="10E63F76" w14:textId="53AFF0AB">
      <w:pPr>
        <w:rPr>
          <w:rFonts w:ascii="Times New Roman" w:hAnsi="Times New Roman"/>
          <w:szCs w:val="24"/>
        </w:rPr>
      </w:pPr>
      <w:r w:rsidRPr="004B6094">
        <w:rPr>
          <w:rFonts w:ascii="Times New Roman" w:hAnsi="Times New Roman"/>
          <w:szCs w:val="24"/>
        </w:rPr>
        <w:t xml:space="preserve">Members of the BEYOND </w:t>
      </w:r>
      <w:r w:rsidRPr="004B6094" w:rsidR="008F675D">
        <w:rPr>
          <w:rFonts w:ascii="Times New Roman" w:hAnsi="Times New Roman"/>
          <w:szCs w:val="24"/>
        </w:rPr>
        <w:t xml:space="preserve">and PSP </w:t>
      </w:r>
      <w:r w:rsidRPr="004B6094">
        <w:rPr>
          <w:rFonts w:ascii="Times New Roman" w:hAnsi="Times New Roman"/>
          <w:szCs w:val="24"/>
        </w:rPr>
        <w:t>program</w:t>
      </w:r>
      <w:r w:rsidRPr="004B6094" w:rsidR="008F675D">
        <w:rPr>
          <w:rFonts w:ascii="Times New Roman" w:hAnsi="Times New Roman"/>
          <w:szCs w:val="24"/>
        </w:rPr>
        <w:t>s</w:t>
      </w:r>
      <w:r w:rsidRPr="004B6094">
        <w:rPr>
          <w:rFonts w:ascii="Times New Roman" w:hAnsi="Times New Roman"/>
          <w:szCs w:val="24"/>
        </w:rPr>
        <w:t xml:space="preserve"> within the FAA’s Unmanned </w:t>
      </w:r>
      <w:r w:rsidR="00365E63">
        <w:rPr>
          <w:rFonts w:ascii="Times New Roman" w:hAnsi="Times New Roman"/>
          <w:szCs w:val="24"/>
        </w:rPr>
        <w:t>Aircraft</w:t>
      </w:r>
      <w:r w:rsidRPr="004B6094" w:rsidR="00365E63">
        <w:rPr>
          <w:rFonts w:ascii="Times New Roman" w:hAnsi="Times New Roman"/>
          <w:szCs w:val="24"/>
        </w:rPr>
        <w:t xml:space="preserve"> </w:t>
      </w:r>
      <w:r w:rsidRPr="004B6094">
        <w:rPr>
          <w:rFonts w:ascii="Times New Roman" w:hAnsi="Times New Roman"/>
          <w:szCs w:val="24"/>
        </w:rPr>
        <w:t>Systems (</w:t>
      </w:r>
      <w:r w:rsidR="00365E63">
        <w:rPr>
          <w:rFonts w:ascii="Times New Roman" w:hAnsi="Times New Roman"/>
          <w:szCs w:val="24"/>
        </w:rPr>
        <w:t>UAS</w:t>
      </w:r>
      <w:r w:rsidRPr="004B6094">
        <w:rPr>
          <w:rFonts w:ascii="Times New Roman" w:hAnsi="Times New Roman"/>
          <w:szCs w:val="24"/>
        </w:rPr>
        <w:t>) organization will be tasked with analyzing the information for the agency</w:t>
      </w:r>
      <w:r w:rsidRPr="004B6094" w:rsidR="008F675D">
        <w:rPr>
          <w:rFonts w:ascii="Times New Roman" w:hAnsi="Times New Roman"/>
          <w:szCs w:val="24"/>
        </w:rPr>
        <w:t xml:space="preserve"> and disseminating results to internal and external stakeholders as appropriate.</w:t>
      </w:r>
      <w:r w:rsidR="00581A6B">
        <w:rPr>
          <w:rFonts w:ascii="Times New Roman" w:hAnsi="Times New Roman"/>
          <w:szCs w:val="24"/>
        </w:rPr>
        <w:t xml:space="preserve"> Current </w:t>
      </w:r>
      <w:r w:rsidR="00F81241">
        <w:rPr>
          <w:rFonts w:ascii="Times New Roman" w:hAnsi="Times New Roman"/>
          <w:szCs w:val="24"/>
        </w:rPr>
        <w:t>project managers for the programs</w:t>
      </w:r>
      <w:r w:rsidR="00581A6B">
        <w:rPr>
          <w:rFonts w:ascii="Times New Roman" w:hAnsi="Times New Roman"/>
          <w:szCs w:val="24"/>
        </w:rPr>
        <w:t>:</w:t>
      </w:r>
    </w:p>
    <w:p w:rsidR="00581A6B" w:rsidRDefault="00581A6B" w14:paraId="70D7311B" w14:textId="529499E3">
      <w:pPr>
        <w:rPr>
          <w:rFonts w:ascii="Times New Roman" w:hAnsi="Times New Roman"/>
          <w:szCs w:val="24"/>
        </w:rPr>
      </w:pPr>
      <w:r>
        <w:rPr>
          <w:rFonts w:ascii="Times New Roman" w:hAnsi="Times New Roman"/>
          <w:szCs w:val="24"/>
        </w:rPr>
        <w:tab/>
        <w:t>Kim Merchant</w:t>
      </w:r>
    </w:p>
    <w:p w:rsidR="00581A6B" w:rsidRDefault="00581A6B" w14:paraId="29E074CE" w14:textId="757D3565">
      <w:pPr>
        <w:rPr>
          <w:rFonts w:ascii="Times New Roman" w:hAnsi="Times New Roman"/>
          <w:szCs w:val="24"/>
        </w:rPr>
      </w:pPr>
      <w:r>
        <w:rPr>
          <w:rFonts w:ascii="Times New Roman" w:hAnsi="Times New Roman"/>
          <w:szCs w:val="24"/>
        </w:rPr>
        <w:tab/>
        <w:t>Tia Cantrell</w:t>
      </w:r>
    </w:p>
    <w:p w:rsidR="00581A6B" w:rsidRDefault="00581A6B" w14:paraId="5F765701" w14:textId="5B01A929">
      <w:pPr>
        <w:rPr>
          <w:rFonts w:ascii="Times New Roman" w:hAnsi="Times New Roman"/>
          <w:szCs w:val="24"/>
        </w:rPr>
      </w:pPr>
      <w:r>
        <w:rPr>
          <w:rFonts w:ascii="Times New Roman" w:hAnsi="Times New Roman"/>
          <w:szCs w:val="24"/>
        </w:rPr>
        <w:tab/>
        <w:t>Joshua Eastlee</w:t>
      </w:r>
    </w:p>
    <w:p w:rsidR="00581A6B" w:rsidRDefault="00581A6B" w14:paraId="69C37F01" w14:textId="72FA2103">
      <w:pPr>
        <w:rPr>
          <w:rFonts w:ascii="Times New Roman" w:hAnsi="Times New Roman"/>
          <w:szCs w:val="24"/>
        </w:rPr>
      </w:pPr>
      <w:r>
        <w:rPr>
          <w:rFonts w:ascii="Times New Roman" w:hAnsi="Times New Roman"/>
          <w:szCs w:val="24"/>
        </w:rPr>
        <w:tab/>
        <w:t>Jennifer Audette</w:t>
      </w:r>
    </w:p>
    <w:p w:rsidR="00581A6B" w:rsidRDefault="00581A6B" w14:paraId="00D1655B" w14:textId="5003C6B3">
      <w:pPr>
        <w:rPr>
          <w:rFonts w:ascii="Times New Roman" w:hAnsi="Times New Roman"/>
          <w:szCs w:val="24"/>
        </w:rPr>
      </w:pPr>
      <w:r>
        <w:rPr>
          <w:rFonts w:ascii="Times New Roman" w:hAnsi="Times New Roman"/>
          <w:szCs w:val="24"/>
        </w:rPr>
        <w:tab/>
        <w:t>Autumn Alderdice</w:t>
      </w:r>
    </w:p>
    <w:p w:rsidR="00581A6B" w:rsidRDefault="00581A6B" w14:paraId="3BEAAC2D" w14:textId="17DD4AAD">
      <w:pPr>
        <w:rPr>
          <w:rFonts w:ascii="Times New Roman" w:hAnsi="Times New Roman"/>
          <w:szCs w:val="24"/>
        </w:rPr>
      </w:pPr>
      <w:r>
        <w:rPr>
          <w:rFonts w:ascii="Times New Roman" w:hAnsi="Times New Roman"/>
          <w:szCs w:val="24"/>
        </w:rPr>
        <w:tab/>
        <w:t>Mack Martinez</w:t>
      </w:r>
    </w:p>
    <w:p w:rsidR="00581A6B" w:rsidRDefault="00581A6B" w14:paraId="1F868A6B" w14:textId="2C161F9C">
      <w:pPr>
        <w:rPr>
          <w:rFonts w:ascii="Times New Roman" w:hAnsi="Times New Roman"/>
          <w:szCs w:val="24"/>
        </w:rPr>
      </w:pPr>
      <w:r>
        <w:rPr>
          <w:rFonts w:ascii="Times New Roman" w:hAnsi="Times New Roman"/>
          <w:szCs w:val="24"/>
        </w:rPr>
        <w:tab/>
        <w:t>Rogan Flowers</w:t>
      </w:r>
    </w:p>
    <w:p w:rsidR="00581A6B" w:rsidRDefault="00581A6B" w14:paraId="67C7618F" w14:textId="61C19D34">
      <w:pPr>
        <w:rPr>
          <w:rFonts w:ascii="Times New Roman" w:hAnsi="Times New Roman"/>
          <w:szCs w:val="24"/>
        </w:rPr>
      </w:pPr>
      <w:r>
        <w:rPr>
          <w:rFonts w:ascii="Times New Roman" w:hAnsi="Times New Roman"/>
          <w:szCs w:val="24"/>
        </w:rPr>
        <w:tab/>
        <w:t>Thomas Beatty</w:t>
      </w:r>
    </w:p>
    <w:p w:rsidR="00581A6B" w:rsidRDefault="00581A6B" w14:paraId="5BB8CBD9" w14:textId="505B7A12">
      <w:pPr>
        <w:rPr>
          <w:rFonts w:ascii="Times New Roman" w:hAnsi="Times New Roman"/>
          <w:szCs w:val="24"/>
        </w:rPr>
      </w:pPr>
      <w:r>
        <w:rPr>
          <w:rFonts w:ascii="Times New Roman" w:hAnsi="Times New Roman"/>
          <w:szCs w:val="24"/>
        </w:rPr>
        <w:tab/>
        <w:t>John Sawyer</w:t>
      </w:r>
    </w:p>
    <w:p w:rsidR="00581A6B" w:rsidRDefault="00581A6B" w14:paraId="6066F35B" w14:textId="1C5F49EB">
      <w:pPr>
        <w:rPr>
          <w:rFonts w:ascii="Times New Roman" w:hAnsi="Times New Roman"/>
          <w:szCs w:val="24"/>
        </w:rPr>
      </w:pPr>
      <w:r>
        <w:rPr>
          <w:rFonts w:ascii="Times New Roman" w:hAnsi="Times New Roman"/>
          <w:szCs w:val="24"/>
        </w:rPr>
        <w:tab/>
        <w:t>Samuel Colasanti</w:t>
      </w:r>
    </w:p>
    <w:p w:rsidR="00582C64" w:rsidRDefault="00582C64" w14:paraId="0EA38B20" w14:textId="331CFA6E">
      <w:pPr>
        <w:rPr>
          <w:rFonts w:ascii="Times New Roman" w:hAnsi="Times New Roman"/>
          <w:szCs w:val="24"/>
        </w:rPr>
      </w:pPr>
    </w:p>
    <w:p w:rsidRPr="004B6094" w:rsidR="00582C64" w:rsidRDefault="00582C64" w14:paraId="79C02373" w14:textId="715FD259">
      <w:pPr>
        <w:rPr>
          <w:rFonts w:ascii="Times New Roman" w:hAnsi="Times New Roman"/>
          <w:szCs w:val="24"/>
        </w:rPr>
      </w:pPr>
      <w:r w:rsidRPr="00F35443">
        <w:rPr>
          <w:rFonts w:ascii="Times New Roman" w:hAnsi="Times New Roman"/>
          <w:szCs w:val="24"/>
        </w:rPr>
        <w:t>T</w:t>
      </w:r>
      <w:r w:rsidRPr="00F35443" w:rsidR="00F35443">
        <w:rPr>
          <w:rFonts w:ascii="Times New Roman" w:hAnsi="Times New Roman"/>
          <w:szCs w:val="24"/>
        </w:rPr>
        <w:t>he A</w:t>
      </w:r>
      <w:r w:rsidRPr="00F35443">
        <w:rPr>
          <w:rFonts w:ascii="Times New Roman" w:hAnsi="Times New Roman"/>
          <w:szCs w:val="24"/>
        </w:rPr>
        <w:t>cting Deputy Director of the BEYOND program, Corbin T. Jones, serves as the primary point of contact. Mr. Jones’ telephone number is (202) 267-3283.</w:t>
      </w:r>
    </w:p>
    <w:sectPr w:rsidRPr="004B6094" w:rsidR="00582C64" w:rsidSect="00BA3587">
      <w:endnotePr>
        <w:numFmt w:val="decimal"/>
      </w:endnotePr>
      <w:pgSz w:w="12240" w:h="15840" w:code="1"/>
      <w:pgMar w:top="1152" w:right="1152" w:bottom="1152" w:left="115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F95CE" w14:textId="77777777" w:rsidR="00E83202" w:rsidRDefault="00E83202">
      <w:r>
        <w:separator/>
      </w:r>
    </w:p>
  </w:endnote>
  <w:endnote w:type="continuationSeparator" w:id="0">
    <w:p w14:paraId="18A1D5DA" w14:textId="77777777" w:rsidR="00E83202" w:rsidRDefault="00E83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D3A7E" w14:textId="77777777" w:rsidR="00E83202" w:rsidRDefault="00E83202">
      <w:r>
        <w:separator/>
      </w:r>
    </w:p>
  </w:footnote>
  <w:footnote w:type="continuationSeparator" w:id="0">
    <w:p w14:paraId="2671C74E" w14:textId="77777777" w:rsidR="00E83202" w:rsidRDefault="00E83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F4965"/>
    <w:multiLevelType w:val="multilevel"/>
    <w:tmpl w:val="2A54612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3.%3"/>
      <w:lvlJc w:val="left"/>
      <w:pPr>
        <w:ind w:left="990" w:hanging="720"/>
      </w:pPr>
      <w:rPr>
        <w:rFonts w:hint="default"/>
        <w:b/>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625718A"/>
    <w:multiLevelType w:val="hybridMultilevel"/>
    <w:tmpl w:val="0AE65422"/>
    <w:lvl w:ilvl="0" w:tplc="428C564E">
      <w:start w:val="1"/>
      <w:numFmt w:val="lowerRoman"/>
      <w:pStyle w:val="ListParagraph"/>
      <w:lvlText w:val="(i%1)"/>
      <w:lvlJc w:val="right"/>
      <w:pPr>
        <w:ind w:left="1220" w:hanging="360"/>
      </w:pPr>
      <w:rPr>
        <w:rFonts w:hint="default"/>
        <w:spacing w:val="-1"/>
        <w:w w:val="99"/>
        <w:sz w:val="24"/>
        <w:szCs w:val="24"/>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 w15:restartNumberingAfterBreak="0">
    <w:nsid w:val="52902A94"/>
    <w:multiLevelType w:val="hybridMultilevel"/>
    <w:tmpl w:val="3954D4AC"/>
    <w:lvl w:ilvl="0" w:tplc="80C0B91A">
      <w:start w:val="1"/>
      <w:numFmt w:val="decimal"/>
      <w:lvlText w:val="%1)"/>
      <w:lvlJc w:val="left"/>
      <w:pPr>
        <w:ind w:left="936" w:hanging="360"/>
      </w:pPr>
      <w:rPr>
        <w:rFonts w:hint="default"/>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5E8C7DAE"/>
    <w:multiLevelType w:val="hybridMultilevel"/>
    <w:tmpl w:val="8206AE9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76EC10EA"/>
    <w:multiLevelType w:val="hybridMultilevel"/>
    <w:tmpl w:val="74EAA3F8"/>
    <w:lvl w:ilvl="0" w:tplc="F52E97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587"/>
    <w:rsid w:val="0003037C"/>
    <w:rsid w:val="00060F48"/>
    <w:rsid w:val="000F7AE9"/>
    <w:rsid w:val="002045F1"/>
    <w:rsid w:val="00215FAD"/>
    <w:rsid w:val="00220523"/>
    <w:rsid w:val="0022309E"/>
    <w:rsid w:val="002E7211"/>
    <w:rsid w:val="002E7579"/>
    <w:rsid w:val="002F0304"/>
    <w:rsid w:val="003426C3"/>
    <w:rsid w:val="00365E63"/>
    <w:rsid w:val="00396996"/>
    <w:rsid w:val="003A55A3"/>
    <w:rsid w:val="004634DF"/>
    <w:rsid w:val="004B6094"/>
    <w:rsid w:val="004C184F"/>
    <w:rsid w:val="004F4423"/>
    <w:rsid w:val="00520060"/>
    <w:rsid w:val="00522BBC"/>
    <w:rsid w:val="00581A6B"/>
    <w:rsid w:val="00582C64"/>
    <w:rsid w:val="005A1AC6"/>
    <w:rsid w:val="005A40D3"/>
    <w:rsid w:val="005B7A6C"/>
    <w:rsid w:val="005C3D5D"/>
    <w:rsid w:val="00611695"/>
    <w:rsid w:val="006131DA"/>
    <w:rsid w:val="0068184E"/>
    <w:rsid w:val="006B1E23"/>
    <w:rsid w:val="006D7A63"/>
    <w:rsid w:val="007715AE"/>
    <w:rsid w:val="007E15B5"/>
    <w:rsid w:val="00885328"/>
    <w:rsid w:val="008F675D"/>
    <w:rsid w:val="00953C8F"/>
    <w:rsid w:val="00966FF8"/>
    <w:rsid w:val="009D1B3C"/>
    <w:rsid w:val="009E2224"/>
    <w:rsid w:val="00A153C7"/>
    <w:rsid w:val="00A70BCC"/>
    <w:rsid w:val="00B6231B"/>
    <w:rsid w:val="00B83D66"/>
    <w:rsid w:val="00B902DB"/>
    <w:rsid w:val="00B954B2"/>
    <w:rsid w:val="00BA3587"/>
    <w:rsid w:val="00C36AE9"/>
    <w:rsid w:val="00C44BF0"/>
    <w:rsid w:val="00CF05D7"/>
    <w:rsid w:val="00CF269F"/>
    <w:rsid w:val="00DD2555"/>
    <w:rsid w:val="00DF01C8"/>
    <w:rsid w:val="00E17D84"/>
    <w:rsid w:val="00E27E05"/>
    <w:rsid w:val="00E73E6F"/>
    <w:rsid w:val="00E83202"/>
    <w:rsid w:val="00EE6815"/>
    <w:rsid w:val="00F35443"/>
    <w:rsid w:val="00F41508"/>
    <w:rsid w:val="00F63134"/>
    <w:rsid w:val="00F81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C1B3C"/>
  <w15:chartTrackingRefBased/>
  <w15:docId w15:val="{658445E3-22C3-4055-A480-09DEC1F0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587"/>
    <w:pPr>
      <w:widowControl w:val="0"/>
    </w:pPr>
    <w:rPr>
      <w:rFonts w:ascii="Arial" w:hAnsi="Arial"/>
      <w:snapToGrid w:val="0"/>
      <w:sz w:val="24"/>
    </w:rPr>
  </w:style>
  <w:style w:type="paragraph" w:styleId="Heading2">
    <w:name w:val="heading 2"/>
    <w:basedOn w:val="Normal"/>
    <w:link w:val="Heading2Char"/>
    <w:uiPriority w:val="1"/>
    <w:qFormat/>
    <w:rsid w:val="00CF05D7"/>
    <w:pPr>
      <w:numPr>
        <w:ilvl w:val="1"/>
        <w:numId w:val="2"/>
      </w:numPr>
      <w:autoSpaceDE w:val="0"/>
      <w:autoSpaceDN w:val="0"/>
      <w:spacing w:before="120" w:after="120"/>
      <w:outlineLvl w:val="1"/>
    </w:pPr>
    <w:rPr>
      <w:rFonts w:ascii="Times New Roman" w:hAnsi="Times New Roman"/>
      <w:b/>
      <w:bCs/>
      <w:snapToGrid/>
      <w:szCs w:val="24"/>
    </w:rPr>
  </w:style>
  <w:style w:type="paragraph" w:styleId="Heading4">
    <w:name w:val="heading 4"/>
    <w:basedOn w:val="Normal"/>
    <w:next w:val="Normal"/>
    <w:link w:val="Heading4Char"/>
    <w:uiPriority w:val="9"/>
    <w:unhideWhenUsed/>
    <w:qFormat/>
    <w:rsid w:val="00CF05D7"/>
    <w:pPr>
      <w:keepNext/>
      <w:keepLines/>
      <w:numPr>
        <w:ilvl w:val="3"/>
        <w:numId w:val="2"/>
      </w:numPr>
      <w:autoSpaceDE w:val="0"/>
      <w:autoSpaceDN w:val="0"/>
      <w:spacing w:before="40"/>
      <w:outlineLvl w:val="3"/>
    </w:pPr>
    <w:rPr>
      <w:rFonts w:ascii="Times New Roman" w:hAnsi="Times New Roman"/>
      <w:iCs/>
      <w:snapToGrid/>
      <w:szCs w:val="22"/>
    </w:rPr>
  </w:style>
  <w:style w:type="paragraph" w:styleId="Heading5">
    <w:name w:val="heading 5"/>
    <w:basedOn w:val="Normal"/>
    <w:next w:val="Normal"/>
    <w:link w:val="Heading5Char"/>
    <w:uiPriority w:val="9"/>
    <w:semiHidden/>
    <w:unhideWhenUsed/>
    <w:qFormat/>
    <w:rsid w:val="00CF05D7"/>
    <w:pPr>
      <w:keepNext/>
      <w:keepLines/>
      <w:numPr>
        <w:ilvl w:val="4"/>
        <w:numId w:val="2"/>
      </w:numPr>
      <w:autoSpaceDE w:val="0"/>
      <w:autoSpaceDN w:val="0"/>
      <w:spacing w:before="40"/>
      <w:outlineLvl w:val="4"/>
    </w:pPr>
    <w:rPr>
      <w:rFonts w:ascii="Calibri Light" w:hAnsi="Calibri Light"/>
      <w:snapToGrid/>
      <w:color w:val="2E74B5"/>
      <w:sz w:val="22"/>
      <w:szCs w:val="22"/>
    </w:rPr>
  </w:style>
  <w:style w:type="paragraph" w:styleId="Heading6">
    <w:name w:val="heading 6"/>
    <w:basedOn w:val="Normal"/>
    <w:next w:val="Normal"/>
    <w:link w:val="Heading6Char"/>
    <w:uiPriority w:val="9"/>
    <w:semiHidden/>
    <w:unhideWhenUsed/>
    <w:qFormat/>
    <w:rsid w:val="00CF05D7"/>
    <w:pPr>
      <w:keepNext/>
      <w:keepLines/>
      <w:numPr>
        <w:ilvl w:val="5"/>
        <w:numId w:val="2"/>
      </w:numPr>
      <w:autoSpaceDE w:val="0"/>
      <w:autoSpaceDN w:val="0"/>
      <w:spacing w:before="40"/>
      <w:outlineLvl w:val="5"/>
    </w:pPr>
    <w:rPr>
      <w:rFonts w:ascii="Calibri Light" w:hAnsi="Calibri Light"/>
      <w:snapToGrid/>
      <w:color w:val="1F4D78"/>
      <w:sz w:val="22"/>
      <w:szCs w:val="22"/>
    </w:rPr>
  </w:style>
  <w:style w:type="paragraph" w:styleId="Heading7">
    <w:name w:val="heading 7"/>
    <w:basedOn w:val="Normal"/>
    <w:next w:val="Normal"/>
    <w:link w:val="Heading7Char"/>
    <w:uiPriority w:val="9"/>
    <w:semiHidden/>
    <w:unhideWhenUsed/>
    <w:qFormat/>
    <w:rsid w:val="00CF05D7"/>
    <w:pPr>
      <w:keepNext/>
      <w:keepLines/>
      <w:numPr>
        <w:ilvl w:val="6"/>
        <w:numId w:val="2"/>
      </w:numPr>
      <w:autoSpaceDE w:val="0"/>
      <w:autoSpaceDN w:val="0"/>
      <w:spacing w:before="40"/>
      <w:outlineLvl w:val="6"/>
    </w:pPr>
    <w:rPr>
      <w:rFonts w:ascii="Calibri Light" w:hAnsi="Calibri Light"/>
      <w:i/>
      <w:iCs/>
      <w:snapToGrid/>
      <w:color w:val="1F4D78"/>
      <w:sz w:val="22"/>
      <w:szCs w:val="22"/>
    </w:rPr>
  </w:style>
  <w:style w:type="paragraph" w:styleId="Heading8">
    <w:name w:val="heading 8"/>
    <w:basedOn w:val="Normal"/>
    <w:next w:val="Normal"/>
    <w:link w:val="Heading8Char"/>
    <w:uiPriority w:val="9"/>
    <w:semiHidden/>
    <w:unhideWhenUsed/>
    <w:qFormat/>
    <w:rsid w:val="00CF05D7"/>
    <w:pPr>
      <w:keepNext/>
      <w:keepLines/>
      <w:numPr>
        <w:ilvl w:val="7"/>
        <w:numId w:val="2"/>
      </w:numPr>
      <w:autoSpaceDE w:val="0"/>
      <w:autoSpaceDN w:val="0"/>
      <w:spacing w:before="40"/>
      <w:outlineLvl w:val="7"/>
    </w:pPr>
    <w:rPr>
      <w:rFonts w:ascii="Calibri Light" w:hAnsi="Calibri Light"/>
      <w:snapToGrid/>
      <w:color w:val="272727"/>
      <w:sz w:val="21"/>
      <w:szCs w:val="21"/>
    </w:rPr>
  </w:style>
  <w:style w:type="paragraph" w:styleId="Heading9">
    <w:name w:val="heading 9"/>
    <w:basedOn w:val="Normal"/>
    <w:next w:val="Normal"/>
    <w:link w:val="Heading9Char"/>
    <w:uiPriority w:val="9"/>
    <w:semiHidden/>
    <w:unhideWhenUsed/>
    <w:qFormat/>
    <w:rsid w:val="00CF05D7"/>
    <w:pPr>
      <w:keepNext/>
      <w:keepLines/>
      <w:numPr>
        <w:ilvl w:val="8"/>
        <w:numId w:val="2"/>
      </w:numPr>
      <w:autoSpaceDE w:val="0"/>
      <w:autoSpaceDN w:val="0"/>
      <w:spacing w:before="40"/>
      <w:outlineLvl w:val="8"/>
    </w:pPr>
    <w:rPr>
      <w:rFonts w:ascii="Calibri Light" w:hAnsi="Calibri Light"/>
      <w:i/>
      <w:iCs/>
      <w:snapToGrid/>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A3587"/>
    <w:pPr>
      <w:jc w:val="center"/>
    </w:pPr>
    <w:rPr>
      <w:b/>
      <w:bCs/>
    </w:rPr>
  </w:style>
  <w:style w:type="character" w:customStyle="1" w:styleId="Heading2Char">
    <w:name w:val="Heading 2 Char"/>
    <w:link w:val="Heading2"/>
    <w:uiPriority w:val="1"/>
    <w:rsid w:val="00CF05D7"/>
    <w:rPr>
      <w:b/>
      <w:bCs/>
      <w:sz w:val="24"/>
      <w:szCs w:val="24"/>
    </w:rPr>
  </w:style>
  <w:style w:type="character" w:customStyle="1" w:styleId="Heading4Char">
    <w:name w:val="Heading 4 Char"/>
    <w:link w:val="Heading4"/>
    <w:uiPriority w:val="9"/>
    <w:rsid w:val="00CF05D7"/>
    <w:rPr>
      <w:iCs/>
      <w:sz w:val="24"/>
      <w:szCs w:val="22"/>
    </w:rPr>
  </w:style>
  <w:style w:type="character" w:customStyle="1" w:styleId="Heading5Char">
    <w:name w:val="Heading 5 Char"/>
    <w:link w:val="Heading5"/>
    <w:uiPriority w:val="9"/>
    <w:semiHidden/>
    <w:rsid w:val="00CF05D7"/>
    <w:rPr>
      <w:rFonts w:ascii="Calibri Light" w:hAnsi="Calibri Light"/>
      <w:color w:val="2E74B5"/>
      <w:sz w:val="22"/>
      <w:szCs w:val="22"/>
    </w:rPr>
  </w:style>
  <w:style w:type="character" w:customStyle="1" w:styleId="Heading6Char">
    <w:name w:val="Heading 6 Char"/>
    <w:link w:val="Heading6"/>
    <w:uiPriority w:val="9"/>
    <w:semiHidden/>
    <w:rsid w:val="00CF05D7"/>
    <w:rPr>
      <w:rFonts w:ascii="Calibri Light" w:hAnsi="Calibri Light"/>
      <w:color w:val="1F4D78"/>
      <w:sz w:val="22"/>
      <w:szCs w:val="22"/>
    </w:rPr>
  </w:style>
  <w:style w:type="character" w:customStyle="1" w:styleId="Heading7Char">
    <w:name w:val="Heading 7 Char"/>
    <w:link w:val="Heading7"/>
    <w:uiPriority w:val="9"/>
    <w:semiHidden/>
    <w:rsid w:val="00CF05D7"/>
    <w:rPr>
      <w:rFonts w:ascii="Calibri Light" w:hAnsi="Calibri Light"/>
      <w:i/>
      <w:iCs/>
      <w:color w:val="1F4D78"/>
      <w:sz w:val="22"/>
      <w:szCs w:val="22"/>
    </w:rPr>
  </w:style>
  <w:style w:type="character" w:customStyle="1" w:styleId="Heading8Char">
    <w:name w:val="Heading 8 Char"/>
    <w:link w:val="Heading8"/>
    <w:uiPriority w:val="9"/>
    <w:semiHidden/>
    <w:rsid w:val="00CF05D7"/>
    <w:rPr>
      <w:rFonts w:ascii="Calibri Light" w:hAnsi="Calibri Light"/>
      <w:color w:val="272727"/>
      <w:sz w:val="21"/>
      <w:szCs w:val="21"/>
    </w:rPr>
  </w:style>
  <w:style w:type="character" w:customStyle="1" w:styleId="Heading9Char">
    <w:name w:val="Heading 9 Char"/>
    <w:link w:val="Heading9"/>
    <w:uiPriority w:val="9"/>
    <w:semiHidden/>
    <w:rsid w:val="00CF05D7"/>
    <w:rPr>
      <w:rFonts w:ascii="Calibri Light" w:hAnsi="Calibri Light"/>
      <w:i/>
      <w:iCs/>
      <w:color w:val="272727"/>
      <w:sz w:val="21"/>
      <w:szCs w:val="21"/>
    </w:rPr>
  </w:style>
  <w:style w:type="paragraph" w:styleId="FootnoteText">
    <w:name w:val="footnote text"/>
    <w:basedOn w:val="Normal"/>
    <w:link w:val="FootnoteTextChar"/>
    <w:uiPriority w:val="99"/>
    <w:unhideWhenUsed/>
    <w:rsid w:val="00520060"/>
    <w:pPr>
      <w:widowControl/>
    </w:pPr>
    <w:rPr>
      <w:rFonts w:ascii="Calibri" w:eastAsia="Calibri" w:hAnsi="Calibri"/>
      <w:snapToGrid/>
      <w:sz w:val="20"/>
    </w:rPr>
  </w:style>
  <w:style w:type="character" w:customStyle="1" w:styleId="FootnoteTextChar">
    <w:name w:val="Footnote Text Char"/>
    <w:link w:val="FootnoteText"/>
    <w:uiPriority w:val="99"/>
    <w:rsid w:val="00520060"/>
    <w:rPr>
      <w:rFonts w:ascii="Calibri" w:eastAsia="Calibri" w:hAnsi="Calibri"/>
    </w:rPr>
  </w:style>
  <w:style w:type="character" w:styleId="FootnoteReference">
    <w:name w:val="footnote reference"/>
    <w:uiPriority w:val="99"/>
    <w:unhideWhenUsed/>
    <w:rsid w:val="00520060"/>
    <w:rPr>
      <w:vertAlign w:val="superscript"/>
    </w:rPr>
  </w:style>
  <w:style w:type="character" w:styleId="CommentReference">
    <w:name w:val="annotation reference"/>
    <w:basedOn w:val="DefaultParagraphFont"/>
    <w:rsid w:val="000F7AE9"/>
    <w:rPr>
      <w:sz w:val="16"/>
      <w:szCs w:val="16"/>
    </w:rPr>
  </w:style>
  <w:style w:type="paragraph" w:styleId="CommentText">
    <w:name w:val="annotation text"/>
    <w:basedOn w:val="Normal"/>
    <w:link w:val="CommentTextChar"/>
    <w:rsid w:val="000F7AE9"/>
    <w:rPr>
      <w:sz w:val="20"/>
    </w:rPr>
  </w:style>
  <w:style w:type="character" w:customStyle="1" w:styleId="CommentTextChar">
    <w:name w:val="Comment Text Char"/>
    <w:basedOn w:val="DefaultParagraphFont"/>
    <w:link w:val="CommentText"/>
    <w:rsid w:val="000F7AE9"/>
    <w:rPr>
      <w:rFonts w:ascii="Arial" w:hAnsi="Arial"/>
      <w:snapToGrid w:val="0"/>
    </w:rPr>
  </w:style>
  <w:style w:type="paragraph" w:styleId="CommentSubject">
    <w:name w:val="annotation subject"/>
    <w:basedOn w:val="CommentText"/>
    <w:next w:val="CommentText"/>
    <w:link w:val="CommentSubjectChar"/>
    <w:rsid w:val="000F7AE9"/>
    <w:rPr>
      <w:b/>
      <w:bCs/>
    </w:rPr>
  </w:style>
  <w:style w:type="character" w:customStyle="1" w:styleId="CommentSubjectChar">
    <w:name w:val="Comment Subject Char"/>
    <w:basedOn w:val="CommentTextChar"/>
    <w:link w:val="CommentSubject"/>
    <w:rsid w:val="000F7AE9"/>
    <w:rPr>
      <w:rFonts w:ascii="Arial" w:hAnsi="Arial"/>
      <w:b/>
      <w:bCs/>
      <w:snapToGrid w:val="0"/>
    </w:rPr>
  </w:style>
  <w:style w:type="paragraph" w:styleId="BalloonText">
    <w:name w:val="Balloon Text"/>
    <w:basedOn w:val="Normal"/>
    <w:link w:val="BalloonTextChar"/>
    <w:rsid w:val="000F7AE9"/>
    <w:rPr>
      <w:rFonts w:ascii="Segoe UI" w:hAnsi="Segoe UI" w:cs="Segoe UI"/>
      <w:sz w:val="18"/>
      <w:szCs w:val="18"/>
    </w:rPr>
  </w:style>
  <w:style w:type="character" w:customStyle="1" w:styleId="BalloonTextChar">
    <w:name w:val="Balloon Text Char"/>
    <w:basedOn w:val="DefaultParagraphFont"/>
    <w:link w:val="BalloonText"/>
    <w:rsid w:val="000F7AE9"/>
    <w:rPr>
      <w:rFonts w:ascii="Segoe UI" w:hAnsi="Segoe UI" w:cs="Segoe UI"/>
      <w:snapToGrid w:val="0"/>
      <w:sz w:val="18"/>
      <w:szCs w:val="18"/>
    </w:rPr>
  </w:style>
  <w:style w:type="paragraph" w:styleId="ListParagraph">
    <w:name w:val="List Paragraph"/>
    <w:basedOn w:val="Normal"/>
    <w:uiPriority w:val="34"/>
    <w:qFormat/>
    <w:rsid w:val="0022309E"/>
    <w:pPr>
      <w:numPr>
        <w:numId w:val="4"/>
      </w:numPr>
      <w:autoSpaceDE w:val="0"/>
      <w:autoSpaceDN w:val="0"/>
    </w:pPr>
    <w:rPr>
      <w:rFonts w:ascii="Times New Roman" w:hAnsi="Times New Roman"/>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D16A36769BC24B87AE521810D2AB01" ma:contentTypeVersion="0" ma:contentTypeDescription="Create a new document." ma:contentTypeScope="" ma:versionID="fefcef853199a83b4c6cfde197761d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C124C-A7B4-4366-BD97-A13B90F15966}">
  <ds:schemaRefs>
    <ds:schemaRef ds:uri="http://schemas.microsoft.com/sharepoint/v3/contenttype/forms"/>
  </ds:schemaRefs>
</ds:datastoreItem>
</file>

<file path=customXml/itemProps2.xml><?xml version="1.0" encoding="utf-8"?>
<ds:datastoreItem xmlns:ds="http://schemas.openxmlformats.org/officeDocument/2006/customXml" ds:itemID="{1D40810E-E9E8-4AEE-A5D6-AC56FFEF2378}">
  <ds:schemaRefs>
    <ds:schemaRef ds:uri="http://schemas.microsoft.com/office/2006/metadata/longProperties"/>
  </ds:schemaRefs>
</ds:datastoreItem>
</file>

<file path=customXml/itemProps3.xml><?xml version="1.0" encoding="utf-8"?>
<ds:datastoreItem xmlns:ds="http://schemas.openxmlformats.org/officeDocument/2006/customXml" ds:itemID="{DCC5AB71-7140-4961-AF49-748B2E9931A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647CDD0-043C-4661-B4CE-3448DA13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2984</Words>
  <Characters>17012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OMB 83-I Supporting Statement</vt:lpstr>
    </vt:vector>
  </TitlesOfParts>
  <Company>Air Traffic Organization</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83-I Supporting Statement</dc:title>
  <dc:subject/>
  <dc:creator>Taylor CTR Dahl</dc:creator>
  <cp:keywords/>
  <cp:lastModifiedBy>Jones, Corbin T (FAA)</cp:lastModifiedBy>
  <cp:revision>2</cp:revision>
  <dcterms:created xsi:type="dcterms:W3CDTF">2021-07-02T12:00:00Z</dcterms:created>
  <dcterms:modified xsi:type="dcterms:W3CDTF">2021-07-02T12:00:00Z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https://ksn2.faa.gov/faa/uasipp/PMDocuments/Post-IPP BEYOND/PRA/Supporting Statement Part B - DRAFT v2.doc</vt:lpwstr>
  </property>
  <property fmtid="{D5CDD505-2E9C-101B-9397-08002B2CF9AE}" pid="3" name="Order">
    <vt:lpwstr>854300.000000000</vt:lpwstr>
  </property>
  <property fmtid="{D5CDD505-2E9C-101B-9397-08002B2CF9AE}" pid="4" name="TemplateUrl">
    <vt:lpwstr/>
  </property>
  <property fmtid="{D5CDD505-2E9C-101B-9397-08002B2CF9AE}" pid="5" name="xd_ProgID">
    <vt:lpwstr/>
  </property>
  <property fmtid="{D5CDD505-2E9C-101B-9397-08002B2CF9AE}" pid="6" name="ContentTypeId">
    <vt:lpwstr>0x01010050D16A36769BC24B87AE521810D2AB01</vt:lpwstr>
  </property>
</Properties>
</file>