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C346F" w:rsidR="00470720" w:rsidP="006B7F1C" w:rsidRDefault="00470720" w14:paraId="1DBADD38" w14:textId="77777777">
      <w:pPr>
        <w:pStyle w:val="Title"/>
        <w:rPr>
          <w:rFonts w:ascii="Times New Roman" w:hAnsi="Times New Roman"/>
          <w:u w:val="none"/>
        </w:rPr>
      </w:pPr>
      <w:r w:rsidRPr="00DC346F">
        <w:rPr>
          <w:rFonts w:ascii="Times New Roman" w:hAnsi="Times New Roman"/>
          <w:u w:val="none"/>
        </w:rPr>
        <w:t>Department of Transportation</w:t>
      </w:r>
    </w:p>
    <w:p w:rsidRPr="00DC346F" w:rsidR="00E9282C" w:rsidP="006B7F1C" w:rsidRDefault="00D65E27" w14:paraId="24C573DA" w14:textId="77777777">
      <w:pPr>
        <w:pStyle w:val="Title"/>
        <w:rPr>
          <w:rFonts w:ascii="Times New Roman" w:hAnsi="Times New Roman"/>
          <w:u w:val="none"/>
        </w:rPr>
      </w:pPr>
      <w:r w:rsidRPr="00DC346F">
        <w:rPr>
          <w:rFonts w:ascii="Times New Roman" w:hAnsi="Times New Roman"/>
          <w:u w:val="none"/>
        </w:rPr>
        <w:t>Office of the Chief Information Officer</w:t>
      </w:r>
    </w:p>
    <w:p w:rsidRPr="00DC346F" w:rsidR="001945B8" w:rsidP="006B7F1C" w:rsidRDefault="006C01BF" w14:paraId="45FA491D" w14:textId="77777777">
      <w:pPr>
        <w:pStyle w:val="Title"/>
        <w:rPr>
          <w:rFonts w:ascii="Times New Roman" w:hAnsi="Times New Roman"/>
          <w:u w:val="none"/>
        </w:rPr>
      </w:pPr>
      <w:r w:rsidRPr="00DC346F">
        <w:rPr>
          <w:rFonts w:ascii="Times New Roman" w:hAnsi="Times New Roman"/>
          <w:u w:val="none"/>
        </w:rPr>
        <w:t>Supporting Statement</w:t>
      </w:r>
    </w:p>
    <w:p w:rsidRPr="00DC346F" w:rsidR="00D65E27" w:rsidP="006B7F1C" w:rsidRDefault="00D65E27" w14:paraId="2DD3ABFD" w14:textId="77777777">
      <w:pPr>
        <w:pStyle w:val="Title"/>
        <w:rPr>
          <w:rFonts w:ascii="Times New Roman" w:hAnsi="Times New Roman"/>
        </w:rPr>
      </w:pPr>
    </w:p>
    <w:p w:rsidRPr="00DC346F" w:rsidR="00DA7852" w:rsidP="006B7F1C" w:rsidRDefault="00DA7852" w14:paraId="2C79C335" w14:textId="77777777">
      <w:pPr>
        <w:jc w:val="center"/>
        <w:rPr>
          <w:rFonts w:ascii="Times New Roman" w:hAnsi="Times New Roman"/>
          <w:bCs/>
          <w:sz w:val="24"/>
          <w:szCs w:val="24"/>
        </w:rPr>
      </w:pPr>
      <w:r w:rsidRPr="00DC346F">
        <w:rPr>
          <w:rFonts w:ascii="Times New Roman" w:hAnsi="Times New Roman"/>
          <w:bCs/>
          <w:sz w:val="24"/>
          <w:szCs w:val="24"/>
        </w:rPr>
        <w:t>Rulemaking, Special Permits</w:t>
      </w:r>
      <w:r w:rsidR="005A19B6">
        <w:rPr>
          <w:rFonts w:ascii="Times New Roman" w:hAnsi="Times New Roman"/>
          <w:bCs/>
          <w:sz w:val="24"/>
          <w:szCs w:val="24"/>
        </w:rPr>
        <w:t>,</w:t>
      </w:r>
      <w:r w:rsidRPr="00DC346F">
        <w:rPr>
          <w:rFonts w:ascii="Times New Roman" w:hAnsi="Times New Roman"/>
          <w:bCs/>
          <w:sz w:val="24"/>
          <w:szCs w:val="24"/>
        </w:rPr>
        <w:t xml:space="preserve"> and Preemption Requirements</w:t>
      </w:r>
    </w:p>
    <w:p w:rsidRPr="00DC346F" w:rsidR="001945B8" w:rsidP="006B7F1C" w:rsidRDefault="001945B8" w14:paraId="564287DE" w14:textId="77777777">
      <w:pPr>
        <w:jc w:val="center"/>
        <w:rPr>
          <w:rFonts w:ascii="Times New Roman" w:hAnsi="Times New Roman"/>
          <w:bCs/>
          <w:sz w:val="24"/>
          <w:szCs w:val="24"/>
        </w:rPr>
      </w:pPr>
      <w:r w:rsidRPr="00DC346F">
        <w:rPr>
          <w:rFonts w:ascii="Times New Roman" w:hAnsi="Times New Roman"/>
          <w:bCs/>
          <w:sz w:val="24"/>
          <w:szCs w:val="24"/>
        </w:rPr>
        <w:t>OMB Control No. 2137-0051</w:t>
      </w:r>
    </w:p>
    <w:p w:rsidRPr="00DC346F" w:rsidR="001945B8" w:rsidP="006B7F1C" w:rsidRDefault="001945B8" w14:paraId="516331A7" w14:textId="77777777">
      <w:pPr>
        <w:jc w:val="center"/>
        <w:rPr>
          <w:rFonts w:ascii="Times New Roman" w:hAnsi="Times New Roman"/>
          <w:bCs/>
          <w:sz w:val="24"/>
          <w:szCs w:val="24"/>
        </w:rPr>
      </w:pPr>
    </w:p>
    <w:p w:rsidRPr="00DC346F" w:rsidR="006C01BF" w:rsidP="006B7F1C" w:rsidRDefault="006C01BF" w14:paraId="6574C3FC" w14:textId="77777777">
      <w:pPr>
        <w:jc w:val="center"/>
        <w:rPr>
          <w:rFonts w:ascii="Times New Roman" w:hAnsi="Times New Roman"/>
          <w:bCs/>
          <w:sz w:val="24"/>
          <w:szCs w:val="24"/>
        </w:rPr>
      </w:pPr>
      <w:r w:rsidRPr="00DC346F">
        <w:rPr>
          <w:rFonts w:ascii="Times New Roman" w:hAnsi="Times New Roman"/>
          <w:bCs/>
          <w:sz w:val="24"/>
          <w:szCs w:val="24"/>
        </w:rPr>
        <w:t xml:space="preserve">(Expiration Date: </w:t>
      </w:r>
      <w:r w:rsidR="00054EDD">
        <w:rPr>
          <w:rFonts w:ascii="Times New Roman" w:hAnsi="Times New Roman"/>
          <w:bCs/>
          <w:sz w:val="24"/>
          <w:szCs w:val="24"/>
        </w:rPr>
        <w:t>August</w:t>
      </w:r>
      <w:r w:rsidRPr="00DC346F" w:rsidR="00054EDD">
        <w:rPr>
          <w:rFonts w:ascii="Times New Roman" w:hAnsi="Times New Roman"/>
          <w:bCs/>
          <w:sz w:val="24"/>
          <w:szCs w:val="24"/>
        </w:rPr>
        <w:t xml:space="preserve"> </w:t>
      </w:r>
      <w:r w:rsidR="00054EDD">
        <w:rPr>
          <w:rFonts w:ascii="Times New Roman" w:hAnsi="Times New Roman"/>
          <w:bCs/>
          <w:sz w:val="24"/>
          <w:szCs w:val="24"/>
        </w:rPr>
        <w:t>30</w:t>
      </w:r>
      <w:r w:rsidRPr="00DC346F">
        <w:rPr>
          <w:rFonts w:ascii="Times New Roman" w:hAnsi="Times New Roman"/>
          <w:bCs/>
          <w:sz w:val="24"/>
          <w:szCs w:val="24"/>
        </w:rPr>
        <w:t xml:space="preserve">, </w:t>
      </w:r>
      <w:r w:rsidR="00054EDD">
        <w:rPr>
          <w:rFonts w:ascii="Times New Roman" w:hAnsi="Times New Roman"/>
          <w:bCs/>
          <w:sz w:val="24"/>
          <w:szCs w:val="24"/>
        </w:rPr>
        <w:t>2021</w:t>
      </w:r>
      <w:r w:rsidRPr="00DC346F">
        <w:rPr>
          <w:rFonts w:ascii="Times New Roman" w:hAnsi="Times New Roman"/>
          <w:bCs/>
          <w:sz w:val="24"/>
          <w:szCs w:val="24"/>
        </w:rPr>
        <w:t>)</w:t>
      </w:r>
    </w:p>
    <w:p w:rsidRPr="00DC346F" w:rsidR="0004749E" w:rsidP="00DB7D1D" w:rsidRDefault="0004749E" w14:paraId="4B8F7F1A" w14:textId="77777777">
      <w:pPr>
        <w:rPr>
          <w:rFonts w:ascii="Times New Roman" w:hAnsi="Times New Roman"/>
          <w:b/>
          <w:bCs/>
          <w:sz w:val="24"/>
          <w:szCs w:val="24"/>
        </w:rPr>
      </w:pPr>
    </w:p>
    <w:p w:rsidRPr="00DC346F" w:rsidR="0004749E" w:rsidP="00422A41" w:rsidRDefault="0004749E" w14:paraId="5B0BD924" w14:textId="77777777">
      <w:pPr>
        <w:pStyle w:val="Subtitle"/>
        <w:rPr>
          <w:rFonts w:ascii="Times New Roman" w:hAnsi="Times New Roman"/>
        </w:rPr>
      </w:pPr>
      <w:r w:rsidRPr="00DC346F">
        <w:rPr>
          <w:rFonts w:ascii="Times New Roman" w:hAnsi="Times New Roman"/>
        </w:rPr>
        <w:t>I</w:t>
      </w:r>
      <w:r w:rsidRPr="00DC346F" w:rsidR="006C01BF">
        <w:rPr>
          <w:rFonts w:ascii="Times New Roman" w:hAnsi="Times New Roman"/>
        </w:rPr>
        <w:t>ntroduction</w:t>
      </w:r>
      <w:r w:rsidRPr="00DC346F" w:rsidR="00D65E27">
        <w:rPr>
          <w:rFonts w:ascii="Times New Roman" w:hAnsi="Times New Roman"/>
        </w:rPr>
        <w:t>:</w:t>
      </w:r>
    </w:p>
    <w:p w:rsidRPr="00DC346F" w:rsidR="00422A41" w:rsidP="00422A41" w:rsidRDefault="00422A41" w14:paraId="70962BF7" w14:textId="77777777">
      <w:pPr>
        <w:pStyle w:val="Subtitle"/>
        <w:rPr>
          <w:rFonts w:ascii="Times New Roman" w:hAnsi="Times New Roman"/>
        </w:rPr>
      </w:pPr>
    </w:p>
    <w:p w:rsidR="008C61D5" w:rsidP="008C61D5" w:rsidRDefault="000376A8" w14:paraId="4C21A687" w14:textId="77777777">
      <w:pPr>
        <w:rPr>
          <w:rFonts w:ascii="Times New Roman" w:hAnsi="Times New Roman"/>
          <w:sz w:val="24"/>
          <w:szCs w:val="24"/>
        </w:rPr>
      </w:pPr>
      <w:r w:rsidRPr="00DC346F">
        <w:rPr>
          <w:rFonts w:ascii="Times New Roman" w:hAnsi="Times New Roman"/>
          <w:sz w:val="24"/>
          <w:szCs w:val="24"/>
        </w:rPr>
        <w:t xml:space="preserve">This </w:t>
      </w:r>
      <w:r w:rsidRPr="00DC346F" w:rsidR="00D65E27">
        <w:rPr>
          <w:rFonts w:ascii="Times New Roman" w:hAnsi="Times New Roman"/>
          <w:sz w:val="24"/>
          <w:szCs w:val="24"/>
        </w:rPr>
        <w:t xml:space="preserve">is to request a </w:t>
      </w:r>
      <w:r w:rsidR="00B77FE8">
        <w:rPr>
          <w:rFonts w:ascii="Times New Roman" w:hAnsi="Times New Roman"/>
          <w:sz w:val="24"/>
          <w:szCs w:val="24"/>
        </w:rPr>
        <w:t>3</w:t>
      </w:r>
      <w:r w:rsidRPr="00DC346F" w:rsidR="00D65E27">
        <w:rPr>
          <w:rFonts w:ascii="Times New Roman" w:hAnsi="Times New Roman"/>
          <w:sz w:val="24"/>
          <w:szCs w:val="24"/>
        </w:rPr>
        <w:t>-year renewal with change of the information collection “Rulemaking, Special Permits and Preemption Requirements” (OMB Control No. 2137</w:t>
      </w:r>
      <w:r w:rsidRPr="00DC346F" w:rsidR="00D65E27">
        <w:rPr>
          <w:rFonts w:ascii="Times New Roman" w:hAnsi="Times New Roman"/>
          <w:sz w:val="24"/>
          <w:szCs w:val="24"/>
        </w:rPr>
        <w:noBreakHyphen/>
        <w:t>0</w:t>
      </w:r>
      <w:r w:rsidR="005610DA">
        <w:rPr>
          <w:rFonts w:ascii="Times New Roman" w:hAnsi="Times New Roman"/>
          <w:sz w:val="24"/>
          <w:szCs w:val="24"/>
        </w:rPr>
        <w:t>051), which is due to expire on August</w:t>
      </w:r>
      <w:r w:rsidRPr="00DC346F" w:rsidR="00D65E27">
        <w:rPr>
          <w:rFonts w:ascii="Times New Roman" w:hAnsi="Times New Roman"/>
          <w:sz w:val="24"/>
          <w:szCs w:val="24"/>
        </w:rPr>
        <w:t xml:space="preserve"> 30, </w:t>
      </w:r>
      <w:r w:rsidR="005610DA">
        <w:rPr>
          <w:rFonts w:ascii="Times New Roman" w:hAnsi="Times New Roman"/>
          <w:sz w:val="24"/>
          <w:szCs w:val="24"/>
        </w:rPr>
        <w:t>2021</w:t>
      </w:r>
      <w:r w:rsidRPr="00DC346F" w:rsidR="00D65E27">
        <w:rPr>
          <w:rFonts w:ascii="Times New Roman" w:hAnsi="Times New Roman"/>
          <w:sz w:val="24"/>
          <w:szCs w:val="24"/>
        </w:rPr>
        <w:t xml:space="preserve">.  This </w:t>
      </w:r>
      <w:r w:rsidRPr="00DC346F">
        <w:rPr>
          <w:rFonts w:ascii="Times New Roman" w:hAnsi="Times New Roman"/>
          <w:sz w:val="24"/>
          <w:szCs w:val="24"/>
        </w:rPr>
        <w:t xml:space="preserve">information collection was </w:t>
      </w:r>
      <w:r w:rsidRPr="00DC346F" w:rsidR="00D65E27">
        <w:rPr>
          <w:rFonts w:ascii="Times New Roman" w:hAnsi="Times New Roman"/>
          <w:sz w:val="24"/>
          <w:szCs w:val="24"/>
        </w:rPr>
        <w:t>initially created</w:t>
      </w:r>
      <w:r w:rsidRPr="00DC346F">
        <w:rPr>
          <w:rFonts w:ascii="Times New Roman" w:hAnsi="Times New Roman"/>
          <w:sz w:val="24"/>
          <w:szCs w:val="24"/>
        </w:rPr>
        <w:t xml:space="preserve"> in 1981 as a </w:t>
      </w:r>
      <w:r w:rsidRPr="00DC346F" w:rsidR="001945B8">
        <w:rPr>
          <w:rFonts w:ascii="Times New Roman" w:hAnsi="Times New Roman"/>
          <w:sz w:val="24"/>
          <w:szCs w:val="24"/>
        </w:rPr>
        <w:t xml:space="preserve">means for </w:t>
      </w:r>
      <w:r w:rsidRPr="00DC346F">
        <w:rPr>
          <w:rFonts w:ascii="Times New Roman" w:hAnsi="Times New Roman"/>
          <w:sz w:val="24"/>
          <w:szCs w:val="24"/>
        </w:rPr>
        <w:t>regulated</w:t>
      </w:r>
      <w:r w:rsidRPr="00DC346F" w:rsidR="001945B8">
        <w:rPr>
          <w:rFonts w:ascii="Times New Roman" w:hAnsi="Times New Roman"/>
          <w:sz w:val="24"/>
          <w:szCs w:val="24"/>
        </w:rPr>
        <w:t xml:space="preserve"> entities</w:t>
      </w:r>
      <w:r w:rsidRPr="00DC346F">
        <w:rPr>
          <w:rFonts w:ascii="Times New Roman" w:hAnsi="Times New Roman"/>
          <w:sz w:val="24"/>
          <w:szCs w:val="24"/>
        </w:rPr>
        <w:t xml:space="preserve"> to propose new or </w:t>
      </w:r>
      <w:r w:rsidRPr="00DC346F" w:rsidR="001945B8">
        <w:rPr>
          <w:rFonts w:ascii="Times New Roman" w:hAnsi="Times New Roman"/>
          <w:sz w:val="24"/>
          <w:szCs w:val="24"/>
        </w:rPr>
        <w:t>revised</w:t>
      </w:r>
      <w:r w:rsidRPr="00DC346F">
        <w:rPr>
          <w:rFonts w:ascii="Times New Roman" w:hAnsi="Times New Roman"/>
          <w:sz w:val="24"/>
          <w:szCs w:val="24"/>
        </w:rPr>
        <w:t xml:space="preserve"> safety standards </w:t>
      </w:r>
      <w:r w:rsidRPr="00DC346F" w:rsidR="00F462B8">
        <w:rPr>
          <w:rFonts w:ascii="Times New Roman" w:hAnsi="Times New Roman"/>
          <w:sz w:val="24"/>
          <w:szCs w:val="24"/>
        </w:rPr>
        <w:t>that</w:t>
      </w:r>
      <w:r w:rsidRPr="00DC346F">
        <w:rPr>
          <w:rFonts w:ascii="Times New Roman" w:hAnsi="Times New Roman"/>
          <w:sz w:val="24"/>
          <w:szCs w:val="24"/>
        </w:rPr>
        <w:t xml:space="preserve"> deviate</w:t>
      </w:r>
      <w:r w:rsidRPr="00DC346F" w:rsidR="00B37440">
        <w:rPr>
          <w:rFonts w:ascii="Times New Roman" w:hAnsi="Times New Roman"/>
          <w:sz w:val="24"/>
          <w:szCs w:val="24"/>
        </w:rPr>
        <w:t>d</w:t>
      </w:r>
      <w:r w:rsidRPr="00DC346F">
        <w:rPr>
          <w:rFonts w:ascii="Times New Roman" w:hAnsi="Times New Roman"/>
          <w:sz w:val="24"/>
          <w:szCs w:val="24"/>
        </w:rPr>
        <w:t xml:space="preserve"> from the Hazardous Materials Regulations (HMR; 49 CFR Parts </w:t>
      </w:r>
      <w:r w:rsidR="004A3D9E">
        <w:rPr>
          <w:rFonts w:ascii="Times New Roman" w:hAnsi="Times New Roman"/>
          <w:sz w:val="24"/>
          <w:szCs w:val="24"/>
        </w:rPr>
        <w:t>171</w:t>
      </w:r>
      <w:r w:rsidRPr="00DC346F">
        <w:rPr>
          <w:rFonts w:ascii="Times New Roman" w:hAnsi="Times New Roman"/>
          <w:sz w:val="24"/>
          <w:szCs w:val="24"/>
        </w:rPr>
        <w:t>-180).  Since that time, it has evolved to include an accounting of the burden associated with the rulemaking, special permits</w:t>
      </w:r>
      <w:r w:rsidRPr="00DC346F" w:rsidR="009B130E">
        <w:rPr>
          <w:rFonts w:ascii="Times New Roman" w:hAnsi="Times New Roman"/>
          <w:sz w:val="24"/>
          <w:szCs w:val="24"/>
        </w:rPr>
        <w:t>,</w:t>
      </w:r>
      <w:r w:rsidRPr="00DC346F">
        <w:rPr>
          <w:rFonts w:ascii="Times New Roman" w:hAnsi="Times New Roman"/>
          <w:sz w:val="24"/>
          <w:szCs w:val="24"/>
        </w:rPr>
        <w:t xml:space="preserve"> and preemption requirements</w:t>
      </w:r>
      <w:r w:rsidRPr="00DC346F" w:rsidR="00D65E27">
        <w:rPr>
          <w:rFonts w:ascii="Times New Roman" w:hAnsi="Times New Roman"/>
          <w:sz w:val="24"/>
          <w:szCs w:val="24"/>
        </w:rPr>
        <w:t>.</w:t>
      </w:r>
      <w:r w:rsidR="00084FAD">
        <w:rPr>
          <w:rFonts w:ascii="Times New Roman" w:hAnsi="Times New Roman"/>
          <w:sz w:val="24"/>
          <w:szCs w:val="24"/>
        </w:rPr>
        <w:t xml:space="preserve">  The change </w:t>
      </w:r>
      <w:r w:rsidR="00430351">
        <w:rPr>
          <w:rFonts w:ascii="Times New Roman" w:hAnsi="Times New Roman"/>
          <w:sz w:val="24"/>
          <w:szCs w:val="24"/>
        </w:rPr>
        <w:t xml:space="preserve">in this information collection request </w:t>
      </w:r>
      <w:r w:rsidR="00084FAD">
        <w:rPr>
          <w:rFonts w:ascii="Times New Roman" w:hAnsi="Times New Roman"/>
          <w:sz w:val="24"/>
          <w:szCs w:val="24"/>
        </w:rPr>
        <w:t xml:space="preserve">is due to PHMSA’s efforts to </w:t>
      </w:r>
      <w:r w:rsidR="005610DA">
        <w:rPr>
          <w:rFonts w:ascii="Times New Roman" w:hAnsi="Times New Roman"/>
          <w:sz w:val="24"/>
          <w:szCs w:val="24"/>
        </w:rPr>
        <w:t>better account for this burden.</w:t>
      </w:r>
    </w:p>
    <w:p w:rsidR="00084FAD" w:rsidP="008C61D5" w:rsidRDefault="00084FAD" w14:paraId="41FE765D" w14:textId="77777777">
      <w:pPr>
        <w:rPr>
          <w:rFonts w:ascii="Times New Roman" w:hAnsi="Times New Roman"/>
          <w:sz w:val="24"/>
          <w:szCs w:val="24"/>
        </w:rPr>
      </w:pPr>
    </w:p>
    <w:p w:rsidR="008C61D5" w:rsidP="008C61D5" w:rsidRDefault="008C61D5" w14:paraId="5A0FA826" w14:textId="77777777">
      <w:pPr>
        <w:rPr>
          <w:rFonts w:ascii="Times New Roman" w:hAnsi="Times New Roman"/>
          <w:sz w:val="24"/>
          <w:szCs w:val="24"/>
        </w:rPr>
      </w:pPr>
    </w:p>
    <w:p w:rsidR="008C61D5" w:rsidP="008C61D5" w:rsidRDefault="0004749E" w14:paraId="25B295E5" w14:textId="77777777">
      <w:pPr>
        <w:rPr>
          <w:rFonts w:ascii="Times New Roman" w:hAnsi="Times New Roman"/>
          <w:sz w:val="24"/>
          <w:szCs w:val="24"/>
        </w:rPr>
      </w:pPr>
      <w:r w:rsidRPr="00DC346F">
        <w:rPr>
          <w:rFonts w:ascii="Times New Roman" w:hAnsi="Times New Roman"/>
          <w:bCs/>
          <w:sz w:val="24"/>
          <w:szCs w:val="24"/>
          <w:u w:val="single"/>
        </w:rPr>
        <w:t>Part A. Justification</w:t>
      </w:r>
      <w:r w:rsidRPr="00DC346F" w:rsidR="00D65E27">
        <w:rPr>
          <w:rFonts w:ascii="Times New Roman" w:hAnsi="Times New Roman"/>
          <w:bCs/>
          <w:sz w:val="24"/>
          <w:szCs w:val="24"/>
        </w:rPr>
        <w:t>:</w:t>
      </w:r>
    </w:p>
    <w:p w:rsidR="008C61D5" w:rsidP="008C61D5" w:rsidRDefault="008C61D5" w14:paraId="4F2D2EBC" w14:textId="77777777">
      <w:pPr>
        <w:rPr>
          <w:rFonts w:ascii="Times New Roman" w:hAnsi="Times New Roman"/>
          <w:sz w:val="24"/>
          <w:szCs w:val="24"/>
        </w:rPr>
      </w:pPr>
    </w:p>
    <w:p w:rsidRPr="008C61D5" w:rsidR="0004749E" w:rsidP="008C61D5" w:rsidRDefault="0004749E" w14:paraId="1366B326" w14:textId="77777777">
      <w:pPr>
        <w:rPr>
          <w:rFonts w:ascii="Times New Roman" w:hAnsi="Times New Roman"/>
          <w:sz w:val="24"/>
          <w:szCs w:val="24"/>
        </w:rPr>
      </w:pPr>
      <w:r w:rsidRPr="00DC346F">
        <w:rPr>
          <w:rFonts w:ascii="Times New Roman" w:hAnsi="Times New Roman"/>
          <w:bCs/>
          <w:sz w:val="24"/>
          <w:szCs w:val="24"/>
        </w:rPr>
        <w:t>1</w:t>
      </w:r>
      <w:r w:rsidR="008C61D5">
        <w:rPr>
          <w:rFonts w:ascii="Times New Roman" w:hAnsi="Times New Roman"/>
          <w:bCs/>
          <w:sz w:val="24"/>
          <w:szCs w:val="24"/>
        </w:rPr>
        <w:t>.</w:t>
      </w:r>
      <w:r w:rsidRPr="00DC346F" w:rsidR="004261AD">
        <w:rPr>
          <w:rFonts w:ascii="Times New Roman" w:hAnsi="Times New Roman"/>
          <w:bCs/>
          <w:sz w:val="24"/>
          <w:szCs w:val="24"/>
        </w:rPr>
        <w:tab/>
      </w:r>
      <w:r w:rsidRPr="00DC346F">
        <w:rPr>
          <w:rFonts w:ascii="Times New Roman" w:hAnsi="Times New Roman"/>
          <w:bCs/>
          <w:sz w:val="24"/>
          <w:szCs w:val="24"/>
          <w:u w:val="single"/>
        </w:rPr>
        <w:t>Circumstances that make collection of information necessary</w:t>
      </w:r>
    </w:p>
    <w:p w:rsidRPr="00DC346F" w:rsidR="00DA7852" w:rsidP="00DB7D1D" w:rsidRDefault="00DA7852" w14:paraId="65F36BE7" w14:textId="77777777">
      <w:pPr>
        <w:rPr>
          <w:rFonts w:ascii="Times New Roman" w:hAnsi="Times New Roman"/>
          <w:sz w:val="24"/>
          <w:szCs w:val="24"/>
        </w:rPr>
      </w:pPr>
    </w:p>
    <w:p w:rsidRPr="00DC346F" w:rsidR="008817D6" w:rsidP="00D65E27" w:rsidRDefault="00170D0F" w14:paraId="467F787A" w14:textId="77777777">
      <w:pPr>
        <w:rPr>
          <w:rFonts w:ascii="Times New Roman" w:hAnsi="Times New Roman"/>
          <w:sz w:val="24"/>
          <w:szCs w:val="24"/>
        </w:rPr>
      </w:pPr>
      <w:r w:rsidRPr="00DC346F">
        <w:rPr>
          <w:rFonts w:ascii="Times New Roman" w:hAnsi="Times New Roman"/>
          <w:sz w:val="24"/>
          <w:szCs w:val="24"/>
        </w:rPr>
        <w:t xml:space="preserve">This is a request for </w:t>
      </w:r>
      <w:r w:rsidRPr="00DC346F" w:rsidR="00E12EA0">
        <w:rPr>
          <w:rFonts w:ascii="Times New Roman" w:hAnsi="Times New Roman"/>
          <w:sz w:val="24"/>
          <w:szCs w:val="24"/>
        </w:rPr>
        <w:t>r</w:t>
      </w:r>
      <w:r w:rsidR="00084FAD">
        <w:rPr>
          <w:rFonts w:ascii="Times New Roman" w:hAnsi="Times New Roman"/>
          <w:sz w:val="24"/>
          <w:szCs w:val="24"/>
        </w:rPr>
        <w:t>enewal with</w:t>
      </w:r>
      <w:r w:rsidRPr="00DC346F" w:rsidR="00E12EA0">
        <w:rPr>
          <w:rFonts w:ascii="Times New Roman" w:hAnsi="Times New Roman"/>
          <w:sz w:val="24"/>
          <w:szCs w:val="24"/>
        </w:rPr>
        <w:t xml:space="preserve"> </w:t>
      </w:r>
      <w:r w:rsidRPr="00DC346F" w:rsidR="008817D6">
        <w:rPr>
          <w:rFonts w:ascii="Times New Roman" w:hAnsi="Times New Roman"/>
          <w:sz w:val="24"/>
          <w:szCs w:val="24"/>
        </w:rPr>
        <w:t xml:space="preserve">change of an existing approval </w:t>
      </w:r>
      <w:r w:rsidRPr="00DC346F">
        <w:rPr>
          <w:rFonts w:ascii="Times New Roman" w:hAnsi="Times New Roman"/>
          <w:sz w:val="24"/>
          <w:szCs w:val="24"/>
        </w:rPr>
        <w:t xml:space="preserve">under OMB </w:t>
      </w:r>
      <w:r w:rsidRPr="00DC346F" w:rsidR="00D65E27">
        <w:rPr>
          <w:rFonts w:ascii="Times New Roman" w:hAnsi="Times New Roman"/>
          <w:sz w:val="24"/>
          <w:szCs w:val="24"/>
        </w:rPr>
        <w:t xml:space="preserve">Control </w:t>
      </w:r>
      <w:r w:rsidRPr="00DC346F">
        <w:rPr>
          <w:rFonts w:ascii="Times New Roman" w:hAnsi="Times New Roman"/>
          <w:sz w:val="24"/>
          <w:szCs w:val="24"/>
        </w:rPr>
        <w:t>No.</w:t>
      </w:r>
      <w:r w:rsidR="004A3D9E">
        <w:rPr>
          <w:rFonts w:ascii="Times New Roman" w:hAnsi="Times New Roman"/>
          <w:sz w:val="24"/>
          <w:szCs w:val="24"/>
        </w:rPr>
        <w:t> </w:t>
      </w:r>
      <w:r w:rsidRPr="00DC346F">
        <w:rPr>
          <w:rFonts w:ascii="Times New Roman" w:hAnsi="Times New Roman"/>
          <w:sz w:val="24"/>
          <w:szCs w:val="24"/>
        </w:rPr>
        <w:t>2137</w:t>
      </w:r>
      <w:r w:rsidR="006545E9">
        <w:rPr>
          <w:rFonts w:ascii="Times New Roman" w:hAnsi="Times New Roman"/>
          <w:sz w:val="24"/>
          <w:szCs w:val="24"/>
        </w:rPr>
        <w:noBreakHyphen/>
      </w:r>
      <w:r w:rsidRPr="00DC346F">
        <w:rPr>
          <w:rFonts w:ascii="Times New Roman" w:hAnsi="Times New Roman"/>
          <w:sz w:val="24"/>
          <w:szCs w:val="24"/>
        </w:rPr>
        <w:t>0051</w:t>
      </w:r>
      <w:r w:rsidRPr="00DC346F" w:rsidR="00D65E27">
        <w:rPr>
          <w:rFonts w:ascii="Times New Roman" w:hAnsi="Times New Roman"/>
          <w:sz w:val="24"/>
          <w:szCs w:val="24"/>
        </w:rPr>
        <w:t xml:space="preserve"> for </w:t>
      </w:r>
      <w:r w:rsidR="00084FAD">
        <w:rPr>
          <w:rFonts w:ascii="Times New Roman" w:hAnsi="Times New Roman"/>
          <w:sz w:val="24"/>
          <w:szCs w:val="24"/>
        </w:rPr>
        <w:t>reporting</w:t>
      </w:r>
      <w:r w:rsidRPr="00DC346F" w:rsidR="00D65E27">
        <w:rPr>
          <w:rFonts w:ascii="Times New Roman" w:hAnsi="Times New Roman"/>
          <w:sz w:val="24"/>
          <w:szCs w:val="24"/>
        </w:rPr>
        <w:t xml:space="preserve"> and recordkeeping requirements of rulemaking, special permits, and preemption.  Participation in the rulemaking process is detailed in Part 106, Subpart B</w:t>
      </w:r>
      <w:r w:rsidR="006545E9">
        <w:rPr>
          <w:rFonts w:ascii="Times New Roman" w:hAnsi="Times New Roman"/>
          <w:sz w:val="24"/>
          <w:szCs w:val="24"/>
        </w:rPr>
        <w:t xml:space="preserve">. </w:t>
      </w:r>
      <w:r w:rsidRPr="00DC346F" w:rsidR="00D65E27">
        <w:rPr>
          <w:rFonts w:ascii="Times New Roman" w:hAnsi="Times New Roman"/>
          <w:sz w:val="24"/>
          <w:szCs w:val="24"/>
        </w:rPr>
        <w:t xml:space="preserve"> Special Permit application requirements are detailed in Part 107, Subpart B</w:t>
      </w:r>
      <w:r w:rsidR="006545E9">
        <w:rPr>
          <w:rFonts w:ascii="Times New Roman" w:hAnsi="Times New Roman"/>
          <w:sz w:val="24"/>
          <w:szCs w:val="24"/>
        </w:rPr>
        <w:t xml:space="preserve">. </w:t>
      </w:r>
      <w:r w:rsidRPr="00DC346F" w:rsidR="00D65E27">
        <w:rPr>
          <w:rFonts w:ascii="Times New Roman" w:hAnsi="Times New Roman"/>
          <w:sz w:val="24"/>
          <w:szCs w:val="24"/>
        </w:rPr>
        <w:t xml:space="preserve"> Preemption requirements </w:t>
      </w:r>
      <w:r w:rsidR="006545E9">
        <w:rPr>
          <w:rFonts w:ascii="Times New Roman" w:hAnsi="Times New Roman"/>
          <w:sz w:val="24"/>
          <w:szCs w:val="24"/>
        </w:rPr>
        <w:t xml:space="preserve">are </w:t>
      </w:r>
      <w:r w:rsidRPr="00DC346F" w:rsidR="00D65E27">
        <w:rPr>
          <w:rFonts w:ascii="Times New Roman" w:hAnsi="Times New Roman"/>
          <w:sz w:val="24"/>
          <w:szCs w:val="24"/>
        </w:rPr>
        <w:t xml:space="preserve">detailed in Part 107, Subpart C.  This information collection supports the </w:t>
      </w:r>
      <w:r w:rsidR="006545E9">
        <w:rPr>
          <w:rFonts w:ascii="Times New Roman" w:hAnsi="Times New Roman"/>
          <w:sz w:val="24"/>
          <w:szCs w:val="24"/>
        </w:rPr>
        <w:t>d</w:t>
      </w:r>
      <w:r w:rsidRPr="00DC346F" w:rsidR="00D65E27">
        <w:rPr>
          <w:rFonts w:ascii="Times New Roman" w:hAnsi="Times New Roman"/>
          <w:sz w:val="24"/>
          <w:szCs w:val="24"/>
        </w:rPr>
        <w:t xml:space="preserve">epartmental </w:t>
      </w:r>
      <w:r w:rsidR="006545E9">
        <w:rPr>
          <w:rFonts w:ascii="Times New Roman" w:hAnsi="Times New Roman"/>
          <w:sz w:val="24"/>
          <w:szCs w:val="24"/>
        </w:rPr>
        <w:t>s</w:t>
      </w:r>
      <w:r w:rsidRPr="00DC346F" w:rsidR="00D65E27">
        <w:rPr>
          <w:rFonts w:ascii="Times New Roman" w:hAnsi="Times New Roman"/>
          <w:sz w:val="24"/>
          <w:szCs w:val="24"/>
        </w:rPr>
        <w:t xml:space="preserve">trategic goal </w:t>
      </w:r>
      <w:r w:rsidR="006545E9">
        <w:rPr>
          <w:rFonts w:ascii="Times New Roman" w:hAnsi="Times New Roman"/>
          <w:sz w:val="24"/>
          <w:szCs w:val="24"/>
        </w:rPr>
        <w:t xml:space="preserve">of </w:t>
      </w:r>
      <w:r w:rsidRPr="00DC346F" w:rsidR="00D65E27">
        <w:rPr>
          <w:rFonts w:ascii="Times New Roman" w:hAnsi="Times New Roman"/>
          <w:sz w:val="24"/>
          <w:szCs w:val="24"/>
        </w:rPr>
        <w:t xml:space="preserve">safety.  </w:t>
      </w:r>
      <w:r w:rsidRPr="00DC346F">
        <w:rPr>
          <w:rFonts w:ascii="Times New Roman" w:hAnsi="Times New Roman"/>
          <w:sz w:val="24"/>
          <w:szCs w:val="24"/>
        </w:rPr>
        <w:t>The HMR are promulgated in accordance with U.S.C. 5110, the Federal hazardous materials transportation law.</w:t>
      </w:r>
      <w:r w:rsidR="00084FAD">
        <w:rPr>
          <w:rFonts w:ascii="Times New Roman" w:hAnsi="Times New Roman"/>
          <w:sz w:val="24"/>
          <w:szCs w:val="24"/>
        </w:rPr>
        <w:t xml:space="preserve">  The change</w:t>
      </w:r>
      <w:r w:rsidR="006545E9">
        <w:rPr>
          <w:rFonts w:ascii="Times New Roman" w:hAnsi="Times New Roman"/>
          <w:sz w:val="24"/>
          <w:szCs w:val="24"/>
        </w:rPr>
        <w:t xml:space="preserve"> in this information collection</w:t>
      </w:r>
      <w:r w:rsidR="00084FAD">
        <w:rPr>
          <w:rFonts w:ascii="Times New Roman" w:hAnsi="Times New Roman"/>
          <w:sz w:val="24"/>
          <w:szCs w:val="24"/>
        </w:rPr>
        <w:t xml:space="preserve"> </w:t>
      </w:r>
      <w:r w:rsidR="00430351">
        <w:rPr>
          <w:rFonts w:ascii="Times New Roman" w:hAnsi="Times New Roman"/>
          <w:sz w:val="24"/>
          <w:szCs w:val="24"/>
        </w:rPr>
        <w:t xml:space="preserve">request </w:t>
      </w:r>
      <w:r w:rsidR="00084FAD">
        <w:rPr>
          <w:rFonts w:ascii="Times New Roman" w:hAnsi="Times New Roman"/>
          <w:sz w:val="24"/>
          <w:szCs w:val="24"/>
        </w:rPr>
        <w:t>is due to PHMSA’s efforts to better account for this burden, including the creation of nine different information collections, as opposed to just one.</w:t>
      </w:r>
    </w:p>
    <w:p w:rsidR="008817D6" w:rsidP="00DB7D1D" w:rsidRDefault="008817D6" w14:paraId="233DA7F4" w14:textId="77777777">
      <w:pPr>
        <w:rPr>
          <w:rFonts w:ascii="Times New Roman" w:hAnsi="Times New Roman"/>
          <w:sz w:val="24"/>
          <w:szCs w:val="24"/>
        </w:rPr>
      </w:pPr>
    </w:p>
    <w:p w:rsidRPr="00DC346F" w:rsidR="00820C1E" w:rsidP="00DB7D1D" w:rsidRDefault="00820C1E" w14:paraId="0F6107FF" w14:textId="77777777">
      <w:pPr>
        <w:rPr>
          <w:rFonts w:ascii="Times New Roman" w:hAnsi="Times New Roman"/>
          <w:sz w:val="24"/>
          <w:szCs w:val="24"/>
        </w:rPr>
      </w:pPr>
    </w:p>
    <w:p w:rsidRPr="00DC346F" w:rsidR="00470720" w:rsidP="00DB7D1D" w:rsidRDefault="008C61D5" w14:paraId="187C78A3" w14:textId="77777777">
      <w:pPr>
        <w:rPr>
          <w:rFonts w:ascii="Times New Roman" w:hAnsi="Times New Roman"/>
          <w:sz w:val="24"/>
          <w:szCs w:val="24"/>
        </w:rPr>
      </w:pPr>
      <w:r>
        <w:rPr>
          <w:rFonts w:ascii="Times New Roman" w:hAnsi="Times New Roman"/>
          <w:bCs/>
          <w:sz w:val="24"/>
          <w:szCs w:val="24"/>
        </w:rPr>
        <w:t>2.</w:t>
      </w:r>
      <w:r w:rsidRPr="00DC346F" w:rsidR="004261AD">
        <w:rPr>
          <w:rFonts w:ascii="Times New Roman" w:hAnsi="Times New Roman"/>
          <w:bCs/>
          <w:sz w:val="24"/>
          <w:szCs w:val="24"/>
        </w:rPr>
        <w:tab/>
      </w:r>
      <w:r w:rsidRPr="00DC346F" w:rsidR="0004749E">
        <w:rPr>
          <w:rFonts w:ascii="Times New Roman" w:hAnsi="Times New Roman"/>
          <w:bCs/>
          <w:sz w:val="24"/>
          <w:szCs w:val="24"/>
          <w:u w:val="single"/>
        </w:rPr>
        <w:t>How, by whom, and for what purpose is the information used</w:t>
      </w:r>
    </w:p>
    <w:p w:rsidRPr="00DC346F" w:rsidR="005B54E5" w:rsidP="00DB7D1D" w:rsidRDefault="005B54E5" w14:paraId="7A2CC520" w14:textId="77777777">
      <w:pPr>
        <w:rPr>
          <w:rFonts w:ascii="Times New Roman" w:hAnsi="Times New Roman"/>
          <w:sz w:val="24"/>
          <w:szCs w:val="24"/>
        </w:rPr>
      </w:pPr>
    </w:p>
    <w:p w:rsidR="00D310B7" w:rsidP="00DB7D1D" w:rsidRDefault="005B54E5" w14:paraId="22935A82" w14:textId="77777777">
      <w:pPr>
        <w:rPr>
          <w:rFonts w:ascii="Times New Roman" w:hAnsi="Times New Roman"/>
          <w:sz w:val="24"/>
          <w:szCs w:val="24"/>
        </w:rPr>
      </w:pPr>
      <w:r w:rsidRPr="00DC346F">
        <w:rPr>
          <w:rFonts w:ascii="Times New Roman" w:hAnsi="Times New Roman"/>
          <w:sz w:val="24"/>
          <w:szCs w:val="24"/>
        </w:rPr>
        <w:t>Part 106, Subpart B details the requirements for participatin</w:t>
      </w:r>
      <w:r w:rsidRPr="00DC346F" w:rsidR="00D310B7">
        <w:rPr>
          <w:rFonts w:ascii="Times New Roman" w:hAnsi="Times New Roman"/>
          <w:sz w:val="24"/>
          <w:szCs w:val="24"/>
        </w:rPr>
        <w:t>g in the rulemaking process.  A</w:t>
      </w:r>
      <w:r w:rsidRPr="00DC346F">
        <w:rPr>
          <w:rFonts w:ascii="Times New Roman" w:hAnsi="Times New Roman"/>
          <w:sz w:val="24"/>
          <w:szCs w:val="24"/>
        </w:rPr>
        <w:t xml:space="preserve"> person may </w:t>
      </w:r>
      <w:r w:rsidR="00B45C58">
        <w:rPr>
          <w:rFonts w:ascii="Times New Roman" w:hAnsi="Times New Roman"/>
          <w:sz w:val="24"/>
          <w:szCs w:val="24"/>
        </w:rPr>
        <w:t>file a petition</w:t>
      </w:r>
      <w:r w:rsidR="00820C1E">
        <w:rPr>
          <w:rFonts w:ascii="Times New Roman" w:hAnsi="Times New Roman"/>
          <w:sz w:val="24"/>
          <w:szCs w:val="24"/>
        </w:rPr>
        <w:t xml:space="preserve"> for rulemaking</w:t>
      </w:r>
      <w:r w:rsidR="00B45C58">
        <w:rPr>
          <w:rFonts w:ascii="Times New Roman" w:hAnsi="Times New Roman"/>
          <w:sz w:val="24"/>
          <w:szCs w:val="24"/>
        </w:rPr>
        <w:t xml:space="preserve"> in accordance with § 106.</w:t>
      </w:r>
      <w:r w:rsidR="00DC3E68">
        <w:rPr>
          <w:rFonts w:ascii="Times New Roman" w:hAnsi="Times New Roman"/>
          <w:sz w:val="24"/>
          <w:szCs w:val="24"/>
        </w:rPr>
        <w:t>95</w:t>
      </w:r>
      <w:r w:rsidR="006545E9">
        <w:rPr>
          <w:rFonts w:ascii="Times New Roman" w:hAnsi="Times New Roman"/>
          <w:sz w:val="24"/>
          <w:szCs w:val="24"/>
        </w:rPr>
        <w:t>,</w:t>
      </w:r>
      <w:r w:rsidR="00B45C58">
        <w:rPr>
          <w:rFonts w:ascii="Times New Roman" w:hAnsi="Times New Roman"/>
          <w:sz w:val="24"/>
          <w:szCs w:val="24"/>
        </w:rPr>
        <w:t xml:space="preserve"> </w:t>
      </w:r>
      <w:r w:rsidR="00820C1E">
        <w:rPr>
          <w:rFonts w:ascii="Times New Roman" w:hAnsi="Times New Roman"/>
          <w:sz w:val="24"/>
          <w:szCs w:val="24"/>
        </w:rPr>
        <w:t>requesting</w:t>
      </w:r>
      <w:r w:rsidR="00B45C58">
        <w:rPr>
          <w:rFonts w:ascii="Times New Roman" w:hAnsi="Times New Roman"/>
          <w:sz w:val="24"/>
          <w:szCs w:val="24"/>
        </w:rPr>
        <w:t xml:space="preserve"> </w:t>
      </w:r>
      <w:r w:rsidR="006545E9">
        <w:rPr>
          <w:rFonts w:ascii="Times New Roman" w:hAnsi="Times New Roman"/>
          <w:sz w:val="24"/>
          <w:szCs w:val="24"/>
        </w:rPr>
        <w:t xml:space="preserve">that </w:t>
      </w:r>
      <w:r w:rsidR="00B45C58">
        <w:rPr>
          <w:rFonts w:ascii="Times New Roman" w:hAnsi="Times New Roman"/>
          <w:sz w:val="24"/>
          <w:szCs w:val="24"/>
        </w:rPr>
        <w:t>P</w:t>
      </w:r>
      <w:r w:rsidRPr="00DC346F">
        <w:rPr>
          <w:rFonts w:ascii="Times New Roman" w:hAnsi="Times New Roman"/>
          <w:sz w:val="24"/>
          <w:szCs w:val="24"/>
        </w:rPr>
        <w:t>HMSA add, amend, or delete a regulation</w:t>
      </w:r>
      <w:r w:rsidR="00B45C58">
        <w:rPr>
          <w:rFonts w:ascii="Times New Roman" w:hAnsi="Times New Roman"/>
          <w:sz w:val="24"/>
          <w:szCs w:val="24"/>
        </w:rPr>
        <w:t>.</w:t>
      </w:r>
      <w:r w:rsidRPr="00DC346F" w:rsidR="00D310B7">
        <w:rPr>
          <w:rFonts w:ascii="Times New Roman" w:hAnsi="Times New Roman"/>
          <w:sz w:val="24"/>
          <w:szCs w:val="24"/>
        </w:rPr>
        <w:t xml:space="preserve"> </w:t>
      </w:r>
      <w:r w:rsidR="00B45C58">
        <w:rPr>
          <w:rFonts w:ascii="Times New Roman" w:hAnsi="Times New Roman"/>
          <w:sz w:val="24"/>
          <w:szCs w:val="24"/>
        </w:rPr>
        <w:t xml:space="preserve"> </w:t>
      </w:r>
      <w:r w:rsidRPr="00DC346F" w:rsidR="00D310B7">
        <w:rPr>
          <w:rFonts w:ascii="Times New Roman" w:hAnsi="Times New Roman"/>
          <w:sz w:val="24"/>
          <w:szCs w:val="24"/>
        </w:rPr>
        <w:t>PHMSA evaluate</w:t>
      </w:r>
      <w:r w:rsidR="006545E9">
        <w:rPr>
          <w:rFonts w:ascii="Times New Roman" w:hAnsi="Times New Roman"/>
          <w:sz w:val="24"/>
          <w:szCs w:val="24"/>
        </w:rPr>
        <w:t>s</w:t>
      </w:r>
      <w:r w:rsidRPr="00DC346F" w:rsidR="00D310B7">
        <w:rPr>
          <w:rFonts w:ascii="Times New Roman" w:hAnsi="Times New Roman"/>
          <w:sz w:val="24"/>
          <w:szCs w:val="24"/>
        </w:rPr>
        <w:t xml:space="preserve"> each petition </w:t>
      </w:r>
      <w:r w:rsidR="00B45C58">
        <w:rPr>
          <w:rFonts w:ascii="Times New Roman" w:hAnsi="Times New Roman"/>
          <w:sz w:val="24"/>
          <w:szCs w:val="24"/>
        </w:rPr>
        <w:t>based on safety, economic, and policy merit</w:t>
      </w:r>
      <w:r w:rsidR="006545E9">
        <w:rPr>
          <w:rFonts w:ascii="Times New Roman" w:hAnsi="Times New Roman"/>
          <w:sz w:val="24"/>
          <w:szCs w:val="24"/>
        </w:rPr>
        <w:t xml:space="preserve">s.  </w:t>
      </w:r>
      <w:r w:rsidR="00A0796A">
        <w:rPr>
          <w:rFonts w:ascii="Times New Roman" w:hAnsi="Times New Roman"/>
          <w:sz w:val="24"/>
          <w:szCs w:val="24"/>
        </w:rPr>
        <w:t xml:space="preserve">Each petition is reviewed by chemist and engineers to determine if there is an adequate safety justification to move forward with the petition.  </w:t>
      </w:r>
      <w:r w:rsidR="006545E9">
        <w:rPr>
          <w:rFonts w:ascii="Times New Roman" w:hAnsi="Times New Roman"/>
          <w:sz w:val="24"/>
          <w:szCs w:val="24"/>
        </w:rPr>
        <w:t xml:space="preserve">PHMSA then </w:t>
      </w:r>
      <w:r w:rsidR="00B45C58">
        <w:rPr>
          <w:rFonts w:ascii="Times New Roman" w:hAnsi="Times New Roman"/>
          <w:sz w:val="24"/>
          <w:szCs w:val="24"/>
        </w:rPr>
        <w:t>notif</w:t>
      </w:r>
      <w:r w:rsidR="006545E9">
        <w:rPr>
          <w:rFonts w:ascii="Times New Roman" w:hAnsi="Times New Roman"/>
          <w:sz w:val="24"/>
          <w:szCs w:val="24"/>
        </w:rPr>
        <w:t>ies</w:t>
      </w:r>
      <w:r w:rsidR="00B45C58">
        <w:rPr>
          <w:rFonts w:ascii="Times New Roman" w:hAnsi="Times New Roman"/>
          <w:sz w:val="24"/>
          <w:szCs w:val="24"/>
        </w:rPr>
        <w:t xml:space="preserve"> the requestor that the petition is </w:t>
      </w:r>
      <w:r w:rsidR="006545E9">
        <w:rPr>
          <w:rFonts w:ascii="Times New Roman" w:hAnsi="Times New Roman"/>
          <w:sz w:val="24"/>
          <w:szCs w:val="24"/>
        </w:rPr>
        <w:t xml:space="preserve">either </w:t>
      </w:r>
      <w:r w:rsidR="00B45C58">
        <w:rPr>
          <w:rFonts w:ascii="Times New Roman" w:hAnsi="Times New Roman"/>
          <w:sz w:val="24"/>
          <w:szCs w:val="24"/>
        </w:rPr>
        <w:t>incomplete</w:t>
      </w:r>
      <w:r w:rsidR="006545E9">
        <w:rPr>
          <w:rFonts w:ascii="Times New Roman" w:hAnsi="Times New Roman"/>
          <w:sz w:val="24"/>
          <w:szCs w:val="24"/>
        </w:rPr>
        <w:t xml:space="preserve"> or complete.  If complete, PHMSA notifies the requestor </w:t>
      </w:r>
      <w:r w:rsidR="008A3EF9">
        <w:rPr>
          <w:rFonts w:ascii="Times New Roman" w:hAnsi="Times New Roman"/>
          <w:sz w:val="24"/>
          <w:szCs w:val="24"/>
        </w:rPr>
        <w:t xml:space="preserve">of </w:t>
      </w:r>
      <w:r w:rsidR="006545E9">
        <w:rPr>
          <w:rFonts w:ascii="Times New Roman" w:hAnsi="Times New Roman"/>
          <w:sz w:val="24"/>
          <w:szCs w:val="24"/>
        </w:rPr>
        <w:t xml:space="preserve">whether it does or </w:t>
      </w:r>
      <w:r w:rsidRPr="00DC346F" w:rsidR="00D310B7">
        <w:rPr>
          <w:rFonts w:ascii="Times New Roman" w:hAnsi="Times New Roman"/>
          <w:sz w:val="24"/>
          <w:szCs w:val="24"/>
        </w:rPr>
        <w:t>does not justify a rulemaking action</w:t>
      </w:r>
      <w:r w:rsidR="00B45C58">
        <w:rPr>
          <w:rFonts w:ascii="Times New Roman" w:hAnsi="Times New Roman"/>
          <w:sz w:val="24"/>
          <w:szCs w:val="24"/>
        </w:rPr>
        <w:t>.</w:t>
      </w:r>
    </w:p>
    <w:p w:rsidRPr="00DC346F" w:rsidR="00B45C58" w:rsidP="00DB7D1D" w:rsidRDefault="00B45C58" w14:paraId="0A03E6B3" w14:textId="77777777">
      <w:pPr>
        <w:rPr>
          <w:rFonts w:ascii="Times New Roman" w:hAnsi="Times New Roman"/>
          <w:sz w:val="24"/>
          <w:szCs w:val="24"/>
        </w:rPr>
      </w:pPr>
    </w:p>
    <w:p w:rsidRPr="00DC346F" w:rsidR="002D2638" w:rsidP="002D2638" w:rsidRDefault="00D310B7" w14:paraId="52B620B7" w14:textId="77777777">
      <w:pPr>
        <w:rPr>
          <w:rFonts w:ascii="Times New Roman" w:hAnsi="Times New Roman"/>
          <w:sz w:val="24"/>
          <w:szCs w:val="24"/>
        </w:rPr>
      </w:pPr>
      <w:r w:rsidRPr="00DC346F">
        <w:rPr>
          <w:rFonts w:ascii="Times New Roman" w:hAnsi="Times New Roman"/>
          <w:sz w:val="24"/>
          <w:szCs w:val="24"/>
        </w:rPr>
        <w:t xml:space="preserve">Part 107, Subpart B, details the requirements for </w:t>
      </w:r>
      <w:r w:rsidRPr="00DC346F" w:rsidR="00717C04">
        <w:rPr>
          <w:rFonts w:ascii="Times New Roman" w:hAnsi="Times New Roman"/>
          <w:sz w:val="24"/>
          <w:szCs w:val="24"/>
        </w:rPr>
        <w:t xml:space="preserve">applying for a special permit.  A special permit </w:t>
      </w:r>
      <w:r w:rsidRPr="00DC346F" w:rsidR="0071753B">
        <w:rPr>
          <w:rFonts w:ascii="Times New Roman" w:hAnsi="Times New Roman"/>
          <w:sz w:val="24"/>
          <w:szCs w:val="24"/>
        </w:rPr>
        <w:t xml:space="preserve">is required </w:t>
      </w:r>
      <w:r w:rsidR="00820C1E">
        <w:rPr>
          <w:rFonts w:ascii="Times New Roman" w:hAnsi="Times New Roman"/>
          <w:sz w:val="24"/>
          <w:szCs w:val="24"/>
        </w:rPr>
        <w:t xml:space="preserve">when </w:t>
      </w:r>
      <w:r w:rsidR="005379A3">
        <w:rPr>
          <w:rFonts w:ascii="Times New Roman" w:hAnsi="Times New Roman"/>
          <w:sz w:val="24"/>
          <w:szCs w:val="24"/>
        </w:rPr>
        <w:t xml:space="preserve">a person wants to </w:t>
      </w:r>
      <w:r w:rsidR="00820C1E">
        <w:rPr>
          <w:rFonts w:ascii="Times New Roman" w:hAnsi="Times New Roman"/>
          <w:sz w:val="24"/>
          <w:szCs w:val="24"/>
        </w:rPr>
        <w:t>perform an action</w:t>
      </w:r>
      <w:r w:rsidR="00443A11">
        <w:rPr>
          <w:rFonts w:ascii="Times New Roman" w:hAnsi="Times New Roman"/>
          <w:sz w:val="24"/>
          <w:szCs w:val="24"/>
        </w:rPr>
        <w:t xml:space="preserve"> </w:t>
      </w:r>
      <w:r w:rsidRPr="00DC346F" w:rsidR="007B025C">
        <w:rPr>
          <w:rFonts w:ascii="Times New Roman" w:hAnsi="Times New Roman"/>
          <w:sz w:val="24"/>
          <w:szCs w:val="24"/>
        </w:rPr>
        <w:t>not otherwise aut</w:t>
      </w:r>
      <w:r w:rsidRPr="00DC346F" w:rsidR="00053712">
        <w:rPr>
          <w:rFonts w:ascii="Times New Roman" w:hAnsi="Times New Roman"/>
          <w:sz w:val="24"/>
          <w:szCs w:val="24"/>
        </w:rPr>
        <w:t>horized in the HMR</w:t>
      </w:r>
      <w:r w:rsidR="00443A11">
        <w:rPr>
          <w:rFonts w:ascii="Times New Roman" w:hAnsi="Times New Roman"/>
          <w:sz w:val="24"/>
          <w:szCs w:val="24"/>
        </w:rPr>
        <w:t xml:space="preserve"> </w:t>
      </w:r>
      <w:r w:rsidR="00443A11">
        <w:rPr>
          <w:rFonts w:ascii="Times New Roman" w:hAnsi="Times New Roman"/>
          <w:sz w:val="24"/>
          <w:szCs w:val="24"/>
        </w:rPr>
        <w:lastRenderedPageBreak/>
        <w:t>(i.e.,</w:t>
      </w:r>
      <w:r w:rsidR="004A3D9E">
        <w:rPr>
          <w:rFonts w:ascii="Times New Roman" w:hAnsi="Times New Roman"/>
          <w:sz w:val="24"/>
          <w:szCs w:val="24"/>
        </w:rPr>
        <w:t> </w:t>
      </w:r>
      <w:r w:rsidR="00443A11">
        <w:rPr>
          <w:rFonts w:ascii="Times New Roman" w:hAnsi="Times New Roman"/>
          <w:sz w:val="24"/>
          <w:szCs w:val="24"/>
        </w:rPr>
        <w:t>change in packaging specifications, additional marking exceptions, etc.)</w:t>
      </w:r>
      <w:r w:rsidRPr="00DC346F" w:rsidR="00053712">
        <w:rPr>
          <w:rFonts w:ascii="Times New Roman" w:hAnsi="Times New Roman"/>
          <w:sz w:val="24"/>
          <w:szCs w:val="24"/>
        </w:rPr>
        <w:t>.  An applica</w:t>
      </w:r>
      <w:r w:rsidRPr="00DC346F" w:rsidR="007B025C">
        <w:rPr>
          <w:rFonts w:ascii="Times New Roman" w:hAnsi="Times New Roman"/>
          <w:sz w:val="24"/>
          <w:szCs w:val="24"/>
        </w:rPr>
        <w:t>t</w:t>
      </w:r>
      <w:r w:rsidRPr="00DC346F" w:rsidR="00053712">
        <w:rPr>
          <w:rFonts w:ascii="Times New Roman" w:hAnsi="Times New Roman"/>
          <w:sz w:val="24"/>
          <w:szCs w:val="24"/>
        </w:rPr>
        <w:t>ion for a new special permit</w:t>
      </w:r>
      <w:r w:rsidRPr="00DC346F" w:rsidR="007B025C">
        <w:rPr>
          <w:rFonts w:ascii="Times New Roman" w:hAnsi="Times New Roman"/>
          <w:sz w:val="24"/>
          <w:szCs w:val="24"/>
        </w:rPr>
        <w:t xml:space="preserve"> must provide all information </w:t>
      </w:r>
      <w:r w:rsidR="00443A11">
        <w:rPr>
          <w:rFonts w:ascii="Times New Roman" w:hAnsi="Times New Roman"/>
          <w:sz w:val="24"/>
          <w:szCs w:val="24"/>
        </w:rPr>
        <w:t xml:space="preserve">detailed in </w:t>
      </w:r>
      <w:r w:rsidRPr="00DC346F" w:rsidR="00053712">
        <w:rPr>
          <w:rFonts w:ascii="Times New Roman" w:hAnsi="Times New Roman"/>
          <w:sz w:val="24"/>
          <w:szCs w:val="24"/>
        </w:rPr>
        <w:t>§ 107.105</w:t>
      </w:r>
      <w:r w:rsidR="00443A11">
        <w:rPr>
          <w:rFonts w:ascii="Times New Roman" w:hAnsi="Times New Roman"/>
          <w:sz w:val="24"/>
          <w:szCs w:val="24"/>
        </w:rPr>
        <w:t xml:space="preserve">, </w:t>
      </w:r>
      <w:r w:rsidR="0014337C">
        <w:rPr>
          <w:rFonts w:ascii="Times New Roman" w:hAnsi="Times New Roman"/>
          <w:sz w:val="24"/>
          <w:szCs w:val="24"/>
        </w:rPr>
        <w:t xml:space="preserve">including, for example, </w:t>
      </w:r>
      <w:r w:rsidRPr="00DC346F" w:rsidR="00053712">
        <w:rPr>
          <w:rFonts w:ascii="Times New Roman" w:hAnsi="Times New Roman"/>
          <w:sz w:val="24"/>
          <w:szCs w:val="24"/>
        </w:rPr>
        <w:t>a description of the special permit proposal</w:t>
      </w:r>
      <w:r w:rsidR="00443A11">
        <w:rPr>
          <w:rFonts w:ascii="Times New Roman" w:hAnsi="Times New Roman"/>
          <w:sz w:val="24"/>
          <w:szCs w:val="24"/>
        </w:rPr>
        <w:t>,</w:t>
      </w:r>
      <w:r w:rsidRPr="00DC346F" w:rsidR="00053712">
        <w:rPr>
          <w:rFonts w:ascii="Times New Roman" w:hAnsi="Times New Roman"/>
          <w:sz w:val="24"/>
          <w:szCs w:val="24"/>
        </w:rPr>
        <w:t xml:space="preserve"> </w:t>
      </w:r>
      <w:r w:rsidR="00443A11">
        <w:rPr>
          <w:rFonts w:ascii="Times New Roman" w:hAnsi="Times New Roman"/>
          <w:sz w:val="24"/>
          <w:szCs w:val="24"/>
        </w:rPr>
        <w:t>justification for requested change,</w:t>
      </w:r>
      <w:r w:rsidRPr="00DC346F" w:rsidR="00053712">
        <w:rPr>
          <w:rFonts w:ascii="Times New Roman" w:hAnsi="Times New Roman"/>
          <w:sz w:val="24"/>
          <w:szCs w:val="24"/>
        </w:rPr>
        <w:t xml:space="preserve"> </w:t>
      </w:r>
      <w:r w:rsidR="000957CF">
        <w:rPr>
          <w:rFonts w:ascii="Times New Roman" w:hAnsi="Times New Roman"/>
          <w:sz w:val="24"/>
          <w:szCs w:val="24"/>
        </w:rPr>
        <w:t xml:space="preserve">and </w:t>
      </w:r>
      <w:r w:rsidRPr="00DC346F" w:rsidR="00053712">
        <w:rPr>
          <w:rFonts w:ascii="Times New Roman" w:hAnsi="Times New Roman"/>
          <w:sz w:val="24"/>
          <w:szCs w:val="24"/>
        </w:rPr>
        <w:t xml:space="preserve">demonstration </w:t>
      </w:r>
      <w:r w:rsidR="00A15E75">
        <w:rPr>
          <w:rFonts w:ascii="Times New Roman" w:hAnsi="Times New Roman"/>
          <w:sz w:val="24"/>
          <w:szCs w:val="24"/>
        </w:rPr>
        <w:t xml:space="preserve">that the requested activities </w:t>
      </w:r>
      <w:r w:rsidR="00443A11">
        <w:rPr>
          <w:rFonts w:ascii="Times New Roman" w:hAnsi="Times New Roman"/>
          <w:sz w:val="24"/>
          <w:szCs w:val="24"/>
        </w:rPr>
        <w:t xml:space="preserve">meet </w:t>
      </w:r>
      <w:r w:rsidR="0014337C">
        <w:rPr>
          <w:rFonts w:ascii="Times New Roman" w:hAnsi="Times New Roman"/>
          <w:sz w:val="24"/>
          <w:szCs w:val="24"/>
        </w:rPr>
        <w:t xml:space="preserve">a </w:t>
      </w:r>
      <w:r w:rsidR="00443A11">
        <w:rPr>
          <w:rFonts w:ascii="Times New Roman" w:hAnsi="Times New Roman"/>
          <w:sz w:val="24"/>
          <w:szCs w:val="24"/>
        </w:rPr>
        <w:t xml:space="preserve">level of safety </w:t>
      </w:r>
      <w:r w:rsidR="0014337C">
        <w:rPr>
          <w:rFonts w:ascii="Times New Roman" w:hAnsi="Times New Roman"/>
          <w:sz w:val="24"/>
          <w:szCs w:val="24"/>
        </w:rPr>
        <w:t xml:space="preserve">at least equal </w:t>
      </w:r>
      <w:r w:rsidR="00443A11">
        <w:rPr>
          <w:rFonts w:ascii="Times New Roman" w:hAnsi="Times New Roman"/>
          <w:sz w:val="24"/>
          <w:szCs w:val="24"/>
        </w:rPr>
        <w:t>to</w:t>
      </w:r>
      <w:r w:rsidR="0014337C">
        <w:rPr>
          <w:rFonts w:ascii="Times New Roman" w:hAnsi="Times New Roman"/>
          <w:sz w:val="24"/>
          <w:szCs w:val="24"/>
        </w:rPr>
        <w:t xml:space="preserve"> that prescribed by</w:t>
      </w:r>
      <w:r w:rsidR="00443A11">
        <w:rPr>
          <w:rFonts w:ascii="Times New Roman" w:hAnsi="Times New Roman"/>
          <w:sz w:val="24"/>
          <w:szCs w:val="24"/>
        </w:rPr>
        <w:t xml:space="preserve"> the </w:t>
      </w:r>
      <w:r w:rsidRPr="00DC346F" w:rsidR="00053712">
        <w:rPr>
          <w:rFonts w:ascii="Times New Roman" w:hAnsi="Times New Roman"/>
          <w:sz w:val="24"/>
          <w:szCs w:val="24"/>
        </w:rPr>
        <w:t>HMR</w:t>
      </w:r>
      <w:r w:rsidR="00443A11">
        <w:rPr>
          <w:rFonts w:ascii="Times New Roman" w:hAnsi="Times New Roman"/>
          <w:sz w:val="24"/>
          <w:szCs w:val="24"/>
        </w:rPr>
        <w:t>.  Depending on the special permit applicant or application, there may be additional requirements</w:t>
      </w:r>
      <w:r w:rsidR="00820C1E">
        <w:rPr>
          <w:rFonts w:ascii="Times New Roman" w:hAnsi="Times New Roman"/>
          <w:sz w:val="24"/>
          <w:szCs w:val="24"/>
        </w:rPr>
        <w:t xml:space="preserve">, </w:t>
      </w:r>
      <w:r w:rsidR="0014337C">
        <w:rPr>
          <w:rFonts w:ascii="Times New Roman" w:hAnsi="Times New Roman"/>
          <w:sz w:val="24"/>
          <w:szCs w:val="24"/>
        </w:rPr>
        <w:t>such as when the applicant is requesting</w:t>
      </w:r>
      <w:r w:rsidR="000957CF">
        <w:rPr>
          <w:rFonts w:ascii="Times New Roman" w:hAnsi="Times New Roman"/>
          <w:sz w:val="24"/>
          <w:szCs w:val="24"/>
        </w:rPr>
        <w:t xml:space="preserve"> confidential treatment or </w:t>
      </w:r>
      <w:r w:rsidR="0014337C">
        <w:rPr>
          <w:rFonts w:ascii="Times New Roman" w:hAnsi="Times New Roman"/>
          <w:sz w:val="24"/>
          <w:szCs w:val="24"/>
        </w:rPr>
        <w:t xml:space="preserve">when a </w:t>
      </w:r>
      <w:r w:rsidR="00820C1E">
        <w:rPr>
          <w:rFonts w:ascii="Times New Roman" w:hAnsi="Times New Roman"/>
          <w:sz w:val="24"/>
          <w:szCs w:val="24"/>
        </w:rPr>
        <w:t xml:space="preserve">foreign applicant </w:t>
      </w:r>
      <w:r w:rsidR="0014337C">
        <w:rPr>
          <w:rFonts w:ascii="Times New Roman" w:hAnsi="Times New Roman"/>
          <w:sz w:val="24"/>
          <w:szCs w:val="24"/>
        </w:rPr>
        <w:t xml:space="preserve">is </w:t>
      </w:r>
      <w:r w:rsidR="00820C1E">
        <w:rPr>
          <w:rFonts w:ascii="Times New Roman" w:hAnsi="Times New Roman"/>
          <w:sz w:val="24"/>
          <w:szCs w:val="24"/>
        </w:rPr>
        <w:t>designating</w:t>
      </w:r>
      <w:r w:rsidR="00443A11">
        <w:rPr>
          <w:rFonts w:ascii="Times New Roman" w:hAnsi="Times New Roman"/>
          <w:sz w:val="24"/>
          <w:szCs w:val="24"/>
        </w:rPr>
        <w:t xml:space="preserve"> </w:t>
      </w:r>
      <w:r w:rsidR="00820C1E">
        <w:rPr>
          <w:rFonts w:ascii="Times New Roman" w:hAnsi="Times New Roman"/>
          <w:sz w:val="24"/>
          <w:szCs w:val="24"/>
        </w:rPr>
        <w:t xml:space="preserve">a </w:t>
      </w:r>
      <w:r w:rsidR="00443A11">
        <w:rPr>
          <w:rFonts w:ascii="Times New Roman" w:hAnsi="Times New Roman"/>
          <w:sz w:val="24"/>
          <w:szCs w:val="24"/>
        </w:rPr>
        <w:t>U.S. agent</w:t>
      </w:r>
      <w:r w:rsidR="000957CF">
        <w:rPr>
          <w:rFonts w:ascii="Times New Roman" w:hAnsi="Times New Roman"/>
          <w:sz w:val="24"/>
          <w:szCs w:val="24"/>
        </w:rPr>
        <w:t>.</w:t>
      </w:r>
      <w:r w:rsidR="00820C1E">
        <w:rPr>
          <w:rFonts w:ascii="Times New Roman" w:hAnsi="Times New Roman"/>
          <w:sz w:val="24"/>
          <w:szCs w:val="24"/>
        </w:rPr>
        <w:t xml:space="preserve">  A person may </w:t>
      </w:r>
      <w:r w:rsidR="009744EB">
        <w:rPr>
          <w:rFonts w:ascii="Times New Roman" w:hAnsi="Times New Roman"/>
          <w:sz w:val="24"/>
          <w:szCs w:val="24"/>
        </w:rPr>
        <w:t xml:space="preserve">also </w:t>
      </w:r>
      <w:r w:rsidR="00820C1E">
        <w:rPr>
          <w:rFonts w:ascii="Times New Roman" w:hAnsi="Times New Roman"/>
          <w:sz w:val="24"/>
          <w:szCs w:val="24"/>
        </w:rPr>
        <w:t xml:space="preserve">apply to use a special permit that is already issued, by applying </w:t>
      </w:r>
      <w:r w:rsidR="003C6FF7">
        <w:rPr>
          <w:rFonts w:ascii="Times New Roman" w:hAnsi="Times New Roman"/>
          <w:sz w:val="24"/>
          <w:szCs w:val="24"/>
        </w:rPr>
        <w:t xml:space="preserve">to receive party status, in accordance </w:t>
      </w:r>
      <w:r w:rsidRPr="00DC346F" w:rsidR="002D2638">
        <w:rPr>
          <w:rFonts w:ascii="Times New Roman" w:hAnsi="Times New Roman"/>
          <w:sz w:val="24"/>
          <w:szCs w:val="24"/>
        </w:rPr>
        <w:t xml:space="preserve">with </w:t>
      </w:r>
      <w:r w:rsidRPr="00DC346F" w:rsidR="008A64C4">
        <w:rPr>
          <w:rFonts w:ascii="Times New Roman" w:hAnsi="Times New Roman"/>
          <w:sz w:val="24"/>
          <w:szCs w:val="24"/>
        </w:rPr>
        <w:t>§ 107.107</w:t>
      </w:r>
      <w:r w:rsidR="00820C1E">
        <w:rPr>
          <w:rFonts w:ascii="Times New Roman" w:hAnsi="Times New Roman"/>
          <w:sz w:val="24"/>
          <w:szCs w:val="24"/>
        </w:rPr>
        <w:t xml:space="preserve">.  </w:t>
      </w:r>
      <w:r w:rsidR="00207453">
        <w:rPr>
          <w:rFonts w:ascii="Times New Roman" w:hAnsi="Times New Roman"/>
          <w:sz w:val="24"/>
          <w:szCs w:val="24"/>
        </w:rPr>
        <w:t>PHMSA has a</w:t>
      </w:r>
      <w:r w:rsidR="00CE3B41">
        <w:rPr>
          <w:rFonts w:ascii="Times New Roman" w:hAnsi="Times New Roman"/>
          <w:sz w:val="24"/>
          <w:szCs w:val="24"/>
        </w:rPr>
        <w:t>n</w:t>
      </w:r>
      <w:r w:rsidR="00207453">
        <w:rPr>
          <w:rFonts w:ascii="Times New Roman" w:hAnsi="Times New Roman"/>
          <w:sz w:val="24"/>
          <w:szCs w:val="24"/>
        </w:rPr>
        <w:t xml:space="preserve"> online database of active special permits available at </w:t>
      </w:r>
      <w:hyperlink w:history="1" r:id="rId11">
        <w:r w:rsidRPr="00DA145C" w:rsidR="00207453">
          <w:rPr>
            <w:rStyle w:val="Hyperlink"/>
            <w:rFonts w:ascii="Times New Roman" w:hAnsi="Times New Roman"/>
            <w:sz w:val="24"/>
            <w:szCs w:val="24"/>
          </w:rPr>
          <w:t>https://www.phmsa.dot.gov/approvals-and-permits/hazmat/special-permits-search</w:t>
        </w:r>
      </w:hyperlink>
      <w:r w:rsidR="00CE3B41">
        <w:rPr>
          <w:rFonts w:ascii="Times New Roman" w:hAnsi="Times New Roman"/>
          <w:sz w:val="24"/>
          <w:szCs w:val="24"/>
        </w:rPr>
        <w:t xml:space="preserve">. </w:t>
      </w:r>
      <w:r w:rsidR="00207453">
        <w:rPr>
          <w:rFonts w:ascii="Times New Roman" w:hAnsi="Times New Roman"/>
          <w:sz w:val="24"/>
          <w:szCs w:val="24"/>
        </w:rPr>
        <w:t xml:space="preserve"> </w:t>
      </w:r>
      <w:r w:rsidR="00CE3B41">
        <w:rPr>
          <w:rFonts w:ascii="Times New Roman" w:hAnsi="Times New Roman"/>
          <w:sz w:val="24"/>
          <w:szCs w:val="24"/>
        </w:rPr>
        <w:t>I</w:t>
      </w:r>
      <w:r w:rsidR="00207453">
        <w:rPr>
          <w:rFonts w:ascii="Times New Roman" w:hAnsi="Times New Roman"/>
          <w:sz w:val="24"/>
          <w:szCs w:val="24"/>
        </w:rPr>
        <w:t>n addition</w:t>
      </w:r>
      <w:r w:rsidR="004A3D9E">
        <w:rPr>
          <w:rFonts w:ascii="Times New Roman" w:hAnsi="Times New Roman"/>
          <w:sz w:val="24"/>
          <w:szCs w:val="24"/>
        </w:rPr>
        <w:t>,</w:t>
      </w:r>
      <w:r w:rsidR="00207453">
        <w:rPr>
          <w:rFonts w:ascii="Times New Roman" w:hAnsi="Times New Roman"/>
          <w:sz w:val="24"/>
          <w:szCs w:val="24"/>
        </w:rPr>
        <w:t xml:space="preserve"> PHMSA publishes a list of newly approved special permits in the federal register on a monthly bas</w:t>
      </w:r>
      <w:r w:rsidR="00F01752">
        <w:rPr>
          <w:rFonts w:ascii="Times New Roman" w:hAnsi="Times New Roman"/>
          <w:sz w:val="24"/>
          <w:szCs w:val="24"/>
        </w:rPr>
        <w:t>i</w:t>
      </w:r>
      <w:r w:rsidR="00207453">
        <w:rPr>
          <w:rFonts w:ascii="Times New Roman" w:hAnsi="Times New Roman"/>
          <w:sz w:val="24"/>
          <w:szCs w:val="24"/>
        </w:rPr>
        <w:t xml:space="preserve">s.  </w:t>
      </w:r>
      <w:r w:rsidR="00820C1E">
        <w:rPr>
          <w:rFonts w:ascii="Times New Roman" w:hAnsi="Times New Roman"/>
          <w:sz w:val="24"/>
          <w:szCs w:val="24"/>
        </w:rPr>
        <w:t xml:space="preserve">The application requires </w:t>
      </w:r>
      <w:r w:rsidR="000957CF">
        <w:rPr>
          <w:rFonts w:ascii="Times New Roman" w:hAnsi="Times New Roman"/>
          <w:sz w:val="24"/>
          <w:szCs w:val="24"/>
        </w:rPr>
        <w:t>a</w:t>
      </w:r>
      <w:r w:rsidR="00820C1E">
        <w:rPr>
          <w:rFonts w:ascii="Times New Roman" w:hAnsi="Times New Roman"/>
          <w:sz w:val="24"/>
          <w:szCs w:val="24"/>
        </w:rPr>
        <w:t xml:space="preserve"> person </w:t>
      </w:r>
      <w:r w:rsidR="000957CF">
        <w:rPr>
          <w:rFonts w:ascii="Times New Roman" w:hAnsi="Times New Roman"/>
          <w:sz w:val="24"/>
          <w:szCs w:val="24"/>
        </w:rPr>
        <w:t xml:space="preserve">to </w:t>
      </w:r>
      <w:r w:rsidR="003C6FF7">
        <w:rPr>
          <w:rFonts w:ascii="Times New Roman" w:hAnsi="Times New Roman"/>
          <w:sz w:val="24"/>
          <w:szCs w:val="24"/>
        </w:rPr>
        <w:t>include an explanation of why party status to the special permit is needed</w:t>
      </w:r>
      <w:r w:rsidR="00820C1E">
        <w:rPr>
          <w:rFonts w:ascii="Times New Roman" w:hAnsi="Times New Roman"/>
          <w:sz w:val="24"/>
          <w:szCs w:val="24"/>
        </w:rPr>
        <w:t>.  Si</w:t>
      </w:r>
      <w:r w:rsidR="003C6FF7">
        <w:rPr>
          <w:rFonts w:ascii="Times New Roman" w:hAnsi="Times New Roman"/>
          <w:sz w:val="24"/>
          <w:szCs w:val="24"/>
        </w:rPr>
        <w:t xml:space="preserve">milar to a new special permit application, certain applicant/application circumstances may require additional requirements.  </w:t>
      </w:r>
      <w:r w:rsidR="000957CF">
        <w:rPr>
          <w:rFonts w:ascii="Times New Roman" w:hAnsi="Times New Roman"/>
          <w:sz w:val="24"/>
          <w:szCs w:val="24"/>
        </w:rPr>
        <w:t>Lastly, f</w:t>
      </w:r>
      <w:r w:rsidR="00820C1E">
        <w:rPr>
          <w:rFonts w:ascii="Times New Roman" w:hAnsi="Times New Roman"/>
          <w:sz w:val="24"/>
          <w:szCs w:val="24"/>
        </w:rPr>
        <w:t>or both new and party</w:t>
      </w:r>
      <w:r w:rsidR="00CC6BBC">
        <w:rPr>
          <w:rFonts w:ascii="Times New Roman" w:hAnsi="Times New Roman"/>
          <w:sz w:val="24"/>
          <w:szCs w:val="24"/>
        </w:rPr>
        <w:t>-</w:t>
      </w:r>
      <w:r w:rsidR="00820C1E">
        <w:rPr>
          <w:rFonts w:ascii="Times New Roman" w:hAnsi="Times New Roman"/>
          <w:sz w:val="24"/>
          <w:szCs w:val="24"/>
        </w:rPr>
        <w:t xml:space="preserve">status special permits, </w:t>
      </w:r>
      <w:r w:rsidRPr="00DC346F" w:rsidR="008A64C4">
        <w:rPr>
          <w:rFonts w:ascii="Times New Roman" w:hAnsi="Times New Roman"/>
          <w:sz w:val="24"/>
          <w:szCs w:val="24"/>
        </w:rPr>
        <w:t>appl</w:t>
      </w:r>
      <w:r w:rsidR="00820C1E">
        <w:rPr>
          <w:rFonts w:ascii="Times New Roman" w:hAnsi="Times New Roman"/>
          <w:sz w:val="24"/>
          <w:szCs w:val="24"/>
        </w:rPr>
        <w:t xml:space="preserve">icants must apply for a renewal, upon expiration, </w:t>
      </w:r>
      <w:r w:rsidRPr="00DC346F" w:rsidR="008A64C4">
        <w:rPr>
          <w:rFonts w:ascii="Times New Roman" w:hAnsi="Times New Roman"/>
          <w:sz w:val="24"/>
          <w:szCs w:val="24"/>
        </w:rPr>
        <w:t>in accordance with § 107.109.</w:t>
      </w:r>
      <w:r w:rsidR="003C6FF7">
        <w:rPr>
          <w:rFonts w:ascii="Times New Roman" w:hAnsi="Times New Roman"/>
          <w:sz w:val="24"/>
          <w:szCs w:val="24"/>
        </w:rPr>
        <w:t xml:space="preserve">  The renewal application requires </w:t>
      </w:r>
      <w:r w:rsidR="00820C1E">
        <w:rPr>
          <w:rFonts w:ascii="Times New Roman" w:hAnsi="Times New Roman"/>
          <w:sz w:val="24"/>
          <w:szCs w:val="24"/>
        </w:rPr>
        <w:t xml:space="preserve">information </w:t>
      </w:r>
      <w:r w:rsidR="003C6FF7">
        <w:rPr>
          <w:rFonts w:ascii="Times New Roman" w:hAnsi="Times New Roman"/>
          <w:sz w:val="24"/>
          <w:szCs w:val="24"/>
        </w:rPr>
        <w:t>similar</w:t>
      </w:r>
      <w:r w:rsidR="009744EB">
        <w:rPr>
          <w:rFonts w:ascii="Times New Roman" w:hAnsi="Times New Roman"/>
          <w:sz w:val="24"/>
          <w:szCs w:val="24"/>
        </w:rPr>
        <w:t xml:space="preserve"> to</w:t>
      </w:r>
      <w:r w:rsidR="003C6FF7">
        <w:rPr>
          <w:rFonts w:ascii="Times New Roman" w:hAnsi="Times New Roman"/>
          <w:sz w:val="24"/>
          <w:szCs w:val="24"/>
        </w:rPr>
        <w:t xml:space="preserve"> a new </w:t>
      </w:r>
      <w:r w:rsidR="00820C1E">
        <w:rPr>
          <w:rFonts w:ascii="Times New Roman" w:hAnsi="Times New Roman"/>
          <w:sz w:val="24"/>
          <w:szCs w:val="24"/>
        </w:rPr>
        <w:t>or</w:t>
      </w:r>
      <w:r w:rsidR="003C6FF7">
        <w:rPr>
          <w:rFonts w:ascii="Times New Roman" w:hAnsi="Times New Roman"/>
          <w:sz w:val="24"/>
          <w:szCs w:val="24"/>
        </w:rPr>
        <w:t xml:space="preserve"> party</w:t>
      </w:r>
      <w:r w:rsidR="009744EB">
        <w:rPr>
          <w:rFonts w:ascii="Times New Roman" w:hAnsi="Times New Roman"/>
          <w:sz w:val="24"/>
          <w:szCs w:val="24"/>
        </w:rPr>
        <w:t>-</w:t>
      </w:r>
      <w:r w:rsidR="003C6FF7">
        <w:rPr>
          <w:rFonts w:ascii="Times New Roman" w:hAnsi="Times New Roman"/>
          <w:sz w:val="24"/>
          <w:szCs w:val="24"/>
        </w:rPr>
        <w:t>status application</w:t>
      </w:r>
      <w:r w:rsidR="00820C1E">
        <w:rPr>
          <w:rFonts w:ascii="Times New Roman" w:hAnsi="Times New Roman"/>
          <w:sz w:val="24"/>
          <w:szCs w:val="24"/>
        </w:rPr>
        <w:t xml:space="preserve">, including additional information on pertinent </w:t>
      </w:r>
      <w:r w:rsidR="009744EB">
        <w:rPr>
          <w:rFonts w:ascii="Times New Roman" w:hAnsi="Times New Roman"/>
          <w:sz w:val="24"/>
          <w:szCs w:val="24"/>
        </w:rPr>
        <w:t xml:space="preserve">previous </w:t>
      </w:r>
      <w:r w:rsidR="003C6FF7">
        <w:rPr>
          <w:rFonts w:ascii="Times New Roman" w:hAnsi="Times New Roman"/>
          <w:sz w:val="24"/>
          <w:szCs w:val="24"/>
        </w:rPr>
        <w:t>operational, shipping, and incident experience in connection with the special permit.  Additional information may be required based on applicant/application circumstances.</w:t>
      </w:r>
    </w:p>
    <w:p w:rsidRPr="00DC346F" w:rsidR="002D2638" w:rsidP="00DB7D1D" w:rsidRDefault="002D2638" w14:paraId="3011F575" w14:textId="77777777">
      <w:pPr>
        <w:rPr>
          <w:rFonts w:ascii="Times New Roman" w:hAnsi="Times New Roman"/>
          <w:sz w:val="24"/>
          <w:szCs w:val="24"/>
        </w:rPr>
      </w:pPr>
    </w:p>
    <w:p w:rsidRPr="00DC346F" w:rsidR="00D310B7" w:rsidP="00DB7D1D" w:rsidRDefault="008A64C4" w14:paraId="3C024F56" w14:textId="77777777">
      <w:pPr>
        <w:rPr>
          <w:rFonts w:ascii="Times New Roman" w:hAnsi="Times New Roman"/>
          <w:sz w:val="24"/>
          <w:szCs w:val="24"/>
        </w:rPr>
      </w:pPr>
      <w:r w:rsidRPr="00DC346F">
        <w:rPr>
          <w:rFonts w:ascii="Times New Roman" w:hAnsi="Times New Roman"/>
          <w:sz w:val="24"/>
          <w:szCs w:val="24"/>
        </w:rPr>
        <w:t xml:space="preserve">Part 107, Subpart C, details preemption requirements.  </w:t>
      </w:r>
      <w:r w:rsidRPr="00DC346F" w:rsidR="00116C1B">
        <w:rPr>
          <w:rFonts w:ascii="Times New Roman" w:hAnsi="Times New Roman"/>
          <w:sz w:val="24"/>
          <w:szCs w:val="24"/>
        </w:rPr>
        <w:t xml:space="preserve">Preemption procedures provide information that allows PHMSA to determine whether a State, political subdivision, or Indian tribe requirement is preempted under 49 U.S.C. 5125, or regulations issued thereunder, or whether a waiver of preemption should be issued.  </w:t>
      </w:r>
      <w:r w:rsidRPr="00DC346F" w:rsidR="00FA3CBC">
        <w:rPr>
          <w:rFonts w:ascii="Times New Roman" w:hAnsi="Times New Roman"/>
          <w:sz w:val="24"/>
          <w:szCs w:val="24"/>
        </w:rPr>
        <w:t>Preemption</w:t>
      </w:r>
      <w:r w:rsidR="00CC6BBC">
        <w:rPr>
          <w:rFonts w:ascii="Times New Roman" w:hAnsi="Times New Roman"/>
          <w:sz w:val="24"/>
          <w:szCs w:val="24"/>
        </w:rPr>
        <w:t>-</w:t>
      </w:r>
      <w:r w:rsidRPr="00DC346F" w:rsidR="00FA3CBC">
        <w:rPr>
          <w:rFonts w:ascii="Times New Roman" w:hAnsi="Times New Roman"/>
          <w:sz w:val="24"/>
          <w:szCs w:val="24"/>
        </w:rPr>
        <w:t xml:space="preserve">determination application requirements are detailed in </w:t>
      </w:r>
      <w:r w:rsidRPr="00DC346F" w:rsidR="00131102">
        <w:rPr>
          <w:rFonts w:ascii="Times New Roman" w:hAnsi="Times New Roman"/>
          <w:sz w:val="24"/>
          <w:szCs w:val="24"/>
        </w:rPr>
        <w:t>§ 107.203</w:t>
      </w:r>
      <w:r w:rsidR="00CC6BBC">
        <w:rPr>
          <w:rFonts w:ascii="Times New Roman" w:hAnsi="Times New Roman"/>
          <w:sz w:val="24"/>
          <w:szCs w:val="24"/>
        </w:rPr>
        <w:t>,</w:t>
      </w:r>
      <w:r w:rsidRPr="00DC346F" w:rsidR="00131102">
        <w:rPr>
          <w:rFonts w:ascii="Times New Roman" w:hAnsi="Times New Roman"/>
          <w:sz w:val="24"/>
          <w:szCs w:val="24"/>
        </w:rPr>
        <w:t xml:space="preserve"> and waiver of preemption application requirements are detailed in § 107.215.  An entity may submit a petition for reconsideration of the preemption or waiver of preemption in accordance with §</w:t>
      </w:r>
      <w:r w:rsidRPr="00DC346F" w:rsidR="00116C1B">
        <w:rPr>
          <w:rFonts w:ascii="Times New Roman" w:hAnsi="Times New Roman"/>
          <w:sz w:val="24"/>
          <w:szCs w:val="24"/>
        </w:rPr>
        <w:t xml:space="preserve">§ 107.211 or </w:t>
      </w:r>
      <w:r w:rsidRPr="00DC346F" w:rsidR="00131102">
        <w:rPr>
          <w:rFonts w:ascii="Times New Roman" w:hAnsi="Times New Roman"/>
          <w:sz w:val="24"/>
          <w:szCs w:val="24"/>
        </w:rPr>
        <w:t>107.223</w:t>
      </w:r>
      <w:r w:rsidRPr="00DC346F" w:rsidR="00116C1B">
        <w:rPr>
          <w:rFonts w:ascii="Times New Roman" w:hAnsi="Times New Roman"/>
          <w:sz w:val="24"/>
          <w:szCs w:val="24"/>
        </w:rPr>
        <w:t>.  The information required for the reconsideration is the same for both preemption determination and waiver of preemption.</w:t>
      </w:r>
    </w:p>
    <w:p w:rsidRPr="00DC346F" w:rsidR="007B025C" w:rsidP="00DB7D1D" w:rsidRDefault="007B025C" w14:paraId="3FAA7B2C" w14:textId="77777777">
      <w:pPr>
        <w:rPr>
          <w:rFonts w:ascii="Times New Roman" w:hAnsi="Times New Roman"/>
          <w:sz w:val="24"/>
          <w:szCs w:val="24"/>
        </w:rPr>
      </w:pPr>
    </w:p>
    <w:p w:rsidRPr="00DC346F" w:rsidR="0004749E" w:rsidP="00DB7D1D" w:rsidRDefault="0004749E" w14:paraId="0A44142A" w14:textId="77777777">
      <w:pPr>
        <w:rPr>
          <w:rFonts w:ascii="Times New Roman" w:hAnsi="Times New Roman"/>
          <w:sz w:val="24"/>
          <w:szCs w:val="24"/>
        </w:rPr>
      </w:pPr>
    </w:p>
    <w:p w:rsidRPr="00DC346F" w:rsidR="00470720" w:rsidP="00DB7D1D" w:rsidRDefault="008C61D5" w14:paraId="70C6462D" w14:textId="77777777">
      <w:pPr>
        <w:rPr>
          <w:rFonts w:ascii="Times New Roman" w:hAnsi="Times New Roman"/>
          <w:b/>
          <w:sz w:val="24"/>
          <w:szCs w:val="24"/>
        </w:rPr>
      </w:pPr>
      <w:r>
        <w:rPr>
          <w:rFonts w:ascii="Times New Roman" w:hAnsi="Times New Roman"/>
          <w:bCs/>
          <w:sz w:val="24"/>
          <w:szCs w:val="24"/>
        </w:rPr>
        <w:t>3.</w:t>
      </w:r>
      <w:r w:rsidRPr="00DC346F" w:rsidR="00ED56CE">
        <w:rPr>
          <w:rFonts w:ascii="Times New Roman" w:hAnsi="Times New Roman"/>
          <w:bCs/>
          <w:sz w:val="24"/>
          <w:szCs w:val="24"/>
        </w:rPr>
        <w:tab/>
      </w:r>
      <w:r w:rsidRPr="00DC346F" w:rsidR="0004749E">
        <w:rPr>
          <w:rFonts w:ascii="Times New Roman" w:hAnsi="Times New Roman"/>
          <w:bCs/>
          <w:sz w:val="24"/>
          <w:szCs w:val="24"/>
          <w:u w:val="single"/>
        </w:rPr>
        <w:t xml:space="preserve">Extent of automated information </w:t>
      </w:r>
      <w:r w:rsidRPr="00DC346F" w:rsidR="00131102">
        <w:rPr>
          <w:rFonts w:ascii="Times New Roman" w:hAnsi="Times New Roman"/>
          <w:bCs/>
          <w:sz w:val="24"/>
          <w:szCs w:val="24"/>
          <w:u w:val="single"/>
        </w:rPr>
        <w:t>collectio</w:t>
      </w:r>
      <w:r w:rsidRPr="00DC346F" w:rsidR="0004749E">
        <w:rPr>
          <w:rFonts w:ascii="Times New Roman" w:hAnsi="Times New Roman"/>
          <w:bCs/>
          <w:sz w:val="24"/>
          <w:szCs w:val="24"/>
          <w:u w:val="single"/>
        </w:rPr>
        <w:t>n</w:t>
      </w:r>
      <w:r w:rsidRPr="00DC346F" w:rsidR="00470720">
        <w:rPr>
          <w:rFonts w:ascii="Times New Roman" w:hAnsi="Times New Roman"/>
          <w:b/>
          <w:bCs/>
          <w:sz w:val="24"/>
          <w:szCs w:val="24"/>
        </w:rPr>
        <w:t xml:space="preserve"> </w:t>
      </w:r>
      <w:r w:rsidRPr="00DC346F" w:rsidR="009D4F72">
        <w:rPr>
          <w:rFonts w:ascii="Times New Roman" w:hAnsi="Times New Roman"/>
          <w:b/>
          <w:bCs/>
          <w:sz w:val="24"/>
          <w:szCs w:val="24"/>
        </w:rPr>
        <w:t xml:space="preserve"> </w:t>
      </w:r>
    </w:p>
    <w:p w:rsidRPr="00DC346F" w:rsidR="004A25E1" w:rsidP="00DB7D1D" w:rsidRDefault="004A25E1" w14:paraId="017F3206" w14:textId="77777777">
      <w:pPr>
        <w:rPr>
          <w:rFonts w:ascii="Times New Roman" w:hAnsi="Times New Roman"/>
          <w:sz w:val="24"/>
          <w:szCs w:val="24"/>
        </w:rPr>
      </w:pPr>
    </w:p>
    <w:p w:rsidRPr="00DC346F" w:rsidR="00E50657" w:rsidP="00DB7D1D" w:rsidRDefault="00B7040E" w14:paraId="07AEC575" w14:textId="77777777">
      <w:pPr>
        <w:rPr>
          <w:rFonts w:ascii="Times New Roman" w:hAnsi="Times New Roman"/>
          <w:sz w:val="24"/>
          <w:szCs w:val="24"/>
        </w:rPr>
      </w:pPr>
      <w:r w:rsidRPr="00DC346F">
        <w:rPr>
          <w:rFonts w:ascii="Times New Roman" w:hAnsi="Times New Roman"/>
          <w:sz w:val="24"/>
          <w:szCs w:val="24"/>
        </w:rPr>
        <w:t>The information requested is necessary to ensure safe operation</w:t>
      </w:r>
      <w:r w:rsidRPr="00DC346F" w:rsidR="005F0CF7">
        <w:rPr>
          <w:rFonts w:ascii="Times New Roman" w:hAnsi="Times New Roman"/>
          <w:sz w:val="24"/>
          <w:szCs w:val="24"/>
        </w:rPr>
        <w:t xml:space="preserve">s and </w:t>
      </w:r>
      <w:r w:rsidRPr="00DC346F">
        <w:rPr>
          <w:rFonts w:ascii="Times New Roman" w:hAnsi="Times New Roman"/>
          <w:sz w:val="24"/>
          <w:szCs w:val="24"/>
        </w:rPr>
        <w:t>is considered critical in making evaluations and assuring safe transportation of hazardous materials.  The Government Paperwork Elimination Act directs agencies to allow the option of electronic filing and recordkeeping by October 2003, when practicable.  Electronic filing and recordkeeping is authorized</w:t>
      </w:r>
      <w:r w:rsidRPr="00DC346F" w:rsidR="00DB7D1D">
        <w:rPr>
          <w:rFonts w:ascii="Times New Roman" w:hAnsi="Times New Roman"/>
          <w:sz w:val="24"/>
          <w:szCs w:val="24"/>
        </w:rPr>
        <w:t>, and in previous year</w:t>
      </w:r>
      <w:r w:rsidRPr="00DC346F" w:rsidR="0061035C">
        <w:rPr>
          <w:rFonts w:ascii="Times New Roman" w:hAnsi="Times New Roman"/>
          <w:sz w:val="24"/>
          <w:szCs w:val="24"/>
        </w:rPr>
        <w:t>s</w:t>
      </w:r>
      <w:r w:rsidRPr="00DC346F" w:rsidR="00DB7D1D">
        <w:rPr>
          <w:rFonts w:ascii="Times New Roman" w:hAnsi="Times New Roman"/>
          <w:sz w:val="24"/>
          <w:szCs w:val="24"/>
        </w:rPr>
        <w:t>, PHMSA has revised the HMR and internal processes to make the burden as simple as possible.</w:t>
      </w:r>
      <w:r w:rsidR="000957CF">
        <w:rPr>
          <w:rFonts w:ascii="Times New Roman" w:hAnsi="Times New Roman"/>
          <w:sz w:val="24"/>
          <w:szCs w:val="24"/>
        </w:rPr>
        <w:t xml:space="preserve">  PHMSA authorizes the submission of both paper and electronic petition</w:t>
      </w:r>
      <w:r w:rsidR="009E792F">
        <w:rPr>
          <w:rFonts w:ascii="Times New Roman" w:hAnsi="Times New Roman"/>
          <w:sz w:val="24"/>
          <w:szCs w:val="24"/>
        </w:rPr>
        <w:t>s</w:t>
      </w:r>
      <w:r w:rsidR="000957CF">
        <w:rPr>
          <w:rFonts w:ascii="Times New Roman" w:hAnsi="Times New Roman"/>
          <w:sz w:val="24"/>
          <w:szCs w:val="24"/>
        </w:rPr>
        <w:t xml:space="preserve"> for rulemakings, special permits, and preemption requests; a person may submit</w:t>
      </w:r>
      <w:r w:rsidR="009E792F">
        <w:rPr>
          <w:rFonts w:ascii="Times New Roman" w:hAnsi="Times New Roman"/>
          <w:sz w:val="24"/>
          <w:szCs w:val="24"/>
        </w:rPr>
        <w:t xml:space="preserve"> these</w:t>
      </w:r>
      <w:r w:rsidR="000957CF">
        <w:rPr>
          <w:rFonts w:ascii="Times New Roman" w:hAnsi="Times New Roman"/>
          <w:sz w:val="24"/>
          <w:szCs w:val="24"/>
        </w:rPr>
        <w:t xml:space="preserve"> to PHMSA in whichever form they prefer.</w:t>
      </w:r>
    </w:p>
    <w:p w:rsidRPr="00DC346F" w:rsidR="00DB7D1D" w:rsidP="00DB7D1D" w:rsidRDefault="00DB7D1D" w14:paraId="56D9D299" w14:textId="77777777">
      <w:pPr>
        <w:rPr>
          <w:rFonts w:ascii="Times New Roman" w:hAnsi="Times New Roman"/>
          <w:bCs/>
        </w:rPr>
      </w:pPr>
    </w:p>
    <w:p w:rsidRPr="00DC346F" w:rsidR="00116C1B" w:rsidP="00DB7D1D" w:rsidRDefault="00116C1B" w14:paraId="7D712CA7" w14:textId="77777777">
      <w:pPr>
        <w:rPr>
          <w:rFonts w:ascii="Times New Roman" w:hAnsi="Times New Roman"/>
          <w:bCs/>
        </w:rPr>
      </w:pPr>
    </w:p>
    <w:p w:rsidRPr="00DC346F" w:rsidR="0004749E" w:rsidP="00DB7D1D" w:rsidRDefault="008C61D5" w14:paraId="79CB0EEE" w14:textId="77777777">
      <w:pPr>
        <w:pStyle w:val="NormalWeb"/>
        <w:spacing w:before="0" w:beforeAutospacing="0" w:after="0" w:afterAutospacing="0"/>
        <w:rPr>
          <w:rFonts w:ascii="Times New Roman" w:hAnsi="Times New Roman" w:cs="Times New Roman"/>
          <w:b/>
          <w:bCs/>
          <w:u w:val="single"/>
        </w:rPr>
      </w:pPr>
      <w:r>
        <w:rPr>
          <w:rFonts w:ascii="Times New Roman" w:hAnsi="Times New Roman" w:cs="Times New Roman"/>
          <w:bCs/>
        </w:rPr>
        <w:t>4.</w:t>
      </w:r>
      <w:r w:rsidRPr="00DC346F" w:rsidR="00ED56CE">
        <w:rPr>
          <w:rFonts w:ascii="Times New Roman" w:hAnsi="Times New Roman" w:cs="Times New Roman"/>
          <w:bCs/>
        </w:rPr>
        <w:tab/>
      </w:r>
      <w:r w:rsidRPr="00DC346F" w:rsidR="0004749E">
        <w:rPr>
          <w:rFonts w:ascii="Times New Roman" w:hAnsi="Times New Roman" w:cs="Times New Roman"/>
          <w:bCs/>
          <w:u w:val="single"/>
        </w:rPr>
        <w:t>Efforts to identify duplication</w:t>
      </w:r>
    </w:p>
    <w:p w:rsidRPr="00DC346F" w:rsidR="00903F9C" w:rsidP="00DB7D1D" w:rsidRDefault="00903F9C" w14:paraId="7E08C1DC" w14:textId="77777777">
      <w:pPr>
        <w:rPr>
          <w:rFonts w:ascii="Times New Roman" w:hAnsi="Times New Roman"/>
          <w:sz w:val="24"/>
          <w:szCs w:val="24"/>
        </w:rPr>
      </w:pPr>
    </w:p>
    <w:p w:rsidR="008C61D5" w:rsidP="008C61D5" w:rsidRDefault="00D129AE" w14:paraId="31020970" w14:textId="77777777">
      <w:pPr>
        <w:rPr>
          <w:rFonts w:ascii="Times New Roman" w:hAnsi="Times New Roman"/>
          <w:sz w:val="24"/>
          <w:szCs w:val="24"/>
        </w:rPr>
      </w:pPr>
      <w:r w:rsidRPr="00DC346F">
        <w:rPr>
          <w:rFonts w:ascii="Times New Roman" w:hAnsi="Times New Roman"/>
          <w:sz w:val="24"/>
          <w:szCs w:val="24"/>
        </w:rPr>
        <w:t>Th</w:t>
      </w:r>
      <w:r w:rsidRPr="00DC346F" w:rsidR="00DB7D1D">
        <w:rPr>
          <w:rFonts w:ascii="Times New Roman" w:hAnsi="Times New Roman"/>
          <w:sz w:val="24"/>
          <w:szCs w:val="24"/>
        </w:rPr>
        <w:t>is information</w:t>
      </w:r>
      <w:r w:rsidRPr="00DC346F">
        <w:rPr>
          <w:rFonts w:ascii="Times New Roman" w:hAnsi="Times New Roman"/>
          <w:sz w:val="24"/>
          <w:szCs w:val="24"/>
        </w:rPr>
        <w:t xml:space="preserve"> collection has been in effect for many years and is unique to the H</w:t>
      </w:r>
      <w:r w:rsidRPr="00DC346F" w:rsidR="00DB7D1D">
        <w:rPr>
          <w:rFonts w:ascii="Times New Roman" w:hAnsi="Times New Roman"/>
          <w:sz w:val="24"/>
          <w:szCs w:val="24"/>
        </w:rPr>
        <w:t xml:space="preserve">MR.  </w:t>
      </w:r>
      <w:r w:rsidRPr="00DC346F">
        <w:rPr>
          <w:rFonts w:ascii="Times New Roman" w:hAnsi="Times New Roman"/>
          <w:sz w:val="24"/>
          <w:szCs w:val="24"/>
        </w:rPr>
        <w:t>T</w:t>
      </w:r>
      <w:r w:rsidRPr="00DC346F" w:rsidR="003D4CB6">
        <w:rPr>
          <w:rFonts w:ascii="Times New Roman" w:hAnsi="Times New Roman"/>
          <w:sz w:val="24"/>
          <w:szCs w:val="24"/>
        </w:rPr>
        <w:t>here is no duplication, as the information requested is not required by any other source.  Each response is unique</w:t>
      </w:r>
      <w:r w:rsidR="00B5538E">
        <w:rPr>
          <w:rFonts w:ascii="Times New Roman" w:hAnsi="Times New Roman"/>
          <w:sz w:val="24"/>
          <w:szCs w:val="24"/>
        </w:rPr>
        <w:t>,</w:t>
      </w:r>
      <w:r w:rsidRPr="00DC346F" w:rsidR="003D4CB6">
        <w:rPr>
          <w:rFonts w:ascii="Times New Roman" w:hAnsi="Times New Roman"/>
          <w:sz w:val="24"/>
          <w:szCs w:val="24"/>
        </w:rPr>
        <w:t xml:space="preserve"> and information derived from one may not be</w:t>
      </w:r>
      <w:r w:rsidRPr="00DC346F" w:rsidR="00DB7D1D">
        <w:rPr>
          <w:rFonts w:ascii="Times New Roman" w:hAnsi="Times New Roman"/>
          <w:sz w:val="24"/>
          <w:szCs w:val="24"/>
        </w:rPr>
        <w:t xml:space="preserve"> inferred by </w:t>
      </w:r>
      <w:r w:rsidRPr="00DC346F" w:rsidR="003D4CB6">
        <w:rPr>
          <w:rFonts w:ascii="Times New Roman" w:hAnsi="Times New Roman"/>
          <w:sz w:val="24"/>
          <w:szCs w:val="24"/>
        </w:rPr>
        <w:t>another.</w:t>
      </w:r>
      <w:r w:rsidRPr="00DC346F">
        <w:rPr>
          <w:rFonts w:ascii="Times New Roman" w:hAnsi="Times New Roman"/>
          <w:sz w:val="24"/>
          <w:szCs w:val="24"/>
        </w:rPr>
        <w:t xml:space="preserve">  </w:t>
      </w:r>
      <w:r w:rsidRPr="00DC346F" w:rsidR="00DB7D1D">
        <w:rPr>
          <w:rFonts w:ascii="Times New Roman" w:hAnsi="Times New Roman"/>
          <w:sz w:val="24"/>
          <w:szCs w:val="24"/>
        </w:rPr>
        <w:t xml:space="preserve">PHMSA has received </w:t>
      </w:r>
      <w:r w:rsidRPr="00DC346F">
        <w:rPr>
          <w:rFonts w:ascii="Times New Roman" w:hAnsi="Times New Roman"/>
          <w:sz w:val="24"/>
          <w:szCs w:val="24"/>
        </w:rPr>
        <w:t>no indication of duplication</w:t>
      </w:r>
      <w:r w:rsidR="00117414">
        <w:rPr>
          <w:rFonts w:ascii="Times New Roman" w:hAnsi="Times New Roman"/>
          <w:sz w:val="24"/>
          <w:szCs w:val="24"/>
        </w:rPr>
        <w:t xml:space="preserve"> and has done </w:t>
      </w:r>
      <w:r w:rsidR="007034C7">
        <w:rPr>
          <w:rFonts w:ascii="Times New Roman" w:hAnsi="Times New Roman"/>
          <w:sz w:val="24"/>
          <w:szCs w:val="24"/>
        </w:rPr>
        <w:t xml:space="preserve">its due </w:t>
      </w:r>
      <w:r w:rsidR="00117414">
        <w:rPr>
          <w:rFonts w:ascii="Times New Roman" w:hAnsi="Times New Roman"/>
          <w:sz w:val="24"/>
          <w:szCs w:val="24"/>
        </w:rPr>
        <w:t xml:space="preserve">diligence to ensure that this </w:t>
      </w:r>
      <w:r w:rsidR="00117414">
        <w:rPr>
          <w:rFonts w:ascii="Times New Roman" w:hAnsi="Times New Roman"/>
          <w:sz w:val="24"/>
          <w:szCs w:val="24"/>
        </w:rPr>
        <w:lastRenderedPageBreak/>
        <w:t>requirement is not covered by any other agency</w:t>
      </w:r>
      <w:r w:rsidRPr="00DC346F">
        <w:rPr>
          <w:rFonts w:ascii="Times New Roman" w:hAnsi="Times New Roman"/>
          <w:sz w:val="24"/>
          <w:szCs w:val="24"/>
        </w:rPr>
        <w:t>.</w:t>
      </w:r>
    </w:p>
    <w:p w:rsidR="008C61D5" w:rsidP="008C61D5" w:rsidRDefault="008C61D5" w14:paraId="3630D28C" w14:textId="77777777">
      <w:pPr>
        <w:rPr>
          <w:rFonts w:ascii="Times New Roman" w:hAnsi="Times New Roman"/>
          <w:sz w:val="24"/>
          <w:szCs w:val="24"/>
        </w:rPr>
      </w:pPr>
    </w:p>
    <w:p w:rsidR="008C61D5" w:rsidP="008C61D5" w:rsidRDefault="008C61D5" w14:paraId="0A0A1BEE" w14:textId="77777777">
      <w:pPr>
        <w:rPr>
          <w:rFonts w:ascii="Times New Roman" w:hAnsi="Times New Roman"/>
          <w:sz w:val="24"/>
          <w:szCs w:val="24"/>
        </w:rPr>
      </w:pPr>
    </w:p>
    <w:p w:rsidR="008C61D5" w:rsidP="00266AB8" w:rsidRDefault="0004749E" w14:paraId="40DE2F7C" w14:textId="77777777">
      <w:pPr>
        <w:keepNext/>
        <w:keepLines/>
        <w:rPr>
          <w:rFonts w:ascii="Times New Roman" w:hAnsi="Times New Roman"/>
          <w:bCs/>
          <w:sz w:val="24"/>
          <w:szCs w:val="24"/>
          <w:u w:val="single"/>
        </w:rPr>
      </w:pPr>
      <w:r w:rsidRPr="00DC346F">
        <w:rPr>
          <w:rFonts w:ascii="Times New Roman" w:hAnsi="Times New Roman"/>
          <w:bCs/>
          <w:sz w:val="24"/>
          <w:szCs w:val="24"/>
        </w:rPr>
        <w:t>5.</w:t>
      </w:r>
      <w:r w:rsidRPr="00DC346F" w:rsidR="00ED56CE">
        <w:rPr>
          <w:rFonts w:ascii="Times New Roman" w:hAnsi="Times New Roman"/>
          <w:bCs/>
          <w:sz w:val="24"/>
          <w:szCs w:val="24"/>
        </w:rPr>
        <w:tab/>
      </w:r>
      <w:r w:rsidRPr="00DC346F">
        <w:rPr>
          <w:rFonts w:ascii="Times New Roman" w:hAnsi="Times New Roman"/>
          <w:bCs/>
          <w:sz w:val="24"/>
          <w:szCs w:val="24"/>
          <w:u w:val="single"/>
        </w:rPr>
        <w:t>Efforts to minimize the burden on small businesses</w:t>
      </w:r>
    </w:p>
    <w:p w:rsidR="008C61D5" w:rsidP="00266AB8" w:rsidRDefault="008C61D5" w14:paraId="26D08077" w14:textId="77777777">
      <w:pPr>
        <w:keepNext/>
        <w:keepLines/>
        <w:rPr>
          <w:rFonts w:ascii="Times New Roman" w:hAnsi="Times New Roman"/>
          <w:bCs/>
          <w:sz w:val="24"/>
          <w:szCs w:val="24"/>
          <w:u w:val="single"/>
        </w:rPr>
      </w:pPr>
    </w:p>
    <w:p w:rsidRPr="00DC346F" w:rsidR="00DA7852" w:rsidP="00266AB8" w:rsidRDefault="00DA7852" w14:paraId="27DD1598" w14:textId="77777777">
      <w:pPr>
        <w:keepNext/>
        <w:keepLines/>
        <w:rPr>
          <w:rFonts w:ascii="Times New Roman" w:hAnsi="Times New Roman"/>
          <w:sz w:val="24"/>
          <w:szCs w:val="24"/>
        </w:rPr>
      </w:pPr>
      <w:r w:rsidRPr="00DC346F">
        <w:rPr>
          <w:rFonts w:ascii="Times New Roman" w:hAnsi="Times New Roman"/>
          <w:sz w:val="24"/>
          <w:szCs w:val="24"/>
        </w:rPr>
        <w:t>Because this information is unique, similar information is unavailable.  This information collection provides affected entities, including small businesses, the opportunit</w:t>
      </w:r>
      <w:r w:rsidR="007034C7">
        <w:rPr>
          <w:rFonts w:ascii="Times New Roman" w:hAnsi="Times New Roman"/>
          <w:sz w:val="24"/>
          <w:szCs w:val="24"/>
        </w:rPr>
        <w:t>ies</w:t>
      </w:r>
      <w:r w:rsidRPr="00DC346F">
        <w:rPr>
          <w:rFonts w:ascii="Times New Roman" w:hAnsi="Times New Roman"/>
          <w:sz w:val="24"/>
          <w:szCs w:val="24"/>
        </w:rPr>
        <w:t xml:space="preserve"> to</w:t>
      </w:r>
      <w:r w:rsidR="007034C7">
        <w:rPr>
          <w:rFonts w:ascii="Times New Roman" w:hAnsi="Times New Roman"/>
          <w:sz w:val="24"/>
          <w:szCs w:val="24"/>
        </w:rPr>
        <w:t>:</w:t>
      </w:r>
      <w:r w:rsidRPr="00DC346F">
        <w:rPr>
          <w:rFonts w:ascii="Times New Roman" w:hAnsi="Times New Roman"/>
          <w:sz w:val="24"/>
          <w:szCs w:val="24"/>
        </w:rPr>
        <w:t xml:space="preserve"> submit </w:t>
      </w:r>
      <w:r w:rsidR="00B90159">
        <w:rPr>
          <w:rFonts w:ascii="Times New Roman" w:hAnsi="Times New Roman"/>
          <w:sz w:val="24"/>
          <w:szCs w:val="24"/>
        </w:rPr>
        <w:t>a petition</w:t>
      </w:r>
      <w:r w:rsidRPr="00DC346F">
        <w:rPr>
          <w:rFonts w:ascii="Times New Roman" w:hAnsi="Times New Roman"/>
          <w:sz w:val="24"/>
          <w:szCs w:val="24"/>
        </w:rPr>
        <w:t xml:space="preserve"> for rulemaking that could relax, </w:t>
      </w:r>
      <w:r w:rsidR="00B90159">
        <w:rPr>
          <w:rFonts w:ascii="Times New Roman" w:hAnsi="Times New Roman"/>
          <w:sz w:val="24"/>
          <w:szCs w:val="24"/>
        </w:rPr>
        <w:t xml:space="preserve">clarify, or </w:t>
      </w:r>
      <w:r w:rsidRPr="00DC346F">
        <w:rPr>
          <w:rFonts w:ascii="Times New Roman" w:hAnsi="Times New Roman"/>
          <w:sz w:val="24"/>
          <w:szCs w:val="24"/>
        </w:rPr>
        <w:t>simplify the regulations</w:t>
      </w:r>
      <w:r w:rsidR="007034C7">
        <w:rPr>
          <w:rFonts w:ascii="Times New Roman" w:hAnsi="Times New Roman"/>
          <w:sz w:val="24"/>
          <w:szCs w:val="24"/>
        </w:rPr>
        <w:t>;</w:t>
      </w:r>
      <w:r w:rsidRPr="00B90159" w:rsidR="00B90159">
        <w:rPr>
          <w:rFonts w:ascii="Times New Roman" w:hAnsi="Times New Roman"/>
          <w:sz w:val="24"/>
          <w:szCs w:val="24"/>
        </w:rPr>
        <w:t xml:space="preserve"> </w:t>
      </w:r>
      <w:r w:rsidRPr="00DC346F" w:rsidR="00B90159">
        <w:rPr>
          <w:rFonts w:ascii="Times New Roman" w:hAnsi="Times New Roman"/>
          <w:sz w:val="24"/>
          <w:szCs w:val="24"/>
        </w:rPr>
        <w:t xml:space="preserve">obtain a special permit </w:t>
      </w:r>
      <w:r w:rsidR="007034C7">
        <w:rPr>
          <w:rFonts w:ascii="Times New Roman" w:hAnsi="Times New Roman"/>
          <w:sz w:val="24"/>
          <w:szCs w:val="24"/>
        </w:rPr>
        <w:t xml:space="preserve">exempting them </w:t>
      </w:r>
      <w:r w:rsidRPr="00DC346F" w:rsidR="00B90159">
        <w:rPr>
          <w:rFonts w:ascii="Times New Roman" w:hAnsi="Times New Roman"/>
          <w:sz w:val="24"/>
          <w:szCs w:val="24"/>
        </w:rPr>
        <w:t>from certain regulatory requirem</w:t>
      </w:r>
      <w:r w:rsidR="00B90159">
        <w:rPr>
          <w:rFonts w:ascii="Times New Roman" w:hAnsi="Times New Roman"/>
          <w:sz w:val="24"/>
          <w:szCs w:val="24"/>
        </w:rPr>
        <w:t>ents</w:t>
      </w:r>
      <w:r w:rsidR="007034C7">
        <w:rPr>
          <w:rFonts w:ascii="Times New Roman" w:hAnsi="Times New Roman"/>
          <w:sz w:val="24"/>
          <w:szCs w:val="24"/>
        </w:rPr>
        <w:t>;</w:t>
      </w:r>
      <w:r w:rsidRPr="00DC346F">
        <w:rPr>
          <w:rFonts w:ascii="Times New Roman" w:hAnsi="Times New Roman"/>
          <w:sz w:val="24"/>
          <w:szCs w:val="24"/>
        </w:rPr>
        <w:t xml:space="preserve"> and petition for preemption of non</w:t>
      </w:r>
      <w:r w:rsidR="007034C7">
        <w:rPr>
          <w:rFonts w:ascii="Times New Roman" w:hAnsi="Times New Roman"/>
          <w:sz w:val="24"/>
          <w:szCs w:val="24"/>
        </w:rPr>
        <w:noBreakHyphen/>
      </w:r>
      <w:r w:rsidRPr="00DC346F">
        <w:rPr>
          <w:rFonts w:ascii="Times New Roman" w:hAnsi="Times New Roman"/>
          <w:sz w:val="24"/>
          <w:szCs w:val="24"/>
        </w:rPr>
        <w:t xml:space="preserve">conforming State regulations that may cause an undue burden.  </w:t>
      </w:r>
      <w:r w:rsidRPr="00DC346F" w:rsidR="005F0CF7">
        <w:rPr>
          <w:rFonts w:ascii="Times New Roman" w:hAnsi="Times New Roman"/>
          <w:sz w:val="24"/>
          <w:szCs w:val="24"/>
        </w:rPr>
        <w:t xml:space="preserve">In addition, </w:t>
      </w:r>
      <w:r w:rsidRPr="00DC346F">
        <w:rPr>
          <w:rFonts w:ascii="Times New Roman" w:hAnsi="Times New Roman"/>
          <w:sz w:val="24"/>
          <w:szCs w:val="24"/>
        </w:rPr>
        <w:t>the collection of this information is reviewed periodically to ensure that the requirements involving safety in the transportation of hazardous materials are kept to the necessary standards to protect all involved.</w:t>
      </w:r>
      <w:r w:rsidR="00117414">
        <w:rPr>
          <w:rFonts w:ascii="Times New Roman" w:hAnsi="Times New Roman"/>
          <w:sz w:val="24"/>
          <w:szCs w:val="24"/>
        </w:rPr>
        <w:t xml:space="preserve">  Because the benefits to safety outweigh a reduction in small b</w:t>
      </w:r>
      <w:r w:rsidR="007B25A5">
        <w:rPr>
          <w:rFonts w:ascii="Times New Roman" w:hAnsi="Times New Roman"/>
          <w:sz w:val="24"/>
          <w:szCs w:val="24"/>
        </w:rPr>
        <w:t>usiness burden</w:t>
      </w:r>
      <w:r w:rsidR="00712DC3">
        <w:rPr>
          <w:rFonts w:ascii="Times New Roman" w:hAnsi="Times New Roman"/>
          <w:sz w:val="24"/>
          <w:szCs w:val="24"/>
        </w:rPr>
        <w:t>,</w:t>
      </w:r>
      <w:r w:rsidR="007B25A5">
        <w:rPr>
          <w:rFonts w:ascii="Times New Roman" w:hAnsi="Times New Roman"/>
          <w:sz w:val="24"/>
          <w:szCs w:val="24"/>
        </w:rPr>
        <w:t xml:space="preserve"> and</w:t>
      </w:r>
      <w:r w:rsidR="00117414">
        <w:rPr>
          <w:rFonts w:ascii="Times New Roman" w:hAnsi="Times New Roman"/>
          <w:sz w:val="24"/>
          <w:szCs w:val="24"/>
        </w:rPr>
        <w:t xml:space="preserve"> </w:t>
      </w:r>
      <w:r w:rsidR="00712DC3">
        <w:rPr>
          <w:rFonts w:ascii="Times New Roman" w:hAnsi="Times New Roman"/>
          <w:sz w:val="24"/>
          <w:szCs w:val="24"/>
        </w:rPr>
        <w:t xml:space="preserve">because </w:t>
      </w:r>
      <w:r w:rsidR="007B25A5">
        <w:rPr>
          <w:rFonts w:ascii="Times New Roman" w:hAnsi="Times New Roman"/>
          <w:sz w:val="24"/>
          <w:szCs w:val="24"/>
        </w:rPr>
        <w:t xml:space="preserve">applying for a </w:t>
      </w:r>
      <w:r w:rsidR="00117414">
        <w:rPr>
          <w:rFonts w:ascii="Times New Roman" w:hAnsi="Times New Roman"/>
          <w:sz w:val="24"/>
          <w:szCs w:val="24"/>
        </w:rPr>
        <w:t>petition</w:t>
      </w:r>
      <w:r w:rsidR="007B25A5">
        <w:rPr>
          <w:rFonts w:ascii="Times New Roman" w:hAnsi="Times New Roman"/>
          <w:sz w:val="24"/>
          <w:szCs w:val="24"/>
        </w:rPr>
        <w:t xml:space="preserve"> for rulemaking, special permit</w:t>
      </w:r>
      <w:r w:rsidR="00117414">
        <w:rPr>
          <w:rFonts w:ascii="Times New Roman" w:hAnsi="Times New Roman"/>
          <w:sz w:val="24"/>
          <w:szCs w:val="24"/>
        </w:rPr>
        <w:t xml:space="preserve">, </w:t>
      </w:r>
      <w:r w:rsidR="00712DC3">
        <w:rPr>
          <w:rFonts w:ascii="Times New Roman" w:hAnsi="Times New Roman"/>
          <w:sz w:val="24"/>
          <w:szCs w:val="24"/>
        </w:rPr>
        <w:t>or</w:t>
      </w:r>
      <w:r w:rsidR="00117414">
        <w:rPr>
          <w:rFonts w:ascii="Times New Roman" w:hAnsi="Times New Roman"/>
          <w:sz w:val="24"/>
          <w:szCs w:val="24"/>
        </w:rPr>
        <w:t xml:space="preserve"> preemp</w:t>
      </w:r>
      <w:r w:rsidR="007B25A5">
        <w:rPr>
          <w:rFonts w:ascii="Times New Roman" w:hAnsi="Times New Roman"/>
          <w:sz w:val="24"/>
          <w:szCs w:val="24"/>
        </w:rPr>
        <w:t>tion is not required</w:t>
      </w:r>
      <w:r w:rsidR="00712DC3">
        <w:rPr>
          <w:rFonts w:ascii="Times New Roman" w:hAnsi="Times New Roman"/>
          <w:sz w:val="24"/>
          <w:szCs w:val="24"/>
        </w:rPr>
        <w:t xml:space="preserve"> in order</w:t>
      </w:r>
      <w:r w:rsidR="007B25A5">
        <w:rPr>
          <w:rFonts w:ascii="Times New Roman" w:hAnsi="Times New Roman"/>
          <w:sz w:val="24"/>
          <w:szCs w:val="24"/>
        </w:rPr>
        <w:t xml:space="preserve"> to comply with the </w:t>
      </w:r>
      <w:r w:rsidR="007034C7">
        <w:rPr>
          <w:rFonts w:ascii="Times New Roman" w:hAnsi="Times New Roman"/>
          <w:sz w:val="24"/>
          <w:szCs w:val="24"/>
        </w:rPr>
        <w:t>HMR</w:t>
      </w:r>
      <w:r w:rsidR="007B25A5">
        <w:rPr>
          <w:rFonts w:ascii="Times New Roman" w:hAnsi="Times New Roman"/>
          <w:sz w:val="24"/>
          <w:szCs w:val="24"/>
        </w:rPr>
        <w:t xml:space="preserve">, this information is collected </w:t>
      </w:r>
      <w:r w:rsidR="00117414">
        <w:rPr>
          <w:rFonts w:ascii="Times New Roman" w:hAnsi="Times New Roman"/>
          <w:sz w:val="24"/>
          <w:szCs w:val="24"/>
        </w:rPr>
        <w:t>b</w:t>
      </w:r>
      <w:r w:rsidR="007B25A5">
        <w:rPr>
          <w:rFonts w:ascii="Times New Roman" w:hAnsi="Times New Roman"/>
          <w:sz w:val="24"/>
          <w:szCs w:val="24"/>
        </w:rPr>
        <w:t xml:space="preserve">ased on business decisions </w:t>
      </w:r>
      <w:r w:rsidR="00117414">
        <w:rPr>
          <w:rFonts w:ascii="Times New Roman" w:hAnsi="Times New Roman"/>
          <w:sz w:val="24"/>
          <w:szCs w:val="24"/>
        </w:rPr>
        <w:t xml:space="preserve">and not </w:t>
      </w:r>
      <w:r w:rsidR="00712DC3">
        <w:rPr>
          <w:rFonts w:ascii="Times New Roman" w:hAnsi="Times New Roman"/>
          <w:sz w:val="24"/>
          <w:szCs w:val="24"/>
        </w:rPr>
        <w:t xml:space="preserve">on </w:t>
      </w:r>
      <w:r w:rsidR="00117414">
        <w:rPr>
          <w:rFonts w:ascii="Times New Roman" w:hAnsi="Times New Roman"/>
          <w:sz w:val="24"/>
          <w:szCs w:val="24"/>
        </w:rPr>
        <w:t>business size.</w:t>
      </w:r>
    </w:p>
    <w:p w:rsidRPr="00DC346F" w:rsidR="0004749E" w:rsidP="00DB7D1D" w:rsidRDefault="0004749E" w14:paraId="6792432E" w14:textId="77777777">
      <w:pPr>
        <w:rPr>
          <w:rFonts w:ascii="Times New Roman" w:hAnsi="Times New Roman"/>
          <w:sz w:val="24"/>
          <w:szCs w:val="24"/>
        </w:rPr>
      </w:pPr>
    </w:p>
    <w:p w:rsidRPr="00DC346F" w:rsidR="00116C1B" w:rsidP="00DB7D1D" w:rsidRDefault="00116C1B" w14:paraId="7128292E" w14:textId="77777777">
      <w:pPr>
        <w:rPr>
          <w:rFonts w:ascii="Times New Roman" w:hAnsi="Times New Roman"/>
          <w:sz w:val="24"/>
          <w:szCs w:val="24"/>
        </w:rPr>
      </w:pPr>
    </w:p>
    <w:p w:rsidRPr="00DC346F" w:rsidR="0061035C" w:rsidP="00DB7D1D" w:rsidRDefault="0004749E" w14:paraId="2CC0B203" w14:textId="77777777">
      <w:pPr>
        <w:rPr>
          <w:rFonts w:ascii="Times New Roman" w:hAnsi="Times New Roman"/>
          <w:b/>
          <w:sz w:val="24"/>
          <w:szCs w:val="24"/>
        </w:rPr>
      </w:pPr>
      <w:r w:rsidRPr="00DC346F">
        <w:rPr>
          <w:rFonts w:ascii="Times New Roman" w:hAnsi="Times New Roman"/>
          <w:bCs/>
          <w:sz w:val="24"/>
          <w:szCs w:val="24"/>
        </w:rPr>
        <w:t>6.</w:t>
      </w:r>
      <w:r w:rsidRPr="00DC346F" w:rsidR="00ED56CE">
        <w:rPr>
          <w:rFonts w:ascii="Times New Roman" w:hAnsi="Times New Roman"/>
          <w:bCs/>
          <w:sz w:val="24"/>
          <w:szCs w:val="24"/>
        </w:rPr>
        <w:tab/>
      </w:r>
      <w:r w:rsidRPr="00DC346F">
        <w:rPr>
          <w:rFonts w:ascii="Times New Roman" w:hAnsi="Times New Roman"/>
          <w:bCs/>
          <w:sz w:val="24"/>
          <w:szCs w:val="24"/>
          <w:u w:val="single"/>
        </w:rPr>
        <w:t>Impact of less frequent collection of information</w:t>
      </w:r>
    </w:p>
    <w:p w:rsidRPr="00DC346F" w:rsidR="0061035C" w:rsidP="00DB7D1D" w:rsidRDefault="0061035C" w14:paraId="7779F0EE" w14:textId="77777777">
      <w:pPr>
        <w:rPr>
          <w:rFonts w:ascii="Times New Roman" w:hAnsi="Times New Roman"/>
          <w:b/>
          <w:sz w:val="24"/>
          <w:szCs w:val="24"/>
        </w:rPr>
      </w:pPr>
    </w:p>
    <w:p w:rsidRPr="00DC346F" w:rsidR="00E50657" w:rsidP="00DB7D1D" w:rsidRDefault="00DA7852" w14:paraId="1C1CE47B" w14:textId="77777777">
      <w:pPr>
        <w:rPr>
          <w:rFonts w:ascii="Times New Roman" w:hAnsi="Times New Roman"/>
          <w:sz w:val="24"/>
          <w:szCs w:val="24"/>
        </w:rPr>
      </w:pPr>
      <w:r w:rsidRPr="00DC346F">
        <w:rPr>
          <w:rFonts w:ascii="Times New Roman" w:hAnsi="Times New Roman"/>
          <w:sz w:val="24"/>
          <w:szCs w:val="24"/>
        </w:rPr>
        <w:t>Sin</w:t>
      </w:r>
      <w:r w:rsidRPr="00DC346F" w:rsidR="0061035C">
        <w:rPr>
          <w:rFonts w:ascii="Times New Roman" w:hAnsi="Times New Roman"/>
          <w:sz w:val="24"/>
          <w:szCs w:val="24"/>
        </w:rPr>
        <w:t>ce regulated entities are not req</w:t>
      </w:r>
      <w:r w:rsidRPr="00DC346F">
        <w:rPr>
          <w:rFonts w:ascii="Times New Roman" w:hAnsi="Times New Roman"/>
          <w:sz w:val="24"/>
          <w:szCs w:val="24"/>
        </w:rPr>
        <w:t xml:space="preserve">uired to petition for </w:t>
      </w:r>
      <w:r w:rsidR="007B25A5">
        <w:rPr>
          <w:rFonts w:ascii="Times New Roman" w:hAnsi="Times New Roman"/>
          <w:sz w:val="24"/>
          <w:szCs w:val="24"/>
        </w:rPr>
        <w:t xml:space="preserve">a </w:t>
      </w:r>
      <w:r w:rsidRPr="00DC346F">
        <w:rPr>
          <w:rFonts w:ascii="Times New Roman" w:hAnsi="Times New Roman"/>
          <w:sz w:val="24"/>
          <w:szCs w:val="24"/>
        </w:rPr>
        <w:t xml:space="preserve">rulemaking, </w:t>
      </w:r>
      <w:r w:rsidR="007B25A5">
        <w:rPr>
          <w:rFonts w:ascii="Times New Roman" w:hAnsi="Times New Roman"/>
          <w:sz w:val="24"/>
          <w:szCs w:val="24"/>
        </w:rPr>
        <w:t>apply for special permit</w:t>
      </w:r>
      <w:r w:rsidRPr="00DC346F" w:rsidR="007B25A5">
        <w:rPr>
          <w:rFonts w:ascii="Times New Roman" w:hAnsi="Times New Roman"/>
          <w:sz w:val="24"/>
          <w:szCs w:val="24"/>
        </w:rPr>
        <w:t xml:space="preserve">, </w:t>
      </w:r>
      <w:r w:rsidRPr="00DC346F">
        <w:rPr>
          <w:rFonts w:ascii="Times New Roman" w:hAnsi="Times New Roman"/>
          <w:sz w:val="24"/>
          <w:szCs w:val="24"/>
        </w:rPr>
        <w:t>or request a pre</w:t>
      </w:r>
      <w:r w:rsidR="007B25A5">
        <w:rPr>
          <w:rFonts w:ascii="Times New Roman" w:hAnsi="Times New Roman"/>
          <w:sz w:val="24"/>
          <w:szCs w:val="24"/>
        </w:rPr>
        <w:t xml:space="preserve">emption </w:t>
      </w:r>
      <w:r w:rsidRPr="00DC346F">
        <w:rPr>
          <w:rFonts w:ascii="Times New Roman" w:hAnsi="Times New Roman"/>
          <w:sz w:val="24"/>
          <w:szCs w:val="24"/>
        </w:rPr>
        <w:t>determination, there is no mandatory information collection that applies to all regulated entities.  Only those entities seeking regulatory change or relief are subject to this information collection.  The frequency</w:t>
      </w:r>
      <w:r w:rsidR="00407B24">
        <w:rPr>
          <w:rFonts w:ascii="Times New Roman" w:hAnsi="Times New Roman"/>
          <w:sz w:val="24"/>
          <w:szCs w:val="24"/>
        </w:rPr>
        <w:t xml:space="preserve"> of information collection</w:t>
      </w:r>
      <w:r w:rsidRPr="00DC346F">
        <w:rPr>
          <w:rFonts w:ascii="Times New Roman" w:hAnsi="Times New Roman"/>
          <w:sz w:val="24"/>
          <w:szCs w:val="24"/>
        </w:rPr>
        <w:t xml:space="preserve">, for the most part, is determined by those affected.  </w:t>
      </w:r>
      <w:r w:rsidR="00407B24">
        <w:rPr>
          <w:rFonts w:ascii="Times New Roman" w:hAnsi="Times New Roman"/>
          <w:sz w:val="24"/>
          <w:szCs w:val="24"/>
        </w:rPr>
        <w:t>Con</w:t>
      </w:r>
      <w:r w:rsidRPr="00DC346F" w:rsidR="00407B24">
        <w:rPr>
          <w:rFonts w:ascii="Times New Roman" w:hAnsi="Times New Roman"/>
          <w:sz w:val="24"/>
          <w:szCs w:val="24"/>
        </w:rPr>
        <w:t>sequently</w:t>
      </w:r>
      <w:r w:rsidRPr="00DC346F">
        <w:rPr>
          <w:rFonts w:ascii="Times New Roman" w:hAnsi="Times New Roman"/>
          <w:sz w:val="24"/>
          <w:szCs w:val="24"/>
        </w:rPr>
        <w:t>, it is not possible to conduct the collection less frequently.</w:t>
      </w:r>
    </w:p>
    <w:p w:rsidRPr="00DC346F" w:rsidR="00E50657" w:rsidP="00DB7D1D" w:rsidRDefault="00E50657" w14:paraId="1B760CA4" w14:textId="77777777">
      <w:pPr>
        <w:rPr>
          <w:rFonts w:ascii="Times New Roman" w:hAnsi="Times New Roman"/>
          <w:sz w:val="24"/>
          <w:szCs w:val="24"/>
        </w:rPr>
      </w:pPr>
    </w:p>
    <w:p w:rsidRPr="00DC346F" w:rsidR="00116C1B" w:rsidP="00DB7D1D" w:rsidRDefault="00116C1B" w14:paraId="1ACFADC5" w14:textId="77777777">
      <w:pPr>
        <w:rPr>
          <w:rFonts w:ascii="Times New Roman" w:hAnsi="Times New Roman"/>
          <w:sz w:val="24"/>
          <w:szCs w:val="24"/>
        </w:rPr>
      </w:pPr>
    </w:p>
    <w:p w:rsidRPr="00DC346F" w:rsidR="00ED56CE" w:rsidP="00DB7D1D" w:rsidRDefault="009D4F72" w14:paraId="2C4A2F44" w14:textId="77777777">
      <w:pPr>
        <w:rPr>
          <w:rFonts w:ascii="Times New Roman" w:hAnsi="Times New Roman"/>
          <w:sz w:val="24"/>
          <w:szCs w:val="24"/>
        </w:rPr>
      </w:pPr>
      <w:r w:rsidRPr="00DC346F">
        <w:rPr>
          <w:rFonts w:ascii="Times New Roman" w:hAnsi="Times New Roman"/>
          <w:sz w:val="24"/>
          <w:szCs w:val="24"/>
        </w:rPr>
        <w:t>7</w:t>
      </w:r>
      <w:r w:rsidR="008C61D5">
        <w:rPr>
          <w:rFonts w:ascii="Times New Roman" w:hAnsi="Times New Roman"/>
          <w:sz w:val="24"/>
          <w:szCs w:val="24"/>
        </w:rPr>
        <w:t>.</w:t>
      </w:r>
      <w:r w:rsidRPr="00DC346F" w:rsidR="00ED56CE">
        <w:rPr>
          <w:rFonts w:ascii="Times New Roman" w:hAnsi="Times New Roman"/>
          <w:sz w:val="24"/>
          <w:szCs w:val="24"/>
        </w:rPr>
        <w:tab/>
      </w:r>
      <w:r w:rsidRPr="00DC346F" w:rsidR="0004749E">
        <w:rPr>
          <w:rFonts w:ascii="Times New Roman" w:hAnsi="Times New Roman"/>
          <w:sz w:val="24"/>
          <w:szCs w:val="24"/>
          <w:u w:val="single"/>
        </w:rPr>
        <w:t>Special circumstances</w:t>
      </w:r>
    </w:p>
    <w:p w:rsidRPr="00DC346F" w:rsidR="00ED56CE" w:rsidP="00DB7D1D" w:rsidRDefault="00ED56CE" w14:paraId="35040F3B" w14:textId="77777777">
      <w:pPr>
        <w:rPr>
          <w:rFonts w:ascii="Times New Roman" w:hAnsi="Times New Roman"/>
          <w:sz w:val="24"/>
          <w:szCs w:val="24"/>
        </w:rPr>
      </w:pPr>
    </w:p>
    <w:p w:rsidR="007B25A5" w:rsidP="00DB7D1D" w:rsidRDefault="00DA7852" w14:paraId="77C927DE" w14:textId="77777777">
      <w:pPr>
        <w:rPr>
          <w:rFonts w:ascii="Times New Roman" w:hAnsi="Times New Roman"/>
          <w:sz w:val="24"/>
          <w:szCs w:val="24"/>
        </w:rPr>
      </w:pPr>
      <w:r w:rsidRPr="00DC346F">
        <w:rPr>
          <w:rFonts w:ascii="Times New Roman" w:hAnsi="Times New Roman"/>
          <w:sz w:val="24"/>
          <w:szCs w:val="24"/>
        </w:rPr>
        <w:t>This collection of information is generally conducted in a manner consistent with the guidelines in</w:t>
      </w:r>
      <w:r w:rsidRPr="00DC346F" w:rsidR="00170D0F">
        <w:rPr>
          <w:rFonts w:ascii="Times New Roman" w:hAnsi="Times New Roman"/>
          <w:sz w:val="24"/>
          <w:szCs w:val="24"/>
        </w:rPr>
        <w:t xml:space="preserve"> </w:t>
      </w:r>
      <w:r w:rsidRPr="00DC346F">
        <w:rPr>
          <w:rFonts w:ascii="Times New Roman" w:hAnsi="Times New Roman"/>
          <w:sz w:val="24"/>
          <w:szCs w:val="24"/>
        </w:rPr>
        <w:t>5 CFR 1320.5(d)(2) with the following qualifications:</w:t>
      </w:r>
    </w:p>
    <w:p w:rsidRPr="00DC346F" w:rsidR="00DA7852" w:rsidP="007B25A5" w:rsidRDefault="00DA7852" w14:paraId="7B0B5CE4" w14:textId="77777777">
      <w:pPr>
        <w:numPr>
          <w:ilvl w:val="0"/>
          <w:numId w:val="11"/>
        </w:numPr>
        <w:rPr>
          <w:rFonts w:ascii="Times New Roman" w:hAnsi="Times New Roman"/>
          <w:sz w:val="24"/>
          <w:szCs w:val="24"/>
        </w:rPr>
      </w:pPr>
      <w:r w:rsidRPr="00DC346F">
        <w:rPr>
          <w:rFonts w:ascii="Times New Roman" w:hAnsi="Times New Roman"/>
          <w:sz w:val="24"/>
          <w:szCs w:val="24"/>
        </w:rPr>
        <w:t>Requiring respondents to retain records, other than health, medical, government contract, grant-in-aid, or tax records</w:t>
      </w:r>
      <w:r w:rsidR="00F268B5">
        <w:rPr>
          <w:rFonts w:ascii="Times New Roman" w:hAnsi="Times New Roman"/>
          <w:sz w:val="24"/>
          <w:szCs w:val="24"/>
        </w:rPr>
        <w:t>, for</w:t>
      </w:r>
      <w:r w:rsidRPr="00DC346F">
        <w:rPr>
          <w:rFonts w:ascii="Times New Roman" w:hAnsi="Times New Roman"/>
          <w:sz w:val="24"/>
          <w:szCs w:val="24"/>
        </w:rPr>
        <w:t xml:space="preserve"> more than </w:t>
      </w:r>
      <w:r w:rsidR="00EF0465">
        <w:rPr>
          <w:rFonts w:ascii="Times New Roman" w:hAnsi="Times New Roman"/>
          <w:sz w:val="24"/>
          <w:szCs w:val="24"/>
        </w:rPr>
        <w:t>3</w:t>
      </w:r>
      <w:r w:rsidRPr="00DC346F" w:rsidR="00EF0465">
        <w:rPr>
          <w:rFonts w:ascii="Times New Roman" w:hAnsi="Times New Roman"/>
          <w:sz w:val="24"/>
          <w:szCs w:val="24"/>
        </w:rPr>
        <w:t xml:space="preserve"> </w:t>
      </w:r>
      <w:r w:rsidRPr="00DC346F">
        <w:rPr>
          <w:rFonts w:ascii="Times New Roman" w:hAnsi="Times New Roman"/>
          <w:sz w:val="24"/>
          <w:szCs w:val="24"/>
        </w:rPr>
        <w:t>years.</w:t>
      </w:r>
    </w:p>
    <w:p w:rsidRPr="00DC346F" w:rsidR="004261AD" w:rsidP="00DB7D1D" w:rsidRDefault="004261AD" w14:paraId="7DF790BC" w14:textId="77777777">
      <w:pPr>
        <w:rPr>
          <w:rFonts w:ascii="Times New Roman" w:hAnsi="Times New Roman"/>
          <w:bCs/>
          <w:sz w:val="24"/>
          <w:szCs w:val="24"/>
        </w:rPr>
      </w:pPr>
    </w:p>
    <w:p w:rsidRPr="00DC346F" w:rsidR="00116C1B" w:rsidP="00DB7D1D" w:rsidRDefault="00116C1B" w14:paraId="1D786A85" w14:textId="77777777">
      <w:pPr>
        <w:rPr>
          <w:rFonts w:ascii="Times New Roman" w:hAnsi="Times New Roman"/>
          <w:bCs/>
          <w:sz w:val="24"/>
          <w:szCs w:val="24"/>
        </w:rPr>
      </w:pPr>
    </w:p>
    <w:p w:rsidRPr="00DC346F" w:rsidR="00470720" w:rsidP="00DB7D1D" w:rsidRDefault="008C61D5" w14:paraId="2F9B2B49" w14:textId="77777777">
      <w:pPr>
        <w:rPr>
          <w:rFonts w:ascii="Times New Roman" w:hAnsi="Times New Roman"/>
          <w:sz w:val="24"/>
          <w:szCs w:val="24"/>
        </w:rPr>
      </w:pPr>
      <w:r>
        <w:rPr>
          <w:rFonts w:ascii="Times New Roman" w:hAnsi="Times New Roman"/>
          <w:bCs/>
          <w:sz w:val="24"/>
          <w:szCs w:val="24"/>
        </w:rPr>
        <w:t>8.</w:t>
      </w:r>
      <w:r w:rsidRPr="00DC346F" w:rsidR="00ED56CE">
        <w:rPr>
          <w:rFonts w:ascii="Times New Roman" w:hAnsi="Times New Roman"/>
          <w:bCs/>
          <w:sz w:val="24"/>
          <w:szCs w:val="24"/>
        </w:rPr>
        <w:tab/>
      </w:r>
      <w:r w:rsidRPr="00DC346F" w:rsidR="0004749E">
        <w:rPr>
          <w:rFonts w:ascii="Times New Roman" w:hAnsi="Times New Roman"/>
          <w:bCs/>
          <w:sz w:val="24"/>
          <w:szCs w:val="24"/>
          <w:u w:val="single"/>
        </w:rPr>
        <w:t>Compliance with 5 CFR 1320.8</w:t>
      </w:r>
    </w:p>
    <w:p w:rsidRPr="00DC346F" w:rsidR="004A25E1" w:rsidP="00DB7D1D" w:rsidRDefault="004A25E1" w14:paraId="6ED8677C" w14:textId="77777777">
      <w:pPr>
        <w:rPr>
          <w:rFonts w:ascii="Times New Roman" w:hAnsi="Times New Roman"/>
          <w:sz w:val="24"/>
          <w:szCs w:val="24"/>
        </w:rPr>
      </w:pPr>
    </w:p>
    <w:p w:rsidR="005610DA" w:rsidP="005610DA" w:rsidRDefault="005610DA" w14:paraId="7F06E353" w14:textId="77777777">
      <w:pPr>
        <w:widowControl/>
        <w:autoSpaceDE/>
        <w:autoSpaceDN/>
        <w:adjustRightInd/>
        <w:rPr>
          <w:rFonts w:ascii="Times New Roman" w:hAnsi="Times New Roman"/>
          <w:sz w:val="24"/>
          <w:szCs w:val="24"/>
        </w:rPr>
      </w:pPr>
      <w:r w:rsidRPr="005610DA">
        <w:rPr>
          <w:rFonts w:ascii="Times New Roman" w:hAnsi="Times New Roman"/>
          <w:sz w:val="24"/>
          <w:szCs w:val="24"/>
        </w:rPr>
        <w:t>PHMSA published a 60-Day Notice and Request for Comments under Docket No. PHMSA</w:t>
      </w:r>
      <w:r w:rsidR="004A3D9E">
        <w:rPr>
          <w:rFonts w:ascii="Times New Roman" w:hAnsi="Times New Roman"/>
          <w:sz w:val="24"/>
          <w:szCs w:val="24"/>
        </w:rPr>
        <w:noBreakHyphen/>
      </w:r>
      <w:r w:rsidRPr="005610DA">
        <w:rPr>
          <w:rFonts w:ascii="Times New Roman" w:hAnsi="Times New Roman"/>
          <w:sz w:val="24"/>
          <w:szCs w:val="24"/>
        </w:rPr>
        <w:t>2021-0055</w:t>
      </w:r>
      <w:r>
        <w:rPr>
          <w:rFonts w:ascii="Times New Roman" w:hAnsi="Times New Roman"/>
          <w:sz w:val="24"/>
          <w:szCs w:val="24"/>
        </w:rPr>
        <w:t xml:space="preserve"> </w:t>
      </w:r>
      <w:r w:rsidRPr="005610DA">
        <w:rPr>
          <w:rFonts w:ascii="Times New Roman" w:hAnsi="Times New Roman"/>
          <w:sz w:val="24"/>
          <w:szCs w:val="24"/>
        </w:rPr>
        <w:t>(Notice No. 2021-04) on May 18, 2021, in the Federal Register [86</w:t>
      </w:r>
      <w:r w:rsidR="004A3D9E">
        <w:rPr>
          <w:rFonts w:ascii="Times New Roman" w:hAnsi="Times New Roman"/>
          <w:sz w:val="24"/>
          <w:szCs w:val="24"/>
        </w:rPr>
        <w:t> </w:t>
      </w:r>
      <w:r w:rsidRPr="005610DA">
        <w:rPr>
          <w:rFonts w:ascii="Times New Roman" w:hAnsi="Times New Roman"/>
          <w:sz w:val="24"/>
          <w:szCs w:val="24"/>
        </w:rPr>
        <w:t>FR</w:t>
      </w:r>
      <w:r w:rsidR="004A3D9E">
        <w:rPr>
          <w:rFonts w:ascii="Times New Roman" w:hAnsi="Times New Roman"/>
          <w:sz w:val="24"/>
          <w:szCs w:val="24"/>
        </w:rPr>
        <w:t> </w:t>
      </w:r>
      <w:r w:rsidRPr="005610DA">
        <w:rPr>
          <w:rFonts w:ascii="Times New Roman" w:hAnsi="Times New Roman"/>
          <w:sz w:val="24"/>
          <w:szCs w:val="24"/>
        </w:rPr>
        <w:t xml:space="preserve">27009] requesting public comment on the renewal of this information collection, along with 3 other information collections.  </w:t>
      </w:r>
    </w:p>
    <w:p w:rsidRPr="005610DA" w:rsidR="005610DA" w:rsidP="005610DA" w:rsidRDefault="005610DA" w14:paraId="464BDAEB" w14:textId="77777777">
      <w:pPr>
        <w:widowControl/>
        <w:autoSpaceDE/>
        <w:autoSpaceDN/>
        <w:adjustRightInd/>
        <w:rPr>
          <w:rFonts w:ascii="Times New Roman" w:hAnsi="Times New Roman"/>
          <w:sz w:val="24"/>
          <w:szCs w:val="24"/>
        </w:rPr>
      </w:pPr>
    </w:p>
    <w:p w:rsidRPr="005610DA" w:rsidR="005610DA" w:rsidP="005610DA" w:rsidRDefault="005610DA" w14:paraId="671A3545" w14:textId="77E6CE7A">
      <w:pPr>
        <w:widowControl/>
        <w:autoSpaceDE/>
        <w:autoSpaceDN/>
        <w:adjustRightInd/>
        <w:rPr>
          <w:rFonts w:ascii="Times New Roman" w:hAnsi="Times New Roman"/>
          <w:sz w:val="24"/>
          <w:szCs w:val="24"/>
        </w:rPr>
      </w:pPr>
      <w:r w:rsidRPr="005610DA">
        <w:rPr>
          <w:rFonts w:ascii="Times New Roman" w:hAnsi="Times New Roman"/>
          <w:sz w:val="24"/>
          <w:szCs w:val="24"/>
        </w:rPr>
        <w:t>PHMSA published a 30-Day Notice and Request for Comments under Docket No. PHMSA-2021-0055(Notice No. 2021-</w:t>
      </w:r>
      <w:r w:rsidR="004A3D9E">
        <w:rPr>
          <w:rFonts w:ascii="Times New Roman" w:hAnsi="Times New Roman"/>
          <w:sz w:val="24"/>
          <w:szCs w:val="24"/>
        </w:rPr>
        <w:t>06</w:t>
      </w:r>
      <w:r w:rsidRPr="005610DA">
        <w:rPr>
          <w:rFonts w:ascii="Times New Roman" w:hAnsi="Times New Roman"/>
          <w:sz w:val="24"/>
          <w:szCs w:val="24"/>
        </w:rPr>
        <w:t xml:space="preserve">) on </w:t>
      </w:r>
      <w:r w:rsidRPr="006D01D9" w:rsidR="0006506A">
        <w:rPr>
          <w:rFonts w:ascii="Times New Roman" w:hAnsi="Times New Roman"/>
          <w:sz w:val="24"/>
          <w:szCs w:val="24"/>
        </w:rPr>
        <w:t xml:space="preserve">August </w:t>
      </w:r>
      <w:r w:rsidRPr="006D01D9" w:rsidR="006D01D9">
        <w:rPr>
          <w:rFonts w:ascii="Times New Roman" w:hAnsi="Times New Roman"/>
          <w:sz w:val="24"/>
          <w:szCs w:val="24"/>
        </w:rPr>
        <w:t>10</w:t>
      </w:r>
      <w:r w:rsidRPr="006D01D9">
        <w:rPr>
          <w:rFonts w:ascii="Times New Roman" w:hAnsi="Times New Roman"/>
          <w:sz w:val="24"/>
          <w:szCs w:val="24"/>
        </w:rPr>
        <w:t xml:space="preserve">, </w:t>
      </w:r>
      <w:r w:rsidR="004A3D9E">
        <w:rPr>
          <w:rFonts w:ascii="Times New Roman" w:hAnsi="Times New Roman"/>
          <w:sz w:val="24"/>
          <w:szCs w:val="24"/>
        </w:rPr>
        <w:t>2021</w:t>
      </w:r>
      <w:r w:rsidRPr="005610DA">
        <w:rPr>
          <w:rFonts w:ascii="Times New Roman" w:hAnsi="Times New Roman"/>
          <w:sz w:val="24"/>
          <w:szCs w:val="24"/>
        </w:rPr>
        <w:t>, in the Federal Register [</w:t>
      </w:r>
      <w:r w:rsidRPr="006D01D9" w:rsidR="004A3D9E">
        <w:rPr>
          <w:rFonts w:ascii="Times New Roman" w:hAnsi="Times New Roman"/>
          <w:sz w:val="24"/>
          <w:szCs w:val="24"/>
        </w:rPr>
        <w:t>86</w:t>
      </w:r>
      <w:r w:rsidRPr="006D01D9">
        <w:rPr>
          <w:rFonts w:ascii="Times New Roman" w:hAnsi="Times New Roman"/>
          <w:sz w:val="24"/>
          <w:szCs w:val="24"/>
        </w:rPr>
        <w:t xml:space="preserve"> FR </w:t>
      </w:r>
      <w:r w:rsidR="006D01D9">
        <w:rPr>
          <w:rFonts w:ascii="Times New Roman" w:hAnsi="Times New Roman"/>
          <w:sz w:val="24"/>
          <w:szCs w:val="24"/>
        </w:rPr>
        <w:t>43719</w:t>
      </w:r>
      <w:r w:rsidRPr="005610DA">
        <w:rPr>
          <w:rFonts w:ascii="Times New Roman" w:hAnsi="Times New Roman"/>
          <w:sz w:val="24"/>
          <w:szCs w:val="24"/>
        </w:rPr>
        <w:t xml:space="preserve">] requesting public comment on the renewal of this information collection </w:t>
      </w:r>
    </w:p>
    <w:p w:rsidR="008C61D5" w:rsidP="00DB7D1D" w:rsidRDefault="008C61D5" w14:paraId="737A9857" w14:textId="77777777">
      <w:pPr>
        <w:rPr>
          <w:rFonts w:ascii="Times New Roman" w:hAnsi="Times New Roman"/>
          <w:sz w:val="24"/>
          <w:szCs w:val="24"/>
        </w:rPr>
      </w:pPr>
    </w:p>
    <w:p w:rsidRPr="00DC346F" w:rsidR="008C61D5" w:rsidP="00DB7D1D" w:rsidRDefault="008C61D5" w14:paraId="4133409C" w14:textId="77777777">
      <w:pPr>
        <w:rPr>
          <w:rFonts w:ascii="Times New Roman" w:hAnsi="Times New Roman"/>
          <w:sz w:val="24"/>
          <w:szCs w:val="24"/>
        </w:rPr>
      </w:pPr>
    </w:p>
    <w:p w:rsidRPr="00DC346F" w:rsidR="00470720" w:rsidP="00DB7D1D" w:rsidRDefault="008C61D5" w14:paraId="66427603" w14:textId="77777777">
      <w:pPr>
        <w:rPr>
          <w:rFonts w:ascii="Times New Roman" w:hAnsi="Times New Roman"/>
          <w:b/>
          <w:bCs/>
          <w:sz w:val="24"/>
          <w:szCs w:val="24"/>
        </w:rPr>
      </w:pPr>
      <w:r>
        <w:rPr>
          <w:rFonts w:ascii="Times New Roman" w:hAnsi="Times New Roman"/>
          <w:bCs/>
          <w:sz w:val="24"/>
          <w:szCs w:val="24"/>
        </w:rPr>
        <w:lastRenderedPageBreak/>
        <w:t>9.</w:t>
      </w:r>
      <w:r w:rsidRPr="00DC346F" w:rsidR="00903F9C">
        <w:rPr>
          <w:rFonts w:ascii="Times New Roman" w:hAnsi="Times New Roman"/>
          <w:bCs/>
          <w:sz w:val="24"/>
          <w:szCs w:val="24"/>
        </w:rPr>
        <w:tab/>
      </w:r>
      <w:r w:rsidRPr="00DC346F" w:rsidR="0004749E">
        <w:rPr>
          <w:rFonts w:ascii="Times New Roman" w:hAnsi="Times New Roman"/>
          <w:bCs/>
          <w:sz w:val="24"/>
          <w:szCs w:val="24"/>
          <w:u w:val="single"/>
        </w:rPr>
        <w:t>Payments or gifts to respondents</w:t>
      </w:r>
    </w:p>
    <w:p w:rsidRPr="00DC346F" w:rsidR="001F0869" w:rsidP="00DB7D1D" w:rsidRDefault="001F0869" w14:paraId="1EB64D06" w14:textId="77777777">
      <w:pPr>
        <w:rPr>
          <w:rFonts w:ascii="Times New Roman" w:hAnsi="Times New Roman"/>
          <w:sz w:val="24"/>
          <w:szCs w:val="24"/>
        </w:rPr>
      </w:pPr>
    </w:p>
    <w:p w:rsidRPr="00DC346F" w:rsidR="00DA7852" w:rsidP="00DB7D1D" w:rsidRDefault="00DA7852" w14:paraId="52B5A34A" w14:textId="77777777">
      <w:pPr>
        <w:rPr>
          <w:rFonts w:ascii="Times New Roman" w:hAnsi="Times New Roman"/>
          <w:sz w:val="24"/>
          <w:szCs w:val="24"/>
        </w:rPr>
      </w:pPr>
      <w:r w:rsidRPr="00DC346F">
        <w:rPr>
          <w:rFonts w:ascii="Times New Roman" w:hAnsi="Times New Roman"/>
          <w:sz w:val="24"/>
          <w:szCs w:val="24"/>
        </w:rPr>
        <w:t>There is no payment or gift provided to respondents associated with this collection of information.</w:t>
      </w:r>
    </w:p>
    <w:p w:rsidRPr="00DC346F" w:rsidR="0004749E" w:rsidP="00DB7D1D" w:rsidRDefault="0004749E" w14:paraId="1D462BFF" w14:textId="77777777">
      <w:pPr>
        <w:rPr>
          <w:rFonts w:ascii="Times New Roman" w:hAnsi="Times New Roman"/>
          <w:sz w:val="24"/>
          <w:szCs w:val="24"/>
        </w:rPr>
      </w:pPr>
    </w:p>
    <w:p w:rsidRPr="00DC346F" w:rsidR="00116C1B" w:rsidP="00DB7D1D" w:rsidRDefault="00116C1B" w14:paraId="28128E82" w14:textId="77777777">
      <w:pPr>
        <w:rPr>
          <w:rFonts w:ascii="Times New Roman" w:hAnsi="Times New Roman"/>
          <w:sz w:val="24"/>
          <w:szCs w:val="24"/>
        </w:rPr>
      </w:pPr>
    </w:p>
    <w:p w:rsidRPr="00DC346F" w:rsidR="003A0627" w:rsidP="00DB7D1D" w:rsidRDefault="008C61D5" w14:paraId="6AF1E5E5" w14:textId="77777777">
      <w:pPr>
        <w:rPr>
          <w:rFonts w:ascii="Times New Roman" w:hAnsi="Times New Roman"/>
          <w:bCs/>
          <w:sz w:val="24"/>
          <w:szCs w:val="24"/>
          <w:u w:val="single"/>
        </w:rPr>
      </w:pPr>
      <w:r>
        <w:rPr>
          <w:rFonts w:ascii="Times New Roman" w:hAnsi="Times New Roman"/>
          <w:bCs/>
          <w:sz w:val="24"/>
          <w:szCs w:val="24"/>
        </w:rPr>
        <w:t>10.</w:t>
      </w:r>
      <w:r w:rsidRPr="00DC346F" w:rsidR="00903F9C">
        <w:rPr>
          <w:rFonts w:ascii="Times New Roman" w:hAnsi="Times New Roman"/>
          <w:bCs/>
          <w:sz w:val="24"/>
          <w:szCs w:val="24"/>
        </w:rPr>
        <w:tab/>
      </w:r>
      <w:r w:rsidRPr="00DC346F" w:rsidR="0004749E">
        <w:rPr>
          <w:rFonts w:ascii="Times New Roman" w:hAnsi="Times New Roman"/>
          <w:bCs/>
          <w:sz w:val="24"/>
          <w:szCs w:val="24"/>
          <w:u w:val="single"/>
        </w:rPr>
        <w:t>Assurance of confidentiality</w:t>
      </w:r>
    </w:p>
    <w:p w:rsidRPr="00DC346F" w:rsidR="001F0869" w:rsidP="00DB7D1D" w:rsidRDefault="001F0869" w14:paraId="5D0D65C5" w14:textId="77777777">
      <w:pPr>
        <w:rPr>
          <w:rFonts w:ascii="Times New Roman" w:hAnsi="Times New Roman"/>
          <w:sz w:val="24"/>
          <w:szCs w:val="24"/>
        </w:rPr>
      </w:pPr>
    </w:p>
    <w:p w:rsidRPr="00DC346F" w:rsidR="00ED0AE3" w:rsidP="00DB7D1D" w:rsidRDefault="00ED0AE3" w14:paraId="66061FD7" w14:textId="77777777">
      <w:pPr>
        <w:rPr>
          <w:rFonts w:ascii="Times New Roman" w:hAnsi="Times New Roman"/>
          <w:sz w:val="24"/>
          <w:szCs w:val="24"/>
        </w:rPr>
      </w:pPr>
      <w:r w:rsidRPr="00DC346F">
        <w:rPr>
          <w:rFonts w:ascii="Times New Roman" w:hAnsi="Times New Roman"/>
          <w:sz w:val="24"/>
          <w:szCs w:val="24"/>
        </w:rPr>
        <w:t>None of the data collected contain personally identifiable information (PII)</w:t>
      </w:r>
      <w:r w:rsidR="006159F5">
        <w:rPr>
          <w:rFonts w:ascii="Times New Roman" w:hAnsi="Times New Roman"/>
          <w:sz w:val="24"/>
          <w:szCs w:val="24"/>
        </w:rPr>
        <w:t>.</w:t>
      </w:r>
      <w:r w:rsidRPr="00DC346F">
        <w:rPr>
          <w:rFonts w:ascii="Times New Roman" w:hAnsi="Times New Roman"/>
          <w:sz w:val="24"/>
          <w:szCs w:val="24"/>
        </w:rPr>
        <w:t xml:space="preserve"> </w:t>
      </w:r>
      <w:r w:rsidR="006159F5">
        <w:rPr>
          <w:rFonts w:ascii="Times New Roman" w:hAnsi="Times New Roman"/>
          <w:sz w:val="24"/>
          <w:szCs w:val="24"/>
        </w:rPr>
        <w:t xml:space="preserve"> A small number of special permits do request that</w:t>
      </w:r>
      <w:r w:rsidRPr="00DC346F" w:rsidR="006159F5">
        <w:rPr>
          <w:rFonts w:ascii="Times New Roman" w:hAnsi="Times New Roman"/>
          <w:sz w:val="24"/>
          <w:szCs w:val="24"/>
        </w:rPr>
        <w:t xml:space="preserve"> </w:t>
      </w:r>
      <w:r w:rsidRPr="00DC346F">
        <w:rPr>
          <w:rFonts w:ascii="Times New Roman" w:hAnsi="Times New Roman"/>
          <w:sz w:val="24"/>
          <w:szCs w:val="24"/>
        </w:rPr>
        <w:t>business information</w:t>
      </w:r>
      <w:r w:rsidR="006159F5">
        <w:rPr>
          <w:rFonts w:ascii="Times New Roman" w:hAnsi="Times New Roman"/>
          <w:sz w:val="24"/>
          <w:szCs w:val="24"/>
        </w:rPr>
        <w:t xml:space="preserve"> remain confidential</w:t>
      </w:r>
      <w:r w:rsidRPr="00DC346F">
        <w:rPr>
          <w:rFonts w:ascii="Times New Roman" w:hAnsi="Times New Roman"/>
          <w:sz w:val="24"/>
          <w:szCs w:val="24"/>
        </w:rPr>
        <w:t>.</w:t>
      </w:r>
      <w:r w:rsidR="006159F5">
        <w:rPr>
          <w:rFonts w:ascii="Times New Roman" w:hAnsi="Times New Roman"/>
          <w:sz w:val="24"/>
          <w:szCs w:val="24"/>
        </w:rPr>
        <w:t xml:space="preserve"> </w:t>
      </w:r>
      <w:r w:rsidRPr="00DC346F">
        <w:rPr>
          <w:rFonts w:ascii="Times New Roman" w:hAnsi="Times New Roman"/>
          <w:sz w:val="24"/>
          <w:szCs w:val="24"/>
        </w:rPr>
        <w:t xml:space="preserve"> </w:t>
      </w:r>
      <w:r w:rsidR="006159F5">
        <w:rPr>
          <w:rFonts w:ascii="Times New Roman" w:hAnsi="Times New Roman"/>
          <w:sz w:val="24"/>
          <w:szCs w:val="24"/>
        </w:rPr>
        <w:t>In these special circumstances, PHMSA</w:t>
      </w:r>
      <w:r w:rsidRPr="00DC346F">
        <w:rPr>
          <w:rFonts w:ascii="Times New Roman" w:hAnsi="Times New Roman"/>
          <w:sz w:val="24"/>
          <w:szCs w:val="24"/>
        </w:rPr>
        <w:t xml:space="preserve"> </w:t>
      </w:r>
      <w:r w:rsidR="00266AB8">
        <w:rPr>
          <w:rFonts w:ascii="Times New Roman" w:hAnsi="Times New Roman"/>
          <w:sz w:val="24"/>
          <w:szCs w:val="24"/>
        </w:rPr>
        <w:t>works</w:t>
      </w:r>
      <w:r w:rsidR="006159F5">
        <w:rPr>
          <w:rFonts w:ascii="Times New Roman" w:hAnsi="Times New Roman"/>
          <w:sz w:val="24"/>
          <w:szCs w:val="24"/>
        </w:rPr>
        <w:t xml:space="preserve"> to ensure the</w:t>
      </w:r>
      <w:r w:rsidRPr="00DC346F" w:rsidR="006159F5">
        <w:rPr>
          <w:rFonts w:ascii="Times New Roman" w:hAnsi="Times New Roman"/>
          <w:sz w:val="24"/>
          <w:szCs w:val="24"/>
        </w:rPr>
        <w:t xml:space="preserve"> </w:t>
      </w:r>
      <w:r w:rsidRPr="00DC346F">
        <w:rPr>
          <w:rFonts w:ascii="Times New Roman" w:hAnsi="Times New Roman"/>
          <w:sz w:val="24"/>
          <w:szCs w:val="24"/>
        </w:rPr>
        <w:t xml:space="preserve">confidentiality </w:t>
      </w:r>
      <w:r w:rsidR="006159F5">
        <w:rPr>
          <w:rFonts w:ascii="Times New Roman" w:hAnsi="Times New Roman"/>
          <w:sz w:val="24"/>
          <w:szCs w:val="24"/>
        </w:rPr>
        <w:t>of the information provided by the applicant</w:t>
      </w:r>
      <w:r w:rsidRPr="00DC346F">
        <w:rPr>
          <w:rFonts w:ascii="Times New Roman" w:hAnsi="Times New Roman"/>
          <w:sz w:val="24"/>
          <w:szCs w:val="24"/>
        </w:rPr>
        <w:t>.</w:t>
      </w:r>
      <w:r w:rsidR="001F4192">
        <w:rPr>
          <w:rFonts w:ascii="Times New Roman" w:hAnsi="Times New Roman"/>
          <w:sz w:val="24"/>
          <w:szCs w:val="24"/>
        </w:rPr>
        <w:t xml:space="preserve">  Per § 105.30, PHMSA requires that applicants requesting confidentiality provide both a version of the special permit application that includes confidential information and a copy with the confidential information removed.  PHMSA marks the application as confidential in our internal system to </w:t>
      </w:r>
      <w:r w:rsidR="00CE3B41">
        <w:rPr>
          <w:rFonts w:ascii="Times New Roman" w:hAnsi="Times New Roman"/>
          <w:sz w:val="24"/>
          <w:szCs w:val="24"/>
        </w:rPr>
        <w:t xml:space="preserve">help to </w:t>
      </w:r>
      <w:r w:rsidR="001F4192">
        <w:rPr>
          <w:rFonts w:ascii="Times New Roman" w:hAnsi="Times New Roman"/>
          <w:sz w:val="24"/>
          <w:szCs w:val="24"/>
        </w:rPr>
        <w:t xml:space="preserve">ensure that confidential information is </w:t>
      </w:r>
      <w:r w:rsidR="00CE3B41">
        <w:rPr>
          <w:rFonts w:ascii="Times New Roman" w:hAnsi="Times New Roman"/>
          <w:sz w:val="24"/>
          <w:szCs w:val="24"/>
        </w:rPr>
        <w:t xml:space="preserve">not </w:t>
      </w:r>
      <w:r w:rsidR="001F4192">
        <w:rPr>
          <w:rFonts w:ascii="Times New Roman" w:hAnsi="Times New Roman"/>
          <w:sz w:val="24"/>
          <w:szCs w:val="24"/>
        </w:rPr>
        <w:t xml:space="preserve">shared with the public. </w:t>
      </w:r>
    </w:p>
    <w:p w:rsidRPr="00DC346F" w:rsidR="0004749E" w:rsidP="00DB7D1D" w:rsidRDefault="0004749E" w14:paraId="14005CD1" w14:textId="77777777">
      <w:pPr>
        <w:rPr>
          <w:rFonts w:ascii="Times New Roman" w:hAnsi="Times New Roman"/>
          <w:sz w:val="24"/>
          <w:szCs w:val="24"/>
        </w:rPr>
      </w:pPr>
    </w:p>
    <w:p w:rsidRPr="00DC346F" w:rsidR="00116C1B" w:rsidP="00DB7D1D" w:rsidRDefault="00116C1B" w14:paraId="6CF56C01" w14:textId="77777777">
      <w:pPr>
        <w:rPr>
          <w:rFonts w:ascii="Times New Roman" w:hAnsi="Times New Roman"/>
          <w:sz w:val="24"/>
          <w:szCs w:val="24"/>
        </w:rPr>
      </w:pPr>
    </w:p>
    <w:p w:rsidRPr="00DC346F" w:rsidR="003A0627" w:rsidP="00DB7D1D" w:rsidRDefault="008C61D5" w14:paraId="1E3D5767" w14:textId="77777777">
      <w:pPr>
        <w:rPr>
          <w:rFonts w:ascii="Times New Roman" w:hAnsi="Times New Roman"/>
          <w:bCs/>
          <w:sz w:val="24"/>
          <w:szCs w:val="24"/>
          <w:u w:val="single"/>
        </w:rPr>
      </w:pPr>
      <w:r>
        <w:rPr>
          <w:rFonts w:ascii="Times New Roman" w:hAnsi="Times New Roman"/>
          <w:bCs/>
          <w:sz w:val="24"/>
          <w:szCs w:val="24"/>
        </w:rPr>
        <w:t>11.</w:t>
      </w:r>
      <w:r w:rsidRPr="00DC346F" w:rsidR="00903F9C">
        <w:rPr>
          <w:rFonts w:ascii="Times New Roman" w:hAnsi="Times New Roman"/>
          <w:bCs/>
          <w:sz w:val="24"/>
          <w:szCs w:val="24"/>
        </w:rPr>
        <w:tab/>
      </w:r>
      <w:r w:rsidRPr="00DC346F" w:rsidR="0004749E">
        <w:rPr>
          <w:rFonts w:ascii="Times New Roman" w:hAnsi="Times New Roman"/>
          <w:bCs/>
          <w:sz w:val="24"/>
          <w:szCs w:val="24"/>
          <w:u w:val="single"/>
        </w:rPr>
        <w:t>Justification for collection of sensitive information</w:t>
      </w:r>
    </w:p>
    <w:p w:rsidRPr="00DC346F" w:rsidR="001F0869" w:rsidP="00DB7D1D" w:rsidRDefault="001F0869" w14:paraId="324ED9C5" w14:textId="77777777">
      <w:pPr>
        <w:rPr>
          <w:rFonts w:ascii="Times New Roman" w:hAnsi="Times New Roman"/>
          <w:b/>
          <w:sz w:val="24"/>
          <w:szCs w:val="24"/>
        </w:rPr>
      </w:pPr>
    </w:p>
    <w:p w:rsidRPr="00DC346F" w:rsidR="00DA7852" w:rsidP="00DB7D1D" w:rsidRDefault="00DA7852" w14:paraId="16051BC2" w14:textId="77777777">
      <w:pPr>
        <w:rPr>
          <w:rFonts w:ascii="Times New Roman" w:hAnsi="Times New Roman"/>
          <w:sz w:val="24"/>
          <w:szCs w:val="24"/>
        </w:rPr>
      </w:pPr>
      <w:r w:rsidRPr="00DC346F">
        <w:rPr>
          <w:rFonts w:ascii="Times New Roman" w:hAnsi="Times New Roman"/>
          <w:sz w:val="24"/>
          <w:szCs w:val="24"/>
        </w:rPr>
        <w:t>No sensitive information is required.</w:t>
      </w:r>
    </w:p>
    <w:p w:rsidRPr="00DC346F" w:rsidR="00470720" w:rsidP="00DB7D1D" w:rsidRDefault="00470720" w14:paraId="5D069600" w14:textId="77777777">
      <w:pPr>
        <w:rPr>
          <w:rFonts w:ascii="Times New Roman" w:hAnsi="Times New Roman"/>
          <w:sz w:val="24"/>
          <w:szCs w:val="24"/>
        </w:rPr>
      </w:pPr>
    </w:p>
    <w:p w:rsidRPr="00DC346F" w:rsidR="00116C1B" w:rsidP="00DB7D1D" w:rsidRDefault="00116C1B" w14:paraId="60B56480" w14:textId="77777777">
      <w:pPr>
        <w:rPr>
          <w:rFonts w:ascii="Times New Roman" w:hAnsi="Times New Roman"/>
          <w:sz w:val="24"/>
          <w:szCs w:val="24"/>
        </w:rPr>
      </w:pPr>
    </w:p>
    <w:p w:rsidRPr="00DC346F" w:rsidR="001F0869" w:rsidP="00DB7D1D" w:rsidRDefault="008C61D5" w14:paraId="29DD6EEC"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u w:val="single"/>
        </w:rPr>
      </w:pPr>
      <w:r>
        <w:rPr>
          <w:rFonts w:ascii="Times New Roman" w:hAnsi="Times New Roman"/>
          <w:bCs/>
          <w:color w:val="auto"/>
        </w:rPr>
        <w:t>12.</w:t>
      </w:r>
      <w:r w:rsidRPr="00DC66E9" w:rsidR="00903F9C">
        <w:rPr>
          <w:rFonts w:ascii="Times New Roman" w:hAnsi="Times New Roman"/>
          <w:bCs/>
          <w:color w:val="auto"/>
        </w:rPr>
        <w:tab/>
      </w:r>
      <w:r w:rsidRPr="00DC66E9" w:rsidR="0004749E">
        <w:rPr>
          <w:rFonts w:ascii="Times New Roman" w:hAnsi="Times New Roman"/>
          <w:bCs/>
          <w:color w:val="auto"/>
          <w:u w:val="single"/>
        </w:rPr>
        <w:t>Estimate of burden hours for information requested</w:t>
      </w:r>
    </w:p>
    <w:p w:rsidR="00906568" w:rsidP="00DB7D1D" w:rsidRDefault="00906568" w14:paraId="2EF52735"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u w:val="single"/>
        </w:rPr>
      </w:pPr>
    </w:p>
    <w:p w:rsidR="00DC66E9" w:rsidP="00DB7D1D" w:rsidRDefault="00DC66E9" w14:paraId="0DEDDD12"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u w:val="single"/>
        </w:rPr>
      </w:pPr>
      <w:r>
        <w:rPr>
          <w:rFonts w:ascii="Times New Roman" w:hAnsi="Times New Roman"/>
          <w:bCs/>
          <w:color w:val="auto"/>
          <w:u w:val="single"/>
        </w:rPr>
        <w:t>Total estimate of annual burden hours:</w:t>
      </w:r>
    </w:p>
    <w:p w:rsidRPr="00DC346F" w:rsidR="00DC66E9" w:rsidP="00DB7D1D" w:rsidRDefault="00DC66E9" w14:paraId="7946B395"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u w:val="single"/>
        </w:rPr>
      </w:pPr>
    </w:p>
    <w:tbl>
      <w:tblPr>
        <w:tblW w:w="0" w:type="auto"/>
        <w:jc w:val="center"/>
        <w:tblCellMar>
          <w:top w:w="15" w:type="dxa"/>
          <w:bottom w:w="15" w:type="dxa"/>
        </w:tblCellMar>
        <w:tblLook w:val="04A0" w:firstRow="1" w:lastRow="0" w:firstColumn="1" w:lastColumn="0" w:noHBand="0" w:noVBand="1"/>
      </w:tblPr>
      <w:tblGrid>
        <w:gridCol w:w="2156"/>
        <w:gridCol w:w="2195"/>
        <w:gridCol w:w="1746"/>
        <w:gridCol w:w="1761"/>
        <w:gridCol w:w="1718"/>
      </w:tblGrid>
      <w:tr w:rsidRPr="00DC66E9" w:rsidR="004A3D9E" w:rsidTr="004A3D9E" w14:paraId="6994006D" w14:textId="77777777">
        <w:trPr>
          <w:trHeight w:val="398"/>
          <w:jc w:val="center"/>
        </w:trPr>
        <w:tc>
          <w:tcPr>
            <w:tcW w:w="0" w:type="auto"/>
            <w:tcBorders>
              <w:top w:val="single" w:color="auto" w:sz="4" w:space="0"/>
              <w:left w:val="single" w:color="auto" w:sz="4" w:space="0"/>
              <w:bottom w:val="single" w:color="auto" w:sz="4" w:space="0"/>
              <w:right w:val="single" w:color="auto" w:sz="4" w:space="0"/>
            </w:tcBorders>
            <w:vAlign w:val="bottom"/>
            <w:hideMark/>
          </w:tcPr>
          <w:p w:rsidRPr="004A3D9E" w:rsidR="004A3D9E" w:rsidP="00DC66E9" w:rsidRDefault="004A3D9E" w14:paraId="2864563D" w14:textId="77777777">
            <w:pPr>
              <w:widowControl/>
              <w:autoSpaceDE/>
              <w:autoSpaceDN/>
              <w:adjustRightInd/>
              <w:jc w:val="center"/>
              <w:rPr>
                <w:rFonts w:ascii="Times New Roman" w:hAnsi="Times New Roman"/>
                <w:b/>
                <w:color w:val="000000"/>
                <w:sz w:val="24"/>
                <w:szCs w:val="24"/>
                <w:u w:val="single"/>
              </w:rPr>
            </w:pPr>
            <w:r w:rsidRPr="004A3D9E">
              <w:rPr>
                <w:rFonts w:ascii="Times New Roman" w:hAnsi="Times New Roman"/>
                <w:b/>
                <w:color w:val="000000"/>
                <w:sz w:val="24"/>
                <w:szCs w:val="24"/>
                <w:u w:val="single"/>
              </w:rPr>
              <w:t>Total Number of Respondents</w:t>
            </w:r>
          </w:p>
        </w:tc>
        <w:tc>
          <w:tcPr>
            <w:tcW w:w="0" w:type="auto"/>
            <w:tcBorders>
              <w:top w:val="single" w:color="auto" w:sz="4" w:space="0"/>
              <w:left w:val="single" w:color="auto" w:sz="4" w:space="0"/>
              <w:bottom w:val="single" w:color="auto" w:sz="4" w:space="0"/>
              <w:right w:val="single" w:color="auto" w:sz="4" w:space="0"/>
            </w:tcBorders>
            <w:vAlign w:val="bottom"/>
            <w:hideMark/>
          </w:tcPr>
          <w:p w:rsidRPr="004A3D9E" w:rsidR="004A3D9E" w:rsidP="00DC66E9" w:rsidRDefault="004A3D9E" w14:paraId="2C4D266C" w14:textId="77777777">
            <w:pPr>
              <w:widowControl/>
              <w:autoSpaceDE/>
              <w:autoSpaceDN/>
              <w:adjustRightInd/>
              <w:jc w:val="center"/>
              <w:rPr>
                <w:rFonts w:ascii="Times New Roman" w:hAnsi="Times New Roman"/>
                <w:b/>
                <w:color w:val="000000"/>
                <w:sz w:val="24"/>
                <w:szCs w:val="24"/>
                <w:u w:val="single"/>
              </w:rPr>
            </w:pPr>
            <w:r w:rsidRPr="004A3D9E">
              <w:rPr>
                <w:rFonts w:ascii="Times New Roman" w:hAnsi="Times New Roman"/>
                <w:b/>
                <w:color w:val="000000"/>
                <w:sz w:val="24"/>
                <w:szCs w:val="24"/>
                <w:u w:val="single"/>
              </w:rPr>
              <w:t>Total Number of Annual Responses</w:t>
            </w:r>
          </w:p>
        </w:tc>
        <w:tc>
          <w:tcPr>
            <w:tcW w:w="0" w:type="auto"/>
            <w:tcBorders>
              <w:top w:val="single" w:color="auto" w:sz="4" w:space="0"/>
              <w:left w:val="single" w:color="auto" w:sz="4" w:space="0"/>
              <w:bottom w:val="single" w:color="auto" w:sz="4" w:space="0"/>
              <w:right w:val="single" w:color="auto" w:sz="4" w:space="0"/>
            </w:tcBorders>
            <w:vAlign w:val="bottom"/>
            <w:hideMark/>
          </w:tcPr>
          <w:p w:rsidRPr="004A3D9E" w:rsidR="004A3D9E" w:rsidP="00DC66E9" w:rsidRDefault="004A3D9E" w14:paraId="26C7C2EB" w14:textId="77777777">
            <w:pPr>
              <w:widowControl/>
              <w:autoSpaceDE/>
              <w:autoSpaceDN/>
              <w:adjustRightInd/>
              <w:jc w:val="center"/>
              <w:rPr>
                <w:rFonts w:ascii="Times New Roman" w:hAnsi="Times New Roman"/>
                <w:b/>
                <w:color w:val="000000"/>
                <w:sz w:val="24"/>
                <w:szCs w:val="24"/>
                <w:u w:val="single"/>
              </w:rPr>
            </w:pPr>
            <w:r w:rsidRPr="004A3D9E">
              <w:rPr>
                <w:rFonts w:ascii="Times New Roman" w:hAnsi="Times New Roman"/>
                <w:b/>
                <w:color w:val="000000"/>
                <w:sz w:val="24"/>
                <w:szCs w:val="24"/>
                <w:u w:val="single"/>
              </w:rPr>
              <w:t>Total Annual Burden Hours</w:t>
            </w:r>
          </w:p>
        </w:tc>
        <w:tc>
          <w:tcPr>
            <w:tcW w:w="0" w:type="auto"/>
            <w:tcBorders>
              <w:top w:val="single" w:color="auto" w:sz="4" w:space="0"/>
              <w:left w:val="single" w:color="auto" w:sz="4" w:space="0"/>
              <w:bottom w:val="single" w:color="auto" w:sz="4" w:space="0"/>
              <w:right w:val="single" w:color="auto" w:sz="4" w:space="0"/>
            </w:tcBorders>
            <w:vAlign w:val="bottom"/>
            <w:hideMark/>
          </w:tcPr>
          <w:p w:rsidRPr="004A3D9E" w:rsidR="004A3D9E" w:rsidP="00DC66E9" w:rsidRDefault="004A3D9E" w14:paraId="588D885D" w14:textId="77777777">
            <w:pPr>
              <w:widowControl/>
              <w:autoSpaceDE/>
              <w:autoSpaceDN/>
              <w:adjustRightInd/>
              <w:jc w:val="center"/>
              <w:rPr>
                <w:rFonts w:ascii="Times New Roman" w:hAnsi="Times New Roman"/>
                <w:b/>
                <w:color w:val="000000"/>
                <w:sz w:val="24"/>
                <w:szCs w:val="24"/>
                <w:u w:val="single"/>
              </w:rPr>
            </w:pPr>
            <w:r w:rsidRPr="004A3D9E">
              <w:rPr>
                <w:rFonts w:ascii="Times New Roman" w:hAnsi="Times New Roman"/>
                <w:b/>
                <w:color w:val="000000"/>
                <w:sz w:val="24"/>
                <w:szCs w:val="24"/>
                <w:u w:val="single"/>
              </w:rPr>
              <w:t>Total Annual Salary Costs</w:t>
            </w:r>
          </w:p>
        </w:tc>
        <w:tc>
          <w:tcPr>
            <w:tcW w:w="0" w:type="auto"/>
            <w:tcBorders>
              <w:top w:val="single" w:color="auto" w:sz="4" w:space="0"/>
              <w:left w:val="single" w:color="auto" w:sz="4" w:space="0"/>
              <w:bottom w:val="single" w:color="auto" w:sz="4" w:space="0"/>
              <w:right w:val="single" w:color="auto" w:sz="4" w:space="0"/>
            </w:tcBorders>
          </w:tcPr>
          <w:p w:rsidRPr="004A3D9E" w:rsidR="004A3D9E" w:rsidP="00DC66E9" w:rsidRDefault="004A3D9E" w14:paraId="48B52D34" w14:textId="77777777">
            <w:pPr>
              <w:widowControl/>
              <w:autoSpaceDE/>
              <w:autoSpaceDN/>
              <w:adjustRightInd/>
              <w:jc w:val="center"/>
              <w:rPr>
                <w:rFonts w:ascii="Times New Roman" w:hAnsi="Times New Roman"/>
                <w:b/>
                <w:color w:val="000000"/>
                <w:sz w:val="24"/>
                <w:szCs w:val="24"/>
                <w:u w:val="single"/>
              </w:rPr>
            </w:pPr>
            <w:r>
              <w:rPr>
                <w:rFonts w:ascii="Times New Roman" w:hAnsi="Times New Roman"/>
                <w:b/>
                <w:color w:val="000000"/>
                <w:sz w:val="24"/>
                <w:szCs w:val="24"/>
                <w:u w:val="single"/>
              </w:rPr>
              <w:t>Total Annual Burden Costs</w:t>
            </w:r>
          </w:p>
        </w:tc>
      </w:tr>
      <w:tr w:rsidRPr="00DC66E9" w:rsidR="004A3D9E" w:rsidTr="004A3D9E" w14:paraId="50137F29" w14:textId="77777777">
        <w:trPr>
          <w:trHeight w:val="35"/>
          <w:jc w:val="center"/>
        </w:trPr>
        <w:tc>
          <w:tcPr>
            <w:tcW w:w="0" w:type="auto"/>
            <w:tcBorders>
              <w:top w:val="single" w:color="auto" w:sz="4" w:space="0"/>
              <w:left w:val="single" w:color="auto" w:sz="4" w:space="0"/>
              <w:bottom w:val="single" w:color="auto" w:sz="4" w:space="0"/>
              <w:right w:val="single" w:color="auto" w:sz="4" w:space="0"/>
            </w:tcBorders>
            <w:noWrap/>
            <w:vAlign w:val="bottom"/>
            <w:hideMark/>
          </w:tcPr>
          <w:p w:rsidRPr="00DC66E9" w:rsidR="004A3D9E" w:rsidP="004A3D9E" w:rsidRDefault="004A3D9E" w14:paraId="6DE13BF2" w14:textId="77777777">
            <w:pPr>
              <w:widowControl/>
              <w:autoSpaceDE/>
              <w:autoSpaceDN/>
              <w:adjustRightInd/>
              <w:jc w:val="center"/>
              <w:rPr>
                <w:rFonts w:ascii="Times New Roman" w:hAnsi="Times New Roman"/>
                <w:color w:val="000000"/>
                <w:sz w:val="24"/>
                <w:szCs w:val="24"/>
              </w:rPr>
            </w:pPr>
            <w:r w:rsidRPr="00DC66E9">
              <w:rPr>
                <w:rFonts w:ascii="Times New Roman" w:hAnsi="Times New Roman"/>
                <w:color w:val="000000"/>
                <w:sz w:val="24"/>
                <w:szCs w:val="24"/>
              </w:rPr>
              <w:t>3</w:t>
            </w:r>
            <w:r>
              <w:rPr>
                <w:rFonts w:ascii="Times New Roman" w:hAnsi="Times New Roman"/>
                <w:color w:val="000000"/>
                <w:sz w:val="24"/>
                <w:szCs w:val="24"/>
              </w:rPr>
              <w:t>,818</w:t>
            </w:r>
          </w:p>
        </w:tc>
        <w:tc>
          <w:tcPr>
            <w:tcW w:w="0" w:type="auto"/>
            <w:tcBorders>
              <w:top w:val="single" w:color="auto" w:sz="4" w:space="0"/>
              <w:left w:val="single" w:color="auto" w:sz="4" w:space="0"/>
              <w:bottom w:val="single" w:color="auto" w:sz="4" w:space="0"/>
              <w:right w:val="single" w:color="auto" w:sz="4" w:space="0"/>
            </w:tcBorders>
            <w:noWrap/>
            <w:vAlign w:val="bottom"/>
            <w:hideMark/>
          </w:tcPr>
          <w:p w:rsidRPr="00DC66E9" w:rsidR="004A3D9E" w:rsidP="004A3D9E" w:rsidRDefault="004A3D9E" w14:paraId="74C5B7C2" w14:textId="77777777">
            <w:pPr>
              <w:widowControl/>
              <w:autoSpaceDE/>
              <w:autoSpaceDN/>
              <w:adjustRightInd/>
              <w:jc w:val="center"/>
              <w:rPr>
                <w:rFonts w:ascii="Times New Roman" w:hAnsi="Times New Roman"/>
                <w:color w:val="000000"/>
                <w:sz w:val="24"/>
                <w:szCs w:val="24"/>
              </w:rPr>
            </w:pPr>
            <w:r w:rsidRPr="00DC66E9">
              <w:rPr>
                <w:rFonts w:ascii="Times New Roman" w:hAnsi="Times New Roman"/>
                <w:color w:val="000000"/>
                <w:sz w:val="24"/>
                <w:szCs w:val="24"/>
              </w:rPr>
              <w:t>3</w:t>
            </w:r>
            <w:r>
              <w:rPr>
                <w:rFonts w:ascii="Times New Roman" w:hAnsi="Times New Roman"/>
                <w:color w:val="000000"/>
                <w:sz w:val="24"/>
                <w:szCs w:val="24"/>
              </w:rPr>
              <w:t>,818</w:t>
            </w:r>
          </w:p>
        </w:tc>
        <w:tc>
          <w:tcPr>
            <w:tcW w:w="0" w:type="auto"/>
            <w:tcBorders>
              <w:top w:val="single" w:color="auto" w:sz="4" w:space="0"/>
              <w:left w:val="single" w:color="auto" w:sz="4" w:space="0"/>
              <w:bottom w:val="single" w:color="auto" w:sz="4" w:space="0"/>
              <w:right w:val="single" w:color="auto" w:sz="4" w:space="0"/>
            </w:tcBorders>
            <w:noWrap/>
            <w:vAlign w:val="bottom"/>
            <w:hideMark/>
          </w:tcPr>
          <w:p w:rsidRPr="00DC66E9" w:rsidR="004A3D9E" w:rsidP="004A3D9E" w:rsidRDefault="004A3D9E" w14:paraId="60278FA0" w14:textId="77777777">
            <w:pPr>
              <w:widowControl/>
              <w:autoSpaceDE/>
              <w:autoSpaceDN/>
              <w:adjustRightInd/>
              <w:jc w:val="center"/>
              <w:rPr>
                <w:rFonts w:ascii="Times New Roman" w:hAnsi="Times New Roman"/>
                <w:color w:val="000000"/>
                <w:sz w:val="24"/>
                <w:szCs w:val="24"/>
              </w:rPr>
            </w:pPr>
            <w:r w:rsidRPr="00DC66E9">
              <w:rPr>
                <w:rFonts w:ascii="Times New Roman" w:hAnsi="Times New Roman"/>
                <w:color w:val="000000"/>
                <w:sz w:val="24"/>
                <w:szCs w:val="24"/>
              </w:rPr>
              <w:t>4</w:t>
            </w:r>
            <w:r>
              <w:rPr>
                <w:rFonts w:ascii="Times New Roman" w:hAnsi="Times New Roman"/>
                <w:color w:val="000000"/>
                <w:sz w:val="24"/>
                <w:szCs w:val="24"/>
              </w:rPr>
              <w:t>,279</w:t>
            </w:r>
          </w:p>
        </w:tc>
        <w:tc>
          <w:tcPr>
            <w:tcW w:w="0" w:type="auto"/>
            <w:tcBorders>
              <w:top w:val="single" w:color="auto" w:sz="4" w:space="0"/>
              <w:left w:val="single" w:color="auto" w:sz="4" w:space="0"/>
              <w:bottom w:val="single" w:color="auto" w:sz="4" w:space="0"/>
              <w:right w:val="single" w:color="auto" w:sz="4" w:space="0"/>
            </w:tcBorders>
            <w:noWrap/>
            <w:vAlign w:val="bottom"/>
            <w:hideMark/>
          </w:tcPr>
          <w:p w:rsidRPr="00DC66E9" w:rsidR="004A3D9E" w:rsidP="004A3D9E" w:rsidRDefault="004A3D9E" w14:paraId="68BDDA98" w14:textId="77777777">
            <w:pPr>
              <w:widowControl/>
              <w:autoSpaceDE/>
              <w:autoSpaceDN/>
              <w:adjustRightInd/>
              <w:jc w:val="center"/>
              <w:rPr>
                <w:rFonts w:ascii="Times New Roman" w:hAnsi="Times New Roman"/>
                <w:color w:val="000000"/>
                <w:sz w:val="24"/>
                <w:szCs w:val="24"/>
              </w:rPr>
            </w:pPr>
            <w:r w:rsidRPr="00DC66E9">
              <w:rPr>
                <w:rFonts w:ascii="Times New Roman" w:hAnsi="Times New Roman"/>
                <w:color w:val="000000"/>
                <w:sz w:val="24"/>
                <w:szCs w:val="24"/>
              </w:rPr>
              <w:t>$</w:t>
            </w:r>
            <w:r>
              <w:rPr>
                <w:rFonts w:ascii="Times New Roman" w:hAnsi="Times New Roman"/>
                <w:color w:val="000000"/>
                <w:sz w:val="24"/>
                <w:szCs w:val="24"/>
              </w:rPr>
              <w:t>290,367</w:t>
            </w:r>
          </w:p>
        </w:tc>
        <w:tc>
          <w:tcPr>
            <w:tcW w:w="0" w:type="auto"/>
            <w:tcBorders>
              <w:top w:val="single" w:color="auto" w:sz="4" w:space="0"/>
              <w:left w:val="single" w:color="auto" w:sz="4" w:space="0"/>
              <w:bottom w:val="single" w:color="auto" w:sz="4" w:space="0"/>
              <w:right w:val="single" w:color="auto" w:sz="4" w:space="0"/>
            </w:tcBorders>
          </w:tcPr>
          <w:p w:rsidRPr="00DC66E9" w:rsidR="004A3D9E" w:rsidP="004A3D9E" w:rsidRDefault="004A3D9E" w14:paraId="5677E185" w14:textId="77777777">
            <w:pPr>
              <w:widowControl/>
              <w:autoSpaceDE/>
              <w:autoSpaceDN/>
              <w:adjustRightInd/>
              <w:jc w:val="center"/>
              <w:rPr>
                <w:rFonts w:ascii="Times New Roman" w:hAnsi="Times New Roman"/>
                <w:color w:val="000000"/>
                <w:sz w:val="24"/>
                <w:szCs w:val="24"/>
              </w:rPr>
            </w:pPr>
            <w:r>
              <w:rPr>
                <w:rFonts w:ascii="Times New Roman" w:hAnsi="Times New Roman"/>
                <w:color w:val="000000"/>
                <w:sz w:val="24"/>
                <w:szCs w:val="24"/>
              </w:rPr>
              <w:t>$0</w:t>
            </w:r>
          </w:p>
        </w:tc>
      </w:tr>
    </w:tbl>
    <w:p w:rsidR="00B63991" w:rsidP="00DB7D1D" w:rsidRDefault="00B63991" w14:paraId="17022B8D" w14:textId="77777777">
      <w:pPr>
        <w:pStyle w:val="NormalWeb"/>
        <w:spacing w:before="0" w:beforeAutospacing="0" w:after="0" w:afterAutospacing="0"/>
        <w:rPr>
          <w:rFonts w:ascii="Times New Roman" w:hAnsi="Times New Roman" w:cs="Times New Roman"/>
        </w:rPr>
      </w:pPr>
    </w:p>
    <w:p w:rsidRPr="00DC66E9" w:rsidR="00DC66E9" w:rsidP="004A3D9E" w:rsidRDefault="00DC66E9" w14:paraId="494D8A07" w14:textId="77777777">
      <w:pPr>
        <w:pStyle w:val="NormalWeb"/>
        <w:spacing w:before="0" w:beforeAutospacing="0" w:after="0" w:afterAutospacing="0"/>
        <w:rPr>
          <w:rFonts w:ascii="Times New Roman" w:hAnsi="Times New Roman" w:cs="Times New Roman"/>
          <w:u w:val="single"/>
        </w:rPr>
      </w:pPr>
      <w:r w:rsidRPr="00DC66E9">
        <w:rPr>
          <w:rFonts w:ascii="Times New Roman" w:hAnsi="Times New Roman" w:cs="Times New Roman"/>
          <w:u w:val="single"/>
        </w:rPr>
        <w:t xml:space="preserve">Part 106, Subpart B </w:t>
      </w:r>
      <w:r w:rsidR="00F867F1">
        <w:rPr>
          <w:rFonts w:ascii="Times New Roman" w:hAnsi="Times New Roman" w:cs="Times New Roman"/>
          <w:u w:val="single"/>
        </w:rPr>
        <w:t>–</w:t>
      </w:r>
      <w:r w:rsidRPr="00DC66E9">
        <w:rPr>
          <w:rFonts w:ascii="Times New Roman" w:hAnsi="Times New Roman" w:cs="Times New Roman"/>
          <w:u w:val="single"/>
        </w:rPr>
        <w:t xml:space="preserve"> Petition for Rulemaking</w:t>
      </w:r>
    </w:p>
    <w:p w:rsidRPr="00DC346F" w:rsidR="00DC66E9" w:rsidP="00DB7D1D" w:rsidRDefault="00DC66E9" w14:paraId="3EB50529" w14:textId="77777777">
      <w:pPr>
        <w:pStyle w:val="NormalWeb"/>
        <w:spacing w:before="0" w:beforeAutospacing="0" w:after="0" w:afterAutospacing="0"/>
        <w:rPr>
          <w:rFonts w:ascii="Times New Roman" w:hAnsi="Times New Roman" w:cs="Times New Roman"/>
        </w:rPr>
      </w:pPr>
    </w:p>
    <w:p w:rsidR="007665C1" w:rsidP="00DB7D1D" w:rsidRDefault="00310896" w14:paraId="4193CED6" w14:textId="77777777">
      <w:pPr>
        <w:pStyle w:val="NormalWeb"/>
        <w:spacing w:before="0" w:beforeAutospacing="0" w:after="0" w:afterAutospacing="0"/>
        <w:rPr>
          <w:rFonts w:ascii="Times New Roman" w:hAnsi="Times New Roman" w:cs="Times New Roman"/>
        </w:rPr>
      </w:pPr>
      <w:r w:rsidRPr="00DC346F">
        <w:rPr>
          <w:rFonts w:ascii="Times New Roman" w:hAnsi="Times New Roman" w:cs="Times New Roman"/>
        </w:rPr>
        <w:t xml:space="preserve">PHMSA estimates that </w:t>
      </w:r>
      <w:r w:rsidR="00D76A91">
        <w:rPr>
          <w:rFonts w:ascii="Times New Roman" w:hAnsi="Times New Roman" w:cs="Times New Roman"/>
        </w:rPr>
        <w:t>20</w:t>
      </w:r>
      <w:r w:rsidRPr="00DC346F" w:rsidR="00D76A91">
        <w:rPr>
          <w:rFonts w:ascii="Times New Roman" w:hAnsi="Times New Roman" w:cs="Times New Roman"/>
        </w:rPr>
        <w:t xml:space="preserve"> </w:t>
      </w:r>
      <w:r w:rsidRPr="00DC346F">
        <w:rPr>
          <w:rFonts w:ascii="Times New Roman" w:hAnsi="Times New Roman" w:cs="Times New Roman"/>
        </w:rPr>
        <w:t xml:space="preserve">respondents submit a petition </w:t>
      </w:r>
      <w:r w:rsidR="004A3D9E">
        <w:rPr>
          <w:rFonts w:ascii="Times New Roman" w:hAnsi="Times New Roman" w:cs="Times New Roman"/>
        </w:rPr>
        <w:t>annually</w:t>
      </w:r>
      <w:r w:rsidRPr="00DC346F">
        <w:rPr>
          <w:rFonts w:ascii="Times New Roman" w:hAnsi="Times New Roman" w:cs="Times New Roman"/>
        </w:rPr>
        <w:t xml:space="preserve">.  </w:t>
      </w:r>
      <w:r w:rsidR="001445B8">
        <w:rPr>
          <w:rFonts w:ascii="Times New Roman" w:hAnsi="Times New Roman" w:cs="Times New Roman"/>
        </w:rPr>
        <w:t>Based on historical stakeholder fee</w:t>
      </w:r>
      <w:r w:rsidR="00CE3B41">
        <w:rPr>
          <w:rFonts w:ascii="Times New Roman" w:hAnsi="Times New Roman" w:cs="Times New Roman"/>
        </w:rPr>
        <w:t>d</w:t>
      </w:r>
      <w:r w:rsidR="001445B8">
        <w:rPr>
          <w:rFonts w:ascii="Times New Roman" w:hAnsi="Times New Roman" w:cs="Times New Roman"/>
        </w:rPr>
        <w:t>back</w:t>
      </w:r>
      <w:r w:rsidR="00CE3B41">
        <w:rPr>
          <w:rFonts w:ascii="Times New Roman" w:hAnsi="Times New Roman" w:cs="Times New Roman"/>
        </w:rPr>
        <w:t>,</w:t>
      </w:r>
      <w:r w:rsidR="001445B8">
        <w:rPr>
          <w:rFonts w:ascii="Times New Roman" w:hAnsi="Times New Roman" w:cs="Times New Roman"/>
        </w:rPr>
        <w:t xml:space="preserve"> e</w:t>
      </w:r>
      <w:r w:rsidRPr="00DC346F">
        <w:rPr>
          <w:rFonts w:ascii="Times New Roman" w:hAnsi="Times New Roman" w:cs="Times New Roman"/>
        </w:rPr>
        <w:t xml:space="preserve">ach respondent spends 8 hours preparing and submitting the information required in a petition for a total of </w:t>
      </w:r>
      <w:r w:rsidR="00D76A91">
        <w:rPr>
          <w:rFonts w:ascii="Times New Roman" w:hAnsi="Times New Roman" w:cs="Times New Roman"/>
        </w:rPr>
        <w:t>160</w:t>
      </w:r>
      <w:r w:rsidRPr="00DC346F" w:rsidR="00D76A91">
        <w:rPr>
          <w:rFonts w:ascii="Times New Roman" w:hAnsi="Times New Roman" w:cs="Times New Roman"/>
        </w:rPr>
        <w:t xml:space="preserve"> </w:t>
      </w:r>
      <w:r w:rsidRPr="00DC346F">
        <w:rPr>
          <w:rFonts w:ascii="Times New Roman" w:hAnsi="Times New Roman" w:cs="Times New Roman"/>
        </w:rPr>
        <w:t>total burden hours (</w:t>
      </w:r>
      <w:r w:rsidR="00D76A91">
        <w:rPr>
          <w:rFonts w:ascii="Times New Roman" w:hAnsi="Times New Roman" w:cs="Times New Roman"/>
        </w:rPr>
        <w:t>20</w:t>
      </w:r>
      <w:r w:rsidRPr="00DC346F" w:rsidR="00D76A91">
        <w:rPr>
          <w:rFonts w:ascii="Times New Roman" w:hAnsi="Times New Roman" w:cs="Times New Roman"/>
        </w:rPr>
        <w:t xml:space="preserve"> </w:t>
      </w:r>
      <w:r w:rsidRPr="00DC346F">
        <w:rPr>
          <w:rFonts w:ascii="Times New Roman" w:hAnsi="Times New Roman" w:cs="Times New Roman"/>
        </w:rPr>
        <w:t xml:space="preserve">respondents x 8 hours/response).  </w:t>
      </w:r>
      <w:r w:rsidR="004A3D9E">
        <w:rPr>
          <w:rFonts w:ascii="Times New Roman" w:hAnsi="Times New Roman" w:cs="Times New Roman"/>
        </w:rPr>
        <w:t>At a salary cost of</w:t>
      </w:r>
      <w:r w:rsidRPr="00DC346F" w:rsidR="00546124">
        <w:rPr>
          <w:rFonts w:ascii="Times New Roman" w:hAnsi="Times New Roman" w:cs="Times New Roman"/>
        </w:rPr>
        <w:t xml:space="preserve"> </w:t>
      </w:r>
      <w:r w:rsidRPr="00DC346F">
        <w:rPr>
          <w:rFonts w:ascii="Times New Roman" w:hAnsi="Times New Roman" w:cs="Times New Roman"/>
        </w:rPr>
        <w:t>$</w:t>
      </w:r>
      <w:r w:rsidR="005B5DA8">
        <w:rPr>
          <w:rFonts w:ascii="Times New Roman" w:hAnsi="Times New Roman" w:cs="Times New Roman"/>
        </w:rPr>
        <w:t>104.82</w:t>
      </w:r>
      <w:r w:rsidR="00626052">
        <w:rPr>
          <w:rStyle w:val="FootnoteReference"/>
          <w:rFonts w:ascii="Times New Roman" w:hAnsi="Times New Roman" w:cs="Times New Roman"/>
        </w:rPr>
        <w:footnoteReference w:id="1"/>
      </w:r>
      <w:r w:rsidR="00B3401A">
        <w:rPr>
          <w:rFonts w:ascii="Times New Roman" w:hAnsi="Times New Roman" w:cs="Times New Roman"/>
        </w:rPr>
        <w:t xml:space="preserve"> </w:t>
      </w:r>
      <w:r w:rsidRPr="00DC346F">
        <w:rPr>
          <w:rFonts w:ascii="Times New Roman" w:hAnsi="Times New Roman" w:cs="Times New Roman"/>
        </w:rPr>
        <w:t>per hour</w:t>
      </w:r>
      <w:r w:rsidR="004A3D9E">
        <w:rPr>
          <w:rFonts w:ascii="Times New Roman" w:hAnsi="Times New Roman" w:cs="Times New Roman"/>
        </w:rPr>
        <w:t>, PHMSA estimates</w:t>
      </w:r>
      <w:r w:rsidRPr="00DC346F" w:rsidR="00546124">
        <w:rPr>
          <w:rFonts w:ascii="Times New Roman" w:hAnsi="Times New Roman" w:cs="Times New Roman"/>
        </w:rPr>
        <w:t xml:space="preserve"> a total annual </w:t>
      </w:r>
      <w:r w:rsidR="004A3D9E">
        <w:rPr>
          <w:rFonts w:ascii="Times New Roman" w:hAnsi="Times New Roman" w:cs="Times New Roman"/>
        </w:rPr>
        <w:t xml:space="preserve">salary cost </w:t>
      </w:r>
      <w:r w:rsidRPr="00DC346F" w:rsidR="00546124">
        <w:rPr>
          <w:rFonts w:ascii="Times New Roman" w:hAnsi="Times New Roman" w:cs="Times New Roman"/>
        </w:rPr>
        <w:t>of $</w:t>
      </w:r>
      <w:r w:rsidR="005B5DA8">
        <w:rPr>
          <w:rFonts w:ascii="Times New Roman" w:hAnsi="Times New Roman" w:cs="Times New Roman"/>
        </w:rPr>
        <w:t>16,771</w:t>
      </w:r>
      <w:r w:rsidRPr="00DC346F" w:rsidR="00546124">
        <w:rPr>
          <w:rFonts w:ascii="Times New Roman" w:hAnsi="Times New Roman" w:cs="Times New Roman"/>
        </w:rPr>
        <w:t xml:space="preserve"> (</w:t>
      </w:r>
      <w:r w:rsidR="004A3D9E">
        <w:rPr>
          <w:rFonts w:ascii="Times New Roman" w:hAnsi="Times New Roman" w:cs="Times New Roman"/>
        </w:rPr>
        <w:t>160</w:t>
      </w:r>
      <w:r w:rsidRPr="00DC346F" w:rsidR="004A3D9E">
        <w:rPr>
          <w:rFonts w:ascii="Times New Roman" w:hAnsi="Times New Roman" w:cs="Times New Roman"/>
        </w:rPr>
        <w:t xml:space="preserve"> </w:t>
      </w:r>
      <w:r w:rsidRPr="00DC346F" w:rsidR="00546124">
        <w:rPr>
          <w:rFonts w:ascii="Times New Roman" w:hAnsi="Times New Roman" w:cs="Times New Roman"/>
        </w:rPr>
        <w:t>burden hours x $</w:t>
      </w:r>
      <w:r w:rsidR="005B5DA8">
        <w:rPr>
          <w:rFonts w:ascii="Times New Roman" w:hAnsi="Times New Roman" w:cs="Times New Roman"/>
        </w:rPr>
        <w:t>104.82</w:t>
      </w:r>
      <w:r w:rsidR="004A05C6">
        <w:rPr>
          <w:rFonts w:ascii="Times New Roman" w:hAnsi="Times New Roman" w:cs="Times New Roman"/>
        </w:rPr>
        <w:t>/hour</w:t>
      </w:r>
      <w:r w:rsidRPr="00DC346F" w:rsidR="00546124">
        <w:rPr>
          <w:rFonts w:ascii="Times New Roman" w:hAnsi="Times New Roman" w:cs="Times New Roman"/>
        </w:rPr>
        <w:t>).</w:t>
      </w:r>
      <w:r w:rsidR="007665C1">
        <w:rPr>
          <w:rFonts w:ascii="Times New Roman" w:hAnsi="Times New Roman" w:cs="Times New Roman"/>
        </w:rPr>
        <w:t xml:space="preserve">  PHMSA does not estimate any out-of-pocket expenses.</w:t>
      </w:r>
    </w:p>
    <w:p w:rsidR="00DC66E9" w:rsidP="00DB7D1D" w:rsidRDefault="00DC66E9" w14:paraId="5E72B285" w14:textId="77777777">
      <w:pPr>
        <w:pStyle w:val="NormalWeb"/>
        <w:spacing w:before="0" w:beforeAutospacing="0" w:after="0" w:afterAutospacing="0"/>
        <w:rPr>
          <w:rFonts w:ascii="Times New Roman" w:hAnsi="Times New Roman" w:cs="Times New Roman"/>
        </w:rPr>
      </w:pPr>
    </w:p>
    <w:tbl>
      <w:tblPr>
        <w:tblW w:w="10238" w:type="dxa"/>
        <w:jc w:val="center"/>
        <w:tblLayout w:type="fixed"/>
        <w:tblCellMar>
          <w:top w:w="15" w:type="dxa"/>
          <w:bottom w:w="15" w:type="dxa"/>
        </w:tblCellMar>
        <w:tblLook w:val="04A0" w:firstRow="1" w:lastRow="0" w:firstColumn="1" w:lastColumn="0" w:noHBand="0" w:noVBand="1"/>
      </w:tblPr>
      <w:tblGrid>
        <w:gridCol w:w="1677"/>
        <w:gridCol w:w="1361"/>
        <w:gridCol w:w="1249"/>
        <w:gridCol w:w="1181"/>
        <w:gridCol w:w="1080"/>
        <w:gridCol w:w="900"/>
        <w:gridCol w:w="990"/>
        <w:gridCol w:w="900"/>
        <w:gridCol w:w="900"/>
      </w:tblGrid>
      <w:tr w:rsidRPr="00DC66E9" w:rsidR="004A3D9E" w:rsidTr="009E4A50" w14:paraId="2EB0FDDF" w14:textId="77777777">
        <w:trPr>
          <w:trHeight w:val="630"/>
          <w:jc w:val="center"/>
        </w:trPr>
        <w:tc>
          <w:tcPr>
            <w:tcW w:w="1677" w:type="dxa"/>
            <w:tcBorders>
              <w:top w:val="single" w:color="auto" w:sz="4" w:space="0"/>
              <w:left w:val="single" w:color="auto" w:sz="4" w:space="0"/>
              <w:bottom w:val="single" w:color="auto" w:sz="4" w:space="0"/>
              <w:right w:val="single" w:color="auto" w:sz="4" w:space="0"/>
            </w:tcBorders>
            <w:vAlign w:val="bottom"/>
          </w:tcPr>
          <w:p w:rsidRPr="009E4A50" w:rsidR="004A3D9E" w:rsidP="009E4A50" w:rsidRDefault="004A3D9E" w14:paraId="71377CCB" w14:textId="77777777">
            <w:pPr>
              <w:keepNext/>
              <w:keepLines/>
              <w:widowControl/>
              <w:autoSpaceDE/>
              <w:autoSpaceDN/>
              <w:adjustRightInd/>
              <w:rPr>
                <w:rFonts w:ascii="Times New Roman" w:hAnsi="Times New Roman"/>
                <w:b/>
                <w:bCs/>
                <w:color w:val="000000"/>
              </w:rPr>
            </w:pPr>
            <w:r w:rsidRPr="009E4A50">
              <w:rPr>
                <w:rFonts w:ascii="Times New Roman" w:hAnsi="Times New Roman"/>
                <w:b/>
                <w:bCs/>
                <w:color w:val="000000"/>
              </w:rPr>
              <w:lastRenderedPageBreak/>
              <w:t xml:space="preserve">Petitions for </w:t>
            </w:r>
            <w:r>
              <w:rPr>
                <w:rFonts w:ascii="Times New Roman" w:hAnsi="Times New Roman"/>
                <w:b/>
                <w:bCs/>
                <w:color w:val="000000"/>
              </w:rPr>
              <w:t>Rulemaking – §§ 106.9, 106.110</w:t>
            </w:r>
          </w:p>
        </w:tc>
        <w:tc>
          <w:tcPr>
            <w:tcW w:w="1361" w:type="dxa"/>
            <w:tcBorders>
              <w:top w:val="single" w:color="auto" w:sz="4" w:space="0"/>
              <w:left w:val="single" w:color="auto" w:sz="4" w:space="0"/>
              <w:bottom w:val="single" w:color="auto" w:sz="4" w:space="0"/>
              <w:right w:val="single" w:color="auto" w:sz="4" w:space="0"/>
            </w:tcBorders>
            <w:vAlign w:val="bottom"/>
            <w:hideMark/>
          </w:tcPr>
          <w:p w:rsidRPr="009E4A50" w:rsidR="004A3D9E" w:rsidP="009E4A50" w:rsidRDefault="004A3D9E" w14:paraId="78BB67D6" w14:textId="77777777">
            <w:pPr>
              <w:keepNext/>
              <w:keepLines/>
              <w:widowControl/>
              <w:autoSpaceDE/>
              <w:autoSpaceDN/>
              <w:adjustRightInd/>
              <w:jc w:val="center"/>
              <w:rPr>
                <w:rFonts w:ascii="Times New Roman" w:hAnsi="Times New Roman"/>
                <w:b/>
                <w:bCs/>
                <w:color w:val="000000"/>
                <w:u w:val="single"/>
              </w:rPr>
            </w:pPr>
            <w:r w:rsidRPr="009E4A50">
              <w:rPr>
                <w:rFonts w:ascii="Times New Roman" w:hAnsi="Times New Roman"/>
                <w:b/>
                <w:bCs/>
                <w:color w:val="000000"/>
                <w:u w:val="single"/>
              </w:rPr>
              <w:t>Annual Respondents</w:t>
            </w:r>
          </w:p>
        </w:tc>
        <w:tc>
          <w:tcPr>
            <w:tcW w:w="1249" w:type="dxa"/>
            <w:tcBorders>
              <w:top w:val="single" w:color="auto" w:sz="4" w:space="0"/>
              <w:left w:val="single" w:color="auto" w:sz="4" w:space="0"/>
              <w:bottom w:val="single" w:color="auto" w:sz="4" w:space="0"/>
              <w:right w:val="single" w:color="auto" w:sz="4" w:space="0"/>
            </w:tcBorders>
            <w:vAlign w:val="bottom"/>
            <w:hideMark/>
          </w:tcPr>
          <w:p w:rsidRPr="009E4A50" w:rsidR="004A3D9E" w:rsidP="009E4A50" w:rsidRDefault="004A3D9E" w14:paraId="488B72C1" w14:textId="77777777">
            <w:pPr>
              <w:keepNext/>
              <w:keepLines/>
              <w:widowControl/>
              <w:autoSpaceDE/>
              <w:autoSpaceDN/>
              <w:adjustRightInd/>
              <w:jc w:val="center"/>
              <w:rPr>
                <w:rFonts w:ascii="Times New Roman" w:hAnsi="Times New Roman"/>
                <w:b/>
                <w:bCs/>
                <w:color w:val="000000"/>
                <w:u w:val="single"/>
              </w:rPr>
            </w:pPr>
            <w:r w:rsidRPr="009E4A50">
              <w:rPr>
                <w:rFonts w:ascii="Times New Roman" w:hAnsi="Times New Roman"/>
                <w:b/>
                <w:bCs/>
                <w:color w:val="000000"/>
                <w:u w:val="single"/>
              </w:rPr>
              <w:t>Responses per Respondent</w:t>
            </w:r>
          </w:p>
        </w:tc>
        <w:tc>
          <w:tcPr>
            <w:tcW w:w="1181" w:type="dxa"/>
            <w:tcBorders>
              <w:top w:val="single" w:color="auto" w:sz="4" w:space="0"/>
              <w:left w:val="single" w:color="auto" w:sz="4" w:space="0"/>
              <w:bottom w:val="single" w:color="auto" w:sz="4" w:space="0"/>
              <w:right w:val="single" w:color="auto" w:sz="4" w:space="0"/>
            </w:tcBorders>
            <w:vAlign w:val="bottom"/>
            <w:hideMark/>
          </w:tcPr>
          <w:p w:rsidRPr="009E4A50" w:rsidR="004A3D9E" w:rsidP="009E4A50" w:rsidRDefault="004A3D9E" w14:paraId="28BE3340" w14:textId="77777777">
            <w:pPr>
              <w:keepNext/>
              <w:keepLines/>
              <w:widowControl/>
              <w:autoSpaceDE/>
              <w:autoSpaceDN/>
              <w:adjustRightInd/>
              <w:jc w:val="center"/>
              <w:rPr>
                <w:rFonts w:ascii="Times New Roman" w:hAnsi="Times New Roman"/>
                <w:b/>
                <w:bCs/>
                <w:color w:val="000000"/>
                <w:u w:val="single"/>
              </w:rPr>
            </w:pPr>
            <w:r w:rsidRPr="009E4A50">
              <w:rPr>
                <w:rFonts w:ascii="Times New Roman" w:hAnsi="Times New Roman"/>
                <w:b/>
                <w:bCs/>
                <w:color w:val="000000"/>
                <w:u w:val="single"/>
              </w:rPr>
              <w:t>Number of Responses</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9E4A50" w:rsidR="004A3D9E" w:rsidP="009E4A50" w:rsidRDefault="004A3D9E" w14:paraId="23C0EFA0" w14:textId="77777777">
            <w:pPr>
              <w:keepNext/>
              <w:keepLines/>
              <w:widowControl/>
              <w:autoSpaceDE/>
              <w:autoSpaceDN/>
              <w:adjustRightInd/>
              <w:jc w:val="center"/>
              <w:rPr>
                <w:rFonts w:ascii="Times New Roman" w:hAnsi="Times New Roman"/>
                <w:b/>
                <w:bCs/>
                <w:color w:val="000000"/>
                <w:u w:val="single"/>
              </w:rPr>
            </w:pPr>
            <w:r w:rsidRPr="009E4A50">
              <w:rPr>
                <w:rFonts w:ascii="Times New Roman" w:hAnsi="Times New Roman"/>
                <w:b/>
                <w:bCs/>
                <w:color w:val="000000"/>
                <w:u w:val="single"/>
              </w:rPr>
              <w:t>Hours per Response</w:t>
            </w:r>
          </w:p>
        </w:tc>
        <w:tc>
          <w:tcPr>
            <w:tcW w:w="900" w:type="dxa"/>
            <w:tcBorders>
              <w:top w:val="single" w:color="auto" w:sz="4" w:space="0"/>
              <w:left w:val="single" w:color="auto" w:sz="4" w:space="0"/>
              <w:bottom w:val="single" w:color="auto" w:sz="4" w:space="0"/>
              <w:right w:val="single" w:color="auto" w:sz="4" w:space="0"/>
            </w:tcBorders>
            <w:vAlign w:val="bottom"/>
            <w:hideMark/>
          </w:tcPr>
          <w:p w:rsidRPr="009E4A50" w:rsidR="004A3D9E" w:rsidP="009E4A50" w:rsidRDefault="004A3D9E" w14:paraId="3BB58AA4" w14:textId="77777777">
            <w:pPr>
              <w:keepNext/>
              <w:keepLines/>
              <w:widowControl/>
              <w:autoSpaceDE/>
              <w:autoSpaceDN/>
              <w:adjustRightInd/>
              <w:jc w:val="center"/>
              <w:rPr>
                <w:rFonts w:ascii="Times New Roman" w:hAnsi="Times New Roman"/>
                <w:b/>
                <w:bCs/>
                <w:color w:val="000000"/>
                <w:u w:val="single"/>
              </w:rPr>
            </w:pPr>
            <w:r w:rsidRPr="009E4A50">
              <w:rPr>
                <w:rFonts w:ascii="Times New Roman" w:hAnsi="Times New Roman"/>
                <w:b/>
                <w:bCs/>
                <w:color w:val="000000"/>
                <w:u w:val="single"/>
              </w:rPr>
              <w:t>Total Burden Hours</w:t>
            </w:r>
          </w:p>
        </w:tc>
        <w:tc>
          <w:tcPr>
            <w:tcW w:w="990" w:type="dxa"/>
            <w:tcBorders>
              <w:top w:val="single" w:color="auto" w:sz="4" w:space="0"/>
              <w:left w:val="single" w:color="auto" w:sz="4" w:space="0"/>
              <w:bottom w:val="single" w:color="auto" w:sz="4" w:space="0"/>
              <w:right w:val="single" w:color="auto" w:sz="4" w:space="0"/>
            </w:tcBorders>
            <w:vAlign w:val="bottom"/>
            <w:hideMark/>
          </w:tcPr>
          <w:p w:rsidRPr="009E4A50" w:rsidR="004A3D9E" w:rsidP="009E4A50" w:rsidRDefault="004A3D9E" w14:paraId="3E94944A" w14:textId="77777777">
            <w:pPr>
              <w:keepNext/>
              <w:keepLines/>
              <w:widowControl/>
              <w:autoSpaceDE/>
              <w:autoSpaceDN/>
              <w:adjustRightInd/>
              <w:jc w:val="center"/>
              <w:rPr>
                <w:rFonts w:ascii="Times New Roman" w:hAnsi="Times New Roman"/>
                <w:b/>
                <w:bCs/>
                <w:color w:val="000000"/>
                <w:u w:val="single"/>
              </w:rPr>
            </w:pPr>
            <w:r w:rsidRPr="009E4A50">
              <w:rPr>
                <w:rFonts w:ascii="Times New Roman" w:hAnsi="Times New Roman"/>
                <w:b/>
                <w:bCs/>
                <w:color w:val="000000"/>
                <w:u w:val="single"/>
              </w:rPr>
              <w:t>Salary Cost per Hour</w:t>
            </w:r>
          </w:p>
        </w:tc>
        <w:tc>
          <w:tcPr>
            <w:tcW w:w="900" w:type="dxa"/>
            <w:tcBorders>
              <w:top w:val="single" w:color="auto" w:sz="4" w:space="0"/>
              <w:left w:val="single" w:color="auto" w:sz="4" w:space="0"/>
              <w:bottom w:val="single" w:color="auto" w:sz="4" w:space="0"/>
              <w:right w:val="single" w:color="auto" w:sz="4" w:space="0"/>
            </w:tcBorders>
            <w:vAlign w:val="bottom"/>
            <w:hideMark/>
          </w:tcPr>
          <w:p w:rsidRPr="009E4A50" w:rsidR="004A3D9E" w:rsidP="009E4A50" w:rsidRDefault="004A3D9E" w14:paraId="6509A523" w14:textId="77777777">
            <w:pPr>
              <w:keepNext/>
              <w:keepLines/>
              <w:widowControl/>
              <w:autoSpaceDE/>
              <w:autoSpaceDN/>
              <w:adjustRightInd/>
              <w:jc w:val="center"/>
              <w:rPr>
                <w:rFonts w:ascii="Times New Roman" w:hAnsi="Times New Roman"/>
                <w:b/>
                <w:bCs/>
                <w:color w:val="000000"/>
                <w:u w:val="single"/>
              </w:rPr>
            </w:pPr>
            <w:r w:rsidRPr="009E4A50">
              <w:rPr>
                <w:rFonts w:ascii="Times New Roman" w:hAnsi="Times New Roman"/>
                <w:b/>
                <w:bCs/>
                <w:color w:val="000000"/>
                <w:u w:val="single"/>
              </w:rPr>
              <w:t>Total Salary Cost</w:t>
            </w:r>
          </w:p>
        </w:tc>
        <w:tc>
          <w:tcPr>
            <w:tcW w:w="900" w:type="dxa"/>
            <w:tcBorders>
              <w:top w:val="single" w:color="auto" w:sz="4" w:space="0"/>
              <w:left w:val="single" w:color="auto" w:sz="4" w:space="0"/>
              <w:bottom w:val="single" w:color="auto" w:sz="4" w:space="0"/>
              <w:right w:val="single" w:color="auto" w:sz="4" w:space="0"/>
            </w:tcBorders>
            <w:vAlign w:val="bottom"/>
          </w:tcPr>
          <w:p w:rsidRPr="00B5538E" w:rsidR="004A3D9E" w:rsidP="00B5538E" w:rsidRDefault="004A3D9E" w14:paraId="3E1109C7" w14:textId="77777777">
            <w:pPr>
              <w:keepNext/>
              <w:keepLines/>
              <w:widowControl/>
              <w:autoSpaceDE/>
              <w:autoSpaceDN/>
              <w:adjustRightInd/>
              <w:jc w:val="center"/>
              <w:rPr>
                <w:rFonts w:ascii="Times New Roman" w:hAnsi="Times New Roman"/>
                <w:b/>
                <w:bCs/>
                <w:color w:val="000000"/>
                <w:u w:val="single"/>
              </w:rPr>
            </w:pPr>
            <w:r>
              <w:rPr>
                <w:rFonts w:ascii="Times New Roman" w:hAnsi="Times New Roman"/>
                <w:b/>
                <w:bCs/>
                <w:color w:val="000000"/>
                <w:u w:val="single"/>
              </w:rPr>
              <w:t>Total Burden Cost</w:t>
            </w:r>
          </w:p>
        </w:tc>
      </w:tr>
      <w:tr w:rsidRPr="00DC66E9" w:rsidR="004A3D9E" w:rsidTr="009E4A50" w14:paraId="708C1322" w14:textId="77777777">
        <w:trPr>
          <w:trHeight w:val="35"/>
          <w:jc w:val="center"/>
        </w:trPr>
        <w:tc>
          <w:tcPr>
            <w:tcW w:w="1677" w:type="dxa"/>
            <w:tcBorders>
              <w:top w:val="single" w:color="auto" w:sz="4" w:space="0"/>
              <w:left w:val="single" w:color="auto" w:sz="4" w:space="0"/>
              <w:bottom w:val="single" w:color="auto" w:sz="4" w:space="0"/>
              <w:right w:val="single" w:color="auto" w:sz="4" w:space="0"/>
            </w:tcBorders>
            <w:vAlign w:val="bottom"/>
          </w:tcPr>
          <w:p w:rsidR="004A3D9E" w:rsidP="009E4A50" w:rsidRDefault="004A3D9E" w14:paraId="57082109" w14:textId="77777777">
            <w:pPr>
              <w:keepNext/>
              <w:keepLines/>
              <w:widowControl/>
              <w:autoSpaceDE/>
              <w:autoSpaceDN/>
              <w:adjustRightInd/>
              <w:rPr>
                <w:rFonts w:ascii="Times New Roman" w:hAnsi="Times New Roman"/>
                <w:color w:val="000000"/>
              </w:rPr>
            </w:pPr>
            <w:r>
              <w:rPr>
                <w:rFonts w:ascii="Times New Roman" w:hAnsi="Times New Roman"/>
                <w:color w:val="000000"/>
              </w:rPr>
              <w:t>Reporting</w:t>
            </w:r>
          </w:p>
        </w:tc>
        <w:tc>
          <w:tcPr>
            <w:tcW w:w="1361" w:type="dxa"/>
            <w:tcBorders>
              <w:top w:val="single" w:color="auto" w:sz="4" w:space="0"/>
              <w:left w:val="single" w:color="auto" w:sz="4" w:space="0"/>
              <w:bottom w:val="single" w:color="auto" w:sz="4" w:space="0"/>
              <w:right w:val="single" w:color="auto" w:sz="4" w:space="0"/>
            </w:tcBorders>
            <w:noWrap/>
            <w:vAlign w:val="bottom"/>
            <w:hideMark/>
          </w:tcPr>
          <w:p w:rsidRPr="00DC66E9" w:rsidR="004A3D9E" w:rsidP="009E4A50" w:rsidRDefault="004A3D9E" w14:paraId="6DE84BFB" w14:textId="77777777">
            <w:pPr>
              <w:keepNext/>
              <w:keepLines/>
              <w:widowControl/>
              <w:autoSpaceDE/>
              <w:autoSpaceDN/>
              <w:adjustRightInd/>
              <w:jc w:val="right"/>
              <w:rPr>
                <w:rFonts w:ascii="Times New Roman" w:hAnsi="Times New Roman"/>
                <w:color w:val="000000"/>
              </w:rPr>
            </w:pPr>
            <w:r>
              <w:rPr>
                <w:rFonts w:ascii="Times New Roman" w:hAnsi="Times New Roman"/>
                <w:color w:val="000000"/>
              </w:rPr>
              <w:t>20</w:t>
            </w:r>
          </w:p>
        </w:tc>
        <w:tc>
          <w:tcPr>
            <w:tcW w:w="1249" w:type="dxa"/>
            <w:tcBorders>
              <w:top w:val="single" w:color="auto" w:sz="4" w:space="0"/>
              <w:left w:val="single" w:color="auto" w:sz="4" w:space="0"/>
              <w:bottom w:val="single" w:color="auto" w:sz="4" w:space="0"/>
              <w:right w:val="single" w:color="auto" w:sz="4" w:space="0"/>
            </w:tcBorders>
            <w:noWrap/>
            <w:vAlign w:val="bottom"/>
            <w:hideMark/>
          </w:tcPr>
          <w:p w:rsidRPr="00DC66E9" w:rsidR="004A3D9E" w:rsidP="009E4A50" w:rsidRDefault="004A3D9E" w14:paraId="03B7C3BD" w14:textId="77777777">
            <w:pPr>
              <w:keepNext/>
              <w:keepLines/>
              <w:widowControl/>
              <w:autoSpaceDE/>
              <w:autoSpaceDN/>
              <w:adjustRightInd/>
              <w:jc w:val="right"/>
              <w:rPr>
                <w:rFonts w:ascii="Times New Roman" w:hAnsi="Times New Roman"/>
                <w:color w:val="000000"/>
              </w:rPr>
            </w:pPr>
            <w:r w:rsidRPr="00DC66E9">
              <w:rPr>
                <w:rFonts w:ascii="Times New Roman" w:hAnsi="Times New Roman"/>
                <w:color w:val="000000"/>
              </w:rPr>
              <w:t>1</w:t>
            </w:r>
          </w:p>
        </w:tc>
        <w:tc>
          <w:tcPr>
            <w:tcW w:w="1181" w:type="dxa"/>
            <w:tcBorders>
              <w:top w:val="single" w:color="auto" w:sz="4" w:space="0"/>
              <w:left w:val="single" w:color="auto" w:sz="4" w:space="0"/>
              <w:bottom w:val="single" w:color="auto" w:sz="4" w:space="0"/>
              <w:right w:val="single" w:color="auto" w:sz="4" w:space="0"/>
            </w:tcBorders>
            <w:noWrap/>
            <w:vAlign w:val="bottom"/>
            <w:hideMark/>
          </w:tcPr>
          <w:p w:rsidRPr="00DC66E9" w:rsidR="004A3D9E" w:rsidP="009E4A50" w:rsidRDefault="004A3D9E" w14:paraId="3BDCDE56" w14:textId="77777777">
            <w:pPr>
              <w:keepNext/>
              <w:keepLines/>
              <w:widowControl/>
              <w:autoSpaceDE/>
              <w:autoSpaceDN/>
              <w:adjustRightInd/>
              <w:jc w:val="right"/>
              <w:rPr>
                <w:rFonts w:ascii="Times New Roman" w:hAnsi="Times New Roman"/>
                <w:color w:val="000000"/>
              </w:rPr>
            </w:pPr>
            <w:r>
              <w:rPr>
                <w:rFonts w:ascii="Times New Roman" w:hAnsi="Times New Roman"/>
                <w:color w:val="000000"/>
              </w:rPr>
              <w:t>20</w:t>
            </w:r>
          </w:p>
        </w:tc>
        <w:tc>
          <w:tcPr>
            <w:tcW w:w="1080" w:type="dxa"/>
            <w:tcBorders>
              <w:top w:val="single" w:color="auto" w:sz="4" w:space="0"/>
              <w:left w:val="single" w:color="auto" w:sz="4" w:space="0"/>
              <w:bottom w:val="single" w:color="auto" w:sz="4" w:space="0"/>
              <w:right w:val="single" w:color="auto" w:sz="4" w:space="0"/>
            </w:tcBorders>
            <w:noWrap/>
            <w:vAlign w:val="bottom"/>
            <w:hideMark/>
          </w:tcPr>
          <w:p w:rsidRPr="00DC66E9" w:rsidR="004A3D9E" w:rsidP="009E4A50" w:rsidRDefault="004A3D9E" w14:paraId="234A5752" w14:textId="77777777">
            <w:pPr>
              <w:keepNext/>
              <w:keepLines/>
              <w:widowControl/>
              <w:autoSpaceDE/>
              <w:autoSpaceDN/>
              <w:adjustRightInd/>
              <w:jc w:val="right"/>
              <w:rPr>
                <w:rFonts w:ascii="Times New Roman" w:hAnsi="Times New Roman"/>
                <w:color w:val="000000"/>
              </w:rPr>
            </w:pPr>
            <w:r w:rsidRPr="00DC66E9">
              <w:rPr>
                <w:rFonts w:ascii="Times New Roman" w:hAnsi="Times New Roman"/>
                <w:color w:val="000000"/>
              </w:rPr>
              <w:t>8</w:t>
            </w:r>
          </w:p>
        </w:tc>
        <w:tc>
          <w:tcPr>
            <w:tcW w:w="900" w:type="dxa"/>
            <w:tcBorders>
              <w:top w:val="single" w:color="auto" w:sz="4" w:space="0"/>
              <w:left w:val="single" w:color="auto" w:sz="4" w:space="0"/>
              <w:bottom w:val="single" w:color="auto" w:sz="4" w:space="0"/>
              <w:right w:val="single" w:color="auto" w:sz="4" w:space="0"/>
            </w:tcBorders>
            <w:noWrap/>
            <w:vAlign w:val="bottom"/>
            <w:hideMark/>
          </w:tcPr>
          <w:p w:rsidRPr="00DC66E9" w:rsidR="004A3D9E" w:rsidP="009E4A50" w:rsidRDefault="004A3D9E" w14:paraId="7604A29A" w14:textId="77777777">
            <w:pPr>
              <w:keepNext/>
              <w:keepLines/>
              <w:widowControl/>
              <w:autoSpaceDE/>
              <w:autoSpaceDN/>
              <w:adjustRightInd/>
              <w:jc w:val="right"/>
              <w:rPr>
                <w:rFonts w:ascii="Times New Roman" w:hAnsi="Times New Roman"/>
                <w:color w:val="000000"/>
              </w:rPr>
            </w:pPr>
            <w:r>
              <w:rPr>
                <w:rFonts w:ascii="Times New Roman" w:hAnsi="Times New Roman"/>
                <w:color w:val="000000"/>
              </w:rPr>
              <w:t>160</w:t>
            </w:r>
          </w:p>
        </w:tc>
        <w:tc>
          <w:tcPr>
            <w:tcW w:w="990" w:type="dxa"/>
            <w:tcBorders>
              <w:top w:val="single" w:color="auto" w:sz="4" w:space="0"/>
              <w:left w:val="single" w:color="auto" w:sz="4" w:space="0"/>
              <w:bottom w:val="single" w:color="auto" w:sz="4" w:space="0"/>
              <w:right w:val="single" w:color="auto" w:sz="4" w:space="0"/>
            </w:tcBorders>
            <w:noWrap/>
            <w:vAlign w:val="bottom"/>
            <w:hideMark/>
          </w:tcPr>
          <w:p w:rsidRPr="00DC66E9" w:rsidR="004A3D9E" w:rsidP="009E4A50" w:rsidRDefault="004A3D9E" w14:paraId="2ADEE888" w14:textId="77777777">
            <w:pPr>
              <w:keepNext/>
              <w:keepLines/>
              <w:widowControl/>
              <w:autoSpaceDE/>
              <w:autoSpaceDN/>
              <w:adjustRightInd/>
              <w:jc w:val="right"/>
              <w:rPr>
                <w:rFonts w:ascii="Times New Roman" w:hAnsi="Times New Roman"/>
                <w:color w:val="000000"/>
              </w:rPr>
            </w:pPr>
            <w:r w:rsidRPr="00DC66E9">
              <w:rPr>
                <w:rFonts w:ascii="Times New Roman" w:hAnsi="Times New Roman"/>
                <w:color w:val="000000"/>
              </w:rPr>
              <w:t>$</w:t>
            </w:r>
            <w:r>
              <w:rPr>
                <w:rFonts w:ascii="Times New Roman" w:hAnsi="Times New Roman"/>
                <w:color w:val="000000"/>
              </w:rPr>
              <w:t>104.82</w:t>
            </w:r>
            <w:r w:rsidRPr="00DC66E9">
              <w:rPr>
                <w:rFonts w:ascii="Times New Roman" w:hAnsi="Times New Roman"/>
                <w:color w:val="000000"/>
              </w:rPr>
              <w:t xml:space="preserve"> </w:t>
            </w:r>
          </w:p>
        </w:tc>
        <w:tc>
          <w:tcPr>
            <w:tcW w:w="900" w:type="dxa"/>
            <w:tcBorders>
              <w:top w:val="single" w:color="auto" w:sz="4" w:space="0"/>
              <w:left w:val="single" w:color="auto" w:sz="4" w:space="0"/>
              <w:bottom w:val="single" w:color="auto" w:sz="4" w:space="0"/>
              <w:right w:val="single" w:color="auto" w:sz="4" w:space="0"/>
            </w:tcBorders>
            <w:noWrap/>
            <w:vAlign w:val="bottom"/>
            <w:hideMark/>
          </w:tcPr>
          <w:p w:rsidRPr="00DC66E9" w:rsidR="004A3D9E" w:rsidP="009E4A50" w:rsidRDefault="004A3D9E" w14:paraId="448B632D" w14:textId="77777777">
            <w:pPr>
              <w:keepNext/>
              <w:keepLines/>
              <w:widowControl/>
              <w:autoSpaceDE/>
              <w:autoSpaceDN/>
              <w:adjustRightInd/>
              <w:jc w:val="right"/>
              <w:rPr>
                <w:rFonts w:ascii="Times New Roman" w:hAnsi="Times New Roman"/>
                <w:color w:val="000000"/>
              </w:rPr>
            </w:pPr>
            <w:r w:rsidRPr="00DC66E9">
              <w:rPr>
                <w:rFonts w:ascii="Times New Roman" w:hAnsi="Times New Roman"/>
                <w:color w:val="000000"/>
              </w:rPr>
              <w:t>$</w:t>
            </w:r>
            <w:r>
              <w:rPr>
                <w:rFonts w:ascii="Times New Roman" w:hAnsi="Times New Roman"/>
                <w:color w:val="000000"/>
              </w:rPr>
              <w:t>16,771</w:t>
            </w:r>
            <w:r w:rsidRPr="00DC66E9">
              <w:rPr>
                <w:rFonts w:ascii="Times New Roman" w:hAnsi="Times New Roman"/>
                <w:color w:val="000000"/>
              </w:rPr>
              <w:t xml:space="preserve"> </w:t>
            </w:r>
          </w:p>
        </w:tc>
        <w:tc>
          <w:tcPr>
            <w:tcW w:w="900" w:type="dxa"/>
            <w:tcBorders>
              <w:top w:val="single" w:color="auto" w:sz="4" w:space="0"/>
              <w:left w:val="single" w:color="auto" w:sz="4" w:space="0"/>
              <w:bottom w:val="single" w:color="auto" w:sz="4" w:space="0"/>
              <w:right w:val="single" w:color="auto" w:sz="4" w:space="0"/>
            </w:tcBorders>
            <w:vAlign w:val="bottom"/>
          </w:tcPr>
          <w:p w:rsidRPr="00DC66E9" w:rsidR="004A3D9E" w:rsidP="00B5538E" w:rsidRDefault="004A3D9E" w14:paraId="326890E9" w14:textId="77777777">
            <w:pPr>
              <w:keepNext/>
              <w:keepLines/>
              <w:widowControl/>
              <w:autoSpaceDE/>
              <w:autoSpaceDN/>
              <w:adjustRightInd/>
              <w:jc w:val="right"/>
              <w:rPr>
                <w:rFonts w:ascii="Times New Roman" w:hAnsi="Times New Roman"/>
                <w:color w:val="000000"/>
              </w:rPr>
            </w:pPr>
            <w:r>
              <w:rPr>
                <w:rFonts w:ascii="Times New Roman" w:hAnsi="Times New Roman"/>
                <w:color w:val="000000"/>
              </w:rPr>
              <w:t>$0</w:t>
            </w:r>
          </w:p>
        </w:tc>
      </w:tr>
    </w:tbl>
    <w:p w:rsidR="00DC66E9" w:rsidP="00DB7D1D" w:rsidRDefault="00DC66E9" w14:paraId="48C6ED0C" w14:textId="77777777">
      <w:pPr>
        <w:pStyle w:val="NormalWeb"/>
        <w:spacing w:before="0" w:beforeAutospacing="0" w:after="0" w:afterAutospacing="0"/>
        <w:rPr>
          <w:rFonts w:ascii="Times New Roman" w:hAnsi="Times New Roman" w:cs="Times New Roman"/>
        </w:rPr>
      </w:pPr>
    </w:p>
    <w:p w:rsidRPr="00DC66E9" w:rsidR="00DC66E9" w:rsidP="009E4A50" w:rsidRDefault="00DC66E9" w14:paraId="1280BC34" w14:textId="77777777">
      <w:pPr>
        <w:pStyle w:val="NormalWeb"/>
        <w:spacing w:before="0" w:beforeAutospacing="0" w:after="0" w:afterAutospacing="0"/>
        <w:rPr>
          <w:rFonts w:ascii="Times New Roman" w:hAnsi="Times New Roman" w:cs="Times New Roman"/>
          <w:u w:val="single"/>
        </w:rPr>
      </w:pPr>
      <w:r>
        <w:rPr>
          <w:rFonts w:ascii="Times New Roman" w:hAnsi="Times New Roman" w:cs="Times New Roman"/>
          <w:u w:val="single"/>
        </w:rPr>
        <w:t xml:space="preserve">Part 107, Subpart B </w:t>
      </w:r>
      <w:r w:rsidR="00F867F1">
        <w:rPr>
          <w:rFonts w:ascii="Times New Roman" w:hAnsi="Times New Roman" w:cs="Times New Roman"/>
          <w:u w:val="single"/>
        </w:rPr>
        <w:t>–</w:t>
      </w:r>
      <w:r w:rsidR="00CE3B41">
        <w:rPr>
          <w:rFonts w:ascii="Times New Roman" w:hAnsi="Times New Roman" w:cs="Times New Roman"/>
          <w:u w:val="single"/>
        </w:rPr>
        <w:t xml:space="preserve"> </w:t>
      </w:r>
      <w:r w:rsidR="005B5DA8">
        <w:rPr>
          <w:rFonts w:ascii="Times New Roman" w:hAnsi="Times New Roman" w:cs="Times New Roman"/>
          <w:u w:val="single"/>
        </w:rPr>
        <w:t xml:space="preserve">New </w:t>
      </w:r>
      <w:r w:rsidRPr="00DC66E9">
        <w:rPr>
          <w:rFonts w:ascii="Times New Roman" w:hAnsi="Times New Roman" w:cs="Times New Roman"/>
          <w:u w:val="single"/>
        </w:rPr>
        <w:t>Special</w:t>
      </w:r>
      <w:r w:rsidR="00F867F1">
        <w:rPr>
          <w:rFonts w:ascii="Times New Roman" w:hAnsi="Times New Roman" w:cs="Times New Roman"/>
          <w:u w:val="single"/>
        </w:rPr>
        <w:t xml:space="preserve"> </w:t>
      </w:r>
      <w:r w:rsidRPr="00DC66E9">
        <w:rPr>
          <w:rFonts w:ascii="Times New Roman" w:hAnsi="Times New Roman" w:cs="Times New Roman"/>
          <w:u w:val="single"/>
        </w:rPr>
        <w:t>Permit Applications</w:t>
      </w:r>
    </w:p>
    <w:p w:rsidR="00DC66E9" w:rsidP="00DB7D1D" w:rsidRDefault="00DC66E9" w14:paraId="6FC0DE5F" w14:textId="77777777">
      <w:pPr>
        <w:pStyle w:val="NormalWeb"/>
        <w:spacing w:before="0" w:beforeAutospacing="0" w:after="0" w:afterAutospacing="0"/>
        <w:rPr>
          <w:rFonts w:ascii="Times New Roman" w:hAnsi="Times New Roman" w:cs="Times New Roman"/>
        </w:rPr>
      </w:pPr>
    </w:p>
    <w:p w:rsidR="00B63991" w:rsidP="00DB7D1D" w:rsidRDefault="00CE3B41" w14:paraId="551FC74A" w14:textId="77777777">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Based on applications received, </w:t>
      </w:r>
      <w:r w:rsidRPr="00DC346F" w:rsidR="006B41DF">
        <w:rPr>
          <w:rFonts w:ascii="Times New Roman" w:hAnsi="Times New Roman" w:cs="Times New Roman"/>
        </w:rPr>
        <w:t xml:space="preserve">PHMSA </w:t>
      </w:r>
      <w:r>
        <w:rPr>
          <w:rFonts w:ascii="Times New Roman" w:hAnsi="Times New Roman" w:cs="Times New Roman"/>
        </w:rPr>
        <w:t>approximates</w:t>
      </w:r>
      <w:r w:rsidRPr="00DC346F">
        <w:rPr>
          <w:rFonts w:ascii="Times New Roman" w:hAnsi="Times New Roman" w:cs="Times New Roman"/>
        </w:rPr>
        <w:t xml:space="preserve"> </w:t>
      </w:r>
      <w:r w:rsidRPr="00DC346F" w:rsidR="006B41DF">
        <w:rPr>
          <w:rFonts w:ascii="Times New Roman" w:hAnsi="Times New Roman" w:cs="Times New Roman"/>
        </w:rPr>
        <w:t xml:space="preserve">that </w:t>
      </w:r>
      <w:r w:rsidR="005B5DA8">
        <w:rPr>
          <w:rFonts w:ascii="Times New Roman" w:hAnsi="Times New Roman" w:cs="Times New Roman"/>
        </w:rPr>
        <w:t>14</w:t>
      </w:r>
      <w:r w:rsidRPr="00DC346F" w:rsidR="005B5DA8">
        <w:rPr>
          <w:rFonts w:ascii="Times New Roman" w:hAnsi="Times New Roman" w:cs="Times New Roman"/>
        </w:rPr>
        <w:t xml:space="preserve"> </w:t>
      </w:r>
      <w:r w:rsidRPr="00DC346F" w:rsidR="006B41DF">
        <w:rPr>
          <w:rFonts w:ascii="Times New Roman" w:hAnsi="Times New Roman" w:cs="Times New Roman"/>
        </w:rPr>
        <w:t xml:space="preserve">persons apply for a new special permit per month, for a total of </w:t>
      </w:r>
      <w:r w:rsidR="005B5DA8">
        <w:rPr>
          <w:rFonts w:ascii="Times New Roman" w:hAnsi="Times New Roman" w:cs="Times New Roman"/>
        </w:rPr>
        <w:t>168</w:t>
      </w:r>
      <w:r w:rsidRPr="00DC346F" w:rsidR="005B5DA8">
        <w:rPr>
          <w:rFonts w:ascii="Times New Roman" w:hAnsi="Times New Roman" w:cs="Times New Roman"/>
        </w:rPr>
        <w:t xml:space="preserve"> </w:t>
      </w:r>
      <w:r w:rsidR="00B5538E">
        <w:rPr>
          <w:rFonts w:ascii="Times New Roman" w:hAnsi="Times New Roman" w:cs="Times New Roman"/>
        </w:rPr>
        <w:t xml:space="preserve">annual </w:t>
      </w:r>
      <w:r w:rsidRPr="00DC346F" w:rsidR="006B41DF">
        <w:rPr>
          <w:rFonts w:ascii="Times New Roman" w:hAnsi="Times New Roman" w:cs="Times New Roman"/>
        </w:rPr>
        <w:t xml:space="preserve">special permit </w:t>
      </w:r>
      <w:r w:rsidR="00B5538E">
        <w:rPr>
          <w:rFonts w:ascii="Times New Roman" w:hAnsi="Times New Roman" w:cs="Times New Roman"/>
        </w:rPr>
        <w:t xml:space="preserve">applications </w:t>
      </w:r>
      <w:r w:rsidRPr="00DC346F" w:rsidR="006B41DF">
        <w:rPr>
          <w:rFonts w:ascii="Times New Roman" w:hAnsi="Times New Roman" w:cs="Times New Roman"/>
        </w:rPr>
        <w:t>(</w:t>
      </w:r>
      <w:r w:rsidR="005B5DA8">
        <w:rPr>
          <w:rFonts w:ascii="Times New Roman" w:hAnsi="Times New Roman" w:cs="Times New Roman"/>
        </w:rPr>
        <w:t>14</w:t>
      </w:r>
      <w:r w:rsidRPr="00DC346F" w:rsidR="005B5DA8">
        <w:rPr>
          <w:rFonts w:ascii="Times New Roman" w:hAnsi="Times New Roman" w:cs="Times New Roman"/>
        </w:rPr>
        <w:t xml:space="preserve"> </w:t>
      </w:r>
      <w:r w:rsidRPr="00DC346F" w:rsidR="006B41DF">
        <w:rPr>
          <w:rFonts w:ascii="Times New Roman" w:hAnsi="Times New Roman" w:cs="Times New Roman"/>
        </w:rPr>
        <w:t xml:space="preserve">requests/month x </w:t>
      </w:r>
      <w:r w:rsidRPr="00DC346F" w:rsidR="009E4A50">
        <w:rPr>
          <w:rFonts w:ascii="Times New Roman" w:hAnsi="Times New Roman" w:cs="Times New Roman"/>
        </w:rPr>
        <w:t>12</w:t>
      </w:r>
      <w:r w:rsidR="009E4A50">
        <w:rPr>
          <w:rFonts w:ascii="Times New Roman" w:hAnsi="Times New Roman" w:cs="Times New Roman"/>
        </w:rPr>
        <w:t> </w:t>
      </w:r>
      <w:r w:rsidRPr="00DC346F" w:rsidR="006B41DF">
        <w:rPr>
          <w:rFonts w:ascii="Times New Roman" w:hAnsi="Times New Roman" w:cs="Times New Roman"/>
        </w:rPr>
        <w:t xml:space="preserve">months/year).  </w:t>
      </w:r>
      <w:r>
        <w:rPr>
          <w:rFonts w:ascii="Times New Roman" w:hAnsi="Times New Roman" w:cs="Times New Roman"/>
        </w:rPr>
        <w:t>Based on historical stakeholder feedback, e</w:t>
      </w:r>
      <w:r w:rsidRPr="00DC346F" w:rsidR="006B41DF">
        <w:rPr>
          <w:rFonts w:ascii="Times New Roman" w:hAnsi="Times New Roman" w:cs="Times New Roman"/>
        </w:rPr>
        <w:t>ach request</w:t>
      </w:r>
      <w:r w:rsidR="0059392B">
        <w:rPr>
          <w:rFonts w:ascii="Times New Roman" w:hAnsi="Times New Roman" w:cs="Times New Roman"/>
        </w:rPr>
        <w:t xml:space="preserve"> is estimated to take </w:t>
      </w:r>
      <w:r w:rsidRPr="000D087B" w:rsidR="009E4A50">
        <w:rPr>
          <w:rFonts w:ascii="Times New Roman" w:hAnsi="Times New Roman" w:cs="Times New Roman"/>
        </w:rPr>
        <w:t>7</w:t>
      </w:r>
      <w:r w:rsidR="009E4A50">
        <w:rPr>
          <w:rFonts w:ascii="Times New Roman" w:hAnsi="Times New Roman" w:cs="Times New Roman"/>
        </w:rPr>
        <w:t> </w:t>
      </w:r>
      <w:r w:rsidRPr="000D087B" w:rsidR="006B41DF">
        <w:rPr>
          <w:rFonts w:ascii="Times New Roman" w:hAnsi="Times New Roman" w:cs="Times New Roman"/>
        </w:rPr>
        <w:t>hours to complete</w:t>
      </w:r>
      <w:r w:rsidRPr="00DC346F" w:rsidR="006B41DF">
        <w:rPr>
          <w:rFonts w:ascii="Times New Roman" w:hAnsi="Times New Roman" w:cs="Times New Roman"/>
        </w:rPr>
        <w:t xml:space="preserve"> for a total of </w:t>
      </w:r>
      <w:r w:rsidR="0059392B">
        <w:rPr>
          <w:rFonts w:ascii="Times New Roman" w:hAnsi="Times New Roman" w:cs="Times New Roman"/>
        </w:rPr>
        <w:t>1,</w:t>
      </w:r>
      <w:r w:rsidR="005B5DA8">
        <w:rPr>
          <w:rFonts w:ascii="Times New Roman" w:hAnsi="Times New Roman" w:cs="Times New Roman"/>
        </w:rPr>
        <w:t>176</w:t>
      </w:r>
      <w:r w:rsidRPr="00DC346F" w:rsidR="006B41DF">
        <w:rPr>
          <w:rFonts w:ascii="Times New Roman" w:hAnsi="Times New Roman" w:cs="Times New Roman"/>
        </w:rPr>
        <w:t xml:space="preserve"> total bu</w:t>
      </w:r>
      <w:r w:rsidR="0059392B">
        <w:rPr>
          <w:rFonts w:ascii="Times New Roman" w:hAnsi="Times New Roman" w:cs="Times New Roman"/>
        </w:rPr>
        <w:t>rden hours (</w:t>
      </w:r>
      <w:r w:rsidR="00B5538E">
        <w:rPr>
          <w:rFonts w:ascii="Times New Roman" w:hAnsi="Times New Roman" w:cs="Times New Roman"/>
        </w:rPr>
        <w:t>168 </w:t>
      </w:r>
      <w:r w:rsidR="0059392B">
        <w:rPr>
          <w:rFonts w:ascii="Times New Roman" w:hAnsi="Times New Roman" w:cs="Times New Roman"/>
        </w:rPr>
        <w:t xml:space="preserve">applications x </w:t>
      </w:r>
      <w:r w:rsidR="009E4A50">
        <w:rPr>
          <w:rFonts w:ascii="Times New Roman" w:hAnsi="Times New Roman" w:cs="Times New Roman"/>
        </w:rPr>
        <w:t>7 </w:t>
      </w:r>
      <w:r w:rsidRPr="00DC346F" w:rsidR="006B41DF">
        <w:rPr>
          <w:rFonts w:ascii="Times New Roman" w:hAnsi="Times New Roman" w:cs="Times New Roman"/>
        </w:rPr>
        <w:t xml:space="preserve">hours/application).  PHMSA estimates that </w:t>
      </w:r>
      <w:r w:rsidR="004A05C6">
        <w:rPr>
          <w:rFonts w:ascii="Times New Roman" w:hAnsi="Times New Roman" w:cs="Times New Roman"/>
        </w:rPr>
        <w:t xml:space="preserve">the </w:t>
      </w:r>
      <w:r w:rsidR="0059392B">
        <w:rPr>
          <w:rFonts w:ascii="Times New Roman" w:hAnsi="Times New Roman" w:cs="Times New Roman"/>
        </w:rPr>
        <w:t xml:space="preserve">salary cost for each respondent is </w:t>
      </w:r>
      <w:r w:rsidRPr="000D087B" w:rsidR="00307DA4">
        <w:rPr>
          <w:rFonts w:ascii="Times New Roman" w:hAnsi="Times New Roman" w:cs="Times New Roman"/>
        </w:rPr>
        <w:t>$</w:t>
      </w:r>
      <w:r w:rsidR="00B5538E">
        <w:rPr>
          <w:rFonts w:ascii="Times New Roman" w:hAnsi="Times New Roman" w:cs="Times New Roman"/>
        </w:rPr>
        <w:t>104.82</w:t>
      </w:r>
      <w:r w:rsidRPr="000D087B" w:rsidR="00457B49">
        <w:rPr>
          <w:rStyle w:val="FootnoteReference"/>
          <w:rFonts w:ascii="Times New Roman" w:hAnsi="Times New Roman" w:cs="Times New Roman"/>
        </w:rPr>
        <w:footnoteReference w:id="2"/>
      </w:r>
      <w:r w:rsidR="00333170">
        <w:rPr>
          <w:rFonts w:ascii="Times New Roman" w:hAnsi="Times New Roman" w:cs="Times New Roman"/>
        </w:rPr>
        <w:t xml:space="preserve"> </w:t>
      </w:r>
      <w:r w:rsidRPr="000D087B" w:rsidR="00307DA4">
        <w:rPr>
          <w:rFonts w:ascii="Times New Roman" w:hAnsi="Times New Roman" w:cs="Times New Roman"/>
        </w:rPr>
        <w:t>per hour,</w:t>
      </w:r>
      <w:r w:rsidRPr="00DC346F" w:rsidR="00307DA4">
        <w:rPr>
          <w:rFonts w:ascii="Times New Roman" w:hAnsi="Times New Roman" w:cs="Times New Roman"/>
        </w:rPr>
        <w:t xml:space="preserve"> for a total </w:t>
      </w:r>
      <w:r w:rsidR="0059392B">
        <w:rPr>
          <w:rFonts w:ascii="Times New Roman" w:hAnsi="Times New Roman" w:cs="Times New Roman"/>
        </w:rPr>
        <w:t>salary</w:t>
      </w:r>
      <w:r w:rsidRPr="00DC346F" w:rsidR="00307DA4">
        <w:rPr>
          <w:rFonts w:ascii="Times New Roman" w:hAnsi="Times New Roman" w:cs="Times New Roman"/>
        </w:rPr>
        <w:t xml:space="preserve"> cost of $</w:t>
      </w:r>
      <w:r w:rsidR="005B5DA8">
        <w:rPr>
          <w:rFonts w:ascii="Times New Roman" w:hAnsi="Times New Roman" w:cs="Times New Roman"/>
        </w:rPr>
        <w:t>123,265</w:t>
      </w:r>
      <w:r w:rsidRPr="00DC346F" w:rsidR="00307DA4">
        <w:rPr>
          <w:rFonts w:ascii="Times New Roman" w:hAnsi="Times New Roman" w:cs="Times New Roman"/>
        </w:rPr>
        <w:t xml:space="preserve"> (</w:t>
      </w:r>
      <w:r w:rsidR="0059392B">
        <w:rPr>
          <w:rFonts w:ascii="Times New Roman" w:hAnsi="Times New Roman" w:cs="Times New Roman"/>
        </w:rPr>
        <w:t>1,</w:t>
      </w:r>
      <w:r w:rsidR="005B5DA8">
        <w:rPr>
          <w:rFonts w:ascii="Times New Roman" w:hAnsi="Times New Roman" w:cs="Times New Roman"/>
        </w:rPr>
        <w:t xml:space="preserve">176 </w:t>
      </w:r>
      <w:r w:rsidR="0059392B">
        <w:rPr>
          <w:rFonts w:ascii="Times New Roman" w:hAnsi="Times New Roman" w:cs="Times New Roman"/>
        </w:rPr>
        <w:t>burden hours x $</w:t>
      </w:r>
      <w:r w:rsidR="005B5DA8">
        <w:rPr>
          <w:rFonts w:ascii="Times New Roman" w:hAnsi="Times New Roman" w:cs="Times New Roman"/>
        </w:rPr>
        <w:t>104.82</w:t>
      </w:r>
      <w:r w:rsidR="0059392B">
        <w:rPr>
          <w:rFonts w:ascii="Times New Roman" w:hAnsi="Times New Roman" w:cs="Times New Roman"/>
        </w:rPr>
        <w:t>/hour).</w:t>
      </w:r>
      <w:r w:rsidR="00B5538E">
        <w:rPr>
          <w:rFonts w:ascii="Times New Roman" w:hAnsi="Times New Roman" w:cs="Times New Roman"/>
        </w:rPr>
        <w:t xml:space="preserve">  PHMSA does not estimate any out-of-pocket expenses.</w:t>
      </w:r>
    </w:p>
    <w:p w:rsidR="0059392B" w:rsidP="00DB7D1D" w:rsidRDefault="0059392B" w14:paraId="3F2D4790" w14:textId="77777777">
      <w:pPr>
        <w:pStyle w:val="NormalWeb"/>
        <w:spacing w:before="0" w:beforeAutospacing="0" w:after="0" w:afterAutospacing="0"/>
        <w:rPr>
          <w:rFonts w:ascii="Times New Roman" w:hAnsi="Times New Roman" w:cs="Times New Roman"/>
        </w:rPr>
      </w:pPr>
    </w:p>
    <w:tbl>
      <w:tblPr>
        <w:tblW w:w="11888" w:type="dxa"/>
        <w:jc w:val="center"/>
        <w:tblLayout w:type="fixed"/>
        <w:tblLook w:val="04A0" w:firstRow="1" w:lastRow="0" w:firstColumn="1" w:lastColumn="0" w:noHBand="0" w:noVBand="1"/>
      </w:tblPr>
      <w:tblGrid>
        <w:gridCol w:w="1919"/>
        <w:gridCol w:w="1306"/>
        <w:gridCol w:w="1373"/>
        <w:gridCol w:w="1260"/>
        <w:gridCol w:w="1170"/>
        <w:gridCol w:w="1080"/>
        <w:gridCol w:w="900"/>
        <w:gridCol w:w="986"/>
        <w:gridCol w:w="990"/>
        <w:gridCol w:w="904"/>
      </w:tblGrid>
      <w:tr w:rsidRPr="000D087B" w:rsidR="004A3D9E" w:rsidTr="00C2592C" w14:paraId="748A4CA6" w14:textId="77777777">
        <w:trPr>
          <w:trHeight w:val="630"/>
          <w:jc w:val="center"/>
        </w:trPr>
        <w:tc>
          <w:tcPr>
            <w:tcW w:w="1919" w:type="dxa"/>
            <w:tcBorders>
              <w:top w:val="single" w:color="auto" w:sz="4" w:space="0"/>
              <w:left w:val="single" w:color="auto" w:sz="4" w:space="0"/>
              <w:bottom w:val="single" w:color="auto" w:sz="4" w:space="0"/>
              <w:right w:val="single" w:color="auto" w:sz="4" w:space="0"/>
            </w:tcBorders>
            <w:vAlign w:val="bottom"/>
          </w:tcPr>
          <w:p w:rsidRPr="00C2592C" w:rsidR="004A3D9E" w:rsidP="00C2592C" w:rsidRDefault="004A3D9E" w14:paraId="471F2572" w14:textId="77777777">
            <w:pPr>
              <w:keepNext/>
              <w:keepLines/>
              <w:widowControl/>
              <w:autoSpaceDE/>
              <w:autoSpaceDN/>
              <w:adjustRightInd/>
              <w:rPr>
                <w:rFonts w:ascii="Times New Roman" w:hAnsi="Times New Roman"/>
                <w:b/>
                <w:bCs/>
                <w:color w:val="000000"/>
                <w:u w:val="single"/>
              </w:rPr>
            </w:pPr>
            <w:r w:rsidRPr="00C2592C">
              <w:rPr>
                <w:rFonts w:ascii="Times New Roman" w:hAnsi="Times New Roman"/>
                <w:b/>
                <w:bCs/>
                <w:color w:val="000000"/>
              </w:rPr>
              <w:t>New Special Permit Application – § 107.105</w:t>
            </w:r>
          </w:p>
        </w:tc>
        <w:tc>
          <w:tcPr>
            <w:tcW w:w="1306" w:type="dxa"/>
            <w:tcBorders>
              <w:top w:val="single" w:color="auto" w:sz="4" w:space="0"/>
              <w:left w:val="nil"/>
              <w:bottom w:val="single" w:color="auto" w:sz="4" w:space="0"/>
              <w:right w:val="single" w:color="auto" w:sz="4" w:space="0"/>
            </w:tcBorders>
            <w:shd w:val="clear" w:color="auto" w:fill="auto"/>
            <w:vAlign w:val="bottom"/>
            <w:hideMark/>
          </w:tcPr>
          <w:p w:rsidRPr="00C2592C" w:rsidR="004A3D9E" w:rsidP="000D087B" w:rsidRDefault="004A3D9E" w14:paraId="10EC60DB" w14:textId="77777777">
            <w:pPr>
              <w:keepNext/>
              <w:keepLines/>
              <w:widowControl/>
              <w:autoSpaceDE/>
              <w:autoSpaceDN/>
              <w:adjustRightInd/>
              <w:jc w:val="center"/>
              <w:rPr>
                <w:rFonts w:ascii="Times New Roman" w:hAnsi="Times New Roman"/>
                <w:b/>
                <w:bCs/>
                <w:color w:val="000000"/>
                <w:u w:val="single"/>
              </w:rPr>
            </w:pPr>
            <w:r w:rsidRPr="00C2592C">
              <w:rPr>
                <w:rFonts w:ascii="Times New Roman" w:hAnsi="Times New Roman"/>
                <w:b/>
                <w:bCs/>
                <w:color w:val="000000"/>
                <w:u w:val="single"/>
              </w:rPr>
              <w:t>Monthly Respondents</w:t>
            </w:r>
          </w:p>
        </w:tc>
        <w:tc>
          <w:tcPr>
            <w:tcW w:w="1373" w:type="dxa"/>
            <w:tcBorders>
              <w:top w:val="single" w:color="auto" w:sz="4" w:space="0"/>
              <w:left w:val="nil"/>
              <w:bottom w:val="single" w:color="auto" w:sz="4" w:space="0"/>
              <w:right w:val="single" w:color="auto" w:sz="4" w:space="0"/>
            </w:tcBorders>
            <w:shd w:val="clear" w:color="auto" w:fill="auto"/>
            <w:vAlign w:val="bottom"/>
            <w:hideMark/>
          </w:tcPr>
          <w:p w:rsidRPr="00C2592C" w:rsidR="004A3D9E" w:rsidP="000D087B" w:rsidRDefault="004A3D9E" w14:paraId="574C6E40" w14:textId="77777777">
            <w:pPr>
              <w:keepNext/>
              <w:keepLines/>
              <w:widowControl/>
              <w:autoSpaceDE/>
              <w:autoSpaceDN/>
              <w:adjustRightInd/>
              <w:jc w:val="center"/>
              <w:rPr>
                <w:rFonts w:ascii="Times New Roman" w:hAnsi="Times New Roman"/>
                <w:b/>
                <w:bCs/>
                <w:color w:val="000000"/>
                <w:u w:val="single"/>
              </w:rPr>
            </w:pPr>
            <w:r w:rsidRPr="00C2592C">
              <w:rPr>
                <w:rFonts w:ascii="Times New Roman" w:hAnsi="Times New Roman"/>
                <w:b/>
                <w:bCs/>
                <w:color w:val="000000"/>
                <w:u w:val="single"/>
              </w:rPr>
              <w:t>Annual Respondents</w:t>
            </w:r>
          </w:p>
        </w:tc>
        <w:tc>
          <w:tcPr>
            <w:tcW w:w="1260" w:type="dxa"/>
            <w:tcBorders>
              <w:top w:val="single" w:color="auto" w:sz="4" w:space="0"/>
              <w:left w:val="nil"/>
              <w:bottom w:val="single" w:color="auto" w:sz="4" w:space="0"/>
              <w:right w:val="single" w:color="auto" w:sz="4" w:space="0"/>
            </w:tcBorders>
            <w:shd w:val="clear" w:color="auto" w:fill="auto"/>
            <w:vAlign w:val="bottom"/>
            <w:hideMark/>
          </w:tcPr>
          <w:p w:rsidRPr="00C2592C" w:rsidR="004A3D9E" w:rsidP="000D087B" w:rsidRDefault="004A3D9E" w14:paraId="2A2E6C09" w14:textId="77777777">
            <w:pPr>
              <w:keepNext/>
              <w:keepLines/>
              <w:widowControl/>
              <w:autoSpaceDE/>
              <w:autoSpaceDN/>
              <w:adjustRightInd/>
              <w:jc w:val="center"/>
              <w:rPr>
                <w:rFonts w:ascii="Times New Roman" w:hAnsi="Times New Roman"/>
                <w:b/>
                <w:bCs/>
                <w:color w:val="000000"/>
                <w:u w:val="single"/>
              </w:rPr>
            </w:pPr>
            <w:r w:rsidRPr="00C2592C">
              <w:rPr>
                <w:rFonts w:ascii="Times New Roman" w:hAnsi="Times New Roman"/>
                <w:b/>
                <w:bCs/>
                <w:color w:val="000000"/>
                <w:u w:val="single"/>
              </w:rPr>
              <w:t>Responses per Respondent</w:t>
            </w:r>
          </w:p>
        </w:tc>
        <w:tc>
          <w:tcPr>
            <w:tcW w:w="1170" w:type="dxa"/>
            <w:tcBorders>
              <w:top w:val="single" w:color="auto" w:sz="4" w:space="0"/>
              <w:left w:val="nil"/>
              <w:bottom w:val="single" w:color="auto" w:sz="4" w:space="0"/>
              <w:right w:val="single" w:color="auto" w:sz="4" w:space="0"/>
            </w:tcBorders>
            <w:shd w:val="clear" w:color="auto" w:fill="auto"/>
            <w:vAlign w:val="bottom"/>
            <w:hideMark/>
          </w:tcPr>
          <w:p w:rsidRPr="00C2592C" w:rsidR="004A3D9E" w:rsidP="000D087B" w:rsidRDefault="004A3D9E" w14:paraId="51F3667E" w14:textId="77777777">
            <w:pPr>
              <w:keepNext/>
              <w:keepLines/>
              <w:widowControl/>
              <w:autoSpaceDE/>
              <w:autoSpaceDN/>
              <w:adjustRightInd/>
              <w:jc w:val="center"/>
              <w:rPr>
                <w:rFonts w:ascii="Times New Roman" w:hAnsi="Times New Roman"/>
                <w:b/>
                <w:bCs/>
                <w:color w:val="000000"/>
                <w:u w:val="single"/>
              </w:rPr>
            </w:pPr>
            <w:r w:rsidRPr="00C2592C">
              <w:rPr>
                <w:rFonts w:ascii="Times New Roman" w:hAnsi="Times New Roman"/>
                <w:b/>
                <w:bCs/>
                <w:color w:val="000000"/>
                <w:u w:val="single"/>
              </w:rPr>
              <w:t>Number of Responses</w:t>
            </w:r>
          </w:p>
        </w:tc>
        <w:tc>
          <w:tcPr>
            <w:tcW w:w="1080" w:type="dxa"/>
            <w:tcBorders>
              <w:top w:val="single" w:color="auto" w:sz="4" w:space="0"/>
              <w:left w:val="nil"/>
              <w:bottom w:val="single" w:color="auto" w:sz="4" w:space="0"/>
              <w:right w:val="single" w:color="auto" w:sz="4" w:space="0"/>
            </w:tcBorders>
            <w:shd w:val="clear" w:color="auto" w:fill="auto"/>
            <w:vAlign w:val="bottom"/>
            <w:hideMark/>
          </w:tcPr>
          <w:p w:rsidRPr="00C2592C" w:rsidR="004A3D9E" w:rsidP="000D087B" w:rsidRDefault="004A3D9E" w14:paraId="01AFC5B8" w14:textId="77777777">
            <w:pPr>
              <w:keepNext/>
              <w:keepLines/>
              <w:widowControl/>
              <w:autoSpaceDE/>
              <w:autoSpaceDN/>
              <w:adjustRightInd/>
              <w:jc w:val="center"/>
              <w:rPr>
                <w:rFonts w:ascii="Times New Roman" w:hAnsi="Times New Roman"/>
                <w:b/>
                <w:bCs/>
                <w:color w:val="000000"/>
                <w:u w:val="single"/>
              </w:rPr>
            </w:pPr>
            <w:r w:rsidRPr="00C2592C">
              <w:rPr>
                <w:rFonts w:ascii="Times New Roman" w:hAnsi="Times New Roman"/>
                <w:b/>
                <w:bCs/>
                <w:color w:val="000000"/>
                <w:u w:val="single"/>
              </w:rPr>
              <w:t>Hours per Response</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C2592C" w:rsidR="004A3D9E" w:rsidP="000D087B" w:rsidRDefault="004A3D9E" w14:paraId="4F40E46E" w14:textId="77777777">
            <w:pPr>
              <w:keepNext/>
              <w:keepLines/>
              <w:widowControl/>
              <w:autoSpaceDE/>
              <w:autoSpaceDN/>
              <w:adjustRightInd/>
              <w:jc w:val="center"/>
              <w:rPr>
                <w:rFonts w:ascii="Times New Roman" w:hAnsi="Times New Roman"/>
                <w:b/>
                <w:bCs/>
                <w:color w:val="000000"/>
                <w:u w:val="single"/>
              </w:rPr>
            </w:pPr>
            <w:r w:rsidRPr="00C2592C">
              <w:rPr>
                <w:rFonts w:ascii="Times New Roman" w:hAnsi="Times New Roman"/>
                <w:b/>
                <w:bCs/>
                <w:color w:val="000000"/>
                <w:u w:val="single"/>
              </w:rPr>
              <w:t>Total Burden Hours</w:t>
            </w:r>
          </w:p>
        </w:tc>
        <w:tc>
          <w:tcPr>
            <w:tcW w:w="986" w:type="dxa"/>
            <w:tcBorders>
              <w:top w:val="single" w:color="auto" w:sz="4" w:space="0"/>
              <w:left w:val="nil"/>
              <w:bottom w:val="single" w:color="auto" w:sz="4" w:space="0"/>
              <w:right w:val="single" w:color="auto" w:sz="4" w:space="0"/>
            </w:tcBorders>
            <w:shd w:val="clear" w:color="auto" w:fill="auto"/>
            <w:vAlign w:val="bottom"/>
            <w:hideMark/>
          </w:tcPr>
          <w:p w:rsidRPr="00C2592C" w:rsidR="004A3D9E" w:rsidP="000D087B" w:rsidRDefault="004A3D9E" w14:paraId="07883FD6" w14:textId="77777777">
            <w:pPr>
              <w:keepNext/>
              <w:keepLines/>
              <w:widowControl/>
              <w:autoSpaceDE/>
              <w:autoSpaceDN/>
              <w:adjustRightInd/>
              <w:jc w:val="center"/>
              <w:rPr>
                <w:rFonts w:ascii="Times New Roman" w:hAnsi="Times New Roman"/>
                <w:b/>
                <w:bCs/>
                <w:color w:val="000000"/>
                <w:u w:val="single"/>
              </w:rPr>
            </w:pPr>
            <w:r w:rsidRPr="00C2592C">
              <w:rPr>
                <w:rFonts w:ascii="Times New Roman" w:hAnsi="Times New Roman"/>
                <w:b/>
                <w:bCs/>
                <w:color w:val="000000"/>
                <w:u w:val="single"/>
              </w:rPr>
              <w:t>Salary Cost per Hour</w:t>
            </w:r>
          </w:p>
        </w:tc>
        <w:tc>
          <w:tcPr>
            <w:tcW w:w="990" w:type="dxa"/>
            <w:tcBorders>
              <w:top w:val="single" w:color="auto" w:sz="4" w:space="0"/>
              <w:left w:val="nil"/>
              <w:bottom w:val="single" w:color="auto" w:sz="4" w:space="0"/>
              <w:right w:val="single" w:color="auto" w:sz="4" w:space="0"/>
            </w:tcBorders>
            <w:shd w:val="clear" w:color="auto" w:fill="auto"/>
            <w:vAlign w:val="bottom"/>
            <w:hideMark/>
          </w:tcPr>
          <w:p w:rsidRPr="00C2592C" w:rsidR="004A3D9E" w:rsidP="000D087B" w:rsidRDefault="004A3D9E" w14:paraId="1105A021" w14:textId="77777777">
            <w:pPr>
              <w:keepNext/>
              <w:keepLines/>
              <w:widowControl/>
              <w:autoSpaceDE/>
              <w:autoSpaceDN/>
              <w:adjustRightInd/>
              <w:jc w:val="center"/>
              <w:rPr>
                <w:rFonts w:ascii="Times New Roman" w:hAnsi="Times New Roman"/>
                <w:b/>
                <w:bCs/>
                <w:color w:val="000000"/>
                <w:u w:val="single"/>
              </w:rPr>
            </w:pPr>
            <w:r w:rsidRPr="00C2592C">
              <w:rPr>
                <w:rFonts w:ascii="Times New Roman" w:hAnsi="Times New Roman"/>
                <w:b/>
                <w:bCs/>
                <w:color w:val="000000"/>
                <w:u w:val="single"/>
              </w:rPr>
              <w:t>Total Salary Cost</w:t>
            </w:r>
          </w:p>
        </w:tc>
        <w:tc>
          <w:tcPr>
            <w:tcW w:w="904" w:type="dxa"/>
            <w:tcBorders>
              <w:top w:val="single" w:color="auto" w:sz="4" w:space="0"/>
              <w:left w:val="nil"/>
              <w:bottom w:val="single" w:color="auto" w:sz="4" w:space="0"/>
              <w:right w:val="single" w:color="auto" w:sz="4" w:space="0"/>
            </w:tcBorders>
            <w:vAlign w:val="bottom"/>
          </w:tcPr>
          <w:p w:rsidRPr="00B5538E" w:rsidR="004A3D9E" w:rsidP="00B5538E" w:rsidRDefault="004A3D9E" w14:paraId="1FDCCBFC" w14:textId="77777777">
            <w:pPr>
              <w:keepNext/>
              <w:keepLines/>
              <w:widowControl/>
              <w:autoSpaceDE/>
              <w:autoSpaceDN/>
              <w:adjustRightInd/>
              <w:jc w:val="center"/>
              <w:rPr>
                <w:rFonts w:ascii="Times New Roman" w:hAnsi="Times New Roman"/>
                <w:b/>
                <w:bCs/>
                <w:color w:val="000000"/>
                <w:u w:val="single"/>
              </w:rPr>
            </w:pPr>
            <w:r>
              <w:rPr>
                <w:rFonts w:ascii="Times New Roman" w:hAnsi="Times New Roman"/>
                <w:b/>
                <w:bCs/>
                <w:color w:val="000000"/>
                <w:u w:val="single"/>
              </w:rPr>
              <w:t>Total Burden Cost</w:t>
            </w:r>
          </w:p>
        </w:tc>
      </w:tr>
      <w:tr w:rsidRPr="000D087B" w:rsidR="004A3D9E" w:rsidTr="00C2592C" w14:paraId="100107D6" w14:textId="77777777">
        <w:trPr>
          <w:trHeight w:val="50"/>
          <w:jc w:val="center"/>
        </w:trPr>
        <w:tc>
          <w:tcPr>
            <w:tcW w:w="1919" w:type="dxa"/>
            <w:tcBorders>
              <w:top w:val="nil"/>
              <w:left w:val="single" w:color="auto" w:sz="4" w:space="0"/>
              <w:bottom w:val="single" w:color="auto" w:sz="4" w:space="0"/>
              <w:right w:val="single" w:color="auto" w:sz="4" w:space="0"/>
            </w:tcBorders>
            <w:vAlign w:val="bottom"/>
          </w:tcPr>
          <w:p w:rsidRPr="001662D0" w:rsidR="004A3D9E" w:rsidP="001662D0" w:rsidRDefault="004A3D9E" w14:paraId="78AB6ECB" w14:textId="77777777">
            <w:pPr>
              <w:keepNext/>
              <w:keepLines/>
              <w:widowControl/>
              <w:autoSpaceDE/>
              <w:autoSpaceDN/>
              <w:adjustRightInd/>
              <w:rPr>
                <w:rFonts w:ascii="Times New Roman" w:hAnsi="Times New Roman"/>
                <w:color w:val="000000"/>
              </w:rPr>
            </w:pPr>
            <w:r>
              <w:rPr>
                <w:rFonts w:ascii="Times New Roman" w:hAnsi="Times New Roman"/>
                <w:color w:val="000000"/>
              </w:rPr>
              <w:t>Reporting</w:t>
            </w:r>
          </w:p>
        </w:tc>
        <w:tc>
          <w:tcPr>
            <w:tcW w:w="1306" w:type="dxa"/>
            <w:tcBorders>
              <w:top w:val="nil"/>
              <w:left w:val="nil"/>
              <w:bottom w:val="single" w:color="auto" w:sz="4" w:space="0"/>
              <w:right w:val="single" w:color="auto" w:sz="4" w:space="0"/>
            </w:tcBorders>
            <w:shd w:val="clear" w:color="auto" w:fill="auto"/>
            <w:noWrap/>
            <w:vAlign w:val="bottom"/>
            <w:hideMark/>
          </w:tcPr>
          <w:p w:rsidRPr="000D087B" w:rsidR="004A3D9E" w:rsidP="000D087B" w:rsidRDefault="004A3D9E" w14:paraId="63C65090" w14:textId="77777777">
            <w:pPr>
              <w:keepNext/>
              <w:keepLines/>
              <w:widowControl/>
              <w:autoSpaceDE/>
              <w:autoSpaceDN/>
              <w:adjustRightInd/>
              <w:jc w:val="right"/>
              <w:rPr>
                <w:rFonts w:ascii="Times New Roman" w:hAnsi="Times New Roman"/>
                <w:color w:val="000000"/>
              </w:rPr>
            </w:pPr>
            <w:r>
              <w:rPr>
                <w:rFonts w:ascii="Times New Roman" w:hAnsi="Times New Roman"/>
                <w:color w:val="000000"/>
              </w:rPr>
              <w:t>14</w:t>
            </w:r>
          </w:p>
        </w:tc>
        <w:tc>
          <w:tcPr>
            <w:tcW w:w="1373" w:type="dxa"/>
            <w:tcBorders>
              <w:top w:val="nil"/>
              <w:left w:val="nil"/>
              <w:bottom w:val="single" w:color="auto" w:sz="4" w:space="0"/>
              <w:right w:val="single" w:color="auto" w:sz="4" w:space="0"/>
            </w:tcBorders>
            <w:shd w:val="clear" w:color="auto" w:fill="auto"/>
            <w:noWrap/>
            <w:vAlign w:val="bottom"/>
            <w:hideMark/>
          </w:tcPr>
          <w:p w:rsidRPr="000D087B" w:rsidR="004A3D9E" w:rsidP="000D087B" w:rsidRDefault="004A3D9E" w14:paraId="4A0D9707" w14:textId="77777777">
            <w:pPr>
              <w:keepNext/>
              <w:keepLines/>
              <w:widowControl/>
              <w:autoSpaceDE/>
              <w:autoSpaceDN/>
              <w:adjustRightInd/>
              <w:jc w:val="right"/>
              <w:rPr>
                <w:rFonts w:ascii="Times New Roman" w:hAnsi="Times New Roman"/>
                <w:color w:val="000000"/>
              </w:rPr>
            </w:pPr>
            <w:r>
              <w:rPr>
                <w:rFonts w:ascii="Times New Roman" w:hAnsi="Times New Roman"/>
                <w:color w:val="000000"/>
              </w:rPr>
              <w:t>168</w:t>
            </w:r>
          </w:p>
        </w:tc>
        <w:tc>
          <w:tcPr>
            <w:tcW w:w="1260" w:type="dxa"/>
            <w:tcBorders>
              <w:top w:val="nil"/>
              <w:left w:val="nil"/>
              <w:bottom w:val="single" w:color="auto" w:sz="4" w:space="0"/>
              <w:right w:val="single" w:color="auto" w:sz="4" w:space="0"/>
            </w:tcBorders>
            <w:shd w:val="clear" w:color="auto" w:fill="auto"/>
            <w:noWrap/>
            <w:vAlign w:val="bottom"/>
            <w:hideMark/>
          </w:tcPr>
          <w:p w:rsidRPr="000D087B" w:rsidR="004A3D9E" w:rsidP="000D087B" w:rsidRDefault="004A3D9E" w14:paraId="0667C4E8" w14:textId="77777777">
            <w:pPr>
              <w:keepNext/>
              <w:keepLines/>
              <w:widowControl/>
              <w:autoSpaceDE/>
              <w:autoSpaceDN/>
              <w:adjustRightInd/>
              <w:jc w:val="right"/>
              <w:rPr>
                <w:rFonts w:ascii="Times New Roman" w:hAnsi="Times New Roman"/>
                <w:color w:val="000000"/>
              </w:rPr>
            </w:pPr>
            <w:r w:rsidRPr="000D087B">
              <w:rPr>
                <w:rFonts w:ascii="Times New Roman" w:hAnsi="Times New Roman"/>
                <w:color w:val="000000"/>
              </w:rPr>
              <w:t>1</w:t>
            </w:r>
          </w:p>
        </w:tc>
        <w:tc>
          <w:tcPr>
            <w:tcW w:w="1170" w:type="dxa"/>
            <w:tcBorders>
              <w:top w:val="nil"/>
              <w:left w:val="nil"/>
              <w:bottom w:val="single" w:color="auto" w:sz="4" w:space="0"/>
              <w:right w:val="single" w:color="auto" w:sz="4" w:space="0"/>
            </w:tcBorders>
            <w:shd w:val="clear" w:color="auto" w:fill="auto"/>
            <w:noWrap/>
            <w:vAlign w:val="bottom"/>
            <w:hideMark/>
          </w:tcPr>
          <w:p w:rsidRPr="000D087B" w:rsidR="004A3D9E" w:rsidP="000D087B" w:rsidRDefault="004A3D9E" w14:paraId="55F9B832" w14:textId="77777777">
            <w:pPr>
              <w:keepNext/>
              <w:keepLines/>
              <w:widowControl/>
              <w:autoSpaceDE/>
              <w:autoSpaceDN/>
              <w:adjustRightInd/>
              <w:jc w:val="right"/>
              <w:rPr>
                <w:rFonts w:ascii="Times New Roman" w:hAnsi="Times New Roman"/>
                <w:color w:val="000000"/>
              </w:rPr>
            </w:pPr>
            <w:r>
              <w:rPr>
                <w:rFonts w:ascii="Times New Roman" w:hAnsi="Times New Roman"/>
                <w:color w:val="000000"/>
              </w:rPr>
              <w:t>168</w:t>
            </w:r>
          </w:p>
        </w:tc>
        <w:tc>
          <w:tcPr>
            <w:tcW w:w="1080" w:type="dxa"/>
            <w:tcBorders>
              <w:top w:val="nil"/>
              <w:left w:val="nil"/>
              <w:bottom w:val="single" w:color="auto" w:sz="4" w:space="0"/>
              <w:right w:val="single" w:color="auto" w:sz="4" w:space="0"/>
            </w:tcBorders>
            <w:shd w:val="clear" w:color="auto" w:fill="auto"/>
            <w:noWrap/>
            <w:vAlign w:val="bottom"/>
            <w:hideMark/>
          </w:tcPr>
          <w:p w:rsidRPr="000D087B" w:rsidR="004A3D9E" w:rsidP="000D087B" w:rsidRDefault="004A3D9E" w14:paraId="681C2DAE" w14:textId="77777777">
            <w:pPr>
              <w:keepNext/>
              <w:keepLines/>
              <w:widowControl/>
              <w:autoSpaceDE/>
              <w:autoSpaceDN/>
              <w:adjustRightInd/>
              <w:jc w:val="right"/>
              <w:rPr>
                <w:rFonts w:ascii="Times New Roman" w:hAnsi="Times New Roman"/>
                <w:color w:val="000000"/>
              </w:rPr>
            </w:pPr>
            <w:r w:rsidRPr="000D087B">
              <w:rPr>
                <w:rFonts w:ascii="Times New Roman" w:hAnsi="Times New Roman"/>
                <w:color w:val="000000"/>
              </w:rPr>
              <w:t>7</w:t>
            </w:r>
          </w:p>
        </w:tc>
        <w:tc>
          <w:tcPr>
            <w:tcW w:w="900" w:type="dxa"/>
            <w:tcBorders>
              <w:top w:val="nil"/>
              <w:left w:val="nil"/>
              <w:bottom w:val="single" w:color="auto" w:sz="4" w:space="0"/>
              <w:right w:val="single" w:color="auto" w:sz="4" w:space="0"/>
            </w:tcBorders>
            <w:shd w:val="clear" w:color="auto" w:fill="auto"/>
            <w:noWrap/>
            <w:vAlign w:val="bottom"/>
            <w:hideMark/>
          </w:tcPr>
          <w:p w:rsidRPr="000D087B" w:rsidR="004A3D9E" w:rsidP="000D087B" w:rsidRDefault="004A3D9E" w14:paraId="1C114C0C" w14:textId="77777777">
            <w:pPr>
              <w:keepNext/>
              <w:keepLines/>
              <w:widowControl/>
              <w:autoSpaceDE/>
              <w:autoSpaceDN/>
              <w:adjustRightInd/>
              <w:jc w:val="right"/>
              <w:rPr>
                <w:rFonts w:ascii="Times New Roman" w:hAnsi="Times New Roman"/>
                <w:color w:val="000000"/>
              </w:rPr>
            </w:pPr>
            <w:r w:rsidRPr="000D087B">
              <w:rPr>
                <w:rFonts w:ascii="Times New Roman" w:hAnsi="Times New Roman"/>
                <w:color w:val="000000"/>
              </w:rPr>
              <w:t>1</w:t>
            </w:r>
            <w:r>
              <w:rPr>
                <w:rFonts w:ascii="Times New Roman" w:hAnsi="Times New Roman"/>
                <w:color w:val="000000"/>
              </w:rPr>
              <w:t>,176</w:t>
            </w:r>
          </w:p>
        </w:tc>
        <w:tc>
          <w:tcPr>
            <w:tcW w:w="986" w:type="dxa"/>
            <w:tcBorders>
              <w:top w:val="nil"/>
              <w:left w:val="nil"/>
              <w:bottom w:val="single" w:color="auto" w:sz="4" w:space="0"/>
              <w:right w:val="single" w:color="auto" w:sz="4" w:space="0"/>
            </w:tcBorders>
            <w:shd w:val="clear" w:color="auto" w:fill="auto"/>
            <w:noWrap/>
            <w:vAlign w:val="bottom"/>
            <w:hideMark/>
          </w:tcPr>
          <w:p w:rsidRPr="000D087B" w:rsidR="004A3D9E" w:rsidP="000D087B" w:rsidRDefault="004A3D9E" w14:paraId="5E9F280C" w14:textId="77777777">
            <w:pPr>
              <w:keepNext/>
              <w:keepLines/>
              <w:widowControl/>
              <w:autoSpaceDE/>
              <w:autoSpaceDN/>
              <w:adjustRightInd/>
              <w:jc w:val="right"/>
              <w:rPr>
                <w:rFonts w:ascii="Times New Roman" w:hAnsi="Times New Roman"/>
                <w:color w:val="000000"/>
              </w:rPr>
            </w:pPr>
            <w:r w:rsidRPr="000D087B">
              <w:rPr>
                <w:rFonts w:ascii="Times New Roman" w:hAnsi="Times New Roman"/>
                <w:color w:val="000000"/>
              </w:rPr>
              <w:t>$</w:t>
            </w:r>
            <w:r>
              <w:rPr>
                <w:rFonts w:ascii="Times New Roman" w:hAnsi="Times New Roman"/>
                <w:color w:val="000000"/>
              </w:rPr>
              <w:t>104.82</w:t>
            </w:r>
            <w:r w:rsidRPr="000D087B">
              <w:rPr>
                <w:rFonts w:ascii="Times New Roman" w:hAnsi="Times New Roman"/>
                <w:color w:val="000000"/>
              </w:rPr>
              <w:t xml:space="preserve"> </w:t>
            </w:r>
          </w:p>
        </w:tc>
        <w:tc>
          <w:tcPr>
            <w:tcW w:w="990" w:type="dxa"/>
            <w:tcBorders>
              <w:top w:val="nil"/>
              <w:left w:val="nil"/>
              <w:bottom w:val="single" w:color="auto" w:sz="4" w:space="0"/>
              <w:right w:val="single" w:color="auto" w:sz="4" w:space="0"/>
            </w:tcBorders>
            <w:shd w:val="clear" w:color="auto" w:fill="auto"/>
            <w:noWrap/>
            <w:vAlign w:val="bottom"/>
            <w:hideMark/>
          </w:tcPr>
          <w:p w:rsidRPr="000D087B" w:rsidR="004A3D9E" w:rsidP="000D087B" w:rsidRDefault="004A3D9E" w14:paraId="1AD03D56" w14:textId="77777777">
            <w:pPr>
              <w:keepNext/>
              <w:keepLines/>
              <w:widowControl/>
              <w:autoSpaceDE/>
              <w:autoSpaceDN/>
              <w:adjustRightInd/>
              <w:jc w:val="right"/>
              <w:rPr>
                <w:rFonts w:ascii="Times New Roman" w:hAnsi="Times New Roman"/>
                <w:color w:val="000000"/>
              </w:rPr>
            </w:pPr>
            <w:r w:rsidRPr="000D087B">
              <w:rPr>
                <w:rFonts w:ascii="Times New Roman" w:hAnsi="Times New Roman"/>
                <w:color w:val="000000"/>
              </w:rPr>
              <w:t>$</w:t>
            </w:r>
            <w:r>
              <w:rPr>
                <w:rFonts w:ascii="Times New Roman" w:hAnsi="Times New Roman"/>
                <w:color w:val="000000"/>
              </w:rPr>
              <w:t>123,265</w:t>
            </w:r>
            <w:r w:rsidRPr="000D087B">
              <w:rPr>
                <w:rFonts w:ascii="Times New Roman" w:hAnsi="Times New Roman"/>
                <w:color w:val="000000"/>
              </w:rPr>
              <w:t xml:space="preserve"> </w:t>
            </w:r>
          </w:p>
        </w:tc>
        <w:tc>
          <w:tcPr>
            <w:tcW w:w="904" w:type="dxa"/>
            <w:tcBorders>
              <w:top w:val="nil"/>
              <w:left w:val="nil"/>
              <w:bottom w:val="single" w:color="auto" w:sz="4" w:space="0"/>
              <w:right w:val="single" w:color="auto" w:sz="4" w:space="0"/>
            </w:tcBorders>
            <w:vAlign w:val="bottom"/>
          </w:tcPr>
          <w:p w:rsidRPr="000D087B" w:rsidR="004A3D9E" w:rsidP="00B5538E" w:rsidRDefault="004A3D9E" w14:paraId="41CDD213" w14:textId="77777777">
            <w:pPr>
              <w:keepNext/>
              <w:keepLines/>
              <w:widowControl/>
              <w:autoSpaceDE/>
              <w:autoSpaceDN/>
              <w:adjustRightInd/>
              <w:jc w:val="right"/>
              <w:rPr>
                <w:rFonts w:ascii="Times New Roman" w:hAnsi="Times New Roman"/>
                <w:color w:val="000000"/>
              </w:rPr>
            </w:pPr>
            <w:r>
              <w:rPr>
                <w:rFonts w:ascii="Times New Roman" w:hAnsi="Times New Roman"/>
                <w:color w:val="000000"/>
              </w:rPr>
              <w:t>$0</w:t>
            </w:r>
          </w:p>
        </w:tc>
      </w:tr>
    </w:tbl>
    <w:p w:rsidR="00CE3B41" w:rsidP="00DB7D1D" w:rsidRDefault="00CE3B41" w14:paraId="1296438F" w14:textId="77777777">
      <w:pPr>
        <w:pStyle w:val="NormalWeb"/>
        <w:spacing w:before="0" w:beforeAutospacing="0" w:after="0" w:afterAutospacing="0"/>
        <w:rPr>
          <w:rFonts w:ascii="Times New Roman" w:hAnsi="Times New Roman" w:cs="Times New Roman"/>
        </w:rPr>
      </w:pPr>
    </w:p>
    <w:p w:rsidRPr="00DC66E9" w:rsidR="00E2148B" w:rsidP="00054EDD" w:rsidRDefault="00E2148B" w14:paraId="29AA7BE0" w14:textId="77777777">
      <w:pPr>
        <w:pStyle w:val="NormalWeb"/>
        <w:spacing w:before="0" w:beforeAutospacing="0" w:after="0" w:afterAutospacing="0"/>
        <w:rPr>
          <w:rFonts w:ascii="Times New Roman" w:hAnsi="Times New Roman" w:cs="Times New Roman"/>
          <w:u w:val="single"/>
        </w:rPr>
      </w:pPr>
      <w:r>
        <w:rPr>
          <w:rFonts w:ascii="Times New Roman" w:hAnsi="Times New Roman" w:cs="Times New Roman"/>
          <w:u w:val="single"/>
        </w:rPr>
        <w:t>Part 107, Subpart B –</w:t>
      </w:r>
      <w:r w:rsidRPr="00DC66E9">
        <w:rPr>
          <w:rFonts w:ascii="Times New Roman" w:hAnsi="Times New Roman" w:cs="Times New Roman"/>
          <w:u w:val="single"/>
        </w:rPr>
        <w:t>Special</w:t>
      </w:r>
      <w:r>
        <w:rPr>
          <w:rFonts w:ascii="Times New Roman" w:hAnsi="Times New Roman" w:cs="Times New Roman"/>
          <w:u w:val="single"/>
        </w:rPr>
        <w:t xml:space="preserve"> </w:t>
      </w:r>
      <w:r w:rsidRPr="00DC66E9">
        <w:rPr>
          <w:rFonts w:ascii="Times New Roman" w:hAnsi="Times New Roman" w:cs="Times New Roman"/>
          <w:u w:val="single"/>
        </w:rPr>
        <w:t>Permit Applications</w:t>
      </w:r>
      <w:r>
        <w:rPr>
          <w:rFonts w:ascii="Times New Roman" w:hAnsi="Times New Roman" w:cs="Times New Roman"/>
          <w:u w:val="single"/>
        </w:rPr>
        <w:t xml:space="preserve"> – Party Status</w:t>
      </w:r>
    </w:p>
    <w:p w:rsidR="00E2148B" w:rsidP="00DB7D1D" w:rsidRDefault="00E2148B" w14:paraId="0C5EF953" w14:textId="77777777">
      <w:pPr>
        <w:pStyle w:val="NormalWeb"/>
        <w:spacing w:before="0" w:beforeAutospacing="0" w:after="0" w:afterAutospacing="0"/>
        <w:rPr>
          <w:rFonts w:ascii="Times New Roman" w:hAnsi="Times New Roman" w:cs="Times New Roman"/>
        </w:rPr>
      </w:pPr>
    </w:p>
    <w:p w:rsidR="0059392B" w:rsidP="00DB7D1D" w:rsidRDefault="0059392B" w14:paraId="328F9A6D" w14:textId="77777777">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Any person who wants to apply for an already active special permit, may apply for party status to that special permit.  </w:t>
      </w:r>
      <w:r w:rsidR="00B5538E">
        <w:rPr>
          <w:rFonts w:ascii="Times New Roman" w:hAnsi="Times New Roman" w:cs="Times New Roman"/>
        </w:rPr>
        <w:t>PHMSA</w:t>
      </w:r>
      <w:r>
        <w:rPr>
          <w:rFonts w:ascii="Times New Roman" w:hAnsi="Times New Roman" w:cs="Times New Roman"/>
        </w:rPr>
        <w:t xml:space="preserve"> receives </w:t>
      </w:r>
      <w:r w:rsidR="00B5538E">
        <w:rPr>
          <w:rFonts w:ascii="Times New Roman" w:hAnsi="Times New Roman" w:cs="Times New Roman"/>
        </w:rPr>
        <w:t xml:space="preserve">an average of </w:t>
      </w:r>
      <w:r w:rsidR="00E2148B">
        <w:rPr>
          <w:rFonts w:ascii="Times New Roman" w:hAnsi="Times New Roman" w:cs="Times New Roman"/>
        </w:rPr>
        <w:t xml:space="preserve">48 </w:t>
      </w:r>
      <w:r>
        <w:rPr>
          <w:rFonts w:ascii="Times New Roman" w:hAnsi="Times New Roman" w:cs="Times New Roman"/>
        </w:rPr>
        <w:t xml:space="preserve">party status requests per month, for a total of </w:t>
      </w:r>
      <w:r w:rsidR="00E2148B">
        <w:rPr>
          <w:rFonts w:ascii="Times New Roman" w:hAnsi="Times New Roman" w:cs="Times New Roman"/>
        </w:rPr>
        <w:t xml:space="preserve">576 </w:t>
      </w:r>
      <w:r>
        <w:rPr>
          <w:rFonts w:ascii="Times New Roman" w:hAnsi="Times New Roman" w:cs="Times New Roman"/>
        </w:rPr>
        <w:t>annual requests (</w:t>
      </w:r>
      <w:r w:rsidR="00E2148B">
        <w:rPr>
          <w:rFonts w:ascii="Times New Roman" w:hAnsi="Times New Roman" w:cs="Times New Roman"/>
        </w:rPr>
        <w:t xml:space="preserve">48 </w:t>
      </w:r>
      <w:r>
        <w:rPr>
          <w:rFonts w:ascii="Times New Roman" w:hAnsi="Times New Roman" w:cs="Times New Roman"/>
        </w:rPr>
        <w:t xml:space="preserve">respondents/month x 12 months/year).  </w:t>
      </w:r>
      <w:r w:rsidR="00E2403F">
        <w:rPr>
          <w:rFonts w:ascii="Times New Roman" w:hAnsi="Times New Roman" w:cs="Times New Roman"/>
        </w:rPr>
        <w:t>Based on historical estimates, e</w:t>
      </w:r>
      <w:r>
        <w:rPr>
          <w:rFonts w:ascii="Times New Roman" w:hAnsi="Times New Roman" w:cs="Times New Roman"/>
        </w:rPr>
        <w:t>ach request take</w:t>
      </w:r>
      <w:r w:rsidR="00B5538E">
        <w:rPr>
          <w:rFonts w:ascii="Times New Roman" w:hAnsi="Times New Roman" w:cs="Times New Roman"/>
        </w:rPr>
        <w:t>s</w:t>
      </w:r>
      <w:r>
        <w:rPr>
          <w:rFonts w:ascii="Times New Roman" w:hAnsi="Times New Roman" w:cs="Times New Roman"/>
        </w:rPr>
        <w:t xml:space="preserve"> </w:t>
      </w:r>
      <w:r w:rsidRPr="000D087B">
        <w:rPr>
          <w:rFonts w:ascii="Times New Roman" w:hAnsi="Times New Roman" w:cs="Times New Roman"/>
        </w:rPr>
        <w:t>an hour and a half</w:t>
      </w:r>
      <w:r>
        <w:rPr>
          <w:rFonts w:ascii="Times New Roman" w:hAnsi="Times New Roman" w:cs="Times New Roman"/>
        </w:rPr>
        <w:t xml:space="preserve"> to complete</w:t>
      </w:r>
      <w:r w:rsidR="00B5538E">
        <w:rPr>
          <w:rFonts w:ascii="Times New Roman" w:hAnsi="Times New Roman" w:cs="Times New Roman"/>
        </w:rPr>
        <w:t>,</w:t>
      </w:r>
      <w:r>
        <w:rPr>
          <w:rFonts w:ascii="Times New Roman" w:hAnsi="Times New Roman" w:cs="Times New Roman"/>
        </w:rPr>
        <w:t xml:space="preserve"> for a total of </w:t>
      </w:r>
      <w:r w:rsidR="00E2148B">
        <w:rPr>
          <w:rFonts w:ascii="Times New Roman" w:hAnsi="Times New Roman" w:cs="Times New Roman"/>
        </w:rPr>
        <w:t xml:space="preserve">864 </w:t>
      </w:r>
      <w:r>
        <w:rPr>
          <w:rFonts w:ascii="Times New Roman" w:hAnsi="Times New Roman" w:cs="Times New Roman"/>
        </w:rPr>
        <w:t>annual burden hours (</w:t>
      </w:r>
      <w:r w:rsidR="00E2148B">
        <w:rPr>
          <w:rFonts w:ascii="Times New Roman" w:hAnsi="Times New Roman" w:cs="Times New Roman"/>
        </w:rPr>
        <w:t xml:space="preserve">576 </w:t>
      </w:r>
      <w:r>
        <w:rPr>
          <w:rFonts w:ascii="Times New Roman" w:hAnsi="Times New Roman" w:cs="Times New Roman"/>
        </w:rPr>
        <w:t>respondents x 1.</w:t>
      </w:r>
      <w:r w:rsidR="00E64C76">
        <w:rPr>
          <w:rFonts w:ascii="Times New Roman" w:hAnsi="Times New Roman" w:cs="Times New Roman"/>
        </w:rPr>
        <w:t>5 </w:t>
      </w:r>
      <w:r>
        <w:rPr>
          <w:rFonts w:ascii="Times New Roman" w:hAnsi="Times New Roman" w:cs="Times New Roman"/>
        </w:rPr>
        <w:t>hour</w:t>
      </w:r>
      <w:r w:rsidR="00E64C76">
        <w:rPr>
          <w:rFonts w:ascii="Times New Roman" w:hAnsi="Times New Roman" w:cs="Times New Roman"/>
        </w:rPr>
        <w:t>s</w:t>
      </w:r>
      <w:r>
        <w:rPr>
          <w:rFonts w:ascii="Times New Roman" w:hAnsi="Times New Roman" w:cs="Times New Roman"/>
        </w:rPr>
        <w:t xml:space="preserve">/response).  </w:t>
      </w:r>
      <w:r w:rsidR="00B5538E">
        <w:rPr>
          <w:rFonts w:ascii="Times New Roman" w:hAnsi="Times New Roman" w:cs="Times New Roman"/>
        </w:rPr>
        <w:t xml:space="preserve">At an </w:t>
      </w:r>
      <w:r>
        <w:rPr>
          <w:rFonts w:ascii="Times New Roman" w:hAnsi="Times New Roman" w:cs="Times New Roman"/>
        </w:rPr>
        <w:t>estimate</w:t>
      </w:r>
      <w:r w:rsidR="00B5538E">
        <w:rPr>
          <w:rFonts w:ascii="Times New Roman" w:hAnsi="Times New Roman" w:cs="Times New Roman"/>
        </w:rPr>
        <w:t>d</w:t>
      </w:r>
      <w:r>
        <w:rPr>
          <w:rFonts w:ascii="Times New Roman" w:hAnsi="Times New Roman" w:cs="Times New Roman"/>
        </w:rPr>
        <w:t xml:space="preserve"> salary cost of </w:t>
      </w:r>
      <w:r w:rsidRPr="000D087B">
        <w:rPr>
          <w:rFonts w:ascii="Times New Roman" w:hAnsi="Times New Roman" w:cs="Times New Roman"/>
        </w:rPr>
        <w:t>$</w:t>
      </w:r>
      <w:r w:rsidR="00E2148B">
        <w:rPr>
          <w:rFonts w:ascii="Times New Roman" w:hAnsi="Times New Roman" w:cs="Times New Roman"/>
        </w:rPr>
        <w:t>43.65</w:t>
      </w:r>
      <w:r w:rsidRPr="000D087B" w:rsidR="00E2403F">
        <w:rPr>
          <w:rFonts w:ascii="Times New Roman" w:hAnsi="Times New Roman" w:cs="Times New Roman"/>
        </w:rPr>
        <w:t>/</w:t>
      </w:r>
      <w:r w:rsidRPr="000D087B">
        <w:rPr>
          <w:rFonts w:ascii="Times New Roman" w:hAnsi="Times New Roman" w:cs="Times New Roman"/>
        </w:rPr>
        <w:t>hour</w:t>
      </w:r>
      <w:r w:rsidR="00B5538E">
        <w:rPr>
          <w:rFonts w:ascii="Times New Roman" w:hAnsi="Times New Roman" w:cs="Times New Roman"/>
        </w:rPr>
        <w:t>,</w:t>
      </w:r>
      <w:r w:rsidR="00051580">
        <w:rPr>
          <w:rStyle w:val="FootnoteReference"/>
          <w:rFonts w:ascii="Times New Roman" w:hAnsi="Times New Roman" w:cs="Times New Roman"/>
        </w:rPr>
        <w:footnoteReference w:id="3"/>
      </w:r>
      <w:r w:rsidR="00E2403F">
        <w:rPr>
          <w:rFonts w:ascii="Times New Roman" w:hAnsi="Times New Roman" w:cs="Times New Roman"/>
        </w:rPr>
        <w:t xml:space="preserve"> </w:t>
      </w:r>
      <w:r w:rsidR="00B5538E">
        <w:rPr>
          <w:rFonts w:ascii="Times New Roman" w:hAnsi="Times New Roman" w:cs="Times New Roman"/>
        </w:rPr>
        <w:t xml:space="preserve">the </w:t>
      </w:r>
      <w:r>
        <w:rPr>
          <w:rFonts w:ascii="Times New Roman" w:hAnsi="Times New Roman" w:cs="Times New Roman"/>
        </w:rPr>
        <w:t xml:space="preserve">total salary cost </w:t>
      </w:r>
      <w:r w:rsidR="00B5538E">
        <w:rPr>
          <w:rFonts w:ascii="Times New Roman" w:hAnsi="Times New Roman" w:cs="Times New Roman"/>
        </w:rPr>
        <w:t>is estimated at</w:t>
      </w:r>
      <w:r>
        <w:rPr>
          <w:rFonts w:ascii="Times New Roman" w:hAnsi="Times New Roman" w:cs="Times New Roman"/>
        </w:rPr>
        <w:t xml:space="preserve"> $</w:t>
      </w:r>
      <w:r w:rsidR="00E2148B">
        <w:rPr>
          <w:rFonts w:ascii="Times New Roman" w:hAnsi="Times New Roman" w:cs="Times New Roman"/>
        </w:rPr>
        <w:t>37,710</w:t>
      </w:r>
      <w:r>
        <w:rPr>
          <w:rFonts w:ascii="Times New Roman" w:hAnsi="Times New Roman" w:cs="Times New Roman"/>
        </w:rPr>
        <w:t xml:space="preserve"> (</w:t>
      </w:r>
      <w:r w:rsidR="00E2148B">
        <w:rPr>
          <w:rFonts w:ascii="Times New Roman" w:hAnsi="Times New Roman" w:cs="Times New Roman"/>
        </w:rPr>
        <w:t xml:space="preserve">864 </w:t>
      </w:r>
      <w:r>
        <w:rPr>
          <w:rFonts w:ascii="Times New Roman" w:hAnsi="Times New Roman" w:cs="Times New Roman"/>
        </w:rPr>
        <w:t>burden hours x $</w:t>
      </w:r>
      <w:r w:rsidR="00E2148B">
        <w:rPr>
          <w:rFonts w:ascii="Times New Roman" w:hAnsi="Times New Roman" w:cs="Times New Roman"/>
        </w:rPr>
        <w:t>43.65</w:t>
      </w:r>
      <w:r>
        <w:rPr>
          <w:rFonts w:ascii="Times New Roman" w:hAnsi="Times New Roman" w:cs="Times New Roman"/>
        </w:rPr>
        <w:t>/hour).</w:t>
      </w:r>
      <w:r w:rsidR="00B5538E">
        <w:rPr>
          <w:rFonts w:ascii="Times New Roman" w:hAnsi="Times New Roman" w:cs="Times New Roman"/>
        </w:rPr>
        <w:t xml:space="preserve">  PHMSA does not estimate any out-of-pocket expenses.</w:t>
      </w:r>
    </w:p>
    <w:p w:rsidR="005610DA" w:rsidP="00DB7D1D" w:rsidRDefault="005610DA" w14:paraId="4A24270E" w14:textId="77777777">
      <w:pPr>
        <w:pStyle w:val="NormalWeb"/>
        <w:spacing w:before="0" w:beforeAutospacing="0" w:after="0" w:afterAutospacing="0"/>
        <w:rPr>
          <w:rFonts w:ascii="Times New Roman" w:hAnsi="Times New Roman" w:cs="Times New Roman"/>
        </w:rPr>
      </w:pPr>
    </w:p>
    <w:tbl>
      <w:tblPr>
        <w:tblW w:w="11644" w:type="dxa"/>
        <w:jc w:val="center"/>
        <w:tblLayout w:type="fixed"/>
        <w:tblCellMar>
          <w:top w:w="15" w:type="dxa"/>
          <w:bottom w:w="15" w:type="dxa"/>
        </w:tblCellMar>
        <w:tblLook w:val="04A0" w:firstRow="1" w:lastRow="0" w:firstColumn="1" w:lastColumn="0" w:noHBand="0" w:noVBand="1"/>
      </w:tblPr>
      <w:tblGrid>
        <w:gridCol w:w="1777"/>
        <w:gridCol w:w="1350"/>
        <w:gridCol w:w="1350"/>
        <w:gridCol w:w="1260"/>
        <w:gridCol w:w="1170"/>
        <w:gridCol w:w="1080"/>
        <w:gridCol w:w="900"/>
        <w:gridCol w:w="990"/>
        <w:gridCol w:w="900"/>
        <w:gridCol w:w="867"/>
      </w:tblGrid>
      <w:tr w:rsidRPr="0059392B" w:rsidR="0086528D" w:rsidTr="00830386" w14:paraId="3B2DDB89" w14:textId="77777777">
        <w:trPr>
          <w:trHeight w:val="630"/>
          <w:jc w:val="center"/>
        </w:trPr>
        <w:tc>
          <w:tcPr>
            <w:tcW w:w="1777" w:type="dxa"/>
            <w:tcBorders>
              <w:top w:val="single" w:color="auto" w:sz="4" w:space="0"/>
              <w:left w:val="single" w:color="auto" w:sz="4" w:space="0"/>
              <w:bottom w:val="single" w:color="auto" w:sz="4" w:space="0"/>
              <w:right w:val="single" w:color="auto" w:sz="4" w:space="0"/>
            </w:tcBorders>
            <w:vAlign w:val="bottom"/>
          </w:tcPr>
          <w:p w:rsidRPr="00C2592C" w:rsidR="0086528D" w:rsidP="00C2592C" w:rsidRDefault="0086528D" w14:paraId="67FB2DA8" w14:textId="77777777">
            <w:pPr>
              <w:keepNext/>
              <w:keepLines/>
              <w:widowControl/>
              <w:autoSpaceDE/>
              <w:autoSpaceDN/>
              <w:adjustRightInd/>
              <w:rPr>
                <w:rFonts w:ascii="Times New Roman" w:hAnsi="Times New Roman"/>
                <w:b/>
                <w:bCs/>
                <w:color w:val="000000"/>
              </w:rPr>
            </w:pPr>
            <w:r w:rsidRPr="00C2592C">
              <w:rPr>
                <w:rFonts w:ascii="Times New Roman" w:hAnsi="Times New Roman"/>
                <w:b/>
                <w:bCs/>
                <w:color w:val="000000"/>
              </w:rPr>
              <w:t>Request for Party Status – § 107.707</w:t>
            </w:r>
          </w:p>
        </w:tc>
        <w:tc>
          <w:tcPr>
            <w:tcW w:w="1350" w:type="dxa"/>
            <w:tcBorders>
              <w:top w:val="single" w:color="auto" w:sz="4" w:space="0"/>
              <w:left w:val="single" w:color="auto" w:sz="4" w:space="0"/>
              <w:bottom w:val="single" w:color="auto" w:sz="4" w:space="0"/>
              <w:right w:val="single" w:color="auto" w:sz="4" w:space="0"/>
            </w:tcBorders>
            <w:vAlign w:val="bottom"/>
            <w:hideMark/>
          </w:tcPr>
          <w:p w:rsidRPr="00C2592C" w:rsidR="0086528D" w:rsidP="00C2592C" w:rsidRDefault="0086528D" w14:paraId="2A13839D" w14:textId="77777777">
            <w:pPr>
              <w:keepNext/>
              <w:keepLines/>
              <w:widowControl/>
              <w:autoSpaceDE/>
              <w:autoSpaceDN/>
              <w:adjustRightInd/>
              <w:jc w:val="center"/>
              <w:rPr>
                <w:rFonts w:ascii="Times New Roman" w:hAnsi="Times New Roman"/>
                <w:b/>
                <w:bCs/>
                <w:color w:val="000000"/>
                <w:u w:val="single"/>
              </w:rPr>
            </w:pPr>
            <w:r w:rsidRPr="00C2592C">
              <w:rPr>
                <w:rFonts w:ascii="Times New Roman" w:hAnsi="Times New Roman"/>
                <w:b/>
                <w:bCs/>
                <w:color w:val="000000"/>
                <w:u w:val="single"/>
              </w:rPr>
              <w:t>Monthly Respondents</w:t>
            </w:r>
          </w:p>
        </w:tc>
        <w:tc>
          <w:tcPr>
            <w:tcW w:w="1350" w:type="dxa"/>
            <w:tcBorders>
              <w:top w:val="single" w:color="auto" w:sz="4" w:space="0"/>
              <w:left w:val="single" w:color="auto" w:sz="4" w:space="0"/>
              <w:bottom w:val="single" w:color="auto" w:sz="4" w:space="0"/>
              <w:right w:val="single" w:color="auto" w:sz="4" w:space="0"/>
            </w:tcBorders>
            <w:vAlign w:val="bottom"/>
            <w:hideMark/>
          </w:tcPr>
          <w:p w:rsidRPr="00C2592C" w:rsidR="0086528D" w:rsidP="00C2592C" w:rsidRDefault="0086528D" w14:paraId="49ACE1FF" w14:textId="77777777">
            <w:pPr>
              <w:keepNext/>
              <w:keepLines/>
              <w:widowControl/>
              <w:autoSpaceDE/>
              <w:autoSpaceDN/>
              <w:adjustRightInd/>
              <w:jc w:val="center"/>
              <w:rPr>
                <w:rFonts w:ascii="Times New Roman" w:hAnsi="Times New Roman"/>
                <w:b/>
                <w:bCs/>
                <w:color w:val="000000"/>
                <w:u w:val="single"/>
              </w:rPr>
            </w:pPr>
            <w:r w:rsidRPr="00C2592C">
              <w:rPr>
                <w:rFonts w:ascii="Times New Roman" w:hAnsi="Times New Roman"/>
                <w:b/>
                <w:bCs/>
                <w:color w:val="000000"/>
                <w:u w:val="single"/>
              </w:rPr>
              <w:t>Annual Respondents</w:t>
            </w:r>
          </w:p>
        </w:tc>
        <w:tc>
          <w:tcPr>
            <w:tcW w:w="1260" w:type="dxa"/>
            <w:tcBorders>
              <w:top w:val="single" w:color="auto" w:sz="4" w:space="0"/>
              <w:left w:val="single" w:color="auto" w:sz="4" w:space="0"/>
              <w:bottom w:val="single" w:color="auto" w:sz="4" w:space="0"/>
              <w:right w:val="single" w:color="auto" w:sz="4" w:space="0"/>
            </w:tcBorders>
            <w:vAlign w:val="bottom"/>
            <w:hideMark/>
          </w:tcPr>
          <w:p w:rsidRPr="00C2592C" w:rsidR="0086528D" w:rsidP="00C2592C" w:rsidRDefault="0086528D" w14:paraId="0866C3D0" w14:textId="77777777">
            <w:pPr>
              <w:keepNext/>
              <w:keepLines/>
              <w:widowControl/>
              <w:autoSpaceDE/>
              <w:autoSpaceDN/>
              <w:adjustRightInd/>
              <w:jc w:val="center"/>
              <w:rPr>
                <w:rFonts w:ascii="Times New Roman" w:hAnsi="Times New Roman"/>
                <w:b/>
                <w:bCs/>
                <w:color w:val="000000"/>
                <w:u w:val="single"/>
              </w:rPr>
            </w:pPr>
            <w:r w:rsidRPr="00C2592C">
              <w:rPr>
                <w:rFonts w:ascii="Times New Roman" w:hAnsi="Times New Roman"/>
                <w:b/>
                <w:bCs/>
                <w:color w:val="000000"/>
                <w:u w:val="single"/>
              </w:rPr>
              <w:t>Responses per Respondent</w:t>
            </w:r>
          </w:p>
        </w:tc>
        <w:tc>
          <w:tcPr>
            <w:tcW w:w="1170" w:type="dxa"/>
            <w:tcBorders>
              <w:top w:val="single" w:color="auto" w:sz="4" w:space="0"/>
              <w:left w:val="single" w:color="auto" w:sz="4" w:space="0"/>
              <w:bottom w:val="single" w:color="auto" w:sz="4" w:space="0"/>
              <w:right w:val="single" w:color="auto" w:sz="4" w:space="0"/>
            </w:tcBorders>
            <w:vAlign w:val="bottom"/>
            <w:hideMark/>
          </w:tcPr>
          <w:p w:rsidRPr="00C2592C" w:rsidR="0086528D" w:rsidP="00C2592C" w:rsidRDefault="0086528D" w14:paraId="6972C3AC" w14:textId="77777777">
            <w:pPr>
              <w:keepNext/>
              <w:keepLines/>
              <w:widowControl/>
              <w:autoSpaceDE/>
              <w:autoSpaceDN/>
              <w:adjustRightInd/>
              <w:jc w:val="center"/>
              <w:rPr>
                <w:rFonts w:ascii="Times New Roman" w:hAnsi="Times New Roman"/>
                <w:b/>
                <w:bCs/>
                <w:color w:val="000000"/>
                <w:u w:val="single"/>
              </w:rPr>
            </w:pPr>
            <w:r w:rsidRPr="00C2592C">
              <w:rPr>
                <w:rFonts w:ascii="Times New Roman" w:hAnsi="Times New Roman"/>
                <w:b/>
                <w:bCs/>
                <w:color w:val="000000"/>
                <w:u w:val="single"/>
              </w:rPr>
              <w:t>Number of Responses</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C2592C" w:rsidR="0086528D" w:rsidP="00C2592C" w:rsidRDefault="0086528D" w14:paraId="72C997C4" w14:textId="77777777">
            <w:pPr>
              <w:keepNext/>
              <w:keepLines/>
              <w:widowControl/>
              <w:autoSpaceDE/>
              <w:autoSpaceDN/>
              <w:adjustRightInd/>
              <w:jc w:val="center"/>
              <w:rPr>
                <w:rFonts w:ascii="Times New Roman" w:hAnsi="Times New Roman"/>
                <w:b/>
                <w:bCs/>
                <w:color w:val="000000"/>
                <w:u w:val="single"/>
              </w:rPr>
            </w:pPr>
            <w:r w:rsidRPr="00C2592C">
              <w:rPr>
                <w:rFonts w:ascii="Times New Roman" w:hAnsi="Times New Roman"/>
                <w:b/>
                <w:bCs/>
                <w:color w:val="000000"/>
                <w:u w:val="single"/>
              </w:rPr>
              <w:t>Hours per Response</w:t>
            </w:r>
          </w:p>
        </w:tc>
        <w:tc>
          <w:tcPr>
            <w:tcW w:w="900" w:type="dxa"/>
            <w:tcBorders>
              <w:top w:val="single" w:color="auto" w:sz="4" w:space="0"/>
              <w:left w:val="single" w:color="auto" w:sz="4" w:space="0"/>
              <w:bottom w:val="single" w:color="auto" w:sz="4" w:space="0"/>
              <w:right w:val="single" w:color="auto" w:sz="4" w:space="0"/>
            </w:tcBorders>
            <w:vAlign w:val="bottom"/>
            <w:hideMark/>
          </w:tcPr>
          <w:p w:rsidRPr="00C2592C" w:rsidR="0086528D" w:rsidP="00C2592C" w:rsidRDefault="0086528D" w14:paraId="3AD024D4" w14:textId="77777777">
            <w:pPr>
              <w:keepNext/>
              <w:keepLines/>
              <w:widowControl/>
              <w:autoSpaceDE/>
              <w:autoSpaceDN/>
              <w:adjustRightInd/>
              <w:jc w:val="center"/>
              <w:rPr>
                <w:rFonts w:ascii="Times New Roman" w:hAnsi="Times New Roman"/>
                <w:b/>
                <w:bCs/>
                <w:color w:val="000000"/>
                <w:u w:val="single"/>
              </w:rPr>
            </w:pPr>
            <w:r w:rsidRPr="00C2592C">
              <w:rPr>
                <w:rFonts w:ascii="Times New Roman" w:hAnsi="Times New Roman"/>
                <w:b/>
                <w:bCs/>
                <w:color w:val="000000"/>
                <w:u w:val="single"/>
              </w:rPr>
              <w:t>Total Burden Hours</w:t>
            </w:r>
          </w:p>
        </w:tc>
        <w:tc>
          <w:tcPr>
            <w:tcW w:w="990" w:type="dxa"/>
            <w:tcBorders>
              <w:top w:val="single" w:color="auto" w:sz="4" w:space="0"/>
              <w:left w:val="single" w:color="auto" w:sz="4" w:space="0"/>
              <w:bottom w:val="single" w:color="auto" w:sz="4" w:space="0"/>
              <w:right w:val="single" w:color="auto" w:sz="4" w:space="0"/>
            </w:tcBorders>
            <w:vAlign w:val="bottom"/>
            <w:hideMark/>
          </w:tcPr>
          <w:p w:rsidRPr="00C2592C" w:rsidR="0086528D" w:rsidP="00C2592C" w:rsidRDefault="0086528D" w14:paraId="5E219EC6" w14:textId="77777777">
            <w:pPr>
              <w:keepNext/>
              <w:keepLines/>
              <w:widowControl/>
              <w:autoSpaceDE/>
              <w:autoSpaceDN/>
              <w:adjustRightInd/>
              <w:jc w:val="center"/>
              <w:rPr>
                <w:rFonts w:ascii="Times New Roman" w:hAnsi="Times New Roman"/>
                <w:b/>
                <w:bCs/>
                <w:color w:val="000000"/>
                <w:u w:val="single"/>
              </w:rPr>
            </w:pPr>
            <w:r w:rsidRPr="00C2592C">
              <w:rPr>
                <w:rFonts w:ascii="Times New Roman" w:hAnsi="Times New Roman"/>
                <w:b/>
                <w:bCs/>
                <w:color w:val="000000"/>
                <w:u w:val="single"/>
              </w:rPr>
              <w:t>Salary Cost per Hour</w:t>
            </w:r>
          </w:p>
        </w:tc>
        <w:tc>
          <w:tcPr>
            <w:tcW w:w="900" w:type="dxa"/>
            <w:tcBorders>
              <w:top w:val="single" w:color="auto" w:sz="4" w:space="0"/>
              <w:left w:val="single" w:color="auto" w:sz="4" w:space="0"/>
              <w:bottom w:val="single" w:color="auto" w:sz="4" w:space="0"/>
              <w:right w:val="single" w:color="auto" w:sz="4" w:space="0"/>
            </w:tcBorders>
            <w:vAlign w:val="bottom"/>
            <w:hideMark/>
          </w:tcPr>
          <w:p w:rsidRPr="00C2592C" w:rsidR="0086528D" w:rsidP="00C2592C" w:rsidRDefault="0086528D" w14:paraId="4AD4EFE4" w14:textId="77777777">
            <w:pPr>
              <w:keepNext/>
              <w:keepLines/>
              <w:widowControl/>
              <w:autoSpaceDE/>
              <w:autoSpaceDN/>
              <w:adjustRightInd/>
              <w:jc w:val="center"/>
              <w:rPr>
                <w:rFonts w:ascii="Times New Roman" w:hAnsi="Times New Roman"/>
                <w:b/>
                <w:bCs/>
                <w:color w:val="000000"/>
                <w:u w:val="single"/>
              </w:rPr>
            </w:pPr>
            <w:r w:rsidRPr="00C2592C">
              <w:rPr>
                <w:rFonts w:ascii="Times New Roman" w:hAnsi="Times New Roman"/>
                <w:b/>
                <w:bCs/>
                <w:color w:val="000000"/>
                <w:u w:val="single"/>
              </w:rPr>
              <w:t>Total Salary Cost</w:t>
            </w:r>
          </w:p>
        </w:tc>
        <w:tc>
          <w:tcPr>
            <w:tcW w:w="867" w:type="dxa"/>
            <w:tcBorders>
              <w:top w:val="single" w:color="auto" w:sz="4" w:space="0"/>
              <w:left w:val="single" w:color="auto" w:sz="4" w:space="0"/>
              <w:bottom w:val="single" w:color="auto" w:sz="4" w:space="0"/>
              <w:right w:val="single" w:color="auto" w:sz="4" w:space="0"/>
            </w:tcBorders>
            <w:vAlign w:val="bottom"/>
          </w:tcPr>
          <w:p w:rsidRPr="00C2592C" w:rsidR="0086528D" w:rsidP="00B5538E" w:rsidRDefault="0086528D" w14:paraId="6603CF20" w14:textId="77777777">
            <w:pPr>
              <w:keepNext/>
              <w:keepLines/>
              <w:widowControl/>
              <w:autoSpaceDE/>
              <w:autoSpaceDN/>
              <w:adjustRightInd/>
              <w:jc w:val="center"/>
              <w:rPr>
                <w:rFonts w:ascii="Times New Roman" w:hAnsi="Times New Roman"/>
                <w:b/>
                <w:bCs/>
                <w:color w:val="000000"/>
                <w:u w:val="single"/>
              </w:rPr>
            </w:pPr>
            <w:r w:rsidRPr="00C2592C">
              <w:rPr>
                <w:rFonts w:ascii="Times New Roman" w:hAnsi="Times New Roman"/>
                <w:b/>
                <w:bCs/>
                <w:color w:val="000000"/>
                <w:u w:val="single"/>
              </w:rPr>
              <w:t>Total Burden Cost</w:t>
            </w:r>
          </w:p>
        </w:tc>
      </w:tr>
      <w:tr w:rsidRPr="0059392B" w:rsidR="0086528D" w:rsidTr="00830386" w14:paraId="62DEC78E" w14:textId="77777777">
        <w:trPr>
          <w:trHeight w:val="39"/>
          <w:jc w:val="center"/>
        </w:trPr>
        <w:tc>
          <w:tcPr>
            <w:tcW w:w="1777" w:type="dxa"/>
            <w:tcBorders>
              <w:top w:val="single" w:color="auto" w:sz="4" w:space="0"/>
              <w:left w:val="single" w:color="auto" w:sz="4" w:space="0"/>
              <w:bottom w:val="single" w:color="auto" w:sz="4" w:space="0"/>
              <w:right w:val="single" w:color="auto" w:sz="4" w:space="0"/>
            </w:tcBorders>
            <w:vAlign w:val="bottom"/>
          </w:tcPr>
          <w:p w:rsidR="0086528D" w:rsidP="00C2592C" w:rsidRDefault="0086528D" w14:paraId="694BF999" w14:textId="77777777">
            <w:pPr>
              <w:keepNext/>
              <w:keepLines/>
              <w:widowControl/>
              <w:autoSpaceDE/>
              <w:autoSpaceDN/>
              <w:adjustRightInd/>
              <w:rPr>
                <w:rFonts w:ascii="Times New Roman" w:hAnsi="Times New Roman"/>
                <w:color w:val="000000"/>
              </w:rPr>
            </w:pPr>
            <w:r>
              <w:rPr>
                <w:rFonts w:ascii="Times New Roman" w:hAnsi="Times New Roman"/>
                <w:color w:val="000000"/>
              </w:rPr>
              <w:t>Reporting</w:t>
            </w:r>
          </w:p>
        </w:tc>
        <w:tc>
          <w:tcPr>
            <w:tcW w:w="1350" w:type="dxa"/>
            <w:tcBorders>
              <w:top w:val="single" w:color="auto" w:sz="4" w:space="0"/>
              <w:left w:val="single" w:color="auto" w:sz="4" w:space="0"/>
              <w:bottom w:val="single" w:color="auto" w:sz="4" w:space="0"/>
              <w:right w:val="single" w:color="auto" w:sz="4" w:space="0"/>
            </w:tcBorders>
            <w:noWrap/>
            <w:vAlign w:val="bottom"/>
            <w:hideMark/>
          </w:tcPr>
          <w:p w:rsidRPr="0059392B" w:rsidR="0086528D" w:rsidP="00C2592C" w:rsidRDefault="0086528D" w14:paraId="22B352D4" w14:textId="77777777">
            <w:pPr>
              <w:keepNext/>
              <w:keepLines/>
              <w:widowControl/>
              <w:autoSpaceDE/>
              <w:autoSpaceDN/>
              <w:adjustRightInd/>
              <w:jc w:val="right"/>
              <w:rPr>
                <w:rFonts w:ascii="Times New Roman" w:hAnsi="Times New Roman"/>
                <w:color w:val="000000"/>
              </w:rPr>
            </w:pPr>
            <w:r>
              <w:rPr>
                <w:rFonts w:ascii="Times New Roman" w:hAnsi="Times New Roman"/>
                <w:color w:val="000000"/>
              </w:rPr>
              <w:t>48</w:t>
            </w:r>
          </w:p>
        </w:tc>
        <w:tc>
          <w:tcPr>
            <w:tcW w:w="1350" w:type="dxa"/>
            <w:tcBorders>
              <w:top w:val="single" w:color="auto" w:sz="4" w:space="0"/>
              <w:left w:val="single" w:color="auto" w:sz="4" w:space="0"/>
              <w:bottom w:val="single" w:color="auto" w:sz="4" w:space="0"/>
              <w:right w:val="single" w:color="auto" w:sz="4" w:space="0"/>
            </w:tcBorders>
            <w:noWrap/>
            <w:vAlign w:val="bottom"/>
            <w:hideMark/>
          </w:tcPr>
          <w:p w:rsidRPr="0059392B" w:rsidR="0086528D" w:rsidP="00C2592C" w:rsidRDefault="0086528D" w14:paraId="547D463D" w14:textId="77777777">
            <w:pPr>
              <w:keepNext/>
              <w:keepLines/>
              <w:widowControl/>
              <w:autoSpaceDE/>
              <w:autoSpaceDN/>
              <w:adjustRightInd/>
              <w:jc w:val="right"/>
              <w:rPr>
                <w:rFonts w:ascii="Times New Roman" w:hAnsi="Times New Roman"/>
                <w:color w:val="000000"/>
              </w:rPr>
            </w:pPr>
            <w:r>
              <w:rPr>
                <w:rFonts w:ascii="Times New Roman" w:hAnsi="Times New Roman"/>
                <w:color w:val="000000"/>
              </w:rPr>
              <w:t>576</w:t>
            </w:r>
          </w:p>
        </w:tc>
        <w:tc>
          <w:tcPr>
            <w:tcW w:w="1260" w:type="dxa"/>
            <w:tcBorders>
              <w:top w:val="single" w:color="auto" w:sz="4" w:space="0"/>
              <w:left w:val="single" w:color="auto" w:sz="4" w:space="0"/>
              <w:bottom w:val="single" w:color="auto" w:sz="4" w:space="0"/>
              <w:right w:val="single" w:color="auto" w:sz="4" w:space="0"/>
            </w:tcBorders>
            <w:noWrap/>
            <w:vAlign w:val="bottom"/>
            <w:hideMark/>
          </w:tcPr>
          <w:p w:rsidRPr="0059392B" w:rsidR="0086528D" w:rsidP="00C2592C" w:rsidRDefault="0086528D" w14:paraId="64FC66FA" w14:textId="77777777">
            <w:pPr>
              <w:keepNext/>
              <w:keepLines/>
              <w:widowControl/>
              <w:autoSpaceDE/>
              <w:autoSpaceDN/>
              <w:adjustRightInd/>
              <w:jc w:val="right"/>
              <w:rPr>
                <w:rFonts w:ascii="Times New Roman" w:hAnsi="Times New Roman"/>
                <w:color w:val="000000"/>
              </w:rPr>
            </w:pPr>
            <w:r w:rsidRPr="0059392B">
              <w:rPr>
                <w:rFonts w:ascii="Times New Roman" w:hAnsi="Times New Roman"/>
                <w:color w:val="000000"/>
              </w:rPr>
              <w:t>1</w:t>
            </w:r>
          </w:p>
        </w:tc>
        <w:tc>
          <w:tcPr>
            <w:tcW w:w="1170" w:type="dxa"/>
            <w:tcBorders>
              <w:top w:val="single" w:color="auto" w:sz="4" w:space="0"/>
              <w:left w:val="single" w:color="auto" w:sz="4" w:space="0"/>
              <w:bottom w:val="single" w:color="auto" w:sz="4" w:space="0"/>
              <w:right w:val="single" w:color="auto" w:sz="4" w:space="0"/>
            </w:tcBorders>
            <w:noWrap/>
            <w:vAlign w:val="bottom"/>
            <w:hideMark/>
          </w:tcPr>
          <w:p w:rsidRPr="0059392B" w:rsidR="0086528D" w:rsidP="00C2592C" w:rsidRDefault="0086528D" w14:paraId="42077656" w14:textId="77777777">
            <w:pPr>
              <w:keepNext/>
              <w:keepLines/>
              <w:widowControl/>
              <w:autoSpaceDE/>
              <w:autoSpaceDN/>
              <w:adjustRightInd/>
              <w:jc w:val="right"/>
              <w:rPr>
                <w:rFonts w:ascii="Times New Roman" w:hAnsi="Times New Roman"/>
                <w:color w:val="000000"/>
              </w:rPr>
            </w:pPr>
            <w:r>
              <w:rPr>
                <w:rFonts w:ascii="Times New Roman" w:hAnsi="Times New Roman"/>
                <w:color w:val="000000"/>
              </w:rPr>
              <w:t>576</w:t>
            </w:r>
          </w:p>
        </w:tc>
        <w:tc>
          <w:tcPr>
            <w:tcW w:w="1080" w:type="dxa"/>
            <w:tcBorders>
              <w:top w:val="single" w:color="auto" w:sz="4" w:space="0"/>
              <w:left w:val="single" w:color="auto" w:sz="4" w:space="0"/>
              <w:bottom w:val="single" w:color="auto" w:sz="4" w:space="0"/>
              <w:right w:val="single" w:color="auto" w:sz="4" w:space="0"/>
            </w:tcBorders>
            <w:noWrap/>
            <w:vAlign w:val="bottom"/>
            <w:hideMark/>
          </w:tcPr>
          <w:p w:rsidRPr="0059392B" w:rsidR="0086528D" w:rsidP="00C2592C" w:rsidRDefault="0086528D" w14:paraId="3353A233" w14:textId="77777777">
            <w:pPr>
              <w:keepNext/>
              <w:keepLines/>
              <w:widowControl/>
              <w:autoSpaceDE/>
              <w:autoSpaceDN/>
              <w:adjustRightInd/>
              <w:jc w:val="right"/>
              <w:rPr>
                <w:rFonts w:ascii="Times New Roman" w:hAnsi="Times New Roman"/>
                <w:color w:val="000000"/>
              </w:rPr>
            </w:pPr>
            <w:r w:rsidRPr="0059392B">
              <w:rPr>
                <w:rFonts w:ascii="Times New Roman" w:hAnsi="Times New Roman"/>
                <w:color w:val="000000"/>
              </w:rPr>
              <w:t>1.5</w:t>
            </w:r>
          </w:p>
        </w:tc>
        <w:tc>
          <w:tcPr>
            <w:tcW w:w="900" w:type="dxa"/>
            <w:tcBorders>
              <w:top w:val="single" w:color="auto" w:sz="4" w:space="0"/>
              <w:left w:val="single" w:color="auto" w:sz="4" w:space="0"/>
              <w:bottom w:val="single" w:color="auto" w:sz="4" w:space="0"/>
              <w:right w:val="single" w:color="auto" w:sz="4" w:space="0"/>
            </w:tcBorders>
            <w:noWrap/>
            <w:vAlign w:val="bottom"/>
            <w:hideMark/>
          </w:tcPr>
          <w:p w:rsidRPr="0059392B" w:rsidR="0086528D" w:rsidP="00C2592C" w:rsidRDefault="0086528D" w14:paraId="2A825A04" w14:textId="77777777">
            <w:pPr>
              <w:keepNext/>
              <w:keepLines/>
              <w:widowControl/>
              <w:autoSpaceDE/>
              <w:autoSpaceDN/>
              <w:adjustRightInd/>
              <w:jc w:val="right"/>
              <w:rPr>
                <w:rFonts w:ascii="Times New Roman" w:hAnsi="Times New Roman"/>
                <w:color w:val="000000"/>
              </w:rPr>
            </w:pPr>
            <w:r>
              <w:rPr>
                <w:rFonts w:ascii="Times New Roman" w:hAnsi="Times New Roman"/>
                <w:color w:val="000000"/>
              </w:rPr>
              <w:t>864</w:t>
            </w:r>
          </w:p>
        </w:tc>
        <w:tc>
          <w:tcPr>
            <w:tcW w:w="990" w:type="dxa"/>
            <w:tcBorders>
              <w:top w:val="single" w:color="auto" w:sz="4" w:space="0"/>
              <w:left w:val="single" w:color="auto" w:sz="4" w:space="0"/>
              <w:bottom w:val="single" w:color="auto" w:sz="4" w:space="0"/>
              <w:right w:val="single" w:color="auto" w:sz="4" w:space="0"/>
            </w:tcBorders>
            <w:noWrap/>
            <w:vAlign w:val="bottom"/>
            <w:hideMark/>
          </w:tcPr>
          <w:p w:rsidRPr="0059392B" w:rsidR="0086528D" w:rsidP="00C2592C" w:rsidRDefault="0086528D" w14:paraId="65C41CF9" w14:textId="77777777">
            <w:pPr>
              <w:keepNext/>
              <w:keepLines/>
              <w:widowControl/>
              <w:autoSpaceDE/>
              <w:autoSpaceDN/>
              <w:adjustRightInd/>
              <w:jc w:val="right"/>
              <w:rPr>
                <w:rFonts w:ascii="Times New Roman" w:hAnsi="Times New Roman"/>
                <w:color w:val="000000"/>
              </w:rPr>
            </w:pPr>
            <w:r w:rsidRPr="0059392B">
              <w:rPr>
                <w:rFonts w:ascii="Times New Roman" w:hAnsi="Times New Roman"/>
                <w:color w:val="000000"/>
              </w:rPr>
              <w:t>$</w:t>
            </w:r>
            <w:r>
              <w:rPr>
                <w:rFonts w:ascii="Times New Roman" w:hAnsi="Times New Roman"/>
                <w:color w:val="000000"/>
              </w:rPr>
              <w:t>43.65</w:t>
            </w:r>
            <w:r w:rsidRPr="0059392B">
              <w:rPr>
                <w:rFonts w:ascii="Times New Roman" w:hAnsi="Times New Roman"/>
                <w:color w:val="000000"/>
              </w:rPr>
              <w:t xml:space="preserve"> </w:t>
            </w:r>
          </w:p>
        </w:tc>
        <w:tc>
          <w:tcPr>
            <w:tcW w:w="900" w:type="dxa"/>
            <w:tcBorders>
              <w:top w:val="single" w:color="auto" w:sz="4" w:space="0"/>
              <w:left w:val="single" w:color="auto" w:sz="4" w:space="0"/>
              <w:bottom w:val="single" w:color="auto" w:sz="4" w:space="0"/>
              <w:right w:val="single" w:color="auto" w:sz="4" w:space="0"/>
            </w:tcBorders>
            <w:noWrap/>
            <w:vAlign w:val="bottom"/>
            <w:hideMark/>
          </w:tcPr>
          <w:p w:rsidRPr="0059392B" w:rsidR="0086528D" w:rsidP="00C2592C" w:rsidRDefault="0086528D" w14:paraId="2F986E46" w14:textId="77777777">
            <w:pPr>
              <w:keepNext/>
              <w:keepLines/>
              <w:widowControl/>
              <w:autoSpaceDE/>
              <w:autoSpaceDN/>
              <w:adjustRightInd/>
              <w:jc w:val="right"/>
              <w:rPr>
                <w:rFonts w:ascii="Times New Roman" w:hAnsi="Times New Roman"/>
                <w:color w:val="000000"/>
              </w:rPr>
            </w:pPr>
            <w:r w:rsidRPr="0059392B">
              <w:rPr>
                <w:rFonts w:ascii="Times New Roman" w:hAnsi="Times New Roman"/>
                <w:color w:val="000000"/>
              </w:rPr>
              <w:t>$</w:t>
            </w:r>
            <w:r>
              <w:rPr>
                <w:rFonts w:ascii="Times New Roman" w:hAnsi="Times New Roman"/>
                <w:color w:val="000000"/>
              </w:rPr>
              <w:t>37,710</w:t>
            </w:r>
            <w:r w:rsidRPr="0059392B">
              <w:rPr>
                <w:rFonts w:ascii="Times New Roman" w:hAnsi="Times New Roman"/>
                <w:color w:val="000000"/>
              </w:rPr>
              <w:t xml:space="preserve"> </w:t>
            </w:r>
          </w:p>
        </w:tc>
        <w:tc>
          <w:tcPr>
            <w:tcW w:w="867" w:type="dxa"/>
            <w:tcBorders>
              <w:top w:val="single" w:color="auto" w:sz="4" w:space="0"/>
              <w:left w:val="single" w:color="auto" w:sz="4" w:space="0"/>
              <w:bottom w:val="single" w:color="auto" w:sz="4" w:space="0"/>
              <w:right w:val="single" w:color="auto" w:sz="4" w:space="0"/>
            </w:tcBorders>
            <w:vAlign w:val="bottom"/>
          </w:tcPr>
          <w:p w:rsidRPr="0059392B" w:rsidR="0086528D" w:rsidP="00B5538E" w:rsidRDefault="0086528D" w14:paraId="05CB49E7" w14:textId="77777777">
            <w:pPr>
              <w:keepNext/>
              <w:keepLines/>
              <w:widowControl/>
              <w:autoSpaceDE/>
              <w:autoSpaceDN/>
              <w:adjustRightInd/>
              <w:jc w:val="right"/>
              <w:rPr>
                <w:rFonts w:ascii="Times New Roman" w:hAnsi="Times New Roman"/>
                <w:color w:val="000000"/>
              </w:rPr>
            </w:pPr>
            <w:r>
              <w:rPr>
                <w:rFonts w:ascii="Times New Roman" w:hAnsi="Times New Roman"/>
                <w:color w:val="000000"/>
              </w:rPr>
              <w:t>$0</w:t>
            </w:r>
          </w:p>
        </w:tc>
      </w:tr>
    </w:tbl>
    <w:p w:rsidR="0059392B" w:rsidP="00DB7D1D" w:rsidRDefault="0059392B" w14:paraId="179A8BF9" w14:textId="77777777">
      <w:pPr>
        <w:pStyle w:val="NormalWeb"/>
        <w:spacing w:before="0" w:beforeAutospacing="0" w:after="0" w:afterAutospacing="0"/>
        <w:rPr>
          <w:rFonts w:ascii="Times New Roman" w:hAnsi="Times New Roman" w:cs="Times New Roman"/>
        </w:rPr>
      </w:pPr>
    </w:p>
    <w:p w:rsidRPr="00830386" w:rsidR="004D350C" w:rsidP="001F53F7" w:rsidRDefault="004D350C" w14:paraId="1EF88CD3" w14:textId="77777777">
      <w:pPr>
        <w:pStyle w:val="NormalWeb"/>
        <w:spacing w:before="0" w:beforeAutospacing="0" w:after="0" w:afterAutospacing="0"/>
        <w:rPr>
          <w:rFonts w:ascii="Times New Roman" w:hAnsi="Times New Roman" w:cs="Times New Roman"/>
          <w:u w:val="single"/>
        </w:rPr>
      </w:pPr>
      <w:r w:rsidRPr="00830386">
        <w:rPr>
          <w:rFonts w:ascii="Times New Roman" w:hAnsi="Times New Roman" w:cs="Times New Roman"/>
          <w:u w:val="single"/>
        </w:rPr>
        <w:t>Part 107, Subpart B –Special Permit Applications – Renewals</w:t>
      </w:r>
    </w:p>
    <w:p w:rsidR="0086528D" w:rsidP="001F53F7" w:rsidRDefault="0086528D" w14:paraId="403F4B6D" w14:textId="77777777">
      <w:pPr>
        <w:pStyle w:val="NormalWeb"/>
        <w:spacing w:before="0" w:beforeAutospacing="0" w:after="0" w:afterAutospacing="0"/>
        <w:rPr>
          <w:rFonts w:ascii="Times New Roman" w:hAnsi="Times New Roman" w:cs="Times New Roman"/>
        </w:rPr>
      </w:pPr>
    </w:p>
    <w:p w:rsidR="00333170" w:rsidP="001F53F7" w:rsidRDefault="001F53F7" w14:paraId="573D6718" w14:textId="77777777">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On average, PHMSA receives </w:t>
      </w:r>
      <w:r w:rsidR="004D350C">
        <w:rPr>
          <w:rFonts w:ascii="Times New Roman" w:hAnsi="Times New Roman" w:cs="Times New Roman"/>
        </w:rPr>
        <w:t xml:space="preserve">78 </w:t>
      </w:r>
      <w:r>
        <w:rPr>
          <w:rFonts w:ascii="Times New Roman" w:hAnsi="Times New Roman" w:cs="Times New Roman"/>
        </w:rPr>
        <w:t xml:space="preserve">renewal requests per month, for a total of </w:t>
      </w:r>
      <w:r w:rsidR="004D350C">
        <w:rPr>
          <w:rFonts w:ascii="Times New Roman" w:hAnsi="Times New Roman" w:cs="Times New Roman"/>
        </w:rPr>
        <w:t xml:space="preserve">936 </w:t>
      </w:r>
      <w:r>
        <w:rPr>
          <w:rFonts w:ascii="Times New Roman" w:hAnsi="Times New Roman" w:cs="Times New Roman"/>
        </w:rPr>
        <w:t>annual respondents (</w:t>
      </w:r>
      <w:r w:rsidR="004D350C">
        <w:rPr>
          <w:rFonts w:ascii="Times New Roman" w:hAnsi="Times New Roman" w:cs="Times New Roman"/>
        </w:rPr>
        <w:t>78 </w:t>
      </w:r>
      <w:r>
        <w:rPr>
          <w:rFonts w:ascii="Times New Roman" w:hAnsi="Times New Roman" w:cs="Times New Roman"/>
        </w:rPr>
        <w:t xml:space="preserve">respondents/month x 12 months/year).  </w:t>
      </w:r>
      <w:r w:rsidR="00333170">
        <w:rPr>
          <w:rFonts w:ascii="Times New Roman" w:hAnsi="Times New Roman" w:cs="Times New Roman"/>
        </w:rPr>
        <w:t xml:space="preserve">Based on historical stakeholder feedback, </w:t>
      </w:r>
      <w:r w:rsidR="00E2403F">
        <w:rPr>
          <w:rFonts w:ascii="Times New Roman" w:hAnsi="Times New Roman" w:cs="Times New Roman"/>
        </w:rPr>
        <w:t xml:space="preserve">PHMSA </w:t>
      </w:r>
      <w:r>
        <w:rPr>
          <w:rFonts w:ascii="Times New Roman" w:hAnsi="Times New Roman" w:cs="Times New Roman"/>
        </w:rPr>
        <w:t>estimate</w:t>
      </w:r>
      <w:r w:rsidR="00E2403F">
        <w:rPr>
          <w:rFonts w:ascii="Times New Roman" w:hAnsi="Times New Roman" w:cs="Times New Roman"/>
        </w:rPr>
        <w:t>s</w:t>
      </w:r>
      <w:r>
        <w:rPr>
          <w:rFonts w:ascii="Times New Roman" w:hAnsi="Times New Roman" w:cs="Times New Roman"/>
        </w:rPr>
        <w:t xml:space="preserve"> </w:t>
      </w:r>
      <w:r w:rsidR="00E2403F">
        <w:rPr>
          <w:rFonts w:ascii="Times New Roman" w:hAnsi="Times New Roman" w:cs="Times New Roman"/>
        </w:rPr>
        <w:t xml:space="preserve">it </w:t>
      </w:r>
      <w:r w:rsidRPr="001662D0">
        <w:rPr>
          <w:rFonts w:ascii="Times New Roman" w:hAnsi="Times New Roman" w:cs="Times New Roman"/>
        </w:rPr>
        <w:t>take</w:t>
      </w:r>
      <w:r w:rsidR="00333170">
        <w:rPr>
          <w:rFonts w:ascii="Times New Roman" w:hAnsi="Times New Roman" w:cs="Times New Roman"/>
        </w:rPr>
        <w:t>s</w:t>
      </w:r>
      <w:r w:rsidRPr="001662D0">
        <w:rPr>
          <w:rFonts w:ascii="Times New Roman" w:hAnsi="Times New Roman" w:cs="Times New Roman"/>
        </w:rPr>
        <w:t xml:space="preserve"> </w:t>
      </w:r>
      <w:r w:rsidRPr="000D087B">
        <w:rPr>
          <w:rFonts w:ascii="Times New Roman" w:hAnsi="Times New Roman" w:cs="Times New Roman"/>
        </w:rPr>
        <w:t>an hour and a half</w:t>
      </w:r>
      <w:r>
        <w:rPr>
          <w:rFonts w:ascii="Times New Roman" w:hAnsi="Times New Roman" w:cs="Times New Roman"/>
        </w:rPr>
        <w:t xml:space="preserve"> to prepare a request for renewal for a total annual burden of 1,</w:t>
      </w:r>
      <w:r w:rsidR="004D350C">
        <w:rPr>
          <w:rFonts w:ascii="Times New Roman" w:hAnsi="Times New Roman" w:cs="Times New Roman"/>
        </w:rPr>
        <w:t xml:space="preserve">404 </w:t>
      </w:r>
      <w:r>
        <w:rPr>
          <w:rFonts w:ascii="Times New Roman" w:hAnsi="Times New Roman" w:cs="Times New Roman"/>
        </w:rPr>
        <w:t>hours (</w:t>
      </w:r>
      <w:r w:rsidR="004D350C">
        <w:rPr>
          <w:rFonts w:ascii="Times New Roman" w:hAnsi="Times New Roman" w:cs="Times New Roman"/>
        </w:rPr>
        <w:t xml:space="preserve">936 </w:t>
      </w:r>
      <w:r>
        <w:rPr>
          <w:rFonts w:ascii="Times New Roman" w:hAnsi="Times New Roman" w:cs="Times New Roman"/>
        </w:rPr>
        <w:t>respondents x 1.</w:t>
      </w:r>
      <w:r w:rsidR="00BA3C1A">
        <w:rPr>
          <w:rFonts w:ascii="Times New Roman" w:hAnsi="Times New Roman" w:cs="Times New Roman"/>
        </w:rPr>
        <w:t>5 </w:t>
      </w:r>
      <w:r>
        <w:rPr>
          <w:rFonts w:ascii="Times New Roman" w:hAnsi="Times New Roman" w:cs="Times New Roman"/>
        </w:rPr>
        <w:t>hour</w:t>
      </w:r>
      <w:r w:rsidR="00BA3C1A">
        <w:rPr>
          <w:rFonts w:ascii="Times New Roman" w:hAnsi="Times New Roman" w:cs="Times New Roman"/>
        </w:rPr>
        <w:t>s</w:t>
      </w:r>
      <w:r>
        <w:rPr>
          <w:rFonts w:ascii="Times New Roman" w:hAnsi="Times New Roman" w:cs="Times New Roman"/>
        </w:rPr>
        <w:t xml:space="preserve">/response).  The salary cost per </w:t>
      </w:r>
      <w:r>
        <w:rPr>
          <w:rFonts w:ascii="Times New Roman" w:hAnsi="Times New Roman" w:cs="Times New Roman"/>
        </w:rPr>
        <w:lastRenderedPageBreak/>
        <w:t xml:space="preserve">hour is estimated to be </w:t>
      </w:r>
      <w:r w:rsidRPr="000D087B">
        <w:rPr>
          <w:rFonts w:ascii="Times New Roman" w:hAnsi="Times New Roman" w:cs="Times New Roman"/>
        </w:rPr>
        <w:t>$</w:t>
      </w:r>
      <w:r w:rsidR="004D350C">
        <w:rPr>
          <w:rFonts w:ascii="Times New Roman" w:hAnsi="Times New Roman" w:cs="Times New Roman"/>
        </w:rPr>
        <w:t>43.65</w:t>
      </w:r>
      <w:r w:rsidRPr="000D087B">
        <w:rPr>
          <w:rFonts w:ascii="Times New Roman" w:hAnsi="Times New Roman" w:cs="Times New Roman"/>
        </w:rPr>
        <w:t>/hour</w:t>
      </w:r>
      <w:r w:rsidR="00B5538E">
        <w:rPr>
          <w:rFonts w:ascii="Times New Roman" w:hAnsi="Times New Roman" w:cs="Times New Roman"/>
        </w:rPr>
        <w:t>,</w:t>
      </w:r>
      <w:r w:rsidR="00051580">
        <w:rPr>
          <w:rStyle w:val="FootnoteReference"/>
          <w:rFonts w:ascii="Times New Roman" w:hAnsi="Times New Roman" w:cs="Times New Roman"/>
        </w:rPr>
        <w:footnoteReference w:id="4"/>
      </w:r>
      <w:r w:rsidR="00333170">
        <w:rPr>
          <w:rFonts w:ascii="Times New Roman" w:hAnsi="Times New Roman" w:cs="Times New Roman"/>
        </w:rPr>
        <w:t xml:space="preserve"> </w:t>
      </w:r>
      <w:r>
        <w:rPr>
          <w:rFonts w:ascii="Times New Roman" w:hAnsi="Times New Roman" w:cs="Times New Roman"/>
        </w:rPr>
        <w:t>for a total of $</w:t>
      </w:r>
      <w:r w:rsidR="004D350C">
        <w:rPr>
          <w:rFonts w:ascii="Times New Roman" w:hAnsi="Times New Roman" w:cs="Times New Roman"/>
        </w:rPr>
        <w:t>61,279</w:t>
      </w:r>
      <w:r w:rsidR="00333170">
        <w:rPr>
          <w:rFonts w:ascii="Times New Roman" w:hAnsi="Times New Roman" w:cs="Times New Roman"/>
        </w:rPr>
        <w:t xml:space="preserve"> </w:t>
      </w:r>
      <w:r>
        <w:rPr>
          <w:rFonts w:ascii="Times New Roman" w:hAnsi="Times New Roman" w:cs="Times New Roman"/>
        </w:rPr>
        <w:t xml:space="preserve">total </w:t>
      </w:r>
      <w:r w:rsidR="004D350C">
        <w:rPr>
          <w:rFonts w:ascii="Times New Roman" w:hAnsi="Times New Roman" w:cs="Times New Roman"/>
        </w:rPr>
        <w:t xml:space="preserve">salary </w:t>
      </w:r>
      <w:r>
        <w:rPr>
          <w:rFonts w:ascii="Times New Roman" w:hAnsi="Times New Roman" w:cs="Times New Roman"/>
        </w:rPr>
        <w:t>cost (1</w:t>
      </w:r>
      <w:r w:rsidR="003B3A84">
        <w:rPr>
          <w:rFonts w:ascii="Times New Roman" w:hAnsi="Times New Roman" w:cs="Times New Roman"/>
        </w:rPr>
        <w:t>,</w:t>
      </w:r>
      <w:r>
        <w:rPr>
          <w:rFonts w:ascii="Times New Roman" w:hAnsi="Times New Roman" w:cs="Times New Roman"/>
        </w:rPr>
        <w:t>260 burden hours x $</w:t>
      </w:r>
      <w:r w:rsidR="004D350C">
        <w:rPr>
          <w:rFonts w:ascii="Times New Roman" w:hAnsi="Times New Roman" w:cs="Times New Roman"/>
        </w:rPr>
        <w:t>43.65</w:t>
      </w:r>
      <w:r>
        <w:rPr>
          <w:rFonts w:ascii="Times New Roman" w:hAnsi="Times New Roman" w:cs="Times New Roman"/>
        </w:rPr>
        <w:t xml:space="preserve">/hour).  </w:t>
      </w:r>
      <w:r w:rsidR="00B5538E">
        <w:rPr>
          <w:rFonts w:ascii="Times New Roman" w:hAnsi="Times New Roman" w:cs="Times New Roman"/>
        </w:rPr>
        <w:t>PHMSA does not estimate any out-of-pocket expenses.</w:t>
      </w:r>
    </w:p>
    <w:p w:rsidR="001F53F7" w:rsidP="001F53F7" w:rsidRDefault="001F53F7" w14:paraId="69A8DD08" w14:textId="77777777">
      <w:pPr>
        <w:pStyle w:val="NormalWeb"/>
        <w:spacing w:before="0" w:beforeAutospacing="0" w:after="0" w:afterAutospacing="0"/>
        <w:rPr>
          <w:rFonts w:ascii="Times New Roman" w:hAnsi="Times New Roman" w:cs="Times New Roman"/>
        </w:rPr>
      </w:pPr>
    </w:p>
    <w:tbl>
      <w:tblPr>
        <w:tblW w:w="11421" w:type="dxa"/>
        <w:jc w:val="center"/>
        <w:tblLayout w:type="fixed"/>
        <w:tblCellMar>
          <w:top w:w="15" w:type="dxa"/>
          <w:bottom w:w="15" w:type="dxa"/>
        </w:tblCellMar>
        <w:tblLook w:val="04A0" w:firstRow="1" w:lastRow="0" w:firstColumn="1" w:lastColumn="0" w:noHBand="0" w:noVBand="1"/>
      </w:tblPr>
      <w:tblGrid>
        <w:gridCol w:w="1512"/>
        <w:gridCol w:w="1350"/>
        <w:gridCol w:w="1350"/>
        <w:gridCol w:w="1260"/>
        <w:gridCol w:w="1170"/>
        <w:gridCol w:w="1080"/>
        <w:gridCol w:w="900"/>
        <w:gridCol w:w="990"/>
        <w:gridCol w:w="909"/>
        <w:gridCol w:w="900"/>
      </w:tblGrid>
      <w:tr w:rsidRPr="0059392B" w:rsidR="0086528D" w:rsidTr="00830386" w14:paraId="3CDA8CCC" w14:textId="77777777">
        <w:trPr>
          <w:trHeight w:val="630"/>
          <w:jc w:val="center"/>
        </w:trPr>
        <w:tc>
          <w:tcPr>
            <w:tcW w:w="1512" w:type="dxa"/>
            <w:tcBorders>
              <w:top w:val="single" w:color="auto" w:sz="4" w:space="0"/>
              <w:left w:val="single" w:color="auto" w:sz="4" w:space="0"/>
              <w:bottom w:val="single" w:color="auto" w:sz="4" w:space="0"/>
              <w:right w:val="single" w:color="auto" w:sz="4" w:space="0"/>
            </w:tcBorders>
            <w:vAlign w:val="bottom"/>
          </w:tcPr>
          <w:p w:rsidRPr="00830386" w:rsidR="0086528D" w:rsidP="00830386" w:rsidRDefault="0086528D" w14:paraId="0E346988" w14:textId="77777777">
            <w:pPr>
              <w:widowControl/>
              <w:autoSpaceDE/>
              <w:autoSpaceDN/>
              <w:adjustRightInd/>
              <w:rPr>
                <w:rFonts w:ascii="Times New Roman" w:hAnsi="Times New Roman"/>
                <w:b/>
                <w:bCs/>
                <w:color w:val="000000"/>
                <w:u w:val="single"/>
              </w:rPr>
            </w:pPr>
            <w:r w:rsidRPr="00830386">
              <w:rPr>
                <w:rFonts w:ascii="Times New Roman" w:hAnsi="Times New Roman"/>
                <w:b/>
                <w:bCs/>
                <w:color w:val="000000"/>
              </w:rPr>
              <w:t>Special Permit Renewal – § 107.109</w:t>
            </w:r>
          </w:p>
        </w:tc>
        <w:tc>
          <w:tcPr>
            <w:tcW w:w="1350" w:type="dxa"/>
            <w:tcBorders>
              <w:top w:val="single" w:color="auto" w:sz="4" w:space="0"/>
              <w:left w:val="single" w:color="auto" w:sz="4" w:space="0"/>
              <w:bottom w:val="single" w:color="auto" w:sz="4" w:space="0"/>
              <w:right w:val="single" w:color="auto" w:sz="4" w:space="0"/>
            </w:tcBorders>
            <w:vAlign w:val="bottom"/>
            <w:hideMark/>
          </w:tcPr>
          <w:p w:rsidRPr="00830386" w:rsidR="0086528D" w:rsidP="0025247F" w:rsidRDefault="0086528D" w14:paraId="0BC12FEC"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Monthly Respondents</w:t>
            </w:r>
          </w:p>
        </w:tc>
        <w:tc>
          <w:tcPr>
            <w:tcW w:w="1350" w:type="dxa"/>
            <w:tcBorders>
              <w:top w:val="single" w:color="auto" w:sz="4" w:space="0"/>
              <w:left w:val="single" w:color="auto" w:sz="4" w:space="0"/>
              <w:bottom w:val="single" w:color="auto" w:sz="4" w:space="0"/>
              <w:right w:val="single" w:color="auto" w:sz="4" w:space="0"/>
            </w:tcBorders>
            <w:vAlign w:val="bottom"/>
            <w:hideMark/>
          </w:tcPr>
          <w:p w:rsidRPr="00830386" w:rsidR="0086528D" w:rsidP="0025247F" w:rsidRDefault="0086528D" w14:paraId="0D5815FA"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Annual Respondents</w:t>
            </w:r>
          </w:p>
        </w:tc>
        <w:tc>
          <w:tcPr>
            <w:tcW w:w="1260" w:type="dxa"/>
            <w:tcBorders>
              <w:top w:val="single" w:color="auto" w:sz="4" w:space="0"/>
              <w:left w:val="single" w:color="auto" w:sz="4" w:space="0"/>
              <w:bottom w:val="single" w:color="auto" w:sz="4" w:space="0"/>
              <w:right w:val="single" w:color="auto" w:sz="4" w:space="0"/>
            </w:tcBorders>
            <w:vAlign w:val="bottom"/>
            <w:hideMark/>
          </w:tcPr>
          <w:p w:rsidRPr="00830386" w:rsidR="0086528D" w:rsidP="0025247F" w:rsidRDefault="0086528D" w14:paraId="074FD5DD"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Responses per Respondent</w:t>
            </w:r>
          </w:p>
        </w:tc>
        <w:tc>
          <w:tcPr>
            <w:tcW w:w="1170" w:type="dxa"/>
            <w:tcBorders>
              <w:top w:val="single" w:color="auto" w:sz="4" w:space="0"/>
              <w:left w:val="single" w:color="auto" w:sz="4" w:space="0"/>
              <w:bottom w:val="single" w:color="auto" w:sz="4" w:space="0"/>
              <w:right w:val="single" w:color="auto" w:sz="4" w:space="0"/>
            </w:tcBorders>
            <w:vAlign w:val="bottom"/>
            <w:hideMark/>
          </w:tcPr>
          <w:p w:rsidRPr="00830386" w:rsidR="0086528D" w:rsidP="0025247F" w:rsidRDefault="0086528D" w14:paraId="1CCC420C"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Number of Responses</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830386" w:rsidR="0086528D" w:rsidP="0025247F" w:rsidRDefault="0086528D" w14:paraId="630E9A21"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Hours per Response</w:t>
            </w:r>
          </w:p>
        </w:tc>
        <w:tc>
          <w:tcPr>
            <w:tcW w:w="900" w:type="dxa"/>
            <w:tcBorders>
              <w:top w:val="single" w:color="auto" w:sz="4" w:space="0"/>
              <w:left w:val="single" w:color="auto" w:sz="4" w:space="0"/>
              <w:bottom w:val="single" w:color="auto" w:sz="4" w:space="0"/>
              <w:right w:val="single" w:color="auto" w:sz="4" w:space="0"/>
            </w:tcBorders>
            <w:vAlign w:val="bottom"/>
            <w:hideMark/>
          </w:tcPr>
          <w:p w:rsidRPr="00830386" w:rsidR="0086528D" w:rsidP="0025247F" w:rsidRDefault="0086528D" w14:paraId="423BC0AD"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Total Burden Hours</w:t>
            </w:r>
          </w:p>
        </w:tc>
        <w:tc>
          <w:tcPr>
            <w:tcW w:w="990" w:type="dxa"/>
            <w:tcBorders>
              <w:top w:val="single" w:color="auto" w:sz="4" w:space="0"/>
              <w:left w:val="single" w:color="auto" w:sz="4" w:space="0"/>
              <w:bottom w:val="single" w:color="auto" w:sz="4" w:space="0"/>
              <w:right w:val="single" w:color="auto" w:sz="4" w:space="0"/>
            </w:tcBorders>
            <w:vAlign w:val="bottom"/>
            <w:hideMark/>
          </w:tcPr>
          <w:p w:rsidRPr="00830386" w:rsidR="0086528D" w:rsidP="0025247F" w:rsidRDefault="0086528D" w14:paraId="095B7AC7"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Salary Cost per Hour</w:t>
            </w:r>
          </w:p>
        </w:tc>
        <w:tc>
          <w:tcPr>
            <w:tcW w:w="909" w:type="dxa"/>
            <w:tcBorders>
              <w:top w:val="single" w:color="auto" w:sz="4" w:space="0"/>
              <w:left w:val="single" w:color="auto" w:sz="4" w:space="0"/>
              <w:bottom w:val="single" w:color="auto" w:sz="4" w:space="0"/>
              <w:right w:val="single" w:color="auto" w:sz="4" w:space="0"/>
            </w:tcBorders>
            <w:vAlign w:val="bottom"/>
            <w:hideMark/>
          </w:tcPr>
          <w:p w:rsidRPr="00830386" w:rsidR="0086528D" w:rsidP="0025247F" w:rsidRDefault="0086528D" w14:paraId="1581D42D"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Total Salary Cost</w:t>
            </w:r>
          </w:p>
        </w:tc>
        <w:tc>
          <w:tcPr>
            <w:tcW w:w="900" w:type="dxa"/>
            <w:tcBorders>
              <w:top w:val="single" w:color="auto" w:sz="4" w:space="0"/>
              <w:left w:val="single" w:color="auto" w:sz="4" w:space="0"/>
              <w:bottom w:val="single" w:color="auto" w:sz="4" w:space="0"/>
              <w:right w:val="single" w:color="auto" w:sz="4" w:space="0"/>
            </w:tcBorders>
            <w:vAlign w:val="bottom"/>
          </w:tcPr>
          <w:p w:rsidRPr="00830386" w:rsidR="0086528D" w:rsidP="00B5538E" w:rsidRDefault="0086528D" w14:paraId="30B57872"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Total Burden Cost</w:t>
            </w:r>
          </w:p>
        </w:tc>
      </w:tr>
      <w:tr w:rsidRPr="0059392B" w:rsidR="0086528D" w:rsidTr="00830386" w14:paraId="3DC97383" w14:textId="77777777">
        <w:trPr>
          <w:trHeight w:val="35"/>
          <w:jc w:val="center"/>
        </w:trPr>
        <w:tc>
          <w:tcPr>
            <w:tcW w:w="1512" w:type="dxa"/>
            <w:tcBorders>
              <w:top w:val="single" w:color="auto" w:sz="4" w:space="0"/>
              <w:left w:val="single" w:color="auto" w:sz="4" w:space="0"/>
              <w:bottom w:val="single" w:color="auto" w:sz="4" w:space="0"/>
              <w:right w:val="single" w:color="auto" w:sz="4" w:space="0"/>
            </w:tcBorders>
            <w:vAlign w:val="bottom"/>
          </w:tcPr>
          <w:p w:rsidR="0086528D" w:rsidP="000D087B" w:rsidRDefault="0086528D" w14:paraId="275850B8" w14:textId="77777777">
            <w:pPr>
              <w:widowControl/>
              <w:autoSpaceDE/>
              <w:autoSpaceDN/>
              <w:adjustRightInd/>
              <w:rPr>
                <w:rFonts w:ascii="Times New Roman" w:hAnsi="Times New Roman"/>
                <w:color w:val="000000"/>
              </w:rPr>
            </w:pPr>
            <w:r>
              <w:rPr>
                <w:rFonts w:ascii="Times New Roman" w:hAnsi="Times New Roman"/>
                <w:color w:val="000000"/>
              </w:rPr>
              <w:t>Reporting</w:t>
            </w:r>
          </w:p>
        </w:tc>
        <w:tc>
          <w:tcPr>
            <w:tcW w:w="1350" w:type="dxa"/>
            <w:tcBorders>
              <w:top w:val="single" w:color="auto" w:sz="4" w:space="0"/>
              <w:left w:val="single" w:color="auto" w:sz="4" w:space="0"/>
              <w:bottom w:val="single" w:color="auto" w:sz="4" w:space="0"/>
              <w:right w:val="single" w:color="auto" w:sz="4" w:space="0"/>
            </w:tcBorders>
            <w:noWrap/>
            <w:vAlign w:val="bottom"/>
            <w:hideMark/>
          </w:tcPr>
          <w:p w:rsidRPr="0059392B" w:rsidR="0086528D" w:rsidP="0025247F" w:rsidRDefault="0086528D" w14:paraId="021D57D2" w14:textId="77777777">
            <w:pPr>
              <w:widowControl/>
              <w:autoSpaceDE/>
              <w:autoSpaceDN/>
              <w:adjustRightInd/>
              <w:jc w:val="right"/>
              <w:rPr>
                <w:rFonts w:ascii="Times New Roman" w:hAnsi="Times New Roman"/>
                <w:color w:val="000000"/>
              </w:rPr>
            </w:pPr>
            <w:r>
              <w:rPr>
                <w:rFonts w:ascii="Times New Roman" w:hAnsi="Times New Roman"/>
                <w:color w:val="000000"/>
              </w:rPr>
              <w:t>78</w:t>
            </w:r>
          </w:p>
        </w:tc>
        <w:tc>
          <w:tcPr>
            <w:tcW w:w="1350" w:type="dxa"/>
            <w:tcBorders>
              <w:top w:val="single" w:color="auto" w:sz="4" w:space="0"/>
              <w:left w:val="single" w:color="auto" w:sz="4" w:space="0"/>
              <w:bottom w:val="single" w:color="auto" w:sz="4" w:space="0"/>
              <w:right w:val="single" w:color="auto" w:sz="4" w:space="0"/>
            </w:tcBorders>
            <w:noWrap/>
            <w:vAlign w:val="bottom"/>
            <w:hideMark/>
          </w:tcPr>
          <w:p w:rsidRPr="0059392B" w:rsidR="0086528D" w:rsidP="0025247F" w:rsidRDefault="0086528D" w14:paraId="3ABED6E0" w14:textId="77777777">
            <w:pPr>
              <w:widowControl/>
              <w:autoSpaceDE/>
              <w:autoSpaceDN/>
              <w:adjustRightInd/>
              <w:jc w:val="right"/>
              <w:rPr>
                <w:rFonts w:ascii="Times New Roman" w:hAnsi="Times New Roman"/>
                <w:color w:val="000000"/>
              </w:rPr>
            </w:pPr>
            <w:r>
              <w:rPr>
                <w:rFonts w:ascii="Times New Roman" w:hAnsi="Times New Roman"/>
                <w:color w:val="000000"/>
              </w:rPr>
              <w:t>936</w:t>
            </w:r>
          </w:p>
        </w:tc>
        <w:tc>
          <w:tcPr>
            <w:tcW w:w="1260" w:type="dxa"/>
            <w:tcBorders>
              <w:top w:val="single" w:color="auto" w:sz="4" w:space="0"/>
              <w:left w:val="single" w:color="auto" w:sz="4" w:space="0"/>
              <w:bottom w:val="single" w:color="auto" w:sz="4" w:space="0"/>
              <w:right w:val="single" w:color="auto" w:sz="4" w:space="0"/>
            </w:tcBorders>
            <w:noWrap/>
            <w:vAlign w:val="bottom"/>
            <w:hideMark/>
          </w:tcPr>
          <w:p w:rsidRPr="0059392B" w:rsidR="0086528D" w:rsidP="0025247F" w:rsidRDefault="0086528D" w14:paraId="46462312" w14:textId="77777777">
            <w:pPr>
              <w:widowControl/>
              <w:autoSpaceDE/>
              <w:autoSpaceDN/>
              <w:adjustRightInd/>
              <w:jc w:val="right"/>
              <w:rPr>
                <w:rFonts w:ascii="Times New Roman" w:hAnsi="Times New Roman"/>
                <w:color w:val="000000"/>
              </w:rPr>
            </w:pPr>
            <w:r w:rsidRPr="0059392B">
              <w:rPr>
                <w:rFonts w:ascii="Times New Roman" w:hAnsi="Times New Roman"/>
                <w:color w:val="000000"/>
              </w:rPr>
              <w:t>1</w:t>
            </w:r>
          </w:p>
        </w:tc>
        <w:tc>
          <w:tcPr>
            <w:tcW w:w="1170" w:type="dxa"/>
            <w:tcBorders>
              <w:top w:val="single" w:color="auto" w:sz="4" w:space="0"/>
              <w:left w:val="single" w:color="auto" w:sz="4" w:space="0"/>
              <w:bottom w:val="single" w:color="auto" w:sz="4" w:space="0"/>
              <w:right w:val="single" w:color="auto" w:sz="4" w:space="0"/>
            </w:tcBorders>
            <w:noWrap/>
            <w:vAlign w:val="bottom"/>
            <w:hideMark/>
          </w:tcPr>
          <w:p w:rsidRPr="0059392B" w:rsidR="0086528D" w:rsidP="0025247F" w:rsidRDefault="0086528D" w14:paraId="0BBC5643" w14:textId="77777777">
            <w:pPr>
              <w:widowControl/>
              <w:autoSpaceDE/>
              <w:autoSpaceDN/>
              <w:adjustRightInd/>
              <w:jc w:val="right"/>
              <w:rPr>
                <w:rFonts w:ascii="Times New Roman" w:hAnsi="Times New Roman"/>
                <w:color w:val="000000"/>
              </w:rPr>
            </w:pPr>
            <w:r>
              <w:rPr>
                <w:rFonts w:ascii="Times New Roman" w:hAnsi="Times New Roman"/>
                <w:color w:val="000000"/>
              </w:rPr>
              <w:t>936</w:t>
            </w:r>
          </w:p>
        </w:tc>
        <w:tc>
          <w:tcPr>
            <w:tcW w:w="1080" w:type="dxa"/>
            <w:tcBorders>
              <w:top w:val="single" w:color="auto" w:sz="4" w:space="0"/>
              <w:left w:val="single" w:color="auto" w:sz="4" w:space="0"/>
              <w:bottom w:val="single" w:color="auto" w:sz="4" w:space="0"/>
              <w:right w:val="single" w:color="auto" w:sz="4" w:space="0"/>
            </w:tcBorders>
            <w:noWrap/>
            <w:vAlign w:val="bottom"/>
            <w:hideMark/>
          </w:tcPr>
          <w:p w:rsidRPr="0059392B" w:rsidR="0086528D" w:rsidP="0025247F" w:rsidRDefault="0086528D" w14:paraId="53461152" w14:textId="77777777">
            <w:pPr>
              <w:widowControl/>
              <w:autoSpaceDE/>
              <w:autoSpaceDN/>
              <w:adjustRightInd/>
              <w:jc w:val="right"/>
              <w:rPr>
                <w:rFonts w:ascii="Times New Roman" w:hAnsi="Times New Roman"/>
                <w:color w:val="000000"/>
              </w:rPr>
            </w:pPr>
            <w:r w:rsidRPr="0059392B">
              <w:rPr>
                <w:rFonts w:ascii="Times New Roman" w:hAnsi="Times New Roman"/>
                <w:color w:val="000000"/>
              </w:rPr>
              <w:t>1.5</w:t>
            </w:r>
          </w:p>
        </w:tc>
        <w:tc>
          <w:tcPr>
            <w:tcW w:w="900" w:type="dxa"/>
            <w:tcBorders>
              <w:top w:val="single" w:color="auto" w:sz="4" w:space="0"/>
              <w:left w:val="single" w:color="auto" w:sz="4" w:space="0"/>
              <w:bottom w:val="single" w:color="auto" w:sz="4" w:space="0"/>
              <w:right w:val="single" w:color="auto" w:sz="4" w:space="0"/>
            </w:tcBorders>
            <w:noWrap/>
            <w:vAlign w:val="bottom"/>
            <w:hideMark/>
          </w:tcPr>
          <w:p w:rsidRPr="0059392B" w:rsidR="0086528D" w:rsidP="0025247F" w:rsidRDefault="0086528D" w14:paraId="42134D7B" w14:textId="77777777">
            <w:pPr>
              <w:widowControl/>
              <w:autoSpaceDE/>
              <w:autoSpaceDN/>
              <w:adjustRightInd/>
              <w:jc w:val="right"/>
              <w:rPr>
                <w:rFonts w:ascii="Times New Roman" w:hAnsi="Times New Roman"/>
                <w:color w:val="000000"/>
              </w:rPr>
            </w:pPr>
            <w:r>
              <w:rPr>
                <w:rFonts w:ascii="Times New Roman" w:hAnsi="Times New Roman"/>
                <w:color w:val="000000"/>
              </w:rPr>
              <w:t>1,404</w:t>
            </w:r>
          </w:p>
        </w:tc>
        <w:tc>
          <w:tcPr>
            <w:tcW w:w="990" w:type="dxa"/>
            <w:tcBorders>
              <w:top w:val="single" w:color="auto" w:sz="4" w:space="0"/>
              <w:left w:val="single" w:color="auto" w:sz="4" w:space="0"/>
              <w:bottom w:val="single" w:color="auto" w:sz="4" w:space="0"/>
              <w:right w:val="single" w:color="auto" w:sz="4" w:space="0"/>
            </w:tcBorders>
            <w:noWrap/>
            <w:vAlign w:val="bottom"/>
            <w:hideMark/>
          </w:tcPr>
          <w:p w:rsidRPr="0059392B" w:rsidR="0086528D" w:rsidP="0025247F" w:rsidRDefault="0086528D" w14:paraId="79904797" w14:textId="77777777">
            <w:pPr>
              <w:widowControl/>
              <w:autoSpaceDE/>
              <w:autoSpaceDN/>
              <w:adjustRightInd/>
              <w:jc w:val="right"/>
              <w:rPr>
                <w:rFonts w:ascii="Times New Roman" w:hAnsi="Times New Roman"/>
                <w:color w:val="000000"/>
              </w:rPr>
            </w:pPr>
            <w:r w:rsidRPr="0059392B">
              <w:rPr>
                <w:rFonts w:ascii="Times New Roman" w:hAnsi="Times New Roman"/>
                <w:color w:val="000000"/>
              </w:rPr>
              <w:t>$</w:t>
            </w:r>
            <w:r>
              <w:rPr>
                <w:rFonts w:ascii="Times New Roman" w:hAnsi="Times New Roman"/>
                <w:color w:val="000000"/>
              </w:rPr>
              <w:t>43.65</w:t>
            </w:r>
            <w:r w:rsidRPr="0059392B">
              <w:rPr>
                <w:rFonts w:ascii="Times New Roman" w:hAnsi="Times New Roman"/>
                <w:color w:val="000000"/>
              </w:rPr>
              <w:t xml:space="preserve"> </w:t>
            </w:r>
          </w:p>
        </w:tc>
        <w:tc>
          <w:tcPr>
            <w:tcW w:w="909" w:type="dxa"/>
            <w:tcBorders>
              <w:top w:val="single" w:color="auto" w:sz="4" w:space="0"/>
              <w:left w:val="single" w:color="auto" w:sz="4" w:space="0"/>
              <w:bottom w:val="single" w:color="auto" w:sz="4" w:space="0"/>
              <w:right w:val="single" w:color="auto" w:sz="4" w:space="0"/>
            </w:tcBorders>
            <w:noWrap/>
            <w:vAlign w:val="bottom"/>
            <w:hideMark/>
          </w:tcPr>
          <w:p w:rsidRPr="0059392B" w:rsidR="0086528D" w:rsidP="0025247F" w:rsidRDefault="0086528D" w14:paraId="2F1758E1" w14:textId="77777777">
            <w:pPr>
              <w:widowControl/>
              <w:autoSpaceDE/>
              <w:autoSpaceDN/>
              <w:adjustRightInd/>
              <w:jc w:val="right"/>
              <w:rPr>
                <w:rFonts w:ascii="Times New Roman" w:hAnsi="Times New Roman"/>
                <w:color w:val="000000"/>
              </w:rPr>
            </w:pPr>
            <w:r w:rsidRPr="0059392B">
              <w:rPr>
                <w:rFonts w:ascii="Times New Roman" w:hAnsi="Times New Roman"/>
                <w:color w:val="000000"/>
              </w:rPr>
              <w:t>$</w:t>
            </w:r>
            <w:r>
              <w:rPr>
                <w:rFonts w:ascii="Times New Roman" w:hAnsi="Times New Roman"/>
                <w:color w:val="000000"/>
              </w:rPr>
              <w:t>61,279</w:t>
            </w:r>
            <w:r w:rsidRPr="0059392B">
              <w:rPr>
                <w:rFonts w:ascii="Times New Roman" w:hAnsi="Times New Roman"/>
                <w:color w:val="000000"/>
              </w:rPr>
              <w:t xml:space="preserve"> </w:t>
            </w:r>
          </w:p>
        </w:tc>
        <w:tc>
          <w:tcPr>
            <w:tcW w:w="900" w:type="dxa"/>
            <w:tcBorders>
              <w:top w:val="single" w:color="auto" w:sz="4" w:space="0"/>
              <w:left w:val="single" w:color="auto" w:sz="4" w:space="0"/>
              <w:bottom w:val="single" w:color="auto" w:sz="4" w:space="0"/>
              <w:right w:val="single" w:color="auto" w:sz="4" w:space="0"/>
            </w:tcBorders>
            <w:vAlign w:val="bottom"/>
          </w:tcPr>
          <w:p w:rsidRPr="0059392B" w:rsidR="0086528D" w:rsidP="00B5538E" w:rsidRDefault="0086528D" w14:paraId="2DB96E4E" w14:textId="77777777">
            <w:pPr>
              <w:widowControl/>
              <w:autoSpaceDE/>
              <w:autoSpaceDN/>
              <w:adjustRightInd/>
              <w:jc w:val="right"/>
              <w:rPr>
                <w:rFonts w:ascii="Times New Roman" w:hAnsi="Times New Roman"/>
                <w:color w:val="000000"/>
              </w:rPr>
            </w:pPr>
            <w:r>
              <w:rPr>
                <w:rFonts w:ascii="Times New Roman" w:hAnsi="Times New Roman"/>
                <w:color w:val="000000"/>
              </w:rPr>
              <w:t>$0</w:t>
            </w:r>
          </w:p>
        </w:tc>
      </w:tr>
    </w:tbl>
    <w:p w:rsidR="00DC70A6" w:rsidP="00DB7D1D" w:rsidRDefault="00DC70A6" w14:paraId="746145DF" w14:textId="77777777">
      <w:pPr>
        <w:pStyle w:val="NormalWeb"/>
        <w:spacing w:before="0" w:beforeAutospacing="0" w:after="0" w:afterAutospacing="0"/>
        <w:rPr>
          <w:rFonts w:ascii="Times New Roman" w:hAnsi="Times New Roman" w:cs="Times New Roman"/>
        </w:rPr>
      </w:pPr>
    </w:p>
    <w:p w:rsidRPr="00830386" w:rsidR="001D6B90" w:rsidP="00DB7D1D" w:rsidRDefault="001D6B90" w14:paraId="52C281AF" w14:textId="77777777">
      <w:pPr>
        <w:pStyle w:val="NormalWeb"/>
        <w:spacing w:before="0" w:beforeAutospacing="0" w:after="0" w:afterAutospacing="0"/>
        <w:rPr>
          <w:rFonts w:ascii="Times New Roman" w:hAnsi="Times New Roman" w:cs="Times New Roman"/>
          <w:u w:val="single"/>
        </w:rPr>
      </w:pPr>
      <w:r w:rsidRPr="00830386">
        <w:rPr>
          <w:rFonts w:ascii="Times New Roman" w:hAnsi="Times New Roman" w:cs="Times New Roman"/>
          <w:u w:val="single"/>
        </w:rPr>
        <w:t>Part 107, Subpart B –Special Permit Applications – Modifications</w:t>
      </w:r>
    </w:p>
    <w:p w:rsidR="001D6B90" w:rsidP="00DB7D1D" w:rsidRDefault="001D6B90" w14:paraId="0AF5F237" w14:textId="77777777">
      <w:pPr>
        <w:pStyle w:val="NormalWeb"/>
        <w:spacing w:before="0" w:beforeAutospacing="0" w:after="0" w:afterAutospacing="0"/>
        <w:rPr>
          <w:rFonts w:ascii="Times New Roman" w:hAnsi="Times New Roman" w:cs="Times New Roman"/>
        </w:rPr>
      </w:pPr>
    </w:p>
    <w:p w:rsidR="001F53F7" w:rsidP="00DB7D1D" w:rsidRDefault="001D6B90" w14:paraId="1859E114" w14:textId="77777777">
      <w:pPr>
        <w:pStyle w:val="NormalWeb"/>
        <w:spacing w:before="0" w:beforeAutospacing="0" w:after="0" w:afterAutospacing="0"/>
        <w:rPr>
          <w:rFonts w:ascii="Times New Roman" w:hAnsi="Times New Roman" w:cs="Times New Roman"/>
        </w:rPr>
      </w:pPr>
      <w:r w:rsidRPr="001D6B90">
        <w:rPr>
          <w:rFonts w:ascii="Times New Roman" w:hAnsi="Times New Roman" w:cs="Times New Roman"/>
        </w:rPr>
        <w:t xml:space="preserve">On average, PHMSA receives </w:t>
      </w:r>
      <w:r w:rsidR="00B5538E">
        <w:rPr>
          <w:rFonts w:ascii="Times New Roman" w:hAnsi="Times New Roman" w:cs="Times New Roman"/>
        </w:rPr>
        <w:t>11 </w:t>
      </w:r>
      <w:r w:rsidR="00820491">
        <w:rPr>
          <w:rFonts w:ascii="Times New Roman" w:hAnsi="Times New Roman" w:cs="Times New Roman"/>
        </w:rPr>
        <w:t>modification</w:t>
      </w:r>
      <w:r w:rsidRPr="001D6B90">
        <w:rPr>
          <w:rFonts w:ascii="Times New Roman" w:hAnsi="Times New Roman" w:cs="Times New Roman"/>
        </w:rPr>
        <w:t xml:space="preserve"> requests per month, for a total </w:t>
      </w:r>
      <w:r w:rsidR="00820491">
        <w:rPr>
          <w:rFonts w:ascii="Times New Roman" w:hAnsi="Times New Roman" w:cs="Times New Roman"/>
        </w:rPr>
        <w:t>132</w:t>
      </w:r>
      <w:r w:rsidRPr="001D6B90">
        <w:rPr>
          <w:rFonts w:ascii="Times New Roman" w:hAnsi="Times New Roman" w:cs="Times New Roman"/>
        </w:rPr>
        <w:t xml:space="preserve"> annual respondents (</w:t>
      </w:r>
      <w:r w:rsidR="00820491">
        <w:rPr>
          <w:rFonts w:ascii="Times New Roman" w:hAnsi="Times New Roman" w:cs="Times New Roman"/>
        </w:rPr>
        <w:t>11</w:t>
      </w:r>
      <w:r w:rsidRPr="001D6B90">
        <w:rPr>
          <w:rFonts w:ascii="Times New Roman" w:hAnsi="Times New Roman" w:cs="Times New Roman"/>
        </w:rPr>
        <w:t xml:space="preserve"> respondents/month x 12 months/year).  Based on historical stakeholder feedback, PHMSA estimates </w:t>
      </w:r>
      <w:r w:rsidR="00B5538E">
        <w:rPr>
          <w:rFonts w:ascii="Times New Roman" w:hAnsi="Times New Roman" w:cs="Times New Roman"/>
        </w:rPr>
        <w:t xml:space="preserve">that </w:t>
      </w:r>
      <w:r w:rsidRPr="001D6B90">
        <w:rPr>
          <w:rFonts w:ascii="Times New Roman" w:hAnsi="Times New Roman" w:cs="Times New Roman"/>
        </w:rPr>
        <w:t xml:space="preserve">it takes an hour to prepare a request for </w:t>
      </w:r>
      <w:r w:rsidR="00820491">
        <w:rPr>
          <w:rFonts w:ascii="Times New Roman" w:hAnsi="Times New Roman" w:cs="Times New Roman"/>
        </w:rPr>
        <w:t>modification</w:t>
      </w:r>
      <w:r w:rsidR="00B5538E">
        <w:rPr>
          <w:rFonts w:ascii="Times New Roman" w:hAnsi="Times New Roman" w:cs="Times New Roman"/>
        </w:rPr>
        <w:t>,</w:t>
      </w:r>
      <w:r w:rsidRPr="001D6B90">
        <w:rPr>
          <w:rFonts w:ascii="Times New Roman" w:hAnsi="Times New Roman" w:cs="Times New Roman"/>
        </w:rPr>
        <w:t xml:space="preserve"> for a total annual burden of </w:t>
      </w:r>
      <w:r w:rsidR="00820491">
        <w:rPr>
          <w:rFonts w:ascii="Times New Roman" w:hAnsi="Times New Roman" w:cs="Times New Roman"/>
        </w:rPr>
        <w:t>132</w:t>
      </w:r>
      <w:r w:rsidRPr="001D6B90">
        <w:rPr>
          <w:rFonts w:ascii="Times New Roman" w:hAnsi="Times New Roman" w:cs="Times New Roman"/>
        </w:rPr>
        <w:t xml:space="preserve"> hours (</w:t>
      </w:r>
      <w:r w:rsidR="00B5538E">
        <w:rPr>
          <w:rFonts w:ascii="Times New Roman" w:hAnsi="Times New Roman" w:cs="Times New Roman"/>
        </w:rPr>
        <w:t>132 </w:t>
      </w:r>
      <w:r w:rsidRPr="001D6B90">
        <w:rPr>
          <w:rFonts w:ascii="Times New Roman" w:hAnsi="Times New Roman" w:cs="Times New Roman"/>
        </w:rPr>
        <w:t xml:space="preserve">respondents x 1 hours/response).  The salary cost per hour is estimated to be </w:t>
      </w:r>
      <w:r w:rsidR="00820491">
        <w:rPr>
          <w:rFonts w:ascii="Times New Roman" w:hAnsi="Times New Roman" w:cs="Times New Roman"/>
        </w:rPr>
        <w:t>$</w:t>
      </w:r>
      <w:r w:rsidRPr="001D6B90">
        <w:rPr>
          <w:rFonts w:ascii="Times New Roman" w:hAnsi="Times New Roman" w:cs="Times New Roman"/>
        </w:rPr>
        <w:t>43.65/</w:t>
      </w:r>
      <w:r w:rsidRPr="001D6B90" w:rsidR="00820491">
        <w:rPr>
          <w:rFonts w:ascii="Times New Roman" w:hAnsi="Times New Roman" w:cs="Times New Roman"/>
        </w:rPr>
        <w:t>hour</w:t>
      </w:r>
      <w:r w:rsidR="00B5538E">
        <w:rPr>
          <w:rFonts w:ascii="Times New Roman" w:hAnsi="Times New Roman" w:cs="Times New Roman"/>
        </w:rPr>
        <w:t>,</w:t>
      </w:r>
      <w:r w:rsidR="00B5538E">
        <w:rPr>
          <w:rStyle w:val="FootnoteReference"/>
          <w:rFonts w:ascii="Times New Roman" w:hAnsi="Times New Roman" w:cs="Times New Roman"/>
        </w:rPr>
        <w:footnoteReference w:id="5"/>
      </w:r>
      <w:r w:rsidR="00B5538E">
        <w:rPr>
          <w:rFonts w:ascii="Times New Roman" w:hAnsi="Times New Roman" w:cs="Times New Roman"/>
        </w:rPr>
        <w:t xml:space="preserve"> </w:t>
      </w:r>
      <w:r w:rsidRPr="001D6B90" w:rsidR="00820491">
        <w:rPr>
          <w:rFonts w:ascii="Times New Roman" w:hAnsi="Times New Roman" w:cs="Times New Roman"/>
        </w:rPr>
        <w:t>for</w:t>
      </w:r>
      <w:r w:rsidRPr="001D6B90">
        <w:rPr>
          <w:rFonts w:ascii="Times New Roman" w:hAnsi="Times New Roman" w:cs="Times New Roman"/>
        </w:rPr>
        <w:t xml:space="preserve"> a total of $</w:t>
      </w:r>
      <w:r w:rsidR="00820491">
        <w:rPr>
          <w:rFonts w:ascii="Times New Roman" w:hAnsi="Times New Roman" w:cs="Times New Roman"/>
        </w:rPr>
        <w:t>5,761</w:t>
      </w:r>
      <w:r w:rsidRPr="001D6B90">
        <w:rPr>
          <w:rFonts w:ascii="Times New Roman" w:hAnsi="Times New Roman" w:cs="Times New Roman"/>
        </w:rPr>
        <w:t xml:space="preserve"> total burden salary cost (</w:t>
      </w:r>
      <w:r w:rsidR="00820491">
        <w:rPr>
          <w:rFonts w:ascii="Times New Roman" w:hAnsi="Times New Roman" w:cs="Times New Roman"/>
        </w:rPr>
        <w:t>132</w:t>
      </w:r>
      <w:r w:rsidRPr="001D6B90">
        <w:rPr>
          <w:rFonts w:ascii="Times New Roman" w:hAnsi="Times New Roman" w:cs="Times New Roman"/>
        </w:rPr>
        <w:t xml:space="preserve"> burden hours x $43.65/hour).  </w:t>
      </w:r>
      <w:r w:rsidR="00B5538E">
        <w:rPr>
          <w:rFonts w:ascii="Times New Roman" w:hAnsi="Times New Roman" w:cs="Times New Roman"/>
        </w:rPr>
        <w:t>PHMSA does not estimate any out-of-pocket expenses.</w:t>
      </w:r>
    </w:p>
    <w:p w:rsidR="001D6B90" w:rsidP="00DB7D1D" w:rsidRDefault="001D6B90" w14:paraId="4B1C7F7A" w14:textId="77777777">
      <w:pPr>
        <w:pStyle w:val="NormalWeb"/>
        <w:spacing w:before="0" w:beforeAutospacing="0" w:after="0" w:afterAutospacing="0"/>
        <w:rPr>
          <w:rFonts w:ascii="Times New Roman" w:hAnsi="Times New Roman" w:cs="Times New Roman"/>
        </w:rPr>
      </w:pPr>
    </w:p>
    <w:tbl>
      <w:tblPr>
        <w:tblW w:w="11313" w:type="dxa"/>
        <w:jc w:val="center"/>
        <w:tblLayout w:type="fixed"/>
        <w:tblCellMar>
          <w:top w:w="15" w:type="dxa"/>
          <w:bottom w:w="15" w:type="dxa"/>
        </w:tblCellMar>
        <w:tblLook w:val="04A0" w:firstRow="1" w:lastRow="0" w:firstColumn="1" w:lastColumn="0" w:noHBand="0" w:noVBand="1"/>
      </w:tblPr>
      <w:tblGrid>
        <w:gridCol w:w="1494"/>
        <w:gridCol w:w="1359"/>
        <w:gridCol w:w="1350"/>
        <w:gridCol w:w="1260"/>
        <w:gridCol w:w="1170"/>
        <w:gridCol w:w="1080"/>
        <w:gridCol w:w="900"/>
        <w:gridCol w:w="990"/>
        <w:gridCol w:w="810"/>
        <w:gridCol w:w="900"/>
      </w:tblGrid>
      <w:tr w:rsidRPr="0059392B" w:rsidR="00BA155C" w:rsidTr="00830386" w14:paraId="43C373F1" w14:textId="77777777">
        <w:trPr>
          <w:trHeight w:val="630"/>
          <w:jc w:val="center"/>
        </w:trPr>
        <w:tc>
          <w:tcPr>
            <w:tcW w:w="1494" w:type="dxa"/>
            <w:tcBorders>
              <w:top w:val="single" w:color="auto" w:sz="4" w:space="0"/>
              <w:left w:val="single" w:color="auto" w:sz="4" w:space="0"/>
              <w:bottom w:val="single" w:color="auto" w:sz="4" w:space="0"/>
              <w:right w:val="single" w:color="auto" w:sz="4" w:space="0"/>
            </w:tcBorders>
            <w:vAlign w:val="bottom"/>
          </w:tcPr>
          <w:p w:rsidRPr="00830386" w:rsidR="00BA155C" w:rsidP="00830386" w:rsidRDefault="00BA155C" w14:paraId="1F53428A" w14:textId="77777777">
            <w:pPr>
              <w:widowControl/>
              <w:autoSpaceDE/>
              <w:autoSpaceDN/>
              <w:adjustRightInd/>
              <w:rPr>
                <w:rFonts w:ascii="Times New Roman" w:hAnsi="Times New Roman"/>
                <w:b/>
                <w:bCs/>
                <w:color w:val="000000"/>
                <w:u w:val="single"/>
              </w:rPr>
            </w:pPr>
            <w:r w:rsidRPr="00830386">
              <w:rPr>
                <w:rFonts w:ascii="Times New Roman" w:hAnsi="Times New Roman"/>
                <w:b/>
                <w:bCs/>
                <w:color w:val="000000"/>
              </w:rPr>
              <w:t xml:space="preserve">Special Permit Modifications – § 107.109       </w:t>
            </w:r>
          </w:p>
        </w:tc>
        <w:tc>
          <w:tcPr>
            <w:tcW w:w="1359" w:type="dxa"/>
            <w:tcBorders>
              <w:top w:val="single" w:color="auto" w:sz="4" w:space="0"/>
              <w:left w:val="single" w:color="auto" w:sz="4" w:space="0"/>
              <w:bottom w:val="single" w:color="auto" w:sz="4" w:space="0"/>
              <w:right w:val="single" w:color="auto" w:sz="4" w:space="0"/>
            </w:tcBorders>
            <w:vAlign w:val="bottom"/>
            <w:hideMark/>
          </w:tcPr>
          <w:p w:rsidRPr="00830386" w:rsidR="00BA155C" w:rsidP="00103678" w:rsidRDefault="00BA155C" w14:paraId="582C6C17"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Monthly Respondents</w:t>
            </w:r>
          </w:p>
        </w:tc>
        <w:tc>
          <w:tcPr>
            <w:tcW w:w="1350" w:type="dxa"/>
            <w:tcBorders>
              <w:top w:val="single" w:color="auto" w:sz="4" w:space="0"/>
              <w:left w:val="single" w:color="auto" w:sz="4" w:space="0"/>
              <w:bottom w:val="single" w:color="auto" w:sz="4" w:space="0"/>
              <w:right w:val="single" w:color="auto" w:sz="4" w:space="0"/>
            </w:tcBorders>
            <w:vAlign w:val="bottom"/>
            <w:hideMark/>
          </w:tcPr>
          <w:p w:rsidRPr="00830386" w:rsidR="00BA155C" w:rsidP="00103678" w:rsidRDefault="00BA155C" w14:paraId="3B3BA4E5"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Annual Respondents</w:t>
            </w:r>
          </w:p>
        </w:tc>
        <w:tc>
          <w:tcPr>
            <w:tcW w:w="1260" w:type="dxa"/>
            <w:tcBorders>
              <w:top w:val="single" w:color="auto" w:sz="4" w:space="0"/>
              <w:left w:val="single" w:color="auto" w:sz="4" w:space="0"/>
              <w:bottom w:val="single" w:color="auto" w:sz="4" w:space="0"/>
              <w:right w:val="single" w:color="auto" w:sz="4" w:space="0"/>
            </w:tcBorders>
            <w:vAlign w:val="bottom"/>
            <w:hideMark/>
          </w:tcPr>
          <w:p w:rsidRPr="00830386" w:rsidR="00BA155C" w:rsidP="00103678" w:rsidRDefault="00BA155C" w14:paraId="7A31A64D"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Responses per Respondent</w:t>
            </w:r>
          </w:p>
        </w:tc>
        <w:tc>
          <w:tcPr>
            <w:tcW w:w="1170" w:type="dxa"/>
            <w:tcBorders>
              <w:top w:val="single" w:color="auto" w:sz="4" w:space="0"/>
              <w:left w:val="single" w:color="auto" w:sz="4" w:space="0"/>
              <w:bottom w:val="single" w:color="auto" w:sz="4" w:space="0"/>
              <w:right w:val="single" w:color="auto" w:sz="4" w:space="0"/>
            </w:tcBorders>
            <w:vAlign w:val="bottom"/>
            <w:hideMark/>
          </w:tcPr>
          <w:p w:rsidRPr="00830386" w:rsidR="00BA155C" w:rsidP="00103678" w:rsidRDefault="00BA155C" w14:paraId="5DC5D241"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Number of Responses</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830386" w:rsidR="00BA155C" w:rsidP="00103678" w:rsidRDefault="00BA155C" w14:paraId="091FF23D"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Hours per Response</w:t>
            </w:r>
          </w:p>
        </w:tc>
        <w:tc>
          <w:tcPr>
            <w:tcW w:w="900" w:type="dxa"/>
            <w:tcBorders>
              <w:top w:val="single" w:color="auto" w:sz="4" w:space="0"/>
              <w:left w:val="single" w:color="auto" w:sz="4" w:space="0"/>
              <w:bottom w:val="single" w:color="auto" w:sz="4" w:space="0"/>
              <w:right w:val="single" w:color="auto" w:sz="4" w:space="0"/>
            </w:tcBorders>
            <w:vAlign w:val="bottom"/>
            <w:hideMark/>
          </w:tcPr>
          <w:p w:rsidRPr="00830386" w:rsidR="00BA155C" w:rsidP="00103678" w:rsidRDefault="00BA155C" w14:paraId="299CD3D8"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Total Burden Hours</w:t>
            </w:r>
          </w:p>
        </w:tc>
        <w:tc>
          <w:tcPr>
            <w:tcW w:w="990" w:type="dxa"/>
            <w:tcBorders>
              <w:top w:val="single" w:color="auto" w:sz="4" w:space="0"/>
              <w:left w:val="single" w:color="auto" w:sz="4" w:space="0"/>
              <w:bottom w:val="single" w:color="auto" w:sz="4" w:space="0"/>
              <w:right w:val="single" w:color="auto" w:sz="4" w:space="0"/>
            </w:tcBorders>
            <w:vAlign w:val="bottom"/>
            <w:hideMark/>
          </w:tcPr>
          <w:p w:rsidRPr="00830386" w:rsidR="00BA155C" w:rsidP="00103678" w:rsidRDefault="00BA155C" w14:paraId="0077DC77"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Salary Cost per Hour</w:t>
            </w:r>
          </w:p>
        </w:tc>
        <w:tc>
          <w:tcPr>
            <w:tcW w:w="810" w:type="dxa"/>
            <w:tcBorders>
              <w:top w:val="single" w:color="auto" w:sz="4" w:space="0"/>
              <w:left w:val="single" w:color="auto" w:sz="4" w:space="0"/>
              <w:bottom w:val="single" w:color="auto" w:sz="4" w:space="0"/>
              <w:right w:val="single" w:color="auto" w:sz="4" w:space="0"/>
            </w:tcBorders>
            <w:vAlign w:val="bottom"/>
            <w:hideMark/>
          </w:tcPr>
          <w:p w:rsidRPr="00830386" w:rsidR="00BA155C" w:rsidP="00103678" w:rsidRDefault="00BA155C" w14:paraId="1151704A"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Total Salary Cost</w:t>
            </w:r>
          </w:p>
        </w:tc>
        <w:tc>
          <w:tcPr>
            <w:tcW w:w="900" w:type="dxa"/>
            <w:tcBorders>
              <w:top w:val="single" w:color="auto" w:sz="4" w:space="0"/>
              <w:left w:val="single" w:color="auto" w:sz="4" w:space="0"/>
              <w:bottom w:val="single" w:color="auto" w:sz="4" w:space="0"/>
              <w:right w:val="single" w:color="auto" w:sz="4" w:space="0"/>
            </w:tcBorders>
            <w:vAlign w:val="bottom"/>
          </w:tcPr>
          <w:p w:rsidRPr="00830386" w:rsidR="00BA155C" w:rsidP="00B5538E" w:rsidRDefault="00BA155C" w14:paraId="7C4D7D0E"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Total Burden Cost</w:t>
            </w:r>
          </w:p>
        </w:tc>
      </w:tr>
      <w:tr w:rsidRPr="0059392B" w:rsidR="00BA155C" w:rsidTr="00830386" w14:paraId="0495DE2B" w14:textId="77777777">
        <w:trPr>
          <w:trHeight w:val="35"/>
          <w:jc w:val="center"/>
        </w:trPr>
        <w:tc>
          <w:tcPr>
            <w:tcW w:w="1494" w:type="dxa"/>
            <w:tcBorders>
              <w:top w:val="single" w:color="auto" w:sz="4" w:space="0"/>
              <w:left w:val="single" w:color="auto" w:sz="4" w:space="0"/>
              <w:bottom w:val="single" w:color="auto" w:sz="4" w:space="0"/>
              <w:right w:val="single" w:color="auto" w:sz="4" w:space="0"/>
            </w:tcBorders>
            <w:vAlign w:val="bottom"/>
          </w:tcPr>
          <w:p w:rsidR="00BA155C" w:rsidP="00103678" w:rsidRDefault="00BA155C" w14:paraId="3C43AB5C" w14:textId="77777777">
            <w:pPr>
              <w:widowControl/>
              <w:autoSpaceDE/>
              <w:autoSpaceDN/>
              <w:adjustRightInd/>
              <w:rPr>
                <w:rFonts w:ascii="Times New Roman" w:hAnsi="Times New Roman"/>
                <w:color w:val="000000"/>
              </w:rPr>
            </w:pPr>
            <w:r>
              <w:rPr>
                <w:rFonts w:ascii="Times New Roman" w:hAnsi="Times New Roman"/>
                <w:color w:val="000000"/>
              </w:rPr>
              <w:t>Reporting</w:t>
            </w:r>
          </w:p>
        </w:tc>
        <w:tc>
          <w:tcPr>
            <w:tcW w:w="1359" w:type="dxa"/>
            <w:tcBorders>
              <w:top w:val="single" w:color="auto" w:sz="4" w:space="0"/>
              <w:left w:val="single" w:color="auto" w:sz="4" w:space="0"/>
              <w:bottom w:val="single" w:color="auto" w:sz="4" w:space="0"/>
              <w:right w:val="single" w:color="auto" w:sz="4" w:space="0"/>
            </w:tcBorders>
            <w:noWrap/>
            <w:vAlign w:val="bottom"/>
            <w:hideMark/>
          </w:tcPr>
          <w:p w:rsidRPr="0059392B" w:rsidR="00BA155C" w:rsidP="00103678" w:rsidRDefault="00BA155C" w14:paraId="0B11B4DA" w14:textId="77777777">
            <w:pPr>
              <w:widowControl/>
              <w:autoSpaceDE/>
              <w:autoSpaceDN/>
              <w:adjustRightInd/>
              <w:jc w:val="right"/>
              <w:rPr>
                <w:rFonts w:ascii="Times New Roman" w:hAnsi="Times New Roman"/>
                <w:color w:val="000000"/>
              </w:rPr>
            </w:pPr>
            <w:r>
              <w:rPr>
                <w:rFonts w:ascii="Times New Roman" w:hAnsi="Times New Roman"/>
                <w:color w:val="000000"/>
              </w:rPr>
              <w:t>11</w:t>
            </w:r>
          </w:p>
        </w:tc>
        <w:tc>
          <w:tcPr>
            <w:tcW w:w="1350" w:type="dxa"/>
            <w:tcBorders>
              <w:top w:val="single" w:color="auto" w:sz="4" w:space="0"/>
              <w:left w:val="single" w:color="auto" w:sz="4" w:space="0"/>
              <w:bottom w:val="single" w:color="auto" w:sz="4" w:space="0"/>
              <w:right w:val="single" w:color="auto" w:sz="4" w:space="0"/>
            </w:tcBorders>
            <w:noWrap/>
            <w:vAlign w:val="bottom"/>
            <w:hideMark/>
          </w:tcPr>
          <w:p w:rsidRPr="0059392B" w:rsidR="00BA155C" w:rsidP="00103678" w:rsidRDefault="00BA155C" w14:paraId="4153CD29" w14:textId="77777777">
            <w:pPr>
              <w:widowControl/>
              <w:autoSpaceDE/>
              <w:autoSpaceDN/>
              <w:adjustRightInd/>
              <w:jc w:val="right"/>
              <w:rPr>
                <w:rFonts w:ascii="Times New Roman" w:hAnsi="Times New Roman"/>
                <w:color w:val="000000"/>
              </w:rPr>
            </w:pPr>
            <w:r>
              <w:rPr>
                <w:rFonts w:ascii="Times New Roman" w:hAnsi="Times New Roman"/>
                <w:color w:val="000000"/>
              </w:rPr>
              <w:t>132</w:t>
            </w:r>
          </w:p>
        </w:tc>
        <w:tc>
          <w:tcPr>
            <w:tcW w:w="1260" w:type="dxa"/>
            <w:tcBorders>
              <w:top w:val="single" w:color="auto" w:sz="4" w:space="0"/>
              <w:left w:val="single" w:color="auto" w:sz="4" w:space="0"/>
              <w:bottom w:val="single" w:color="auto" w:sz="4" w:space="0"/>
              <w:right w:val="single" w:color="auto" w:sz="4" w:space="0"/>
            </w:tcBorders>
            <w:noWrap/>
            <w:vAlign w:val="bottom"/>
            <w:hideMark/>
          </w:tcPr>
          <w:p w:rsidRPr="0059392B" w:rsidR="00BA155C" w:rsidP="00103678" w:rsidRDefault="00BA155C" w14:paraId="46F2800D" w14:textId="77777777">
            <w:pPr>
              <w:widowControl/>
              <w:autoSpaceDE/>
              <w:autoSpaceDN/>
              <w:adjustRightInd/>
              <w:jc w:val="right"/>
              <w:rPr>
                <w:rFonts w:ascii="Times New Roman" w:hAnsi="Times New Roman"/>
                <w:color w:val="000000"/>
              </w:rPr>
            </w:pPr>
            <w:r w:rsidRPr="0059392B">
              <w:rPr>
                <w:rFonts w:ascii="Times New Roman" w:hAnsi="Times New Roman"/>
                <w:color w:val="000000"/>
              </w:rPr>
              <w:t>1</w:t>
            </w:r>
          </w:p>
        </w:tc>
        <w:tc>
          <w:tcPr>
            <w:tcW w:w="1170" w:type="dxa"/>
            <w:tcBorders>
              <w:top w:val="single" w:color="auto" w:sz="4" w:space="0"/>
              <w:left w:val="single" w:color="auto" w:sz="4" w:space="0"/>
              <w:bottom w:val="single" w:color="auto" w:sz="4" w:space="0"/>
              <w:right w:val="single" w:color="auto" w:sz="4" w:space="0"/>
            </w:tcBorders>
            <w:noWrap/>
            <w:vAlign w:val="bottom"/>
            <w:hideMark/>
          </w:tcPr>
          <w:p w:rsidRPr="0059392B" w:rsidR="00BA155C" w:rsidP="00103678" w:rsidRDefault="00BA155C" w14:paraId="60274A9D" w14:textId="77777777">
            <w:pPr>
              <w:widowControl/>
              <w:autoSpaceDE/>
              <w:autoSpaceDN/>
              <w:adjustRightInd/>
              <w:jc w:val="right"/>
              <w:rPr>
                <w:rFonts w:ascii="Times New Roman" w:hAnsi="Times New Roman"/>
                <w:color w:val="000000"/>
              </w:rPr>
            </w:pPr>
            <w:r>
              <w:rPr>
                <w:rFonts w:ascii="Times New Roman" w:hAnsi="Times New Roman"/>
                <w:color w:val="000000"/>
              </w:rPr>
              <w:t>132</w:t>
            </w:r>
          </w:p>
        </w:tc>
        <w:tc>
          <w:tcPr>
            <w:tcW w:w="1080" w:type="dxa"/>
            <w:tcBorders>
              <w:top w:val="single" w:color="auto" w:sz="4" w:space="0"/>
              <w:left w:val="single" w:color="auto" w:sz="4" w:space="0"/>
              <w:bottom w:val="single" w:color="auto" w:sz="4" w:space="0"/>
              <w:right w:val="single" w:color="auto" w:sz="4" w:space="0"/>
            </w:tcBorders>
            <w:noWrap/>
            <w:vAlign w:val="bottom"/>
            <w:hideMark/>
          </w:tcPr>
          <w:p w:rsidRPr="0059392B" w:rsidR="00BA155C" w:rsidP="00103678" w:rsidRDefault="00BA155C" w14:paraId="5E664558" w14:textId="77777777">
            <w:pPr>
              <w:widowControl/>
              <w:autoSpaceDE/>
              <w:autoSpaceDN/>
              <w:adjustRightInd/>
              <w:jc w:val="right"/>
              <w:rPr>
                <w:rFonts w:ascii="Times New Roman" w:hAnsi="Times New Roman"/>
                <w:color w:val="000000"/>
              </w:rPr>
            </w:pPr>
            <w:r>
              <w:rPr>
                <w:rFonts w:ascii="Times New Roman" w:hAnsi="Times New Roman"/>
                <w:color w:val="000000"/>
              </w:rPr>
              <w:t>1</w:t>
            </w:r>
          </w:p>
        </w:tc>
        <w:tc>
          <w:tcPr>
            <w:tcW w:w="900" w:type="dxa"/>
            <w:tcBorders>
              <w:top w:val="single" w:color="auto" w:sz="4" w:space="0"/>
              <w:left w:val="single" w:color="auto" w:sz="4" w:space="0"/>
              <w:bottom w:val="single" w:color="auto" w:sz="4" w:space="0"/>
              <w:right w:val="single" w:color="auto" w:sz="4" w:space="0"/>
            </w:tcBorders>
            <w:noWrap/>
            <w:vAlign w:val="bottom"/>
            <w:hideMark/>
          </w:tcPr>
          <w:p w:rsidRPr="0059392B" w:rsidR="00BA155C" w:rsidP="00103678" w:rsidRDefault="00BA155C" w14:paraId="147F38C8" w14:textId="77777777">
            <w:pPr>
              <w:widowControl/>
              <w:autoSpaceDE/>
              <w:autoSpaceDN/>
              <w:adjustRightInd/>
              <w:jc w:val="right"/>
              <w:rPr>
                <w:rFonts w:ascii="Times New Roman" w:hAnsi="Times New Roman"/>
                <w:color w:val="000000"/>
              </w:rPr>
            </w:pPr>
            <w:r>
              <w:rPr>
                <w:rFonts w:ascii="Times New Roman" w:hAnsi="Times New Roman"/>
                <w:color w:val="000000"/>
              </w:rPr>
              <w:t>132</w:t>
            </w:r>
          </w:p>
        </w:tc>
        <w:tc>
          <w:tcPr>
            <w:tcW w:w="990" w:type="dxa"/>
            <w:tcBorders>
              <w:top w:val="single" w:color="auto" w:sz="4" w:space="0"/>
              <w:left w:val="single" w:color="auto" w:sz="4" w:space="0"/>
              <w:bottom w:val="single" w:color="auto" w:sz="4" w:space="0"/>
              <w:right w:val="single" w:color="auto" w:sz="4" w:space="0"/>
            </w:tcBorders>
            <w:noWrap/>
            <w:vAlign w:val="bottom"/>
            <w:hideMark/>
          </w:tcPr>
          <w:p w:rsidRPr="0059392B" w:rsidR="00BA155C" w:rsidP="00103678" w:rsidRDefault="00BA155C" w14:paraId="6FB21523" w14:textId="77777777">
            <w:pPr>
              <w:widowControl/>
              <w:autoSpaceDE/>
              <w:autoSpaceDN/>
              <w:adjustRightInd/>
              <w:jc w:val="right"/>
              <w:rPr>
                <w:rFonts w:ascii="Times New Roman" w:hAnsi="Times New Roman"/>
                <w:color w:val="000000"/>
              </w:rPr>
            </w:pPr>
            <w:r w:rsidRPr="0059392B">
              <w:rPr>
                <w:rFonts w:ascii="Times New Roman" w:hAnsi="Times New Roman"/>
                <w:color w:val="000000"/>
              </w:rPr>
              <w:t>$</w:t>
            </w:r>
            <w:r>
              <w:rPr>
                <w:rFonts w:ascii="Times New Roman" w:hAnsi="Times New Roman"/>
                <w:color w:val="000000"/>
              </w:rPr>
              <w:t>43.65</w:t>
            </w:r>
            <w:r w:rsidRPr="0059392B">
              <w:rPr>
                <w:rFonts w:ascii="Times New Roman" w:hAnsi="Times New Roman"/>
                <w:color w:val="000000"/>
              </w:rPr>
              <w:t xml:space="preserve"> </w:t>
            </w:r>
          </w:p>
        </w:tc>
        <w:tc>
          <w:tcPr>
            <w:tcW w:w="810" w:type="dxa"/>
            <w:tcBorders>
              <w:top w:val="single" w:color="auto" w:sz="4" w:space="0"/>
              <w:left w:val="single" w:color="auto" w:sz="4" w:space="0"/>
              <w:bottom w:val="single" w:color="auto" w:sz="4" w:space="0"/>
              <w:right w:val="single" w:color="auto" w:sz="4" w:space="0"/>
            </w:tcBorders>
            <w:noWrap/>
            <w:vAlign w:val="bottom"/>
            <w:hideMark/>
          </w:tcPr>
          <w:p w:rsidRPr="0059392B" w:rsidR="00BA155C" w:rsidP="00103678" w:rsidRDefault="00BA155C" w14:paraId="1DE1E0AB" w14:textId="77777777">
            <w:pPr>
              <w:widowControl/>
              <w:autoSpaceDE/>
              <w:autoSpaceDN/>
              <w:adjustRightInd/>
              <w:jc w:val="right"/>
              <w:rPr>
                <w:rFonts w:ascii="Times New Roman" w:hAnsi="Times New Roman"/>
                <w:color w:val="000000"/>
              </w:rPr>
            </w:pPr>
            <w:r w:rsidRPr="0059392B">
              <w:rPr>
                <w:rFonts w:ascii="Times New Roman" w:hAnsi="Times New Roman"/>
                <w:color w:val="000000"/>
              </w:rPr>
              <w:t>$</w:t>
            </w:r>
            <w:r>
              <w:rPr>
                <w:rFonts w:ascii="Times New Roman" w:hAnsi="Times New Roman"/>
                <w:color w:val="000000"/>
              </w:rPr>
              <w:t>5,761</w:t>
            </w:r>
            <w:r w:rsidRPr="0059392B">
              <w:rPr>
                <w:rFonts w:ascii="Times New Roman" w:hAnsi="Times New Roman"/>
                <w:color w:val="000000"/>
              </w:rPr>
              <w:t xml:space="preserve"> </w:t>
            </w:r>
          </w:p>
        </w:tc>
        <w:tc>
          <w:tcPr>
            <w:tcW w:w="900" w:type="dxa"/>
            <w:tcBorders>
              <w:top w:val="single" w:color="auto" w:sz="4" w:space="0"/>
              <w:left w:val="single" w:color="auto" w:sz="4" w:space="0"/>
              <w:bottom w:val="single" w:color="auto" w:sz="4" w:space="0"/>
              <w:right w:val="single" w:color="auto" w:sz="4" w:space="0"/>
            </w:tcBorders>
            <w:vAlign w:val="bottom"/>
          </w:tcPr>
          <w:p w:rsidRPr="0059392B" w:rsidR="00BA155C" w:rsidP="00B5538E" w:rsidRDefault="00BA155C" w14:paraId="7D74CAD2" w14:textId="77777777">
            <w:pPr>
              <w:widowControl/>
              <w:autoSpaceDE/>
              <w:autoSpaceDN/>
              <w:adjustRightInd/>
              <w:jc w:val="right"/>
              <w:rPr>
                <w:rFonts w:ascii="Times New Roman" w:hAnsi="Times New Roman"/>
                <w:color w:val="000000"/>
              </w:rPr>
            </w:pPr>
            <w:r>
              <w:rPr>
                <w:rFonts w:ascii="Times New Roman" w:hAnsi="Times New Roman"/>
                <w:color w:val="000000"/>
              </w:rPr>
              <w:t>$0</w:t>
            </w:r>
          </w:p>
        </w:tc>
      </w:tr>
    </w:tbl>
    <w:p w:rsidR="001D6B90" w:rsidP="00DB7D1D" w:rsidRDefault="001D6B90" w14:paraId="0478BF1D" w14:textId="77777777">
      <w:pPr>
        <w:pStyle w:val="NormalWeb"/>
        <w:spacing w:before="0" w:beforeAutospacing="0" w:after="0" w:afterAutospacing="0"/>
        <w:rPr>
          <w:rFonts w:ascii="Times New Roman" w:hAnsi="Times New Roman" w:cs="Times New Roman"/>
        </w:rPr>
      </w:pPr>
    </w:p>
    <w:p w:rsidRPr="00830386" w:rsidR="001D6B90" w:rsidP="00977048" w:rsidRDefault="001D6B90" w14:paraId="27486473" w14:textId="77777777">
      <w:pPr>
        <w:pStyle w:val="NormalWeb"/>
        <w:spacing w:before="0" w:beforeAutospacing="0" w:after="0" w:afterAutospacing="0"/>
        <w:rPr>
          <w:rFonts w:ascii="Times New Roman" w:hAnsi="Times New Roman" w:cs="Times New Roman"/>
          <w:u w:val="single"/>
        </w:rPr>
      </w:pPr>
      <w:r w:rsidRPr="00830386">
        <w:rPr>
          <w:rFonts w:ascii="Times New Roman" w:hAnsi="Times New Roman" w:cs="Times New Roman"/>
          <w:u w:val="single"/>
        </w:rPr>
        <w:t>Part 107, Subpart B –</w:t>
      </w:r>
      <w:r w:rsidR="00224946">
        <w:rPr>
          <w:rFonts w:ascii="Times New Roman" w:hAnsi="Times New Roman" w:cs="Times New Roman"/>
          <w:u w:val="single"/>
        </w:rPr>
        <w:t xml:space="preserve"> </w:t>
      </w:r>
      <w:r w:rsidRPr="00830386">
        <w:rPr>
          <w:rFonts w:ascii="Times New Roman" w:hAnsi="Times New Roman" w:cs="Times New Roman"/>
          <w:u w:val="single"/>
        </w:rPr>
        <w:t>Special Permit Applications – Recordkeeping</w:t>
      </w:r>
    </w:p>
    <w:p w:rsidR="001D6B90" w:rsidP="00977048" w:rsidRDefault="001D6B90" w14:paraId="1F424A00" w14:textId="77777777">
      <w:pPr>
        <w:pStyle w:val="NormalWeb"/>
        <w:spacing w:before="0" w:beforeAutospacing="0" w:after="0" w:afterAutospacing="0"/>
        <w:rPr>
          <w:rFonts w:ascii="Times New Roman" w:hAnsi="Times New Roman" w:cs="Times New Roman"/>
        </w:rPr>
      </w:pPr>
    </w:p>
    <w:p w:rsidR="00977048" w:rsidP="00977048" w:rsidRDefault="00B5538E" w14:paraId="4D1D9AA5" w14:textId="77777777">
      <w:pPr>
        <w:pStyle w:val="NormalWeb"/>
        <w:spacing w:before="0" w:beforeAutospacing="0" w:after="0" w:afterAutospacing="0"/>
        <w:rPr>
          <w:rFonts w:ascii="Times New Roman" w:hAnsi="Times New Roman" w:cs="Times New Roman"/>
        </w:rPr>
      </w:pPr>
      <w:r>
        <w:rPr>
          <w:rFonts w:ascii="Times New Roman" w:hAnsi="Times New Roman" w:cs="Times New Roman"/>
        </w:rPr>
        <w:t>S</w:t>
      </w:r>
      <w:r w:rsidR="00DC70A6">
        <w:rPr>
          <w:rFonts w:ascii="Times New Roman" w:hAnsi="Times New Roman" w:cs="Times New Roman"/>
        </w:rPr>
        <w:t xml:space="preserve">pecial permit holders </w:t>
      </w:r>
      <w:r w:rsidR="00BA3C1A">
        <w:rPr>
          <w:rFonts w:ascii="Times New Roman" w:hAnsi="Times New Roman" w:cs="Times New Roman"/>
        </w:rPr>
        <w:t xml:space="preserve">must </w:t>
      </w:r>
      <w:r w:rsidR="00DC70A6">
        <w:rPr>
          <w:rFonts w:ascii="Times New Roman" w:hAnsi="Times New Roman" w:cs="Times New Roman"/>
        </w:rPr>
        <w:t>provide a copy of the special permit</w:t>
      </w:r>
      <w:r w:rsidR="00CD1953">
        <w:rPr>
          <w:rFonts w:ascii="Times New Roman" w:hAnsi="Times New Roman" w:cs="Times New Roman"/>
        </w:rPr>
        <w:t xml:space="preserve"> as detailed in the special permit authorization</w:t>
      </w:r>
      <w:r w:rsidR="00DC70A6">
        <w:rPr>
          <w:rFonts w:ascii="Times New Roman" w:hAnsi="Times New Roman" w:cs="Times New Roman"/>
        </w:rPr>
        <w:t xml:space="preserve">, or to an official of the Department of Transportation, </w:t>
      </w:r>
      <w:r w:rsidR="00BA3C1A">
        <w:rPr>
          <w:rFonts w:ascii="Times New Roman" w:hAnsi="Times New Roman" w:cs="Times New Roman"/>
        </w:rPr>
        <w:t xml:space="preserve">upon </w:t>
      </w:r>
      <w:r w:rsidR="00DC70A6">
        <w:rPr>
          <w:rFonts w:ascii="Times New Roman" w:hAnsi="Times New Roman" w:cs="Times New Roman"/>
        </w:rPr>
        <w:t xml:space="preserve">request. </w:t>
      </w:r>
      <w:r w:rsidR="00587BDA">
        <w:rPr>
          <w:rFonts w:ascii="Times New Roman" w:hAnsi="Times New Roman" w:cs="Times New Roman"/>
        </w:rPr>
        <w:t xml:space="preserve"> </w:t>
      </w:r>
      <w:r w:rsidR="00DC70A6">
        <w:rPr>
          <w:rFonts w:ascii="Times New Roman" w:hAnsi="Times New Roman" w:cs="Times New Roman"/>
        </w:rPr>
        <w:t>PHMSA estimates there are 1,85</w:t>
      </w:r>
      <w:r>
        <w:rPr>
          <w:rFonts w:ascii="Times New Roman" w:hAnsi="Times New Roman" w:cs="Times New Roman"/>
        </w:rPr>
        <w:t>2</w:t>
      </w:r>
      <w:r w:rsidR="00DC70A6">
        <w:rPr>
          <w:rFonts w:ascii="Times New Roman" w:hAnsi="Times New Roman" w:cs="Times New Roman"/>
        </w:rPr>
        <w:t xml:space="preserve"> respondents who are required to furnish a special permit </w:t>
      </w:r>
      <w:r w:rsidR="0031004B">
        <w:rPr>
          <w:rFonts w:ascii="Times New Roman" w:hAnsi="Times New Roman" w:cs="Times New Roman"/>
        </w:rPr>
        <w:t>once</w:t>
      </w:r>
      <w:r w:rsidR="00DC70A6">
        <w:rPr>
          <w:rFonts w:ascii="Times New Roman" w:hAnsi="Times New Roman" w:cs="Times New Roman"/>
        </w:rPr>
        <w:t xml:space="preserve"> per year.  </w:t>
      </w:r>
      <w:r w:rsidR="00587BDA">
        <w:rPr>
          <w:rFonts w:ascii="Times New Roman" w:hAnsi="Times New Roman" w:cs="Times New Roman"/>
        </w:rPr>
        <w:t xml:space="preserve">Based on historical stakeholder feedback, </w:t>
      </w:r>
      <w:r>
        <w:rPr>
          <w:rFonts w:ascii="Times New Roman" w:hAnsi="Times New Roman" w:cs="Times New Roman"/>
        </w:rPr>
        <w:t>it</w:t>
      </w:r>
      <w:r w:rsidR="00DC70A6">
        <w:rPr>
          <w:rFonts w:ascii="Times New Roman" w:hAnsi="Times New Roman" w:cs="Times New Roman"/>
        </w:rPr>
        <w:t xml:space="preserve"> take</w:t>
      </w:r>
      <w:r>
        <w:rPr>
          <w:rFonts w:ascii="Times New Roman" w:hAnsi="Times New Roman" w:cs="Times New Roman"/>
        </w:rPr>
        <w:t>s</w:t>
      </w:r>
      <w:r w:rsidR="00DC70A6">
        <w:rPr>
          <w:rFonts w:ascii="Times New Roman" w:hAnsi="Times New Roman" w:cs="Times New Roman"/>
        </w:rPr>
        <w:t xml:space="preserve"> approximately </w:t>
      </w:r>
      <w:r>
        <w:rPr>
          <w:rFonts w:ascii="Times New Roman" w:hAnsi="Times New Roman" w:cs="Times New Roman"/>
        </w:rPr>
        <w:t>6 minutes</w:t>
      </w:r>
      <w:r w:rsidRPr="000D087B" w:rsidR="00DC70A6">
        <w:rPr>
          <w:rFonts w:ascii="Times New Roman" w:hAnsi="Times New Roman" w:cs="Times New Roman"/>
        </w:rPr>
        <w:t xml:space="preserve"> to </w:t>
      </w:r>
      <w:r>
        <w:rPr>
          <w:rFonts w:ascii="Times New Roman" w:hAnsi="Times New Roman" w:cs="Times New Roman"/>
        </w:rPr>
        <w:t>provide the documentation</w:t>
      </w:r>
      <w:r w:rsidR="00DC70A6">
        <w:rPr>
          <w:rFonts w:ascii="Times New Roman" w:hAnsi="Times New Roman" w:cs="Times New Roman"/>
        </w:rPr>
        <w:t>, for a total of 185 burden hours</w:t>
      </w:r>
      <w:r w:rsidR="00977048">
        <w:rPr>
          <w:rFonts w:ascii="Times New Roman" w:hAnsi="Times New Roman" w:cs="Times New Roman"/>
        </w:rPr>
        <w:t xml:space="preserve"> (1,85</w:t>
      </w:r>
      <w:r>
        <w:rPr>
          <w:rFonts w:ascii="Times New Roman" w:hAnsi="Times New Roman" w:cs="Times New Roman"/>
        </w:rPr>
        <w:t>2</w:t>
      </w:r>
      <w:r w:rsidR="00977048">
        <w:rPr>
          <w:rFonts w:ascii="Times New Roman" w:hAnsi="Times New Roman" w:cs="Times New Roman"/>
        </w:rPr>
        <w:t xml:space="preserve"> </w:t>
      </w:r>
      <w:r w:rsidRPr="00DC346F" w:rsidR="00BF5456">
        <w:rPr>
          <w:rFonts w:ascii="Times New Roman" w:hAnsi="Times New Roman" w:cs="Times New Roman"/>
        </w:rPr>
        <w:t xml:space="preserve">responses x </w:t>
      </w:r>
      <w:r>
        <w:rPr>
          <w:rFonts w:ascii="Times New Roman" w:hAnsi="Times New Roman" w:cs="Times New Roman"/>
        </w:rPr>
        <w:t>6 minutes</w:t>
      </w:r>
      <w:r w:rsidRPr="00DC346F" w:rsidR="00BF5456">
        <w:rPr>
          <w:rFonts w:ascii="Times New Roman" w:hAnsi="Times New Roman" w:cs="Times New Roman"/>
        </w:rPr>
        <w:t xml:space="preserve">/response).  </w:t>
      </w:r>
      <w:r w:rsidR="0031004B">
        <w:rPr>
          <w:rFonts w:ascii="Times New Roman" w:hAnsi="Times New Roman" w:cs="Times New Roman"/>
        </w:rPr>
        <w:t xml:space="preserve">PHMSA estimates that salary cost </w:t>
      </w:r>
      <w:r w:rsidR="00C46C58">
        <w:rPr>
          <w:rFonts w:ascii="Times New Roman" w:hAnsi="Times New Roman" w:cs="Times New Roman"/>
        </w:rPr>
        <w:t xml:space="preserve">is </w:t>
      </w:r>
      <w:r w:rsidRPr="000D087B" w:rsidR="00BF5456">
        <w:rPr>
          <w:rFonts w:ascii="Times New Roman" w:hAnsi="Times New Roman" w:cs="Times New Roman"/>
        </w:rPr>
        <w:t>$</w:t>
      </w:r>
      <w:r w:rsidR="00E12B2D">
        <w:rPr>
          <w:rFonts w:ascii="Times New Roman" w:hAnsi="Times New Roman" w:cs="Times New Roman"/>
        </w:rPr>
        <w:t>43.56</w:t>
      </w:r>
      <w:r w:rsidRPr="000D087B" w:rsidR="00BF5456">
        <w:rPr>
          <w:rFonts w:ascii="Times New Roman" w:hAnsi="Times New Roman" w:cs="Times New Roman"/>
        </w:rPr>
        <w:t>/hour</w:t>
      </w:r>
      <w:r w:rsidRPr="000D087B" w:rsidR="0031004B">
        <w:rPr>
          <w:rFonts w:ascii="Times New Roman" w:hAnsi="Times New Roman" w:cs="Times New Roman"/>
        </w:rPr>
        <w:t>,</w:t>
      </w:r>
      <w:r w:rsidRPr="000D087B" w:rsidR="00C46C58">
        <w:rPr>
          <w:rStyle w:val="FootnoteReference"/>
          <w:rFonts w:ascii="Times New Roman" w:hAnsi="Times New Roman" w:cs="Times New Roman"/>
        </w:rPr>
        <w:footnoteReference w:id="6"/>
      </w:r>
      <w:r w:rsidR="0031004B">
        <w:rPr>
          <w:rFonts w:ascii="Times New Roman" w:hAnsi="Times New Roman" w:cs="Times New Roman"/>
        </w:rPr>
        <w:t xml:space="preserve"> </w:t>
      </w:r>
      <w:r w:rsidR="00977048">
        <w:rPr>
          <w:rFonts w:ascii="Times New Roman" w:hAnsi="Times New Roman" w:cs="Times New Roman"/>
        </w:rPr>
        <w:t>for a total of $</w:t>
      </w:r>
      <w:r w:rsidR="00E12B2D">
        <w:rPr>
          <w:rFonts w:ascii="Times New Roman" w:hAnsi="Times New Roman" w:cs="Times New Roman"/>
        </w:rPr>
        <w:t>8,803</w:t>
      </w:r>
      <w:r w:rsidR="00977048">
        <w:rPr>
          <w:rFonts w:ascii="Times New Roman" w:hAnsi="Times New Roman" w:cs="Times New Roman"/>
        </w:rPr>
        <w:t xml:space="preserve"> in salary cost</w:t>
      </w:r>
      <w:r w:rsidR="00BA3C1A">
        <w:rPr>
          <w:rFonts w:ascii="Times New Roman" w:hAnsi="Times New Roman" w:cs="Times New Roman"/>
        </w:rPr>
        <w:t>s</w:t>
      </w:r>
      <w:r w:rsidR="00977048">
        <w:rPr>
          <w:rFonts w:ascii="Times New Roman" w:hAnsi="Times New Roman" w:cs="Times New Roman"/>
        </w:rPr>
        <w:t xml:space="preserve"> (1</w:t>
      </w:r>
      <w:r w:rsidR="00C46C58">
        <w:rPr>
          <w:rFonts w:ascii="Times New Roman" w:hAnsi="Times New Roman" w:cs="Times New Roman"/>
        </w:rPr>
        <w:t>85 </w:t>
      </w:r>
      <w:r w:rsidR="00137594">
        <w:rPr>
          <w:rFonts w:ascii="Times New Roman" w:hAnsi="Times New Roman" w:cs="Times New Roman"/>
        </w:rPr>
        <w:t>burden hours</w:t>
      </w:r>
      <w:r w:rsidRPr="00DC346F" w:rsidR="00BF5456">
        <w:rPr>
          <w:rFonts w:ascii="Times New Roman" w:hAnsi="Times New Roman" w:cs="Times New Roman"/>
        </w:rPr>
        <w:t xml:space="preserve"> x $</w:t>
      </w:r>
      <w:r w:rsidR="00E12B2D">
        <w:rPr>
          <w:rFonts w:ascii="Times New Roman" w:hAnsi="Times New Roman" w:cs="Times New Roman"/>
        </w:rPr>
        <w:t>43.56</w:t>
      </w:r>
      <w:r w:rsidRPr="00DC346F" w:rsidR="00BF5456">
        <w:rPr>
          <w:rFonts w:ascii="Times New Roman" w:hAnsi="Times New Roman" w:cs="Times New Roman"/>
        </w:rPr>
        <w:t>/response).</w:t>
      </w:r>
      <w:r w:rsidR="00C46C58">
        <w:rPr>
          <w:rFonts w:ascii="Times New Roman" w:hAnsi="Times New Roman" w:cs="Times New Roman"/>
        </w:rPr>
        <w:t xml:space="preserve">  PHMSA does not estimate any out-of-pocket expenses.</w:t>
      </w:r>
    </w:p>
    <w:p w:rsidR="00A415A4" w:rsidP="00DB7D1D" w:rsidRDefault="00A415A4" w14:paraId="03C29213" w14:textId="77777777">
      <w:pPr>
        <w:pStyle w:val="NormalWeb"/>
        <w:spacing w:before="0" w:beforeAutospacing="0" w:after="0" w:afterAutospacing="0"/>
        <w:rPr>
          <w:rFonts w:ascii="Times New Roman" w:hAnsi="Times New Roman" w:cs="Times New Roman"/>
        </w:rPr>
      </w:pPr>
    </w:p>
    <w:tbl>
      <w:tblPr>
        <w:tblW w:w="10841" w:type="dxa"/>
        <w:jc w:val="center"/>
        <w:tblLayout w:type="fixed"/>
        <w:tblCellMar>
          <w:top w:w="15" w:type="dxa"/>
          <w:bottom w:w="15" w:type="dxa"/>
        </w:tblCellMar>
        <w:tblLook w:val="04A0" w:firstRow="1" w:lastRow="0" w:firstColumn="1" w:lastColumn="0" w:noHBand="0" w:noVBand="1"/>
      </w:tblPr>
      <w:tblGrid>
        <w:gridCol w:w="2373"/>
        <w:gridCol w:w="1350"/>
        <w:gridCol w:w="1268"/>
        <w:gridCol w:w="1170"/>
        <w:gridCol w:w="1080"/>
        <w:gridCol w:w="900"/>
        <w:gridCol w:w="990"/>
        <w:gridCol w:w="810"/>
        <w:gridCol w:w="900"/>
      </w:tblGrid>
      <w:tr w:rsidRPr="00977048" w:rsidR="00BA155C" w:rsidTr="00830386" w14:paraId="100E06E1" w14:textId="77777777">
        <w:trPr>
          <w:trHeight w:val="630"/>
          <w:jc w:val="center"/>
        </w:trPr>
        <w:tc>
          <w:tcPr>
            <w:tcW w:w="2373" w:type="dxa"/>
            <w:tcBorders>
              <w:top w:val="single" w:color="auto" w:sz="4" w:space="0"/>
              <w:left w:val="single" w:color="auto" w:sz="4" w:space="0"/>
              <w:bottom w:val="single" w:color="auto" w:sz="4" w:space="0"/>
              <w:right w:val="single" w:color="auto" w:sz="4" w:space="0"/>
            </w:tcBorders>
            <w:vAlign w:val="bottom"/>
          </w:tcPr>
          <w:p w:rsidRPr="00830386" w:rsidR="00BA155C" w:rsidP="00830386" w:rsidRDefault="00BA155C" w14:paraId="5A6A861E" w14:textId="77777777">
            <w:pPr>
              <w:widowControl/>
              <w:autoSpaceDE/>
              <w:autoSpaceDN/>
              <w:adjustRightInd/>
              <w:rPr>
                <w:rFonts w:ascii="Times New Roman" w:hAnsi="Times New Roman"/>
                <w:b/>
                <w:bCs/>
                <w:color w:val="000000"/>
                <w:u w:val="single"/>
              </w:rPr>
            </w:pPr>
            <w:r w:rsidRPr="00830386">
              <w:rPr>
                <w:rFonts w:ascii="Times New Roman" w:hAnsi="Times New Roman"/>
                <w:b/>
                <w:bCs/>
                <w:color w:val="000000"/>
              </w:rPr>
              <w:t xml:space="preserve">Special Permit Application – § 107.105        </w:t>
            </w:r>
          </w:p>
        </w:tc>
        <w:tc>
          <w:tcPr>
            <w:tcW w:w="1350" w:type="dxa"/>
            <w:tcBorders>
              <w:top w:val="single" w:color="auto" w:sz="4" w:space="0"/>
              <w:left w:val="single" w:color="auto" w:sz="4" w:space="0"/>
              <w:bottom w:val="single" w:color="auto" w:sz="4" w:space="0"/>
              <w:right w:val="single" w:color="auto" w:sz="4" w:space="0"/>
            </w:tcBorders>
            <w:vAlign w:val="bottom"/>
            <w:hideMark/>
          </w:tcPr>
          <w:p w:rsidRPr="00830386" w:rsidR="00BA155C" w:rsidP="00977048" w:rsidRDefault="00BA155C" w14:paraId="43A814F9"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Annual Respondents</w:t>
            </w:r>
          </w:p>
        </w:tc>
        <w:tc>
          <w:tcPr>
            <w:tcW w:w="1268" w:type="dxa"/>
            <w:tcBorders>
              <w:top w:val="single" w:color="auto" w:sz="4" w:space="0"/>
              <w:left w:val="single" w:color="auto" w:sz="4" w:space="0"/>
              <w:bottom w:val="single" w:color="auto" w:sz="4" w:space="0"/>
              <w:right w:val="single" w:color="auto" w:sz="4" w:space="0"/>
            </w:tcBorders>
            <w:vAlign w:val="bottom"/>
            <w:hideMark/>
          </w:tcPr>
          <w:p w:rsidRPr="00830386" w:rsidR="00BA155C" w:rsidP="00977048" w:rsidRDefault="00BA155C" w14:paraId="223979C3"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Responses per Respondent</w:t>
            </w:r>
          </w:p>
        </w:tc>
        <w:tc>
          <w:tcPr>
            <w:tcW w:w="1170" w:type="dxa"/>
            <w:tcBorders>
              <w:top w:val="single" w:color="auto" w:sz="4" w:space="0"/>
              <w:left w:val="single" w:color="auto" w:sz="4" w:space="0"/>
              <w:bottom w:val="single" w:color="auto" w:sz="4" w:space="0"/>
              <w:right w:val="single" w:color="auto" w:sz="4" w:space="0"/>
            </w:tcBorders>
            <w:vAlign w:val="bottom"/>
            <w:hideMark/>
          </w:tcPr>
          <w:p w:rsidRPr="00830386" w:rsidR="00BA155C" w:rsidP="00977048" w:rsidRDefault="00BA155C" w14:paraId="1200F77F"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Number of Responses</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830386" w:rsidR="00BA155C" w:rsidP="00977048" w:rsidRDefault="00BA155C" w14:paraId="4A238BD1"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Minutes per Response</w:t>
            </w:r>
          </w:p>
        </w:tc>
        <w:tc>
          <w:tcPr>
            <w:tcW w:w="900" w:type="dxa"/>
            <w:tcBorders>
              <w:top w:val="single" w:color="auto" w:sz="4" w:space="0"/>
              <w:left w:val="single" w:color="auto" w:sz="4" w:space="0"/>
              <w:bottom w:val="single" w:color="auto" w:sz="4" w:space="0"/>
              <w:right w:val="single" w:color="auto" w:sz="4" w:space="0"/>
            </w:tcBorders>
            <w:vAlign w:val="bottom"/>
            <w:hideMark/>
          </w:tcPr>
          <w:p w:rsidRPr="00830386" w:rsidR="00BA155C" w:rsidP="00977048" w:rsidRDefault="00BA155C" w14:paraId="50B7B21B"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Total Burden Hours</w:t>
            </w:r>
          </w:p>
        </w:tc>
        <w:tc>
          <w:tcPr>
            <w:tcW w:w="990" w:type="dxa"/>
            <w:tcBorders>
              <w:top w:val="single" w:color="auto" w:sz="4" w:space="0"/>
              <w:left w:val="single" w:color="auto" w:sz="4" w:space="0"/>
              <w:bottom w:val="single" w:color="auto" w:sz="4" w:space="0"/>
              <w:right w:val="single" w:color="auto" w:sz="4" w:space="0"/>
            </w:tcBorders>
            <w:vAlign w:val="bottom"/>
            <w:hideMark/>
          </w:tcPr>
          <w:p w:rsidRPr="00830386" w:rsidR="00BA155C" w:rsidP="00977048" w:rsidRDefault="00BA155C" w14:paraId="3238A634"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Salary Cost per Hour</w:t>
            </w:r>
          </w:p>
        </w:tc>
        <w:tc>
          <w:tcPr>
            <w:tcW w:w="810" w:type="dxa"/>
            <w:tcBorders>
              <w:top w:val="single" w:color="auto" w:sz="4" w:space="0"/>
              <w:left w:val="single" w:color="auto" w:sz="4" w:space="0"/>
              <w:bottom w:val="single" w:color="auto" w:sz="4" w:space="0"/>
              <w:right w:val="single" w:color="auto" w:sz="4" w:space="0"/>
            </w:tcBorders>
            <w:vAlign w:val="bottom"/>
            <w:hideMark/>
          </w:tcPr>
          <w:p w:rsidRPr="00830386" w:rsidR="00BA155C" w:rsidP="00977048" w:rsidRDefault="00BA155C" w14:paraId="424CDE0D"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Total Salary Cost</w:t>
            </w:r>
          </w:p>
        </w:tc>
        <w:tc>
          <w:tcPr>
            <w:tcW w:w="900" w:type="dxa"/>
            <w:tcBorders>
              <w:top w:val="single" w:color="auto" w:sz="4" w:space="0"/>
              <w:left w:val="single" w:color="auto" w:sz="4" w:space="0"/>
              <w:bottom w:val="single" w:color="auto" w:sz="4" w:space="0"/>
              <w:right w:val="single" w:color="auto" w:sz="4" w:space="0"/>
            </w:tcBorders>
            <w:vAlign w:val="bottom"/>
          </w:tcPr>
          <w:p w:rsidRPr="00830386" w:rsidR="00BA155C" w:rsidP="00B5538E" w:rsidRDefault="00BA155C" w14:paraId="19EF654D" w14:textId="77777777">
            <w:pPr>
              <w:widowControl/>
              <w:autoSpaceDE/>
              <w:autoSpaceDN/>
              <w:adjustRightInd/>
              <w:jc w:val="center"/>
              <w:rPr>
                <w:rFonts w:ascii="Times New Roman" w:hAnsi="Times New Roman"/>
                <w:b/>
                <w:bCs/>
                <w:color w:val="000000"/>
                <w:u w:val="single"/>
              </w:rPr>
            </w:pPr>
            <w:r w:rsidRPr="00830386">
              <w:rPr>
                <w:rFonts w:ascii="Times New Roman" w:hAnsi="Times New Roman"/>
                <w:b/>
                <w:bCs/>
                <w:color w:val="000000"/>
                <w:u w:val="single"/>
              </w:rPr>
              <w:t>Total Burden Cost</w:t>
            </w:r>
          </w:p>
        </w:tc>
      </w:tr>
      <w:tr w:rsidRPr="00977048" w:rsidR="00BA155C" w:rsidTr="00830386" w14:paraId="63A8E935" w14:textId="77777777">
        <w:trPr>
          <w:trHeight w:val="35"/>
          <w:jc w:val="center"/>
        </w:trPr>
        <w:tc>
          <w:tcPr>
            <w:tcW w:w="2373" w:type="dxa"/>
            <w:tcBorders>
              <w:top w:val="single" w:color="auto" w:sz="4" w:space="0"/>
              <w:left w:val="single" w:color="auto" w:sz="4" w:space="0"/>
              <w:bottom w:val="single" w:color="auto" w:sz="4" w:space="0"/>
              <w:right w:val="single" w:color="auto" w:sz="4" w:space="0"/>
            </w:tcBorders>
            <w:vAlign w:val="bottom"/>
          </w:tcPr>
          <w:p w:rsidR="00BA155C" w:rsidP="000D087B" w:rsidRDefault="00BA155C" w14:paraId="052A994B" w14:textId="77777777">
            <w:pPr>
              <w:widowControl/>
              <w:autoSpaceDE/>
              <w:autoSpaceDN/>
              <w:adjustRightInd/>
              <w:rPr>
                <w:rFonts w:ascii="Times New Roman" w:hAnsi="Times New Roman"/>
                <w:color w:val="000000"/>
              </w:rPr>
            </w:pPr>
            <w:r>
              <w:rPr>
                <w:rFonts w:ascii="Times New Roman" w:hAnsi="Times New Roman"/>
                <w:color w:val="000000"/>
              </w:rPr>
              <w:t>Recordkeeping</w:t>
            </w:r>
          </w:p>
        </w:tc>
        <w:tc>
          <w:tcPr>
            <w:tcW w:w="1350" w:type="dxa"/>
            <w:tcBorders>
              <w:top w:val="single" w:color="auto" w:sz="4" w:space="0"/>
              <w:left w:val="single" w:color="auto" w:sz="4" w:space="0"/>
              <w:bottom w:val="single" w:color="auto" w:sz="4" w:space="0"/>
              <w:right w:val="single" w:color="auto" w:sz="4" w:space="0"/>
            </w:tcBorders>
            <w:noWrap/>
            <w:vAlign w:val="bottom"/>
            <w:hideMark/>
          </w:tcPr>
          <w:p w:rsidRPr="00977048" w:rsidR="00BA155C" w:rsidP="00977048" w:rsidRDefault="00BA155C" w14:paraId="4E478486" w14:textId="77777777">
            <w:pPr>
              <w:widowControl/>
              <w:autoSpaceDE/>
              <w:autoSpaceDN/>
              <w:adjustRightInd/>
              <w:jc w:val="right"/>
              <w:rPr>
                <w:rFonts w:ascii="Times New Roman" w:hAnsi="Times New Roman"/>
                <w:color w:val="000000"/>
              </w:rPr>
            </w:pPr>
            <w:r w:rsidRPr="00977048">
              <w:rPr>
                <w:rFonts w:ascii="Times New Roman" w:hAnsi="Times New Roman"/>
                <w:color w:val="000000"/>
              </w:rPr>
              <w:t>1</w:t>
            </w:r>
            <w:r>
              <w:rPr>
                <w:rFonts w:ascii="Times New Roman" w:hAnsi="Times New Roman"/>
                <w:color w:val="000000"/>
              </w:rPr>
              <w:t>,</w:t>
            </w:r>
            <w:r w:rsidRPr="00977048">
              <w:rPr>
                <w:rFonts w:ascii="Times New Roman" w:hAnsi="Times New Roman"/>
                <w:color w:val="000000"/>
              </w:rPr>
              <w:t>852</w:t>
            </w:r>
          </w:p>
        </w:tc>
        <w:tc>
          <w:tcPr>
            <w:tcW w:w="1268" w:type="dxa"/>
            <w:tcBorders>
              <w:top w:val="single" w:color="auto" w:sz="4" w:space="0"/>
              <w:left w:val="single" w:color="auto" w:sz="4" w:space="0"/>
              <w:bottom w:val="single" w:color="auto" w:sz="4" w:space="0"/>
              <w:right w:val="single" w:color="auto" w:sz="4" w:space="0"/>
            </w:tcBorders>
            <w:noWrap/>
            <w:vAlign w:val="bottom"/>
            <w:hideMark/>
          </w:tcPr>
          <w:p w:rsidRPr="00977048" w:rsidR="00BA155C" w:rsidP="00977048" w:rsidRDefault="00BA155C" w14:paraId="28B3DDF3" w14:textId="77777777">
            <w:pPr>
              <w:widowControl/>
              <w:autoSpaceDE/>
              <w:autoSpaceDN/>
              <w:adjustRightInd/>
              <w:jc w:val="right"/>
              <w:rPr>
                <w:rFonts w:ascii="Times New Roman" w:hAnsi="Times New Roman"/>
                <w:color w:val="000000"/>
              </w:rPr>
            </w:pPr>
            <w:r w:rsidRPr="00977048">
              <w:rPr>
                <w:rFonts w:ascii="Times New Roman" w:hAnsi="Times New Roman"/>
                <w:color w:val="000000"/>
              </w:rPr>
              <w:t>1</w:t>
            </w:r>
          </w:p>
        </w:tc>
        <w:tc>
          <w:tcPr>
            <w:tcW w:w="1170" w:type="dxa"/>
            <w:tcBorders>
              <w:top w:val="single" w:color="auto" w:sz="4" w:space="0"/>
              <w:left w:val="single" w:color="auto" w:sz="4" w:space="0"/>
              <w:bottom w:val="single" w:color="auto" w:sz="4" w:space="0"/>
              <w:right w:val="single" w:color="auto" w:sz="4" w:space="0"/>
            </w:tcBorders>
            <w:noWrap/>
            <w:vAlign w:val="bottom"/>
            <w:hideMark/>
          </w:tcPr>
          <w:p w:rsidRPr="00977048" w:rsidR="00BA155C" w:rsidP="00977048" w:rsidRDefault="00BA155C" w14:paraId="175681E1" w14:textId="77777777">
            <w:pPr>
              <w:widowControl/>
              <w:autoSpaceDE/>
              <w:autoSpaceDN/>
              <w:adjustRightInd/>
              <w:jc w:val="right"/>
              <w:rPr>
                <w:rFonts w:ascii="Times New Roman" w:hAnsi="Times New Roman"/>
                <w:color w:val="000000"/>
              </w:rPr>
            </w:pPr>
            <w:r w:rsidRPr="00977048">
              <w:rPr>
                <w:rFonts w:ascii="Times New Roman" w:hAnsi="Times New Roman"/>
                <w:color w:val="000000"/>
              </w:rPr>
              <w:t>1</w:t>
            </w:r>
            <w:r>
              <w:rPr>
                <w:rFonts w:ascii="Times New Roman" w:hAnsi="Times New Roman"/>
                <w:color w:val="000000"/>
              </w:rPr>
              <w:t>,</w:t>
            </w:r>
            <w:r w:rsidRPr="00977048">
              <w:rPr>
                <w:rFonts w:ascii="Times New Roman" w:hAnsi="Times New Roman"/>
                <w:color w:val="000000"/>
              </w:rPr>
              <w:t>852</w:t>
            </w:r>
          </w:p>
        </w:tc>
        <w:tc>
          <w:tcPr>
            <w:tcW w:w="1080" w:type="dxa"/>
            <w:tcBorders>
              <w:top w:val="single" w:color="auto" w:sz="4" w:space="0"/>
              <w:left w:val="single" w:color="auto" w:sz="4" w:space="0"/>
              <w:bottom w:val="single" w:color="auto" w:sz="4" w:space="0"/>
              <w:right w:val="single" w:color="auto" w:sz="4" w:space="0"/>
            </w:tcBorders>
            <w:noWrap/>
            <w:vAlign w:val="bottom"/>
            <w:hideMark/>
          </w:tcPr>
          <w:p w:rsidRPr="00977048" w:rsidR="00BA155C" w:rsidP="00977048" w:rsidRDefault="00BA155C" w14:paraId="6CC15CF7" w14:textId="77777777">
            <w:pPr>
              <w:widowControl/>
              <w:autoSpaceDE/>
              <w:autoSpaceDN/>
              <w:adjustRightInd/>
              <w:jc w:val="right"/>
              <w:rPr>
                <w:rFonts w:ascii="Times New Roman" w:hAnsi="Times New Roman"/>
                <w:color w:val="000000"/>
              </w:rPr>
            </w:pPr>
            <w:r>
              <w:rPr>
                <w:rFonts w:ascii="Times New Roman" w:hAnsi="Times New Roman"/>
                <w:color w:val="000000"/>
              </w:rPr>
              <w:t>6</w:t>
            </w:r>
          </w:p>
        </w:tc>
        <w:tc>
          <w:tcPr>
            <w:tcW w:w="900" w:type="dxa"/>
            <w:tcBorders>
              <w:top w:val="single" w:color="auto" w:sz="4" w:space="0"/>
              <w:left w:val="single" w:color="auto" w:sz="4" w:space="0"/>
              <w:bottom w:val="single" w:color="auto" w:sz="4" w:space="0"/>
              <w:right w:val="single" w:color="auto" w:sz="4" w:space="0"/>
            </w:tcBorders>
            <w:noWrap/>
            <w:vAlign w:val="bottom"/>
            <w:hideMark/>
          </w:tcPr>
          <w:p w:rsidRPr="00977048" w:rsidR="00BA155C" w:rsidP="00977048" w:rsidRDefault="00BA155C" w14:paraId="511873D4" w14:textId="77777777">
            <w:pPr>
              <w:widowControl/>
              <w:autoSpaceDE/>
              <w:autoSpaceDN/>
              <w:adjustRightInd/>
              <w:jc w:val="right"/>
              <w:rPr>
                <w:rFonts w:ascii="Times New Roman" w:hAnsi="Times New Roman"/>
                <w:color w:val="000000"/>
              </w:rPr>
            </w:pPr>
            <w:r>
              <w:rPr>
                <w:rFonts w:ascii="Times New Roman" w:hAnsi="Times New Roman"/>
                <w:color w:val="000000"/>
              </w:rPr>
              <w:t>185</w:t>
            </w:r>
          </w:p>
        </w:tc>
        <w:tc>
          <w:tcPr>
            <w:tcW w:w="990" w:type="dxa"/>
            <w:tcBorders>
              <w:top w:val="single" w:color="auto" w:sz="4" w:space="0"/>
              <w:left w:val="single" w:color="auto" w:sz="4" w:space="0"/>
              <w:bottom w:val="single" w:color="auto" w:sz="4" w:space="0"/>
              <w:right w:val="single" w:color="auto" w:sz="4" w:space="0"/>
            </w:tcBorders>
            <w:noWrap/>
            <w:vAlign w:val="bottom"/>
            <w:hideMark/>
          </w:tcPr>
          <w:p w:rsidRPr="00977048" w:rsidR="00BA155C" w:rsidP="00977048" w:rsidRDefault="00BA155C" w14:paraId="32206ED9" w14:textId="77777777">
            <w:pPr>
              <w:widowControl/>
              <w:autoSpaceDE/>
              <w:autoSpaceDN/>
              <w:adjustRightInd/>
              <w:jc w:val="right"/>
              <w:rPr>
                <w:rFonts w:ascii="Times New Roman" w:hAnsi="Times New Roman"/>
                <w:color w:val="000000"/>
              </w:rPr>
            </w:pPr>
            <w:r w:rsidRPr="00977048">
              <w:rPr>
                <w:rFonts w:ascii="Times New Roman" w:hAnsi="Times New Roman"/>
                <w:color w:val="000000"/>
              </w:rPr>
              <w:t>$</w:t>
            </w:r>
            <w:r>
              <w:rPr>
                <w:rFonts w:ascii="Times New Roman" w:hAnsi="Times New Roman"/>
                <w:color w:val="000000"/>
              </w:rPr>
              <w:t>43.56</w:t>
            </w:r>
            <w:r w:rsidRPr="00977048">
              <w:rPr>
                <w:rFonts w:ascii="Times New Roman" w:hAnsi="Times New Roman"/>
                <w:color w:val="000000"/>
              </w:rPr>
              <w:t xml:space="preserve"> </w:t>
            </w:r>
          </w:p>
        </w:tc>
        <w:tc>
          <w:tcPr>
            <w:tcW w:w="810" w:type="dxa"/>
            <w:tcBorders>
              <w:top w:val="single" w:color="auto" w:sz="4" w:space="0"/>
              <w:left w:val="single" w:color="auto" w:sz="4" w:space="0"/>
              <w:bottom w:val="single" w:color="auto" w:sz="4" w:space="0"/>
              <w:right w:val="single" w:color="auto" w:sz="4" w:space="0"/>
            </w:tcBorders>
            <w:noWrap/>
            <w:vAlign w:val="bottom"/>
            <w:hideMark/>
          </w:tcPr>
          <w:p w:rsidRPr="00977048" w:rsidR="00BA155C" w:rsidP="00977048" w:rsidRDefault="00BA155C" w14:paraId="214944B7" w14:textId="77777777">
            <w:pPr>
              <w:widowControl/>
              <w:autoSpaceDE/>
              <w:autoSpaceDN/>
              <w:adjustRightInd/>
              <w:jc w:val="right"/>
              <w:rPr>
                <w:rFonts w:ascii="Times New Roman" w:hAnsi="Times New Roman"/>
                <w:color w:val="000000"/>
              </w:rPr>
            </w:pPr>
            <w:r w:rsidRPr="00977048">
              <w:rPr>
                <w:rFonts w:ascii="Times New Roman" w:hAnsi="Times New Roman"/>
                <w:color w:val="000000"/>
              </w:rPr>
              <w:t>$</w:t>
            </w:r>
            <w:r>
              <w:rPr>
                <w:rFonts w:ascii="Times New Roman" w:hAnsi="Times New Roman"/>
                <w:color w:val="000000"/>
              </w:rPr>
              <w:t>8,083</w:t>
            </w:r>
            <w:r w:rsidRPr="00977048">
              <w:rPr>
                <w:rFonts w:ascii="Times New Roman" w:hAnsi="Times New Roman"/>
                <w:color w:val="000000"/>
              </w:rPr>
              <w:t xml:space="preserve"> </w:t>
            </w:r>
          </w:p>
        </w:tc>
        <w:tc>
          <w:tcPr>
            <w:tcW w:w="900" w:type="dxa"/>
            <w:tcBorders>
              <w:top w:val="single" w:color="auto" w:sz="4" w:space="0"/>
              <w:left w:val="single" w:color="auto" w:sz="4" w:space="0"/>
              <w:bottom w:val="single" w:color="auto" w:sz="4" w:space="0"/>
              <w:right w:val="single" w:color="auto" w:sz="4" w:space="0"/>
            </w:tcBorders>
            <w:vAlign w:val="bottom"/>
          </w:tcPr>
          <w:p w:rsidRPr="00977048" w:rsidR="00BA155C" w:rsidP="00B5538E" w:rsidRDefault="00BA155C" w14:paraId="12DDD7B5" w14:textId="77777777">
            <w:pPr>
              <w:widowControl/>
              <w:autoSpaceDE/>
              <w:autoSpaceDN/>
              <w:adjustRightInd/>
              <w:jc w:val="right"/>
              <w:rPr>
                <w:rFonts w:ascii="Times New Roman" w:hAnsi="Times New Roman"/>
                <w:color w:val="000000"/>
              </w:rPr>
            </w:pPr>
            <w:r>
              <w:rPr>
                <w:rFonts w:ascii="Times New Roman" w:hAnsi="Times New Roman"/>
                <w:color w:val="000000"/>
              </w:rPr>
              <w:t>$0</w:t>
            </w:r>
          </w:p>
        </w:tc>
      </w:tr>
    </w:tbl>
    <w:p w:rsidR="0059392B" w:rsidP="00DC346F" w:rsidRDefault="0059392B" w14:paraId="620787C5" w14:textId="77777777">
      <w:pPr>
        <w:pStyle w:val="NormalWeb"/>
        <w:spacing w:before="0" w:beforeAutospacing="0" w:after="0" w:afterAutospacing="0"/>
        <w:rPr>
          <w:rFonts w:ascii="Times New Roman" w:hAnsi="Times New Roman" w:eastAsia="Times New Roman" w:cs="Times New Roman"/>
          <w:color w:val="000000"/>
          <w:u w:val="single"/>
        </w:rPr>
      </w:pPr>
    </w:p>
    <w:p w:rsidRPr="003E495A" w:rsidR="00E12B2D" w:rsidP="00DC346F" w:rsidRDefault="00224946" w14:paraId="55F07186" w14:textId="77777777">
      <w:pPr>
        <w:pStyle w:val="NormalWeb"/>
        <w:spacing w:before="0" w:beforeAutospacing="0" w:after="0" w:afterAutospacing="0"/>
        <w:rPr>
          <w:rFonts w:ascii="Times New Roman" w:hAnsi="Times New Roman" w:cs="Times New Roman"/>
          <w:u w:val="single"/>
        </w:rPr>
      </w:pPr>
      <w:r>
        <w:rPr>
          <w:rFonts w:ascii="Times New Roman" w:hAnsi="Times New Roman" w:cs="Times New Roman"/>
          <w:u w:val="single"/>
        </w:rPr>
        <w:t>Part 107, Subpart B – Special Permit Applications – Request for US</w:t>
      </w:r>
      <w:r w:rsidRPr="003E495A">
        <w:rPr>
          <w:rFonts w:ascii="Times New Roman" w:hAnsi="Times New Roman" w:cs="Times New Roman"/>
          <w:u w:val="single"/>
        </w:rPr>
        <w:t xml:space="preserve"> </w:t>
      </w:r>
      <w:r w:rsidRPr="003E495A" w:rsidR="00E12B2D">
        <w:rPr>
          <w:rFonts w:ascii="Times New Roman" w:hAnsi="Times New Roman" w:cs="Times New Roman"/>
          <w:u w:val="single"/>
        </w:rPr>
        <w:t>Agent</w:t>
      </w:r>
    </w:p>
    <w:p w:rsidR="00E12B2D" w:rsidP="00DC346F" w:rsidRDefault="00E12B2D" w14:paraId="043FFD2C" w14:textId="77777777">
      <w:pPr>
        <w:pStyle w:val="NormalWeb"/>
        <w:spacing w:before="0" w:beforeAutospacing="0" w:after="0" w:afterAutospacing="0"/>
        <w:rPr>
          <w:rFonts w:ascii="Times New Roman" w:hAnsi="Times New Roman" w:cs="Times New Roman"/>
        </w:rPr>
      </w:pPr>
    </w:p>
    <w:p w:rsidRPr="00DC346F" w:rsidR="00DC346F" w:rsidP="00DC346F" w:rsidRDefault="00977048" w14:paraId="25E02C25" w14:textId="77777777">
      <w:pPr>
        <w:pStyle w:val="NormalWeb"/>
        <w:spacing w:before="0" w:beforeAutospacing="0" w:after="0" w:afterAutospacing="0"/>
        <w:rPr>
          <w:rFonts w:ascii="Times New Roman" w:hAnsi="Times New Roman" w:cs="Times New Roman"/>
        </w:rPr>
      </w:pPr>
      <w:r>
        <w:rPr>
          <w:rFonts w:ascii="Times New Roman" w:hAnsi="Times New Roman" w:cs="Times New Roman"/>
        </w:rPr>
        <w:t>S</w:t>
      </w:r>
      <w:r w:rsidRPr="00DC346F" w:rsidR="007632BB">
        <w:rPr>
          <w:rFonts w:ascii="Times New Roman" w:hAnsi="Times New Roman" w:cs="Times New Roman"/>
        </w:rPr>
        <w:t xml:space="preserve">pecial permit holders that are located outside of the United States must request a U.S. </w:t>
      </w:r>
      <w:r w:rsidR="00CC6BBC">
        <w:rPr>
          <w:rFonts w:ascii="Times New Roman" w:hAnsi="Times New Roman" w:cs="Times New Roman"/>
        </w:rPr>
        <w:t>a</w:t>
      </w:r>
      <w:r w:rsidRPr="00DC346F" w:rsidR="007632BB">
        <w:rPr>
          <w:rFonts w:ascii="Times New Roman" w:hAnsi="Times New Roman" w:cs="Times New Roman"/>
        </w:rPr>
        <w:t>gent to submit their special permit</w:t>
      </w:r>
      <w:r w:rsidR="00CF4F79">
        <w:rPr>
          <w:rFonts w:ascii="Times New Roman" w:hAnsi="Times New Roman" w:cs="Times New Roman"/>
        </w:rPr>
        <w:t xml:space="preserve"> application</w:t>
      </w:r>
      <w:r w:rsidRPr="00DC346F" w:rsidR="007632BB">
        <w:rPr>
          <w:rFonts w:ascii="Times New Roman" w:hAnsi="Times New Roman" w:cs="Times New Roman"/>
        </w:rPr>
        <w:t>, in accordance with §</w:t>
      </w:r>
      <w:r w:rsidRPr="00DC346F" w:rsidR="00F651BD">
        <w:rPr>
          <w:rFonts w:ascii="Times New Roman" w:hAnsi="Times New Roman" w:cs="Times New Roman"/>
        </w:rPr>
        <w:t>§</w:t>
      </w:r>
      <w:r w:rsidRPr="00DC346F" w:rsidR="007632BB">
        <w:rPr>
          <w:rFonts w:ascii="Times New Roman" w:hAnsi="Times New Roman" w:cs="Times New Roman"/>
        </w:rPr>
        <w:t> 107.</w:t>
      </w:r>
      <w:r w:rsidRPr="00DC346F" w:rsidR="00F651BD">
        <w:rPr>
          <w:rFonts w:ascii="Times New Roman" w:hAnsi="Times New Roman" w:cs="Times New Roman"/>
        </w:rPr>
        <w:t>105(a)(2), 107.107(b)(3), or 107.109(a)(3), depending on the type of special permit</w:t>
      </w:r>
      <w:r w:rsidRPr="00DC346F" w:rsidR="007632BB">
        <w:rPr>
          <w:rFonts w:ascii="Times New Roman" w:hAnsi="Times New Roman" w:cs="Times New Roman"/>
        </w:rPr>
        <w:t xml:space="preserve">.  </w:t>
      </w:r>
      <w:r w:rsidR="00CF4F79">
        <w:rPr>
          <w:rFonts w:ascii="Times New Roman" w:hAnsi="Times New Roman" w:cs="Times New Roman"/>
        </w:rPr>
        <w:t>Each year, t</w:t>
      </w:r>
      <w:r w:rsidRPr="00DC346F" w:rsidR="007632BB">
        <w:rPr>
          <w:rFonts w:ascii="Times New Roman" w:hAnsi="Times New Roman" w:cs="Times New Roman"/>
        </w:rPr>
        <w:t xml:space="preserve">here are approximately </w:t>
      </w:r>
      <w:r w:rsidR="00E03AC6">
        <w:rPr>
          <w:rFonts w:ascii="Times New Roman" w:hAnsi="Times New Roman" w:cs="Times New Roman"/>
        </w:rPr>
        <w:t>100 </w:t>
      </w:r>
      <w:r w:rsidRPr="00DC346F" w:rsidR="007632BB">
        <w:rPr>
          <w:rFonts w:ascii="Times New Roman" w:hAnsi="Times New Roman" w:cs="Times New Roman"/>
        </w:rPr>
        <w:t xml:space="preserve">requests for U.S. </w:t>
      </w:r>
      <w:r w:rsidR="00CC6BBC">
        <w:rPr>
          <w:rFonts w:ascii="Times New Roman" w:hAnsi="Times New Roman" w:cs="Times New Roman"/>
        </w:rPr>
        <w:t>a</w:t>
      </w:r>
      <w:r w:rsidRPr="00DC346F" w:rsidR="007632BB">
        <w:rPr>
          <w:rFonts w:ascii="Times New Roman" w:hAnsi="Times New Roman" w:cs="Times New Roman"/>
        </w:rPr>
        <w:t xml:space="preserve">gents, which </w:t>
      </w:r>
      <w:r w:rsidR="009102F2">
        <w:rPr>
          <w:rFonts w:ascii="Times New Roman" w:hAnsi="Times New Roman" w:cs="Times New Roman"/>
        </w:rPr>
        <w:t xml:space="preserve">based on historical stakeholder feedback, </w:t>
      </w:r>
      <w:r w:rsidRPr="000D087B" w:rsidR="007632BB">
        <w:rPr>
          <w:rFonts w:ascii="Times New Roman" w:hAnsi="Times New Roman" w:cs="Times New Roman"/>
        </w:rPr>
        <w:t xml:space="preserve">take </w:t>
      </w:r>
      <w:r w:rsidRPr="000D087B" w:rsidR="009102F2">
        <w:rPr>
          <w:rFonts w:ascii="Times New Roman" w:hAnsi="Times New Roman" w:cs="Times New Roman"/>
        </w:rPr>
        <w:t xml:space="preserve">approximately </w:t>
      </w:r>
      <w:r w:rsidRPr="000D087B" w:rsidR="00E03AC6">
        <w:rPr>
          <w:rFonts w:ascii="Times New Roman" w:hAnsi="Times New Roman" w:cs="Times New Roman"/>
        </w:rPr>
        <w:t>2</w:t>
      </w:r>
      <w:r w:rsidR="00E03AC6">
        <w:rPr>
          <w:rFonts w:ascii="Times New Roman" w:hAnsi="Times New Roman" w:cs="Times New Roman"/>
        </w:rPr>
        <w:t> </w:t>
      </w:r>
      <w:r w:rsidRPr="000D087B" w:rsidR="007632BB">
        <w:rPr>
          <w:rFonts w:ascii="Times New Roman" w:hAnsi="Times New Roman" w:cs="Times New Roman"/>
        </w:rPr>
        <w:t>hours to prepare</w:t>
      </w:r>
      <w:r w:rsidRPr="00DC346F" w:rsidR="007632BB">
        <w:rPr>
          <w:rFonts w:ascii="Times New Roman" w:hAnsi="Times New Roman" w:cs="Times New Roman"/>
        </w:rPr>
        <w:t xml:space="preserve">, for a total of </w:t>
      </w:r>
      <w:r w:rsidR="00E12B2D">
        <w:rPr>
          <w:rFonts w:ascii="Times New Roman" w:hAnsi="Times New Roman" w:cs="Times New Roman"/>
        </w:rPr>
        <w:t>200</w:t>
      </w:r>
      <w:r w:rsidRPr="00DC346F" w:rsidR="00E12B2D">
        <w:rPr>
          <w:rFonts w:ascii="Times New Roman" w:hAnsi="Times New Roman" w:cs="Times New Roman"/>
        </w:rPr>
        <w:t xml:space="preserve"> </w:t>
      </w:r>
      <w:r w:rsidRPr="00DC346F" w:rsidR="007632BB">
        <w:rPr>
          <w:rFonts w:ascii="Times New Roman" w:hAnsi="Times New Roman" w:cs="Times New Roman"/>
        </w:rPr>
        <w:t>burden hours (</w:t>
      </w:r>
      <w:r w:rsidR="00E12B2D">
        <w:rPr>
          <w:rFonts w:ascii="Times New Roman" w:hAnsi="Times New Roman" w:cs="Times New Roman"/>
        </w:rPr>
        <w:t>100</w:t>
      </w:r>
      <w:r w:rsidRPr="00DC346F" w:rsidR="00E12B2D">
        <w:rPr>
          <w:rFonts w:ascii="Times New Roman" w:hAnsi="Times New Roman" w:cs="Times New Roman"/>
        </w:rPr>
        <w:t xml:space="preserve"> </w:t>
      </w:r>
      <w:r w:rsidRPr="00DC346F" w:rsidR="007632BB">
        <w:rPr>
          <w:rFonts w:ascii="Times New Roman" w:hAnsi="Times New Roman" w:cs="Times New Roman"/>
        </w:rPr>
        <w:t xml:space="preserve">requests x 2 hours/request).  At a </w:t>
      </w:r>
      <w:r>
        <w:rPr>
          <w:rFonts w:ascii="Times New Roman" w:hAnsi="Times New Roman" w:cs="Times New Roman"/>
        </w:rPr>
        <w:t xml:space="preserve">salary </w:t>
      </w:r>
      <w:r w:rsidRPr="00DC346F" w:rsidR="007632BB">
        <w:rPr>
          <w:rFonts w:ascii="Times New Roman" w:hAnsi="Times New Roman" w:cs="Times New Roman"/>
        </w:rPr>
        <w:lastRenderedPageBreak/>
        <w:t xml:space="preserve">cost of </w:t>
      </w:r>
      <w:r w:rsidRPr="000D087B" w:rsidR="007632BB">
        <w:rPr>
          <w:rFonts w:ascii="Times New Roman" w:hAnsi="Times New Roman" w:cs="Times New Roman"/>
        </w:rPr>
        <w:t>$</w:t>
      </w:r>
      <w:r w:rsidR="00E12B2D">
        <w:rPr>
          <w:rFonts w:ascii="Times New Roman" w:hAnsi="Times New Roman" w:cs="Times New Roman"/>
        </w:rPr>
        <w:t>104.82</w:t>
      </w:r>
      <w:r w:rsidRPr="000D087B" w:rsidR="007632BB">
        <w:rPr>
          <w:rFonts w:ascii="Times New Roman" w:hAnsi="Times New Roman" w:cs="Times New Roman"/>
        </w:rPr>
        <w:t>/</w:t>
      </w:r>
      <w:r w:rsidRPr="000D087B" w:rsidR="00CF4F79">
        <w:rPr>
          <w:rFonts w:ascii="Times New Roman" w:hAnsi="Times New Roman" w:cs="Times New Roman"/>
        </w:rPr>
        <w:t>hour</w:t>
      </w:r>
      <w:r w:rsidR="00224946">
        <w:rPr>
          <w:rFonts w:ascii="Times New Roman" w:hAnsi="Times New Roman" w:cs="Times New Roman"/>
        </w:rPr>
        <w:t>,</w:t>
      </w:r>
      <w:r w:rsidR="00051580">
        <w:rPr>
          <w:rStyle w:val="FootnoteReference"/>
          <w:rFonts w:ascii="Times New Roman" w:hAnsi="Times New Roman" w:cs="Times New Roman"/>
        </w:rPr>
        <w:footnoteReference w:id="7"/>
      </w:r>
      <w:r w:rsidRPr="00DC346F" w:rsidR="007632BB">
        <w:rPr>
          <w:rFonts w:ascii="Times New Roman" w:hAnsi="Times New Roman" w:cs="Times New Roman"/>
        </w:rPr>
        <w:t xml:space="preserve"> the total </w:t>
      </w:r>
      <w:r>
        <w:rPr>
          <w:rFonts w:ascii="Times New Roman" w:hAnsi="Times New Roman" w:cs="Times New Roman"/>
        </w:rPr>
        <w:t>salary</w:t>
      </w:r>
      <w:r w:rsidRPr="00DC346F" w:rsidR="007632BB">
        <w:rPr>
          <w:rFonts w:ascii="Times New Roman" w:hAnsi="Times New Roman" w:cs="Times New Roman"/>
        </w:rPr>
        <w:t xml:space="preserve"> cost is </w:t>
      </w:r>
      <w:r>
        <w:rPr>
          <w:rFonts w:ascii="Times New Roman" w:hAnsi="Times New Roman" w:cs="Times New Roman"/>
        </w:rPr>
        <w:t xml:space="preserve">estimated to be </w:t>
      </w:r>
      <w:r w:rsidRPr="00DC346F" w:rsidR="007632BB">
        <w:rPr>
          <w:rFonts w:ascii="Times New Roman" w:hAnsi="Times New Roman" w:cs="Times New Roman"/>
        </w:rPr>
        <w:t>$</w:t>
      </w:r>
      <w:r w:rsidR="00E12B2D">
        <w:rPr>
          <w:rFonts w:ascii="Times New Roman" w:hAnsi="Times New Roman" w:cs="Times New Roman"/>
        </w:rPr>
        <w:t>20,963</w:t>
      </w:r>
      <w:r w:rsidRPr="00DC346F" w:rsidR="009102F2">
        <w:rPr>
          <w:rFonts w:ascii="Times New Roman" w:hAnsi="Times New Roman" w:cs="Times New Roman"/>
        </w:rPr>
        <w:t xml:space="preserve"> </w:t>
      </w:r>
      <w:r w:rsidRPr="00DC346F" w:rsidR="007632BB">
        <w:rPr>
          <w:rFonts w:ascii="Times New Roman" w:hAnsi="Times New Roman" w:cs="Times New Roman"/>
        </w:rPr>
        <w:t>(</w:t>
      </w:r>
      <w:r w:rsidR="00E12B2D">
        <w:rPr>
          <w:rFonts w:ascii="Times New Roman" w:hAnsi="Times New Roman" w:cs="Times New Roman"/>
        </w:rPr>
        <w:t>200</w:t>
      </w:r>
      <w:r w:rsidRPr="00DC346F" w:rsidR="00E12B2D">
        <w:rPr>
          <w:rFonts w:ascii="Times New Roman" w:hAnsi="Times New Roman" w:cs="Times New Roman"/>
        </w:rPr>
        <w:t xml:space="preserve"> </w:t>
      </w:r>
      <w:r w:rsidRPr="00DC346F" w:rsidR="007632BB">
        <w:rPr>
          <w:rFonts w:ascii="Times New Roman" w:hAnsi="Times New Roman" w:cs="Times New Roman"/>
        </w:rPr>
        <w:t>burden hours x $</w:t>
      </w:r>
      <w:r w:rsidR="00E12B2D">
        <w:rPr>
          <w:rFonts w:ascii="Times New Roman" w:hAnsi="Times New Roman" w:cs="Times New Roman"/>
        </w:rPr>
        <w:t>104.82</w:t>
      </w:r>
      <w:r w:rsidR="00CF4F79">
        <w:rPr>
          <w:rFonts w:ascii="Times New Roman" w:hAnsi="Times New Roman" w:cs="Times New Roman"/>
        </w:rPr>
        <w:t>/hour</w:t>
      </w:r>
      <w:r w:rsidRPr="00DC346F" w:rsidR="007632BB">
        <w:rPr>
          <w:rFonts w:ascii="Times New Roman" w:hAnsi="Times New Roman" w:cs="Times New Roman"/>
        </w:rPr>
        <w:t>).</w:t>
      </w:r>
      <w:r w:rsidR="00224946">
        <w:rPr>
          <w:rFonts w:ascii="Times New Roman" w:hAnsi="Times New Roman" w:cs="Times New Roman"/>
        </w:rPr>
        <w:t xml:space="preserve">  PHMSA does not estimate any out-of-pocket expenses.</w:t>
      </w:r>
    </w:p>
    <w:p w:rsidR="000202CA" w:rsidP="00DB7D1D" w:rsidRDefault="000202CA" w14:paraId="240A52E5" w14:textId="77777777">
      <w:pPr>
        <w:pStyle w:val="NormalWeb"/>
        <w:spacing w:before="0" w:beforeAutospacing="0" w:after="0" w:afterAutospacing="0"/>
        <w:rPr>
          <w:rFonts w:ascii="Times New Roman" w:hAnsi="Times New Roman" w:cs="Times New Roman"/>
        </w:rPr>
      </w:pPr>
    </w:p>
    <w:tbl>
      <w:tblPr>
        <w:tblW w:w="11238" w:type="dxa"/>
        <w:jc w:val="center"/>
        <w:tblLayout w:type="fixed"/>
        <w:tblCellMar>
          <w:top w:w="15" w:type="dxa"/>
          <w:bottom w:w="15" w:type="dxa"/>
        </w:tblCellMar>
        <w:tblLook w:val="04A0" w:firstRow="1" w:lastRow="0" w:firstColumn="1" w:lastColumn="0" w:noHBand="0" w:noVBand="1"/>
      </w:tblPr>
      <w:tblGrid>
        <w:gridCol w:w="2688"/>
        <w:gridCol w:w="1350"/>
        <w:gridCol w:w="1260"/>
        <w:gridCol w:w="1170"/>
        <w:gridCol w:w="1080"/>
        <w:gridCol w:w="900"/>
        <w:gridCol w:w="990"/>
        <w:gridCol w:w="900"/>
        <w:gridCol w:w="900"/>
      </w:tblGrid>
      <w:tr w:rsidRPr="00977048" w:rsidR="00BA155C" w:rsidTr="00D84522" w14:paraId="56C61864" w14:textId="77777777">
        <w:trPr>
          <w:trHeight w:val="630"/>
          <w:jc w:val="center"/>
        </w:trPr>
        <w:tc>
          <w:tcPr>
            <w:tcW w:w="2688" w:type="dxa"/>
            <w:tcBorders>
              <w:top w:val="single" w:color="auto" w:sz="4" w:space="0"/>
              <w:left w:val="single" w:color="auto" w:sz="4" w:space="0"/>
              <w:bottom w:val="single" w:color="auto" w:sz="4" w:space="0"/>
              <w:right w:val="single" w:color="auto" w:sz="4" w:space="0"/>
            </w:tcBorders>
            <w:vAlign w:val="bottom"/>
          </w:tcPr>
          <w:p w:rsidRPr="00D84522" w:rsidR="00BA155C" w:rsidP="00D84522" w:rsidRDefault="00BA155C" w14:paraId="3B1AF1A9" w14:textId="77777777">
            <w:pPr>
              <w:widowControl/>
              <w:autoSpaceDE/>
              <w:autoSpaceDN/>
              <w:adjustRightInd/>
              <w:rPr>
                <w:rFonts w:ascii="Times New Roman" w:hAnsi="Times New Roman"/>
                <w:b/>
                <w:bCs/>
                <w:color w:val="000000"/>
                <w:u w:val="single"/>
              </w:rPr>
            </w:pPr>
            <w:r w:rsidRPr="00D84522">
              <w:rPr>
                <w:rFonts w:ascii="Times New Roman" w:hAnsi="Times New Roman"/>
                <w:b/>
                <w:bCs/>
                <w:color w:val="000000"/>
              </w:rPr>
              <w:t>Request for US Agent – §</w:t>
            </w:r>
            <w:r>
              <w:rPr>
                <w:rFonts w:ascii="Times New Roman" w:hAnsi="Times New Roman"/>
                <w:b/>
                <w:bCs/>
                <w:color w:val="000000"/>
              </w:rPr>
              <w:t>§</w:t>
            </w:r>
            <w:r w:rsidRPr="00D84522">
              <w:rPr>
                <w:rFonts w:ascii="Times New Roman" w:hAnsi="Times New Roman"/>
                <w:b/>
                <w:bCs/>
                <w:color w:val="000000"/>
              </w:rPr>
              <w:t> 1</w:t>
            </w:r>
            <w:r w:rsidRPr="00D84522">
              <w:rPr>
                <w:rFonts w:ascii="Times New Roman" w:hAnsi="Times New Roman"/>
                <w:b/>
                <w:bCs/>
              </w:rPr>
              <w:t>07.105(a)(2), 107.107(b)(3), 107.109(a)(3))</w:t>
            </w:r>
          </w:p>
        </w:tc>
        <w:tc>
          <w:tcPr>
            <w:tcW w:w="1350" w:type="dxa"/>
            <w:tcBorders>
              <w:top w:val="single" w:color="auto" w:sz="4" w:space="0"/>
              <w:left w:val="single" w:color="auto" w:sz="4" w:space="0"/>
              <w:bottom w:val="single" w:color="auto" w:sz="4" w:space="0"/>
              <w:right w:val="single" w:color="auto" w:sz="4" w:space="0"/>
            </w:tcBorders>
            <w:vAlign w:val="bottom"/>
            <w:hideMark/>
          </w:tcPr>
          <w:p w:rsidRPr="00D84522" w:rsidR="00BA155C" w:rsidP="00977048" w:rsidRDefault="00BA155C" w14:paraId="13B5AB67" w14:textId="77777777">
            <w:pPr>
              <w:widowControl/>
              <w:autoSpaceDE/>
              <w:autoSpaceDN/>
              <w:adjustRightInd/>
              <w:jc w:val="center"/>
              <w:rPr>
                <w:rFonts w:ascii="Times New Roman" w:hAnsi="Times New Roman"/>
                <w:b/>
                <w:bCs/>
                <w:color w:val="000000"/>
                <w:u w:val="single"/>
              </w:rPr>
            </w:pPr>
            <w:r w:rsidRPr="00D84522">
              <w:rPr>
                <w:rFonts w:ascii="Times New Roman" w:hAnsi="Times New Roman"/>
                <w:b/>
                <w:bCs/>
                <w:color w:val="000000"/>
                <w:u w:val="single"/>
              </w:rPr>
              <w:t>Annual Respondents</w:t>
            </w:r>
          </w:p>
        </w:tc>
        <w:tc>
          <w:tcPr>
            <w:tcW w:w="1260" w:type="dxa"/>
            <w:tcBorders>
              <w:top w:val="single" w:color="auto" w:sz="4" w:space="0"/>
              <w:left w:val="single" w:color="auto" w:sz="4" w:space="0"/>
              <w:bottom w:val="single" w:color="auto" w:sz="4" w:space="0"/>
              <w:right w:val="single" w:color="auto" w:sz="4" w:space="0"/>
            </w:tcBorders>
            <w:vAlign w:val="bottom"/>
            <w:hideMark/>
          </w:tcPr>
          <w:p w:rsidRPr="00D84522" w:rsidR="00BA155C" w:rsidP="00977048" w:rsidRDefault="00BA155C" w14:paraId="3B7D3B13" w14:textId="77777777">
            <w:pPr>
              <w:widowControl/>
              <w:autoSpaceDE/>
              <w:autoSpaceDN/>
              <w:adjustRightInd/>
              <w:jc w:val="center"/>
              <w:rPr>
                <w:rFonts w:ascii="Times New Roman" w:hAnsi="Times New Roman"/>
                <w:b/>
                <w:bCs/>
                <w:color w:val="000000"/>
                <w:u w:val="single"/>
              </w:rPr>
            </w:pPr>
            <w:r w:rsidRPr="00D84522">
              <w:rPr>
                <w:rFonts w:ascii="Times New Roman" w:hAnsi="Times New Roman"/>
                <w:b/>
                <w:bCs/>
                <w:color w:val="000000"/>
                <w:u w:val="single"/>
              </w:rPr>
              <w:t>Responses per Respondent</w:t>
            </w:r>
          </w:p>
        </w:tc>
        <w:tc>
          <w:tcPr>
            <w:tcW w:w="1170" w:type="dxa"/>
            <w:tcBorders>
              <w:top w:val="single" w:color="auto" w:sz="4" w:space="0"/>
              <w:left w:val="single" w:color="auto" w:sz="4" w:space="0"/>
              <w:bottom w:val="single" w:color="auto" w:sz="4" w:space="0"/>
              <w:right w:val="single" w:color="auto" w:sz="4" w:space="0"/>
            </w:tcBorders>
            <w:vAlign w:val="bottom"/>
            <w:hideMark/>
          </w:tcPr>
          <w:p w:rsidRPr="00D84522" w:rsidR="00BA155C" w:rsidP="00977048" w:rsidRDefault="00BA155C" w14:paraId="4E502BA2" w14:textId="77777777">
            <w:pPr>
              <w:widowControl/>
              <w:autoSpaceDE/>
              <w:autoSpaceDN/>
              <w:adjustRightInd/>
              <w:jc w:val="center"/>
              <w:rPr>
                <w:rFonts w:ascii="Times New Roman" w:hAnsi="Times New Roman"/>
                <w:b/>
                <w:bCs/>
                <w:color w:val="000000"/>
                <w:u w:val="single"/>
              </w:rPr>
            </w:pPr>
            <w:r w:rsidRPr="00D84522">
              <w:rPr>
                <w:rFonts w:ascii="Times New Roman" w:hAnsi="Times New Roman"/>
                <w:b/>
                <w:bCs/>
                <w:color w:val="000000"/>
                <w:u w:val="single"/>
              </w:rPr>
              <w:t>Number of Responses</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D84522" w:rsidR="00BA155C" w:rsidP="00977048" w:rsidRDefault="00BA155C" w14:paraId="74A6B69F" w14:textId="77777777">
            <w:pPr>
              <w:widowControl/>
              <w:autoSpaceDE/>
              <w:autoSpaceDN/>
              <w:adjustRightInd/>
              <w:jc w:val="center"/>
              <w:rPr>
                <w:rFonts w:ascii="Times New Roman" w:hAnsi="Times New Roman"/>
                <w:b/>
                <w:bCs/>
                <w:color w:val="000000"/>
                <w:u w:val="single"/>
              </w:rPr>
            </w:pPr>
            <w:r w:rsidRPr="00D84522">
              <w:rPr>
                <w:rFonts w:ascii="Times New Roman" w:hAnsi="Times New Roman"/>
                <w:b/>
                <w:bCs/>
                <w:color w:val="000000"/>
                <w:u w:val="single"/>
              </w:rPr>
              <w:t>Hours per Response</w:t>
            </w:r>
          </w:p>
        </w:tc>
        <w:tc>
          <w:tcPr>
            <w:tcW w:w="900" w:type="dxa"/>
            <w:tcBorders>
              <w:top w:val="single" w:color="auto" w:sz="4" w:space="0"/>
              <w:left w:val="single" w:color="auto" w:sz="4" w:space="0"/>
              <w:bottom w:val="single" w:color="auto" w:sz="4" w:space="0"/>
              <w:right w:val="single" w:color="auto" w:sz="4" w:space="0"/>
            </w:tcBorders>
            <w:vAlign w:val="bottom"/>
            <w:hideMark/>
          </w:tcPr>
          <w:p w:rsidRPr="00D84522" w:rsidR="00BA155C" w:rsidP="00977048" w:rsidRDefault="00BA155C" w14:paraId="3AB8EA9F" w14:textId="77777777">
            <w:pPr>
              <w:widowControl/>
              <w:autoSpaceDE/>
              <w:autoSpaceDN/>
              <w:adjustRightInd/>
              <w:jc w:val="center"/>
              <w:rPr>
                <w:rFonts w:ascii="Times New Roman" w:hAnsi="Times New Roman"/>
                <w:b/>
                <w:bCs/>
                <w:color w:val="000000"/>
                <w:u w:val="single"/>
              </w:rPr>
            </w:pPr>
            <w:r w:rsidRPr="00D84522">
              <w:rPr>
                <w:rFonts w:ascii="Times New Roman" w:hAnsi="Times New Roman"/>
                <w:b/>
                <w:bCs/>
                <w:color w:val="000000"/>
                <w:u w:val="single"/>
              </w:rPr>
              <w:t>Total Burden Hours</w:t>
            </w:r>
          </w:p>
        </w:tc>
        <w:tc>
          <w:tcPr>
            <w:tcW w:w="990" w:type="dxa"/>
            <w:tcBorders>
              <w:top w:val="single" w:color="auto" w:sz="4" w:space="0"/>
              <w:left w:val="single" w:color="auto" w:sz="4" w:space="0"/>
              <w:bottom w:val="single" w:color="auto" w:sz="4" w:space="0"/>
              <w:right w:val="single" w:color="auto" w:sz="4" w:space="0"/>
            </w:tcBorders>
            <w:vAlign w:val="bottom"/>
            <w:hideMark/>
          </w:tcPr>
          <w:p w:rsidRPr="00D84522" w:rsidR="00BA155C" w:rsidP="00977048" w:rsidRDefault="00BA155C" w14:paraId="630DAF26" w14:textId="77777777">
            <w:pPr>
              <w:widowControl/>
              <w:autoSpaceDE/>
              <w:autoSpaceDN/>
              <w:adjustRightInd/>
              <w:jc w:val="center"/>
              <w:rPr>
                <w:rFonts w:ascii="Times New Roman" w:hAnsi="Times New Roman"/>
                <w:b/>
                <w:bCs/>
                <w:color w:val="000000"/>
                <w:u w:val="single"/>
              </w:rPr>
            </w:pPr>
            <w:r w:rsidRPr="00D84522">
              <w:rPr>
                <w:rFonts w:ascii="Times New Roman" w:hAnsi="Times New Roman"/>
                <w:b/>
                <w:bCs/>
                <w:color w:val="000000"/>
                <w:u w:val="single"/>
              </w:rPr>
              <w:t>Salary Cost per Hour</w:t>
            </w:r>
          </w:p>
        </w:tc>
        <w:tc>
          <w:tcPr>
            <w:tcW w:w="900" w:type="dxa"/>
            <w:tcBorders>
              <w:top w:val="single" w:color="auto" w:sz="4" w:space="0"/>
              <w:left w:val="single" w:color="auto" w:sz="4" w:space="0"/>
              <w:bottom w:val="single" w:color="auto" w:sz="4" w:space="0"/>
              <w:right w:val="single" w:color="auto" w:sz="4" w:space="0"/>
            </w:tcBorders>
            <w:vAlign w:val="bottom"/>
            <w:hideMark/>
          </w:tcPr>
          <w:p w:rsidRPr="00D84522" w:rsidR="00BA155C" w:rsidP="00977048" w:rsidRDefault="00BA155C" w14:paraId="1F053965" w14:textId="77777777">
            <w:pPr>
              <w:widowControl/>
              <w:autoSpaceDE/>
              <w:autoSpaceDN/>
              <w:adjustRightInd/>
              <w:jc w:val="center"/>
              <w:rPr>
                <w:rFonts w:ascii="Times New Roman" w:hAnsi="Times New Roman"/>
                <w:b/>
                <w:bCs/>
                <w:color w:val="000000"/>
                <w:u w:val="single"/>
              </w:rPr>
            </w:pPr>
            <w:r w:rsidRPr="00D84522">
              <w:rPr>
                <w:rFonts w:ascii="Times New Roman" w:hAnsi="Times New Roman"/>
                <w:b/>
                <w:bCs/>
                <w:color w:val="000000"/>
                <w:u w:val="single"/>
              </w:rPr>
              <w:t>Total Salary Cost</w:t>
            </w:r>
          </w:p>
        </w:tc>
        <w:tc>
          <w:tcPr>
            <w:tcW w:w="900" w:type="dxa"/>
            <w:tcBorders>
              <w:top w:val="single" w:color="auto" w:sz="4" w:space="0"/>
              <w:left w:val="single" w:color="auto" w:sz="4" w:space="0"/>
              <w:bottom w:val="single" w:color="auto" w:sz="4" w:space="0"/>
              <w:right w:val="single" w:color="auto" w:sz="4" w:space="0"/>
            </w:tcBorders>
            <w:vAlign w:val="bottom"/>
          </w:tcPr>
          <w:p w:rsidRPr="00B5538E" w:rsidR="00BA155C" w:rsidP="00B5538E" w:rsidRDefault="00BA155C" w14:paraId="2677A372" w14:textId="77777777">
            <w:pPr>
              <w:widowControl/>
              <w:autoSpaceDE/>
              <w:autoSpaceDN/>
              <w:adjustRightInd/>
              <w:jc w:val="center"/>
              <w:rPr>
                <w:rFonts w:ascii="Times New Roman" w:hAnsi="Times New Roman"/>
                <w:b/>
                <w:bCs/>
                <w:color w:val="000000"/>
                <w:u w:val="single"/>
              </w:rPr>
            </w:pPr>
            <w:r>
              <w:rPr>
                <w:rFonts w:ascii="Times New Roman" w:hAnsi="Times New Roman"/>
                <w:b/>
                <w:bCs/>
                <w:color w:val="000000"/>
                <w:u w:val="single"/>
              </w:rPr>
              <w:t>Total Burden Cost</w:t>
            </w:r>
          </w:p>
        </w:tc>
      </w:tr>
      <w:tr w:rsidRPr="00977048" w:rsidR="00BA155C" w:rsidTr="00D84522" w14:paraId="63B55C5C" w14:textId="77777777">
        <w:trPr>
          <w:trHeight w:val="35"/>
          <w:jc w:val="center"/>
        </w:trPr>
        <w:tc>
          <w:tcPr>
            <w:tcW w:w="2688" w:type="dxa"/>
            <w:tcBorders>
              <w:top w:val="single" w:color="auto" w:sz="4" w:space="0"/>
              <w:left w:val="single" w:color="auto" w:sz="4" w:space="0"/>
              <w:bottom w:val="single" w:color="auto" w:sz="4" w:space="0"/>
              <w:right w:val="single" w:color="auto" w:sz="4" w:space="0"/>
            </w:tcBorders>
            <w:vAlign w:val="bottom"/>
          </w:tcPr>
          <w:p w:rsidR="00BA155C" w:rsidP="000D087B" w:rsidRDefault="00BA155C" w14:paraId="08A29537" w14:textId="77777777">
            <w:pPr>
              <w:widowControl/>
              <w:autoSpaceDE/>
              <w:autoSpaceDN/>
              <w:adjustRightInd/>
              <w:rPr>
                <w:rFonts w:ascii="Times New Roman" w:hAnsi="Times New Roman"/>
                <w:color w:val="000000"/>
              </w:rPr>
            </w:pPr>
            <w:r>
              <w:rPr>
                <w:rFonts w:ascii="Times New Roman" w:hAnsi="Times New Roman"/>
                <w:color w:val="000000"/>
              </w:rPr>
              <w:t>Reporting</w:t>
            </w:r>
          </w:p>
        </w:tc>
        <w:tc>
          <w:tcPr>
            <w:tcW w:w="1350" w:type="dxa"/>
            <w:tcBorders>
              <w:top w:val="single" w:color="auto" w:sz="4" w:space="0"/>
              <w:left w:val="single" w:color="auto" w:sz="4" w:space="0"/>
              <w:bottom w:val="single" w:color="auto" w:sz="4" w:space="0"/>
              <w:right w:val="single" w:color="auto" w:sz="4" w:space="0"/>
            </w:tcBorders>
            <w:noWrap/>
            <w:vAlign w:val="bottom"/>
            <w:hideMark/>
          </w:tcPr>
          <w:p w:rsidRPr="00977048" w:rsidR="00BA155C" w:rsidP="00977048" w:rsidRDefault="00BA155C" w14:paraId="60430D22" w14:textId="77777777">
            <w:pPr>
              <w:widowControl/>
              <w:autoSpaceDE/>
              <w:autoSpaceDN/>
              <w:adjustRightInd/>
              <w:jc w:val="right"/>
              <w:rPr>
                <w:rFonts w:ascii="Times New Roman" w:hAnsi="Times New Roman"/>
                <w:color w:val="000000"/>
              </w:rPr>
            </w:pPr>
            <w:r>
              <w:rPr>
                <w:rFonts w:ascii="Times New Roman" w:hAnsi="Times New Roman"/>
                <w:color w:val="000000"/>
              </w:rPr>
              <w:t>100</w:t>
            </w:r>
          </w:p>
        </w:tc>
        <w:tc>
          <w:tcPr>
            <w:tcW w:w="1260" w:type="dxa"/>
            <w:tcBorders>
              <w:top w:val="single" w:color="auto" w:sz="4" w:space="0"/>
              <w:left w:val="single" w:color="auto" w:sz="4" w:space="0"/>
              <w:bottom w:val="single" w:color="auto" w:sz="4" w:space="0"/>
              <w:right w:val="single" w:color="auto" w:sz="4" w:space="0"/>
            </w:tcBorders>
            <w:noWrap/>
            <w:vAlign w:val="bottom"/>
            <w:hideMark/>
          </w:tcPr>
          <w:p w:rsidRPr="00977048" w:rsidR="00BA155C" w:rsidP="00977048" w:rsidRDefault="00BA155C" w14:paraId="075BCD5D" w14:textId="77777777">
            <w:pPr>
              <w:widowControl/>
              <w:autoSpaceDE/>
              <w:autoSpaceDN/>
              <w:adjustRightInd/>
              <w:jc w:val="right"/>
              <w:rPr>
                <w:rFonts w:ascii="Times New Roman" w:hAnsi="Times New Roman"/>
                <w:color w:val="000000"/>
              </w:rPr>
            </w:pPr>
            <w:r w:rsidRPr="00977048">
              <w:rPr>
                <w:rFonts w:ascii="Times New Roman" w:hAnsi="Times New Roman"/>
                <w:color w:val="000000"/>
              </w:rPr>
              <w:t>1</w:t>
            </w:r>
          </w:p>
        </w:tc>
        <w:tc>
          <w:tcPr>
            <w:tcW w:w="1170" w:type="dxa"/>
            <w:tcBorders>
              <w:top w:val="single" w:color="auto" w:sz="4" w:space="0"/>
              <w:left w:val="single" w:color="auto" w:sz="4" w:space="0"/>
              <w:bottom w:val="single" w:color="auto" w:sz="4" w:space="0"/>
              <w:right w:val="single" w:color="auto" w:sz="4" w:space="0"/>
            </w:tcBorders>
            <w:noWrap/>
            <w:vAlign w:val="bottom"/>
            <w:hideMark/>
          </w:tcPr>
          <w:p w:rsidRPr="00977048" w:rsidR="00BA155C" w:rsidP="00977048" w:rsidRDefault="00BA155C" w14:paraId="67E20D7F" w14:textId="77777777">
            <w:pPr>
              <w:widowControl/>
              <w:autoSpaceDE/>
              <w:autoSpaceDN/>
              <w:adjustRightInd/>
              <w:jc w:val="right"/>
              <w:rPr>
                <w:rFonts w:ascii="Times New Roman" w:hAnsi="Times New Roman"/>
                <w:color w:val="000000"/>
              </w:rPr>
            </w:pPr>
            <w:r>
              <w:rPr>
                <w:rFonts w:ascii="Times New Roman" w:hAnsi="Times New Roman"/>
                <w:color w:val="000000"/>
              </w:rPr>
              <w:t>100</w:t>
            </w:r>
          </w:p>
        </w:tc>
        <w:tc>
          <w:tcPr>
            <w:tcW w:w="1080" w:type="dxa"/>
            <w:tcBorders>
              <w:top w:val="single" w:color="auto" w:sz="4" w:space="0"/>
              <w:left w:val="single" w:color="auto" w:sz="4" w:space="0"/>
              <w:bottom w:val="single" w:color="auto" w:sz="4" w:space="0"/>
              <w:right w:val="single" w:color="auto" w:sz="4" w:space="0"/>
            </w:tcBorders>
            <w:noWrap/>
            <w:vAlign w:val="bottom"/>
            <w:hideMark/>
          </w:tcPr>
          <w:p w:rsidRPr="00977048" w:rsidR="00BA155C" w:rsidP="00977048" w:rsidRDefault="00BA155C" w14:paraId="662CC17D" w14:textId="77777777">
            <w:pPr>
              <w:widowControl/>
              <w:autoSpaceDE/>
              <w:autoSpaceDN/>
              <w:adjustRightInd/>
              <w:jc w:val="right"/>
              <w:rPr>
                <w:rFonts w:ascii="Times New Roman" w:hAnsi="Times New Roman"/>
                <w:color w:val="000000"/>
              </w:rPr>
            </w:pPr>
            <w:r w:rsidRPr="00977048">
              <w:rPr>
                <w:rFonts w:ascii="Times New Roman" w:hAnsi="Times New Roman"/>
                <w:color w:val="000000"/>
              </w:rPr>
              <w:t>2</w:t>
            </w:r>
          </w:p>
        </w:tc>
        <w:tc>
          <w:tcPr>
            <w:tcW w:w="900" w:type="dxa"/>
            <w:tcBorders>
              <w:top w:val="single" w:color="auto" w:sz="4" w:space="0"/>
              <w:left w:val="single" w:color="auto" w:sz="4" w:space="0"/>
              <w:bottom w:val="single" w:color="auto" w:sz="4" w:space="0"/>
              <w:right w:val="single" w:color="auto" w:sz="4" w:space="0"/>
            </w:tcBorders>
            <w:noWrap/>
            <w:vAlign w:val="bottom"/>
            <w:hideMark/>
          </w:tcPr>
          <w:p w:rsidRPr="00977048" w:rsidR="00BA155C" w:rsidP="00977048" w:rsidRDefault="00BA155C" w14:paraId="5E07B804" w14:textId="77777777">
            <w:pPr>
              <w:widowControl/>
              <w:autoSpaceDE/>
              <w:autoSpaceDN/>
              <w:adjustRightInd/>
              <w:jc w:val="right"/>
              <w:rPr>
                <w:rFonts w:ascii="Times New Roman" w:hAnsi="Times New Roman"/>
                <w:color w:val="000000"/>
              </w:rPr>
            </w:pPr>
            <w:r>
              <w:rPr>
                <w:rFonts w:ascii="Times New Roman" w:hAnsi="Times New Roman"/>
                <w:color w:val="000000"/>
              </w:rPr>
              <w:t>200</w:t>
            </w:r>
          </w:p>
        </w:tc>
        <w:tc>
          <w:tcPr>
            <w:tcW w:w="990" w:type="dxa"/>
            <w:tcBorders>
              <w:top w:val="single" w:color="auto" w:sz="4" w:space="0"/>
              <w:left w:val="single" w:color="auto" w:sz="4" w:space="0"/>
              <w:bottom w:val="single" w:color="auto" w:sz="4" w:space="0"/>
              <w:right w:val="single" w:color="auto" w:sz="4" w:space="0"/>
            </w:tcBorders>
            <w:noWrap/>
            <w:vAlign w:val="bottom"/>
            <w:hideMark/>
          </w:tcPr>
          <w:p w:rsidRPr="00977048" w:rsidR="00BA155C" w:rsidP="00977048" w:rsidRDefault="00BA155C" w14:paraId="692B68F6" w14:textId="77777777">
            <w:pPr>
              <w:widowControl/>
              <w:autoSpaceDE/>
              <w:autoSpaceDN/>
              <w:adjustRightInd/>
              <w:jc w:val="right"/>
              <w:rPr>
                <w:rFonts w:ascii="Times New Roman" w:hAnsi="Times New Roman"/>
                <w:color w:val="000000"/>
              </w:rPr>
            </w:pPr>
            <w:r w:rsidRPr="00977048">
              <w:rPr>
                <w:rFonts w:ascii="Times New Roman" w:hAnsi="Times New Roman"/>
                <w:color w:val="000000"/>
              </w:rPr>
              <w:t>$</w:t>
            </w:r>
            <w:r>
              <w:rPr>
                <w:rFonts w:ascii="Times New Roman" w:hAnsi="Times New Roman"/>
                <w:color w:val="000000"/>
              </w:rPr>
              <w:t>104.82</w:t>
            </w:r>
            <w:r w:rsidRPr="00977048">
              <w:rPr>
                <w:rFonts w:ascii="Times New Roman" w:hAnsi="Times New Roman"/>
                <w:color w:val="000000"/>
              </w:rPr>
              <w:t xml:space="preserve"> </w:t>
            </w:r>
          </w:p>
        </w:tc>
        <w:tc>
          <w:tcPr>
            <w:tcW w:w="900" w:type="dxa"/>
            <w:tcBorders>
              <w:top w:val="single" w:color="auto" w:sz="4" w:space="0"/>
              <w:left w:val="single" w:color="auto" w:sz="4" w:space="0"/>
              <w:bottom w:val="single" w:color="auto" w:sz="4" w:space="0"/>
              <w:right w:val="single" w:color="auto" w:sz="4" w:space="0"/>
            </w:tcBorders>
            <w:noWrap/>
            <w:vAlign w:val="bottom"/>
            <w:hideMark/>
          </w:tcPr>
          <w:p w:rsidRPr="00977048" w:rsidR="00BA155C" w:rsidP="00977048" w:rsidRDefault="00BA155C" w14:paraId="41669AB5" w14:textId="77777777">
            <w:pPr>
              <w:widowControl/>
              <w:autoSpaceDE/>
              <w:autoSpaceDN/>
              <w:adjustRightInd/>
              <w:jc w:val="right"/>
              <w:rPr>
                <w:rFonts w:ascii="Times New Roman" w:hAnsi="Times New Roman"/>
                <w:color w:val="000000"/>
              </w:rPr>
            </w:pPr>
            <w:r w:rsidRPr="00977048">
              <w:rPr>
                <w:rFonts w:ascii="Times New Roman" w:hAnsi="Times New Roman"/>
                <w:color w:val="000000"/>
              </w:rPr>
              <w:t>$</w:t>
            </w:r>
            <w:r>
              <w:rPr>
                <w:rFonts w:ascii="Times New Roman" w:hAnsi="Times New Roman"/>
                <w:color w:val="000000"/>
              </w:rPr>
              <w:t>20,963</w:t>
            </w:r>
            <w:r w:rsidRPr="00977048">
              <w:rPr>
                <w:rFonts w:ascii="Times New Roman" w:hAnsi="Times New Roman"/>
                <w:color w:val="000000"/>
              </w:rPr>
              <w:t xml:space="preserve"> </w:t>
            </w:r>
          </w:p>
        </w:tc>
        <w:tc>
          <w:tcPr>
            <w:tcW w:w="900" w:type="dxa"/>
            <w:tcBorders>
              <w:top w:val="single" w:color="auto" w:sz="4" w:space="0"/>
              <w:left w:val="single" w:color="auto" w:sz="4" w:space="0"/>
              <w:bottom w:val="single" w:color="auto" w:sz="4" w:space="0"/>
              <w:right w:val="single" w:color="auto" w:sz="4" w:space="0"/>
            </w:tcBorders>
            <w:vAlign w:val="bottom"/>
          </w:tcPr>
          <w:p w:rsidRPr="00977048" w:rsidR="00BA155C" w:rsidP="00B5538E" w:rsidRDefault="00BA155C" w14:paraId="1849D677" w14:textId="77777777">
            <w:pPr>
              <w:widowControl/>
              <w:autoSpaceDE/>
              <w:autoSpaceDN/>
              <w:adjustRightInd/>
              <w:jc w:val="right"/>
              <w:rPr>
                <w:rFonts w:ascii="Times New Roman" w:hAnsi="Times New Roman"/>
                <w:color w:val="000000"/>
              </w:rPr>
            </w:pPr>
            <w:r>
              <w:rPr>
                <w:rFonts w:ascii="Times New Roman" w:hAnsi="Times New Roman"/>
                <w:color w:val="000000"/>
              </w:rPr>
              <w:t>$0</w:t>
            </w:r>
          </w:p>
        </w:tc>
      </w:tr>
    </w:tbl>
    <w:p w:rsidR="00977048" w:rsidP="00DB7D1D" w:rsidRDefault="00977048" w14:paraId="3FA51A0D" w14:textId="77777777">
      <w:pPr>
        <w:pStyle w:val="NormalWeb"/>
        <w:spacing w:before="0" w:beforeAutospacing="0" w:after="0" w:afterAutospacing="0"/>
        <w:rPr>
          <w:rFonts w:ascii="Times New Roman" w:hAnsi="Times New Roman" w:cs="Times New Roman"/>
        </w:rPr>
      </w:pPr>
    </w:p>
    <w:p w:rsidRPr="00D84522" w:rsidR="00E12B2D" w:rsidP="00DB7D1D" w:rsidRDefault="00224946" w14:paraId="3BE53C64" w14:textId="77777777">
      <w:pPr>
        <w:pStyle w:val="NormalWeb"/>
        <w:spacing w:before="0" w:beforeAutospacing="0" w:after="0" w:afterAutospacing="0"/>
        <w:rPr>
          <w:rFonts w:ascii="Times New Roman" w:hAnsi="Times New Roman" w:cs="Times New Roman"/>
          <w:u w:val="single"/>
        </w:rPr>
      </w:pPr>
      <w:r>
        <w:rPr>
          <w:rFonts w:ascii="Times New Roman" w:hAnsi="Times New Roman" w:cs="Times New Roman"/>
          <w:u w:val="single"/>
        </w:rPr>
        <w:t xml:space="preserve">Part 107, Subpart B – Special Permit Applications – </w:t>
      </w:r>
      <w:r w:rsidRPr="00D84522" w:rsidR="00E12B2D">
        <w:rPr>
          <w:rFonts w:ascii="Times New Roman" w:hAnsi="Times New Roman" w:cs="Times New Roman"/>
          <w:u w:val="single"/>
        </w:rPr>
        <w:t>Confidential Handling</w:t>
      </w:r>
    </w:p>
    <w:p w:rsidR="00E12B2D" w:rsidP="00DB7D1D" w:rsidRDefault="00E12B2D" w14:paraId="644A8FBC" w14:textId="77777777">
      <w:pPr>
        <w:pStyle w:val="NormalWeb"/>
        <w:spacing w:before="0" w:beforeAutospacing="0" w:after="0" w:afterAutospacing="0"/>
        <w:rPr>
          <w:rFonts w:ascii="Times New Roman" w:hAnsi="Times New Roman" w:cs="Times New Roman"/>
        </w:rPr>
      </w:pPr>
    </w:p>
    <w:p w:rsidR="00782B4C" w:rsidP="00DB7D1D" w:rsidRDefault="00782B4C" w14:paraId="1B78FD1C" w14:textId="77777777">
      <w:pPr>
        <w:pStyle w:val="NormalWeb"/>
        <w:spacing w:before="0" w:beforeAutospacing="0" w:after="0" w:afterAutospacing="0"/>
        <w:rPr>
          <w:rFonts w:ascii="Times New Roman" w:hAnsi="Times New Roman" w:cs="Times New Roman"/>
        </w:rPr>
      </w:pPr>
      <w:r>
        <w:rPr>
          <w:rFonts w:ascii="Times New Roman" w:hAnsi="Times New Roman" w:cs="Times New Roman"/>
        </w:rPr>
        <w:t>A person may apply for confidential handling of their special permit application, as detailed in § 107.105(b).  PHMSA receive</w:t>
      </w:r>
      <w:r w:rsidR="002A3F68">
        <w:rPr>
          <w:rFonts w:ascii="Times New Roman" w:hAnsi="Times New Roman" w:cs="Times New Roman"/>
        </w:rPr>
        <w:t>s</w:t>
      </w:r>
      <w:r>
        <w:rPr>
          <w:rFonts w:ascii="Times New Roman" w:hAnsi="Times New Roman" w:cs="Times New Roman"/>
        </w:rPr>
        <w:t xml:space="preserve"> </w:t>
      </w:r>
      <w:r w:rsidR="00224946">
        <w:rPr>
          <w:rFonts w:ascii="Times New Roman" w:hAnsi="Times New Roman" w:cs="Times New Roman"/>
        </w:rPr>
        <w:t xml:space="preserve">approximately </w:t>
      </w:r>
      <w:r w:rsidR="00006718">
        <w:rPr>
          <w:rFonts w:ascii="Times New Roman" w:hAnsi="Times New Roman" w:cs="Times New Roman"/>
        </w:rPr>
        <w:t>31</w:t>
      </w:r>
      <w:r w:rsidR="00E12B2D">
        <w:rPr>
          <w:rFonts w:ascii="Times New Roman" w:hAnsi="Times New Roman" w:cs="Times New Roman"/>
        </w:rPr>
        <w:t xml:space="preserve"> </w:t>
      </w:r>
      <w:r>
        <w:rPr>
          <w:rFonts w:ascii="Times New Roman" w:hAnsi="Times New Roman" w:cs="Times New Roman"/>
        </w:rPr>
        <w:t>confidential handling requests</w:t>
      </w:r>
      <w:r w:rsidR="001F53F7">
        <w:rPr>
          <w:rFonts w:ascii="Times New Roman" w:hAnsi="Times New Roman" w:cs="Times New Roman"/>
        </w:rPr>
        <w:t xml:space="preserve"> annually</w:t>
      </w:r>
      <w:r>
        <w:rPr>
          <w:rFonts w:ascii="Times New Roman" w:hAnsi="Times New Roman" w:cs="Times New Roman"/>
        </w:rPr>
        <w:t xml:space="preserve">.  </w:t>
      </w:r>
      <w:r w:rsidR="009102F2">
        <w:rPr>
          <w:rFonts w:ascii="Times New Roman" w:hAnsi="Times New Roman" w:cs="Times New Roman"/>
        </w:rPr>
        <w:t>Based on historical stakeholder feedback, e</w:t>
      </w:r>
      <w:r>
        <w:rPr>
          <w:rFonts w:ascii="Times New Roman" w:hAnsi="Times New Roman" w:cs="Times New Roman"/>
        </w:rPr>
        <w:t xml:space="preserve">ach request takes approximately </w:t>
      </w:r>
      <w:r w:rsidRPr="000D087B" w:rsidR="00977048">
        <w:rPr>
          <w:rFonts w:ascii="Times New Roman" w:hAnsi="Times New Roman" w:cs="Times New Roman"/>
        </w:rPr>
        <w:t>1</w:t>
      </w:r>
      <w:r w:rsidRPr="000D087B">
        <w:rPr>
          <w:rFonts w:ascii="Times New Roman" w:hAnsi="Times New Roman" w:cs="Times New Roman"/>
        </w:rPr>
        <w:t>5 minutes to prepare</w:t>
      </w:r>
      <w:r w:rsidR="00224946">
        <w:rPr>
          <w:rFonts w:ascii="Times New Roman" w:hAnsi="Times New Roman" w:cs="Times New Roman"/>
        </w:rPr>
        <w:t xml:space="preserve"> for a </w:t>
      </w:r>
      <w:r>
        <w:rPr>
          <w:rFonts w:ascii="Times New Roman" w:hAnsi="Times New Roman" w:cs="Times New Roman"/>
        </w:rPr>
        <w:t xml:space="preserve">total annual burden </w:t>
      </w:r>
      <w:r w:rsidR="00224946">
        <w:rPr>
          <w:rFonts w:ascii="Times New Roman" w:hAnsi="Times New Roman" w:cs="Times New Roman"/>
        </w:rPr>
        <w:t>of</w:t>
      </w:r>
      <w:r w:rsidR="00977048">
        <w:rPr>
          <w:rFonts w:ascii="Times New Roman" w:hAnsi="Times New Roman" w:cs="Times New Roman"/>
        </w:rPr>
        <w:t xml:space="preserve"> </w:t>
      </w:r>
      <w:r w:rsidR="00224946">
        <w:rPr>
          <w:rFonts w:ascii="Times New Roman" w:hAnsi="Times New Roman" w:cs="Times New Roman"/>
        </w:rPr>
        <w:t>10</w:t>
      </w:r>
      <w:r w:rsidR="00977048">
        <w:rPr>
          <w:rFonts w:ascii="Times New Roman" w:hAnsi="Times New Roman" w:cs="Times New Roman"/>
        </w:rPr>
        <w:t xml:space="preserve"> hours (</w:t>
      </w:r>
      <w:r w:rsidR="00224946">
        <w:rPr>
          <w:rFonts w:ascii="Times New Roman" w:hAnsi="Times New Roman" w:cs="Times New Roman"/>
        </w:rPr>
        <w:t>31 </w:t>
      </w:r>
      <w:r w:rsidR="00977048">
        <w:rPr>
          <w:rFonts w:ascii="Times New Roman" w:hAnsi="Times New Roman" w:cs="Times New Roman"/>
        </w:rPr>
        <w:t>responses x 1</w:t>
      </w:r>
      <w:r>
        <w:rPr>
          <w:rFonts w:ascii="Times New Roman" w:hAnsi="Times New Roman" w:cs="Times New Roman"/>
        </w:rPr>
        <w:t xml:space="preserve">5 minutes).  At an hourly wage of </w:t>
      </w:r>
      <w:r w:rsidRPr="000D087B">
        <w:rPr>
          <w:rFonts w:ascii="Times New Roman" w:hAnsi="Times New Roman" w:cs="Times New Roman"/>
        </w:rPr>
        <w:t>$</w:t>
      </w:r>
      <w:r w:rsidR="00006718">
        <w:rPr>
          <w:rFonts w:ascii="Times New Roman" w:hAnsi="Times New Roman" w:cs="Times New Roman"/>
        </w:rPr>
        <w:t>104.82</w:t>
      </w:r>
      <w:r w:rsidR="009102F2">
        <w:rPr>
          <w:rFonts w:ascii="Times New Roman" w:hAnsi="Times New Roman" w:cs="Times New Roman"/>
        </w:rPr>
        <w:t>/</w:t>
      </w:r>
      <w:r w:rsidRPr="000D087B">
        <w:rPr>
          <w:rFonts w:ascii="Times New Roman" w:hAnsi="Times New Roman" w:cs="Times New Roman"/>
        </w:rPr>
        <w:t>hour</w:t>
      </w:r>
      <w:r w:rsidR="00224946">
        <w:rPr>
          <w:rFonts w:ascii="Times New Roman" w:hAnsi="Times New Roman" w:cs="Times New Roman"/>
        </w:rPr>
        <w:t>,</w:t>
      </w:r>
      <w:r w:rsidR="00051580">
        <w:rPr>
          <w:rStyle w:val="FootnoteReference"/>
          <w:rFonts w:ascii="Times New Roman" w:hAnsi="Times New Roman" w:cs="Times New Roman"/>
        </w:rPr>
        <w:footnoteReference w:id="8"/>
      </w:r>
      <w:r>
        <w:rPr>
          <w:rFonts w:ascii="Times New Roman" w:hAnsi="Times New Roman" w:cs="Times New Roman"/>
        </w:rPr>
        <w:t xml:space="preserve"> confidential handling </w:t>
      </w:r>
      <w:r w:rsidR="005A37BB">
        <w:rPr>
          <w:rFonts w:ascii="Times New Roman" w:hAnsi="Times New Roman" w:cs="Times New Roman"/>
        </w:rPr>
        <w:t xml:space="preserve">is </w:t>
      </w:r>
      <w:r w:rsidR="00977048">
        <w:rPr>
          <w:rFonts w:ascii="Times New Roman" w:hAnsi="Times New Roman" w:cs="Times New Roman"/>
        </w:rPr>
        <w:t>estimated</w:t>
      </w:r>
      <w:r>
        <w:rPr>
          <w:rFonts w:ascii="Times New Roman" w:hAnsi="Times New Roman" w:cs="Times New Roman"/>
        </w:rPr>
        <w:t xml:space="preserve"> to cost $</w:t>
      </w:r>
      <w:r w:rsidR="00224946">
        <w:rPr>
          <w:rFonts w:ascii="Times New Roman" w:hAnsi="Times New Roman" w:cs="Times New Roman"/>
        </w:rPr>
        <w:t>812</w:t>
      </w:r>
      <w:r w:rsidR="00006718">
        <w:rPr>
          <w:rFonts w:ascii="Times New Roman" w:hAnsi="Times New Roman" w:cs="Times New Roman"/>
        </w:rPr>
        <w:t xml:space="preserve"> </w:t>
      </w:r>
      <w:r>
        <w:rPr>
          <w:rFonts w:ascii="Times New Roman" w:hAnsi="Times New Roman" w:cs="Times New Roman"/>
        </w:rPr>
        <w:t>(</w:t>
      </w:r>
      <w:r w:rsidR="00224946">
        <w:rPr>
          <w:rFonts w:ascii="Times New Roman" w:hAnsi="Times New Roman" w:cs="Times New Roman"/>
        </w:rPr>
        <w:t>8</w:t>
      </w:r>
      <w:r w:rsidR="00006718">
        <w:rPr>
          <w:rFonts w:ascii="Times New Roman" w:hAnsi="Times New Roman" w:cs="Times New Roman"/>
        </w:rPr>
        <w:t xml:space="preserve"> </w:t>
      </w:r>
      <w:r w:rsidR="00137594">
        <w:rPr>
          <w:rFonts w:ascii="Times New Roman" w:hAnsi="Times New Roman" w:cs="Times New Roman"/>
        </w:rPr>
        <w:t xml:space="preserve">burden </w:t>
      </w:r>
      <w:r>
        <w:rPr>
          <w:rFonts w:ascii="Times New Roman" w:hAnsi="Times New Roman" w:cs="Times New Roman"/>
        </w:rPr>
        <w:t>hours x $</w:t>
      </w:r>
      <w:r w:rsidR="00006718">
        <w:rPr>
          <w:rFonts w:ascii="Times New Roman" w:hAnsi="Times New Roman" w:cs="Times New Roman"/>
        </w:rPr>
        <w:t>104.82</w:t>
      </w:r>
      <w:r>
        <w:rPr>
          <w:rFonts w:ascii="Times New Roman" w:hAnsi="Times New Roman" w:cs="Times New Roman"/>
        </w:rPr>
        <w:t>).</w:t>
      </w:r>
      <w:r w:rsidR="00224946">
        <w:rPr>
          <w:rFonts w:ascii="Times New Roman" w:hAnsi="Times New Roman" w:cs="Times New Roman"/>
        </w:rPr>
        <w:t xml:space="preserve">  PHMSA does not estimate any out-of-pocket expenses.</w:t>
      </w:r>
    </w:p>
    <w:p w:rsidR="00DC70A6" w:rsidP="00DB7D1D" w:rsidRDefault="00DC70A6" w14:paraId="0B92DE89" w14:textId="77777777">
      <w:pPr>
        <w:pStyle w:val="NormalWeb"/>
        <w:spacing w:before="0" w:beforeAutospacing="0" w:after="0" w:afterAutospacing="0"/>
        <w:rPr>
          <w:rFonts w:ascii="Times New Roman" w:hAnsi="Times New Roman" w:cs="Times New Roman"/>
        </w:rPr>
      </w:pPr>
    </w:p>
    <w:tbl>
      <w:tblPr>
        <w:tblW w:w="10004" w:type="dxa"/>
        <w:jc w:val="center"/>
        <w:tblLayout w:type="fixed"/>
        <w:tblCellMar>
          <w:top w:w="15" w:type="dxa"/>
          <w:bottom w:w="15" w:type="dxa"/>
        </w:tblCellMar>
        <w:tblLook w:val="04A0" w:firstRow="1" w:lastRow="0" w:firstColumn="1" w:lastColumn="0" w:noHBand="0" w:noVBand="1"/>
      </w:tblPr>
      <w:tblGrid>
        <w:gridCol w:w="1378"/>
        <w:gridCol w:w="1350"/>
        <w:gridCol w:w="1350"/>
        <w:gridCol w:w="1170"/>
        <w:gridCol w:w="1080"/>
        <w:gridCol w:w="900"/>
        <w:gridCol w:w="990"/>
        <w:gridCol w:w="900"/>
        <w:gridCol w:w="886"/>
      </w:tblGrid>
      <w:tr w:rsidRPr="00977048" w:rsidR="00BA155C" w:rsidTr="00BA155C" w14:paraId="4C63A46D" w14:textId="77777777">
        <w:trPr>
          <w:trHeight w:val="630"/>
          <w:jc w:val="center"/>
        </w:trPr>
        <w:tc>
          <w:tcPr>
            <w:tcW w:w="1378" w:type="dxa"/>
            <w:tcBorders>
              <w:top w:val="single" w:color="auto" w:sz="4" w:space="0"/>
              <w:left w:val="single" w:color="auto" w:sz="4" w:space="0"/>
              <w:bottom w:val="single" w:color="auto" w:sz="4" w:space="0"/>
              <w:right w:val="single" w:color="auto" w:sz="4" w:space="0"/>
            </w:tcBorders>
            <w:vAlign w:val="bottom"/>
          </w:tcPr>
          <w:p w:rsidRPr="00D84522" w:rsidR="00BA155C" w:rsidP="00D84522" w:rsidRDefault="00BA155C" w14:paraId="1C6FEC90" w14:textId="77777777">
            <w:pPr>
              <w:widowControl/>
              <w:autoSpaceDE/>
              <w:autoSpaceDN/>
              <w:adjustRightInd/>
              <w:rPr>
                <w:rFonts w:ascii="Times New Roman" w:hAnsi="Times New Roman"/>
                <w:b/>
                <w:bCs/>
                <w:color w:val="000000"/>
                <w:u w:val="single"/>
              </w:rPr>
            </w:pPr>
            <w:r w:rsidRPr="00D84522">
              <w:rPr>
                <w:rFonts w:ascii="Times New Roman" w:hAnsi="Times New Roman"/>
                <w:b/>
                <w:bCs/>
                <w:color w:val="000000"/>
              </w:rPr>
              <w:t>Confidential Handling – § 107.105(b)</w:t>
            </w:r>
          </w:p>
        </w:tc>
        <w:tc>
          <w:tcPr>
            <w:tcW w:w="1350" w:type="dxa"/>
            <w:tcBorders>
              <w:top w:val="single" w:color="auto" w:sz="4" w:space="0"/>
              <w:left w:val="single" w:color="auto" w:sz="4" w:space="0"/>
              <w:bottom w:val="single" w:color="auto" w:sz="4" w:space="0"/>
              <w:right w:val="single" w:color="auto" w:sz="4" w:space="0"/>
            </w:tcBorders>
            <w:vAlign w:val="bottom"/>
            <w:hideMark/>
          </w:tcPr>
          <w:p w:rsidRPr="00D84522" w:rsidR="00BA155C" w:rsidP="00977048" w:rsidRDefault="00BA155C" w14:paraId="0CD30C09" w14:textId="77777777">
            <w:pPr>
              <w:widowControl/>
              <w:autoSpaceDE/>
              <w:autoSpaceDN/>
              <w:adjustRightInd/>
              <w:jc w:val="center"/>
              <w:rPr>
                <w:rFonts w:ascii="Times New Roman" w:hAnsi="Times New Roman"/>
                <w:b/>
                <w:bCs/>
                <w:color w:val="000000"/>
                <w:u w:val="single"/>
              </w:rPr>
            </w:pPr>
            <w:r w:rsidRPr="00D84522">
              <w:rPr>
                <w:rFonts w:ascii="Times New Roman" w:hAnsi="Times New Roman"/>
                <w:b/>
                <w:bCs/>
                <w:color w:val="000000"/>
                <w:u w:val="single"/>
              </w:rPr>
              <w:t>Annual Respondents</w:t>
            </w:r>
          </w:p>
        </w:tc>
        <w:tc>
          <w:tcPr>
            <w:tcW w:w="1350" w:type="dxa"/>
            <w:tcBorders>
              <w:top w:val="single" w:color="auto" w:sz="4" w:space="0"/>
              <w:left w:val="single" w:color="auto" w:sz="4" w:space="0"/>
              <w:bottom w:val="single" w:color="auto" w:sz="4" w:space="0"/>
              <w:right w:val="single" w:color="auto" w:sz="4" w:space="0"/>
            </w:tcBorders>
            <w:vAlign w:val="bottom"/>
            <w:hideMark/>
          </w:tcPr>
          <w:p w:rsidRPr="00D84522" w:rsidR="00BA155C" w:rsidP="00977048" w:rsidRDefault="00BA155C" w14:paraId="17815FD5" w14:textId="77777777">
            <w:pPr>
              <w:widowControl/>
              <w:autoSpaceDE/>
              <w:autoSpaceDN/>
              <w:adjustRightInd/>
              <w:jc w:val="center"/>
              <w:rPr>
                <w:rFonts w:ascii="Times New Roman" w:hAnsi="Times New Roman"/>
                <w:b/>
                <w:bCs/>
                <w:color w:val="000000"/>
                <w:u w:val="single"/>
              </w:rPr>
            </w:pPr>
            <w:r w:rsidRPr="00D84522">
              <w:rPr>
                <w:rFonts w:ascii="Times New Roman" w:hAnsi="Times New Roman"/>
                <w:b/>
                <w:bCs/>
                <w:color w:val="000000"/>
                <w:u w:val="single"/>
              </w:rPr>
              <w:t>Responses per Respondent</w:t>
            </w:r>
          </w:p>
        </w:tc>
        <w:tc>
          <w:tcPr>
            <w:tcW w:w="1170" w:type="dxa"/>
            <w:tcBorders>
              <w:top w:val="single" w:color="auto" w:sz="4" w:space="0"/>
              <w:left w:val="single" w:color="auto" w:sz="4" w:space="0"/>
              <w:bottom w:val="single" w:color="auto" w:sz="4" w:space="0"/>
              <w:right w:val="single" w:color="auto" w:sz="4" w:space="0"/>
            </w:tcBorders>
            <w:vAlign w:val="bottom"/>
            <w:hideMark/>
          </w:tcPr>
          <w:p w:rsidRPr="00D84522" w:rsidR="00BA155C" w:rsidP="00977048" w:rsidRDefault="00BA155C" w14:paraId="59462872" w14:textId="77777777">
            <w:pPr>
              <w:widowControl/>
              <w:autoSpaceDE/>
              <w:autoSpaceDN/>
              <w:adjustRightInd/>
              <w:jc w:val="center"/>
              <w:rPr>
                <w:rFonts w:ascii="Times New Roman" w:hAnsi="Times New Roman"/>
                <w:b/>
                <w:bCs/>
                <w:color w:val="000000"/>
                <w:u w:val="single"/>
              </w:rPr>
            </w:pPr>
            <w:r w:rsidRPr="00D84522">
              <w:rPr>
                <w:rFonts w:ascii="Times New Roman" w:hAnsi="Times New Roman"/>
                <w:b/>
                <w:bCs/>
                <w:color w:val="000000"/>
                <w:u w:val="single"/>
              </w:rPr>
              <w:t>Number of Responses</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D84522" w:rsidR="00BA155C" w:rsidP="00977048" w:rsidRDefault="00BA155C" w14:paraId="738A94D9" w14:textId="77777777">
            <w:pPr>
              <w:widowControl/>
              <w:autoSpaceDE/>
              <w:autoSpaceDN/>
              <w:adjustRightInd/>
              <w:jc w:val="center"/>
              <w:rPr>
                <w:rFonts w:ascii="Times New Roman" w:hAnsi="Times New Roman"/>
                <w:b/>
                <w:bCs/>
                <w:color w:val="000000"/>
                <w:u w:val="single"/>
              </w:rPr>
            </w:pPr>
            <w:r w:rsidRPr="00D84522">
              <w:rPr>
                <w:rFonts w:ascii="Times New Roman" w:hAnsi="Times New Roman"/>
                <w:b/>
                <w:bCs/>
                <w:color w:val="000000"/>
                <w:u w:val="single"/>
              </w:rPr>
              <w:t>Minutes per Response</w:t>
            </w:r>
          </w:p>
        </w:tc>
        <w:tc>
          <w:tcPr>
            <w:tcW w:w="900" w:type="dxa"/>
            <w:tcBorders>
              <w:top w:val="single" w:color="auto" w:sz="4" w:space="0"/>
              <w:left w:val="single" w:color="auto" w:sz="4" w:space="0"/>
              <w:bottom w:val="single" w:color="auto" w:sz="4" w:space="0"/>
              <w:right w:val="single" w:color="auto" w:sz="4" w:space="0"/>
            </w:tcBorders>
            <w:vAlign w:val="bottom"/>
            <w:hideMark/>
          </w:tcPr>
          <w:p w:rsidRPr="00D84522" w:rsidR="00BA155C" w:rsidP="00977048" w:rsidRDefault="00BA155C" w14:paraId="267D3734" w14:textId="77777777">
            <w:pPr>
              <w:widowControl/>
              <w:autoSpaceDE/>
              <w:autoSpaceDN/>
              <w:adjustRightInd/>
              <w:jc w:val="center"/>
              <w:rPr>
                <w:rFonts w:ascii="Times New Roman" w:hAnsi="Times New Roman"/>
                <w:b/>
                <w:bCs/>
                <w:color w:val="000000"/>
                <w:u w:val="single"/>
              </w:rPr>
            </w:pPr>
            <w:r w:rsidRPr="00D84522">
              <w:rPr>
                <w:rFonts w:ascii="Times New Roman" w:hAnsi="Times New Roman"/>
                <w:b/>
                <w:bCs/>
                <w:color w:val="000000"/>
                <w:u w:val="single"/>
              </w:rPr>
              <w:t>Total Burden Hours</w:t>
            </w:r>
          </w:p>
        </w:tc>
        <w:tc>
          <w:tcPr>
            <w:tcW w:w="990" w:type="dxa"/>
            <w:tcBorders>
              <w:top w:val="single" w:color="auto" w:sz="4" w:space="0"/>
              <w:left w:val="single" w:color="auto" w:sz="4" w:space="0"/>
              <w:bottom w:val="single" w:color="auto" w:sz="4" w:space="0"/>
              <w:right w:val="single" w:color="auto" w:sz="4" w:space="0"/>
            </w:tcBorders>
            <w:vAlign w:val="bottom"/>
            <w:hideMark/>
          </w:tcPr>
          <w:p w:rsidRPr="00D84522" w:rsidR="00BA155C" w:rsidP="00977048" w:rsidRDefault="00BA155C" w14:paraId="2CBB8ECC" w14:textId="77777777">
            <w:pPr>
              <w:widowControl/>
              <w:autoSpaceDE/>
              <w:autoSpaceDN/>
              <w:adjustRightInd/>
              <w:jc w:val="center"/>
              <w:rPr>
                <w:rFonts w:ascii="Times New Roman" w:hAnsi="Times New Roman"/>
                <w:b/>
                <w:bCs/>
                <w:color w:val="000000"/>
                <w:u w:val="single"/>
              </w:rPr>
            </w:pPr>
            <w:r w:rsidRPr="00D84522">
              <w:rPr>
                <w:rFonts w:ascii="Times New Roman" w:hAnsi="Times New Roman"/>
                <w:b/>
                <w:bCs/>
                <w:color w:val="000000"/>
                <w:u w:val="single"/>
              </w:rPr>
              <w:t>Salary Cost per Hour</w:t>
            </w:r>
          </w:p>
        </w:tc>
        <w:tc>
          <w:tcPr>
            <w:tcW w:w="900" w:type="dxa"/>
            <w:tcBorders>
              <w:top w:val="single" w:color="auto" w:sz="4" w:space="0"/>
              <w:left w:val="single" w:color="auto" w:sz="4" w:space="0"/>
              <w:bottom w:val="single" w:color="auto" w:sz="4" w:space="0"/>
              <w:right w:val="single" w:color="auto" w:sz="4" w:space="0"/>
            </w:tcBorders>
            <w:vAlign w:val="bottom"/>
            <w:hideMark/>
          </w:tcPr>
          <w:p w:rsidRPr="00D84522" w:rsidR="00BA155C" w:rsidP="00977048" w:rsidRDefault="00BA155C" w14:paraId="3261F7D6" w14:textId="77777777">
            <w:pPr>
              <w:widowControl/>
              <w:autoSpaceDE/>
              <w:autoSpaceDN/>
              <w:adjustRightInd/>
              <w:jc w:val="center"/>
              <w:rPr>
                <w:rFonts w:ascii="Times New Roman" w:hAnsi="Times New Roman"/>
                <w:b/>
                <w:bCs/>
                <w:color w:val="000000"/>
                <w:u w:val="single"/>
              </w:rPr>
            </w:pPr>
            <w:r w:rsidRPr="00D84522">
              <w:rPr>
                <w:rFonts w:ascii="Times New Roman" w:hAnsi="Times New Roman"/>
                <w:b/>
                <w:bCs/>
                <w:color w:val="000000"/>
                <w:u w:val="single"/>
              </w:rPr>
              <w:t>Total Salary Cost</w:t>
            </w:r>
          </w:p>
        </w:tc>
        <w:tc>
          <w:tcPr>
            <w:tcW w:w="886" w:type="dxa"/>
            <w:tcBorders>
              <w:top w:val="single" w:color="auto" w:sz="4" w:space="0"/>
              <w:left w:val="single" w:color="auto" w:sz="4" w:space="0"/>
              <w:bottom w:val="single" w:color="auto" w:sz="4" w:space="0"/>
              <w:right w:val="single" w:color="auto" w:sz="4" w:space="0"/>
            </w:tcBorders>
            <w:vAlign w:val="bottom"/>
          </w:tcPr>
          <w:p w:rsidRPr="00B5538E" w:rsidR="00BA155C" w:rsidP="00B5538E" w:rsidRDefault="00BA155C" w14:paraId="736D8A68" w14:textId="77777777">
            <w:pPr>
              <w:widowControl/>
              <w:autoSpaceDE/>
              <w:autoSpaceDN/>
              <w:adjustRightInd/>
              <w:jc w:val="center"/>
              <w:rPr>
                <w:rFonts w:ascii="Times New Roman" w:hAnsi="Times New Roman"/>
                <w:b/>
                <w:bCs/>
                <w:color w:val="000000"/>
                <w:u w:val="single"/>
              </w:rPr>
            </w:pPr>
            <w:r>
              <w:rPr>
                <w:rFonts w:ascii="Times New Roman" w:hAnsi="Times New Roman"/>
                <w:b/>
                <w:bCs/>
                <w:color w:val="000000"/>
                <w:u w:val="single"/>
              </w:rPr>
              <w:t>Total Burden Cost</w:t>
            </w:r>
          </w:p>
        </w:tc>
      </w:tr>
      <w:tr w:rsidRPr="00977048" w:rsidR="00BA155C" w:rsidTr="00BA155C" w14:paraId="11CCA6EA" w14:textId="77777777">
        <w:trPr>
          <w:trHeight w:val="35"/>
          <w:jc w:val="center"/>
        </w:trPr>
        <w:tc>
          <w:tcPr>
            <w:tcW w:w="1378" w:type="dxa"/>
            <w:tcBorders>
              <w:top w:val="nil"/>
              <w:left w:val="single" w:color="auto" w:sz="4" w:space="0"/>
              <w:bottom w:val="single" w:color="auto" w:sz="4" w:space="0"/>
              <w:right w:val="single" w:color="auto" w:sz="4" w:space="0"/>
            </w:tcBorders>
            <w:vAlign w:val="bottom"/>
          </w:tcPr>
          <w:p w:rsidR="00BA155C" w:rsidP="000D087B" w:rsidRDefault="00BA155C" w14:paraId="25A7D220" w14:textId="77777777">
            <w:pPr>
              <w:widowControl/>
              <w:autoSpaceDE/>
              <w:autoSpaceDN/>
              <w:adjustRightInd/>
              <w:rPr>
                <w:rFonts w:ascii="Times New Roman" w:hAnsi="Times New Roman"/>
                <w:color w:val="000000"/>
              </w:rPr>
            </w:pPr>
            <w:r>
              <w:rPr>
                <w:rFonts w:ascii="Times New Roman" w:hAnsi="Times New Roman"/>
                <w:color w:val="000000"/>
              </w:rPr>
              <w:t>Reporting</w:t>
            </w:r>
          </w:p>
        </w:tc>
        <w:tc>
          <w:tcPr>
            <w:tcW w:w="1350" w:type="dxa"/>
            <w:tcBorders>
              <w:top w:val="nil"/>
              <w:left w:val="single" w:color="auto" w:sz="4" w:space="0"/>
              <w:bottom w:val="single" w:color="auto" w:sz="4" w:space="0"/>
              <w:right w:val="single" w:color="auto" w:sz="4" w:space="0"/>
            </w:tcBorders>
            <w:noWrap/>
            <w:vAlign w:val="bottom"/>
            <w:hideMark/>
          </w:tcPr>
          <w:p w:rsidRPr="00977048" w:rsidR="00BA155C" w:rsidP="00977048" w:rsidRDefault="00BA155C" w14:paraId="3234D803" w14:textId="77777777">
            <w:pPr>
              <w:widowControl/>
              <w:autoSpaceDE/>
              <w:autoSpaceDN/>
              <w:adjustRightInd/>
              <w:jc w:val="right"/>
              <w:rPr>
                <w:rFonts w:ascii="Times New Roman" w:hAnsi="Times New Roman"/>
                <w:color w:val="000000"/>
              </w:rPr>
            </w:pPr>
            <w:r>
              <w:rPr>
                <w:rFonts w:ascii="Times New Roman" w:hAnsi="Times New Roman"/>
                <w:color w:val="000000"/>
              </w:rPr>
              <w:t>31</w:t>
            </w:r>
          </w:p>
        </w:tc>
        <w:tc>
          <w:tcPr>
            <w:tcW w:w="1350" w:type="dxa"/>
            <w:tcBorders>
              <w:top w:val="nil"/>
              <w:left w:val="single" w:color="auto" w:sz="4" w:space="0"/>
              <w:bottom w:val="single" w:color="auto" w:sz="4" w:space="0"/>
              <w:right w:val="single" w:color="auto" w:sz="4" w:space="0"/>
            </w:tcBorders>
            <w:noWrap/>
            <w:vAlign w:val="bottom"/>
            <w:hideMark/>
          </w:tcPr>
          <w:p w:rsidRPr="00977048" w:rsidR="00BA155C" w:rsidP="00977048" w:rsidRDefault="00BA155C" w14:paraId="304FC262" w14:textId="77777777">
            <w:pPr>
              <w:widowControl/>
              <w:autoSpaceDE/>
              <w:autoSpaceDN/>
              <w:adjustRightInd/>
              <w:jc w:val="right"/>
              <w:rPr>
                <w:rFonts w:ascii="Times New Roman" w:hAnsi="Times New Roman"/>
                <w:color w:val="000000"/>
              </w:rPr>
            </w:pPr>
            <w:r w:rsidRPr="00977048">
              <w:rPr>
                <w:rFonts w:ascii="Times New Roman" w:hAnsi="Times New Roman"/>
                <w:color w:val="000000"/>
              </w:rPr>
              <w:t>1</w:t>
            </w:r>
          </w:p>
        </w:tc>
        <w:tc>
          <w:tcPr>
            <w:tcW w:w="1170" w:type="dxa"/>
            <w:tcBorders>
              <w:top w:val="single" w:color="auto" w:sz="4" w:space="0"/>
              <w:left w:val="single" w:color="auto" w:sz="4" w:space="0"/>
              <w:bottom w:val="single" w:color="auto" w:sz="4" w:space="0"/>
              <w:right w:val="single" w:color="auto" w:sz="4" w:space="0"/>
            </w:tcBorders>
            <w:noWrap/>
            <w:vAlign w:val="bottom"/>
            <w:hideMark/>
          </w:tcPr>
          <w:p w:rsidRPr="00977048" w:rsidR="00BA155C" w:rsidP="00977048" w:rsidRDefault="00BA155C" w14:paraId="7EE0F487" w14:textId="77777777">
            <w:pPr>
              <w:widowControl/>
              <w:autoSpaceDE/>
              <w:autoSpaceDN/>
              <w:adjustRightInd/>
              <w:jc w:val="right"/>
              <w:rPr>
                <w:rFonts w:ascii="Times New Roman" w:hAnsi="Times New Roman"/>
                <w:color w:val="000000"/>
              </w:rPr>
            </w:pPr>
            <w:r>
              <w:rPr>
                <w:rFonts w:ascii="Times New Roman" w:hAnsi="Times New Roman"/>
                <w:color w:val="000000"/>
              </w:rPr>
              <w:t>31</w:t>
            </w:r>
          </w:p>
        </w:tc>
        <w:tc>
          <w:tcPr>
            <w:tcW w:w="1080" w:type="dxa"/>
            <w:tcBorders>
              <w:top w:val="nil"/>
              <w:left w:val="single" w:color="auto" w:sz="4" w:space="0"/>
              <w:bottom w:val="single" w:color="auto" w:sz="4" w:space="0"/>
              <w:right w:val="single" w:color="auto" w:sz="4" w:space="0"/>
            </w:tcBorders>
            <w:noWrap/>
            <w:vAlign w:val="bottom"/>
            <w:hideMark/>
          </w:tcPr>
          <w:p w:rsidRPr="00977048" w:rsidR="00BA155C" w:rsidP="00977048" w:rsidRDefault="00BA155C" w14:paraId="1711D176" w14:textId="77777777">
            <w:pPr>
              <w:widowControl/>
              <w:autoSpaceDE/>
              <w:autoSpaceDN/>
              <w:adjustRightInd/>
              <w:jc w:val="right"/>
              <w:rPr>
                <w:rFonts w:ascii="Times New Roman" w:hAnsi="Times New Roman"/>
                <w:color w:val="000000"/>
              </w:rPr>
            </w:pPr>
            <w:r>
              <w:rPr>
                <w:rFonts w:ascii="Times New Roman" w:hAnsi="Times New Roman"/>
                <w:color w:val="000000"/>
              </w:rPr>
              <w:t>15</w:t>
            </w:r>
          </w:p>
        </w:tc>
        <w:tc>
          <w:tcPr>
            <w:tcW w:w="900" w:type="dxa"/>
            <w:tcBorders>
              <w:top w:val="nil"/>
              <w:left w:val="single" w:color="auto" w:sz="4" w:space="0"/>
              <w:bottom w:val="single" w:color="auto" w:sz="4" w:space="0"/>
              <w:right w:val="single" w:color="auto" w:sz="4" w:space="0"/>
            </w:tcBorders>
            <w:noWrap/>
            <w:vAlign w:val="bottom"/>
            <w:hideMark/>
          </w:tcPr>
          <w:p w:rsidRPr="00977048" w:rsidR="00BA155C" w:rsidP="00977048" w:rsidRDefault="00224946" w14:paraId="219D5D6E" w14:textId="77777777">
            <w:pPr>
              <w:widowControl/>
              <w:autoSpaceDE/>
              <w:autoSpaceDN/>
              <w:adjustRightInd/>
              <w:jc w:val="right"/>
              <w:rPr>
                <w:rFonts w:ascii="Times New Roman" w:hAnsi="Times New Roman"/>
                <w:color w:val="000000"/>
              </w:rPr>
            </w:pPr>
            <w:r>
              <w:rPr>
                <w:rFonts w:ascii="Times New Roman" w:hAnsi="Times New Roman"/>
                <w:color w:val="000000"/>
              </w:rPr>
              <w:t>8</w:t>
            </w:r>
          </w:p>
        </w:tc>
        <w:tc>
          <w:tcPr>
            <w:tcW w:w="990" w:type="dxa"/>
            <w:tcBorders>
              <w:top w:val="nil"/>
              <w:left w:val="single" w:color="auto" w:sz="4" w:space="0"/>
              <w:bottom w:val="single" w:color="auto" w:sz="4" w:space="0"/>
              <w:right w:val="single" w:color="auto" w:sz="4" w:space="0"/>
            </w:tcBorders>
            <w:noWrap/>
            <w:vAlign w:val="bottom"/>
            <w:hideMark/>
          </w:tcPr>
          <w:p w:rsidRPr="00977048" w:rsidR="00BA155C" w:rsidP="00977048" w:rsidRDefault="00BA155C" w14:paraId="2D161C54" w14:textId="77777777">
            <w:pPr>
              <w:widowControl/>
              <w:autoSpaceDE/>
              <w:autoSpaceDN/>
              <w:adjustRightInd/>
              <w:jc w:val="right"/>
              <w:rPr>
                <w:rFonts w:ascii="Times New Roman" w:hAnsi="Times New Roman"/>
                <w:color w:val="000000"/>
              </w:rPr>
            </w:pPr>
            <w:r w:rsidRPr="00977048">
              <w:rPr>
                <w:rFonts w:ascii="Times New Roman" w:hAnsi="Times New Roman"/>
                <w:color w:val="000000"/>
              </w:rPr>
              <w:t>$</w:t>
            </w:r>
            <w:r>
              <w:rPr>
                <w:rFonts w:ascii="Times New Roman" w:hAnsi="Times New Roman"/>
                <w:color w:val="000000"/>
              </w:rPr>
              <w:t>104.82</w:t>
            </w:r>
            <w:r w:rsidRPr="00977048">
              <w:rPr>
                <w:rFonts w:ascii="Times New Roman" w:hAnsi="Times New Roman"/>
                <w:color w:val="000000"/>
              </w:rPr>
              <w:t xml:space="preserve"> </w:t>
            </w:r>
          </w:p>
        </w:tc>
        <w:tc>
          <w:tcPr>
            <w:tcW w:w="900" w:type="dxa"/>
            <w:tcBorders>
              <w:top w:val="nil"/>
              <w:left w:val="single" w:color="auto" w:sz="4" w:space="0"/>
              <w:bottom w:val="single" w:color="auto" w:sz="4" w:space="0"/>
              <w:right w:val="single" w:color="auto" w:sz="4" w:space="0"/>
            </w:tcBorders>
            <w:noWrap/>
            <w:vAlign w:val="bottom"/>
            <w:hideMark/>
          </w:tcPr>
          <w:p w:rsidRPr="00977048" w:rsidR="00BA155C" w:rsidP="00977048" w:rsidRDefault="00BA155C" w14:paraId="4449946A" w14:textId="77777777">
            <w:pPr>
              <w:widowControl/>
              <w:autoSpaceDE/>
              <w:autoSpaceDN/>
              <w:adjustRightInd/>
              <w:jc w:val="right"/>
              <w:rPr>
                <w:rFonts w:ascii="Times New Roman" w:hAnsi="Times New Roman"/>
                <w:color w:val="000000"/>
              </w:rPr>
            </w:pPr>
            <w:r w:rsidRPr="00977048">
              <w:rPr>
                <w:rFonts w:ascii="Times New Roman" w:hAnsi="Times New Roman"/>
                <w:color w:val="000000"/>
              </w:rPr>
              <w:t>$</w:t>
            </w:r>
            <w:r w:rsidR="00224946">
              <w:rPr>
                <w:rFonts w:ascii="Times New Roman" w:hAnsi="Times New Roman"/>
                <w:color w:val="000000"/>
              </w:rPr>
              <w:t>812</w:t>
            </w:r>
            <w:r w:rsidRPr="00977048">
              <w:rPr>
                <w:rFonts w:ascii="Times New Roman" w:hAnsi="Times New Roman"/>
                <w:color w:val="000000"/>
              </w:rPr>
              <w:t xml:space="preserve"> </w:t>
            </w:r>
          </w:p>
        </w:tc>
        <w:tc>
          <w:tcPr>
            <w:tcW w:w="886" w:type="dxa"/>
            <w:tcBorders>
              <w:top w:val="nil"/>
              <w:left w:val="single" w:color="auto" w:sz="4" w:space="0"/>
              <w:bottom w:val="single" w:color="auto" w:sz="4" w:space="0"/>
              <w:right w:val="single" w:color="auto" w:sz="4" w:space="0"/>
            </w:tcBorders>
            <w:vAlign w:val="bottom"/>
          </w:tcPr>
          <w:p w:rsidRPr="00977048" w:rsidR="00BA155C" w:rsidP="00B5538E" w:rsidRDefault="00BA155C" w14:paraId="55CF6E70" w14:textId="77777777">
            <w:pPr>
              <w:widowControl/>
              <w:autoSpaceDE/>
              <w:autoSpaceDN/>
              <w:adjustRightInd/>
              <w:jc w:val="right"/>
              <w:rPr>
                <w:rFonts w:ascii="Times New Roman" w:hAnsi="Times New Roman"/>
                <w:color w:val="000000"/>
              </w:rPr>
            </w:pPr>
            <w:r>
              <w:rPr>
                <w:rFonts w:ascii="Times New Roman" w:hAnsi="Times New Roman"/>
                <w:color w:val="000000"/>
              </w:rPr>
              <w:t>$0</w:t>
            </w:r>
          </w:p>
        </w:tc>
      </w:tr>
    </w:tbl>
    <w:p w:rsidR="00977048" w:rsidP="00DB7D1D" w:rsidRDefault="00977048" w14:paraId="732C2BE2" w14:textId="77777777">
      <w:pPr>
        <w:pStyle w:val="NormalWeb"/>
        <w:spacing w:before="0" w:beforeAutospacing="0" w:after="0" w:afterAutospacing="0"/>
        <w:rPr>
          <w:rFonts w:ascii="Times New Roman" w:hAnsi="Times New Roman" w:cs="Times New Roman"/>
        </w:rPr>
      </w:pPr>
    </w:p>
    <w:p w:rsidRPr="00F867F1" w:rsidR="00DC70A6" w:rsidP="00D84522" w:rsidRDefault="00F867F1" w14:paraId="009C64E2" w14:textId="77777777">
      <w:pPr>
        <w:pStyle w:val="NormalWeb"/>
        <w:keepNext/>
        <w:keepLines/>
        <w:spacing w:before="0" w:beforeAutospacing="0" w:after="0" w:afterAutospacing="0"/>
        <w:rPr>
          <w:rFonts w:ascii="Times New Roman" w:hAnsi="Times New Roman" w:cs="Times New Roman"/>
          <w:u w:val="single"/>
        </w:rPr>
      </w:pPr>
      <w:r>
        <w:rPr>
          <w:rFonts w:ascii="Times New Roman" w:hAnsi="Times New Roman" w:cs="Times New Roman"/>
          <w:u w:val="single"/>
        </w:rPr>
        <w:t xml:space="preserve">Part 107, Subpart C – </w:t>
      </w:r>
      <w:r w:rsidR="008C61D5">
        <w:rPr>
          <w:rFonts w:ascii="Times New Roman" w:hAnsi="Times New Roman" w:cs="Times New Roman"/>
          <w:u w:val="single"/>
        </w:rPr>
        <w:t>Preemption</w:t>
      </w:r>
      <w:r w:rsidR="00224946">
        <w:rPr>
          <w:rFonts w:ascii="Times New Roman" w:hAnsi="Times New Roman" w:cs="Times New Roman"/>
          <w:u w:val="single"/>
        </w:rPr>
        <w:t xml:space="preserve"> Determination</w:t>
      </w:r>
    </w:p>
    <w:p w:rsidR="00DC70A6" w:rsidP="00DB7D1D" w:rsidRDefault="00DC70A6" w14:paraId="0AD6D53F" w14:textId="77777777">
      <w:pPr>
        <w:pStyle w:val="NormalWeb"/>
        <w:spacing w:before="0" w:beforeAutospacing="0" w:after="0" w:afterAutospacing="0"/>
        <w:rPr>
          <w:rFonts w:ascii="Times New Roman" w:hAnsi="Times New Roman" w:cs="Times New Roman"/>
        </w:rPr>
      </w:pPr>
    </w:p>
    <w:p w:rsidR="00247E28" w:rsidP="00DB7D1D" w:rsidRDefault="001F53F7" w14:paraId="6EBF8CA1" w14:textId="77777777">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A person may apply for preemption or a waiver for preemption as detailed by §§ 107.203 </w:t>
      </w:r>
      <w:r w:rsidR="00224946">
        <w:rPr>
          <w:rFonts w:ascii="Times New Roman" w:hAnsi="Times New Roman" w:cs="Times New Roman"/>
        </w:rPr>
        <w:t>and </w:t>
      </w:r>
      <w:r>
        <w:rPr>
          <w:rFonts w:ascii="Times New Roman" w:hAnsi="Times New Roman" w:cs="Times New Roman"/>
        </w:rPr>
        <w:t xml:space="preserve">107.215.  </w:t>
      </w:r>
      <w:r w:rsidR="000B6D63">
        <w:rPr>
          <w:rFonts w:ascii="Times New Roman" w:hAnsi="Times New Roman" w:cs="Times New Roman"/>
        </w:rPr>
        <w:t xml:space="preserve">PHMSA estimates that </w:t>
      </w:r>
      <w:r w:rsidR="00BA3C1A">
        <w:rPr>
          <w:rFonts w:ascii="Times New Roman" w:hAnsi="Times New Roman" w:cs="Times New Roman"/>
        </w:rPr>
        <w:t>two</w:t>
      </w:r>
      <w:r w:rsidR="00826119">
        <w:rPr>
          <w:rFonts w:ascii="Times New Roman" w:hAnsi="Times New Roman" w:cs="Times New Roman"/>
        </w:rPr>
        <w:t xml:space="preserve"> applications</w:t>
      </w:r>
      <w:r w:rsidR="005A37BB">
        <w:rPr>
          <w:rFonts w:ascii="Times New Roman" w:hAnsi="Times New Roman" w:cs="Times New Roman"/>
        </w:rPr>
        <w:t xml:space="preserve"> for preemption determinations</w:t>
      </w:r>
      <w:r w:rsidR="00826119">
        <w:rPr>
          <w:rFonts w:ascii="Times New Roman" w:hAnsi="Times New Roman" w:cs="Times New Roman"/>
        </w:rPr>
        <w:t xml:space="preserve"> are submitted per year.</w:t>
      </w:r>
      <w:r w:rsidR="005F687F">
        <w:rPr>
          <w:rFonts w:ascii="Times New Roman" w:hAnsi="Times New Roman" w:cs="Times New Roman"/>
        </w:rPr>
        <w:t xml:space="preserve">  </w:t>
      </w:r>
      <w:r w:rsidR="00247E28">
        <w:rPr>
          <w:rFonts w:ascii="Times New Roman" w:hAnsi="Times New Roman" w:cs="Times New Roman"/>
        </w:rPr>
        <w:t>Based on historical stakeholder feedback, e</w:t>
      </w:r>
      <w:r w:rsidR="005F687F">
        <w:rPr>
          <w:rFonts w:ascii="Times New Roman" w:hAnsi="Times New Roman" w:cs="Times New Roman"/>
        </w:rPr>
        <w:t xml:space="preserve">ach application </w:t>
      </w:r>
      <w:r w:rsidR="00224946">
        <w:rPr>
          <w:rFonts w:ascii="Times New Roman" w:hAnsi="Times New Roman" w:cs="Times New Roman"/>
        </w:rPr>
        <w:t xml:space="preserve">takes </w:t>
      </w:r>
      <w:r w:rsidRPr="000D087B" w:rsidR="00224946">
        <w:rPr>
          <w:rFonts w:ascii="Times New Roman" w:hAnsi="Times New Roman" w:cs="Times New Roman"/>
        </w:rPr>
        <w:t>60</w:t>
      </w:r>
      <w:r w:rsidR="00224946">
        <w:rPr>
          <w:rFonts w:ascii="Times New Roman" w:hAnsi="Times New Roman" w:cs="Times New Roman"/>
        </w:rPr>
        <w:t> </w:t>
      </w:r>
      <w:r w:rsidRPr="000D087B" w:rsidR="005F687F">
        <w:rPr>
          <w:rFonts w:ascii="Times New Roman" w:hAnsi="Times New Roman" w:cs="Times New Roman"/>
        </w:rPr>
        <w:t>hours</w:t>
      </w:r>
      <w:r w:rsidR="00224946">
        <w:rPr>
          <w:rFonts w:ascii="Times New Roman" w:hAnsi="Times New Roman" w:cs="Times New Roman"/>
        </w:rPr>
        <w:t xml:space="preserve"> to complete</w:t>
      </w:r>
      <w:r w:rsidR="005F687F">
        <w:rPr>
          <w:rFonts w:ascii="Times New Roman" w:hAnsi="Times New Roman" w:cs="Times New Roman"/>
        </w:rPr>
        <w:t>, for a total of 120 annual burden hours (2 respon</w:t>
      </w:r>
      <w:r>
        <w:rPr>
          <w:rFonts w:ascii="Times New Roman" w:hAnsi="Times New Roman" w:cs="Times New Roman"/>
        </w:rPr>
        <w:t>ses</w:t>
      </w:r>
      <w:r w:rsidR="005F687F">
        <w:rPr>
          <w:rFonts w:ascii="Times New Roman" w:hAnsi="Times New Roman" w:cs="Times New Roman"/>
        </w:rPr>
        <w:t xml:space="preserve"> x </w:t>
      </w:r>
      <w:r w:rsidR="00224946">
        <w:rPr>
          <w:rFonts w:ascii="Times New Roman" w:hAnsi="Times New Roman" w:cs="Times New Roman"/>
        </w:rPr>
        <w:t>60 </w:t>
      </w:r>
      <w:r w:rsidR="005F687F">
        <w:rPr>
          <w:rFonts w:ascii="Times New Roman" w:hAnsi="Times New Roman" w:cs="Times New Roman"/>
        </w:rPr>
        <w:t xml:space="preserve">hours/response).  It is estimated to cost </w:t>
      </w:r>
      <w:r w:rsidRPr="000D087B" w:rsidR="005F687F">
        <w:rPr>
          <w:rFonts w:ascii="Times New Roman" w:hAnsi="Times New Roman" w:cs="Times New Roman"/>
        </w:rPr>
        <w:t>$</w:t>
      </w:r>
      <w:r w:rsidR="00224946">
        <w:rPr>
          <w:rFonts w:ascii="Times New Roman" w:hAnsi="Times New Roman" w:cs="Times New Roman"/>
        </w:rPr>
        <w:t>104.82</w:t>
      </w:r>
      <w:r w:rsidRPr="000D087B" w:rsidR="005F687F">
        <w:rPr>
          <w:rFonts w:ascii="Times New Roman" w:hAnsi="Times New Roman" w:cs="Times New Roman"/>
        </w:rPr>
        <w:t>/hour</w:t>
      </w:r>
      <w:r w:rsidR="00C20346">
        <w:rPr>
          <w:rStyle w:val="FootnoteReference"/>
          <w:rFonts w:ascii="Times New Roman" w:hAnsi="Times New Roman" w:cs="Times New Roman"/>
        </w:rPr>
        <w:footnoteReference w:id="9"/>
      </w:r>
      <w:r w:rsidR="00247E28">
        <w:rPr>
          <w:rFonts w:ascii="Times New Roman" w:hAnsi="Times New Roman" w:cs="Times New Roman"/>
        </w:rPr>
        <w:t xml:space="preserve"> </w:t>
      </w:r>
      <w:r w:rsidR="005F687F">
        <w:rPr>
          <w:rFonts w:ascii="Times New Roman" w:hAnsi="Times New Roman" w:cs="Times New Roman"/>
        </w:rPr>
        <w:t xml:space="preserve">to prepare the preemption application for a total annual </w:t>
      </w:r>
      <w:r>
        <w:rPr>
          <w:rFonts w:ascii="Times New Roman" w:hAnsi="Times New Roman" w:cs="Times New Roman"/>
        </w:rPr>
        <w:t>salary</w:t>
      </w:r>
      <w:r w:rsidR="005F687F">
        <w:rPr>
          <w:rFonts w:ascii="Times New Roman" w:hAnsi="Times New Roman" w:cs="Times New Roman"/>
        </w:rPr>
        <w:t xml:space="preserve"> of $</w:t>
      </w:r>
      <w:r w:rsidR="00224946">
        <w:rPr>
          <w:rFonts w:ascii="Times New Roman" w:hAnsi="Times New Roman" w:cs="Times New Roman"/>
        </w:rPr>
        <w:t>12,578</w:t>
      </w:r>
      <w:r w:rsidR="005F687F">
        <w:rPr>
          <w:rFonts w:ascii="Times New Roman" w:hAnsi="Times New Roman" w:cs="Times New Roman"/>
        </w:rPr>
        <w:t xml:space="preserve"> (120 burden hours x $</w:t>
      </w:r>
      <w:r w:rsidR="00224946">
        <w:rPr>
          <w:rFonts w:ascii="Times New Roman" w:hAnsi="Times New Roman" w:cs="Times New Roman"/>
        </w:rPr>
        <w:t>104.82</w:t>
      </w:r>
      <w:r w:rsidR="005F687F">
        <w:rPr>
          <w:rFonts w:ascii="Times New Roman" w:hAnsi="Times New Roman" w:cs="Times New Roman"/>
        </w:rPr>
        <w:t>/hour).</w:t>
      </w:r>
      <w:r w:rsidR="00224946">
        <w:rPr>
          <w:rFonts w:ascii="Times New Roman" w:hAnsi="Times New Roman" w:cs="Times New Roman"/>
        </w:rPr>
        <w:t xml:space="preserve">  PHMSA does not estimate any out-of-pocket expenses.</w:t>
      </w:r>
    </w:p>
    <w:p w:rsidR="007E056F" w:rsidP="00DB7D1D" w:rsidRDefault="007E056F" w14:paraId="4582F16A" w14:textId="77777777">
      <w:pPr>
        <w:pStyle w:val="NormalWeb"/>
        <w:spacing w:before="0" w:beforeAutospacing="0" w:after="0" w:afterAutospacing="0"/>
        <w:rPr>
          <w:rFonts w:ascii="Times New Roman" w:hAnsi="Times New Roman" w:cs="Times New Roman"/>
        </w:rPr>
      </w:pPr>
    </w:p>
    <w:tbl>
      <w:tblPr>
        <w:tblW w:w="11209" w:type="dxa"/>
        <w:jc w:val="center"/>
        <w:tblLayout w:type="fixed"/>
        <w:tblLook w:val="04A0" w:firstRow="1" w:lastRow="0" w:firstColumn="1" w:lastColumn="0" w:noHBand="0" w:noVBand="1"/>
      </w:tblPr>
      <w:tblGrid>
        <w:gridCol w:w="2575"/>
        <w:gridCol w:w="1393"/>
        <w:gridCol w:w="1260"/>
        <w:gridCol w:w="1170"/>
        <w:gridCol w:w="1080"/>
        <w:gridCol w:w="900"/>
        <w:gridCol w:w="990"/>
        <w:gridCol w:w="941"/>
        <w:gridCol w:w="900"/>
      </w:tblGrid>
      <w:tr w:rsidRPr="001F53F7" w:rsidR="00BA155C" w:rsidTr="000319C0" w14:paraId="360BC019" w14:textId="77777777">
        <w:trPr>
          <w:trHeight w:val="630"/>
          <w:jc w:val="center"/>
        </w:trPr>
        <w:tc>
          <w:tcPr>
            <w:tcW w:w="2575" w:type="dxa"/>
            <w:tcBorders>
              <w:top w:val="single" w:color="auto" w:sz="4" w:space="0"/>
              <w:left w:val="single" w:color="auto" w:sz="4" w:space="0"/>
              <w:bottom w:val="single" w:color="auto" w:sz="4" w:space="0"/>
              <w:right w:val="single" w:color="auto" w:sz="4" w:space="0"/>
            </w:tcBorders>
            <w:vAlign w:val="bottom"/>
          </w:tcPr>
          <w:p w:rsidRPr="000319C0" w:rsidR="00BA155C" w:rsidP="000319C0" w:rsidRDefault="00BA155C" w14:paraId="4B74478C" w14:textId="77777777">
            <w:pPr>
              <w:widowControl/>
              <w:autoSpaceDE/>
              <w:autoSpaceDN/>
              <w:adjustRightInd/>
              <w:rPr>
                <w:rFonts w:ascii="Times New Roman" w:hAnsi="Times New Roman"/>
                <w:b/>
                <w:bCs/>
                <w:color w:val="000000"/>
                <w:u w:val="single"/>
              </w:rPr>
            </w:pPr>
            <w:r w:rsidRPr="000319C0">
              <w:rPr>
                <w:rFonts w:ascii="Times New Roman" w:hAnsi="Times New Roman"/>
                <w:b/>
                <w:bCs/>
                <w:color w:val="000000"/>
              </w:rPr>
              <w:t>Preemption– §§ 107.203, 107.215</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319C0" w:rsidR="00BA155C" w:rsidP="001F53F7" w:rsidRDefault="00BA155C" w14:paraId="46E9B01C" w14:textId="77777777">
            <w:pPr>
              <w:widowControl/>
              <w:autoSpaceDE/>
              <w:autoSpaceDN/>
              <w:adjustRightInd/>
              <w:jc w:val="center"/>
              <w:rPr>
                <w:rFonts w:ascii="Times New Roman" w:hAnsi="Times New Roman"/>
                <w:b/>
                <w:bCs/>
                <w:color w:val="000000"/>
                <w:u w:val="single"/>
              </w:rPr>
            </w:pPr>
            <w:r w:rsidRPr="000319C0">
              <w:rPr>
                <w:rFonts w:ascii="Times New Roman" w:hAnsi="Times New Roman"/>
                <w:b/>
                <w:bCs/>
                <w:color w:val="000000"/>
                <w:u w:val="single"/>
              </w:rPr>
              <w:t>Annual Respondents</w:t>
            </w:r>
          </w:p>
        </w:tc>
        <w:tc>
          <w:tcPr>
            <w:tcW w:w="1260" w:type="dxa"/>
            <w:tcBorders>
              <w:top w:val="single" w:color="auto" w:sz="4" w:space="0"/>
              <w:left w:val="nil"/>
              <w:bottom w:val="single" w:color="auto" w:sz="4" w:space="0"/>
              <w:right w:val="single" w:color="auto" w:sz="4" w:space="0"/>
            </w:tcBorders>
            <w:shd w:val="clear" w:color="auto" w:fill="auto"/>
            <w:vAlign w:val="bottom"/>
            <w:hideMark/>
          </w:tcPr>
          <w:p w:rsidRPr="000319C0" w:rsidR="00BA155C" w:rsidP="001F53F7" w:rsidRDefault="00BA155C" w14:paraId="0E15EB61" w14:textId="77777777">
            <w:pPr>
              <w:widowControl/>
              <w:autoSpaceDE/>
              <w:autoSpaceDN/>
              <w:adjustRightInd/>
              <w:jc w:val="center"/>
              <w:rPr>
                <w:rFonts w:ascii="Times New Roman" w:hAnsi="Times New Roman"/>
                <w:b/>
                <w:bCs/>
                <w:color w:val="000000"/>
                <w:u w:val="single"/>
              </w:rPr>
            </w:pPr>
            <w:r w:rsidRPr="000319C0">
              <w:rPr>
                <w:rFonts w:ascii="Times New Roman" w:hAnsi="Times New Roman"/>
                <w:b/>
                <w:bCs/>
                <w:color w:val="000000"/>
                <w:u w:val="single"/>
              </w:rPr>
              <w:t>Responses per Respondent</w:t>
            </w:r>
          </w:p>
        </w:tc>
        <w:tc>
          <w:tcPr>
            <w:tcW w:w="1170" w:type="dxa"/>
            <w:tcBorders>
              <w:top w:val="single" w:color="auto" w:sz="4" w:space="0"/>
              <w:left w:val="nil"/>
              <w:bottom w:val="single" w:color="auto" w:sz="4" w:space="0"/>
              <w:right w:val="single" w:color="auto" w:sz="4" w:space="0"/>
            </w:tcBorders>
            <w:shd w:val="clear" w:color="auto" w:fill="auto"/>
            <w:vAlign w:val="bottom"/>
            <w:hideMark/>
          </w:tcPr>
          <w:p w:rsidRPr="000319C0" w:rsidR="00BA155C" w:rsidP="001F53F7" w:rsidRDefault="00BA155C" w14:paraId="79F3AD78" w14:textId="77777777">
            <w:pPr>
              <w:widowControl/>
              <w:autoSpaceDE/>
              <w:autoSpaceDN/>
              <w:adjustRightInd/>
              <w:jc w:val="center"/>
              <w:rPr>
                <w:rFonts w:ascii="Times New Roman" w:hAnsi="Times New Roman"/>
                <w:b/>
                <w:bCs/>
                <w:color w:val="000000"/>
                <w:u w:val="single"/>
              </w:rPr>
            </w:pPr>
            <w:r w:rsidRPr="000319C0">
              <w:rPr>
                <w:rFonts w:ascii="Times New Roman" w:hAnsi="Times New Roman"/>
                <w:b/>
                <w:bCs/>
                <w:color w:val="000000"/>
                <w:u w:val="single"/>
              </w:rPr>
              <w:t>Number of Responses</w:t>
            </w:r>
          </w:p>
        </w:tc>
        <w:tc>
          <w:tcPr>
            <w:tcW w:w="1080" w:type="dxa"/>
            <w:tcBorders>
              <w:top w:val="single" w:color="auto" w:sz="4" w:space="0"/>
              <w:left w:val="nil"/>
              <w:bottom w:val="single" w:color="auto" w:sz="4" w:space="0"/>
              <w:right w:val="single" w:color="auto" w:sz="4" w:space="0"/>
            </w:tcBorders>
            <w:shd w:val="clear" w:color="auto" w:fill="auto"/>
            <w:vAlign w:val="bottom"/>
            <w:hideMark/>
          </w:tcPr>
          <w:p w:rsidRPr="000319C0" w:rsidR="00BA155C" w:rsidP="001F53F7" w:rsidRDefault="00BA155C" w14:paraId="1452CE81" w14:textId="77777777">
            <w:pPr>
              <w:widowControl/>
              <w:autoSpaceDE/>
              <w:autoSpaceDN/>
              <w:adjustRightInd/>
              <w:jc w:val="center"/>
              <w:rPr>
                <w:rFonts w:ascii="Times New Roman" w:hAnsi="Times New Roman"/>
                <w:b/>
                <w:bCs/>
                <w:color w:val="000000"/>
                <w:u w:val="single"/>
              </w:rPr>
            </w:pPr>
            <w:r w:rsidRPr="000319C0">
              <w:rPr>
                <w:rFonts w:ascii="Times New Roman" w:hAnsi="Times New Roman"/>
                <w:b/>
                <w:bCs/>
                <w:color w:val="000000"/>
                <w:u w:val="single"/>
              </w:rPr>
              <w:t>Hours per Response</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0319C0" w:rsidR="00BA155C" w:rsidP="001F53F7" w:rsidRDefault="00BA155C" w14:paraId="47C8F2B8" w14:textId="77777777">
            <w:pPr>
              <w:widowControl/>
              <w:autoSpaceDE/>
              <w:autoSpaceDN/>
              <w:adjustRightInd/>
              <w:jc w:val="center"/>
              <w:rPr>
                <w:rFonts w:ascii="Times New Roman" w:hAnsi="Times New Roman"/>
                <w:b/>
                <w:bCs/>
                <w:color w:val="000000"/>
                <w:u w:val="single"/>
              </w:rPr>
            </w:pPr>
            <w:r w:rsidRPr="000319C0">
              <w:rPr>
                <w:rFonts w:ascii="Times New Roman" w:hAnsi="Times New Roman"/>
                <w:b/>
                <w:bCs/>
                <w:color w:val="000000"/>
                <w:u w:val="single"/>
              </w:rPr>
              <w:t>Total Burden Hours</w:t>
            </w:r>
          </w:p>
        </w:tc>
        <w:tc>
          <w:tcPr>
            <w:tcW w:w="990" w:type="dxa"/>
            <w:tcBorders>
              <w:top w:val="single" w:color="auto" w:sz="4" w:space="0"/>
              <w:left w:val="nil"/>
              <w:bottom w:val="single" w:color="auto" w:sz="4" w:space="0"/>
              <w:right w:val="single" w:color="auto" w:sz="4" w:space="0"/>
            </w:tcBorders>
            <w:shd w:val="clear" w:color="auto" w:fill="auto"/>
            <w:vAlign w:val="bottom"/>
            <w:hideMark/>
          </w:tcPr>
          <w:p w:rsidRPr="000319C0" w:rsidR="00BA155C" w:rsidP="001F53F7" w:rsidRDefault="00BA155C" w14:paraId="03145E1B" w14:textId="77777777">
            <w:pPr>
              <w:widowControl/>
              <w:autoSpaceDE/>
              <w:autoSpaceDN/>
              <w:adjustRightInd/>
              <w:jc w:val="center"/>
              <w:rPr>
                <w:rFonts w:ascii="Times New Roman" w:hAnsi="Times New Roman"/>
                <w:b/>
                <w:bCs/>
                <w:color w:val="000000"/>
                <w:u w:val="single"/>
              </w:rPr>
            </w:pPr>
            <w:r w:rsidRPr="000319C0">
              <w:rPr>
                <w:rFonts w:ascii="Times New Roman" w:hAnsi="Times New Roman"/>
                <w:b/>
                <w:bCs/>
                <w:color w:val="000000"/>
                <w:u w:val="single"/>
              </w:rPr>
              <w:t>Salary Cost per Hour</w:t>
            </w:r>
          </w:p>
        </w:tc>
        <w:tc>
          <w:tcPr>
            <w:tcW w:w="941" w:type="dxa"/>
            <w:tcBorders>
              <w:top w:val="single" w:color="auto" w:sz="4" w:space="0"/>
              <w:left w:val="nil"/>
              <w:bottom w:val="single" w:color="auto" w:sz="4" w:space="0"/>
              <w:right w:val="single" w:color="auto" w:sz="4" w:space="0"/>
            </w:tcBorders>
            <w:shd w:val="clear" w:color="auto" w:fill="auto"/>
            <w:vAlign w:val="bottom"/>
            <w:hideMark/>
          </w:tcPr>
          <w:p w:rsidRPr="000319C0" w:rsidR="00BA155C" w:rsidP="001F53F7" w:rsidRDefault="00BA155C" w14:paraId="3F6ADC71" w14:textId="77777777">
            <w:pPr>
              <w:widowControl/>
              <w:autoSpaceDE/>
              <w:autoSpaceDN/>
              <w:adjustRightInd/>
              <w:jc w:val="center"/>
              <w:rPr>
                <w:rFonts w:ascii="Times New Roman" w:hAnsi="Times New Roman"/>
                <w:b/>
                <w:bCs/>
                <w:color w:val="000000"/>
                <w:u w:val="single"/>
              </w:rPr>
            </w:pPr>
            <w:r w:rsidRPr="000319C0">
              <w:rPr>
                <w:rFonts w:ascii="Times New Roman" w:hAnsi="Times New Roman"/>
                <w:b/>
                <w:bCs/>
                <w:color w:val="000000"/>
                <w:u w:val="single"/>
              </w:rPr>
              <w:t>Total Salary Cost</w:t>
            </w:r>
          </w:p>
        </w:tc>
        <w:tc>
          <w:tcPr>
            <w:tcW w:w="900" w:type="dxa"/>
            <w:tcBorders>
              <w:top w:val="single" w:color="auto" w:sz="4" w:space="0"/>
              <w:left w:val="nil"/>
              <w:bottom w:val="single" w:color="auto" w:sz="4" w:space="0"/>
              <w:right w:val="single" w:color="auto" w:sz="4" w:space="0"/>
            </w:tcBorders>
            <w:vAlign w:val="bottom"/>
          </w:tcPr>
          <w:p w:rsidRPr="00B5538E" w:rsidR="00BA155C" w:rsidP="00B5538E" w:rsidRDefault="00BA155C" w14:paraId="0197C275" w14:textId="77777777">
            <w:pPr>
              <w:widowControl/>
              <w:autoSpaceDE/>
              <w:autoSpaceDN/>
              <w:adjustRightInd/>
              <w:jc w:val="center"/>
              <w:rPr>
                <w:rFonts w:ascii="Times New Roman" w:hAnsi="Times New Roman"/>
                <w:b/>
                <w:bCs/>
                <w:color w:val="000000"/>
                <w:u w:val="single"/>
              </w:rPr>
            </w:pPr>
            <w:r>
              <w:rPr>
                <w:rFonts w:ascii="Times New Roman" w:hAnsi="Times New Roman"/>
                <w:b/>
                <w:bCs/>
                <w:color w:val="000000"/>
                <w:u w:val="single"/>
              </w:rPr>
              <w:t>Total Burden Cost</w:t>
            </w:r>
          </w:p>
        </w:tc>
      </w:tr>
      <w:tr w:rsidRPr="001F53F7" w:rsidR="00BA155C" w:rsidTr="00A54DA1" w14:paraId="5AAE8E9D" w14:textId="77777777">
        <w:trPr>
          <w:trHeight w:val="54"/>
          <w:jc w:val="center"/>
        </w:trPr>
        <w:tc>
          <w:tcPr>
            <w:tcW w:w="2575" w:type="dxa"/>
            <w:tcBorders>
              <w:top w:val="nil"/>
              <w:left w:val="single" w:color="auto" w:sz="4" w:space="0"/>
              <w:bottom w:val="single" w:color="auto" w:sz="4" w:space="0"/>
              <w:right w:val="single" w:color="auto" w:sz="4" w:space="0"/>
            </w:tcBorders>
            <w:vAlign w:val="bottom"/>
          </w:tcPr>
          <w:p w:rsidR="00BA155C" w:rsidP="000D087B" w:rsidRDefault="00BA155C" w14:paraId="7BD53E65" w14:textId="77777777">
            <w:pPr>
              <w:widowControl/>
              <w:autoSpaceDE/>
              <w:autoSpaceDN/>
              <w:adjustRightInd/>
              <w:rPr>
                <w:rFonts w:ascii="Times New Roman" w:hAnsi="Times New Roman"/>
                <w:color w:val="000000"/>
              </w:rPr>
            </w:pPr>
            <w:r>
              <w:rPr>
                <w:rFonts w:ascii="Times New Roman" w:hAnsi="Times New Roman"/>
                <w:color w:val="000000"/>
              </w:rPr>
              <w:t>Reporting</w:t>
            </w:r>
          </w:p>
        </w:tc>
        <w:tc>
          <w:tcPr>
            <w:tcW w:w="1393" w:type="dxa"/>
            <w:tcBorders>
              <w:top w:val="nil"/>
              <w:left w:val="single" w:color="auto" w:sz="4" w:space="0"/>
              <w:bottom w:val="single" w:color="auto" w:sz="4" w:space="0"/>
              <w:right w:val="single" w:color="auto" w:sz="4" w:space="0"/>
            </w:tcBorders>
            <w:shd w:val="clear" w:color="auto" w:fill="auto"/>
            <w:noWrap/>
            <w:vAlign w:val="bottom"/>
            <w:hideMark/>
          </w:tcPr>
          <w:p w:rsidRPr="001F53F7" w:rsidR="00BA155C" w:rsidP="001F53F7" w:rsidRDefault="00BA155C" w14:paraId="3EC7A0A7" w14:textId="77777777">
            <w:pPr>
              <w:widowControl/>
              <w:autoSpaceDE/>
              <w:autoSpaceDN/>
              <w:adjustRightInd/>
              <w:jc w:val="right"/>
              <w:rPr>
                <w:rFonts w:ascii="Times New Roman" w:hAnsi="Times New Roman"/>
                <w:color w:val="000000"/>
              </w:rPr>
            </w:pPr>
            <w:r w:rsidRPr="001F53F7">
              <w:rPr>
                <w:rFonts w:ascii="Times New Roman" w:hAnsi="Times New Roman"/>
                <w:color w:val="000000"/>
              </w:rPr>
              <w:t>2</w:t>
            </w:r>
          </w:p>
        </w:tc>
        <w:tc>
          <w:tcPr>
            <w:tcW w:w="1260" w:type="dxa"/>
            <w:tcBorders>
              <w:top w:val="nil"/>
              <w:left w:val="nil"/>
              <w:bottom w:val="single" w:color="auto" w:sz="4" w:space="0"/>
              <w:right w:val="single" w:color="auto" w:sz="4" w:space="0"/>
            </w:tcBorders>
            <w:shd w:val="clear" w:color="auto" w:fill="auto"/>
            <w:noWrap/>
            <w:vAlign w:val="bottom"/>
            <w:hideMark/>
          </w:tcPr>
          <w:p w:rsidRPr="001F53F7" w:rsidR="00BA155C" w:rsidP="001F53F7" w:rsidRDefault="00BA155C" w14:paraId="0B6AF92B" w14:textId="77777777">
            <w:pPr>
              <w:widowControl/>
              <w:autoSpaceDE/>
              <w:autoSpaceDN/>
              <w:adjustRightInd/>
              <w:jc w:val="right"/>
              <w:rPr>
                <w:rFonts w:ascii="Times New Roman" w:hAnsi="Times New Roman"/>
                <w:color w:val="000000"/>
              </w:rPr>
            </w:pPr>
            <w:r w:rsidRPr="001F53F7">
              <w:rPr>
                <w:rFonts w:ascii="Times New Roman" w:hAnsi="Times New Roman"/>
                <w:color w:val="000000"/>
              </w:rPr>
              <w:t>1</w:t>
            </w:r>
          </w:p>
        </w:tc>
        <w:tc>
          <w:tcPr>
            <w:tcW w:w="1170" w:type="dxa"/>
            <w:tcBorders>
              <w:top w:val="nil"/>
              <w:left w:val="nil"/>
              <w:bottom w:val="single" w:color="auto" w:sz="4" w:space="0"/>
              <w:right w:val="single" w:color="auto" w:sz="4" w:space="0"/>
            </w:tcBorders>
            <w:shd w:val="clear" w:color="auto" w:fill="auto"/>
            <w:noWrap/>
            <w:vAlign w:val="bottom"/>
            <w:hideMark/>
          </w:tcPr>
          <w:p w:rsidRPr="001F53F7" w:rsidR="00BA155C" w:rsidP="001F53F7" w:rsidRDefault="00BA155C" w14:paraId="21E59993" w14:textId="77777777">
            <w:pPr>
              <w:widowControl/>
              <w:autoSpaceDE/>
              <w:autoSpaceDN/>
              <w:adjustRightInd/>
              <w:jc w:val="right"/>
              <w:rPr>
                <w:rFonts w:ascii="Times New Roman" w:hAnsi="Times New Roman"/>
                <w:color w:val="000000"/>
              </w:rPr>
            </w:pPr>
            <w:r w:rsidRPr="001F53F7">
              <w:rPr>
                <w:rFonts w:ascii="Times New Roman" w:hAnsi="Times New Roman"/>
                <w:color w:val="000000"/>
              </w:rPr>
              <w:t>2</w:t>
            </w:r>
          </w:p>
        </w:tc>
        <w:tc>
          <w:tcPr>
            <w:tcW w:w="1080" w:type="dxa"/>
            <w:tcBorders>
              <w:top w:val="nil"/>
              <w:left w:val="nil"/>
              <w:bottom w:val="single" w:color="auto" w:sz="4" w:space="0"/>
              <w:right w:val="single" w:color="auto" w:sz="4" w:space="0"/>
            </w:tcBorders>
            <w:shd w:val="clear" w:color="auto" w:fill="auto"/>
            <w:noWrap/>
            <w:vAlign w:val="bottom"/>
            <w:hideMark/>
          </w:tcPr>
          <w:p w:rsidRPr="001F53F7" w:rsidR="00BA155C" w:rsidP="001F53F7" w:rsidRDefault="00BA155C" w14:paraId="004163AA" w14:textId="77777777">
            <w:pPr>
              <w:widowControl/>
              <w:autoSpaceDE/>
              <w:autoSpaceDN/>
              <w:adjustRightInd/>
              <w:jc w:val="right"/>
              <w:rPr>
                <w:rFonts w:ascii="Times New Roman" w:hAnsi="Times New Roman"/>
                <w:color w:val="000000"/>
              </w:rPr>
            </w:pPr>
            <w:r w:rsidRPr="001F53F7">
              <w:rPr>
                <w:rFonts w:ascii="Times New Roman" w:hAnsi="Times New Roman"/>
                <w:color w:val="000000"/>
              </w:rPr>
              <w:t>60</w:t>
            </w:r>
          </w:p>
        </w:tc>
        <w:tc>
          <w:tcPr>
            <w:tcW w:w="900" w:type="dxa"/>
            <w:tcBorders>
              <w:top w:val="nil"/>
              <w:left w:val="nil"/>
              <w:bottom w:val="single" w:color="auto" w:sz="4" w:space="0"/>
              <w:right w:val="single" w:color="auto" w:sz="4" w:space="0"/>
            </w:tcBorders>
            <w:shd w:val="clear" w:color="auto" w:fill="auto"/>
            <w:noWrap/>
            <w:vAlign w:val="bottom"/>
            <w:hideMark/>
          </w:tcPr>
          <w:p w:rsidRPr="001F53F7" w:rsidR="00BA155C" w:rsidP="001F53F7" w:rsidRDefault="00BA155C" w14:paraId="67991A44" w14:textId="77777777">
            <w:pPr>
              <w:widowControl/>
              <w:autoSpaceDE/>
              <w:autoSpaceDN/>
              <w:adjustRightInd/>
              <w:jc w:val="right"/>
              <w:rPr>
                <w:rFonts w:ascii="Times New Roman" w:hAnsi="Times New Roman"/>
                <w:color w:val="000000"/>
              </w:rPr>
            </w:pPr>
            <w:r w:rsidRPr="001F53F7">
              <w:rPr>
                <w:rFonts w:ascii="Times New Roman" w:hAnsi="Times New Roman"/>
                <w:color w:val="000000"/>
              </w:rPr>
              <w:t>120</w:t>
            </w:r>
          </w:p>
        </w:tc>
        <w:tc>
          <w:tcPr>
            <w:tcW w:w="990" w:type="dxa"/>
            <w:tcBorders>
              <w:top w:val="nil"/>
              <w:left w:val="nil"/>
              <w:bottom w:val="single" w:color="auto" w:sz="4" w:space="0"/>
              <w:right w:val="single" w:color="auto" w:sz="4" w:space="0"/>
            </w:tcBorders>
            <w:shd w:val="clear" w:color="auto" w:fill="auto"/>
            <w:noWrap/>
            <w:vAlign w:val="bottom"/>
            <w:hideMark/>
          </w:tcPr>
          <w:p w:rsidRPr="001F53F7" w:rsidR="00BA155C" w:rsidP="001F53F7" w:rsidRDefault="00BA155C" w14:paraId="779194AB" w14:textId="77777777">
            <w:pPr>
              <w:widowControl/>
              <w:autoSpaceDE/>
              <w:autoSpaceDN/>
              <w:adjustRightInd/>
              <w:jc w:val="right"/>
              <w:rPr>
                <w:rFonts w:ascii="Times New Roman" w:hAnsi="Times New Roman"/>
                <w:color w:val="000000"/>
              </w:rPr>
            </w:pPr>
            <w:r w:rsidRPr="001F53F7">
              <w:rPr>
                <w:rFonts w:ascii="Times New Roman" w:hAnsi="Times New Roman"/>
                <w:color w:val="000000"/>
              </w:rPr>
              <w:t>$</w:t>
            </w:r>
            <w:r w:rsidR="00224946">
              <w:rPr>
                <w:rFonts w:ascii="Times New Roman" w:hAnsi="Times New Roman"/>
                <w:color w:val="000000"/>
              </w:rPr>
              <w:t>104.82</w:t>
            </w:r>
            <w:r w:rsidRPr="001F53F7">
              <w:rPr>
                <w:rFonts w:ascii="Times New Roman" w:hAnsi="Times New Roman"/>
                <w:color w:val="000000"/>
              </w:rPr>
              <w:t xml:space="preserve"> </w:t>
            </w:r>
          </w:p>
        </w:tc>
        <w:tc>
          <w:tcPr>
            <w:tcW w:w="941" w:type="dxa"/>
            <w:tcBorders>
              <w:top w:val="nil"/>
              <w:left w:val="nil"/>
              <w:bottom w:val="single" w:color="auto" w:sz="4" w:space="0"/>
              <w:right w:val="single" w:color="auto" w:sz="4" w:space="0"/>
            </w:tcBorders>
            <w:shd w:val="clear" w:color="auto" w:fill="auto"/>
            <w:noWrap/>
            <w:vAlign w:val="bottom"/>
            <w:hideMark/>
          </w:tcPr>
          <w:p w:rsidRPr="001F53F7" w:rsidR="00BA155C" w:rsidP="001F53F7" w:rsidRDefault="00BA155C" w14:paraId="270156EA" w14:textId="77777777">
            <w:pPr>
              <w:widowControl/>
              <w:autoSpaceDE/>
              <w:autoSpaceDN/>
              <w:adjustRightInd/>
              <w:jc w:val="right"/>
              <w:rPr>
                <w:rFonts w:ascii="Times New Roman" w:hAnsi="Times New Roman"/>
                <w:color w:val="000000"/>
              </w:rPr>
            </w:pPr>
            <w:r w:rsidRPr="001F53F7">
              <w:rPr>
                <w:rFonts w:ascii="Times New Roman" w:hAnsi="Times New Roman"/>
                <w:color w:val="000000"/>
              </w:rPr>
              <w:t>$</w:t>
            </w:r>
            <w:r>
              <w:rPr>
                <w:rFonts w:ascii="Times New Roman" w:hAnsi="Times New Roman"/>
                <w:color w:val="000000"/>
              </w:rPr>
              <w:t>1</w:t>
            </w:r>
            <w:r w:rsidR="00224946">
              <w:rPr>
                <w:rFonts w:ascii="Times New Roman" w:hAnsi="Times New Roman"/>
                <w:color w:val="000000"/>
              </w:rPr>
              <w:t>2,578</w:t>
            </w:r>
          </w:p>
        </w:tc>
        <w:tc>
          <w:tcPr>
            <w:tcW w:w="900" w:type="dxa"/>
            <w:tcBorders>
              <w:top w:val="nil"/>
              <w:left w:val="nil"/>
              <w:bottom w:val="single" w:color="auto" w:sz="4" w:space="0"/>
              <w:right w:val="single" w:color="auto" w:sz="4" w:space="0"/>
            </w:tcBorders>
            <w:vAlign w:val="bottom"/>
          </w:tcPr>
          <w:p w:rsidRPr="001F53F7" w:rsidR="00BA155C" w:rsidP="00B5538E" w:rsidRDefault="00BA155C" w14:paraId="79700CF8" w14:textId="77777777">
            <w:pPr>
              <w:widowControl/>
              <w:autoSpaceDE/>
              <w:autoSpaceDN/>
              <w:adjustRightInd/>
              <w:jc w:val="right"/>
              <w:rPr>
                <w:rFonts w:ascii="Times New Roman" w:hAnsi="Times New Roman"/>
                <w:color w:val="000000"/>
              </w:rPr>
            </w:pPr>
            <w:r>
              <w:rPr>
                <w:rFonts w:ascii="Times New Roman" w:hAnsi="Times New Roman"/>
                <w:color w:val="000000"/>
              </w:rPr>
              <w:t>$0</w:t>
            </w:r>
          </w:p>
        </w:tc>
      </w:tr>
    </w:tbl>
    <w:p w:rsidR="00F867F1" w:rsidP="00DB7D1D" w:rsidRDefault="00F867F1" w14:paraId="75A1F513" w14:textId="77777777">
      <w:pPr>
        <w:pStyle w:val="NormalWeb"/>
        <w:spacing w:before="0" w:beforeAutospacing="0" w:after="0" w:afterAutospacing="0"/>
        <w:rPr>
          <w:rFonts w:ascii="Times New Roman" w:hAnsi="Times New Roman" w:cs="Times New Roman"/>
        </w:rPr>
      </w:pPr>
    </w:p>
    <w:p w:rsidR="00247E28" w:rsidP="00DB7D1D" w:rsidRDefault="001F53F7" w14:paraId="6143C426" w14:textId="77777777">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A person may petition for reconsideration </w:t>
      </w:r>
      <w:r w:rsidR="00233DEE">
        <w:rPr>
          <w:rFonts w:ascii="Times New Roman" w:hAnsi="Times New Roman" w:cs="Times New Roman"/>
        </w:rPr>
        <w:t xml:space="preserve">of </w:t>
      </w:r>
      <w:r>
        <w:rPr>
          <w:rFonts w:ascii="Times New Roman" w:hAnsi="Times New Roman" w:cs="Times New Roman"/>
        </w:rPr>
        <w:t>a preemption decision, as outlined in §§ 107.211 and 107.223.  PHMSA estimates that</w:t>
      </w:r>
      <w:r w:rsidR="00233DEE">
        <w:rPr>
          <w:rFonts w:ascii="Times New Roman" w:hAnsi="Times New Roman" w:cs="Times New Roman"/>
        </w:rPr>
        <w:t xml:space="preserve"> there is</w:t>
      </w:r>
      <w:r>
        <w:rPr>
          <w:rFonts w:ascii="Times New Roman" w:hAnsi="Times New Roman" w:cs="Times New Roman"/>
        </w:rPr>
        <w:t xml:space="preserve"> </w:t>
      </w:r>
      <w:r w:rsidR="0081346D">
        <w:rPr>
          <w:rFonts w:ascii="Times New Roman" w:hAnsi="Times New Roman" w:cs="Times New Roman"/>
        </w:rPr>
        <w:t>one</w:t>
      </w:r>
      <w:r>
        <w:rPr>
          <w:rFonts w:ascii="Times New Roman" w:hAnsi="Times New Roman" w:cs="Times New Roman"/>
        </w:rPr>
        <w:t xml:space="preserve"> petition for reconsideration per year.  </w:t>
      </w:r>
      <w:r w:rsidR="00247E28">
        <w:rPr>
          <w:rFonts w:ascii="Times New Roman" w:hAnsi="Times New Roman" w:cs="Times New Roman"/>
        </w:rPr>
        <w:t>Based on historical stakeholder feedback, e</w:t>
      </w:r>
      <w:r>
        <w:rPr>
          <w:rFonts w:ascii="Times New Roman" w:hAnsi="Times New Roman" w:cs="Times New Roman"/>
        </w:rPr>
        <w:t xml:space="preserve">ach application is estimated to take </w:t>
      </w:r>
      <w:r w:rsidRPr="000D087B">
        <w:rPr>
          <w:rFonts w:ascii="Times New Roman" w:hAnsi="Times New Roman" w:cs="Times New Roman"/>
        </w:rPr>
        <w:t xml:space="preserve">30 hours </w:t>
      </w:r>
      <w:r w:rsidR="0014413E">
        <w:rPr>
          <w:rFonts w:ascii="Times New Roman" w:hAnsi="Times New Roman" w:cs="Times New Roman"/>
        </w:rPr>
        <w:t>to complete</w:t>
      </w:r>
      <w:r w:rsidRPr="000D087B">
        <w:rPr>
          <w:rFonts w:ascii="Times New Roman" w:hAnsi="Times New Roman" w:cs="Times New Roman"/>
        </w:rPr>
        <w:t>,</w:t>
      </w:r>
      <w:r>
        <w:rPr>
          <w:rFonts w:ascii="Times New Roman" w:hAnsi="Times New Roman" w:cs="Times New Roman"/>
        </w:rPr>
        <w:t xml:space="preserve"> for a total of 30 burden hours (1 response </w:t>
      </w:r>
      <w:r w:rsidR="00233DEE">
        <w:rPr>
          <w:rFonts w:ascii="Times New Roman" w:hAnsi="Times New Roman" w:cs="Times New Roman"/>
        </w:rPr>
        <w:t xml:space="preserve">x </w:t>
      </w:r>
      <w:r>
        <w:rPr>
          <w:rFonts w:ascii="Times New Roman" w:hAnsi="Times New Roman" w:cs="Times New Roman"/>
        </w:rPr>
        <w:t>30 hours/response).</w:t>
      </w:r>
      <w:r w:rsidR="00111B38">
        <w:rPr>
          <w:rFonts w:ascii="Times New Roman" w:hAnsi="Times New Roman" w:cs="Times New Roman"/>
        </w:rPr>
        <w:t xml:space="preserve">  It is estimated to cost </w:t>
      </w:r>
      <w:r w:rsidRPr="000D087B" w:rsidR="00111B38">
        <w:rPr>
          <w:rFonts w:ascii="Times New Roman" w:hAnsi="Times New Roman" w:cs="Times New Roman"/>
        </w:rPr>
        <w:t>$</w:t>
      </w:r>
      <w:r w:rsidR="0014413E">
        <w:rPr>
          <w:rFonts w:ascii="Times New Roman" w:hAnsi="Times New Roman" w:cs="Times New Roman"/>
        </w:rPr>
        <w:t>104.82</w:t>
      </w:r>
      <w:r w:rsidRPr="000D087B" w:rsidR="00111B38">
        <w:rPr>
          <w:rFonts w:ascii="Times New Roman" w:hAnsi="Times New Roman" w:cs="Times New Roman"/>
        </w:rPr>
        <w:t>/hour</w:t>
      </w:r>
      <w:r w:rsidR="00C20346">
        <w:rPr>
          <w:rStyle w:val="FootnoteReference"/>
          <w:rFonts w:ascii="Times New Roman" w:hAnsi="Times New Roman" w:cs="Times New Roman"/>
        </w:rPr>
        <w:footnoteReference w:id="10"/>
      </w:r>
      <w:r w:rsidR="00247E28">
        <w:rPr>
          <w:rFonts w:ascii="Times New Roman" w:hAnsi="Times New Roman" w:cs="Times New Roman"/>
        </w:rPr>
        <w:t xml:space="preserve"> </w:t>
      </w:r>
      <w:r w:rsidR="00233DEE">
        <w:rPr>
          <w:rFonts w:ascii="Times New Roman" w:hAnsi="Times New Roman" w:cs="Times New Roman"/>
        </w:rPr>
        <w:lastRenderedPageBreak/>
        <w:t>in salary costs,</w:t>
      </w:r>
      <w:r w:rsidR="00111B38">
        <w:rPr>
          <w:rFonts w:ascii="Times New Roman" w:hAnsi="Times New Roman" w:cs="Times New Roman"/>
        </w:rPr>
        <w:t xml:space="preserve"> for a total of $</w:t>
      </w:r>
      <w:r w:rsidR="0014413E">
        <w:rPr>
          <w:rFonts w:ascii="Times New Roman" w:hAnsi="Times New Roman" w:cs="Times New Roman"/>
        </w:rPr>
        <w:t>3,145</w:t>
      </w:r>
      <w:r w:rsidR="00111B38">
        <w:rPr>
          <w:rFonts w:ascii="Times New Roman" w:hAnsi="Times New Roman" w:cs="Times New Roman"/>
        </w:rPr>
        <w:t xml:space="preserve"> (30 burden hours x $</w:t>
      </w:r>
      <w:r w:rsidR="0014413E">
        <w:rPr>
          <w:rFonts w:ascii="Times New Roman" w:hAnsi="Times New Roman" w:cs="Times New Roman"/>
        </w:rPr>
        <w:t>104.82</w:t>
      </w:r>
      <w:r w:rsidR="00111B38">
        <w:rPr>
          <w:rFonts w:ascii="Times New Roman" w:hAnsi="Times New Roman" w:cs="Times New Roman"/>
        </w:rPr>
        <w:t>/hour).</w:t>
      </w:r>
      <w:r w:rsidR="0014413E">
        <w:rPr>
          <w:rFonts w:ascii="Times New Roman" w:hAnsi="Times New Roman" w:cs="Times New Roman"/>
        </w:rPr>
        <w:t xml:space="preserve">  PHMSA does not estimate any out-of-pocket expenses.</w:t>
      </w:r>
    </w:p>
    <w:p w:rsidR="001F53F7" w:rsidP="00DB7D1D" w:rsidRDefault="001F53F7" w14:paraId="7FC8D585" w14:textId="77777777">
      <w:pPr>
        <w:pStyle w:val="NormalWeb"/>
        <w:spacing w:before="0" w:beforeAutospacing="0" w:after="0" w:afterAutospacing="0"/>
        <w:rPr>
          <w:rFonts w:ascii="Times New Roman" w:hAnsi="Times New Roman" w:cs="Times New Roman"/>
        </w:rPr>
      </w:pPr>
    </w:p>
    <w:tbl>
      <w:tblPr>
        <w:tblW w:w="11190" w:type="dxa"/>
        <w:jc w:val="center"/>
        <w:tblLayout w:type="fixed"/>
        <w:tblLook w:val="04A0" w:firstRow="1" w:lastRow="0" w:firstColumn="1" w:lastColumn="0" w:noHBand="0" w:noVBand="1"/>
      </w:tblPr>
      <w:tblGrid>
        <w:gridCol w:w="2517"/>
        <w:gridCol w:w="1383"/>
        <w:gridCol w:w="1260"/>
        <w:gridCol w:w="1170"/>
        <w:gridCol w:w="1080"/>
        <w:gridCol w:w="990"/>
        <w:gridCol w:w="990"/>
        <w:gridCol w:w="900"/>
        <w:gridCol w:w="900"/>
      </w:tblGrid>
      <w:tr w:rsidRPr="001F53F7" w:rsidR="00F8742E" w:rsidTr="000319C0" w14:paraId="7826D5E6" w14:textId="77777777">
        <w:trPr>
          <w:trHeight w:val="449"/>
          <w:jc w:val="center"/>
        </w:trPr>
        <w:tc>
          <w:tcPr>
            <w:tcW w:w="2517" w:type="dxa"/>
            <w:tcBorders>
              <w:top w:val="single" w:color="auto" w:sz="4" w:space="0"/>
              <w:left w:val="single" w:color="auto" w:sz="4" w:space="0"/>
              <w:bottom w:val="single" w:color="auto" w:sz="4" w:space="0"/>
              <w:right w:val="single" w:color="auto" w:sz="4" w:space="0"/>
            </w:tcBorders>
            <w:vAlign w:val="bottom"/>
          </w:tcPr>
          <w:p w:rsidRPr="000319C0" w:rsidR="00F8742E" w:rsidP="000319C0" w:rsidRDefault="00F8742E" w14:paraId="56B448D9" w14:textId="77777777">
            <w:pPr>
              <w:keepNext/>
              <w:keepLines/>
              <w:widowControl/>
              <w:autoSpaceDE/>
              <w:autoSpaceDN/>
              <w:adjustRightInd/>
              <w:rPr>
                <w:rFonts w:ascii="Times New Roman" w:hAnsi="Times New Roman"/>
                <w:b/>
                <w:bCs/>
                <w:color w:val="000000"/>
                <w:u w:val="single"/>
              </w:rPr>
            </w:pPr>
            <w:r w:rsidRPr="000319C0">
              <w:rPr>
                <w:rFonts w:ascii="Times New Roman" w:hAnsi="Times New Roman"/>
                <w:b/>
                <w:bCs/>
                <w:color w:val="000000"/>
              </w:rPr>
              <w:t xml:space="preserve">Preemption </w:t>
            </w:r>
            <w:r w:rsidR="00224946">
              <w:rPr>
                <w:rFonts w:ascii="Times New Roman" w:hAnsi="Times New Roman"/>
                <w:b/>
                <w:bCs/>
                <w:color w:val="000000"/>
              </w:rPr>
              <w:t>Reconsideration</w:t>
            </w:r>
            <w:r w:rsidR="00CC4753">
              <w:rPr>
                <w:rFonts w:ascii="Times New Roman" w:hAnsi="Times New Roman"/>
                <w:b/>
                <w:bCs/>
                <w:color w:val="000000"/>
              </w:rPr>
              <w:t xml:space="preserve"> </w:t>
            </w:r>
            <w:r w:rsidRPr="000319C0">
              <w:rPr>
                <w:rFonts w:ascii="Times New Roman" w:hAnsi="Times New Roman"/>
                <w:b/>
                <w:bCs/>
                <w:color w:val="000000"/>
              </w:rPr>
              <w:t>– §§ 107.211, 107.223</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319C0" w:rsidR="00F8742E" w:rsidP="000319C0" w:rsidRDefault="00F8742E" w14:paraId="5D5B9EA6" w14:textId="77777777">
            <w:pPr>
              <w:keepNext/>
              <w:keepLines/>
              <w:widowControl/>
              <w:autoSpaceDE/>
              <w:autoSpaceDN/>
              <w:adjustRightInd/>
              <w:jc w:val="center"/>
              <w:rPr>
                <w:rFonts w:ascii="Times New Roman" w:hAnsi="Times New Roman"/>
                <w:b/>
                <w:bCs/>
                <w:color w:val="000000"/>
                <w:u w:val="single"/>
              </w:rPr>
            </w:pPr>
            <w:r w:rsidRPr="000319C0">
              <w:rPr>
                <w:rFonts w:ascii="Times New Roman" w:hAnsi="Times New Roman"/>
                <w:b/>
                <w:bCs/>
                <w:color w:val="000000"/>
                <w:u w:val="single"/>
              </w:rPr>
              <w:t>Annual Respondents</w:t>
            </w:r>
          </w:p>
        </w:tc>
        <w:tc>
          <w:tcPr>
            <w:tcW w:w="1260" w:type="dxa"/>
            <w:tcBorders>
              <w:top w:val="single" w:color="auto" w:sz="4" w:space="0"/>
              <w:left w:val="nil"/>
              <w:bottom w:val="single" w:color="auto" w:sz="4" w:space="0"/>
              <w:right w:val="single" w:color="auto" w:sz="4" w:space="0"/>
            </w:tcBorders>
            <w:shd w:val="clear" w:color="auto" w:fill="auto"/>
            <w:vAlign w:val="bottom"/>
            <w:hideMark/>
          </w:tcPr>
          <w:p w:rsidRPr="000319C0" w:rsidR="00F8742E" w:rsidP="000319C0" w:rsidRDefault="00F8742E" w14:paraId="1EE21CC6" w14:textId="77777777">
            <w:pPr>
              <w:keepNext/>
              <w:keepLines/>
              <w:widowControl/>
              <w:autoSpaceDE/>
              <w:autoSpaceDN/>
              <w:adjustRightInd/>
              <w:jc w:val="center"/>
              <w:rPr>
                <w:rFonts w:ascii="Times New Roman" w:hAnsi="Times New Roman"/>
                <w:b/>
                <w:bCs/>
                <w:color w:val="000000"/>
                <w:u w:val="single"/>
              </w:rPr>
            </w:pPr>
            <w:r w:rsidRPr="000319C0">
              <w:rPr>
                <w:rFonts w:ascii="Times New Roman" w:hAnsi="Times New Roman"/>
                <w:b/>
                <w:bCs/>
                <w:color w:val="000000"/>
                <w:u w:val="single"/>
              </w:rPr>
              <w:t>Responses per Respondent</w:t>
            </w:r>
          </w:p>
        </w:tc>
        <w:tc>
          <w:tcPr>
            <w:tcW w:w="1170" w:type="dxa"/>
            <w:tcBorders>
              <w:top w:val="single" w:color="auto" w:sz="4" w:space="0"/>
              <w:left w:val="nil"/>
              <w:bottom w:val="single" w:color="auto" w:sz="4" w:space="0"/>
              <w:right w:val="single" w:color="auto" w:sz="4" w:space="0"/>
            </w:tcBorders>
            <w:shd w:val="clear" w:color="auto" w:fill="auto"/>
            <w:vAlign w:val="bottom"/>
            <w:hideMark/>
          </w:tcPr>
          <w:p w:rsidRPr="000319C0" w:rsidR="00F8742E" w:rsidP="000319C0" w:rsidRDefault="00F8742E" w14:paraId="6376A2EE" w14:textId="77777777">
            <w:pPr>
              <w:keepNext/>
              <w:keepLines/>
              <w:widowControl/>
              <w:autoSpaceDE/>
              <w:autoSpaceDN/>
              <w:adjustRightInd/>
              <w:jc w:val="center"/>
              <w:rPr>
                <w:rFonts w:ascii="Times New Roman" w:hAnsi="Times New Roman"/>
                <w:b/>
                <w:bCs/>
                <w:color w:val="000000"/>
                <w:u w:val="single"/>
              </w:rPr>
            </w:pPr>
            <w:r w:rsidRPr="000319C0">
              <w:rPr>
                <w:rFonts w:ascii="Times New Roman" w:hAnsi="Times New Roman"/>
                <w:b/>
                <w:bCs/>
                <w:color w:val="000000"/>
                <w:u w:val="single"/>
              </w:rPr>
              <w:t>Number of Responses</w:t>
            </w:r>
          </w:p>
        </w:tc>
        <w:tc>
          <w:tcPr>
            <w:tcW w:w="1080" w:type="dxa"/>
            <w:tcBorders>
              <w:top w:val="single" w:color="auto" w:sz="4" w:space="0"/>
              <w:left w:val="nil"/>
              <w:bottom w:val="single" w:color="auto" w:sz="4" w:space="0"/>
              <w:right w:val="single" w:color="auto" w:sz="4" w:space="0"/>
            </w:tcBorders>
            <w:shd w:val="clear" w:color="auto" w:fill="auto"/>
            <w:vAlign w:val="bottom"/>
            <w:hideMark/>
          </w:tcPr>
          <w:p w:rsidRPr="000319C0" w:rsidR="00F8742E" w:rsidP="000319C0" w:rsidRDefault="00F8742E" w14:paraId="59557DD8" w14:textId="77777777">
            <w:pPr>
              <w:keepNext/>
              <w:keepLines/>
              <w:widowControl/>
              <w:autoSpaceDE/>
              <w:autoSpaceDN/>
              <w:adjustRightInd/>
              <w:jc w:val="center"/>
              <w:rPr>
                <w:rFonts w:ascii="Times New Roman" w:hAnsi="Times New Roman"/>
                <w:b/>
                <w:bCs/>
                <w:color w:val="000000"/>
                <w:u w:val="single"/>
              </w:rPr>
            </w:pPr>
            <w:r w:rsidRPr="000319C0">
              <w:rPr>
                <w:rFonts w:ascii="Times New Roman" w:hAnsi="Times New Roman"/>
                <w:b/>
                <w:bCs/>
                <w:color w:val="000000"/>
                <w:u w:val="single"/>
              </w:rPr>
              <w:t>Hours per Response</w:t>
            </w:r>
          </w:p>
        </w:tc>
        <w:tc>
          <w:tcPr>
            <w:tcW w:w="990" w:type="dxa"/>
            <w:tcBorders>
              <w:top w:val="single" w:color="auto" w:sz="4" w:space="0"/>
              <w:left w:val="nil"/>
              <w:bottom w:val="single" w:color="auto" w:sz="4" w:space="0"/>
              <w:right w:val="single" w:color="auto" w:sz="4" w:space="0"/>
            </w:tcBorders>
            <w:shd w:val="clear" w:color="auto" w:fill="auto"/>
            <w:vAlign w:val="bottom"/>
            <w:hideMark/>
          </w:tcPr>
          <w:p w:rsidRPr="000319C0" w:rsidR="00F8742E" w:rsidP="000319C0" w:rsidRDefault="00F8742E" w14:paraId="3FC9AB33" w14:textId="77777777">
            <w:pPr>
              <w:keepNext/>
              <w:keepLines/>
              <w:widowControl/>
              <w:autoSpaceDE/>
              <w:autoSpaceDN/>
              <w:adjustRightInd/>
              <w:jc w:val="center"/>
              <w:rPr>
                <w:rFonts w:ascii="Times New Roman" w:hAnsi="Times New Roman"/>
                <w:b/>
                <w:bCs/>
                <w:color w:val="000000"/>
                <w:u w:val="single"/>
              </w:rPr>
            </w:pPr>
            <w:r w:rsidRPr="000319C0">
              <w:rPr>
                <w:rFonts w:ascii="Times New Roman" w:hAnsi="Times New Roman"/>
                <w:b/>
                <w:bCs/>
                <w:color w:val="000000"/>
                <w:u w:val="single"/>
              </w:rPr>
              <w:t>Total Burden Hours</w:t>
            </w:r>
          </w:p>
        </w:tc>
        <w:tc>
          <w:tcPr>
            <w:tcW w:w="990" w:type="dxa"/>
            <w:tcBorders>
              <w:top w:val="single" w:color="auto" w:sz="4" w:space="0"/>
              <w:left w:val="nil"/>
              <w:bottom w:val="single" w:color="auto" w:sz="4" w:space="0"/>
              <w:right w:val="single" w:color="auto" w:sz="4" w:space="0"/>
            </w:tcBorders>
            <w:shd w:val="clear" w:color="auto" w:fill="auto"/>
            <w:vAlign w:val="bottom"/>
            <w:hideMark/>
          </w:tcPr>
          <w:p w:rsidRPr="000319C0" w:rsidR="00F8742E" w:rsidP="000319C0" w:rsidRDefault="00F8742E" w14:paraId="36B9944D" w14:textId="77777777">
            <w:pPr>
              <w:keepNext/>
              <w:keepLines/>
              <w:widowControl/>
              <w:autoSpaceDE/>
              <w:autoSpaceDN/>
              <w:adjustRightInd/>
              <w:jc w:val="center"/>
              <w:rPr>
                <w:rFonts w:ascii="Times New Roman" w:hAnsi="Times New Roman"/>
                <w:b/>
                <w:bCs/>
                <w:color w:val="000000"/>
                <w:u w:val="single"/>
              </w:rPr>
            </w:pPr>
            <w:r w:rsidRPr="000319C0">
              <w:rPr>
                <w:rFonts w:ascii="Times New Roman" w:hAnsi="Times New Roman"/>
                <w:b/>
                <w:bCs/>
                <w:color w:val="000000"/>
                <w:u w:val="single"/>
              </w:rPr>
              <w:t>Salary Cost per Hour</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0319C0" w:rsidR="00F8742E" w:rsidP="000319C0" w:rsidRDefault="00F8742E" w14:paraId="087B2079" w14:textId="77777777">
            <w:pPr>
              <w:keepNext/>
              <w:keepLines/>
              <w:widowControl/>
              <w:autoSpaceDE/>
              <w:autoSpaceDN/>
              <w:adjustRightInd/>
              <w:jc w:val="center"/>
              <w:rPr>
                <w:rFonts w:ascii="Times New Roman" w:hAnsi="Times New Roman"/>
                <w:b/>
                <w:bCs/>
                <w:color w:val="000000"/>
                <w:u w:val="single"/>
              </w:rPr>
            </w:pPr>
            <w:r w:rsidRPr="000319C0">
              <w:rPr>
                <w:rFonts w:ascii="Times New Roman" w:hAnsi="Times New Roman"/>
                <w:b/>
                <w:bCs/>
                <w:color w:val="000000"/>
                <w:u w:val="single"/>
              </w:rPr>
              <w:t>Total Salary Cost</w:t>
            </w:r>
          </w:p>
        </w:tc>
        <w:tc>
          <w:tcPr>
            <w:tcW w:w="900" w:type="dxa"/>
            <w:tcBorders>
              <w:top w:val="single" w:color="auto" w:sz="4" w:space="0"/>
              <w:left w:val="nil"/>
              <w:bottom w:val="single" w:color="auto" w:sz="4" w:space="0"/>
              <w:right w:val="single" w:color="auto" w:sz="4" w:space="0"/>
            </w:tcBorders>
            <w:vAlign w:val="bottom"/>
          </w:tcPr>
          <w:p w:rsidRPr="00B5538E" w:rsidR="00F8742E" w:rsidP="000319C0" w:rsidRDefault="00F8742E" w14:paraId="769974E8" w14:textId="77777777">
            <w:pPr>
              <w:keepNext/>
              <w:keepLines/>
              <w:widowControl/>
              <w:autoSpaceDE/>
              <w:autoSpaceDN/>
              <w:adjustRightInd/>
              <w:jc w:val="center"/>
              <w:rPr>
                <w:rFonts w:ascii="Times New Roman" w:hAnsi="Times New Roman"/>
                <w:b/>
                <w:bCs/>
                <w:color w:val="000000"/>
                <w:u w:val="single"/>
              </w:rPr>
            </w:pPr>
            <w:r>
              <w:rPr>
                <w:rFonts w:ascii="Times New Roman" w:hAnsi="Times New Roman"/>
                <w:b/>
                <w:bCs/>
                <w:color w:val="000000"/>
                <w:u w:val="single"/>
              </w:rPr>
              <w:t>Total Burden Cost</w:t>
            </w:r>
          </w:p>
        </w:tc>
      </w:tr>
      <w:tr w:rsidRPr="001F53F7" w:rsidR="00F8742E" w:rsidTr="000319C0" w14:paraId="798A52C0" w14:textId="77777777">
        <w:trPr>
          <w:trHeight w:val="116"/>
          <w:jc w:val="center"/>
        </w:trPr>
        <w:tc>
          <w:tcPr>
            <w:tcW w:w="2517" w:type="dxa"/>
            <w:tcBorders>
              <w:top w:val="nil"/>
              <w:left w:val="single" w:color="auto" w:sz="4" w:space="0"/>
              <w:bottom w:val="single" w:color="auto" w:sz="4" w:space="0"/>
              <w:right w:val="single" w:color="auto" w:sz="4" w:space="0"/>
            </w:tcBorders>
            <w:vAlign w:val="bottom"/>
          </w:tcPr>
          <w:p w:rsidR="00F8742E" w:rsidP="00A54DA1" w:rsidRDefault="00F8742E" w14:paraId="04E8CEDF" w14:textId="77777777">
            <w:pPr>
              <w:keepNext/>
              <w:keepLines/>
              <w:widowControl/>
              <w:autoSpaceDE/>
              <w:autoSpaceDN/>
              <w:adjustRightInd/>
              <w:rPr>
                <w:rFonts w:ascii="Times New Roman" w:hAnsi="Times New Roman"/>
                <w:color w:val="000000"/>
              </w:rPr>
            </w:pPr>
            <w:r>
              <w:rPr>
                <w:rFonts w:ascii="Times New Roman" w:hAnsi="Times New Roman"/>
                <w:color w:val="000000"/>
              </w:rPr>
              <w:t>Reporting</w:t>
            </w:r>
          </w:p>
        </w:tc>
        <w:tc>
          <w:tcPr>
            <w:tcW w:w="1383" w:type="dxa"/>
            <w:tcBorders>
              <w:top w:val="nil"/>
              <w:left w:val="single" w:color="auto" w:sz="4" w:space="0"/>
              <w:bottom w:val="single" w:color="auto" w:sz="4" w:space="0"/>
              <w:right w:val="single" w:color="auto" w:sz="4" w:space="0"/>
            </w:tcBorders>
            <w:shd w:val="clear" w:color="auto" w:fill="auto"/>
            <w:noWrap/>
            <w:vAlign w:val="bottom"/>
            <w:hideMark/>
          </w:tcPr>
          <w:p w:rsidRPr="001F53F7" w:rsidR="00F8742E" w:rsidP="00A54DA1" w:rsidRDefault="00F8742E" w14:paraId="7254ED4B" w14:textId="77777777">
            <w:pPr>
              <w:keepNext/>
              <w:keepLines/>
              <w:widowControl/>
              <w:autoSpaceDE/>
              <w:autoSpaceDN/>
              <w:adjustRightInd/>
              <w:jc w:val="right"/>
              <w:rPr>
                <w:rFonts w:ascii="Times New Roman" w:hAnsi="Times New Roman"/>
                <w:color w:val="000000"/>
              </w:rPr>
            </w:pPr>
            <w:r w:rsidRPr="001F53F7">
              <w:rPr>
                <w:rFonts w:ascii="Times New Roman" w:hAnsi="Times New Roman"/>
                <w:color w:val="000000"/>
              </w:rPr>
              <w:t>1</w:t>
            </w:r>
          </w:p>
        </w:tc>
        <w:tc>
          <w:tcPr>
            <w:tcW w:w="1260" w:type="dxa"/>
            <w:tcBorders>
              <w:top w:val="nil"/>
              <w:left w:val="nil"/>
              <w:bottom w:val="single" w:color="auto" w:sz="4" w:space="0"/>
              <w:right w:val="single" w:color="auto" w:sz="4" w:space="0"/>
            </w:tcBorders>
            <w:shd w:val="clear" w:color="auto" w:fill="auto"/>
            <w:noWrap/>
            <w:vAlign w:val="bottom"/>
            <w:hideMark/>
          </w:tcPr>
          <w:p w:rsidRPr="001F53F7" w:rsidR="00F8742E" w:rsidP="00A54DA1" w:rsidRDefault="00F8742E" w14:paraId="3F203D7F" w14:textId="77777777">
            <w:pPr>
              <w:keepNext/>
              <w:keepLines/>
              <w:widowControl/>
              <w:autoSpaceDE/>
              <w:autoSpaceDN/>
              <w:adjustRightInd/>
              <w:jc w:val="right"/>
              <w:rPr>
                <w:rFonts w:ascii="Times New Roman" w:hAnsi="Times New Roman"/>
                <w:color w:val="000000"/>
              </w:rPr>
            </w:pPr>
            <w:r w:rsidRPr="001F53F7">
              <w:rPr>
                <w:rFonts w:ascii="Times New Roman" w:hAnsi="Times New Roman"/>
                <w:color w:val="000000"/>
              </w:rPr>
              <w:t>1</w:t>
            </w:r>
          </w:p>
        </w:tc>
        <w:tc>
          <w:tcPr>
            <w:tcW w:w="1170" w:type="dxa"/>
            <w:tcBorders>
              <w:top w:val="nil"/>
              <w:left w:val="nil"/>
              <w:bottom w:val="single" w:color="auto" w:sz="4" w:space="0"/>
              <w:right w:val="single" w:color="auto" w:sz="4" w:space="0"/>
            </w:tcBorders>
            <w:shd w:val="clear" w:color="auto" w:fill="auto"/>
            <w:noWrap/>
            <w:vAlign w:val="bottom"/>
            <w:hideMark/>
          </w:tcPr>
          <w:p w:rsidRPr="001F53F7" w:rsidR="00F8742E" w:rsidP="00A54DA1" w:rsidRDefault="00F8742E" w14:paraId="52E416AA" w14:textId="77777777">
            <w:pPr>
              <w:keepNext/>
              <w:keepLines/>
              <w:widowControl/>
              <w:autoSpaceDE/>
              <w:autoSpaceDN/>
              <w:adjustRightInd/>
              <w:jc w:val="right"/>
              <w:rPr>
                <w:rFonts w:ascii="Times New Roman" w:hAnsi="Times New Roman"/>
                <w:color w:val="000000"/>
              </w:rPr>
            </w:pPr>
            <w:r w:rsidRPr="001F53F7">
              <w:rPr>
                <w:rFonts w:ascii="Times New Roman" w:hAnsi="Times New Roman"/>
                <w:color w:val="000000"/>
              </w:rPr>
              <w:t>1</w:t>
            </w:r>
          </w:p>
        </w:tc>
        <w:tc>
          <w:tcPr>
            <w:tcW w:w="1080" w:type="dxa"/>
            <w:tcBorders>
              <w:top w:val="nil"/>
              <w:left w:val="nil"/>
              <w:bottom w:val="single" w:color="auto" w:sz="4" w:space="0"/>
              <w:right w:val="single" w:color="auto" w:sz="4" w:space="0"/>
            </w:tcBorders>
            <w:shd w:val="clear" w:color="auto" w:fill="auto"/>
            <w:noWrap/>
            <w:vAlign w:val="bottom"/>
            <w:hideMark/>
          </w:tcPr>
          <w:p w:rsidRPr="001F53F7" w:rsidR="00F8742E" w:rsidP="00A54DA1" w:rsidRDefault="00F8742E" w14:paraId="13465652" w14:textId="77777777">
            <w:pPr>
              <w:keepNext/>
              <w:keepLines/>
              <w:widowControl/>
              <w:autoSpaceDE/>
              <w:autoSpaceDN/>
              <w:adjustRightInd/>
              <w:jc w:val="right"/>
              <w:rPr>
                <w:rFonts w:ascii="Times New Roman" w:hAnsi="Times New Roman"/>
                <w:color w:val="000000"/>
              </w:rPr>
            </w:pPr>
            <w:r w:rsidRPr="001F53F7">
              <w:rPr>
                <w:rFonts w:ascii="Times New Roman" w:hAnsi="Times New Roman"/>
                <w:color w:val="000000"/>
              </w:rPr>
              <w:t>30</w:t>
            </w:r>
          </w:p>
        </w:tc>
        <w:tc>
          <w:tcPr>
            <w:tcW w:w="990" w:type="dxa"/>
            <w:tcBorders>
              <w:top w:val="nil"/>
              <w:left w:val="nil"/>
              <w:bottom w:val="single" w:color="auto" w:sz="4" w:space="0"/>
              <w:right w:val="single" w:color="auto" w:sz="4" w:space="0"/>
            </w:tcBorders>
            <w:shd w:val="clear" w:color="auto" w:fill="auto"/>
            <w:noWrap/>
            <w:vAlign w:val="bottom"/>
            <w:hideMark/>
          </w:tcPr>
          <w:p w:rsidRPr="001F53F7" w:rsidR="00F8742E" w:rsidP="00A54DA1" w:rsidRDefault="00F8742E" w14:paraId="0C6A441C" w14:textId="77777777">
            <w:pPr>
              <w:keepNext/>
              <w:keepLines/>
              <w:widowControl/>
              <w:autoSpaceDE/>
              <w:autoSpaceDN/>
              <w:adjustRightInd/>
              <w:jc w:val="right"/>
              <w:rPr>
                <w:rFonts w:ascii="Times New Roman" w:hAnsi="Times New Roman"/>
                <w:color w:val="000000"/>
              </w:rPr>
            </w:pPr>
            <w:r w:rsidRPr="001F53F7">
              <w:rPr>
                <w:rFonts w:ascii="Times New Roman" w:hAnsi="Times New Roman"/>
                <w:color w:val="000000"/>
              </w:rPr>
              <w:t>30</w:t>
            </w:r>
          </w:p>
        </w:tc>
        <w:tc>
          <w:tcPr>
            <w:tcW w:w="990" w:type="dxa"/>
            <w:tcBorders>
              <w:top w:val="nil"/>
              <w:left w:val="nil"/>
              <w:bottom w:val="single" w:color="auto" w:sz="4" w:space="0"/>
              <w:right w:val="single" w:color="auto" w:sz="4" w:space="0"/>
            </w:tcBorders>
            <w:shd w:val="clear" w:color="auto" w:fill="auto"/>
            <w:noWrap/>
            <w:vAlign w:val="bottom"/>
            <w:hideMark/>
          </w:tcPr>
          <w:p w:rsidRPr="001F53F7" w:rsidR="00F8742E" w:rsidP="00A54DA1" w:rsidRDefault="00F8742E" w14:paraId="63C3A21D" w14:textId="77777777">
            <w:pPr>
              <w:keepNext/>
              <w:keepLines/>
              <w:widowControl/>
              <w:autoSpaceDE/>
              <w:autoSpaceDN/>
              <w:adjustRightInd/>
              <w:jc w:val="right"/>
              <w:rPr>
                <w:rFonts w:ascii="Times New Roman" w:hAnsi="Times New Roman"/>
                <w:color w:val="000000"/>
              </w:rPr>
            </w:pPr>
            <w:r w:rsidRPr="001F53F7">
              <w:rPr>
                <w:rFonts w:ascii="Times New Roman" w:hAnsi="Times New Roman"/>
                <w:color w:val="000000"/>
              </w:rPr>
              <w:t>$</w:t>
            </w:r>
            <w:r w:rsidR="00224946">
              <w:rPr>
                <w:rFonts w:ascii="Times New Roman" w:hAnsi="Times New Roman"/>
                <w:color w:val="000000"/>
              </w:rPr>
              <w:t>104.82</w:t>
            </w:r>
            <w:r w:rsidRPr="001F53F7">
              <w:rPr>
                <w:rFonts w:ascii="Times New Roman" w:hAnsi="Times New Roman"/>
                <w:color w:val="000000"/>
              </w:rPr>
              <w:t xml:space="preserve"> </w:t>
            </w:r>
          </w:p>
        </w:tc>
        <w:tc>
          <w:tcPr>
            <w:tcW w:w="900" w:type="dxa"/>
            <w:tcBorders>
              <w:top w:val="nil"/>
              <w:left w:val="nil"/>
              <w:bottom w:val="single" w:color="auto" w:sz="4" w:space="0"/>
              <w:right w:val="single" w:color="auto" w:sz="4" w:space="0"/>
            </w:tcBorders>
            <w:shd w:val="clear" w:color="auto" w:fill="auto"/>
            <w:noWrap/>
            <w:vAlign w:val="bottom"/>
            <w:hideMark/>
          </w:tcPr>
          <w:p w:rsidRPr="001F53F7" w:rsidR="00F8742E" w:rsidP="00A54DA1" w:rsidRDefault="00F8742E" w14:paraId="632F185C" w14:textId="77777777">
            <w:pPr>
              <w:keepNext/>
              <w:keepLines/>
              <w:widowControl/>
              <w:autoSpaceDE/>
              <w:autoSpaceDN/>
              <w:adjustRightInd/>
              <w:jc w:val="right"/>
              <w:rPr>
                <w:rFonts w:ascii="Times New Roman" w:hAnsi="Times New Roman"/>
                <w:color w:val="000000"/>
              </w:rPr>
            </w:pPr>
            <w:r w:rsidRPr="001F53F7">
              <w:rPr>
                <w:rFonts w:ascii="Times New Roman" w:hAnsi="Times New Roman"/>
                <w:color w:val="000000"/>
              </w:rPr>
              <w:t>$</w:t>
            </w:r>
            <w:r w:rsidR="00224946">
              <w:rPr>
                <w:rFonts w:ascii="Times New Roman" w:hAnsi="Times New Roman"/>
                <w:color w:val="000000"/>
              </w:rPr>
              <w:t>3,145</w:t>
            </w:r>
          </w:p>
        </w:tc>
        <w:tc>
          <w:tcPr>
            <w:tcW w:w="900" w:type="dxa"/>
            <w:tcBorders>
              <w:top w:val="nil"/>
              <w:left w:val="nil"/>
              <w:bottom w:val="single" w:color="auto" w:sz="4" w:space="0"/>
              <w:right w:val="single" w:color="auto" w:sz="4" w:space="0"/>
            </w:tcBorders>
            <w:vAlign w:val="bottom"/>
          </w:tcPr>
          <w:p w:rsidRPr="001F53F7" w:rsidR="00F8742E" w:rsidP="00A54DA1" w:rsidRDefault="00F8742E" w14:paraId="20C67BDB" w14:textId="77777777">
            <w:pPr>
              <w:keepNext/>
              <w:keepLines/>
              <w:widowControl/>
              <w:autoSpaceDE/>
              <w:autoSpaceDN/>
              <w:adjustRightInd/>
              <w:jc w:val="right"/>
              <w:rPr>
                <w:rFonts w:ascii="Times New Roman" w:hAnsi="Times New Roman"/>
                <w:color w:val="000000"/>
              </w:rPr>
            </w:pPr>
            <w:r>
              <w:rPr>
                <w:rFonts w:ascii="Times New Roman" w:hAnsi="Times New Roman"/>
                <w:color w:val="000000"/>
              </w:rPr>
              <w:t>$0</w:t>
            </w:r>
          </w:p>
        </w:tc>
      </w:tr>
    </w:tbl>
    <w:p w:rsidR="001F53F7" w:rsidP="00DB7D1D" w:rsidRDefault="001F53F7" w14:paraId="4A9599EB" w14:textId="77777777">
      <w:pPr>
        <w:pStyle w:val="NormalWeb"/>
        <w:spacing w:before="0" w:beforeAutospacing="0" w:after="0" w:afterAutospacing="0"/>
        <w:rPr>
          <w:rFonts w:ascii="Times New Roman" w:hAnsi="Times New Roman" w:cs="Times New Roman"/>
        </w:rPr>
      </w:pPr>
    </w:p>
    <w:p w:rsidRPr="00DC346F" w:rsidR="00826119" w:rsidP="00DB7D1D" w:rsidRDefault="00826119" w14:paraId="683EA41C" w14:textId="77777777">
      <w:pPr>
        <w:pStyle w:val="NormalWeb"/>
        <w:spacing w:before="0" w:beforeAutospacing="0" w:after="0" w:afterAutospacing="0"/>
        <w:rPr>
          <w:rFonts w:ascii="Times New Roman" w:hAnsi="Times New Roman" w:cs="Times New Roman"/>
        </w:rPr>
      </w:pPr>
    </w:p>
    <w:p w:rsidRPr="00847249" w:rsidR="008C61D5" w:rsidP="008C61D5" w:rsidRDefault="008C61D5" w14:paraId="462ABAE9" w14:textId="77777777">
      <w:pPr>
        <w:pStyle w:val="NormalWeb"/>
        <w:spacing w:before="0" w:beforeAutospacing="0" w:after="0" w:afterAutospacing="0"/>
        <w:rPr>
          <w:rFonts w:ascii="Times New Roman" w:hAnsi="Times New Roman" w:cs="Times New Roman"/>
        </w:rPr>
      </w:pPr>
      <w:r>
        <w:rPr>
          <w:rFonts w:ascii="Times New Roman" w:hAnsi="Times New Roman" w:cs="Times New Roman"/>
          <w:bCs/>
        </w:rPr>
        <w:t>13.</w:t>
      </w:r>
      <w:r w:rsidRPr="00DC346F" w:rsidR="00903F9C">
        <w:rPr>
          <w:rFonts w:ascii="Times New Roman" w:hAnsi="Times New Roman" w:cs="Times New Roman"/>
          <w:bCs/>
        </w:rPr>
        <w:tab/>
      </w:r>
      <w:r w:rsidRPr="00DC346F" w:rsidR="0004749E">
        <w:rPr>
          <w:rFonts w:ascii="Times New Roman" w:hAnsi="Times New Roman" w:cs="Times New Roman"/>
          <w:bCs/>
          <w:u w:val="single"/>
        </w:rPr>
        <w:t>Estimate of total annual costs to respondents</w:t>
      </w:r>
    </w:p>
    <w:p w:rsidRPr="00DC346F" w:rsidR="008C61D5" w:rsidP="008C61D5" w:rsidRDefault="008C61D5" w14:paraId="70515655" w14:textId="77777777">
      <w:pPr>
        <w:pStyle w:val="NormalWeb"/>
        <w:spacing w:before="0" w:beforeAutospacing="0" w:after="0" w:afterAutospacing="0"/>
        <w:rPr>
          <w:rFonts w:ascii="Times New Roman" w:hAnsi="Times New Roman" w:cs="Times New Roman"/>
          <w:b/>
        </w:rPr>
      </w:pPr>
    </w:p>
    <w:p w:rsidR="008C61D5" w:rsidP="008C61D5" w:rsidRDefault="00247E28" w14:paraId="7B69E4F9" w14:textId="77777777">
      <w:pPr>
        <w:pStyle w:val="NormalWeb"/>
        <w:spacing w:before="0" w:beforeAutospacing="0" w:after="0" w:afterAutospacing="0"/>
        <w:rPr>
          <w:rFonts w:ascii="Times New Roman" w:hAnsi="Times New Roman" w:cs="Times New Roman"/>
        </w:rPr>
      </w:pPr>
      <w:r>
        <w:rPr>
          <w:rFonts w:ascii="Times New Roman" w:hAnsi="Times New Roman" w:cs="Times New Roman"/>
        </w:rPr>
        <w:t>PHMSA does not estimate any out-of-pocket expenses for these information collection requirements.</w:t>
      </w:r>
    </w:p>
    <w:p w:rsidR="008C61D5" w:rsidP="008C61D5" w:rsidRDefault="008C61D5" w14:paraId="28822C74" w14:textId="77777777">
      <w:pPr>
        <w:pStyle w:val="NormalWeb"/>
        <w:spacing w:before="0" w:beforeAutospacing="0" w:after="0" w:afterAutospacing="0"/>
        <w:rPr>
          <w:rFonts w:ascii="Times New Roman" w:hAnsi="Times New Roman" w:cs="Times New Roman"/>
        </w:rPr>
      </w:pPr>
    </w:p>
    <w:p w:rsidR="008C61D5" w:rsidP="008C61D5" w:rsidRDefault="008C61D5" w14:paraId="24F02BB2" w14:textId="77777777">
      <w:pPr>
        <w:pStyle w:val="NormalWeb"/>
        <w:spacing w:before="0" w:beforeAutospacing="0" w:after="0" w:afterAutospacing="0"/>
        <w:rPr>
          <w:rFonts w:ascii="Times New Roman" w:hAnsi="Times New Roman" w:cs="Times New Roman"/>
        </w:rPr>
      </w:pPr>
    </w:p>
    <w:p w:rsidRPr="00847249" w:rsidR="008C61D5" w:rsidP="00CD1953" w:rsidRDefault="0004749E" w14:paraId="2CC8FF11" w14:textId="77777777">
      <w:pPr>
        <w:pStyle w:val="NormalWeb"/>
        <w:keepNext/>
        <w:spacing w:before="0" w:beforeAutospacing="0" w:after="0" w:afterAutospacing="0"/>
        <w:rPr>
          <w:rFonts w:ascii="Times New Roman" w:hAnsi="Times New Roman"/>
          <w:bCs/>
          <w:u w:val="single"/>
        </w:rPr>
      </w:pPr>
      <w:r w:rsidRPr="00847249">
        <w:rPr>
          <w:rFonts w:ascii="Times New Roman" w:hAnsi="Times New Roman"/>
          <w:bCs/>
        </w:rPr>
        <w:t xml:space="preserve">14. </w:t>
      </w:r>
      <w:r w:rsidRPr="00847249" w:rsidR="00903F9C">
        <w:rPr>
          <w:rFonts w:ascii="Times New Roman" w:hAnsi="Times New Roman"/>
          <w:bCs/>
        </w:rPr>
        <w:tab/>
      </w:r>
      <w:r w:rsidRPr="00847249">
        <w:rPr>
          <w:rFonts w:ascii="Times New Roman" w:hAnsi="Times New Roman"/>
          <w:bCs/>
          <w:u w:val="single"/>
        </w:rPr>
        <w:t xml:space="preserve">Estimate of cost to the Federal </w:t>
      </w:r>
      <w:r w:rsidRPr="00847249" w:rsidR="008C61D5">
        <w:rPr>
          <w:rFonts w:ascii="Times New Roman" w:hAnsi="Times New Roman"/>
          <w:bCs/>
          <w:u w:val="single"/>
        </w:rPr>
        <w:t>government</w:t>
      </w:r>
    </w:p>
    <w:p w:rsidR="008C61D5" w:rsidP="00CD1953" w:rsidRDefault="008C61D5" w14:paraId="35EDF9E1" w14:textId="77777777">
      <w:pPr>
        <w:pStyle w:val="NormalWeb"/>
        <w:keepNext/>
        <w:spacing w:before="0" w:beforeAutospacing="0" w:after="0" w:afterAutospacing="0"/>
        <w:rPr>
          <w:rFonts w:ascii="Times New Roman" w:hAnsi="Times New Roman"/>
          <w:bCs/>
          <w:u w:val="single"/>
        </w:rPr>
      </w:pPr>
    </w:p>
    <w:p w:rsidR="00123D69" w:rsidP="00CD1953" w:rsidRDefault="008C61D5" w14:paraId="05980A41" w14:textId="77777777">
      <w:pPr>
        <w:pStyle w:val="NormalWeb"/>
        <w:keepNext/>
        <w:spacing w:before="0" w:beforeAutospacing="0" w:after="0" w:afterAutospacing="0"/>
        <w:rPr>
          <w:rFonts w:ascii="Times New Roman" w:hAnsi="Times New Roman"/>
        </w:rPr>
      </w:pPr>
      <w:r w:rsidRPr="008C61D5">
        <w:rPr>
          <w:rFonts w:ascii="Times New Roman" w:hAnsi="Times New Roman"/>
          <w:bCs/>
        </w:rPr>
        <w:t>T</w:t>
      </w:r>
      <w:r w:rsidR="00A348EF">
        <w:rPr>
          <w:rFonts w:ascii="Times New Roman" w:hAnsi="Times New Roman"/>
        </w:rPr>
        <w:t>he cost to the Federal Government for the economic analysi</w:t>
      </w:r>
      <w:r w:rsidR="00123D69">
        <w:rPr>
          <w:rFonts w:ascii="Times New Roman" w:hAnsi="Times New Roman"/>
        </w:rPr>
        <w:t>s of petition for rulemaking is estimated to be $</w:t>
      </w:r>
      <w:r w:rsidR="0014413E">
        <w:rPr>
          <w:rFonts w:ascii="Times New Roman" w:hAnsi="Times New Roman"/>
        </w:rPr>
        <w:t>110</w:t>
      </w:r>
      <w:r w:rsidR="00123D69">
        <w:rPr>
          <w:rFonts w:ascii="Times New Roman" w:hAnsi="Times New Roman"/>
        </w:rPr>
        <w:t xml:space="preserve">,000/year.  </w:t>
      </w:r>
      <w:r w:rsidR="001D1953">
        <w:rPr>
          <w:rFonts w:ascii="Times New Roman" w:hAnsi="Times New Roman"/>
        </w:rPr>
        <w:t>The</w:t>
      </w:r>
      <w:r w:rsidR="00123D69">
        <w:rPr>
          <w:rFonts w:ascii="Times New Roman" w:hAnsi="Times New Roman"/>
        </w:rPr>
        <w:t xml:space="preserve"> economic analysis of cost or cost savings for each petition is identified by the</w:t>
      </w:r>
      <w:r w:rsidR="001D1953">
        <w:rPr>
          <w:rFonts w:ascii="Times New Roman" w:hAnsi="Times New Roman"/>
        </w:rPr>
        <w:t xml:space="preserve"> </w:t>
      </w:r>
      <w:r w:rsidRPr="001D1953" w:rsidR="001D1953">
        <w:rPr>
          <w:rFonts w:ascii="Times New Roman" w:hAnsi="Times New Roman"/>
        </w:rPr>
        <w:t>P</w:t>
      </w:r>
      <w:r w:rsidR="001D1953">
        <w:rPr>
          <w:rFonts w:ascii="Times New Roman" w:hAnsi="Times New Roman"/>
        </w:rPr>
        <w:t>rogram Management, Data, and Statistics Division</w:t>
      </w:r>
      <w:r w:rsidR="00123D69">
        <w:rPr>
          <w:rFonts w:ascii="Times New Roman" w:hAnsi="Times New Roman"/>
        </w:rPr>
        <w:t>.  Most of this work is conducted by a contractor, with each petition costing from $4,000 to $7,000 per petition.  To average the costs, PHMSA estimat</w:t>
      </w:r>
      <w:r w:rsidR="0014413E">
        <w:rPr>
          <w:rFonts w:ascii="Times New Roman" w:hAnsi="Times New Roman"/>
        </w:rPr>
        <w:t>es</w:t>
      </w:r>
      <w:r w:rsidR="00123D69">
        <w:rPr>
          <w:rFonts w:ascii="Times New Roman" w:hAnsi="Times New Roman"/>
        </w:rPr>
        <w:t xml:space="preserve"> a cost of $5,500 per petition.  For </w:t>
      </w:r>
      <w:r w:rsidR="00054EDD">
        <w:rPr>
          <w:rFonts w:ascii="Times New Roman" w:hAnsi="Times New Roman"/>
        </w:rPr>
        <w:t>20</w:t>
      </w:r>
      <w:r w:rsidR="00123D69">
        <w:rPr>
          <w:rFonts w:ascii="Times New Roman" w:hAnsi="Times New Roman"/>
        </w:rPr>
        <w:t xml:space="preserve"> petitions per year, PHMSA estimates this petition analysis costs $</w:t>
      </w:r>
      <w:r w:rsidR="00054EDD">
        <w:rPr>
          <w:rFonts w:ascii="Times New Roman" w:hAnsi="Times New Roman"/>
        </w:rPr>
        <w:t>110</w:t>
      </w:r>
      <w:r w:rsidR="00123D69">
        <w:rPr>
          <w:rFonts w:ascii="Times New Roman" w:hAnsi="Times New Roman"/>
        </w:rPr>
        <w:t>,000 per year (</w:t>
      </w:r>
      <w:r w:rsidR="0014413E">
        <w:rPr>
          <w:rFonts w:ascii="Times New Roman" w:hAnsi="Times New Roman"/>
        </w:rPr>
        <w:t>2</w:t>
      </w:r>
      <w:r w:rsidR="00054EDD">
        <w:rPr>
          <w:rFonts w:ascii="Times New Roman" w:hAnsi="Times New Roman"/>
        </w:rPr>
        <w:t>0</w:t>
      </w:r>
      <w:r w:rsidR="00123D69">
        <w:rPr>
          <w:rFonts w:ascii="Times New Roman" w:hAnsi="Times New Roman"/>
        </w:rPr>
        <w:t xml:space="preserve"> petitions x $5,500/petition).</w:t>
      </w:r>
    </w:p>
    <w:p w:rsidR="00123D69" w:rsidP="008C61D5" w:rsidRDefault="00123D69" w14:paraId="34CE071A" w14:textId="77777777">
      <w:pPr>
        <w:pStyle w:val="NormalWeb"/>
        <w:spacing w:before="0" w:beforeAutospacing="0" w:after="0" w:afterAutospacing="0"/>
        <w:rPr>
          <w:rFonts w:ascii="Times New Roman" w:hAnsi="Times New Roman"/>
        </w:rPr>
      </w:pPr>
    </w:p>
    <w:tbl>
      <w:tblPr>
        <w:tblW w:w="0" w:type="auto"/>
        <w:jc w:val="center"/>
        <w:tblLook w:val="04A0" w:firstRow="1" w:lastRow="0" w:firstColumn="1" w:lastColumn="0" w:noHBand="0" w:noVBand="1"/>
      </w:tblPr>
      <w:tblGrid>
        <w:gridCol w:w="2250"/>
        <w:gridCol w:w="2354"/>
        <w:gridCol w:w="3145"/>
      </w:tblGrid>
      <w:tr w:rsidRPr="00A54DA1" w:rsidR="00123D69" w:rsidTr="00A54DA1" w14:paraId="18198A70" w14:textId="77777777">
        <w:trPr>
          <w:trHeight w:val="485"/>
          <w:jc w:val="center"/>
        </w:trPr>
        <w:tc>
          <w:tcPr>
            <w:tcW w:w="225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A54DA1" w:rsidR="00123D69" w:rsidP="005E26FC" w:rsidRDefault="00123D69" w14:paraId="5EF33FB8" w14:textId="77777777">
            <w:pPr>
              <w:widowControl/>
              <w:autoSpaceDE/>
              <w:autoSpaceDN/>
              <w:adjustRightInd/>
              <w:jc w:val="center"/>
              <w:rPr>
                <w:rFonts w:ascii="Times New Roman" w:hAnsi="Times New Roman"/>
                <w:b/>
                <w:bCs/>
                <w:color w:val="000000"/>
                <w:sz w:val="24"/>
                <w:szCs w:val="24"/>
                <w:u w:val="single"/>
              </w:rPr>
            </w:pPr>
            <w:r w:rsidRPr="00A54DA1">
              <w:rPr>
                <w:rFonts w:ascii="Times New Roman" w:hAnsi="Times New Roman"/>
                <w:b/>
                <w:bCs/>
                <w:color w:val="000000"/>
                <w:sz w:val="24"/>
                <w:szCs w:val="24"/>
                <w:u w:val="single"/>
              </w:rPr>
              <w:t>Annual Number of Petitions</w:t>
            </w:r>
          </w:p>
        </w:tc>
        <w:tc>
          <w:tcPr>
            <w:tcW w:w="2354" w:type="dxa"/>
            <w:tcBorders>
              <w:top w:val="single" w:color="auto" w:sz="4" w:space="0"/>
              <w:left w:val="nil"/>
              <w:bottom w:val="single" w:color="auto" w:sz="4" w:space="0"/>
              <w:right w:val="single" w:color="auto" w:sz="4" w:space="0"/>
            </w:tcBorders>
            <w:shd w:val="clear" w:color="auto" w:fill="auto"/>
            <w:vAlign w:val="bottom"/>
            <w:hideMark/>
          </w:tcPr>
          <w:p w:rsidRPr="00A54DA1" w:rsidR="00123D69" w:rsidP="005E26FC" w:rsidRDefault="00123D69" w14:paraId="34E0566D" w14:textId="77777777">
            <w:pPr>
              <w:widowControl/>
              <w:autoSpaceDE/>
              <w:autoSpaceDN/>
              <w:adjustRightInd/>
              <w:jc w:val="center"/>
              <w:rPr>
                <w:rFonts w:ascii="Times New Roman" w:hAnsi="Times New Roman"/>
                <w:b/>
                <w:bCs/>
                <w:color w:val="000000"/>
                <w:sz w:val="24"/>
                <w:szCs w:val="24"/>
                <w:u w:val="single"/>
              </w:rPr>
            </w:pPr>
            <w:r w:rsidRPr="00A54DA1">
              <w:rPr>
                <w:rFonts w:ascii="Times New Roman" w:hAnsi="Times New Roman"/>
                <w:b/>
                <w:bCs/>
                <w:color w:val="000000"/>
                <w:sz w:val="24"/>
                <w:szCs w:val="24"/>
                <w:u w:val="single"/>
              </w:rPr>
              <w:t>Average Cost per Petition</w:t>
            </w:r>
          </w:p>
        </w:tc>
        <w:tc>
          <w:tcPr>
            <w:tcW w:w="3145" w:type="dxa"/>
            <w:tcBorders>
              <w:top w:val="single" w:color="auto" w:sz="4" w:space="0"/>
              <w:left w:val="nil"/>
              <w:bottom w:val="single" w:color="auto" w:sz="4" w:space="0"/>
              <w:right w:val="single" w:color="auto" w:sz="4" w:space="0"/>
            </w:tcBorders>
            <w:shd w:val="clear" w:color="auto" w:fill="auto"/>
            <w:vAlign w:val="bottom"/>
            <w:hideMark/>
          </w:tcPr>
          <w:p w:rsidRPr="00A54DA1" w:rsidR="00123D69" w:rsidP="005E26FC" w:rsidRDefault="00123D69" w14:paraId="1D60729C" w14:textId="77777777">
            <w:pPr>
              <w:widowControl/>
              <w:autoSpaceDE/>
              <w:autoSpaceDN/>
              <w:adjustRightInd/>
              <w:jc w:val="center"/>
              <w:rPr>
                <w:rFonts w:ascii="Times New Roman" w:hAnsi="Times New Roman"/>
                <w:b/>
                <w:bCs/>
                <w:color w:val="000000"/>
                <w:sz w:val="24"/>
                <w:szCs w:val="24"/>
                <w:u w:val="single"/>
              </w:rPr>
            </w:pPr>
            <w:r w:rsidRPr="00A54DA1">
              <w:rPr>
                <w:rFonts w:ascii="Times New Roman" w:hAnsi="Times New Roman"/>
                <w:b/>
                <w:bCs/>
                <w:color w:val="000000"/>
                <w:sz w:val="24"/>
                <w:szCs w:val="24"/>
                <w:u w:val="single"/>
              </w:rPr>
              <w:t>Cost to Federal Government for Petition Analysis</w:t>
            </w:r>
          </w:p>
        </w:tc>
      </w:tr>
      <w:tr w:rsidRPr="00A54DA1" w:rsidR="00123D69" w:rsidTr="00A54DA1" w14:paraId="35AF8E3D" w14:textId="77777777">
        <w:trPr>
          <w:trHeight w:val="278"/>
          <w:jc w:val="center"/>
        </w:trPr>
        <w:tc>
          <w:tcPr>
            <w:tcW w:w="2250" w:type="dxa"/>
            <w:tcBorders>
              <w:top w:val="nil"/>
              <w:left w:val="single" w:color="auto" w:sz="4" w:space="0"/>
              <w:bottom w:val="single" w:color="auto" w:sz="4" w:space="0"/>
              <w:right w:val="single" w:color="auto" w:sz="4" w:space="0"/>
            </w:tcBorders>
            <w:shd w:val="clear" w:color="auto" w:fill="auto"/>
            <w:noWrap/>
            <w:vAlign w:val="bottom"/>
            <w:hideMark/>
          </w:tcPr>
          <w:p w:rsidRPr="00A54DA1" w:rsidR="00123D69" w:rsidP="0014413E" w:rsidRDefault="00054EDD" w14:paraId="26E0B445" w14:textId="77777777">
            <w:pPr>
              <w:widowControl/>
              <w:autoSpaceDE/>
              <w:autoSpaceDN/>
              <w:adjustRightInd/>
              <w:jc w:val="right"/>
              <w:rPr>
                <w:rFonts w:ascii="Times New Roman" w:hAnsi="Times New Roman"/>
                <w:color w:val="000000"/>
                <w:sz w:val="24"/>
                <w:szCs w:val="24"/>
              </w:rPr>
            </w:pPr>
            <w:r w:rsidRPr="00A54DA1">
              <w:rPr>
                <w:rFonts w:ascii="Times New Roman" w:hAnsi="Times New Roman"/>
                <w:color w:val="000000"/>
                <w:sz w:val="24"/>
                <w:szCs w:val="24"/>
              </w:rPr>
              <w:t>20</w:t>
            </w:r>
          </w:p>
        </w:tc>
        <w:tc>
          <w:tcPr>
            <w:tcW w:w="2354" w:type="dxa"/>
            <w:tcBorders>
              <w:top w:val="nil"/>
              <w:left w:val="nil"/>
              <w:bottom w:val="single" w:color="auto" w:sz="4" w:space="0"/>
              <w:right w:val="single" w:color="auto" w:sz="4" w:space="0"/>
            </w:tcBorders>
            <w:shd w:val="clear" w:color="auto" w:fill="auto"/>
            <w:noWrap/>
            <w:vAlign w:val="bottom"/>
            <w:hideMark/>
          </w:tcPr>
          <w:p w:rsidRPr="00A54DA1" w:rsidR="00123D69" w:rsidP="0014413E" w:rsidRDefault="00123D69" w14:paraId="15707CC8" w14:textId="77777777">
            <w:pPr>
              <w:widowControl/>
              <w:autoSpaceDE/>
              <w:autoSpaceDN/>
              <w:adjustRightInd/>
              <w:jc w:val="right"/>
              <w:rPr>
                <w:rFonts w:ascii="Times New Roman" w:hAnsi="Times New Roman"/>
                <w:color w:val="000000"/>
                <w:sz w:val="24"/>
                <w:szCs w:val="24"/>
              </w:rPr>
            </w:pPr>
            <w:r w:rsidRPr="00A54DA1">
              <w:rPr>
                <w:rFonts w:ascii="Times New Roman" w:hAnsi="Times New Roman"/>
                <w:color w:val="000000"/>
                <w:sz w:val="24"/>
                <w:szCs w:val="24"/>
              </w:rPr>
              <w:t>$5,500</w:t>
            </w:r>
          </w:p>
        </w:tc>
        <w:tc>
          <w:tcPr>
            <w:tcW w:w="3145" w:type="dxa"/>
            <w:tcBorders>
              <w:top w:val="nil"/>
              <w:left w:val="nil"/>
              <w:bottom w:val="single" w:color="auto" w:sz="4" w:space="0"/>
              <w:right w:val="single" w:color="auto" w:sz="4" w:space="0"/>
            </w:tcBorders>
            <w:shd w:val="clear" w:color="auto" w:fill="auto"/>
            <w:noWrap/>
            <w:vAlign w:val="bottom"/>
            <w:hideMark/>
          </w:tcPr>
          <w:p w:rsidRPr="00A54DA1" w:rsidR="00123D69" w:rsidP="0014413E" w:rsidRDefault="00123D69" w14:paraId="176FC399" w14:textId="77777777">
            <w:pPr>
              <w:widowControl/>
              <w:autoSpaceDE/>
              <w:autoSpaceDN/>
              <w:adjustRightInd/>
              <w:jc w:val="right"/>
              <w:rPr>
                <w:rFonts w:ascii="Times New Roman" w:hAnsi="Times New Roman"/>
                <w:color w:val="000000"/>
                <w:sz w:val="24"/>
                <w:szCs w:val="24"/>
              </w:rPr>
            </w:pPr>
            <w:r w:rsidRPr="00A54DA1">
              <w:rPr>
                <w:rFonts w:ascii="Times New Roman" w:hAnsi="Times New Roman"/>
                <w:color w:val="000000"/>
                <w:sz w:val="24"/>
                <w:szCs w:val="24"/>
              </w:rPr>
              <w:t>$</w:t>
            </w:r>
            <w:r w:rsidRPr="00A54DA1" w:rsidR="00054EDD">
              <w:rPr>
                <w:rFonts w:ascii="Times New Roman" w:hAnsi="Times New Roman"/>
                <w:color w:val="000000"/>
                <w:sz w:val="24"/>
                <w:szCs w:val="24"/>
              </w:rPr>
              <w:t>110</w:t>
            </w:r>
            <w:r w:rsidRPr="00A54DA1">
              <w:rPr>
                <w:rFonts w:ascii="Times New Roman" w:hAnsi="Times New Roman"/>
                <w:color w:val="000000"/>
                <w:sz w:val="24"/>
                <w:szCs w:val="24"/>
              </w:rPr>
              <w:t>,000</w:t>
            </w:r>
          </w:p>
        </w:tc>
      </w:tr>
    </w:tbl>
    <w:p w:rsidR="00123D69" w:rsidP="008C61D5" w:rsidRDefault="00123D69" w14:paraId="2AF082D8" w14:textId="77777777">
      <w:pPr>
        <w:pStyle w:val="NormalWeb"/>
        <w:spacing w:before="0" w:beforeAutospacing="0" w:after="0" w:afterAutospacing="0"/>
        <w:rPr>
          <w:rFonts w:ascii="Times New Roman" w:hAnsi="Times New Roman"/>
        </w:rPr>
      </w:pPr>
    </w:p>
    <w:p w:rsidRPr="00DC346F" w:rsidR="0004749E" w:rsidP="00DB7D1D" w:rsidRDefault="0004749E" w14:paraId="67D85349" w14:textId="77777777">
      <w:pPr>
        <w:rPr>
          <w:rFonts w:ascii="Times New Roman" w:hAnsi="Times New Roman"/>
          <w:sz w:val="24"/>
          <w:szCs w:val="24"/>
        </w:rPr>
      </w:pPr>
    </w:p>
    <w:p w:rsidRPr="00DC346F" w:rsidR="003D0245" w:rsidP="00DB7D1D" w:rsidRDefault="008C61D5" w14:paraId="710007E9" w14:textId="77777777">
      <w:pPr>
        <w:rPr>
          <w:rFonts w:ascii="Times New Roman" w:hAnsi="Times New Roman"/>
          <w:b/>
          <w:bCs/>
          <w:sz w:val="24"/>
          <w:szCs w:val="24"/>
        </w:rPr>
      </w:pPr>
      <w:r>
        <w:rPr>
          <w:rFonts w:ascii="Times New Roman" w:hAnsi="Times New Roman"/>
          <w:bCs/>
          <w:sz w:val="24"/>
          <w:szCs w:val="24"/>
        </w:rPr>
        <w:t>15.</w:t>
      </w:r>
      <w:r w:rsidRPr="00DC346F" w:rsidR="00903F9C">
        <w:rPr>
          <w:rFonts w:ascii="Times New Roman" w:hAnsi="Times New Roman"/>
          <w:bCs/>
          <w:sz w:val="24"/>
          <w:szCs w:val="24"/>
        </w:rPr>
        <w:tab/>
      </w:r>
      <w:r w:rsidRPr="00DC346F" w:rsidR="0004749E">
        <w:rPr>
          <w:rFonts w:ascii="Times New Roman" w:hAnsi="Times New Roman"/>
          <w:bCs/>
          <w:sz w:val="24"/>
          <w:szCs w:val="24"/>
          <w:u w:val="single"/>
        </w:rPr>
        <w:t>Explanation of program changes or adjustments</w:t>
      </w:r>
    </w:p>
    <w:p w:rsidRPr="00DC346F" w:rsidR="001F0869" w:rsidP="00DB7D1D" w:rsidRDefault="001F0869" w14:paraId="293C612B" w14:textId="77777777">
      <w:pPr>
        <w:rPr>
          <w:rFonts w:ascii="Times New Roman" w:hAnsi="Times New Roman"/>
          <w:sz w:val="24"/>
          <w:szCs w:val="24"/>
        </w:rPr>
      </w:pPr>
    </w:p>
    <w:p w:rsidR="00847249" w:rsidP="00DB7D1D" w:rsidRDefault="004E3437" w14:paraId="0C687B47" w14:textId="77777777">
      <w:pPr>
        <w:rPr>
          <w:rFonts w:ascii="Times New Roman" w:hAnsi="Times New Roman"/>
          <w:sz w:val="24"/>
          <w:szCs w:val="24"/>
        </w:rPr>
      </w:pPr>
      <w:r>
        <w:rPr>
          <w:rFonts w:ascii="Times New Roman" w:hAnsi="Times New Roman"/>
          <w:sz w:val="24"/>
          <w:szCs w:val="24"/>
        </w:rPr>
        <w:t xml:space="preserve">PHMSA revised the number of respondents and reporting and recordkeeping time based on data collected over the past three years to better reflect actual burden associated with those collections.  In addition, PHMSA has </w:t>
      </w:r>
      <w:r w:rsidR="000131EC">
        <w:rPr>
          <w:rFonts w:ascii="Times New Roman" w:hAnsi="Times New Roman"/>
          <w:sz w:val="24"/>
          <w:szCs w:val="24"/>
        </w:rPr>
        <w:t xml:space="preserve">split one IC into two, as this better captures the differentiation between types of special permit applications.  </w:t>
      </w:r>
    </w:p>
    <w:p w:rsidRPr="00DC346F" w:rsidR="00D22DD9" w:rsidP="00DB7D1D" w:rsidRDefault="00D22DD9" w14:paraId="1F4DFF4D" w14:textId="77777777">
      <w:pPr>
        <w:rPr>
          <w:rFonts w:ascii="Times New Roman" w:hAnsi="Times New Roman"/>
          <w:sz w:val="24"/>
          <w:szCs w:val="24"/>
        </w:rPr>
      </w:pPr>
    </w:p>
    <w:p w:rsidRPr="00DC346F" w:rsidR="00E50657" w:rsidP="00DB7D1D" w:rsidRDefault="00E50657" w14:paraId="0E4802C5" w14:textId="77777777">
      <w:pPr>
        <w:rPr>
          <w:rFonts w:ascii="Times New Roman" w:hAnsi="Times New Roman"/>
          <w:bCs/>
          <w:sz w:val="24"/>
          <w:szCs w:val="24"/>
        </w:rPr>
      </w:pPr>
    </w:p>
    <w:p w:rsidR="003D0245" w:rsidP="008C61D5" w:rsidRDefault="008C61D5" w14:paraId="7B9EF237" w14:textId="77777777">
      <w:pPr>
        <w:rPr>
          <w:rFonts w:ascii="Times New Roman" w:hAnsi="Times New Roman"/>
          <w:b/>
          <w:sz w:val="24"/>
          <w:szCs w:val="24"/>
        </w:rPr>
      </w:pPr>
      <w:r>
        <w:rPr>
          <w:rFonts w:ascii="Times New Roman" w:hAnsi="Times New Roman"/>
          <w:bCs/>
          <w:sz w:val="24"/>
          <w:szCs w:val="24"/>
        </w:rPr>
        <w:t>16.</w:t>
      </w:r>
      <w:r w:rsidRPr="00DC346F" w:rsidR="00903F9C">
        <w:rPr>
          <w:rFonts w:ascii="Times New Roman" w:hAnsi="Times New Roman"/>
          <w:bCs/>
          <w:sz w:val="24"/>
          <w:szCs w:val="24"/>
        </w:rPr>
        <w:tab/>
      </w:r>
      <w:r w:rsidRPr="00DC346F" w:rsidR="0004749E">
        <w:rPr>
          <w:rFonts w:ascii="Times New Roman" w:hAnsi="Times New Roman"/>
          <w:bCs/>
          <w:sz w:val="24"/>
          <w:szCs w:val="24"/>
          <w:u w:val="single"/>
        </w:rPr>
        <w:t>Publication of results of data collection</w:t>
      </w:r>
    </w:p>
    <w:p w:rsidRPr="008C61D5" w:rsidR="008C61D5" w:rsidP="008C61D5" w:rsidRDefault="008C61D5" w14:paraId="1BBF2018" w14:textId="77777777">
      <w:pPr>
        <w:rPr>
          <w:rFonts w:ascii="Times New Roman" w:hAnsi="Times New Roman"/>
          <w:b/>
          <w:sz w:val="24"/>
          <w:szCs w:val="24"/>
        </w:rPr>
      </w:pPr>
    </w:p>
    <w:p w:rsidRPr="00DC346F" w:rsidR="00DA7852" w:rsidP="00DB7D1D" w:rsidRDefault="00DA7852" w14:paraId="0E3EF2CB" w14:textId="77777777">
      <w:pPr>
        <w:pStyle w:val="BodyText3"/>
        <w:rPr>
          <w:rFonts w:ascii="Times New Roman" w:hAnsi="Times New Roman"/>
          <w:color w:val="auto"/>
        </w:rPr>
      </w:pPr>
      <w:r w:rsidRPr="00DC346F">
        <w:rPr>
          <w:rFonts w:ascii="Times New Roman" w:hAnsi="Times New Roman"/>
          <w:color w:val="auto"/>
        </w:rPr>
        <w:t>There is no publication for statistical use, and no statistical techniques are involved.</w:t>
      </w:r>
    </w:p>
    <w:p w:rsidR="00E50657" w:rsidP="00DB7D1D" w:rsidRDefault="00E50657" w14:paraId="1FF50075"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rPr>
      </w:pPr>
    </w:p>
    <w:p w:rsidRPr="00DC346F" w:rsidR="00D22DD9" w:rsidP="00DB7D1D" w:rsidRDefault="00D22DD9" w14:paraId="151F5083"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rPr>
      </w:pPr>
    </w:p>
    <w:p w:rsidRPr="00DC346F" w:rsidR="0004749E" w:rsidP="00DB7D1D" w:rsidRDefault="008C61D5" w14:paraId="6D607A6B"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rPr>
      </w:pPr>
      <w:r>
        <w:rPr>
          <w:rFonts w:ascii="Times New Roman" w:hAnsi="Times New Roman"/>
          <w:bCs/>
          <w:color w:val="auto"/>
        </w:rPr>
        <w:t>17.</w:t>
      </w:r>
      <w:r w:rsidRPr="00DC346F" w:rsidR="00903F9C">
        <w:rPr>
          <w:rFonts w:ascii="Times New Roman" w:hAnsi="Times New Roman"/>
          <w:bCs/>
          <w:color w:val="auto"/>
        </w:rPr>
        <w:tab/>
      </w:r>
      <w:r w:rsidRPr="00DC346F" w:rsidR="0004749E">
        <w:rPr>
          <w:rFonts w:ascii="Times New Roman" w:hAnsi="Times New Roman"/>
          <w:bCs/>
          <w:color w:val="auto"/>
          <w:u w:val="single"/>
        </w:rPr>
        <w:t>Approval for not displaying the expiration date of OMB approval</w:t>
      </w:r>
    </w:p>
    <w:p w:rsidRPr="00DC346F" w:rsidR="00105F8E" w:rsidP="00DB7D1D" w:rsidRDefault="00105F8E" w14:paraId="294549F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rsidRPr="00DC346F" w:rsidR="003D4CB6" w:rsidP="00DB7D1D" w:rsidRDefault="003D4CB6" w14:paraId="62345722" w14:textId="77777777">
      <w:pPr>
        <w:rPr>
          <w:rFonts w:ascii="Times New Roman" w:hAnsi="Times New Roman"/>
          <w:sz w:val="24"/>
          <w:szCs w:val="24"/>
        </w:rPr>
      </w:pPr>
      <w:r w:rsidRPr="00DC346F">
        <w:rPr>
          <w:rFonts w:ascii="Times New Roman" w:hAnsi="Times New Roman"/>
          <w:sz w:val="24"/>
          <w:szCs w:val="24"/>
        </w:rPr>
        <w:t xml:space="preserve">This information collection OMB Control </w:t>
      </w:r>
      <w:r w:rsidR="00A907CE">
        <w:rPr>
          <w:rFonts w:ascii="Times New Roman" w:hAnsi="Times New Roman"/>
          <w:sz w:val="24"/>
          <w:szCs w:val="24"/>
        </w:rPr>
        <w:t>N</w:t>
      </w:r>
      <w:r w:rsidRPr="00DC346F">
        <w:rPr>
          <w:rFonts w:ascii="Times New Roman" w:hAnsi="Times New Roman"/>
          <w:sz w:val="24"/>
          <w:szCs w:val="24"/>
        </w:rPr>
        <w:t>umber is prominently displayed in the HMR under</w:t>
      </w:r>
    </w:p>
    <w:p w:rsidRPr="00DC346F" w:rsidR="003D4CB6" w:rsidP="00DB7D1D" w:rsidRDefault="00EF5D3A" w14:paraId="0CFFA698" w14:textId="77777777">
      <w:pPr>
        <w:rPr>
          <w:rFonts w:ascii="Times New Roman" w:hAnsi="Times New Roman"/>
          <w:sz w:val="24"/>
          <w:szCs w:val="24"/>
        </w:rPr>
      </w:pPr>
      <w:r w:rsidRPr="00DC346F">
        <w:rPr>
          <w:rFonts w:ascii="Times New Roman" w:hAnsi="Times New Roman"/>
          <w:sz w:val="24"/>
          <w:szCs w:val="24"/>
        </w:rPr>
        <w:t>§ </w:t>
      </w:r>
      <w:r w:rsidRPr="00DC346F" w:rsidR="003D4CB6">
        <w:rPr>
          <w:rFonts w:ascii="Times New Roman" w:hAnsi="Times New Roman"/>
          <w:sz w:val="24"/>
          <w:szCs w:val="24"/>
        </w:rPr>
        <w:t>171.6, “Control Numbers under the Paperwork Reduction Act.”</w:t>
      </w:r>
    </w:p>
    <w:p w:rsidR="00E50657" w:rsidP="00DB7D1D" w:rsidRDefault="00E50657" w14:paraId="46A6D6A2" w14:textId="77777777">
      <w:pPr>
        <w:rPr>
          <w:rFonts w:ascii="Times New Roman" w:hAnsi="Times New Roman"/>
          <w:bCs/>
          <w:sz w:val="24"/>
          <w:szCs w:val="24"/>
        </w:rPr>
      </w:pPr>
    </w:p>
    <w:p w:rsidRPr="00DC346F" w:rsidR="00D22DD9" w:rsidP="00DB7D1D" w:rsidRDefault="00D22DD9" w14:paraId="0984CE49" w14:textId="77777777">
      <w:pPr>
        <w:rPr>
          <w:rFonts w:ascii="Times New Roman" w:hAnsi="Times New Roman"/>
          <w:bCs/>
          <w:sz w:val="24"/>
          <w:szCs w:val="24"/>
        </w:rPr>
      </w:pPr>
    </w:p>
    <w:p w:rsidRPr="00DC346F" w:rsidR="00105F8E" w:rsidP="00DB7D1D" w:rsidRDefault="008C61D5" w14:paraId="46EA7A4B" w14:textId="77777777">
      <w:pPr>
        <w:rPr>
          <w:rFonts w:ascii="Times New Roman" w:hAnsi="Times New Roman"/>
          <w:b/>
          <w:sz w:val="24"/>
          <w:szCs w:val="24"/>
        </w:rPr>
      </w:pPr>
      <w:r>
        <w:rPr>
          <w:rFonts w:ascii="Times New Roman" w:hAnsi="Times New Roman"/>
          <w:bCs/>
          <w:sz w:val="24"/>
          <w:szCs w:val="24"/>
        </w:rPr>
        <w:lastRenderedPageBreak/>
        <w:t>18.</w:t>
      </w:r>
      <w:r w:rsidRPr="00DC346F" w:rsidR="00903F9C">
        <w:rPr>
          <w:rFonts w:ascii="Times New Roman" w:hAnsi="Times New Roman"/>
          <w:bCs/>
          <w:sz w:val="24"/>
          <w:szCs w:val="24"/>
        </w:rPr>
        <w:tab/>
      </w:r>
      <w:r w:rsidRPr="00DC346F" w:rsidR="0004749E">
        <w:rPr>
          <w:rFonts w:ascii="Times New Roman" w:hAnsi="Times New Roman"/>
          <w:bCs/>
          <w:sz w:val="24"/>
          <w:szCs w:val="24"/>
          <w:u w:val="single"/>
        </w:rPr>
        <w:t>Exceptions to certification statement</w:t>
      </w:r>
    </w:p>
    <w:p w:rsidRPr="00DC346F" w:rsidR="00EF5D3A" w:rsidP="00DB7D1D" w:rsidRDefault="00EF5D3A" w14:paraId="2C627CCB" w14:textId="77777777">
      <w:pPr>
        <w:pStyle w:val="NormalWeb"/>
        <w:spacing w:before="0" w:beforeAutospacing="0" w:after="0" w:afterAutospacing="0"/>
        <w:rPr>
          <w:rFonts w:ascii="Times New Roman" w:hAnsi="Times New Roman" w:cs="Times New Roman"/>
        </w:rPr>
      </w:pPr>
    </w:p>
    <w:p w:rsidRPr="00DC346F" w:rsidR="00DA7852" w:rsidP="00DB7D1D" w:rsidRDefault="00DA7852" w14:paraId="595A40A6" w14:textId="77777777">
      <w:pPr>
        <w:pStyle w:val="NormalWeb"/>
        <w:spacing w:before="0" w:beforeAutospacing="0" w:after="0" w:afterAutospacing="0"/>
        <w:rPr>
          <w:rFonts w:ascii="Times New Roman" w:hAnsi="Times New Roman" w:cs="Times New Roman"/>
        </w:rPr>
      </w:pPr>
      <w:r w:rsidRPr="00DC346F">
        <w:rPr>
          <w:rFonts w:ascii="Times New Roman" w:hAnsi="Times New Roman" w:cs="Times New Roman"/>
        </w:rPr>
        <w:t>There is no exception to PHMSA’s certification of this request for information collection approval.</w:t>
      </w:r>
    </w:p>
    <w:sectPr w:rsidRPr="00DC346F" w:rsidR="00DA7852">
      <w:footerReference w:type="default" r:id="rId12"/>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6FDE8" w14:textId="77777777" w:rsidR="00FD0D52" w:rsidRDefault="00FD0D52">
      <w:r>
        <w:separator/>
      </w:r>
    </w:p>
  </w:endnote>
  <w:endnote w:type="continuationSeparator" w:id="0">
    <w:p w14:paraId="24C2CFD5" w14:textId="77777777" w:rsidR="00FD0D52" w:rsidRDefault="00FD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00FC5" w14:textId="77777777" w:rsidR="00EF6207" w:rsidRPr="00A54DA1" w:rsidRDefault="00EF6207">
    <w:pPr>
      <w:pStyle w:val="Footer"/>
      <w:framePr w:w="576" w:wrap="auto" w:vAnchor="page" w:hAnchor="page" w:x="5545" w:y="15121"/>
      <w:jc w:val="right"/>
      <w:rPr>
        <w:rStyle w:val="PageNumber"/>
        <w:rFonts w:ascii="Times New Roman" w:hAnsi="Times New Roman"/>
      </w:rPr>
    </w:pPr>
    <w:r w:rsidRPr="00A54DA1">
      <w:rPr>
        <w:rStyle w:val="PageNumber"/>
        <w:rFonts w:ascii="Times New Roman" w:hAnsi="Times New Roman"/>
      </w:rPr>
      <w:fldChar w:fldCharType="begin"/>
    </w:r>
    <w:r w:rsidRPr="00A54DA1">
      <w:rPr>
        <w:rStyle w:val="PageNumber"/>
        <w:rFonts w:ascii="Times New Roman" w:hAnsi="Times New Roman"/>
      </w:rPr>
      <w:instrText xml:space="preserve">PAGE  </w:instrText>
    </w:r>
    <w:r w:rsidRPr="00A54DA1">
      <w:rPr>
        <w:rStyle w:val="PageNumber"/>
        <w:rFonts w:ascii="Times New Roman" w:hAnsi="Times New Roman"/>
      </w:rPr>
      <w:fldChar w:fldCharType="separate"/>
    </w:r>
    <w:r w:rsidR="00F73B7C" w:rsidRPr="00A54DA1">
      <w:rPr>
        <w:rStyle w:val="PageNumber"/>
        <w:rFonts w:ascii="Times New Roman" w:hAnsi="Times New Roman"/>
        <w:noProof/>
      </w:rPr>
      <w:t>8</w:t>
    </w:r>
    <w:r w:rsidRPr="00A54DA1">
      <w:rPr>
        <w:rStyle w:val="PageNumber"/>
        <w:rFonts w:ascii="Times New Roman" w:hAnsi="Times New Roman"/>
      </w:rPr>
      <w:fldChar w:fldCharType="end"/>
    </w:r>
  </w:p>
  <w:p w14:paraId="0F19D362" w14:textId="77777777" w:rsidR="00EF6207" w:rsidRPr="00A54DA1" w:rsidRDefault="00EF6207">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F1664" w14:textId="77777777" w:rsidR="00FD0D52" w:rsidRDefault="00FD0D52">
      <w:r>
        <w:separator/>
      </w:r>
    </w:p>
  </w:footnote>
  <w:footnote w:type="continuationSeparator" w:id="0">
    <w:p w14:paraId="01F135C9" w14:textId="77777777" w:rsidR="00FD0D52" w:rsidRDefault="00FD0D52">
      <w:r>
        <w:continuationSeparator/>
      </w:r>
    </w:p>
  </w:footnote>
  <w:footnote w:id="1">
    <w:p w14:paraId="44A7AA6B" w14:textId="77777777" w:rsidR="00626052" w:rsidRPr="000D087B" w:rsidRDefault="00626052">
      <w:pPr>
        <w:pStyle w:val="FootnoteText"/>
        <w:rPr>
          <w:rFonts w:ascii="Times New Roman" w:hAnsi="Times New Roman"/>
        </w:rPr>
      </w:pPr>
      <w:r w:rsidRPr="000D087B">
        <w:rPr>
          <w:rStyle w:val="FootnoteReference"/>
          <w:rFonts w:ascii="Times New Roman" w:hAnsi="Times New Roman"/>
        </w:rPr>
        <w:footnoteRef/>
      </w:r>
      <w:r w:rsidRPr="000D087B">
        <w:rPr>
          <w:rFonts w:ascii="Times New Roman" w:hAnsi="Times New Roman"/>
        </w:rPr>
        <w:t xml:space="preserve"> </w:t>
      </w:r>
      <w:r w:rsidR="00B3401A" w:rsidRPr="000D087B">
        <w:rPr>
          <w:rFonts w:ascii="Times New Roman" w:hAnsi="Times New Roman"/>
        </w:rPr>
        <w:t xml:space="preserve">Occupation labor rates based on </w:t>
      </w:r>
      <w:r w:rsidR="005610DA">
        <w:rPr>
          <w:rFonts w:ascii="Times New Roman" w:hAnsi="Times New Roman"/>
        </w:rPr>
        <w:t>2020</w:t>
      </w:r>
      <w:r w:rsidR="005610DA" w:rsidRPr="000D087B">
        <w:rPr>
          <w:rFonts w:ascii="Times New Roman" w:hAnsi="Times New Roman"/>
        </w:rPr>
        <w:t xml:space="preserve"> </w:t>
      </w:r>
      <w:r w:rsidR="00B3401A" w:rsidRPr="000D087B">
        <w:rPr>
          <w:rFonts w:ascii="Times New Roman" w:hAnsi="Times New Roman"/>
        </w:rPr>
        <w:t xml:space="preserve">Occupational and Employment Statistics Survey (OES) for “Lawyers (23-1011)” in the </w:t>
      </w:r>
      <w:r w:rsidR="00333170">
        <w:rPr>
          <w:rFonts w:ascii="Times New Roman" w:hAnsi="Times New Roman"/>
        </w:rPr>
        <w:t>Legal Operations</w:t>
      </w:r>
      <w:r w:rsidR="00B3401A" w:rsidRPr="000D087B">
        <w:rPr>
          <w:rFonts w:ascii="Times New Roman" w:hAnsi="Times New Roman"/>
        </w:rPr>
        <w:t xml:space="preserve"> industry (https://www.bls.gov/oes/current/oes231011.htm).  The hourly mean wage for this occupation ($68.22) is adjusted to reflect the total costs of employee compensation based on the BLS Employer Costs for Employee Compensation Summary, which indicates that wages for civilian workers are 68.3 percent of total compensation (total wage = wage rate/wage % of total compensation).</w:t>
      </w:r>
      <w:r w:rsidR="00B3401A" w:rsidRPr="000D087B" w:rsidDel="00B3401A">
        <w:rPr>
          <w:rFonts w:ascii="Times New Roman" w:hAnsi="Times New Roman"/>
        </w:rPr>
        <w:t xml:space="preserve"> </w:t>
      </w:r>
    </w:p>
  </w:footnote>
  <w:footnote w:id="2">
    <w:p w14:paraId="6F419D24" w14:textId="77777777" w:rsidR="00457B49" w:rsidRPr="000D087B" w:rsidRDefault="00457B49">
      <w:pPr>
        <w:pStyle w:val="FootnoteText"/>
        <w:rPr>
          <w:rFonts w:ascii="Times New Roman" w:hAnsi="Times New Roman"/>
        </w:rPr>
      </w:pPr>
      <w:r w:rsidRPr="000D087B">
        <w:rPr>
          <w:rStyle w:val="FootnoteReference"/>
          <w:rFonts w:ascii="Times New Roman" w:hAnsi="Times New Roman"/>
        </w:rPr>
        <w:footnoteRef/>
      </w:r>
      <w:r w:rsidRPr="000D087B">
        <w:rPr>
          <w:rFonts w:ascii="Times New Roman" w:hAnsi="Times New Roman"/>
        </w:rPr>
        <w:t xml:space="preserve"> </w:t>
      </w:r>
      <w:r w:rsidR="00333170">
        <w:rPr>
          <w:rFonts w:ascii="Times New Roman" w:hAnsi="Times New Roman"/>
        </w:rPr>
        <w:t>Ibid.</w:t>
      </w:r>
    </w:p>
  </w:footnote>
  <w:footnote w:id="3">
    <w:p w14:paraId="433658DA" w14:textId="77777777" w:rsidR="00051580" w:rsidRPr="000D087B" w:rsidRDefault="00051580">
      <w:pPr>
        <w:pStyle w:val="FootnoteText"/>
        <w:rPr>
          <w:rFonts w:ascii="Times New Roman" w:hAnsi="Times New Roman"/>
        </w:rPr>
      </w:pPr>
      <w:r w:rsidRPr="000D087B">
        <w:rPr>
          <w:rStyle w:val="FootnoteReference"/>
          <w:rFonts w:ascii="Times New Roman" w:hAnsi="Times New Roman"/>
        </w:rPr>
        <w:footnoteRef/>
      </w:r>
      <w:r w:rsidRPr="000D087B">
        <w:rPr>
          <w:rFonts w:ascii="Times New Roman" w:hAnsi="Times New Roman"/>
        </w:rPr>
        <w:t xml:space="preserve"> </w:t>
      </w:r>
      <w:r w:rsidR="00333170" w:rsidRPr="000D087B">
        <w:rPr>
          <w:rFonts w:ascii="Times New Roman" w:hAnsi="Times New Roman"/>
        </w:rPr>
        <w:t xml:space="preserve">Occupation labor rates based on </w:t>
      </w:r>
      <w:r w:rsidR="005610DA">
        <w:rPr>
          <w:rFonts w:ascii="Times New Roman" w:hAnsi="Times New Roman"/>
        </w:rPr>
        <w:t>2020</w:t>
      </w:r>
      <w:r w:rsidR="005610DA" w:rsidRPr="000D087B">
        <w:rPr>
          <w:rFonts w:ascii="Times New Roman" w:hAnsi="Times New Roman"/>
        </w:rPr>
        <w:t xml:space="preserve"> </w:t>
      </w:r>
      <w:r w:rsidR="00333170" w:rsidRPr="000D087B">
        <w:rPr>
          <w:rFonts w:ascii="Times New Roman" w:hAnsi="Times New Roman"/>
        </w:rPr>
        <w:t>Occupational and Employment Statistics Survey (OES) for "First-Line Supervisors of Office and Administrative Support Workers (43-1011)” in the Office and Administrative Support Occupations industry (https://www.bls.gov/oes/current/oes431011.htm).  The hourly mean wage for this occupation ($28.14) is adjusted to reflect the total costs of employee compensation based on the BLS Employer Costs for Employee Compensation Summary, which indicates that wages for civilian workers are 68.3 percent of total compensation (total wage = wage rate/wage % of total compensation).</w:t>
      </w:r>
      <w:r w:rsidR="00333170" w:rsidRPr="000D087B" w:rsidDel="00333170">
        <w:rPr>
          <w:rFonts w:ascii="Times New Roman" w:hAnsi="Times New Roman"/>
        </w:rPr>
        <w:t xml:space="preserve"> </w:t>
      </w:r>
    </w:p>
  </w:footnote>
  <w:footnote w:id="4">
    <w:p w14:paraId="16FB76E5" w14:textId="77777777" w:rsidR="00051580" w:rsidRPr="000D087B" w:rsidRDefault="00051580">
      <w:pPr>
        <w:pStyle w:val="FootnoteText"/>
        <w:rPr>
          <w:rFonts w:ascii="Times New Roman" w:hAnsi="Times New Roman"/>
        </w:rPr>
      </w:pPr>
      <w:r w:rsidRPr="000D087B">
        <w:rPr>
          <w:rStyle w:val="FootnoteReference"/>
          <w:rFonts w:ascii="Times New Roman" w:hAnsi="Times New Roman"/>
        </w:rPr>
        <w:footnoteRef/>
      </w:r>
      <w:r w:rsidRPr="000D087B">
        <w:rPr>
          <w:rFonts w:ascii="Times New Roman" w:hAnsi="Times New Roman"/>
        </w:rPr>
        <w:t xml:space="preserve"> </w:t>
      </w:r>
      <w:r w:rsidR="00333170">
        <w:rPr>
          <w:rFonts w:ascii="Times New Roman" w:hAnsi="Times New Roman"/>
        </w:rPr>
        <w:t>Ibid.</w:t>
      </w:r>
    </w:p>
  </w:footnote>
  <w:footnote w:id="5">
    <w:p w14:paraId="480CDE8C" w14:textId="77777777" w:rsidR="00B5538E" w:rsidRPr="00A54DA1" w:rsidRDefault="00B5538E">
      <w:pPr>
        <w:pStyle w:val="FootnoteText"/>
        <w:rPr>
          <w:rFonts w:ascii="Times New Roman" w:hAnsi="Times New Roman"/>
        </w:rPr>
      </w:pPr>
      <w:r w:rsidRPr="00A54DA1">
        <w:rPr>
          <w:rStyle w:val="FootnoteReference"/>
          <w:rFonts w:ascii="Times New Roman" w:hAnsi="Times New Roman"/>
        </w:rPr>
        <w:footnoteRef/>
      </w:r>
      <w:r w:rsidRPr="00A54DA1">
        <w:rPr>
          <w:rFonts w:ascii="Times New Roman" w:hAnsi="Times New Roman"/>
        </w:rPr>
        <w:t xml:space="preserve"> </w:t>
      </w:r>
      <w:r>
        <w:rPr>
          <w:rFonts w:ascii="Times New Roman" w:hAnsi="Times New Roman"/>
        </w:rPr>
        <w:t>Ibid.</w:t>
      </w:r>
    </w:p>
  </w:footnote>
  <w:footnote w:id="6">
    <w:p w14:paraId="30C272E8" w14:textId="77777777" w:rsidR="00C46C58" w:rsidRDefault="00C46C58" w:rsidP="00C46C58">
      <w:pPr>
        <w:pStyle w:val="FootnoteText"/>
      </w:pPr>
      <w:r w:rsidRPr="000D087B">
        <w:rPr>
          <w:rStyle w:val="FootnoteReference"/>
          <w:rFonts w:ascii="Times New Roman" w:hAnsi="Times New Roman"/>
        </w:rPr>
        <w:footnoteRef/>
      </w:r>
      <w:r w:rsidRPr="000D087B">
        <w:rPr>
          <w:rFonts w:ascii="Times New Roman" w:hAnsi="Times New Roman"/>
        </w:rPr>
        <w:t xml:space="preserve"> </w:t>
      </w:r>
      <w:r>
        <w:rPr>
          <w:rFonts w:ascii="Times New Roman" w:hAnsi="Times New Roman"/>
        </w:rPr>
        <w:t>Ibid.</w:t>
      </w:r>
    </w:p>
  </w:footnote>
  <w:footnote w:id="7">
    <w:p w14:paraId="2EBF0427" w14:textId="77777777" w:rsidR="00051580" w:rsidRPr="000D087B" w:rsidRDefault="00051580">
      <w:pPr>
        <w:pStyle w:val="FootnoteText"/>
        <w:rPr>
          <w:rFonts w:ascii="Times New Roman" w:hAnsi="Times New Roman"/>
        </w:rPr>
      </w:pPr>
      <w:r w:rsidRPr="000D087B">
        <w:rPr>
          <w:rStyle w:val="FootnoteReference"/>
          <w:rFonts w:ascii="Times New Roman" w:hAnsi="Times New Roman"/>
        </w:rPr>
        <w:footnoteRef/>
      </w:r>
      <w:r w:rsidRPr="000D087B">
        <w:rPr>
          <w:rFonts w:ascii="Times New Roman" w:hAnsi="Times New Roman"/>
        </w:rPr>
        <w:t xml:space="preserve"> </w:t>
      </w:r>
      <w:r w:rsidR="009102F2" w:rsidRPr="000D087B">
        <w:rPr>
          <w:rFonts w:ascii="Times New Roman" w:hAnsi="Times New Roman"/>
        </w:rPr>
        <w:t xml:space="preserve">Occupation labor rates based on </w:t>
      </w:r>
      <w:r w:rsidR="00B72458">
        <w:rPr>
          <w:rFonts w:ascii="Times New Roman" w:hAnsi="Times New Roman"/>
        </w:rPr>
        <w:t>2020</w:t>
      </w:r>
      <w:r w:rsidR="009102F2" w:rsidRPr="000D087B">
        <w:rPr>
          <w:rFonts w:ascii="Times New Roman" w:hAnsi="Times New Roman"/>
        </w:rPr>
        <w:t xml:space="preserve"> Occupational and Employment Statistics Survey (OES) for “Lawyers (23-1011)” in the Legal Operations industry (https://www.bls.gov/oes/current/oes231011.htm).  The hourly mean wage for this occupation ($68.22) is adjusted to reflect the total costs of employee compensation based on the BLS Employer Costs for Employee Compensation Summary, which indicates that wages for civilian workers are 68.3 percent of total compensation (total wage = wage rate/wage % of total compensation).</w:t>
      </w:r>
      <w:r w:rsidR="009102F2" w:rsidRPr="000D087B" w:rsidDel="009102F2">
        <w:rPr>
          <w:rFonts w:ascii="Times New Roman" w:hAnsi="Times New Roman"/>
        </w:rPr>
        <w:t xml:space="preserve"> </w:t>
      </w:r>
    </w:p>
  </w:footnote>
  <w:footnote w:id="8">
    <w:p w14:paraId="710F05C9" w14:textId="77777777" w:rsidR="00051580" w:rsidRDefault="00051580">
      <w:pPr>
        <w:pStyle w:val="FootnoteText"/>
      </w:pPr>
      <w:r w:rsidRPr="000D087B">
        <w:rPr>
          <w:rStyle w:val="FootnoteReference"/>
          <w:rFonts w:ascii="Times New Roman" w:hAnsi="Times New Roman"/>
        </w:rPr>
        <w:footnoteRef/>
      </w:r>
      <w:r w:rsidRPr="000D087B">
        <w:rPr>
          <w:rFonts w:ascii="Times New Roman" w:hAnsi="Times New Roman"/>
        </w:rPr>
        <w:t xml:space="preserve"> </w:t>
      </w:r>
      <w:r w:rsidR="009102F2" w:rsidRPr="000D087B">
        <w:rPr>
          <w:rFonts w:ascii="Times New Roman" w:hAnsi="Times New Roman"/>
        </w:rPr>
        <w:t>Ibid.</w:t>
      </w:r>
    </w:p>
  </w:footnote>
  <w:footnote w:id="9">
    <w:p w14:paraId="685DE402" w14:textId="77777777" w:rsidR="00C20346" w:rsidRPr="000D087B" w:rsidRDefault="00C20346">
      <w:pPr>
        <w:pStyle w:val="FootnoteText"/>
        <w:rPr>
          <w:rFonts w:ascii="Times New Roman" w:hAnsi="Times New Roman"/>
        </w:rPr>
      </w:pPr>
      <w:r w:rsidRPr="000D087B">
        <w:rPr>
          <w:rStyle w:val="FootnoteReference"/>
          <w:rFonts w:ascii="Times New Roman" w:hAnsi="Times New Roman"/>
        </w:rPr>
        <w:footnoteRef/>
      </w:r>
      <w:r w:rsidRPr="000D087B">
        <w:rPr>
          <w:rFonts w:ascii="Times New Roman" w:hAnsi="Times New Roman"/>
        </w:rPr>
        <w:t xml:space="preserve"> </w:t>
      </w:r>
      <w:r w:rsidR="00247E28">
        <w:rPr>
          <w:rFonts w:ascii="Times New Roman" w:hAnsi="Times New Roman"/>
        </w:rPr>
        <w:t>Ibid.</w:t>
      </w:r>
    </w:p>
  </w:footnote>
  <w:footnote w:id="10">
    <w:p w14:paraId="75010175" w14:textId="77777777" w:rsidR="00C20346" w:rsidRDefault="00C20346">
      <w:pPr>
        <w:pStyle w:val="FootnoteText"/>
      </w:pPr>
      <w:r w:rsidRPr="000D087B">
        <w:rPr>
          <w:rStyle w:val="FootnoteReference"/>
          <w:rFonts w:ascii="Times New Roman" w:hAnsi="Times New Roman"/>
        </w:rPr>
        <w:footnoteRef/>
      </w:r>
      <w:r w:rsidRPr="000D087B">
        <w:rPr>
          <w:rFonts w:ascii="Times New Roman" w:hAnsi="Times New Roman"/>
        </w:rPr>
        <w:t xml:space="preserve"> </w:t>
      </w:r>
      <w:r w:rsidR="00247E28">
        <w:rPr>
          <w:rFonts w:ascii="Times New Roman" w:hAnsi="Times New Roman"/>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289"/>
    <w:multiLevelType w:val="hybridMultilevel"/>
    <w:tmpl w:val="1CF64B70"/>
    <w:lvl w:ilvl="0" w:tplc="8A0214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962B56"/>
    <w:multiLevelType w:val="hybridMultilevel"/>
    <w:tmpl w:val="88CA429E"/>
    <w:lvl w:ilvl="0" w:tplc="8A021462">
      <w:start w:val="1"/>
      <w:numFmt w:val="bullet"/>
      <w:lvlText w:val=""/>
      <w:lvlJc w:val="left"/>
      <w:pPr>
        <w:tabs>
          <w:tab w:val="num" w:pos="720"/>
        </w:tabs>
        <w:ind w:left="720" w:hanging="360"/>
      </w:pPr>
      <w:rPr>
        <w:rFonts w:ascii="Wingdings" w:hAnsi="Wingdings" w:hint="default"/>
      </w:rPr>
    </w:lvl>
    <w:lvl w:ilvl="1" w:tplc="31C250D6">
      <w:numFmt w:val="bullet"/>
      <w:lvlText w:val="-"/>
      <w:lvlJc w:val="left"/>
      <w:pPr>
        <w:tabs>
          <w:tab w:val="num" w:pos="1440"/>
        </w:tabs>
        <w:ind w:left="1440" w:hanging="360"/>
      </w:pPr>
      <w:rPr>
        <w:rFonts w:ascii="Letter Gothic 12cpi" w:eastAsia="Times New Roman" w:hAnsi="Letter Gothic 12cpi"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1962F0"/>
    <w:multiLevelType w:val="hybridMultilevel"/>
    <w:tmpl w:val="4A9A4354"/>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3B0F5D"/>
    <w:multiLevelType w:val="hybridMultilevel"/>
    <w:tmpl w:val="48B6DE5E"/>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D9D1130"/>
    <w:multiLevelType w:val="hybridMultilevel"/>
    <w:tmpl w:val="399E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E1C0820"/>
    <w:multiLevelType w:val="hybridMultilevel"/>
    <w:tmpl w:val="BAF25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9"/>
  </w:num>
  <w:num w:numId="5">
    <w:abstractNumId w:val="8"/>
  </w:num>
  <w:num w:numId="6">
    <w:abstractNumId w:val="4"/>
  </w:num>
  <w:num w:numId="7">
    <w:abstractNumId w:val="6"/>
  </w:num>
  <w:num w:numId="8">
    <w:abstractNumId w:val="5"/>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0F5D"/>
    <w:rsid w:val="00000F80"/>
    <w:rsid w:val="000023B0"/>
    <w:rsid w:val="0000305C"/>
    <w:rsid w:val="000040BF"/>
    <w:rsid w:val="00006718"/>
    <w:rsid w:val="000131EC"/>
    <w:rsid w:val="000202CA"/>
    <w:rsid w:val="00031519"/>
    <w:rsid w:val="000319C0"/>
    <w:rsid w:val="000334CF"/>
    <w:rsid w:val="00035825"/>
    <w:rsid w:val="00035BCA"/>
    <w:rsid w:val="000376A8"/>
    <w:rsid w:val="00041014"/>
    <w:rsid w:val="00041060"/>
    <w:rsid w:val="0004749E"/>
    <w:rsid w:val="0005093C"/>
    <w:rsid w:val="00051580"/>
    <w:rsid w:val="00053712"/>
    <w:rsid w:val="00054EDD"/>
    <w:rsid w:val="00062755"/>
    <w:rsid w:val="00063FDD"/>
    <w:rsid w:val="0006506A"/>
    <w:rsid w:val="00070B72"/>
    <w:rsid w:val="000764DC"/>
    <w:rsid w:val="0008270D"/>
    <w:rsid w:val="00084FAD"/>
    <w:rsid w:val="00085A40"/>
    <w:rsid w:val="000924CE"/>
    <w:rsid w:val="000931B2"/>
    <w:rsid w:val="000957CF"/>
    <w:rsid w:val="000B4308"/>
    <w:rsid w:val="000B6D63"/>
    <w:rsid w:val="000B7899"/>
    <w:rsid w:val="000C336A"/>
    <w:rsid w:val="000D087B"/>
    <w:rsid w:val="000D244F"/>
    <w:rsid w:val="000D3F5B"/>
    <w:rsid w:val="000E44C2"/>
    <w:rsid w:val="000F03A0"/>
    <w:rsid w:val="000F2DFF"/>
    <w:rsid w:val="00103678"/>
    <w:rsid w:val="00103851"/>
    <w:rsid w:val="00105F8E"/>
    <w:rsid w:val="00106B94"/>
    <w:rsid w:val="00110972"/>
    <w:rsid w:val="00111B38"/>
    <w:rsid w:val="00114818"/>
    <w:rsid w:val="00116C1B"/>
    <w:rsid w:val="00117414"/>
    <w:rsid w:val="0012017D"/>
    <w:rsid w:val="00123D69"/>
    <w:rsid w:val="00131102"/>
    <w:rsid w:val="00137594"/>
    <w:rsid w:val="00142629"/>
    <w:rsid w:val="0014337C"/>
    <w:rsid w:val="0014413E"/>
    <w:rsid w:val="001445B8"/>
    <w:rsid w:val="0015694A"/>
    <w:rsid w:val="00163749"/>
    <w:rsid w:val="001662D0"/>
    <w:rsid w:val="00170D0F"/>
    <w:rsid w:val="00171544"/>
    <w:rsid w:val="00180110"/>
    <w:rsid w:val="00180776"/>
    <w:rsid w:val="00187F6F"/>
    <w:rsid w:val="00190099"/>
    <w:rsid w:val="0019341A"/>
    <w:rsid w:val="001945B8"/>
    <w:rsid w:val="001A10FF"/>
    <w:rsid w:val="001A1676"/>
    <w:rsid w:val="001B23DE"/>
    <w:rsid w:val="001B4E65"/>
    <w:rsid w:val="001B7C0A"/>
    <w:rsid w:val="001C67DC"/>
    <w:rsid w:val="001D1372"/>
    <w:rsid w:val="001D1953"/>
    <w:rsid w:val="001D37E0"/>
    <w:rsid w:val="001D6B90"/>
    <w:rsid w:val="001F0869"/>
    <w:rsid w:val="001F0B1C"/>
    <w:rsid w:val="001F4192"/>
    <w:rsid w:val="001F53F7"/>
    <w:rsid w:val="00207453"/>
    <w:rsid w:val="002075CD"/>
    <w:rsid w:val="00224946"/>
    <w:rsid w:val="002333DE"/>
    <w:rsid w:val="00233DEE"/>
    <w:rsid w:val="00234578"/>
    <w:rsid w:val="0024539E"/>
    <w:rsid w:val="00246171"/>
    <w:rsid w:val="00247E28"/>
    <w:rsid w:val="0025247F"/>
    <w:rsid w:val="00261119"/>
    <w:rsid w:val="00266AB8"/>
    <w:rsid w:val="00270839"/>
    <w:rsid w:val="00276DA7"/>
    <w:rsid w:val="00286B34"/>
    <w:rsid w:val="00290340"/>
    <w:rsid w:val="0029658B"/>
    <w:rsid w:val="002A2ECF"/>
    <w:rsid w:val="002A3F68"/>
    <w:rsid w:val="002C0386"/>
    <w:rsid w:val="002C6E09"/>
    <w:rsid w:val="002D2638"/>
    <w:rsid w:val="002F2A34"/>
    <w:rsid w:val="002F734D"/>
    <w:rsid w:val="00307DA4"/>
    <w:rsid w:val="0031004B"/>
    <w:rsid w:val="003105B2"/>
    <w:rsid w:val="00310896"/>
    <w:rsid w:val="00312C81"/>
    <w:rsid w:val="00331830"/>
    <w:rsid w:val="00333170"/>
    <w:rsid w:val="00334915"/>
    <w:rsid w:val="00372BAA"/>
    <w:rsid w:val="00372DA9"/>
    <w:rsid w:val="00381CE7"/>
    <w:rsid w:val="003827BF"/>
    <w:rsid w:val="0038743A"/>
    <w:rsid w:val="003A0627"/>
    <w:rsid w:val="003A5CFD"/>
    <w:rsid w:val="003B206A"/>
    <w:rsid w:val="003B3A84"/>
    <w:rsid w:val="003B76C9"/>
    <w:rsid w:val="003C12CF"/>
    <w:rsid w:val="003C52E8"/>
    <w:rsid w:val="003C6FF7"/>
    <w:rsid w:val="003D0245"/>
    <w:rsid w:val="003D4441"/>
    <w:rsid w:val="003D4CB6"/>
    <w:rsid w:val="003E3367"/>
    <w:rsid w:val="003E495A"/>
    <w:rsid w:val="003E7F1A"/>
    <w:rsid w:val="00404196"/>
    <w:rsid w:val="00407B24"/>
    <w:rsid w:val="00422A41"/>
    <w:rsid w:val="00425084"/>
    <w:rsid w:val="004261AD"/>
    <w:rsid w:val="00427D3C"/>
    <w:rsid w:val="00430351"/>
    <w:rsid w:val="00440064"/>
    <w:rsid w:val="00440BBF"/>
    <w:rsid w:val="00443A11"/>
    <w:rsid w:val="00452377"/>
    <w:rsid w:val="004544ED"/>
    <w:rsid w:val="004574A0"/>
    <w:rsid w:val="00457B49"/>
    <w:rsid w:val="00464CB4"/>
    <w:rsid w:val="00470720"/>
    <w:rsid w:val="004711B6"/>
    <w:rsid w:val="004721A0"/>
    <w:rsid w:val="00472EC5"/>
    <w:rsid w:val="00492A25"/>
    <w:rsid w:val="004974B7"/>
    <w:rsid w:val="004A05C6"/>
    <w:rsid w:val="004A25E1"/>
    <w:rsid w:val="004A37A7"/>
    <w:rsid w:val="004A3D9E"/>
    <w:rsid w:val="004D350C"/>
    <w:rsid w:val="004D5093"/>
    <w:rsid w:val="004D6AD7"/>
    <w:rsid w:val="004E3016"/>
    <w:rsid w:val="004E3437"/>
    <w:rsid w:val="004F040B"/>
    <w:rsid w:val="00502146"/>
    <w:rsid w:val="00506F75"/>
    <w:rsid w:val="005306AC"/>
    <w:rsid w:val="005379A3"/>
    <w:rsid w:val="0054228E"/>
    <w:rsid w:val="00546124"/>
    <w:rsid w:val="00555B5C"/>
    <w:rsid w:val="005610DA"/>
    <w:rsid w:val="00572D67"/>
    <w:rsid w:val="00582815"/>
    <w:rsid w:val="00587BDA"/>
    <w:rsid w:val="0059392B"/>
    <w:rsid w:val="005A19B6"/>
    <w:rsid w:val="005A37BB"/>
    <w:rsid w:val="005B32FC"/>
    <w:rsid w:val="005B54E5"/>
    <w:rsid w:val="005B5DA8"/>
    <w:rsid w:val="005C761E"/>
    <w:rsid w:val="005D0FD3"/>
    <w:rsid w:val="005D106D"/>
    <w:rsid w:val="005D3103"/>
    <w:rsid w:val="005E26FC"/>
    <w:rsid w:val="005E3DE3"/>
    <w:rsid w:val="005E5D20"/>
    <w:rsid w:val="005E6EE8"/>
    <w:rsid w:val="005F0CF7"/>
    <w:rsid w:val="005F1162"/>
    <w:rsid w:val="005F687F"/>
    <w:rsid w:val="00601F1C"/>
    <w:rsid w:val="0060717F"/>
    <w:rsid w:val="0061035C"/>
    <w:rsid w:val="006159F5"/>
    <w:rsid w:val="00626052"/>
    <w:rsid w:val="00626379"/>
    <w:rsid w:val="0064264D"/>
    <w:rsid w:val="006449B0"/>
    <w:rsid w:val="00650916"/>
    <w:rsid w:val="006545E9"/>
    <w:rsid w:val="00656688"/>
    <w:rsid w:val="00656BAA"/>
    <w:rsid w:val="00667E99"/>
    <w:rsid w:val="00680171"/>
    <w:rsid w:val="00682667"/>
    <w:rsid w:val="00683FF7"/>
    <w:rsid w:val="00687B09"/>
    <w:rsid w:val="00691A84"/>
    <w:rsid w:val="006A364D"/>
    <w:rsid w:val="006B199A"/>
    <w:rsid w:val="006B25B4"/>
    <w:rsid w:val="006B41DF"/>
    <w:rsid w:val="006B7F1C"/>
    <w:rsid w:val="006C01BF"/>
    <w:rsid w:val="006C1205"/>
    <w:rsid w:val="006C1A3A"/>
    <w:rsid w:val="006C3100"/>
    <w:rsid w:val="006C54C4"/>
    <w:rsid w:val="006C714E"/>
    <w:rsid w:val="006D01D9"/>
    <w:rsid w:val="006D2C16"/>
    <w:rsid w:val="006E0380"/>
    <w:rsid w:val="006E2136"/>
    <w:rsid w:val="006F4D09"/>
    <w:rsid w:val="007034C7"/>
    <w:rsid w:val="00703EB6"/>
    <w:rsid w:val="007063B1"/>
    <w:rsid w:val="0070756A"/>
    <w:rsid w:val="00712DC3"/>
    <w:rsid w:val="0071753B"/>
    <w:rsid w:val="00717C04"/>
    <w:rsid w:val="007320D5"/>
    <w:rsid w:val="00732B7D"/>
    <w:rsid w:val="00734A39"/>
    <w:rsid w:val="007369BE"/>
    <w:rsid w:val="00743B03"/>
    <w:rsid w:val="0074681A"/>
    <w:rsid w:val="00750340"/>
    <w:rsid w:val="00750AD5"/>
    <w:rsid w:val="00752E07"/>
    <w:rsid w:val="00753EE7"/>
    <w:rsid w:val="00762C74"/>
    <w:rsid w:val="007632BB"/>
    <w:rsid w:val="007665C1"/>
    <w:rsid w:val="00777D9D"/>
    <w:rsid w:val="00782B4C"/>
    <w:rsid w:val="00790DE3"/>
    <w:rsid w:val="007A1799"/>
    <w:rsid w:val="007A2190"/>
    <w:rsid w:val="007A7452"/>
    <w:rsid w:val="007B025C"/>
    <w:rsid w:val="007B25A5"/>
    <w:rsid w:val="007C7275"/>
    <w:rsid w:val="007C7B57"/>
    <w:rsid w:val="007D4998"/>
    <w:rsid w:val="007E056F"/>
    <w:rsid w:val="007F5550"/>
    <w:rsid w:val="007F5FAC"/>
    <w:rsid w:val="007F62C1"/>
    <w:rsid w:val="00805B2F"/>
    <w:rsid w:val="00812730"/>
    <w:rsid w:val="0081346D"/>
    <w:rsid w:val="00815D99"/>
    <w:rsid w:val="00815FD1"/>
    <w:rsid w:val="00816E82"/>
    <w:rsid w:val="00820491"/>
    <w:rsid w:val="00820C1E"/>
    <w:rsid w:val="00821AB4"/>
    <w:rsid w:val="00821E1C"/>
    <w:rsid w:val="00826119"/>
    <w:rsid w:val="0082747B"/>
    <w:rsid w:val="00830386"/>
    <w:rsid w:val="008309B8"/>
    <w:rsid w:val="00830F5D"/>
    <w:rsid w:val="00843CFE"/>
    <w:rsid w:val="00847249"/>
    <w:rsid w:val="00850F17"/>
    <w:rsid w:val="008516D0"/>
    <w:rsid w:val="00851EF8"/>
    <w:rsid w:val="00857059"/>
    <w:rsid w:val="008630BF"/>
    <w:rsid w:val="0086528D"/>
    <w:rsid w:val="00866D34"/>
    <w:rsid w:val="008678A0"/>
    <w:rsid w:val="008712D1"/>
    <w:rsid w:val="0087504F"/>
    <w:rsid w:val="0088076F"/>
    <w:rsid w:val="008817D6"/>
    <w:rsid w:val="008A2E9D"/>
    <w:rsid w:val="008A3EF9"/>
    <w:rsid w:val="008A64C4"/>
    <w:rsid w:val="008B0FF2"/>
    <w:rsid w:val="008B61FA"/>
    <w:rsid w:val="008B6DEE"/>
    <w:rsid w:val="008C07AB"/>
    <w:rsid w:val="008C1222"/>
    <w:rsid w:val="008C1BC0"/>
    <w:rsid w:val="008C1FB8"/>
    <w:rsid w:val="008C4E26"/>
    <w:rsid w:val="008C61D5"/>
    <w:rsid w:val="008D30B9"/>
    <w:rsid w:val="008D34A3"/>
    <w:rsid w:val="008F2CDB"/>
    <w:rsid w:val="008F5892"/>
    <w:rsid w:val="008F5C42"/>
    <w:rsid w:val="00902DFA"/>
    <w:rsid w:val="0090307D"/>
    <w:rsid w:val="00903F9C"/>
    <w:rsid w:val="00906568"/>
    <w:rsid w:val="009102F2"/>
    <w:rsid w:val="00910912"/>
    <w:rsid w:val="00913C9D"/>
    <w:rsid w:val="0093148F"/>
    <w:rsid w:val="00937A8D"/>
    <w:rsid w:val="00953AF9"/>
    <w:rsid w:val="00961729"/>
    <w:rsid w:val="009636EC"/>
    <w:rsid w:val="00967B2E"/>
    <w:rsid w:val="009744EB"/>
    <w:rsid w:val="00974B91"/>
    <w:rsid w:val="00977048"/>
    <w:rsid w:val="009913D3"/>
    <w:rsid w:val="009A176E"/>
    <w:rsid w:val="009A18CA"/>
    <w:rsid w:val="009A1B45"/>
    <w:rsid w:val="009A725E"/>
    <w:rsid w:val="009B130E"/>
    <w:rsid w:val="009B2A7B"/>
    <w:rsid w:val="009B6995"/>
    <w:rsid w:val="009B6EBD"/>
    <w:rsid w:val="009C29D5"/>
    <w:rsid w:val="009C618A"/>
    <w:rsid w:val="009D0DC2"/>
    <w:rsid w:val="009D4F72"/>
    <w:rsid w:val="009D5951"/>
    <w:rsid w:val="009E4A50"/>
    <w:rsid w:val="009E792F"/>
    <w:rsid w:val="009F2E6F"/>
    <w:rsid w:val="00A0349D"/>
    <w:rsid w:val="00A0796A"/>
    <w:rsid w:val="00A15E75"/>
    <w:rsid w:val="00A229B4"/>
    <w:rsid w:val="00A23D9B"/>
    <w:rsid w:val="00A27DB8"/>
    <w:rsid w:val="00A31717"/>
    <w:rsid w:val="00A348EF"/>
    <w:rsid w:val="00A415A4"/>
    <w:rsid w:val="00A4352C"/>
    <w:rsid w:val="00A45FB6"/>
    <w:rsid w:val="00A52EC9"/>
    <w:rsid w:val="00A54DA1"/>
    <w:rsid w:val="00A71579"/>
    <w:rsid w:val="00A72E59"/>
    <w:rsid w:val="00A842DF"/>
    <w:rsid w:val="00A907CE"/>
    <w:rsid w:val="00A928C2"/>
    <w:rsid w:val="00A96D80"/>
    <w:rsid w:val="00AA044F"/>
    <w:rsid w:val="00AA605B"/>
    <w:rsid w:val="00AC7F26"/>
    <w:rsid w:val="00AD1FBA"/>
    <w:rsid w:val="00AD755D"/>
    <w:rsid w:val="00AD7F8E"/>
    <w:rsid w:val="00AE0447"/>
    <w:rsid w:val="00AE6907"/>
    <w:rsid w:val="00AF1FF8"/>
    <w:rsid w:val="00B04347"/>
    <w:rsid w:val="00B106FE"/>
    <w:rsid w:val="00B10FF3"/>
    <w:rsid w:val="00B16697"/>
    <w:rsid w:val="00B16B75"/>
    <w:rsid w:val="00B22478"/>
    <w:rsid w:val="00B249FF"/>
    <w:rsid w:val="00B2679A"/>
    <w:rsid w:val="00B3401A"/>
    <w:rsid w:val="00B37440"/>
    <w:rsid w:val="00B41DD8"/>
    <w:rsid w:val="00B45C58"/>
    <w:rsid w:val="00B50AC5"/>
    <w:rsid w:val="00B5538E"/>
    <w:rsid w:val="00B602E6"/>
    <w:rsid w:val="00B63991"/>
    <w:rsid w:val="00B67954"/>
    <w:rsid w:val="00B7040E"/>
    <w:rsid w:val="00B72458"/>
    <w:rsid w:val="00B77FE8"/>
    <w:rsid w:val="00B80911"/>
    <w:rsid w:val="00B86440"/>
    <w:rsid w:val="00B90159"/>
    <w:rsid w:val="00B91A51"/>
    <w:rsid w:val="00BA155C"/>
    <w:rsid w:val="00BA1D0C"/>
    <w:rsid w:val="00BA3C1A"/>
    <w:rsid w:val="00BC5641"/>
    <w:rsid w:val="00BE1C0C"/>
    <w:rsid w:val="00BE27D5"/>
    <w:rsid w:val="00BE57F7"/>
    <w:rsid w:val="00BF5456"/>
    <w:rsid w:val="00BF75B9"/>
    <w:rsid w:val="00BF7B2A"/>
    <w:rsid w:val="00C01D28"/>
    <w:rsid w:val="00C178CA"/>
    <w:rsid w:val="00C20346"/>
    <w:rsid w:val="00C24705"/>
    <w:rsid w:val="00C24E0F"/>
    <w:rsid w:val="00C2592C"/>
    <w:rsid w:val="00C350B3"/>
    <w:rsid w:val="00C426E6"/>
    <w:rsid w:val="00C46C58"/>
    <w:rsid w:val="00C52951"/>
    <w:rsid w:val="00C57192"/>
    <w:rsid w:val="00C631C1"/>
    <w:rsid w:val="00C711F2"/>
    <w:rsid w:val="00C736A0"/>
    <w:rsid w:val="00C7555B"/>
    <w:rsid w:val="00C83927"/>
    <w:rsid w:val="00C96943"/>
    <w:rsid w:val="00CA3013"/>
    <w:rsid w:val="00CA5624"/>
    <w:rsid w:val="00CA74B3"/>
    <w:rsid w:val="00CB014B"/>
    <w:rsid w:val="00CC4753"/>
    <w:rsid w:val="00CC6BBC"/>
    <w:rsid w:val="00CD1953"/>
    <w:rsid w:val="00CD1EB7"/>
    <w:rsid w:val="00CD5C13"/>
    <w:rsid w:val="00CD7543"/>
    <w:rsid w:val="00CE0D88"/>
    <w:rsid w:val="00CE1E93"/>
    <w:rsid w:val="00CE3B41"/>
    <w:rsid w:val="00CE4218"/>
    <w:rsid w:val="00CF1E89"/>
    <w:rsid w:val="00CF30CB"/>
    <w:rsid w:val="00CF3927"/>
    <w:rsid w:val="00CF4F79"/>
    <w:rsid w:val="00D11193"/>
    <w:rsid w:val="00D129AE"/>
    <w:rsid w:val="00D174AD"/>
    <w:rsid w:val="00D1780D"/>
    <w:rsid w:val="00D20C4B"/>
    <w:rsid w:val="00D22DD9"/>
    <w:rsid w:val="00D234BE"/>
    <w:rsid w:val="00D235C3"/>
    <w:rsid w:val="00D30606"/>
    <w:rsid w:val="00D310B7"/>
    <w:rsid w:val="00D37FAC"/>
    <w:rsid w:val="00D51D87"/>
    <w:rsid w:val="00D6151D"/>
    <w:rsid w:val="00D62318"/>
    <w:rsid w:val="00D65E27"/>
    <w:rsid w:val="00D738AF"/>
    <w:rsid w:val="00D76A91"/>
    <w:rsid w:val="00D80ECF"/>
    <w:rsid w:val="00D84522"/>
    <w:rsid w:val="00D9083A"/>
    <w:rsid w:val="00D93D24"/>
    <w:rsid w:val="00D96B62"/>
    <w:rsid w:val="00DA0A62"/>
    <w:rsid w:val="00DA13C9"/>
    <w:rsid w:val="00DA2F00"/>
    <w:rsid w:val="00DA7852"/>
    <w:rsid w:val="00DB247E"/>
    <w:rsid w:val="00DB4C54"/>
    <w:rsid w:val="00DB7D1D"/>
    <w:rsid w:val="00DC346F"/>
    <w:rsid w:val="00DC3E68"/>
    <w:rsid w:val="00DC55E0"/>
    <w:rsid w:val="00DC66E9"/>
    <w:rsid w:val="00DC6BC5"/>
    <w:rsid w:val="00DC70A6"/>
    <w:rsid w:val="00DD021F"/>
    <w:rsid w:val="00DD2D19"/>
    <w:rsid w:val="00DE6A35"/>
    <w:rsid w:val="00E00BA7"/>
    <w:rsid w:val="00E03AC6"/>
    <w:rsid w:val="00E04D6A"/>
    <w:rsid w:val="00E10E3C"/>
    <w:rsid w:val="00E12B2D"/>
    <w:rsid w:val="00E12EA0"/>
    <w:rsid w:val="00E2148B"/>
    <w:rsid w:val="00E2403F"/>
    <w:rsid w:val="00E2427C"/>
    <w:rsid w:val="00E43E63"/>
    <w:rsid w:val="00E50657"/>
    <w:rsid w:val="00E554A9"/>
    <w:rsid w:val="00E55762"/>
    <w:rsid w:val="00E56D9C"/>
    <w:rsid w:val="00E62F86"/>
    <w:rsid w:val="00E64C76"/>
    <w:rsid w:val="00E915F0"/>
    <w:rsid w:val="00E9282C"/>
    <w:rsid w:val="00EA74B2"/>
    <w:rsid w:val="00ED0AE3"/>
    <w:rsid w:val="00ED56CE"/>
    <w:rsid w:val="00ED7E1A"/>
    <w:rsid w:val="00EE25E8"/>
    <w:rsid w:val="00EE2A61"/>
    <w:rsid w:val="00EF0465"/>
    <w:rsid w:val="00EF175E"/>
    <w:rsid w:val="00EF4973"/>
    <w:rsid w:val="00EF5D3A"/>
    <w:rsid w:val="00EF6207"/>
    <w:rsid w:val="00EF682A"/>
    <w:rsid w:val="00F00DD0"/>
    <w:rsid w:val="00F01752"/>
    <w:rsid w:val="00F268B5"/>
    <w:rsid w:val="00F27C58"/>
    <w:rsid w:val="00F462B8"/>
    <w:rsid w:val="00F53FB7"/>
    <w:rsid w:val="00F62545"/>
    <w:rsid w:val="00F651BD"/>
    <w:rsid w:val="00F70A4A"/>
    <w:rsid w:val="00F71F06"/>
    <w:rsid w:val="00F73B7C"/>
    <w:rsid w:val="00F85A3D"/>
    <w:rsid w:val="00F867F1"/>
    <w:rsid w:val="00F8742E"/>
    <w:rsid w:val="00F92057"/>
    <w:rsid w:val="00F94B9F"/>
    <w:rsid w:val="00FA153C"/>
    <w:rsid w:val="00FA3CBC"/>
    <w:rsid w:val="00FC19C6"/>
    <w:rsid w:val="00FD0D52"/>
    <w:rsid w:val="00FD3906"/>
    <w:rsid w:val="00FF237F"/>
    <w:rsid w:val="00FF3B27"/>
    <w:rsid w:val="00FF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3E8FA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paragraph" w:styleId="BalloonText">
    <w:name w:val="Balloon Text"/>
    <w:basedOn w:val="Normal"/>
    <w:link w:val="BalloonTextChar"/>
    <w:rsid w:val="00DC55E0"/>
    <w:rPr>
      <w:rFonts w:ascii="Tahoma" w:hAnsi="Tahoma" w:cs="Tahoma"/>
      <w:sz w:val="16"/>
      <w:szCs w:val="16"/>
    </w:rPr>
  </w:style>
  <w:style w:type="character" w:customStyle="1" w:styleId="BalloonTextChar">
    <w:name w:val="Balloon Text Char"/>
    <w:link w:val="BalloonText"/>
    <w:rsid w:val="00DC55E0"/>
    <w:rPr>
      <w:rFonts w:ascii="Tahoma" w:hAnsi="Tahoma" w:cs="Tahoma"/>
      <w:sz w:val="16"/>
      <w:szCs w:val="16"/>
    </w:rPr>
  </w:style>
  <w:style w:type="paragraph" w:styleId="HTMLPreformatted">
    <w:name w:val="HTML Preformatted"/>
    <w:basedOn w:val="Normal"/>
    <w:link w:val="HTMLPreformattedChar"/>
    <w:rsid w:val="00750340"/>
    <w:rPr>
      <w:rFonts w:ascii="Courier New" w:hAnsi="Courier New" w:cs="Courier New"/>
    </w:rPr>
  </w:style>
  <w:style w:type="character" w:customStyle="1" w:styleId="HTMLPreformattedChar">
    <w:name w:val="HTML Preformatted Char"/>
    <w:link w:val="HTMLPreformatted"/>
    <w:rsid w:val="00750340"/>
    <w:rPr>
      <w:rFonts w:ascii="Courier New" w:hAnsi="Courier New" w:cs="Courier New"/>
    </w:rPr>
  </w:style>
  <w:style w:type="character" w:styleId="CommentReference">
    <w:name w:val="annotation reference"/>
    <w:uiPriority w:val="99"/>
    <w:rsid w:val="005F0CF7"/>
    <w:rPr>
      <w:sz w:val="16"/>
      <w:szCs w:val="16"/>
    </w:rPr>
  </w:style>
  <w:style w:type="paragraph" w:styleId="CommentText">
    <w:name w:val="annotation text"/>
    <w:basedOn w:val="Normal"/>
    <w:link w:val="CommentTextChar"/>
    <w:uiPriority w:val="99"/>
    <w:rsid w:val="005F0CF7"/>
  </w:style>
  <w:style w:type="character" w:customStyle="1" w:styleId="CommentTextChar">
    <w:name w:val="Comment Text Char"/>
    <w:link w:val="CommentText"/>
    <w:uiPriority w:val="99"/>
    <w:rsid w:val="005F0CF7"/>
    <w:rPr>
      <w:rFonts w:ascii="Letter Gothic 12cpi" w:hAnsi="Letter Gothic 12cpi"/>
    </w:rPr>
  </w:style>
  <w:style w:type="paragraph" w:styleId="CommentSubject">
    <w:name w:val="annotation subject"/>
    <w:basedOn w:val="CommentText"/>
    <w:next w:val="CommentText"/>
    <w:link w:val="CommentSubjectChar"/>
    <w:rsid w:val="005F0CF7"/>
    <w:rPr>
      <w:b/>
      <w:bCs/>
    </w:rPr>
  </w:style>
  <w:style w:type="character" w:customStyle="1" w:styleId="CommentSubjectChar">
    <w:name w:val="Comment Subject Char"/>
    <w:link w:val="CommentSubject"/>
    <w:rsid w:val="005F0CF7"/>
    <w:rPr>
      <w:rFonts w:ascii="Letter Gothic 12cpi" w:hAnsi="Letter Gothic 12cpi"/>
      <w:b/>
      <w:bCs/>
    </w:rPr>
  </w:style>
  <w:style w:type="paragraph" w:styleId="FootnoteText">
    <w:name w:val="footnote text"/>
    <w:basedOn w:val="Normal"/>
    <w:link w:val="FootnoteTextChar"/>
    <w:rsid w:val="005B54E5"/>
  </w:style>
  <w:style w:type="character" w:customStyle="1" w:styleId="FootnoteTextChar">
    <w:name w:val="Footnote Text Char"/>
    <w:link w:val="FootnoteText"/>
    <w:rsid w:val="005B54E5"/>
    <w:rPr>
      <w:rFonts w:ascii="Letter Gothic 12cpi" w:hAnsi="Letter Gothic 12cpi"/>
    </w:rPr>
  </w:style>
  <w:style w:type="character" w:styleId="FootnoteReference">
    <w:name w:val="footnote reference"/>
    <w:rsid w:val="005B54E5"/>
    <w:rPr>
      <w:vertAlign w:val="superscript"/>
    </w:rPr>
  </w:style>
  <w:style w:type="paragraph" w:styleId="ListParagraph">
    <w:name w:val="List Paragraph"/>
    <w:basedOn w:val="Normal"/>
    <w:uiPriority w:val="34"/>
    <w:qFormat/>
    <w:rsid w:val="001D1953"/>
    <w:pPr>
      <w:widowControl/>
      <w:autoSpaceDE/>
      <w:autoSpaceDN/>
      <w:adjustRightInd/>
      <w:spacing w:after="160" w:line="259" w:lineRule="auto"/>
      <w:ind w:left="720"/>
      <w:contextualSpacing/>
    </w:pPr>
    <w:rPr>
      <w:rFonts w:ascii="Calibri" w:eastAsia="Calibri" w:hAnsi="Calibri"/>
      <w:sz w:val="22"/>
      <w:szCs w:val="22"/>
    </w:rPr>
  </w:style>
  <w:style w:type="paragraph" w:styleId="EndnoteText">
    <w:name w:val="endnote text"/>
    <w:basedOn w:val="Normal"/>
    <w:link w:val="EndnoteTextChar"/>
    <w:rsid w:val="00051580"/>
  </w:style>
  <w:style w:type="character" w:customStyle="1" w:styleId="EndnoteTextChar">
    <w:name w:val="Endnote Text Char"/>
    <w:link w:val="EndnoteText"/>
    <w:rsid w:val="00051580"/>
    <w:rPr>
      <w:rFonts w:ascii="Letter Gothic 12cpi" w:hAnsi="Letter Gothic 12cpi"/>
    </w:rPr>
  </w:style>
  <w:style w:type="character" w:styleId="EndnoteReference">
    <w:name w:val="endnote reference"/>
    <w:rsid w:val="000515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7212">
      <w:bodyDiv w:val="1"/>
      <w:marLeft w:val="0"/>
      <w:marRight w:val="0"/>
      <w:marTop w:val="0"/>
      <w:marBottom w:val="0"/>
      <w:divBdr>
        <w:top w:val="none" w:sz="0" w:space="0" w:color="auto"/>
        <w:left w:val="none" w:sz="0" w:space="0" w:color="auto"/>
        <w:bottom w:val="none" w:sz="0" w:space="0" w:color="auto"/>
        <w:right w:val="none" w:sz="0" w:space="0" w:color="auto"/>
      </w:divBdr>
    </w:div>
    <w:div w:id="53163237">
      <w:bodyDiv w:val="1"/>
      <w:marLeft w:val="0"/>
      <w:marRight w:val="0"/>
      <w:marTop w:val="0"/>
      <w:marBottom w:val="0"/>
      <w:divBdr>
        <w:top w:val="none" w:sz="0" w:space="0" w:color="auto"/>
        <w:left w:val="none" w:sz="0" w:space="0" w:color="auto"/>
        <w:bottom w:val="none" w:sz="0" w:space="0" w:color="auto"/>
        <w:right w:val="none" w:sz="0" w:space="0" w:color="auto"/>
      </w:divBdr>
    </w:div>
    <w:div w:id="154348849">
      <w:bodyDiv w:val="1"/>
      <w:marLeft w:val="0"/>
      <w:marRight w:val="0"/>
      <w:marTop w:val="0"/>
      <w:marBottom w:val="0"/>
      <w:divBdr>
        <w:top w:val="none" w:sz="0" w:space="0" w:color="auto"/>
        <w:left w:val="none" w:sz="0" w:space="0" w:color="auto"/>
        <w:bottom w:val="none" w:sz="0" w:space="0" w:color="auto"/>
        <w:right w:val="none" w:sz="0" w:space="0" w:color="auto"/>
      </w:divBdr>
    </w:div>
    <w:div w:id="172769438">
      <w:bodyDiv w:val="1"/>
      <w:marLeft w:val="0"/>
      <w:marRight w:val="0"/>
      <w:marTop w:val="0"/>
      <w:marBottom w:val="0"/>
      <w:divBdr>
        <w:top w:val="none" w:sz="0" w:space="0" w:color="auto"/>
        <w:left w:val="none" w:sz="0" w:space="0" w:color="auto"/>
        <w:bottom w:val="none" w:sz="0" w:space="0" w:color="auto"/>
        <w:right w:val="none" w:sz="0" w:space="0" w:color="auto"/>
      </w:divBdr>
    </w:div>
    <w:div w:id="332414308">
      <w:bodyDiv w:val="1"/>
      <w:marLeft w:val="0"/>
      <w:marRight w:val="0"/>
      <w:marTop w:val="0"/>
      <w:marBottom w:val="0"/>
      <w:divBdr>
        <w:top w:val="none" w:sz="0" w:space="0" w:color="auto"/>
        <w:left w:val="none" w:sz="0" w:space="0" w:color="auto"/>
        <w:bottom w:val="none" w:sz="0" w:space="0" w:color="auto"/>
        <w:right w:val="none" w:sz="0" w:space="0" w:color="auto"/>
      </w:divBdr>
    </w:div>
    <w:div w:id="348530086">
      <w:bodyDiv w:val="1"/>
      <w:marLeft w:val="0"/>
      <w:marRight w:val="0"/>
      <w:marTop w:val="0"/>
      <w:marBottom w:val="0"/>
      <w:divBdr>
        <w:top w:val="none" w:sz="0" w:space="0" w:color="auto"/>
        <w:left w:val="none" w:sz="0" w:space="0" w:color="auto"/>
        <w:bottom w:val="none" w:sz="0" w:space="0" w:color="auto"/>
        <w:right w:val="none" w:sz="0" w:space="0" w:color="auto"/>
      </w:divBdr>
    </w:div>
    <w:div w:id="357657494">
      <w:bodyDiv w:val="1"/>
      <w:marLeft w:val="0"/>
      <w:marRight w:val="0"/>
      <w:marTop w:val="0"/>
      <w:marBottom w:val="0"/>
      <w:divBdr>
        <w:top w:val="none" w:sz="0" w:space="0" w:color="auto"/>
        <w:left w:val="none" w:sz="0" w:space="0" w:color="auto"/>
        <w:bottom w:val="none" w:sz="0" w:space="0" w:color="auto"/>
        <w:right w:val="none" w:sz="0" w:space="0" w:color="auto"/>
      </w:divBdr>
    </w:div>
    <w:div w:id="360127878">
      <w:bodyDiv w:val="1"/>
      <w:marLeft w:val="0"/>
      <w:marRight w:val="0"/>
      <w:marTop w:val="0"/>
      <w:marBottom w:val="0"/>
      <w:divBdr>
        <w:top w:val="none" w:sz="0" w:space="0" w:color="auto"/>
        <w:left w:val="none" w:sz="0" w:space="0" w:color="auto"/>
        <w:bottom w:val="none" w:sz="0" w:space="0" w:color="auto"/>
        <w:right w:val="none" w:sz="0" w:space="0" w:color="auto"/>
      </w:divBdr>
    </w:div>
    <w:div w:id="608439687">
      <w:bodyDiv w:val="1"/>
      <w:marLeft w:val="0"/>
      <w:marRight w:val="0"/>
      <w:marTop w:val="0"/>
      <w:marBottom w:val="0"/>
      <w:divBdr>
        <w:top w:val="none" w:sz="0" w:space="0" w:color="auto"/>
        <w:left w:val="none" w:sz="0" w:space="0" w:color="auto"/>
        <w:bottom w:val="none" w:sz="0" w:space="0" w:color="auto"/>
        <w:right w:val="none" w:sz="0" w:space="0" w:color="auto"/>
      </w:divBdr>
    </w:div>
    <w:div w:id="681399133">
      <w:bodyDiv w:val="1"/>
      <w:marLeft w:val="0"/>
      <w:marRight w:val="0"/>
      <w:marTop w:val="0"/>
      <w:marBottom w:val="0"/>
      <w:divBdr>
        <w:top w:val="none" w:sz="0" w:space="0" w:color="auto"/>
        <w:left w:val="none" w:sz="0" w:space="0" w:color="auto"/>
        <w:bottom w:val="none" w:sz="0" w:space="0" w:color="auto"/>
        <w:right w:val="none" w:sz="0" w:space="0" w:color="auto"/>
      </w:divBdr>
    </w:div>
    <w:div w:id="878008865">
      <w:bodyDiv w:val="1"/>
      <w:marLeft w:val="0"/>
      <w:marRight w:val="0"/>
      <w:marTop w:val="0"/>
      <w:marBottom w:val="0"/>
      <w:divBdr>
        <w:top w:val="none" w:sz="0" w:space="0" w:color="auto"/>
        <w:left w:val="none" w:sz="0" w:space="0" w:color="auto"/>
        <w:bottom w:val="none" w:sz="0" w:space="0" w:color="auto"/>
        <w:right w:val="none" w:sz="0" w:space="0" w:color="auto"/>
      </w:divBdr>
    </w:div>
    <w:div w:id="987055782">
      <w:bodyDiv w:val="1"/>
      <w:marLeft w:val="0"/>
      <w:marRight w:val="0"/>
      <w:marTop w:val="0"/>
      <w:marBottom w:val="0"/>
      <w:divBdr>
        <w:top w:val="none" w:sz="0" w:space="0" w:color="auto"/>
        <w:left w:val="none" w:sz="0" w:space="0" w:color="auto"/>
        <w:bottom w:val="none" w:sz="0" w:space="0" w:color="auto"/>
        <w:right w:val="none" w:sz="0" w:space="0" w:color="auto"/>
      </w:divBdr>
    </w:div>
    <w:div w:id="1021736364">
      <w:bodyDiv w:val="1"/>
      <w:marLeft w:val="0"/>
      <w:marRight w:val="0"/>
      <w:marTop w:val="0"/>
      <w:marBottom w:val="0"/>
      <w:divBdr>
        <w:top w:val="none" w:sz="0" w:space="0" w:color="auto"/>
        <w:left w:val="none" w:sz="0" w:space="0" w:color="auto"/>
        <w:bottom w:val="none" w:sz="0" w:space="0" w:color="auto"/>
        <w:right w:val="none" w:sz="0" w:space="0" w:color="auto"/>
      </w:divBdr>
    </w:div>
    <w:div w:id="1041200196">
      <w:bodyDiv w:val="1"/>
      <w:marLeft w:val="0"/>
      <w:marRight w:val="0"/>
      <w:marTop w:val="0"/>
      <w:marBottom w:val="0"/>
      <w:divBdr>
        <w:top w:val="none" w:sz="0" w:space="0" w:color="auto"/>
        <w:left w:val="none" w:sz="0" w:space="0" w:color="auto"/>
        <w:bottom w:val="none" w:sz="0" w:space="0" w:color="auto"/>
        <w:right w:val="none" w:sz="0" w:space="0" w:color="auto"/>
      </w:divBdr>
    </w:div>
    <w:div w:id="1133868506">
      <w:bodyDiv w:val="1"/>
      <w:marLeft w:val="0"/>
      <w:marRight w:val="0"/>
      <w:marTop w:val="0"/>
      <w:marBottom w:val="0"/>
      <w:divBdr>
        <w:top w:val="none" w:sz="0" w:space="0" w:color="auto"/>
        <w:left w:val="none" w:sz="0" w:space="0" w:color="auto"/>
        <w:bottom w:val="none" w:sz="0" w:space="0" w:color="auto"/>
        <w:right w:val="none" w:sz="0" w:space="0" w:color="auto"/>
      </w:divBdr>
    </w:div>
    <w:div w:id="1146891830">
      <w:bodyDiv w:val="1"/>
      <w:marLeft w:val="0"/>
      <w:marRight w:val="0"/>
      <w:marTop w:val="0"/>
      <w:marBottom w:val="0"/>
      <w:divBdr>
        <w:top w:val="none" w:sz="0" w:space="0" w:color="auto"/>
        <w:left w:val="none" w:sz="0" w:space="0" w:color="auto"/>
        <w:bottom w:val="none" w:sz="0" w:space="0" w:color="auto"/>
        <w:right w:val="none" w:sz="0" w:space="0" w:color="auto"/>
      </w:divBdr>
    </w:div>
    <w:div w:id="1204823890">
      <w:bodyDiv w:val="1"/>
      <w:marLeft w:val="0"/>
      <w:marRight w:val="0"/>
      <w:marTop w:val="0"/>
      <w:marBottom w:val="0"/>
      <w:divBdr>
        <w:top w:val="none" w:sz="0" w:space="0" w:color="auto"/>
        <w:left w:val="none" w:sz="0" w:space="0" w:color="auto"/>
        <w:bottom w:val="none" w:sz="0" w:space="0" w:color="auto"/>
        <w:right w:val="none" w:sz="0" w:space="0" w:color="auto"/>
      </w:divBdr>
    </w:div>
    <w:div w:id="1221745503">
      <w:bodyDiv w:val="1"/>
      <w:marLeft w:val="0"/>
      <w:marRight w:val="0"/>
      <w:marTop w:val="0"/>
      <w:marBottom w:val="0"/>
      <w:divBdr>
        <w:top w:val="none" w:sz="0" w:space="0" w:color="auto"/>
        <w:left w:val="none" w:sz="0" w:space="0" w:color="auto"/>
        <w:bottom w:val="none" w:sz="0" w:space="0" w:color="auto"/>
        <w:right w:val="none" w:sz="0" w:space="0" w:color="auto"/>
      </w:divBdr>
    </w:div>
    <w:div w:id="1233007484">
      <w:bodyDiv w:val="1"/>
      <w:marLeft w:val="0"/>
      <w:marRight w:val="0"/>
      <w:marTop w:val="0"/>
      <w:marBottom w:val="0"/>
      <w:divBdr>
        <w:top w:val="none" w:sz="0" w:space="0" w:color="auto"/>
        <w:left w:val="none" w:sz="0" w:space="0" w:color="auto"/>
        <w:bottom w:val="none" w:sz="0" w:space="0" w:color="auto"/>
        <w:right w:val="none" w:sz="0" w:space="0" w:color="auto"/>
      </w:divBdr>
    </w:div>
    <w:div w:id="1314330489">
      <w:bodyDiv w:val="1"/>
      <w:marLeft w:val="0"/>
      <w:marRight w:val="0"/>
      <w:marTop w:val="0"/>
      <w:marBottom w:val="0"/>
      <w:divBdr>
        <w:top w:val="none" w:sz="0" w:space="0" w:color="auto"/>
        <w:left w:val="none" w:sz="0" w:space="0" w:color="auto"/>
        <w:bottom w:val="none" w:sz="0" w:space="0" w:color="auto"/>
        <w:right w:val="none" w:sz="0" w:space="0" w:color="auto"/>
      </w:divBdr>
    </w:div>
    <w:div w:id="1386562035">
      <w:bodyDiv w:val="1"/>
      <w:marLeft w:val="0"/>
      <w:marRight w:val="0"/>
      <w:marTop w:val="0"/>
      <w:marBottom w:val="0"/>
      <w:divBdr>
        <w:top w:val="none" w:sz="0" w:space="0" w:color="auto"/>
        <w:left w:val="none" w:sz="0" w:space="0" w:color="auto"/>
        <w:bottom w:val="none" w:sz="0" w:space="0" w:color="auto"/>
        <w:right w:val="none" w:sz="0" w:space="0" w:color="auto"/>
      </w:divBdr>
    </w:div>
    <w:div w:id="1393192505">
      <w:bodyDiv w:val="1"/>
      <w:marLeft w:val="0"/>
      <w:marRight w:val="0"/>
      <w:marTop w:val="0"/>
      <w:marBottom w:val="0"/>
      <w:divBdr>
        <w:top w:val="none" w:sz="0" w:space="0" w:color="auto"/>
        <w:left w:val="none" w:sz="0" w:space="0" w:color="auto"/>
        <w:bottom w:val="none" w:sz="0" w:space="0" w:color="auto"/>
        <w:right w:val="none" w:sz="0" w:space="0" w:color="auto"/>
      </w:divBdr>
    </w:div>
    <w:div w:id="1395422214">
      <w:bodyDiv w:val="1"/>
      <w:marLeft w:val="0"/>
      <w:marRight w:val="0"/>
      <w:marTop w:val="0"/>
      <w:marBottom w:val="0"/>
      <w:divBdr>
        <w:top w:val="none" w:sz="0" w:space="0" w:color="auto"/>
        <w:left w:val="none" w:sz="0" w:space="0" w:color="auto"/>
        <w:bottom w:val="none" w:sz="0" w:space="0" w:color="auto"/>
        <w:right w:val="none" w:sz="0" w:space="0" w:color="auto"/>
      </w:divBdr>
    </w:div>
    <w:div w:id="1436822626">
      <w:bodyDiv w:val="1"/>
      <w:marLeft w:val="0"/>
      <w:marRight w:val="0"/>
      <w:marTop w:val="0"/>
      <w:marBottom w:val="0"/>
      <w:divBdr>
        <w:top w:val="none" w:sz="0" w:space="0" w:color="auto"/>
        <w:left w:val="none" w:sz="0" w:space="0" w:color="auto"/>
        <w:bottom w:val="none" w:sz="0" w:space="0" w:color="auto"/>
        <w:right w:val="none" w:sz="0" w:space="0" w:color="auto"/>
      </w:divBdr>
    </w:div>
    <w:div w:id="1707102210">
      <w:bodyDiv w:val="1"/>
      <w:marLeft w:val="0"/>
      <w:marRight w:val="0"/>
      <w:marTop w:val="0"/>
      <w:marBottom w:val="0"/>
      <w:divBdr>
        <w:top w:val="none" w:sz="0" w:space="0" w:color="auto"/>
        <w:left w:val="none" w:sz="0" w:space="0" w:color="auto"/>
        <w:bottom w:val="none" w:sz="0" w:space="0" w:color="auto"/>
        <w:right w:val="none" w:sz="0" w:space="0" w:color="auto"/>
      </w:divBdr>
    </w:div>
    <w:div w:id="194006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hmsa.dot.gov/approvals-and-permits/hazmat/special-permits-searc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16" ma:contentTypeDescription="Create a new document." ma:contentTypeScope="" ma:versionID="5f9698f9de303dd2c3ea1a59372e54df">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9803e47f73ae9f1eec2ccffd3f3149bf"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1C622-9C05-426F-A3B0-1EAF75DFE775}">
  <ds:schemaRefs>
    <ds:schemaRef ds:uri="http://purl.org/dc/terms/"/>
    <ds:schemaRef ds:uri="b3ce6949-99fe-4549-b75a-2322037c47c1"/>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63ed583d-7590-47b9-98bc-2af72f9646a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2FC8DEF-4747-47FF-855B-6ECF70C02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B49DD1-3076-4468-8612-9AAF0CDE20C8}">
  <ds:schemaRefs>
    <ds:schemaRef ds:uri="http://schemas.openxmlformats.org/officeDocument/2006/bibliography"/>
  </ds:schemaRefs>
</ds:datastoreItem>
</file>

<file path=customXml/itemProps4.xml><?xml version="1.0" encoding="utf-8"?>
<ds:datastoreItem xmlns:ds="http://schemas.openxmlformats.org/officeDocument/2006/customXml" ds:itemID="{16348C46-A205-4D78-B149-6DF69C51A5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3081</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20608</CharactersWithSpaces>
  <SharedDoc>false</SharedDoc>
  <HLinks>
    <vt:vector size="6" baseType="variant">
      <vt:variant>
        <vt:i4>5963785</vt:i4>
      </vt:variant>
      <vt:variant>
        <vt:i4>0</vt:i4>
      </vt:variant>
      <vt:variant>
        <vt:i4>0</vt:i4>
      </vt:variant>
      <vt:variant>
        <vt:i4>5</vt:i4>
      </vt:variant>
      <vt:variant>
        <vt:lpwstr>https://www.phmsa.dot.gov/approvals-and-permits/hazmat/special-permits-search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2021-07-28T16:21:00Z</dcterms:created>
  <dcterms:modified xsi:type="dcterms:W3CDTF">2021-08-12T13:15:00Z</dcterms:modified>
</cp:coreProperties>
</file>