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3307" w:rsidR="00025206" w:rsidP="00025206" w:rsidRDefault="00025206" w14:paraId="628D22F2" w14:textId="77777777">
      <w:pPr>
        <w:jc w:val="center"/>
        <w:rPr>
          <w:b/>
          <w:sz w:val="24"/>
          <w:szCs w:val="24"/>
        </w:rPr>
      </w:pPr>
      <w:r w:rsidRPr="004A3307">
        <w:rPr>
          <w:b/>
          <w:sz w:val="24"/>
          <w:szCs w:val="24"/>
        </w:rPr>
        <w:t>Supporting Statement for Paperwork Reduction Act Submissions</w:t>
      </w:r>
    </w:p>
    <w:p w:rsidRPr="004A3307" w:rsidR="00025206" w:rsidP="00025206" w:rsidRDefault="00025206" w14:paraId="5B828A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A3307">
        <w:rPr>
          <w:b/>
          <w:sz w:val="24"/>
          <w:szCs w:val="24"/>
        </w:rPr>
        <w:t>(Personal Identification Verification &amp; Pre-Security Form)</w:t>
      </w:r>
    </w:p>
    <w:p w:rsidRPr="004A3307" w:rsidR="00025206" w:rsidP="00E72862" w:rsidRDefault="00025206" w14:paraId="3A0A7853" w14:textId="347CEB87">
      <w:pPr>
        <w:jc w:val="center"/>
        <w:rPr>
          <w:b/>
          <w:sz w:val="24"/>
          <w:szCs w:val="24"/>
        </w:rPr>
      </w:pPr>
      <w:r w:rsidRPr="004A3307">
        <w:rPr>
          <w:b/>
          <w:sz w:val="24"/>
          <w:szCs w:val="24"/>
        </w:rPr>
        <w:t xml:space="preserve">(OMB# </w:t>
      </w:r>
      <w:r w:rsidRPr="004A3307" w:rsidR="008334F9">
        <w:rPr>
          <w:b/>
          <w:sz w:val="24"/>
          <w:szCs w:val="24"/>
        </w:rPr>
        <w:t>2501</w:t>
      </w:r>
      <w:r w:rsidRPr="004A3307">
        <w:rPr>
          <w:b/>
          <w:sz w:val="24"/>
          <w:szCs w:val="24"/>
        </w:rPr>
        <w:t>-</w:t>
      </w:r>
      <w:r w:rsidRPr="004A3307" w:rsidR="00D9313A">
        <w:rPr>
          <w:b/>
          <w:sz w:val="24"/>
          <w:szCs w:val="24"/>
        </w:rPr>
        <w:t>NEW</w:t>
      </w:r>
      <w:r w:rsidRPr="004A3307">
        <w:rPr>
          <w:b/>
          <w:sz w:val="24"/>
          <w:szCs w:val="24"/>
        </w:rPr>
        <w:t>)</w:t>
      </w:r>
    </w:p>
    <w:p w:rsidRPr="004A3307" w:rsidR="00025206" w:rsidP="00025206" w:rsidRDefault="00025206" w14:paraId="219815E8" w14:textId="2FFE01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Pr="004A3307" w:rsidR="00025206" w:rsidP="00025206" w:rsidRDefault="00025206" w14:paraId="60336BE9" w14:textId="77777777">
      <w:pPr>
        <w:overflowPunct/>
        <w:autoSpaceDE/>
        <w:autoSpaceDN/>
        <w:adjustRightInd/>
        <w:textAlignment w:val="auto"/>
        <w:rPr>
          <w:sz w:val="24"/>
          <w:szCs w:val="24"/>
        </w:rPr>
      </w:pPr>
      <w:bookmarkStart w:name="_Hlk67900149" w:id="0"/>
      <w:r w:rsidRPr="004A3307">
        <w:rPr>
          <w:sz w:val="24"/>
          <w:szCs w:val="24"/>
        </w:rPr>
        <w:t>Personal Identity Verification (PIV) &amp; Pre-Security Form</w:t>
      </w:r>
    </w:p>
    <w:p w:rsidRPr="004A3307" w:rsidR="00025206" w:rsidP="00025206" w:rsidRDefault="00025206" w14:paraId="2FBFB132" w14:textId="77777777">
      <w:pPr>
        <w:overflowPunct/>
        <w:autoSpaceDE/>
        <w:autoSpaceDN/>
        <w:adjustRightInd/>
        <w:textAlignment w:val="auto"/>
        <w:rPr>
          <w:sz w:val="24"/>
          <w:szCs w:val="24"/>
        </w:rPr>
      </w:pPr>
      <w:bookmarkStart w:name="_Hlk67900122" w:id="1"/>
      <w:bookmarkEnd w:id="0"/>
    </w:p>
    <w:p w:rsidRPr="004A3307" w:rsidR="00025206" w:rsidP="00025206" w:rsidRDefault="00025206" w14:paraId="67FDA60D" w14:textId="103E7ADF">
      <w:pPr>
        <w:overflowPunct/>
        <w:autoSpaceDE/>
        <w:autoSpaceDN/>
        <w:adjustRightInd/>
        <w:textAlignment w:val="auto"/>
        <w:rPr>
          <w:sz w:val="24"/>
          <w:szCs w:val="24"/>
        </w:rPr>
      </w:pPr>
      <w:bookmarkStart w:name="_Hlk67899150" w:id="2"/>
      <w:r w:rsidRPr="004A3307">
        <w:rPr>
          <w:sz w:val="24"/>
          <w:szCs w:val="24"/>
        </w:rPr>
        <w:t>The purpose of this information collection request (ICR) is to obtain approval of the information that must be provided by applicants when applying for a Homeland Security Presidential Directive (HSPD</w:t>
      </w:r>
      <w:r w:rsidRPr="004A3307" w:rsidR="002A2F44">
        <w:rPr>
          <w:sz w:val="24"/>
          <w:szCs w:val="24"/>
        </w:rPr>
        <w:t>-</w:t>
      </w:r>
      <w:r w:rsidRPr="004A3307">
        <w:rPr>
          <w:sz w:val="24"/>
          <w:szCs w:val="24"/>
        </w:rPr>
        <w:t xml:space="preserve">12) Identification Credential (identification card).  This information collection is necessary to comply with the requirements outlined in Homeland Security Presidential Directive (HSPD-12), the Federal Information Processing Standard (FIPS) 201-2, the OMB Memorandum M-05-24 and the M-19-17; which asserts that all governmental agencies must implement a secure identity proofing, registration, and issuance </w:t>
      </w:r>
      <w:r w:rsidRPr="004A3307" w:rsidR="00850F7E">
        <w:rPr>
          <w:sz w:val="24"/>
          <w:szCs w:val="24"/>
        </w:rPr>
        <w:t xml:space="preserve">process for </w:t>
      </w:r>
      <w:r w:rsidRPr="004A3307">
        <w:rPr>
          <w:sz w:val="24"/>
          <w:szCs w:val="24"/>
        </w:rPr>
        <w:t>identity verificatio</w:t>
      </w:r>
      <w:r w:rsidRPr="004A3307" w:rsidR="00850F7E">
        <w:rPr>
          <w:sz w:val="24"/>
          <w:szCs w:val="24"/>
        </w:rPr>
        <w:t>n,</w:t>
      </w:r>
      <w:r w:rsidRPr="004A3307">
        <w:rPr>
          <w:sz w:val="24"/>
          <w:szCs w:val="24"/>
        </w:rPr>
        <w:t xml:space="preserve"> prior to granting federal and non-federal employee’s access to federally controlled facilities and/or information systems.</w:t>
      </w:r>
    </w:p>
    <w:bookmarkEnd w:id="1"/>
    <w:bookmarkEnd w:id="2"/>
    <w:p w:rsidRPr="004A3307" w:rsidR="00025206" w:rsidP="00025206" w:rsidRDefault="00025206" w14:paraId="3B52B87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Pr="004A3307" w:rsidR="00025206" w:rsidP="00025206" w:rsidRDefault="00025206" w14:paraId="4DAC25D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Pr="004A3307" w:rsidR="00025206" w:rsidP="00025206" w:rsidRDefault="00025206" w14:paraId="1FAC354D" w14:textId="6F7A9B7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4A3307">
        <w:rPr>
          <w:b/>
          <w:sz w:val="24"/>
          <w:szCs w:val="24"/>
        </w:rPr>
        <w:t xml:space="preserve">A. </w:t>
      </w:r>
      <w:r w:rsidRPr="004A3307">
        <w:rPr>
          <w:b/>
          <w:sz w:val="24"/>
          <w:szCs w:val="24"/>
        </w:rPr>
        <w:tab/>
        <w:t>Justification</w:t>
      </w:r>
    </w:p>
    <w:p w:rsidRPr="004A3307" w:rsidR="00025206" w:rsidP="00025206" w:rsidRDefault="00025206" w14:paraId="2C85A0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4A3307" w:rsidR="00C564C1" w:rsidP="008E2781" w:rsidRDefault="00025206" w14:paraId="756894D6" w14:textId="7660A32F">
      <w:pPr>
        <w:pStyle w:val="ListParagraph"/>
        <w:numPr>
          <w:ilvl w:val="0"/>
          <w:numId w:val="4"/>
        </w:numPr>
        <w:rPr>
          <w:rFonts w:ascii="Times New Roman" w:hAnsi="Times New Roman" w:cs="Times New Roman"/>
          <w:sz w:val="24"/>
          <w:szCs w:val="24"/>
        </w:rPr>
      </w:pPr>
      <w:r w:rsidRPr="004A3307">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4A3307">
        <w:rPr>
          <w:rFonts w:ascii="Times New Roman" w:hAnsi="Times New Roman" w:cs="Times New Roman"/>
          <w:i/>
          <w:iCs/>
          <w:sz w:val="24"/>
          <w:szCs w:val="24"/>
        </w:rPr>
        <w:t>.</w:t>
      </w:r>
      <w:r w:rsidRPr="004A3307" w:rsidR="00DF6629">
        <w:rPr>
          <w:rFonts w:ascii="Times New Roman" w:hAnsi="Times New Roman" w:cs="Times New Roman"/>
          <w:sz w:val="24"/>
          <w:szCs w:val="24"/>
        </w:rPr>
        <w:t xml:space="preserve"> </w:t>
      </w:r>
    </w:p>
    <w:p w:rsidRPr="004A3307" w:rsidR="00C564C1" w:rsidP="00F91D35" w:rsidRDefault="00C564C1" w14:paraId="22F8B5C7" w14:textId="77777777">
      <w:pPr>
        <w:ind w:left="360"/>
        <w:rPr>
          <w:sz w:val="24"/>
          <w:szCs w:val="24"/>
          <w:highlight w:val="yellow"/>
        </w:rPr>
      </w:pPr>
    </w:p>
    <w:p w:rsidR="004A3307" w:rsidP="004A3307" w:rsidRDefault="00025206" w14:paraId="5F3AC27F" w14:textId="77777777">
      <w:pPr>
        <w:keepLines/>
        <w:tabs>
          <w:tab w:val="left" w:pos="360"/>
          <w:tab w:val="left" w:pos="720"/>
        </w:tabs>
        <w:ind w:left="360"/>
        <w:rPr>
          <w:sz w:val="24"/>
          <w:szCs w:val="24"/>
        </w:rPr>
      </w:pPr>
      <w:r w:rsidRPr="004A3307">
        <w:rPr>
          <w:sz w:val="24"/>
          <w:szCs w:val="24"/>
        </w:rPr>
        <w:t>The requirements outlined in the Homeland Security Presidential Directive (HSPD-12), the Federal Information Processing Standard (FIPS) 201-2, the OMB Memorandum M-05-24 and M-19-17 assert that all governmental agencies must implement a secure identity proofing, registration, and issuance process. This process must ensure secure personal identity verification prior to granting federal and non-federal employee</w:t>
      </w:r>
      <w:r w:rsidRPr="004A3307" w:rsidR="00850F7E">
        <w:rPr>
          <w:sz w:val="24"/>
          <w:szCs w:val="24"/>
        </w:rPr>
        <w:t>’</w:t>
      </w:r>
      <w:r w:rsidRPr="004A3307">
        <w:rPr>
          <w:sz w:val="24"/>
          <w:szCs w:val="24"/>
        </w:rPr>
        <w:t>s access to federally controlled facilities and/or information systems. The approval of the information that must be provided by applicants when applying for a Homeland Security Presidential Directive (HSPD</w:t>
      </w:r>
      <w:r w:rsidRPr="004A3307" w:rsidR="002A2F44">
        <w:rPr>
          <w:sz w:val="24"/>
          <w:szCs w:val="24"/>
        </w:rPr>
        <w:t>-</w:t>
      </w:r>
      <w:r w:rsidRPr="004A3307">
        <w:rPr>
          <w:sz w:val="24"/>
          <w:szCs w:val="24"/>
        </w:rPr>
        <w:t xml:space="preserve">12) Identification Credential (identification card) would satisfy the requirements.  </w:t>
      </w:r>
      <w:bookmarkStart w:name="_Hlk69215990" w:id="3"/>
    </w:p>
    <w:p w:rsidR="004A3307" w:rsidP="004A3307" w:rsidRDefault="004A3307" w14:paraId="186376A5" w14:textId="77777777">
      <w:pPr>
        <w:keepLines/>
        <w:tabs>
          <w:tab w:val="left" w:pos="360"/>
          <w:tab w:val="left" w:pos="720"/>
        </w:tabs>
        <w:ind w:left="360"/>
        <w:rPr>
          <w:sz w:val="24"/>
          <w:szCs w:val="24"/>
        </w:rPr>
      </w:pPr>
    </w:p>
    <w:p w:rsidRPr="004A3307" w:rsidR="00025206" w:rsidP="004A3307" w:rsidRDefault="00025206" w14:paraId="46F743C5" w14:textId="2FF3B542">
      <w:pPr>
        <w:keepLines/>
        <w:tabs>
          <w:tab w:val="left" w:pos="360"/>
          <w:tab w:val="left" w:pos="720"/>
        </w:tabs>
        <w:ind w:left="360"/>
        <w:rPr>
          <w:sz w:val="24"/>
          <w:szCs w:val="24"/>
        </w:rPr>
      </w:pPr>
      <w:r w:rsidRPr="004A3307">
        <w:rPr>
          <w:sz w:val="24"/>
          <w:szCs w:val="24"/>
        </w:rPr>
        <w:t xml:space="preserve">The following </w:t>
      </w:r>
      <w:r w:rsidRPr="004A3307" w:rsidR="005A57C9">
        <w:rPr>
          <w:sz w:val="24"/>
          <w:szCs w:val="24"/>
        </w:rPr>
        <w:t>authorities</w:t>
      </w:r>
      <w:r w:rsidRPr="004A3307">
        <w:rPr>
          <w:sz w:val="24"/>
          <w:szCs w:val="24"/>
        </w:rPr>
        <w:t xml:space="preserve"> govern</w:t>
      </w:r>
      <w:r w:rsidRPr="004A3307" w:rsidR="005A57C9">
        <w:rPr>
          <w:sz w:val="24"/>
          <w:szCs w:val="24"/>
        </w:rPr>
        <w:t>s</w:t>
      </w:r>
      <w:r w:rsidRPr="004A3307">
        <w:rPr>
          <w:sz w:val="24"/>
          <w:szCs w:val="24"/>
        </w:rPr>
        <w:t xml:space="preserve"> the collection of Personally Identifiable Information (PII) data which is stored in the </w:t>
      </w:r>
      <w:proofErr w:type="spellStart"/>
      <w:r w:rsidRPr="004A3307">
        <w:rPr>
          <w:sz w:val="24"/>
          <w:szCs w:val="24"/>
        </w:rPr>
        <w:t>PerSIST</w:t>
      </w:r>
      <w:proofErr w:type="spellEnd"/>
      <w:r w:rsidRPr="004A3307">
        <w:rPr>
          <w:sz w:val="24"/>
          <w:szCs w:val="24"/>
        </w:rPr>
        <w:t xml:space="preserve"> system:</w:t>
      </w:r>
    </w:p>
    <w:p w:rsidR="004A3307" w:rsidP="00076D0C" w:rsidRDefault="004A3307" w14:paraId="5F5DA1EF" w14:textId="77777777">
      <w:pPr>
        <w:overflowPunct/>
        <w:jc w:val="both"/>
        <w:textAlignment w:val="auto"/>
        <w:rPr>
          <w:sz w:val="24"/>
          <w:szCs w:val="24"/>
        </w:rPr>
      </w:pPr>
    </w:p>
    <w:p w:rsidRPr="004A3307" w:rsidR="00C564C1" w:rsidP="004A3307" w:rsidRDefault="00C564C1" w14:paraId="78EE3483" w14:textId="1430EDAD">
      <w:pPr>
        <w:overflowPunct/>
        <w:ind w:left="360"/>
        <w:jc w:val="both"/>
        <w:textAlignment w:val="auto"/>
        <w:rPr>
          <w:sz w:val="24"/>
          <w:szCs w:val="24"/>
        </w:rPr>
      </w:pPr>
      <w:r w:rsidRPr="004A3307">
        <w:rPr>
          <w:sz w:val="24"/>
          <w:szCs w:val="24"/>
        </w:rPr>
        <w:t>The authority to collection this information is established under HSPD-12 and in accordance with the</w:t>
      </w:r>
      <w:r w:rsidR="004A3307">
        <w:rPr>
          <w:sz w:val="24"/>
          <w:szCs w:val="24"/>
        </w:rPr>
        <w:t xml:space="preserve"> </w:t>
      </w:r>
      <w:r w:rsidRPr="004A3307">
        <w:rPr>
          <w:sz w:val="24"/>
          <w:szCs w:val="24"/>
        </w:rPr>
        <w:t xml:space="preserve">Personnel Security and Suitability Policy, Handbook 755.1 (2019), Chapter 4.   </w:t>
      </w:r>
    </w:p>
    <w:p w:rsidRPr="004A3307" w:rsidR="00C564C1" w:rsidP="00076D0C" w:rsidRDefault="00C564C1" w14:paraId="040FF544" w14:textId="0CB5159B">
      <w:pPr>
        <w:overflowPunct/>
        <w:jc w:val="both"/>
        <w:textAlignment w:val="auto"/>
        <w:rPr>
          <w:sz w:val="24"/>
          <w:szCs w:val="24"/>
        </w:rPr>
      </w:pPr>
      <w:r w:rsidRPr="004A3307">
        <w:rPr>
          <w:sz w:val="24"/>
          <w:szCs w:val="24"/>
        </w:rPr>
        <w:t xml:space="preserve">      </w:t>
      </w:r>
      <w:hyperlink w:history="1" r:id="rId8">
        <w:r w:rsidRPr="00E0197D" w:rsidR="004A3307">
          <w:rPr>
            <w:rStyle w:val="Hyperlink"/>
            <w:sz w:val="24"/>
            <w:szCs w:val="24"/>
          </w:rPr>
          <w:t>http://hudatwork.hud.gov/HUD/chco/doc/PSS-52019</w:t>
        </w:r>
      </w:hyperlink>
    </w:p>
    <w:p w:rsidRPr="004A3307" w:rsidR="00C564C1" w:rsidP="00076D0C" w:rsidRDefault="00C564C1" w14:paraId="0FEABE64" w14:textId="77777777">
      <w:pPr>
        <w:overflowPunct/>
        <w:jc w:val="both"/>
        <w:textAlignment w:val="auto"/>
        <w:rPr>
          <w:sz w:val="24"/>
          <w:szCs w:val="24"/>
        </w:rPr>
      </w:pPr>
    </w:p>
    <w:bookmarkEnd w:id="3"/>
    <w:p w:rsidR="00025206" w:rsidP="00025206" w:rsidRDefault="00025206" w14:paraId="43BAA681" w14:textId="53C712C2">
      <w:pPr>
        <w:keepLines/>
        <w:tabs>
          <w:tab w:val="left" w:pos="360"/>
          <w:tab w:val="left" w:pos="720"/>
        </w:tabs>
        <w:ind w:left="360"/>
        <w:rPr>
          <w:sz w:val="24"/>
          <w:szCs w:val="24"/>
        </w:rPr>
      </w:pPr>
    </w:p>
    <w:p w:rsidR="004A3307" w:rsidP="00025206" w:rsidRDefault="004A3307" w14:paraId="17278FF2" w14:textId="63C9E6DE">
      <w:pPr>
        <w:keepLines/>
        <w:tabs>
          <w:tab w:val="left" w:pos="360"/>
          <w:tab w:val="left" w:pos="720"/>
        </w:tabs>
        <w:ind w:left="360"/>
        <w:rPr>
          <w:sz w:val="24"/>
          <w:szCs w:val="24"/>
        </w:rPr>
      </w:pPr>
    </w:p>
    <w:p w:rsidR="004A3307" w:rsidP="00025206" w:rsidRDefault="004A3307" w14:paraId="53AAB614" w14:textId="5717F887">
      <w:pPr>
        <w:keepLines/>
        <w:tabs>
          <w:tab w:val="left" w:pos="360"/>
          <w:tab w:val="left" w:pos="720"/>
        </w:tabs>
        <w:ind w:left="360"/>
        <w:rPr>
          <w:sz w:val="24"/>
          <w:szCs w:val="24"/>
        </w:rPr>
      </w:pPr>
    </w:p>
    <w:p w:rsidRPr="004A3307" w:rsidR="004A3307" w:rsidP="00025206" w:rsidRDefault="004A3307" w14:paraId="4DA63606" w14:textId="77777777">
      <w:pPr>
        <w:keepLines/>
        <w:tabs>
          <w:tab w:val="left" w:pos="360"/>
          <w:tab w:val="left" w:pos="720"/>
        </w:tabs>
        <w:ind w:left="360"/>
        <w:rPr>
          <w:sz w:val="24"/>
          <w:szCs w:val="24"/>
        </w:rPr>
      </w:pPr>
    </w:p>
    <w:p w:rsidRPr="004A3307" w:rsidR="00025206" w:rsidP="00025206" w:rsidRDefault="00025206" w14:paraId="6A927655" w14:textId="77777777">
      <w:pPr>
        <w:keepLines/>
        <w:tabs>
          <w:tab w:val="left" w:pos="360"/>
        </w:tabs>
        <w:spacing w:after="80"/>
        <w:ind w:left="360" w:hanging="360"/>
        <w:rPr>
          <w:b/>
          <w:bCs/>
          <w:sz w:val="24"/>
          <w:szCs w:val="24"/>
        </w:rPr>
      </w:pPr>
      <w:r w:rsidRPr="004A3307">
        <w:rPr>
          <w:sz w:val="24"/>
          <w:szCs w:val="24"/>
        </w:rPr>
        <w:lastRenderedPageBreak/>
        <w:t>2.</w:t>
      </w:r>
      <w:r w:rsidRPr="004A3307">
        <w:rPr>
          <w:sz w:val="24"/>
          <w:szCs w:val="24"/>
        </w:rPr>
        <w:tab/>
      </w:r>
      <w:r w:rsidRPr="004A3307">
        <w:rPr>
          <w:b/>
          <w:bCs/>
          <w:sz w:val="24"/>
          <w:szCs w:val="24"/>
        </w:rPr>
        <w:t>Indicate how, by whom and for what purpose the information is to be used.  Except for a new collection, indicate the actual use the agency has made of the information received from the current collection.</w:t>
      </w:r>
    </w:p>
    <w:p w:rsidR="004A3307" w:rsidP="006D3E32" w:rsidRDefault="00636582" w14:paraId="0658E42B" w14:textId="77777777">
      <w:pPr>
        <w:rPr>
          <w:sz w:val="24"/>
          <w:szCs w:val="24"/>
        </w:rPr>
      </w:pPr>
      <w:r w:rsidRPr="004A3307">
        <w:rPr>
          <w:sz w:val="24"/>
          <w:szCs w:val="24"/>
          <w:highlight w:val="yellow"/>
        </w:rPr>
        <w:t xml:space="preserve">  </w:t>
      </w:r>
    </w:p>
    <w:p w:rsidR="00025206" w:rsidP="004A3307" w:rsidRDefault="00636582" w14:paraId="0FD2820F" w14:textId="0EA0FA70">
      <w:pPr>
        <w:ind w:left="360"/>
        <w:rPr>
          <w:sz w:val="24"/>
          <w:szCs w:val="24"/>
        </w:rPr>
      </w:pPr>
      <w:r w:rsidRPr="004A3307">
        <w:rPr>
          <w:sz w:val="24"/>
          <w:szCs w:val="24"/>
        </w:rPr>
        <w:t xml:space="preserve">The information on the </w:t>
      </w:r>
      <w:r w:rsidRPr="004A3307" w:rsidR="00571AFC">
        <w:rPr>
          <w:sz w:val="24"/>
          <w:szCs w:val="24"/>
        </w:rPr>
        <w:t>P</w:t>
      </w:r>
      <w:r w:rsidRPr="004A3307" w:rsidR="005F290E">
        <w:rPr>
          <w:sz w:val="24"/>
          <w:szCs w:val="24"/>
        </w:rPr>
        <w:t xml:space="preserve">IV &amp; Pre-Security </w:t>
      </w:r>
      <w:r w:rsidRPr="004A3307">
        <w:rPr>
          <w:sz w:val="24"/>
          <w:szCs w:val="24"/>
        </w:rPr>
        <w:t>form is used to start the record creation process in PERSIST and the enrollment process for the issuance of a PIV Credential as required by HSPD-12.</w:t>
      </w:r>
      <w:r w:rsidR="004A3307">
        <w:rPr>
          <w:sz w:val="24"/>
          <w:szCs w:val="24"/>
        </w:rPr>
        <w:t xml:space="preserve">  </w:t>
      </w:r>
      <w:r w:rsidRPr="004A3307" w:rsidR="00025206">
        <w:rPr>
          <w:sz w:val="24"/>
          <w:szCs w:val="24"/>
        </w:rPr>
        <w:t>Current collections in the system are used to document and support decisions regarding the suitability, eligibility, and fitness for service of applicants for federal employment and contract positions to include students, interns, or volunteers to the extent that their duties require access to federal facilities, information, systems, or applications. Additionally, records may be used to document security violations, and supervisory actions taken.</w:t>
      </w:r>
    </w:p>
    <w:p w:rsidRPr="004A3307" w:rsidR="004A3307" w:rsidP="004A3307" w:rsidRDefault="004A3307" w14:paraId="50B44CD0" w14:textId="77777777">
      <w:pPr>
        <w:ind w:left="360"/>
        <w:rPr>
          <w:sz w:val="24"/>
          <w:szCs w:val="24"/>
        </w:rPr>
      </w:pPr>
    </w:p>
    <w:p w:rsidRPr="004A3307" w:rsidR="0037125D" w:rsidP="0037125D" w:rsidRDefault="00025206" w14:paraId="7A76E32D" w14:textId="77777777">
      <w:pPr>
        <w:keepLines/>
        <w:tabs>
          <w:tab w:val="left" w:pos="360"/>
          <w:tab w:val="left" w:pos="720"/>
        </w:tabs>
        <w:ind w:left="360"/>
        <w:rPr>
          <w:sz w:val="24"/>
          <w:szCs w:val="24"/>
        </w:rPr>
      </w:pPr>
      <w:r w:rsidRPr="004A3307">
        <w:rPr>
          <w:sz w:val="24"/>
          <w:szCs w:val="24"/>
        </w:rPr>
        <w:t>As the PSF system was outdated and did not have the capability of reducing errors within the reporting process</w:t>
      </w:r>
      <w:r w:rsidRPr="004A3307" w:rsidR="0037125D">
        <w:rPr>
          <w:sz w:val="24"/>
          <w:szCs w:val="24"/>
        </w:rPr>
        <w:t xml:space="preserve">, </w:t>
      </w:r>
      <w:proofErr w:type="spellStart"/>
      <w:r w:rsidRPr="004A3307">
        <w:rPr>
          <w:sz w:val="24"/>
          <w:szCs w:val="24"/>
        </w:rPr>
        <w:t>PerSIST</w:t>
      </w:r>
      <w:proofErr w:type="spellEnd"/>
      <w:r w:rsidRPr="004A3307">
        <w:rPr>
          <w:sz w:val="24"/>
          <w:szCs w:val="24"/>
        </w:rPr>
        <w:t xml:space="preserve"> allows HUD th</w:t>
      </w:r>
      <w:r w:rsidRPr="004A3307" w:rsidR="0037125D">
        <w:rPr>
          <w:sz w:val="24"/>
          <w:szCs w:val="24"/>
        </w:rPr>
        <w:t>is</w:t>
      </w:r>
      <w:r w:rsidRPr="004A3307">
        <w:rPr>
          <w:sz w:val="24"/>
          <w:szCs w:val="24"/>
        </w:rPr>
        <w:t xml:space="preserve"> ability</w:t>
      </w:r>
      <w:r w:rsidRPr="004A3307" w:rsidR="0037125D">
        <w:rPr>
          <w:sz w:val="24"/>
          <w:szCs w:val="24"/>
        </w:rPr>
        <w:t xml:space="preserve">; </w:t>
      </w:r>
      <w:r w:rsidRPr="004A3307">
        <w:rPr>
          <w:sz w:val="24"/>
          <w:szCs w:val="24"/>
        </w:rPr>
        <w:t>to capture data related to all aspects of pre-appointments, suitability determinations, and security clearance processing, and help facilitate the capabilities needed to support multi-user access, workflow definition, workflow tracking, and the ability to interface with interagency systems such as the Office of Personnel Management Electronic Questionnaires for Investigations Processing (e-QIP) and Personnel Investigations Processing System (PIPS).</w:t>
      </w:r>
      <w:r w:rsidRPr="004A3307" w:rsidR="0037125D">
        <w:rPr>
          <w:sz w:val="24"/>
          <w:szCs w:val="24"/>
        </w:rPr>
        <w:t xml:space="preserve"> </w:t>
      </w:r>
    </w:p>
    <w:p w:rsidRPr="004A3307" w:rsidR="0037125D" w:rsidP="0037125D" w:rsidRDefault="0037125D" w14:paraId="25DFD51F" w14:textId="77777777">
      <w:pPr>
        <w:keepLines/>
        <w:tabs>
          <w:tab w:val="left" w:pos="360"/>
          <w:tab w:val="left" w:pos="720"/>
        </w:tabs>
        <w:ind w:left="360"/>
        <w:rPr>
          <w:sz w:val="24"/>
          <w:szCs w:val="24"/>
        </w:rPr>
      </w:pPr>
    </w:p>
    <w:p w:rsidRPr="004A3307" w:rsidR="00767A7D" w:rsidP="00767A7D" w:rsidRDefault="0037125D" w14:paraId="75E1B860" w14:textId="37874FA7">
      <w:pPr>
        <w:keepLines/>
        <w:tabs>
          <w:tab w:val="left" w:pos="360"/>
          <w:tab w:val="left" w:pos="720"/>
        </w:tabs>
        <w:ind w:left="360"/>
        <w:rPr>
          <w:sz w:val="24"/>
          <w:szCs w:val="24"/>
        </w:rPr>
      </w:pPr>
      <w:r w:rsidRPr="004A3307">
        <w:rPr>
          <w:sz w:val="24"/>
          <w:szCs w:val="24"/>
        </w:rPr>
        <w:t xml:space="preserve">When </w:t>
      </w:r>
      <w:r w:rsidRPr="004A3307" w:rsidR="00737245">
        <w:rPr>
          <w:sz w:val="24"/>
          <w:szCs w:val="24"/>
        </w:rPr>
        <w:t>an a</w:t>
      </w:r>
      <w:r w:rsidRPr="004A3307">
        <w:rPr>
          <w:sz w:val="24"/>
          <w:szCs w:val="24"/>
        </w:rPr>
        <w:t>pplicant complete</w:t>
      </w:r>
      <w:r w:rsidRPr="004A3307" w:rsidR="000A72DF">
        <w:rPr>
          <w:sz w:val="24"/>
          <w:szCs w:val="24"/>
        </w:rPr>
        <w:t>s</w:t>
      </w:r>
      <w:r w:rsidRPr="004A3307">
        <w:rPr>
          <w:sz w:val="24"/>
          <w:szCs w:val="24"/>
        </w:rPr>
        <w:t xml:space="preserve"> </w:t>
      </w:r>
      <w:r w:rsidRPr="004A3307" w:rsidR="00737245">
        <w:rPr>
          <w:sz w:val="24"/>
          <w:szCs w:val="24"/>
        </w:rPr>
        <w:t xml:space="preserve">all </w:t>
      </w:r>
      <w:r w:rsidRPr="004A3307">
        <w:rPr>
          <w:sz w:val="24"/>
          <w:szCs w:val="24"/>
        </w:rPr>
        <w:t>automated background investigati</w:t>
      </w:r>
      <w:r w:rsidRPr="004A3307" w:rsidR="00737245">
        <w:rPr>
          <w:sz w:val="24"/>
          <w:szCs w:val="24"/>
        </w:rPr>
        <w:t>ve</w:t>
      </w:r>
      <w:r w:rsidRPr="004A3307">
        <w:rPr>
          <w:sz w:val="24"/>
          <w:szCs w:val="24"/>
        </w:rPr>
        <w:t xml:space="preserve"> form</w:t>
      </w:r>
      <w:r w:rsidRPr="004A3307" w:rsidR="00737245">
        <w:rPr>
          <w:sz w:val="24"/>
          <w:szCs w:val="24"/>
        </w:rPr>
        <w:t xml:space="preserve">s, </w:t>
      </w:r>
      <w:r w:rsidRPr="004A3307">
        <w:rPr>
          <w:sz w:val="24"/>
          <w:szCs w:val="24"/>
        </w:rPr>
        <w:t>enroll</w:t>
      </w:r>
      <w:r w:rsidRPr="004A3307" w:rsidR="00737245">
        <w:rPr>
          <w:sz w:val="24"/>
          <w:szCs w:val="24"/>
        </w:rPr>
        <w:t xml:space="preserve">s at a Registrar </w:t>
      </w:r>
      <w:r w:rsidRPr="004A3307">
        <w:rPr>
          <w:sz w:val="24"/>
          <w:szCs w:val="24"/>
        </w:rPr>
        <w:t xml:space="preserve">station </w:t>
      </w:r>
      <w:r w:rsidRPr="004A3307" w:rsidR="00737245">
        <w:rPr>
          <w:sz w:val="24"/>
          <w:szCs w:val="24"/>
        </w:rPr>
        <w:t xml:space="preserve">to </w:t>
      </w:r>
      <w:r w:rsidRPr="004A3307" w:rsidR="002A2F44">
        <w:rPr>
          <w:sz w:val="24"/>
          <w:szCs w:val="24"/>
        </w:rPr>
        <w:t xml:space="preserve">collect </w:t>
      </w:r>
      <w:r w:rsidRPr="004A3307" w:rsidR="00737245">
        <w:rPr>
          <w:sz w:val="24"/>
          <w:szCs w:val="24"/>
        </w:rPr>
        <w:t>fingerprint</w:t>
      </w:r>
      <w:r w:rsidRPr="004A3307" w:rsidR="002A2F44">
        <w:rPr>
          <w:sz w:val="24"/>
          <w:szCs w:val="24"/>
        </w:rPr>
        <w:t>s</w:t>
      </w:r>
      <w:r w:rsidRPr="004A3307" w:rsidR="00737245">
        <w:rPr>
          <w:sz w:val="24"/>
          <w:szCs w:val="24"/>
        </w:rPr>
        <w:t xml:space="preserve"> and biometrics to establish and </w:t>
      </w:r>
      <w:r w:rsidRPr="004A3307">
        <w:rPr>
          <w:sz w:val="24"/>
          <w:szCs w:val="24"/>
        </w:rPr>
        <w:t>validate the</w:t>
      </w:r>
      <w:r w:rsidRPr="004A3307" w:rsidR="00737245">
        <w:rPr>
          <w:sz w:val="24"/>
          <w:szCs w:val="24"/>
        </w:rPr>
        <w:t>ir</w:t>
      </w:r>
      <w:r w:rsidRPr="004A3307">
        <w:rPr>
          <w:sz w:val="24"/>
          <w:szCs w:val="24"/>
        </w:rPr>
        <w:t xml:space="preserve"> identity</w:t>
      </w:r>
      <w:r w:rsidRPr="004A3307" w:rsidR="002A2F44">
        <w:rPr>
          <w:sz w:val="24"/>
          <w:szCs w:val="24"/>
        </w:rPr>
        <w:t>,</w:t>
      </w:r>
      <w:r w:rsidRPr="004A3307" w:rsidR="00737245">
        <w:rPr>
          <w:sz w:val="24"/>
          <w:szCs w:val="24"/>
        </w:rPr>
        <w:t xml:space="preserve"> </w:t>
      </w:r>
      <w:r w:rsidRPr="004A3307" w:rsidR="002A2F44">
        <w:rPr>
          <w:sz w:val="24"/>
          <w:szCs w:val="24"/>
        </w:rPr>
        <w:t>the</w:t>
      </w:r>
      <w:r w:rsidRPr="004A3307" w:rsidR="00737245">
        <w:rPr>
          <w:sz w:val="24"/>
          <w:szCs w:val="24"/>
        </w:rPr>
        <w:t xml:space="preserve"> data is </w:t>
      </w:r>
      <w:r w:rsidRPr="004A3307">
        <w:rPr>
          <w:sz w:val="24"/>
          <w:szCs w:val="24"/>
        </w:rPr>
        <w:t>submit</w:t>
      </w:r>
      <w:r w:rsidRPr="004A3307" w:rsidR="00737245">
        <w:rPr>
          <w:sz w:val="24"/>
          <w:szCs w:val="24"/>
        </w:rPr>
        <w:t xml:space="preserve">ted </w:t>
      </w:r>
      <w:r w:rsidRPr="004A3307">
        <w:rPr>
          <w:sz w:val="24"/>
          <w:szCs w:val="24"/>
        </w:rPr>
        <w:t>to OPM as part of the background investigation</w:t>
      </w:r>
      <w:r w:rsidRPr="004A3307" w:rsidR="002A2F44">
        <w:rPr>
          <w:sz w:val="24"/>
          <w:szCs w:val="24"/>
        </w:rPr>
        <w:t>,</w:t>
      </w:r>
      <w:r w:rsidRPr="004A3307" w:rsidR="00737245">
        <w:rPr>
          <w:sz w:val="24"/>
          <w:szCs w:val="24"/>
        </w:rPr>
        <w:t xml:space="preserve"> and </w:t>
      </w:r>
      <w:r w:rsidRPr="004A3307">
        <w:rPr>
          <w:sz w:val="24"/>
          <w:szCs w:val="24"/>
        </w:rPr>
        <w:t>all required identity and information submissions are complete</w:t>
      </w:r>
      <w:r w:rsidRPr="004A3307" w:rsidR="00737245">
        <w:rPr>
          <w:sz w:val="24"/>
          <w:szCs w:val="24"/>
        </w:rPr>
        <w:t>d</w:t>
      </w:r>
      <w:r w:rsidRPr="004A3307">
        <w:rPr>
          <w:sz w:val="24"/>
          <w:szCs w:val="24"/>
        </w:rPr>
        <w:t xml:space="preserve"> and a background investigation has been conducted, </w:t>
      </w:r>
      <w:r w:rsidRPr="004A3307" w:rsidR="00737245">
        <w:rPr>
          <w:sz w:val="24"/>
          <w:szCs w:val="24"/>
        </w:rPr>
        <w:t>an Adju</w:t>
      </w:r>
      <w:r w:rsidRPr="004A3307" w:rsidR="00EE19D8">
        <w:rPr>
          <w:sz w:val="24"/>
          <w:szCs w:val="24"/>
        </w:rPr>
        <w:t>dicator will provide an approval for issuance of the HSPD-12 Credential (ID Card). Once the ID Card is printed and mailed to the Sponsoring agency, the Applicant will receive an automatic email in their personal email account indicating their HSPD-12 Credential is “ready for pickup</w:t>
      </w:r>
      <w:r w:rsidRPr="004A3307" w:rsidR="002A2F44">
        <w:rPr>
          <w:sz w:val="24"/>
          <w:szCs w:val="24"/>
        </w:rPr>
        <w:t>.</w:t>
      </w:r>
      <w:r w:rsidRPr="004A3307" w:rsidR="00EE19D8">
        <w:rPr>
          <w:sz w:val="24"/>
          <w:szCs w:val="24"/>
        </w:rPr>
        <w:t xml:space="preserve">” Once the Applicant </w:t>
      </w:r>
      <w:r w:rsidRPr="004A3307" w:rsidR="000A72DF">
        <w:rPr>
          <w:sz w:val="24"/>
          <w:szCs w:val="24"/>
        </w:rPr>
        <w:t>arrives</w:t>
      </w:r>
      <w:r w:rsidRPr="004A3307" w:rsidR="00332AF1">
        <w:rPr>
          <w:sz w:val="24"/>
          <w:szCs w:val="24"/>
        </w:rPr>
        <w:t xml:space="preserve"> to pick up the ID Card,</w:t>
      </w:r>
      <w:r w:rsidRPr="004A3307" w:rsidR="00767A7D">
        <w:rPr>
          <w:sz w:val="24"/>
          <w:szCs w:val="24"/>
        </w:rPr>
        <w:t xml:space="preserve"> a biometric matching process is conducted by scanning two (2) of the Applicants fingers. </w:t>
      </w:r>
      <w:r w:rsidRPr="004A3307" w:rsidR="000C2ECE">
        <w:rPr>
          <w:sz w:val="24"/>
          <w:szCs w:val="24"/>
        </w:rPr>
        <w:t xml:space="preserve">The Applicant is also required to provide a </w:t>
      </w:r>
      <w:r w:rsidRPr="004A3307" w:rsidR="00332AF1">
        <w:rPr>
          <w:sz w:val="24"/>
          <w:szCs w:val="24"/>
        </w:rPr>
        <w:t xml:space="preserve">current identification card that </w:t>
      </w:r>
      <w:r w:rsidRPr="004A3307" w:rsidR="000C2ECE">
        <w:rPr>
          <w:sz w:val="24"/>
          <w:szCs w:val="24"/>
        </w:rPr>
        <w:t xml:space="preserve">would also </w:t>
      </w:r>
      <w:r w:rsidRPr="004A3307" w:rsidR="00332AF1">
        <w:rPr>
          <w:sz w:val="24"/>
          <w:szCs w:val="24"/>
        </w:rPr>
        <w:t xml:space="preserve">validate the information on </w:t>
      </w:r>
      <w:r w:rsidRPr="004A3307">
        <w:rPr>
          <w:sz w:val="24"/>
          <w:szCs w:val="24"/>
        </w:rPr>
        <w:t>the PIV Card</w:t>
      </w:r>
      <w:r w:rsidRPr="004A3307" w:rsidR="000C2ECE">
        <w:rPr>
          <w:sz w:val="24"/>
          <w:szCs w:val="24"/>
        </w:rPr>
        <w:t>. W</w:t>
      </w:r>
      <w:r w:rsidRPr="004A3307" w:rsidR="00332AF1">
        <w:rPr>
          <w:sz w:val="24"/>
          <w:szCs w:val="24"/>
        </w:rPr>
        <w:t xml:space="preserve">hen all </w:t>
      </w:r>
      <w:r w:rsidRPr="004A3307">
        <w:rPr>
          <w:sz w:val="24"/>
          <w:szCs w:val="24"/>
        </w:rPr>
        <w:t>steps are complete</w:t>
      </w:r>
      <w:r w:rsidRPr="004A3307" w:rsidR="000C2ECE">
        <w:rPr>
          <w:sz w:val="24"/>
          <w:szCs w:val="24"/>
        </w:rPr>
        <w:t xml:space="preserve">d successfully, </w:t>
      </w:r>
      <w:r w:rsidRPr="004A3307">
        <w:rPr>
          <w:sz w:val="24"/>
          <w:szCs w:val="24"/>
        </w:rPr>
        <w:t>the</w:t>
      </w:r>
      <w:r w:rsidRPr="004A3307" w:rsidR="00332AF1">
        <w:rPr>
          <w:sz w:val="24"/>
          <w:szCs w:val="24"/>
        </w:rPr>
        <w:t>n the PIV C</w:t>
      </w:r>
      <w:r w:rsidRPr="004A3307">
        <w:rPr>
          <w:sz w:val="24"/>
          <w:szCs w:val="24"/>
        </w:rPr>
        <w:t xml:space="preserve">ard </w:t>
      </w:r>
      <w:r w:rsidRPr="004A3307" w:rsidR="00767A7D">
        <w:rPr>
          <w:sz w:val="24"/>
          <w:szCs w:val="24"/>
        </w:rPr>
        <w:t xml:space="preserve">can </w:t>
      </w:r>
      <w:r w:rsidRPr="004A3307" w:rsidR="00332AF1">
        <w:rPr>
          <w:sz w:val="24"/>
          <w:szCs w:val="24"/>
        </w:rPr>
        <w:t>be</w:t>
      </w:r>
      <w:r w:rsidRPr="004A3307" w:rsidR="00767A7D">
        <w:rPr>
          <w:sz w:val="24"/>
          <w:szCs w:val="24"/>
        </w:rPr>
        <w:t xml:space="preserve"> activated and </w:t>
      </w:r>
      <w:r w:rsidRPr="004A3307">
        <w:rPr>
          <w:sz w:val="24"/>
          <w:szCs w:val="24"/>
        </w:rPr>
        <w:t>issued to the Applicant.</w:t>
      </w:r>
      <w:bookmarkStart w:name="_Hlk37251044" w:id="4"/>
    </w:p>
    <w:p w:rsidRPr="004A3307" w:rsidR="00767A7D" w:rsidP="00767A7D" w:rsidRDefault="00767A7D" w14:paraId="7F1CA790" w14:textId="77777777">
      <w:pPr>
        <w:keepLines/>
        <w:tabs>
          <w:tab w:val="left" w:pos="360"/>
          <w:tab w:val="left" w:pos="720"/>
        </w:tabs>
        <w:ind w:left="360"/>
        <w:rPr>
          <w:sz w:val="24"/>
          <w:szCs w:val="24"/>
        </w:rPr>
      </w:pPr>
    </w:p>
    <w:p w:rsidRPr="004A3307" w:rsidR="00767A7D" w:rsidP="00767A7D" w:rsidRDefault="000315F0" w14:paraId="556451BA" w14:textId="7271DE0B">
      <w:pPr>
        <w:keepLines/>
        <w:tabs>
          <w:tab w:val="left" w:pos="360"/>
          <w:tab w:val="left" w:pos="720"/>
        </w:tabs>
        <w:ind w:left="360"/>
        <w:rPr>
          <w:sz w:val="24"/>
          <w:szCs w:val="24"/>
        </w:rPr>
      </w:pPr>
      <w:r w:rsidRPr="004A3307">
        <w:rPr>
          <w:sz w:val="24"/>
          <w:szCs w:val="24"/>
        </w:rPr>
        <w:t xml:space="preserve">The below enrollment forms are required </w:t>
      </w:r>
      <w:r w:rsidRPr="004A3307" w:rsidR="004A4F68">
        <w:rPr>
          <w:sz w:val="24"/>
          <w:szCs w:val="24"/>
        </w:rPr>
        <w:t xml:space="preserve">to </w:t>
      </w:r>
      <w:r w:rsidRPr="004A3307">
        <w:rPr>
          <w:sz w:val="24"/>
          <w:szCs w:val="24"/>
        </w:rPr>
        <w:t>be completed by all Applicants</w:t>
      </w:r>
      <w:r w:rsidRPr="004A3307" w:rsidR="004A4F68">
        <w:rPr>
          <w:sz w:val="24"/>
          <w:szCs w:val="24"/>
        </w:rPr>
        <w:t>,</w:t>
      </w:r>
      <w:r w:rsidRPr="004A3307">
        <w:rPr>
          <w:sz w:val="24"/>
          <w:szCs w:val="24"/>
        </w:rPr>
        <w:t xml:space="preserve"> before submission to </w:t>
      </w:r>
      <w:r w:rsidRPr="004A3307" w:rsidR="0037125D">
        <w:rPr>
          <w:sz w:val="24"/>
          <w:szCs w:val="24"/>
        </w:rPr>
        <w:t>OPM</w:t>
      </w:r>
      <w:r w:rsidRPr="004A3307">
        <w:rPr>
          <w:sz w:val="24"/>
          <w:szCs w:val="24"/>
        </w:rPr>
        <w:t xml:space="preserve">: </w:t>
      </w:r>
      <w:bookmarkEnd w:id="4"/>
    </w:p>
    <w:p w:rsidRPr="004A3307" w:rsidR="00767A7D" w:rsidP="00767A7D" w:rsidRDefault="00767A7D" w14:paraId="1332AAAD" w14:textId="77777777">
      <w:pPr>
        <w:keepLines/>
        <w:tabs>
          <w:tab w:val="left" w:pos="360"/>
          <w:tab w:val="left" w:pos="720"/>
        </w:tabs>
        <w:ind w:left="360"/>
        <w:rPr>
          <w:sz w:val="24"/>
          <w:szCs w:val="24"/>
        </w:rPr>
      </w:pPr>
    </w:p>
    <w:p w:rsidRPr="004A3307" w:rsidR="000315F0" w:rsidP="000315F0" w:rsidRDefault="0037125D" w14:paraId="2191BDE1" w14:textId="705B4C35">
      <w:pPr>
        <w:keepLines/>
        <w:tabs>
          <w:tab w:val="left" w:pos="360"/>
          <w:tab w:val="left" w:pos="720"/>
        </w:tabs>
        <w:ind w:left="360"/>
        <w:rPr>
          <w:sz w:val="24"/>
          <w:szCs w:val="24"/>
        </w:rPr>
      </w:pPr>
      <w:r w:rsidRPr="004A3307">
        <w:rPr>
          <w:sz w:val="24"/>
          <w:szCs w:val="24"/>
        </w:rPr>
        <w:t>OF-306</w:t>
      </w:r>
      <w:r w:rsidRPr="004A3307" w:rsidR="004A4F68">
        <w:rPr>
          <w:sz w:val="24"/>
          <w:szCs w:val="24"/>
        </w:rPr>
        <w:t xml:space="preserve">: </w:t>
      </w:r>
      <w:r w:rsidRPr="004A3307">
        <w:rPr>
          <w:sz w:val="24"/>
          <w:szCs w:val="24"/>
        </w:rPr>
        <w:t xml:space="preserve">Declaration for Federal Employment </w:t>
      </w:r>
    </w:p>
    <w:p w:rsidRPr="004A3307" w:rsidR="000315F0" w:rsidP="000315F0" w:rsidRDefault="000315F0" w14:paraId="56E406FA" w14:textId="77777777">
      <w:pPr>
        <w:keepLines/>
        <w:tabs>
          <w:tab w:val="left" w:pos="360"/>
          <w:tab w:val="left" w:pos="720"/>
        </w:tabs>
        <w:ind w:left="360"/>
        <w:rPr>
          <w:sz w:val="24"/>
          <w:szCs w:val="24"/>
        </w:rPr>
      </w:pPr>
    </w:p>
    <w:p w:rsidRPr="004A3307" w:rsidR="000315F0" w:rsidP="00767A7D" w:rsidRDefault="0037125D" w14:paraId="4C8B4D61" w14:textId="79EBE4AC">
      <w:pPr>
        <w:keepLines/>
        <w:tabs>
          <w:tab w:val="left" w:pos="360"/>
          <w:tab w:val="left" w:pos="720"/>
        </w:tabs>
        <w:ind w:left="360"/>
        <w:rPr>
          <w:sz w:val="24"/>
          <w:szCs w:val="24"/>
        </w:rPr>
      </w:pPr>
      <w:r w:rsidRPr="004A3307">
        <w:rPr>
          <w:sz w:val="24"/>
          <w:szCs w:val="24"/>
        </w:rPr>
        <w:t>SF-85</w:t>
      </w:r>
      <w:r w:rsidRPr="004A3307" w:rsidR="004A4F68">
        <w:rPr>
          <w:sz w:val="24"/>
          <w:szCs w:val="24"/>
        </w:rPr>
        <w:t xml:space="preserve">: </w:t>
      </w:r>
      <w:r w:rsidRPr="004A3307" w:rsidR="00654521">
        <w:rPr>
          <w:sz w:val="24"/>
          <w:szCs w:val="24"/>
        </w:rPr>
        <w:t>Questionnaire for Non-Sensitive Positions</w:t>
      </w:r>
    </w:p>
    <w:p w:rsidRPr="004A3307" w:rsidR="000315F0" w:rsidP="00767A7D" w:rsidRDefault="000315F0" w14:paraId="67AE2B4A" w14:textId="77777777">
      <w:pPr>
        <w:keepLines/>
        <w:tabs>
          <w:tab w:val="left" w:pos="360"/>
          <w:tab w:val="left" w:pos="720"/>
        </w:tabs>
        <w:ind w:left="360"/>
        <w:rPr>
          <w:sz w:val="24"/>
          <w:szCs w:val="24"/>
        </w:rPr>
      </w:pPr>
    </w:p>
    <w:p w:rsidRPr="004A3307" w:rsidR="000315F0" w:rsidP="00767A7D" w:rsidRDefault="0037125D" w14:paraId="1837E17D" w14:textId="2176B3FD">
      <w:pPr>
        <w:keepLines/>
        <w:tabs>
          <w:tab w:val="left" w:pos="360"/>
          <w:tab w:val="left" w:pos="720"/>
        </w:tabs>
        <w:ind w:left="360"/>
        <w:rPr>
          <w:sz w:val="24"/>
          <w:szCs w:val="24"/>
        </w:rPr>
      </w:pPr>
      <w:r w:rsidRPr="004A3307">
        <w:rPr>
          <w:sz w:val="24"/>
          <w:szCs w:val="24"/>
        </w:rPr>
        <w:t>SF-85P</w:t>
      </w:r>
      <w:r w:rsidRPr="004A3307" w:rsidR="004A4F68">
        <w:rPr>
          <w:sz w:val="24"/>
          <w:szCs w:val="24"/>
        </w:rPr>
        <w:t xml:space="preserve">: </w:t>
      </w:r>
      <w:r w:rsidRPr="004A3307" w:rsidR="00654521">
        <w:rPr>
          <w:sz w:val="24"/>
          <w:szCs w:val="24"/>
        </w:rPr>
        <w:t xml:space="preserve">Questionnaire for </w:t>
      </w:r>
      <w:r w:rsidRPr="004A3307">
        <w:rPr>
          <w:sz w:val="24"/>
          <w:szCs w:val="24"/>
        </w:rPr>
        <w:t xml:space="preserve">Public Trust </w:t>
      </w:r>
    </w:p>
    <w:p w:rsidRPr="004A3307" w:rsidR="000315F0" w:rsidP="00767A7D" w:rsidRDefault="000315F0" w14:paraId="42E4E0E8" w14:textId="77777777">
      <w:pPr>
        <w:keepLines/>
        <w:tabs>
          <w:tab w:val="left" w:pos="360"/>
          <w:tab w:val="left" w:pos="720"/>
        </w:tabs>
        <w:ind w:left="360"/>
        <w:rPr>
          <w:sz w:val="24"/>
          <w:szCs w:val="24"/>
        </w:rPr>
      </w:pPr>
    </w:p>
    <w:p w:rsidRPr="004A3307" w:rsidR="0037125D" w:rsidP="00767A7D" w:rsidRDefault="0037125D" w14:paraId="6B1D8E59" w14:textId="581EF995">
      <w:pPr>
        <w:keepLines/>
        <w:tabs>
          <w:tab w:val="left" w:pos="360"/>
          <w:tab w:val="left" w:pos="720"/>
        </w:tabs>
        <w:ind w:left="360"/>
        <w:rPr>
          <w:sz w:val="24"/>
          <w:szCs w:val="24"/>
        </w:rPr>
      </w:pPr>
      <w:r w:rsidRPr="004A3307">
        <w:rPr>
          <w:sz w:val="24"/>
          <w:szCs w:val="24"/>
        </w:rPr>
        <w:t>SF-86</w:t>
      </w:r>
      <w:r w:rsidRPr="004A3307" w:rsidR="004A4F68">
        <w:rPr>
          <w:sz w:val="24"/>
          <w:szCs w:val="24"/>
        </w:rPr>
        <w:t>: Questionnaire for National Security Positions</w:t>
      </w:r>
    </w:p>
    <w:p w:rsidRPr="004A3307" w:rsidR="004A4F68" w:rsidP="00767A7D" w:rsidRDefault="004A4F68" w14:paraId="3759B494" w14:textId="07715761">
      <w:pPr>
        <w:keepLines/>
        <w:tabs>
          <w:tab w:val="left" w:pos="360"/>
          <w:tab w:val="left" w:pos="720"/>
        </w:tabs>
        <w:ind w:left="360"/>
        <w:rPr>
          <w:sz w:val="24"/>
          <w:szCs w:val="24"/>
        </w:rPr>
      </w:pPr>
    </w:p>
    <w:p w:rsidRPr="004A3307" w:rsidR="004A4F68" w:rsidP="004A4F68" w:rsidRDefault="004A4F68" w14:paraId="6BB4CA17" w14:textId="77777777">
      <w:pPr>
        <w:keepLines/>
        <w:tabs>
          <w:tab w:val="left" w:pos="360"/>
          <w:tab w:val="left" w:pos="720"/>
        </w:tabs>
        <w:ind w:left="360"/>
        <w:rPr>
          <w:sz w:val="24"/>
          <w:szCs w:val="24"/>
        </w:rPr>
      </w:pPr>
      <w:r w:rsidRPr="004A3307">
        <w:rPr>
          <w:sz w:val="24"/>
          <w:szCs w:val="24"/>
        </w:rPr>
        <w:t>Fair Credit Reporting Act of 1970, as Amended</w:t>
      </w:r>
    </w:p>
    <w:p w:rsidRPr="004A3307" w:rsidR="0037125D" w:rsidP="00025206" w:rsidRDefault="0037125D" w14:paraId="67AA385B" w14:textId="11B9D6E2">
      <w:pPr>
        <w:keepLines/>
        <w:tabs>
          <w:tab w:val="left" w:pos="360"/>
          <w:tab w:val="left" w:pos="720"/>
        </w:tabs>
        <w:ind w:left="360"/>
        <w:rPr>
          <w:sz w:val="24"/>
          <w:szCs w:val="24"/>
        </w:rPr>
      </w:pPr>
    </w:p>
    <w:p w:rsidRPr="004A3307" w:rsidR="004A4F68" w:rsidP="00025206" w:rsidRDefault="004A4F68" w14:paraId="21755FC4" w14:textId="77777777">
      <w:pPr>
        <w:keepLines/>
        <w:tabs>
          <w:tab w:val="left" w:pos="360"/>
          <w:tab w:val="left" w:pos="720"/>
        </w:tabs>
        <w:ind w:left="360"/>
        <w:rPr>
          <w:sz w:val="24"/>
          <w:szCs w:val="24"/>
        </w:rPr>
      </w:pPr>
    </w:p>
    <w:p w:rsidRPr="004A3307" w:rsidR="00AA377E" w:rsidP="00076D0C" w:rsidRDefault="00025206" w14:paraId="365A0EE5" w14:textId="7C0131F6">
      <w:pPr>
        <w:keepLines/>
        <w:tabs>
          <w:tab w:val="left" w:pos="360"/>
        </w:tabs>
        <w:spacing w:after="80"/>
        <w:ind w:left="360" w:hanging="360"/>
        <w:rPr>
          <w:sz w:val="24"/>
          <w:szCs w:val="24"/>
        </w:rPr>
      </w:pPr>
      <w:r w:rsidRPr="004A3307">
        <w:rPr>
          <w:sz w:val="24"/>
          <w:szCs w:val="24"/>
        </w:rPr>
        <w:t>3.</w:t>
      </w:r>
      <w:r w:rsidRPr="004A3307">
        <w:rPr>
          <w:sz w:val="24"/>
          <w:szCs w:val="24"/>
        </w:rPr>
        <w:tab/>
      </w:r>
      <w:r w:rsidRPr="004A3307">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A3307" w:rsidR="00076D0C">
        <w:rPr>
          <w:b/>
          <w:bCs/>
          <w:sz w:val="24"/>
          <w:szCs w:val="24"/>
        </w:rPr>
        <w:t xml:space="preserve">  </w:t>
      </w:r>
      <w:r w:rsidRPr="004A3307">
        <w:rPr>
          <w:b/>
          <w:bCs/>
          <w:sz w:val="24"/>
          <w:szCs w:val="24"/>
        </w:rPr>
        <w:t>Information and access to information collection instruments (forms) will only be authorized and/or re</w:t>
      </w:r>
      <w:r w:rsidRPr="004A3307" w:rsidR="00457D18">
        <w:rPr>
          <w:b/>
          <w:bCs/>
          <w:sz w:val="24"/>
          <w:szCs w:val="24"/>
        </w:rPr>
        <w:t xml:space="preserve">quired </w:t>
      </w:r>
      <w:r w:rsidRPr="004A3307">
        <w:rPr>
          <w:b/>
          <w:bCs/>
          <w:sz w:val="24"/>
          <w:szCs w:val="24"/>
        </w:rPr>
        <w:t>by HUD adjudicators, who maintain the website</w:t>
      </w:r>
      <w:r w:rsidRPr="004A3307">
        <w:rPr>
          <w:i/>
          <w:iCs/>
          <w:sz w:val="24"/>
          <w:szCs w:val="24"/>
        </w:rPr>
        <w:t>.</w:t>
      </w:r>
      <w:r w:rsidRPr="004A3307">
        <w:rPr>
          <w:sz w:val="24"/>
          <w:szCs w:val="24"/>
        </w:rPr>
        <w:t xml:space="preserve"> </w:t>
      </w:r>
    </w:p>
    <w:p w:rsidR="004A3307" w:rsidP="008E2781" w:rsidRDefault="00636582" w14:paraId="2C569178" w14:textId="77777777">
      <w:pPr>
        <w:rPr>
          <w:sz w:val="24"/>
          <w:szCs w:val="24"/>
        </w:rPr>
      </w:pPr>
      <w:r w:rsidRPr="004A3307">
        <w:rPr>
          <w:sz w:val="24"/>
          <w:szCs w:val="24"/>
        </w:rPr>
        <w:t xml:space="preserve">      </w:t>
      </w:r>
    </w:p>
    <w:p w:rsidRPr="004A3307" w:rsidR="00025206" w:rsidP="004A3307" w:rsidRDefault="00636582" w14:paraId="06F160C0" w14:textId="1516C21F">
      <w:pPr>
        <w:ind w:left="360"/>
        <w:rPr>
          <w:sz w:val="24"/>
          <w:szCs w:val="24"/>
        </w:rPr>
      </w:pPr>
      <w:r w:rsidRPr="004A3307">
        <w:rPr>
          <w:sz w:val="24"/>
          <w:szCs w:val="24"/>
        </w:rPr>
        <w:t xml:space="preserve">The </w:t>
      </w:r>
      <w:r w:rsidRPr="004A3307" w:rsidR="00571AFC">
        <w:rPr>
          <w:sz w:val="24"/>
          <w:szCs w:val="24"/>
        </w:rPr>
        <w:t xml:space="preserve">PIV &amp; Pre-Security </w:t>
      </w:r>
      <w:r w:rsidRPr="004A3307">
        <w:rPr>
          <w:sz w:val="24"/>
          <w:szCs w:val="24"/>
        </w:rPr>
        <w:t>form is submitted via secure messaging to P</w:t>
      </w:r>
      <w:r w:rsidRPr="004A3307" w:rsidR="005F290E">
        <w:rPr>
          <w:sz w:val="24"/>
          <w:szCs w:val="24"/>
        </w:rPr>
        <w:t xml:space="preserve">ersonnel </w:t>
      </w:r>
      <w:r w:rsidRPr="004A3307">
        <w:rPr>
          <w:sz w:val="24"/>
          <w:szCs w:val="24"/>
        </w:rPr>
        <w:t>S</w:t>
      </w:r>
      <w:r w:rsidRPr="004A3307" w:rsidR="005F290E">
        <w:rPr>
          <w:sz w:val="24"/>
          <w:szCs w:val="24"/>
        </w:rPr>
        <w:t xml:space="preserve">ecurity </w:t>
      </w:r>
      <w:r w:rsidRPr="004A3307">
        <w:rPr>
          <w:sz w:val="24"/>
          <w:szCs w:val="24"/>
        </w:rPr>
        <w:t>D</w:t>
      </w:r>
      <w:r w:rsidRPr="004A3307" w:rsidR="005F290E">
        <w:rPr>
          <w:sz w:val="24"/>
          <w:szCs w:val="24"/>
        </w:rPr>
        <w:t>ivision (PSD)</w:t>
      </w:r>
      <w:r w:rsidRPr="004A3307">
        <w:rPr>
          <w:sz w:val="24"/>
          <w:szCs w:val="24"/>
        </w:rPr>
        <w:t xml:space="preserve"> to start the record creation</w:t>
      </w:r>
      <w:r w:rsidRPr="004A3307" w:rsidR="005F290E">
        <w:rPr>
          <w:sz w:val="24"/>
          <w:szCs w:val="24"/>
        </w:rPr>
        <w:t xml:space="preserve"> </w:t>
      </w:r>
      <w:r w:rsidRPr="004A3307" w:rsidR="00571AFC">
        <w:rPr>
          <w:sz w:val="24"/>
          <w:szCs w:val="24"/>
        </w:rPr>
        <w:t>a</w:t>
      </w:r>
      <w:r w:rsidRPr="004A3307">
        <w:rPr>
          <w:sz w:val="24"/>
          <w:szCs w:val="24"/>
        </w:rPr>
        <w:t xml:space="preserve">nd </w:t>
      </w:r>
      <w:r w:rsidRPr="004A3307" w:rsidR="00571AFC">
        <w:rPr>
          <w:sz w:val="24"/>
          <w:szCs w:val="24"/>
        </w:rPr>
        <w:t>PIV</w:t>
      </w:r>
      <w:r w:rsidRPr="004A3307">
        <w:rPr>
          <w:sz w:val="24"/>
          <w:szCs w:val="24"/>
        </w:rPr>
        <w:t xml:space="preserve"> enrollment process. </w:t>
      </w:r>
      <w:r w:rsidR="004A3307">
        <w:rPr>
          <w:sz w:val="24"/>
          <w:szCs w:val="24"/>
        </w:rPr>
        <w:t xml:space="preserve"> </w:t>
      </w:r>
      <w:r w:rsidRPr="004A3307" w:rsidR="00025206">
        <w:rPr>
          <w:sz w:val="24"/>
          <w:szCs w:val="24"/>
        </w:rPr>
        <w:t>No “commercial databases or data” are used in the PIV process</w:t>
      </w:r>
      <w:r w:rsidRPr="004A3307" w:rsidR="004A4F68">
        <w:rPr>
          <w:sz w:val="24"/>
          <w:szCs w:val="24"/>
        </w:rPr>
        <w:t xml:space="preserve">, </w:t>
      </w:r>
      <w:r w:rsidRPr="004A3307" w:rsidR="00025206">
        <w:rPr>
          <w:sz w:val="24"/>
          <w:szCs w:val="24"/>
        </w:rPr>
        <w:t>however</w:t>
      </w:r>
      <w:r w:rsidRPr="004A3307" w:rsidR="004A4F68">
        <w:rPr>
          <w:sz w:val="24"/>
          <w:szCs w:val="24"/>
        </w:rPr>
        <w:t xml:space="preserve">; </w:t>
      </w:r>
      <w:r w:rsidRPr="004A3307" w:rsidR="00025206">
        <w:rPr>
          <w:sz w:val="24"/>
          <w:szCs w:val="24"/>
        </w:rPr>
        <w:t xml:space="preserve">agencies do have an automated link to the Office of Personnel Management’s (OPM) Personnel Investigations Processing System (PIPS). Access to the </w:t>
      </w:r>
      <w:proofErr w:type="spellStart"/>
      <w:r w:rsidRPr="004A3307" w:rsidR="00025206">
        <w:rPr>
          <w:sz w:val="24"/>
          <w:szCs w:val="24"/>
        </w:rPr>
        <w:t>PerSIST</w:t>
      </w:r>
      <w:proofErr w:type="spellEnd"/>
      <w:r w:rsidRPr="004A3307" w:rsidR="00025206">
        <w:rPr>
          <w:sz w:val="24"/>
          <w:szCs w:val="24"/>
        </w:rPr>
        <w:t xml:space="preserve"> system will be controlled by the appointed Application Systems Security Administrator (SSA). The SSA will use DIAMS (Digital Identity and Access Management System) to approve/reject/grant access to the </w:t>
      </w:r>
      <w:proofErr w:type="spellStart"/>
      <w:r w:rsidRPr="004A3307" w:rsidR="00025206">
        <w:rPr>
          <w:sz w:val="24"/>
          <w:szCs w:val="24"/>
        </w:rPr>
        <w:t>PerSIST</w:t>
      </w:r>
      <w:proofErr w:type="spellEnd"/>
      <w:r w:rsidRPr="004A3307" w:rsidR="00025206">
        <w:rPr>
          <w:sz w:val="24"/>
          <w:szCs w:val="24"/>
        </w:rPr>
        <w:t xml:space="preserve"> system. The </w:t>
      </w:r>
      <w:proofErr w:type="spellStart"/>
      <w:r w:rsidRPr="004A3307" w:rsidR="00025206">
        <w:rPr>
          <w:sz w:val="24"/>
          <w:szCs w:val="24"/>
        </w:rPr>
        <w:t>PerSIST</w:t>
      </w:r>
      <w:proofErr w:type="spellEnd"/>
      <w:r w:rsidRPr="004A3307" w:rsidR="00025206">
        <w:rPr>
          <w:sz w:val="24"/>
          <w:szCs w:val="24"/>
        </w:rPr>
        <w:t xml:space="preserve"> system will also utilize PIV Card, a tailored role-based security and access (RBAC) model, and Users will access the system using Single Sign-On (SSO) or multifactor authentication through a Virtual Private Network (VPN).  All permissions are completely configurable via roles, permissions, and assignments. Event logs will capture user actions at an account and data level, including login/logout times. Session settings will also be configured regarding session timeout, lockout conditions, and inactivity.</w:t>
      </w:r>
    </w:p>
    <w:p w:rsidRPr="004A3307" w:rsidR="00AA377E" w:rsidP="00076D0C" w:rsidRDefault="00AA377E" w14:paraId="197015CE" w14:textId="77777777">
      <w:pPr>
        <w:keepLines/>
        <w:tabs>
          <w:tab w:val="left" w:pos="360"/>
        </w:tabs>
        <w:spacing w:after="80"/>
        <w:ind w:left="360" w:hanging="360"/>
        <w:rPr>
          <w:sz w:val="24"/>
          <w:szCs w:val="24"/>
        </w:rPr>
      </w:pPr>
    </w:p>
    <w:p w:rsidRPr="004A3307" w:rsidR="00025206" w:rsidP="004A3307" w:rsidRDefault="00025206" w14:paraId="7519686F" w14:textId="2893F05D">
      <w:pPr>
        <w:tabs>
          <w:tab w:val="left" w:pos="360"/>
        </w:tabs>
        <w:ind w:left="360"/>
        <w:rPr>
          <w:sz w:val="24"/>
          <w:szCs w:val="24"/>
        </w:rPr>
      </w:pPr>
      <w:r w:rsidRPr="004A3307">
        <w:rPr>
          <w:sz w:val="24"/>
          <w:szCs w:val="24"/>
        </w:rPr>
        <w:t>Role-Based Security Access Control (RBAC)</w:t>
      </w:r>
      <w:r w:rsidRPr="004A3307" w:rsidR="002A2F44">
        <w:rPr>
          <w:sz w:val="24"/>
          <w:szCs w:val="24"/>
        </w:rPr>
        <w:t>, a</w:t>
      </w:r>
      <w:r w:rsidRPr="004A3307">
        <w:rPr>
          <w:sz w:val="24"/>
          <w:szCs w:val="24"/>
        </w:rPr>
        <w:t>n approach to restricting system access to authorized users</w:t>
      </w:r>
      <w:r w:rsidRPr="004A3307" w:rsidR="002A2F44">
        <w:rPr>
          <w:sz w:val="24"/>
          <w:szCs w:val="24"/>
        </w:rPr>
        <w:t>,</w:t>
      </w:r>
      <w:r w:rsidRPr="004A3307">
        <w:rPr>
          <w:sz w:val="24"/>
          <w:szCs w:val="24"/>
        </w:rPr>
        <w:t xml:space="preserve"> is used by </w:t>
      </w:r>
      <w:proofErr w:type="gramStart"/>
      <w:r w:rsidRPr="004A3307">
        <w:rPr>
          <w:sz w:val="24"/>
          <w:szCs w:val="24"/>
        </w:rPr>
        <w:t>the majority of</w:t>
      </w:r>
      <w:proofErr w:type="gramEnd"/>
      <w:r w:rsidRPr="004A3307">
        <w:rPr>
          <w:sz w:val="24"/>
          <w:szCs w:val="24"/>
        </w:rPr>
        <w:t xml:space="preserve"> enterprises with more than 500 employees and can implement mandatory access control or discretionary access control.</w:t>
      </w:r>
      <w:r w:rsidRPr="004A3307" w:rsidR="00E91933">
        <w:rPr>
          <w:sz w:val="24"/>
          <w:szCs w:val="24"/>
        </w:rPr>
        <w:t xml:space="preserve">  </w:t>
      </w:r>
    </w:p>
    <w:p w:rsidRPr="004A3307" w:rsidR="00EE1E7E" w:rsidP="00025206" w:rsidRDefault="00EE1E7E" w14:paraId="30F826B5" w14:textId="77777777">
      <w:pPr>
        <w:tabs>
          <w:tab w:val="left" w:pos="360"/>
        </w:tabs>
        <w:ind w:left="360" w:hanging="360"/>
        <w:rPr>
          <w:sz w:val="24"/>
          <w:szCs w:val="24"/>
        </w:rPr>
      </w:pPr>
    </w:p>
    <w:p w:rsidRPr="004A3307" w:rsidR="00025206" w:rsidP="004A3307" w:rsidRDefault="00025206" w14:paraId="6AC85D7D" w14:textId="4F4810AD">
      <w:pPr>
        <w:tabs>
          <w:tab w:val="left" w:pos="360"/>
        </w:tabs>
        <w:ind w:left="360"/>
        <w:rPr>
          <w:sz w:val="24"/>
          <w:szCs w:val="24"/>
        </w:rPr>
      </w:pPr>
      <w:r w:rsidRPr="004A3307">
        <w:rPr>
          <w:sz w:val="24"/>
          <w:szCs w:val="24"/>
        </w:rPr>
        <w:t>Single Sign-On (SSO)-A property of access control of multiple related, yet independent, software systems. A user logs in with a single ID and password to gain access to a connected system or systems without using different credentials or, in some configurations, seamlessly sign on at each system.</w:t>
      </w:r>
    </w:p>
    <w:p w:rsidRPr="004A3307" w:rsidR="00025206" w:rsidP="00025206" w:rsidRDefault="00025206" w14:paraId="23B7654B" w14:textId="77777777">
      <w:pPr>
        <w:tabs>
          <w:tab w:val="left" w:pos="360"/>
        </w:tabs>
        <w:ind w:left="360" w:hanging="360"/>
        <w:rPr>
          <w:sz w:val="24"/>
          <w:szCs w:val="24"/>
        </w:rPr>
      </w:pPr>
    </w:p>
    <w:p w:rsidRPr="004A3307" w:rsidR="00053813" w:rsidP="00E63C04" w:rsidRDefault="00025206" w14:paraId="04493235" w14:textId="77777777">
      <w:pPr>
        <w:keepLines/>
        <w:tabs>
          <w:tab w:val="left" w:pos="360"/>
        </w:tabs>
        <w:spacing w:after="80"/>
        <w:ind w:left="360" w:hanging="360"/>
        <w:rPr>
          <w:sz w:val="24"/>
          <w:szCs w:val="24"/>
        </w:rPr>
      </w:pPr>
      <w:r w:rsidRPr="004A3307">
        <w:rPr>
          <w:b/>
          <w:bCs/>
          <w:sz w:val="24"/>
          <w:szCs w:val="24"/>
        </w:rPr>
        <w:t>4.</w:t>
      </w:r>
      <w:r w:rsidRPr="004A3307">
        <w:rPr>
          <w:b/>
          <w:bCs/>
          <w:sz w:val="24"/>
          <w:szCs w:val="24"/>
        </w:rPr>
        <w:tab/>
        <w:t>Describe efforts to identify duplication.  Show specifically why any similar information already available cannot be used or modified for use for the purposes described in Item 2 above</w:t>
      </w:r>
      <w:r w:rsidRPr="004A3307">
        <w:rPr>
          <w:i/>
          <w:iCs/>
          <w:sz w:val="24"/>
          <w:szCs w:val="24"/>
        </w:rPr>
        <w:t xml:space="preserve">. </w:t>
      </w:r>
      <w:r w:rsidRPr="004A3307" w:rsidR="00457D18">
        <w:rPr>
          <w:sz w:val="24"/>
          <w:szCs w:val="24"/>
        </w:rPr>
        <w:t xml:space="preserve"> </w:t>
      </w:r>
    </w:p>
    <w:p w:rsidRPr="004A3307" w:rsidR="00E63C04" w:rsidP="00E63C04" w:rsidRDefault="00457D18" w14:paraId="140741A1" w14:textId="6A70CBD9">
      <w:pPr>
        <w:keepLines/>
        <w:tabs>
          <w:tab w:val="left" w:pos="360"/>
        </w:tabs>
        <w:spacing w:after="80"/>
        <w:ind w:left="360" w:hanging="360"/>
        <w:rPr>
          <w:sz w:val="24"/>
          <w:szCs w:val="24"/>
        </w:rPr>
      </w:pPr>
      <w:r w:rsidRPr="004A3307">
        <w:rPr>
          <w:sz w:val="24"/>
          <w:szCs w:val="24"/>
        </w:rPr>
        <w:t xml:space="preserve">   </w:t>
      </w:r>
    </w:p>
    <w:p w:rsidRPr="004A3307" w:rsidR="00025206" w:rsidP="00E63C04" w:rsidRDefault="00571AFC" w14:paraId="51008EB7" w14:textId="7A729E02">
      <w:pPr>
        <w:keepLines/>
        <w:tabs>
          <w:tab w:val="left" w:pos="360"/>
        </w:tabs>
        <w:spacing w:after="80"/>
        <w:ind w:left="360"/>
        <w:rPr>
          <w:sz w:val="24"/>
          <w:szCs w:val="24"/>
        </w:rPr>
      </w:pPr>
      <w:r w:rsidRPr="004A3307">
        <w:rPr>
          <w:sz w:val="24"/>
          <w:szCs w:val="24"/>
        </w:rPr>
        <w:t>The PIV &amp; Pre-Security Form is a fillable form</w:t>
      </w:r>
      <w:r w:rsidRPr="004A3307" w:rsidR="000A7B92">
        <w:rPr>
          <w:sz w:val="24"/>
          <w:szCs w:val="24"/>
        </w:rPr>
        <w:t xml:space="preserve"> </w:t>
      </w:r>
      <w:r w:rsidRPr="004A3307">
        <w:rPr>
          <w:sz w:val="24"/>
          <w:szCs w:val="24"/>
        </w:rPr>
        <w:t>which is completed electronically</w:t>
      </w:r>
      <w:r w:rsidRPr="004A3307" w:rsidR="000A7B92">
        <w:rPr>
          <w:sz w:val="24"/>
          <w:szCs w:val="24"/>
        </w:rPr>
        <w:t>. It</w:t>
      </w:r>
      <w:r w:rsidRPr="004A3307">
        <w:rPr>
          <w:sz w:val="24"/>
          <w:szCs w:val="24"/>
        </w:rPr>
        <w:t xml:space="preserve"> </w:t>
      </w:r>
      <w:r w:rsidRPr="004A3307" w:rsidR="00025206">
        <w:rPr>
          <w:sz w:val="24"/>
          <w:szCs w:val="24"/>
        </w:rPr>
        <w:t>allows HUD the ability to capture data related to all aspects of pre-appointments, suitability determinations, and security clearance process</w:t>
      </w:r>
      <w:r w:rsidRPr="004A3307" w:rsidR="000A7B92">
        <w:rPr>
          <w:sz w:val="24"/>
          <w:szCs w:val="24"/>
        </w:rPr>
        <w:t xml:space="preserve">. This helps </w:t>
      </w:r>
      <w:r w:rsidRPr="004A3307" w:rsidR="00025206">
        <w:rPr>
          <w:sz w:val="24"/>
          <w:szCs w:val="24"/>
        </w:rPr>
        <w:t xml:space="preserve">facilitate the capabilities needed to support multi-user access, workflow definition, workflow tracking, and the ability to interface with interagency systems such as the Office of Personnel Management Electronic Questionnaires for Investigations Processing (e-QIP) and Personnel Investigations Processing System (PIPS). There is no other system duplicative of </w:t>
      </w:r>
      <w:proofErr w:type="spellStart"/>
      <w:r w:rsidRPr="004A3307" w:rsidR="00025206">
        <w:rPr>
          <w:sz w:val="24"/>
          <w:szCs w:val="24"/>
        </w:rPr>
        <w:t>PerSIST</w:t>
      </w:r>
      <w:proofErr w:type="spellEnd"/>
      <w:r w:rsidRPr="004A3307" w:rsidR="00025206">
        <w:rPr>
          <w:sz w:val="24"/>
          <w:szCs w:val="24"/>
        </w:rPr>
        <w:t>.</w:t>
      </w:r>
    </w:p>
    <w:p w:rsidRPr="004A3307" w:rsidR="00025206" w:rsidP="00025206" w:rsidRDefault="00025206" w14:paraId="1D6FEFCE" w14:textId="17725C20">
      <w:pPr>
        <w:keepLines/>
        <w:tabs>
          <w:tab w:val="left" w:pos="360"/>
          <w:tab w:val="left" w:pos="720"/>
        </w:tabs>
        <w:ind w:left="360"/>
        <w:rPr>
          <w:sz w:val="24"/>
          <w:szCs w:val="24"/>
        </w:rPr>
      </w:pPr>
      <w:r w:rsidRPr="004A3307">
        <w:rPr>
          <w:sz w:val="24"/>
          <w:szCs w:val="24"/>
        </w:rPr>
        <w:t xml:space="preserve">       </w:t>
      </w:r>
    </w:p>
    <w:p w:rsidRPr="004A3307" w:rsidR="00025206" w:rsidP="00025206" w:rsidRDefault="00025206" w14:paraId="6A4F65D5" w14:textId="77777777">
      <w:pPr>
        <w:keepLines/>
        <w:tabs>
          <w:tab w:val="left" w:pos="360"/>
        </w:tabs>
        <w:spacing w:after="80"/>
        <w:ind w:left="360" w:hanging="360"/>
        <w:rPr>
          <w:b/>
          <w:bCs/>
          <w:sz w:val="24"/>
          <w:szCs w:val="24"/>
        </w:rPr>
      </w:pPr>
      <w:r w:rsidRPr="004A3307">
        <w:rPr>
          <w:b/>
          <w:bCs/>
          <w:sz w:val="24"/>
          <w:szCs w:val="24"/>
        </w:rPr>
        <w:lastRenderedPageBreak/>
        <w:t>5.</w:t>
      </w:r>
      <w:r w:rsidRPr="004A3307">
        <w:rPr>
          <w:b/>
          <w:bCs/>
          <w:sz w:val="24"/>
          <w:szCs w:val="24"/>
        </w:rPr>
        <w:tab/>
        <w:t>If the collection of information impacts small businesses or other small entities (Item 5 of OMB Form 83-I) describe any methods used to minimize burden.</w:t>
      </w:r>
    </w:p>
    <w:p w:rsidRPr="004A3307" w:rsidR="00457D18" w:rsidP="00025206" w:rsidRDefault="00457D18" w14:paraId="6B160996" w14:textId="77777777">
      <w:pPr>
        <w:keepLines/>
        <w:tabs>
          <w:tab w:val="left" w:pos="360"/>
          <w:tab w:val="left" w:pos="720"/>
        </w:tabs>
        <w:ind w:left="360"/>
        <w:rPr>
          <w:sz w:val="24"/>
          <w:szCs w:val="24"/>
        </w:rPr>
      </w:pPr>
    </w:p>
    <w:p w:rsidRPr="004A3307" w:rsidR="00025206" w:rsidP="00025206" w:rsidRDefault="00025206" w14:paraId="03029ED5" w14:textId="79E1EB8A">
      <w:pPr>
        <w:keepLines/>
        <w:tabs>
          <w:tab w:val="left" w:pos="360"/>
          <w:tab w:val="left" w:pos="720"/>
        </w:tabs>
        <w:ind w:left="360"/>
        <w:rPr>
          <w:sz w:val="24"/>
          <w:szCs w:val="24"/>
        </w:rPr>
      </w:pPr>
      <w:r w:rsidRPr="004A3307">
        <w:rPr>
          <w:sz w:val="24"/>
          <w:szCs w:val="24"/>
        </w:rPr>
        <w:t xml:space="preserve">There is no impact to small businesses, or other businesses. </w:t>
      </w:r>
    </w:p>
    <w:p w:rsidRPr="004A3307" w:rsidR="00025206" w:rsidP="00025206" w:rsidRDefault="00025206" w14:paraId="16940DEC" w14:textId="77777777">
      <w:pPr>
        <w:tabs>
          <w:tab w:val="left" w:pos="360"/>
        </w:tabs>
        <w:ind w:left="360" w:hanging="360"/>
        <w:rPr>
          <w:sz w:val="24"/>
          <w:szCs w:val="24"/>
        </w:rPr>
      </w:pPr>
    </w:p>
    <w:p w:rsidRPr="004A3307" w:rsidR="00025206" w:rsidP="00025206" w:rsidRDefault="00025206" w14:paraId="48E6E796" w14:textId="77777777">
      <w:pPr>
        <w:keepLines/>
        <w:tabs>
          <w:tab w:val="left" w:pos="360"/>
        </w:tabs>
        <w:spacing w:after="80"/>
        <w:ind w:left="360" w:hanging="360"/>
        <w:rPr>
          <w:sz w:val="24"/>
          <w:szCs w:val="24"/>
        </w:rPr>
      </w:pPr>
      <w:r w:rsidRPr="004A3307">
        <w:rPr>
          <w:b/>
          <w:bCs/>
          <w:sz w:val="24"/>
          <w:szCs w:val="24"/>
        </w:rPr>
        <w:t>6.</w:t>
      </w:r>
      <w:r w:rsidRPr="004A3307">
        <w:rPr>
          <w:b/>
          <w:bCs/>
          <w:sz w:val="24"/>
          <w:szCs w:val="24"/>
        </w:rPr>
        <w:tab/>
        <w:t>Describe the consequence to Federal program or policy activities if the collection is not conducted or is conducted less frequently, as well as any technical or legal obstacles to reducing burden</w:t>
      </w:r>
      <w:r w:rsidRPr="004A3307">
        <w:rPr>
          <w:i/>
          <w:iCs/>
          <w:sz w:val="24"/>
          <w:szCs w:val="24"/>
        </w:rPr>
        <w:t>.</w:t>
      </w:r>
    </w:p>
    <w:p w:rsidRPr="004A3307" w:rsidR="00AA377E" w:rsidP="00025206" w:rsidRDefault="00025206" w14:paraId="1CB16A82" w14:textId="21C60D06">
      <w:pPr>
        <w:keepLines/>
        <w:tabs>
          <w:tab w:val="left" w:pos="360"/>
          <w:tab w:val="left" w:pos="720"/>
        </w:tabs>
        <w:ind w:left="360"/>
        <w:rPr>
          <w:sz w:val="24"/>
          <w:szCs w:val="24"/>
        </w:rPr>
      </w:pPr>
      <w:r w:rsidRPr="004A3307">
        <w:rPr>
          <w:sz w:val="24"/>
          <w:szCs w:val="24"/>
        </w:rPr>
        <w:t>Individuals do have an opportunity to object to the collections of their PII, however; if individuals do not provide the requested information in whole or in part, HUD will not be able to complete their identity proofing and registration process. If an individual does not have a PIV card, they will be treated as a visitor when entering the HUD building. They will not have access to certain resources. If holding a PIV card is a condition of employment or obtaining a contract, failure to provide the requested information will adversely affect the individual’s placement or employment prospects.</w:t>
      </w:r>
    </w:p>
    <w:p w:rsidRPr="004A3307" w:rsidR="00AA377E" w:rsidRDefault="00AA377E" w14:paraId="7015FA27" w14:textId="01CFD3DA">
      <w:pPr>
        <w:overflowPunct/>
        <w:autoSpaceDE/>
        <w:autoSpaceDN/>
        <w:adjustRightInd/>
        <w:spacing w:after="160" w:line="259" w:lineRule="auto"/>
        <w:textAlignment w:val="auto"/>
        <w:rPr>
          <w:sz w:val="24"/>
          <w:szCs w:val="24"/>
        </w:rPr>
      </w:pPr>
    </w:p>
    <w:p w:rsidRPr="004A3307" w:rsidR="00025206" w:rsidP="00025206" w:rsidRDefault="00025206" w14:paraId="0E772A94" w14:textId="419847DB">
      <w:pPr>
        <w:numPr>
          <w:ilvl w:val="0"/>
          <w:numId w:val="1"/>
        </w:numPr>
        <w:tabs>
          <w:tab w:val="left" w:pos="360"/>
        </w:tabs>
        <w:rPr>
          <w:b/>
          <w:bCs/>
          <w:sz w:val="24"/>
          <w:szCs w:val="24"/>
        </w:rPr>
      </w:pPr>
      <w:r w:rsidRPr="004A3307">
        <w:rPr>
          <w:b/>
          <w:bCs/>
          <w:sz w:val="24"/>
          <w:szCs w:val="24"/>
        </w:rPr>
        <w:t xml:space="preserve">Explain any special circumstances that would cause an information collection to be conducted in a manner: </w:t>
      </w:r>
    </w:p>
    <w:p w:rsidRPr="004A3307" w:rsidR="00053813" w:rsidP="00053813" w:rsidRDefault="00053813" w14:paraId="0A096C49" w14:textId="77777777">
      <w:pPr>
        <w:tabs>
          <w:tab w:val="left" w:pos="360"/>
        </w:tabs>
        <w:ind w:left="360"/>
        <w:rPr>
          <w:b/>
          <w:bCs/>
          <w:sz w:val="24"/>
          <w:szCs w:val="24"/>
        </w:rPr>
      </w:pPr>
    </w:p>
    <w:p w:rsidRPr="004A3307" w:rsidR="00025206" w:rsidP="00025206" w:rsidRDefault="00025206" w14:paraId="0CA915AF" w14:textId="77777777">
      <w:pPr>
        <w:numPr>
          <w:ilvl w:val="0"/>
          <w:numId w:val="2"/>
        </w:numPr>
        <w:tabs>
          <w:tab w:val="left" w:pos="600"/>
        </w:tabs>
        <w:rPr>
          <w:sz w:val="24"/>
          <w:szCs w:val="24"/>
        </w:rPr>
      </w:pPr>
      <w:r w:rsidRPr="004A3307">
        <w:rPr>
          <w:sz w:val="24"/>
          <w:szCs w:val="24"/>
        </w:rPr>
        <w:t>requiring respondents to report information to the agency more than quarterly; N/A</w:t>
      </w:r>
    </w:p>
    <w:p w:rsidRPr="004A3307" w:rsidR="00025206" w:rsidP="00025206" w:rsidRDefault="00025206" w14:paraId="4DB18A9A" w14:textId="77777777">
      <w:pPr>
        <w:numPr>
          <w:ilvl w:val="0"/>
          <w:numId w:val="2"/>
        </w:numPr>
        <w:tabs>
          <w:tab w:val="left" w:pos="600"/>
        </w:tabs>
        <w:rPr>
          <w:sz w:val="24"/>
          <w:szCs w:val="24"/>
        </w:rPr>
      </w:pPr>
      <w:r w:rsidRPr="004A3307">
        <w:rPr>
          <w:sz w:val="24"/>
          <w:szCs w:val="24"/>
        </w:rPr>
        <w:t xml:space="preserve">requiring respondents to prepare a written response to a collection of information in fewer than 30 days after receipt of </w:t>
      </w:r>
      <w:proofErr w:type="gramStart"/>
      <w:r w:rsidRPr="004A3307">
        <w:rPr>
          <w:sz w:val="24"/>
          <w:szCs w:val="24"/>
        </w:rPr>
        <w:t>it;</w:t>
      </w:r>
      <w:proofErr w:type="gramEnd"/>
      <w:r w:rsidRPr="004A3307">
        <w:rPr>
          <w:sz w:val="24"/>
          <w:szCs w:val="24"/>
        </w:rPr>
        <w:t xml:space="preserve"> N/A</w:t>
      </w:r>
    </w:p>
    <w:p w:rsidRPr="004A3307" w:rsidR="00025206" w:rsidP="00025206" w:rsidRDefault="00025206" w14:paraId="2F1F2058" w14:textId="77777777">
      <w:pPr>
        <w:numPr>
          <w:ilvl w:val="0"/>
          <w:numId w:val="2"/>
        </w:numPr>
        <w:tabs>
          <w:tab w:val="left" w:pos="600"/>
        </w:tabs>
        <w:rPr>
          <w:sz w:val="24"/>
          <w:szCs w:val="24"/>
        </w:rPr>
      </w:pPr>
      <w:r w:rsidRPr="004A3307">
        <w:rPr>
          <w:sz w:val="24"/>
          <w:szCs w:val="24"/>
        </w:rPr>
        <w:t xml:space="preserve">requiring respondents to submit more than an original and two copies of any </w:t>
      </w:r>
      <w:proofErr w:type="gramStart"/>
      <w:r w:rsidRPr="004A3307">
        <w:rPr>
          <w:sz w:val="24"/>
          <w:szCs w:val="24"/>
        </w:rPr>
        <w:t>document;</w:t>
      </w:r>
      <w:proofErr w:type="gramEnd"/>
      <w:r w:rsidRPr="004A3307">
        <w:rPr>
          <w:sz w:val="24"/>
          <w:szCs w:val="24"/>
        </w:rPr>
        <w:t xml:space="preserve"> N/A</w:t>
      </w:r>
    </w:p>
    <w:p w:rsidRPr="004A3307" w:rsidR="00025206" w:rsidP="00025206" w:rsidRDefault="00025206" w14:paraId="5828A71C" w14:textId="77777777">
      <w:pPr>
        <w:numPr>
          <w:ilvl w:val="0"/>
          <w:numId w:val="2"/>
        </w:numPr>
        <w:tabs>
          <w:tab w:val="left" w:pos="600"/>
        </w:tabs>
        <w:rPr>
          <w:sz w:val="24"/>
          <w:szCs w:val="24"/>
        </w:rPr>
      </w:pPr>
      <w:r w:rsidRPr="004A3307">
        <w:rPr>
          <w:sz w:val="24"/>
          <w:szCs w:val="24"/>
        </w:rPr>
        <w:t>requiring respondents to retain records other than health, medical, government contract, grant-in-aid, or tax records for more than three years; N/A</w:t>
      </w:r>
    </w:p>
    <w:p w:rsidRPr="004A3307" w:rsidR="00025206" w:rsidP="00025206" w:rsidRDefault="00025206" w14:paraId="2A9FC087" w14:textId="77777777">
      <w:pPr>
        <w:numPr>
          <w:ilvl w:val="0"/>
          <w:numId w:val="2"/>
        </w:numPr>
        <w:tabs>
          <w:tab w:val="left" w:pos="600"/>
        </w:tabs>
        <w:rPr>
          <w:sz w:val="24"/>
          <w:szCs w:val="24"/>
        </w:rPr>
      </w:pPr>
      <w:r w:rsidRPr="004A3307">
        <w:rPr>
          <w:sz w:val="24"/>
          <w:szCs w:val="24"/>
        </w:rPr>
        <w:t>in connection with a statistical survey, that is not designed to produce valid and reliable results than can be generalized to the universe of study; N/A</w:t>
      </w:r>
    </w:p>
    <w:p w:rsidRPr="004A3307" w:rsidR="00025206" w:rsidP="00025206" w:rsidRDefault="00025206" w14:paraId="4DA9CF56" w14:textId="77777777">
      <w:pPr>
        <w:numPr>
          <w:ilvl w:val="0"/>
          <w:numId w:val="2"/>
        </w:numPr>
        <w:tabs>
          <w:tab w:val="left" w:pos="600"/>
        </w:tabs>
        <w:rPr>
          <w:sz w:val="24"/>
          <w:szCs w:val="24"/>
        </w:rPr>
      </w:pPr>
      <w:r w:rsidRPr="004A3307">
        <w:rPr>
          <w:sz w:val="24"/>
          <w:szCs w:val="24"/>
        </w:rPr>
        <w:t>requiring the use of a statistical data classification that has not been reviewed and approved by OMB; N/A</w:t>
      </w:r>
    </w:p>
    <w:p w:rsidRPr="004A3307" w:rsidR="00025206" w:rsidP="00025206" w:rsidRDefault="00025206" w14:paraId="0683FD59" w14:textId="77777777">
      <w:pPr>
        <w:numPr>
          <w:ilvl w:val="0"/>
          <w:numId w:val="2"/>
        </w:numPr>
        <w:tabs>
          <w:tab w:val="left" w:pos="600"/>
        </w:tabs>
        <w:rPr>
          <w:sz w:val="24"/>
          <w:szCs w:val="24"/>
        </w:rPr>
      </w:pPr>
      <w:r w:rsidRPr="004A3307">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N/A or </w:t>
      </w:r>
    </w:p>
    <w:p w:rsidRPr="004A3307" w:rsidR="00025206" w:rsidP="00025206" w:rsidRDefault="00025206" w14:paraId="109AF06A" w14:textId="77777777">
      <w:pPr>
        <w:keepLines/>
        <w:numPr>
          <w:ilvl w:val="0"/>
          <w:numId w:val="2"/>
        </w:numPr>
        <w:tabs>
          <w:tab w:val="left" w:pos="600"/>
        </w:tabs>
        <w:spacing w:after="80"/>
        <w:rPr>
          <w:sz w:val="24"/>
          <w:szCs w:val="24"/>
        </w:rPr>
      </w:pPr>
      <w:r w:rsidRPr="004A3307">
        <w:rPr>
          <w:sz w:val="24"/>
          <w:szCs w:val="24"/>
        </w:rPr>
        <w:t>requiring respondents to submit proprietary trade secret, or other confidential information unless the agency can demonstrate that it has instituted procedures to protect the information's confidentiality to the extent permitted by law. N/A</w:t>
      </w:r>
    </w:p>
    <w:p w:rsidRPr="004A3307" w:rsidR="00025206" w:rsidP="00025206" w:rsidRDefault="00025206" w14:paraId="2305C503" w14:textId="77777777">
      <w:pPr>
        <w:keepLines/>
        <w:tabs>
          <w:tab w:val="left" w:pos="360"/>
          <w:tab w:val="left" w:pos="720"/>
        </w:tabs>
        <w:ind w:left="360"/>
        <w:rPr>
          <w:sz w:val="24"/>
          <w:szCs w:val="24"/>
        </w:rPr>
      </w:pPr>
    </w:p>
    <w:p w:rsidRPr="004A3307" w:rsidR="00025206" w:rsidP="00025206" w:rsidRDefault="00025206" w14:paraId="2F63C7E7" w14:textId="77777777">
      <w:pPr>
        <w:tabs>
          <w:tab w:val="left" w:pos="360"/>
        </w:tabs>
        <w:ind w:left="360" w:hanging="360"/>
        <w:rPr>
          <w:b/>
          <w:bCs/>
          <w:sz w:val="24"/>
          <w:szCs w:val="24"/>
        </w:rPr>
      </w:pPr>
      <w:r w:rsidRPr="004A3307">
        <w:rPr>
          <w:b/>
          <w:bCs/>
          <w:sz w:val="24"/>
          <w:szCs w:val="24"/>
        </w:rPr>
        <w:t xml:space="preserve"> 8.</w:t>
      </w:r>
      <w:r w:rsidRPr="004A3307">
        <w:rPr>
          <w:b/>
          <w:bCs/>
          <w:sz w:val="24"/>
          <w:szCs w:val="24"/>
        </w:rPr>
        <w:tab/>
        <w:t xml:space="preserve">If applicable, provide a copy and identify the date and page number of </w:t>
      </w:r>
      <w:proofErr w:type="gramStart"/>
      <w:r w:rsidRPr="004A3307">
        <w:rPr>
          <w:b/>
          <w:bCs/>
          <w:sz w:val="24"/>
          <w:szCs w:val="24"/>
        </w:rPr>
        <w:t>publication</w:t>
      </w:r>
      <w:proofErr w:type="gramEnd"/>
      <w:r w:rsidRPr="004A3307">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4A3307" w:rsidR="00025206" w:rsidP="00025206" w:rsidRDefault="00025206" w14:paraId="21F8AB28" w14:textId="77777777">
      <w:pPr>
        <w:numPr>
          <w:ilvl w:val="0"/>
          <w:numId w:val="2"/>
        </w:numPr>
        <w:tabs>
          <w:tab w:val="left" w:pos="360"/>
        </w:tabs>
        <w:ind w:left="480"/>
        <w:rPr>
          <w:b/>
          <w:bCs/>
          <w:sz w:val="24"/>
          <w:szCs w:val="24"/>
        </w:rPr>
      </w:pPr>
      <w:r w:rsidRPr="004A3307">
        <w:rPr>
          <w:b/>
          <w:bCs/>
          <w:sz w:val="24"/>
          <w:szCs w:val="24"/>
        </w:rPr>
        <w:lastRenderedPageBreak/>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4A3307" w:rsidR="0006664D" w:rsidP="00025206" w:rsidRDefault="00025206" w14:paraId="169153D7" w14:textId="5D0A2A57">
      <w:pPr>
        <w:keepLines/>
        <w:numPr>
          <w:ilvl w:val="0"/>
          <w:numId w:val="2"/>
        </w:numPr>
        <w:tabs>
          <w:tab w:val="left" w:pos="360"/>
        </w:tabs>
        <w:spacing w:after="80"/>
        <w:ind w:left="480"/>
        <w:rPr>
          <w:i/>
          <w:iCs/>
          <w:sz w:val="24"/>
          <w:szCs w:val="24"/>
        </w:rPr>
      </w:pPr>
      <w:r w:rsidRPr="004A3307">
        <w:rPr>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4A3307">
        <w:rPr>
          <w:i/>
          <w:iCs/>
          <w:sz w:val="24"/>
          <w:szCs w:val="24"/>
        </w:rPr>
        <w:t>.</w:t>
      </w:r>
    </w:p>
    <w:p w:rsidRPr="004A3307" w:rsidR="0006664D" w:rsidP="0006664D" w:rsidRDefault="0006664D" w14:paraId="6A072943" w14:textId="2FC6F17E">
      <w:pPr>
        <w:keepLines/>
        <w:tabs>
          <w:tab w:val="left" w:pos="360"/>
        </w:tabs>
        <w:spacing w:after="80"/>
        <w:rPr>
          <w:i/>
          <w:iCs/>
          <w:sz w:val="24"/>
          <w:szCs w:val="24"/>
        </w:rPr>
      </w:pPr>
    </w:p>
    <w:p w:rsidRPr="004A3307" w:rsidR="000B0F39" w:rsidP="00E72862" w:rsidRDefault="008C5177" w14:paraId="06B26B5A" w14:textId="55737D0B">
      <w:pPr>
        <w:ind w:left="360"/>
        <w:rPr>
          <w:sz w:val="24"/>
          <w:szCs w:val="24"/>
        </w:rPr>
      </w:pPr>
      <w:r w:rsidRPr="004A3307">
        <w:rPr>
          <w:sz w:val="24"/>
          <w:szCs w:val="24"/>
        </w:rPr>
        <w:t>In accordance with 5 CF</w:t>
      </w:r>
      <w:r w:rsidR="008D14C8">
        <w:rPr>
          <w:sz w:val="24"/>
          <w:szCs w:val="24"/>
        </w:rPr>
        <w:t>R</w:t>
      </w:r>
      <w:r w:rsidRPr="004A3307">
        <w:rPr>
          <w:sz w:val="24"/>
          <w:szCs w:val="24"/>
        </w:rPr>
        <w:t xml:space="preserve"> 1320.8(d), this information collection soliciting public comments was announced in the Federal Register on </w:t>
      </w:r>
      <w:r w:rsidRPr="004A3307" w:rsidR="0062114D">
        <w:rPr>
          <w:sz w:val="24"/>
          <w:szCs w:val="24"/>
        </w:rPr>
        <w:t>May 21, 2021</w:t>
      </w:r>
      <w:r w:rsidRPr="004A3307">
        <w:rPr>
          <w:sz w:val="24"/>
          <w:szCs w:val="24"/>
        </w:rPr>
        <w:t>, Volume</w:t>
      </w:r>
      <w:r w:rsidRPr="004A3307" w:rsidR="0062114D">
        <w:rPr>
          <w:sz w:val="24"/>
          <w:szCs w:val="24"/>
        </w:rPr>
        <w:t xml:space="preserve"> 86</w:t>
      </w:r>
      <w:r w:rsidRPr="004A3307">
        <w:rPr>
          <w:sz w:val="24"/>
          <w:szCs w:val="24"/>
        </w:rPr>
        <w:t xml:space="preserve">, No. </w:t>
      </w:r>
      <w:r w:rsidRPr="004A3307" w:rsidR="0062114D">
        <w:rPr>
          <w:sz w:val="24"/>
          <w:szCs w:val="24"/>
        </w:rPr>
        <w:t>97</w:t>
      </w:r>
      <w:r w:rsidRPr="004A3307">
        <w:rPr>
          <w:sz w:val="24"/>
          <w:szCs w:val="24"/>
        </w:rPr>
        <w:t>, Page</w:t>
      </w:r>
      <w:r w:rsidRPr="004A3307" w:rsidR="000B0F39">
        <w:rPr>
          <w:sz w:val="24"/>
          <w:szCs w:val="24"/>
        </w:rPr>
        <w:t>s</w:t>
      </w:r>
      <w:r w:rsidRPr="004A3307" w:rsidR="0062114D">
        <w:rPr>
          <w:sz w:val="24"/>
          <w:szCs w:val="24"/>
        </w:rPr>
        <w:t xml:space="preserve"> 27644</w:t>
      </w:r>
      <w:r w:rsidRPr="004A3307" w:rsidR="000B0F39">
        <w:rPr>
          <w:sz w:val="24"/>
          <w:szCs w:val="24"/>
        </w:rPr>
        <w:t>-27645</w:t>
      </w:r>
      <w:r w:rsidRPr="004A3307">
        <w:rPr>
          <w:sz w:val="24"/>
          <w:szCs w:val="24"/>
        </w:rPr>
        <w:t xml:space="preserve">. </w:t>
      </w:r>
      <w:r w:rsidRPr="004A3307" w:rsidR="000B0F39">
        <w:rPr>
          <w:sz w:val="24"/>
          <w:szCs w:val="24"/>
        </w:rPr>
        <w:t xml:space="preserve">In accordance with the Paperwork Reduction Act of 1995, HUD published a 60-Day Notice of Proposed Information Collection in the Federal Register on May 20, 2021. The docket number was FR-7043-N-01, and the notice appeared on pages 27644-27645. The notice provided a 60-day period for public comments, and comments were due by July 20, 2021. HUD received a comment from Mr. Jeffrey L. Rhodes, Esquire, with McInroy, Rigby &amp; Rhodes, LLP, whether the proposed collection of information is necessary for the proper performance of the functions of the agency, including whether the information will have practical utility. HUD submitted a response to Mr. Jeffrey Rhodes, Esq on </w:t>
      </w:r>
      <w:r w:rsidRPr="004A3307" w:rsidR="001A7F81">
        <w:rPr>
          <w:sz w:val="24"/>
          <w:szCs w:val="24"/>
        </w:rPr>
        <w:t>8/6/</w:t>
      </w:r>
      <w:r w:rsidRPr="004A3307" w:rsidR="000B0F39">
        <w:rPr>
          <w:sz w:val="24"/>
          <w:szCs w:val="24"/>
        </w:rPr>
        <w:t>/2021</w:t>
      </w:r>
      <w:r w:rsidRPr="004A3307" w:rsidR="001A7F81">
        <w:rPr>
          <w:sz w:val="24"/>
          <w:szCs w:val="24"/>
        </w:rPr>
        <w:t>.</w:t>
      </w:r>
    </w:p>
    <w:p w:rsidRPr="004A3307" w:rsidR="00025206" w:rsidP="0006664D" w:rsidRDefault="00025206" w14:paraId="5BCAE6E2" w14:textId="3229448E">
      <w:pPr>
        <w:keepLines/>
        <w:tabs>
          <w:tab w:val="left" w:pos="360"/>
        </w:tabs>
        <w:spacing w:after="80"/>
        <w:ind w:left="480"/>
        <w:rPr>
          <w:i/>
          <w:iCs/>
          <w:sz w:val="24"/>
          <w:szCs w:val="24"/>
        </w:rPr>
      </w:pPr>
    </w:p>
    <w:p w:rsidRPr="004A3307" w:rsidR="00025206" w:rsidP="00025206" w:rsidRDefault="00025206" w14:paraId="672FE984" w14:textId="2873E2E5">
      <w:pPr>
        <w:keepLines/>
        <w:tabs>
          <w:tab w:val="left" w:pos="360"/>
        </w:tabs>
        <w:spacing w:after="80"/>
        <w:ind w:left="360" w:hanging="360"/>
        <w:rPr>
          <w:sz w:val="24"/>
          <w:szCs w:val="24"/>
        </w:rPr>
      </w:pPr>
      <w:r w:rsidRPr="004A3307">
        <w:rPr>
          <w:b/>
          <w:bCs/>
          <w:sz w:val="24"/>
          <w:szCs w:val="24"/>
        </w:rPr>
        <w:t>9.</w:t>
      </w:r>
      <w:r w:rsidRPr="004A3307">
        <w:rPr>
          <w:b/>
          <w:bCs/>
          <w:sz w:val="24"/>
          <w:szCs w:val="24"/>
        </w:rPr>
        <w:tab/>
        <w:t>Explain any decision to provide any payment or gift to respondents, other than remuneration of contractors or grantees</w:t>
      </w:r>
      <w:r w:rsidRPr="004A3307">
        <w:rPr>
          <w:i/>
          <w:iCs/>
          <w:sz w:val="24"/>
          <w:szCs w:val="24"/>
        </w:rPr>
        <w:t>.</w:t>
      </w:r>
    </w:p>
    <w:p w:rsidRPr="004A3307" w:rsidR="00142C4A" w:rsidP="00025206" w:rsidRDefault="00142C4A" w14:paraId="683DBDE6" w14:textId="77777777">
      <w:pPr>
        <w:keepLines/>
        <w:tabs>
          <w:tab w:val="left" w:pos="360"/>
          <w:tab w:val="left" w:pos="720"/>
        </w:tabs>
        <w:ind w:left="360"/>
        <w:rPr>
          <w:sz w:val="24"/>
          <w:szCs w:val="24"/>
        </w:rPr>
      </w:pPr>
    </w:p>
    <w:p w:rsidRPr="004A3307" w:rsidR="00025206" w:rsidP="00025206" w:rsidRDefault="00025206" w14:paraId="341E5BD9" w14:textId="096469B1">
      <w:pPr>
        <w:keepLines/>
        <w:tabs>
          <w:tab w:val="left" w:pos="360"/>
          <w:tab w:val="left" w:pos="720"/>
        </w:tabs>
        <w:ind w:left="360"/>
        <w:rPr>
          <w:sz w:val="24"/>
          <w:szCs w:val="24"/>
        </w:rPr>
      </w:pPr>
      <w:r w:rsidRPr="004A3307">
        <w:rPr>
          <w:sz w:val="24"/>
          <w:szCs w:val="24"/>
        </w:rPr>
        <w:t xml:space="preserve">No payment </w:t>
      </w:r>
      <w:r w:rsidRPr="004A3307" w:rsidR="009E3DEE">
        <w:rPr>
          <w:sz w:val="24"/>
          <w:szCs w:val="24"/>
        </w:rPr>
        <w:t xml:space="preserve">or gift </w:t>
      </w:r>
      <w:r w:rsidRPr="004A3307">
        <w:rPr>
          <w:sz w:val="24"/>
          <w:szCs w:val="24"/>
        </w:rPr>
        <w:t>is provided.</w:t>
      </w:r>
    </w:p>
    <w:p w:rsidRPr="004A3307" w:rsidR="00053813" w:rsidP="00025206" w:rsidRDefault="00053813" w14:paraId="6C375735" w14:textId="22197707">
      <w:pPr>
        <w:keepLines/>
        <w:tabs>
          <w:tab w:val="left" w:pos="360"/>
          <w:tab w:val="left" w:pos="720"/>
        </w:tabs>
        <w:ind w:left="360"/>
        <w:rPr>
          <w:sz w:val="24"/>
          <w:szCs w:val="24"/>
        </w:rPr>
      </w:pPr>
    </w:p>
    <w:p w:rsidRPr="004A3307" w:rsidR="00025206" w:rsidP="00025206" w:rsidRDefault="00025206" w14:paraId="0BB66715" w14:textId="77777777">
      <w:pPr>
        <w:tabs>
          <w:tab w:val="left" w:pos="360"/>
        </w:tabs>
        <w:ind w:left="360" w:hanging="360"/>
        <w:rPr>
          <w:sz w:val="24"/>
          <w:szCs w:val="24"/>
        </w:rPr>
      </w:pPr>
    </w:p>
    <w:p w:rsidRPr="004A3307" w:rsidR="00025206" w:rsidP="00025206" w:rsidRDefault="00025206" w14:paraId="6F9D3C89" w14:textId="3E772625">
      <w:pPr>
        <w:keepLines/>
        <w:tabs>
          <w:tab w:val="left" w:pos="360"/>
        </w:tabs>
        <w:spacing w:after="80"/>
        <w:ind w:left="360" w:hanging="360"/>
        <w:rPr>
          <w:sz w:val="24"/>
          <w:szCs w:val="24"/>
        </w:rPr>
      </w:pPr>
      <w:r w:rsidRPr="004A3307">
        <w:rPr>
          <w:b/>
          <w:bCs/>
          <w:sz w:val="24"/>
          <w:szCs w:val="24"/>
        </w:rPr>
        <w:t>10.</w:t>
      </w:r>
      <w:r w:rsidRPr="004A3307">
        <w:rPr>
          <w:b/>
          <w:bCs/>
          <w:sz w:val="24"/>
          <w:szCs w:val="24"/>
        </w:rPr>
        <w:tab/>
        <w:t xml:space="preserve">Describe any assurance of confidentiality provided to respondents and the basis for assurance in statute, </w:t>
      </w:r>
      <w:proofErr w:type="gramStart"/>
      <w:r w:rsidRPr="004A3307">
        <w:rPr>
          <w:b/>
          <w:bCs/>
          <w:sz w:val="24"/>
          <w:szCs w:val="24"/>
        </w:rPr>
        <w:t>regulation</w:t>
      </w:r>
      <w:proofErr w:type="gramEnd"/>
      <w:r w:rsidRPr="004A3307">
        <w:rPr>
          <w:b/>
          <w:bCs/>
          <w:sz w:val="24"/>
          <w:szCs w:val="24"/>
        </w:rPr>
        <w:t xml:space="preserve"> or agency policy</w:t>
      </w:r>
      <w:r w:rsidRPr="004A3307">
        <w:rPr>
          <w:i/>
          <w:iCs/>
          <w:sz w:val="24"/>
          <w:szCs w:val="24"/>
        </w:rPr>
        <w:t>.</w:t>
      </w:r>
    </w:p>
    <w:p w:rsidRPr="004A3307" w:rsidR="00053813" w:rsidP="00025206" w:rsidRDefault="00053813" w14:paraId="7BFF31EE" w14:textId="77777777">
      <w:pPr>
        <w:keepLines/>
        <w:tabs>
          <w:tab w:val="left" w:pos="360"/>
        </w:tabs>
        <w:spacing w:after="80"/>
        <w:ind w:left="360" w:hanging="360"/>
        <w:rPr>
          <w:sz w:val="24"/>
          <w:szCs w:val="24"/>
        </w:rPr>
      </w:pPr>
    </w:p>
    <w:p w:rsidRPr="004A3307" w:rsidR="008C5177" w:rsidP="00025206" w:rsidRDefault="007A63BF" w14:paraId="59347A52" w14:textId="5A839B58">
      <w:pPr>
        <w:keepLines/>
        <w:tabs>
          <w:tab w:val="left" w:pos="360"/>
          <w:tab w:val="left" w:pos="720"/>
        </w:tabs>
        <w:ind w:left="360"/>
        <w:rPr>
          <w:sz w:val="24"/>
          <w:szCs w:val="24"/>
        </w:rPr>
      </w:pPr>
      <w:r w:rsidRPr="004A3307">
        <w:rPr>
          <w:sz w:val="24"/>
          <w:szCs w:val="24"/>
        </w:rPr>
        <w:t xml:space="preserve">The Privacy Act </w:t>
      </w:r>
      <w:r w:rsidRPr="004A3307" w:rsidR="00187D13">
        <w:rPr>
          <w:sz w:val="24"/>
          <w:szCs w:val="24"/>
        </w:rPr>
        <w:t xml:space="preserve">(5 U.S.C § 552a) </w:t>
      </w:r>
      <w:r w:rsidRPr="004A3307">
        <w:rPr>
          <w:sz w:val="24"/>
          <w:szCs w:val="24"/>
        </w:rPr>
        <w:t xml:space="preserve">protects the information </w:t>
      </w:r>
      <w:r w:rsidRPr="004A3307" w:rsidR="00187D13">
        <w:rPr>
          <w:sz w:val="24"/>
          <w:szCs w:val="24"/>
        </w:rPr>
        <w:t xml:space="preserve">being </w:t>
      </w:r>
      <w:r w:rsidRPr="004A3307">
        <w:rPr>
          <w:sz w:val="24"/>
          <w:szCs w:val="24"/>
        </w:rPr>
        <w:t xml:space="preserve">collected. </w:t>
      </w:r>
      <w:r w:rsidRPr="004A3307" w:rsidR="00025206">
        <w:rPr>
          <w:sz w:val="24"/>
          <w:szCs w:val="24"/>
        </w:rPr>
        <w:t>OPM</w:t>
      </w:r>
      <w:r w:rsidRPr="004A3307" w:rsidR="000D264E">
        <w:rPr>
          <w:sz w:val="24"/>
          <w:szCs w:val="24"/>
        </w:rPr>
        <w:t xml:space="preserve"> and HUD provides a </w:t>
      </w:r>
      <w:r w:rsidRPr="004A3307" w:rsidR="00025206">
        <w:rPr>
          <w:sz w:val="24"/>
          <w:szCs w:val="24"/>
        </w:rPr>
        <w:t xml:space="preserve">Privacy Act Statement (PAS), </w:t>
      </w:r>
      <w:r w:rsidRPr="004A3307" w:rsidR="000D264E">
        <w:rPr>
          <w:sz w:val="24"/>
          <w:szCs w:val="24"/>
        </w:rPr>
        <w:t xml:space="preserve">in which </w:t>
      </w:r>
      <w:r w:rsidRPr="004A3307" w:rsidR="00025206">
        <w:rPr>
          <w:sz w:val="24"/>
          <w:szCs w:val="24"/>
        </w:rPr>
        <w:t>individuals</w:t>
      </w:r>
      <w:r w:rsidRPr="004A3307" w:rsidR="000D264E">
        <w:rPr>
          <w:sz w:val="24"/>
          <w:szCs w:val="24"/>
        </w:rPr>
        <w:t xml:space="preserve"> are informe</w:t>
      </w:r>
      <w:r w:rsidRPr="004A3307" w:rsidR="005F290E">
        <w:rPr>
          <w:sz w:val="24"/>
          <w:szCs w:val="24"/>
        </w:rPr>
        <w:t xml:space="preserve">d, </w:t>
      </w:r>
      <w:r w:rsidRPr="004A3307" w:rsidR="000D264E">
        <w:rPr>
          <w:sz w:val="24"/>
          <w:szCs w:val="24"/>
        </w:rPr>
        <w:t xml:space="preserve">when completing security processing forms with respect to having a </w:t>
      </w:r>
      <w:r w:rsidRPr="004A3307" w:rsidR="00025206">
        <w:rPr>
          <w:sz w:val="24"/>
          <w:szCs w:val="24"/>
        </w:rPr>
        <w:t xml:space="preserve">background investigation initiated on their behalf. Upon signing and submitting the security forms, the </w:t>
      </w:r>
      <w:proofErr w:type="gramStart"/>
      <w:r w:rsidRPr="004A3307" w:rsidR="00025206">
        <w:rPr>
          <w:sz w:val="24"/>
          <w:szCs w:val="24"/>
        </w:rPr>
        <w:t>employees</w:t>
      </w:r>
      <w:proofErr w:type="gramEnd"/>
      <w:r w:rsidRPr="004A3307" w:rsidR="00025206">
        <w:rPr>
          <w:sz w:val="24"/>
          <w:szCs w:val="24"/>
        </w:rPr>
        <w:t xml:space="preserve"> or contractors subsequently, signs the Privacy Act Statement, as well. </w:t>
      </w:r>
    </w:p>
    <w:p w:rsidRPr="004A3307" w:rsidR="00025206" w:rsidP="008E2781" w:rsidRDefault="00025206" w14:paraId="367AAF20" w14:textId="20D67D9D">
      <w:pPr>
        <w:overflowPunct/>
        <w:autoSpaceDE/>
        <w:autoSpaceDN/>
        <w:adjustRightInd/>
        <w:spacing w:after="160" w:line="259" w:lineRule="auto"/>
        <w:ind w:firstLine="360"/>
        <w:textAlignment w:val="auto"/>
        <w:rPr>
          <w:sz w:val="24"/>
          <w:szCs w:val="24"/>
        </w:rPr>
      </w:pPr>
    </w:p>
    <w:p w:rsidRPr="004A3307" w:rsidR="00025206" w:rsidP="00025206" w:rsidRDefault="00025206" w14:paraId="788A5896" w14:textId="77777777">
      <w:pPr>
        <w:keepLines/>
        <w:tabs>
          <w:tab w:val="left" w:pos="360"/>
        </w:tabs>
        <w:spacing w:after="80"/>
        <w:ind w:left="360" w:hanging="360"/>
        <w:rPr>
          <w:b/>
          <w:bCs/>
          <w:sz w:val="24"/>
          <w:szCs w:val="24"/>
        </w:rPr>
      </w:pPr>
      <w:r w:rsidRPr="004A3307">
        <w:rPr>
          <w:b/>
          <w:bCs/>
          <w:sz w:val="24"/>
          <w:szCs w:val="24"/>
        </w:rPr>
        <w:t>11.</w:t>
      </w:r>
      <w:r w:rsidRPr="004A3307">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A3307" w:rsidR="00457D18" w:rsidP="00025206" w:rsidRDefault="00457D18" w14:paraId="1EB383C7" w14:textId="77777777">
      <w:pPr>
        <w:keepLines/>
        <w:tabs>
          <w:tab w:val="left" w:pos="360"/>
          <w:tab w:val="left" w:pos="720"/>
        </w:tabs>
        <w:ind w:left="360"/>
        <w:rPr>
          <w:sz w:val="24"/>
          <w:szCs w:val="24"/>
        </w:rPr>
      </w:pPr>
    </w:p>
    <w:p w:rsidRPr="004A3307" w:rsidR="00025206" w:rsidP="00025206" w:rsidRDefault="00025206" w14:paraId="6E757264" w14:textId="6EA48E66">
      <w:pPr>
        <w:keepLines/>
        <w:tabs>
          <w:tab w:val="left" w:pos="360"/>
          <w:tab w:val="left" w:pos="720"/>
        </w:tabs>
        <w:ind w:left="360"/>
        <w:rPr>
          <w:sz w:val="24"/>
          <w:szCs w:val="24"/>
        </w:rPr>
      </w:pPr>
      <w:r w:rsidRPr="004A3307">
        <w:rPr>
          <w:sz w:val="24"/>
          <w:szCs w:val="24"/>
        </w:rPr>
        <w:t>None of the information collection describe</w:t>
      </w:r>
      <w:r w:rsidRPr="004A3307" w:rsidR="006F4434">
        <w:rPr>
          <w:sz w:val="24"/>
          <w:szCs w:val="24"/>
        </w:rPr>
        <w:t>d</w:t>
      </w:r>
      <w:r w:rsidRPr="004A3307">
        <w:rPr>
          <w:sz w:val="24"/>
          <w:szCs w:val="24"/>
        </w:rPr>
        <w:t xml:space="preserve"> herein includes questions of a sen</w:t>
      </w:r>
      <w:r w:rsidRPr="004A3307" w:rsidR="00457D18">
        <w:rPr>
          <w:sz w:val="24"/>
          <w:szCs w:val="24"/>
        </w:rPr>
        <w:t>s</w:t>
      </w:r>
      <w:r w:rsidRPr="004A3307">
        <w:rPr>
          <w:sz w:val="24"/>
          <w:szCs w:val="24"/>
        </w:rPr>
        <w:t xml:space="preserve">itive nature. </w:t>
      </w:r>
    </w:p>
    <w:p w:rsidRPr="004A3307" w:rsidR="00025206" w:rsidP="00025206" w:rsidRDefault="00025206" w14:paraId="2AB268EE" w14:textId="77777777">
      <w:pPr>
        <w:tabs>
          <w:tab w:val="left" w:pos="360"/>
        </w:tabs>
        <w:ind w:left="360" w:hanging="360"/>
        <w:rPr>
          <w:sz w:val="24"/>
          <w:szCs w:val="24"/>
        </w:rPr>
      </w:pPr>
    </w:p>
    <w:p w:rsidRPr="004A3307" w:rsidR="00025206" w:rsidP="00E72862" w:rsidRDefault="00025206" w14:paraId="19703D04" w14:textId="77777777">
      <w:pPr>
        <w:ind w:left="360" w:hanging="360"/>
        <w:rPr>
          <w:b/>
          <w:bCs/>
          <w:sz w:val="24"/>
          <w:szCs w:val="24"/>
        </w:rPr>
      </w:pPr>
      <w:r w:rsidRPr="004A3307">
        <w:rPr>
          <w:b/>
          <w:bCs/>
          <w:sz w:val="24"/>
          <w:szCs w:val="24"/>
        </w:rPr>
        <w:t>12.</w:t>
      </w:r>
      <w:r w:rsidRPr="004A3307">
        <w:rPr>
          <w:b/>
          <w:bCs/>
          <w:sz w:val="24"/>
          <w:szCs w:val="24"/>
        </w:rPr>
        <w:tab/>
        <w:t xml:space="preserve">Provide estimates of the hour burden of the collection of information.  The statement should: </w:t>
      </w:r>
    </w:p>
    <w:p w:rsidRPr="004A3307" w:rsidR="00025206" w:rsidP="00025206" w:rsidRDefault="00025206" w14:paraId="01E19208" w14:textId="77777777">
      <w:pPr>
        <w:numPr>
          <w:ilvl w:val="0"/>
          <w:numId w:val="2"/>
        </w:numPr>
        <w:tabs>
          <w:tab w:val="left" w:pos="480"/>
        </w:tabs>
        <w:ind w:left="480"/>
        <w:rPr>
          <w:b/>
          <w:bCs/>
          <w:sz w:val="24"/>
          <w:szCs w:val="24"/>
        </w:rPr>
      </w:pPr>
      <w:r w:rsidRPr="004A3307">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4A3307">
        <w:rPr>
          <w:b/>
          <w:bCs/>
          <w:sz w:val="24"/>
          <w:szCs w:val="24"/>
        </w:rPr>
        <w:t>practices;</w:t>
      </w:r>
      <w:proofErr w:type="gramEnd"/>
      <w:r w:rsidRPr="004A3307">
        <w:rPr>
          <w:b/>
          <w:bCs/>
          <w:sz w:val="24"/>
          <w:szCs w:val="24"/>
        </w:rPr>
        <w:t xml:space="preserve"> </w:t>
      </w:r>
    </w:p>
    <w:p w:rsidRPr="004A3307" w:rsidR="00025206" w:rsidP="00025206" w:rsidRDefault="00025206" w14:paraId="45ABECA3" w14:textId="77777777">
      <w:pPr>
        <w:numPr>
          <w:ilvl w:val="0"/>
          <w:numId w:val="2"/>
        </w:numPr>
        <w:tabs>
          <w:tab w:val="left" w:pos="480"/>
        </w:tabs>
        <w:ind w:left="480"/>
        <w:rPr>
          <w:b/>
          <w:bCs/>
          <w:sz w:val="24"/>
          <w:szCs w:val="24"/>
        </w:rPr>
      </w:pPr>
      <w:r w:rsidRPr="004A3307">
        <w:rPr>
          <w:b/>
          <w:bCs/>
          <w:sz w:val="24"/>
          <w:szCs w:val="24"/>
        </w:rPr>
        <w:t>if this request covers more than one form, provide separate hour burden estimates for each form and aggregate the hour burdens in Item 13 of OMB Form 83-</w:t>
      </w:r>
      <w:proofErr w:type="gramStart"/>
      <w:r w:rsidRPr="004A3307">
        <w:rPr>
          <w:b/>
          <w:bCs/>
          <w:sz w:val="24"/>
          <w:szCs w:val="24"/>
        </w:rPr>
        <w:t>I;</w:t>
      </w:r>
      <w:proofErr w:type="gramEnd"/>
      <w:r w:rsidRPr="004A3307">
        <w:rPr>
          <w:b/>
          <w:bCs/>
          <w:sz w:val="24"/>
          <w:szCs w:val="24"/>
        </w:rPr>
        <w:t xml:space="preserve"> and </w:t>
      </w:r>
    </w:p>
    <w:p w:rsidRPr="004A3307" w:rsidR="00457D18" w:rsidP="00025206" w:rsidRDefault="00025206" w14:paraId="2A3FB504" w14:textId="77777777">
      <w:pPr>
        <w:keepLines/>
        <w:numPr>
          <w:ilvl w:val="0"/>
          <w:numId w:val="2"/>
        </w:numPr>
        <w:tabs>
          <w:tab w:val="left" w:pos="480"/>
        </w:tabs>
        <w:spacing w:after="80"/>
        <w:ind w:left="480"/>
        <w:rPr>
          <w:b/>
          <w:bCs/>
          <w:sz w:val="24"/>
          <w:szCs w:val="24"/>
        </w:rPr>
      </w:pPr>
      <w:r w:rsidRPr="004A3307">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Pr="004A3307" w:rsidR="00025206" w:rsidP="00457D18" w:rsidRDefault="00025206" w14:paraId="6FA1F7BD" w14:textId="69101485">
      <w:pPr>
        <w:keepLines/>
        <w:tabs>
          <w:tab w:val="left" w:pos="480"/>
        </w:tabs>
        <w:spacing w:after="80"/>
        <w:ind w:left="480"/>
        <w:rPr>
          <w:b/>
          <w:bCs/>
          <w:sz w:val="24"/>
          <w:szCs w:val="24"/>
        </w:rPr>
      </w:pPr>
      <w:proofErr w:type="gramStart"/>
      <w:r w:rsidRPr="004A3307">
        <w:rPr>
          <w:b/>
          <w:bCs/>
          <w:sz w:val="24"/>
          <w:szCs w:val="24"/>
        </w:rPr>
        <w:t>Instead</w:t>
      </w:r>
      <w:proofErr w:type="gramEnd"/>
      <w:r w:rsidRPr="004A3307">
        <w:rPr>
          <w:b/>
          <w:bCs/>
          <w:sz w:val="24"/>
          <w:szCs w:val="24"/>
        </w:rPr>
        <w:t xml:space="preserve"> this cost should be included in Item 13. </w:t>
      </w:r>
    </w:p>
    <w:p w:rsidRPr="004A3307" w:rsidR="00457D18" w:rsidP="00457D18" w:rsidRDefault="00367D4A" w14:paraId="4E421BB5" w14:textId="16BE6437">
      <w:pPr>
        <w:keepLines/>
        <w:tabs>
          <w:tab w:val="left" w:pos="480"/>
        </w:tabs>
        <w:spacing w:after="80"/>
        <w:ind w:left="480"/>
        <w:rPr>
          <w:sz w:val="24"/>
          <w:szCs w:val="24"/>
        </w:rPr>
      </w:pPr>
      <w:r w:rsidRPr="004A3307">
        <w:rPr>
          <w:sz w:val="24"/>
          <w:szCs w:val="24"/>
        </w:rPr>
        <w:t xml:space="preserve"> </w:t>
      </w:r>
    </w:p>
    <w:tbl>
      <w:tblPr>
        <w:tblW w:w="10170" w:type="dxa"/>
        <w:tblInd w:w="-118" w:type="dxa"/>
        <w:tblLayout w:type="fixed"/>
        <w:tblCellMar>
          <w:left w:w="0" w:type="dxa"/>
          <w:right w:w="0" w:type="dxa"/>
        </w:tblCellMar>
        <w:tblLook w:val="04A0" w:firstRow="1" w:lastRow="0" w:firstColumn="1" w:lastColumn="0" w:noHBand="0" w:noVBand="1"/>
      </w:tblPr>
      <w:tblGrid>
        <w:gridCol w:w="1476"/>
        <w:gridCol w:w="1360"/>
        <w:gridCol w:w="1286"/>
        <w:gridCol w:w="1368"/>
        <w:gridCol w:w="1440"/>
        <w:gridCol w:w="990"/>
        <w:gridCol w:w="1080"/>
        <w:gridCol w:w="1170"/>
      </w:tblGrid>
      <w:tr w:rsidRPr="00E72862" w:rsidR="00367D4A" w:rsidTr="008E2781" w14:paraId="7791F434" w14:textId="77777777">
        <w:trPr>
          <w:trHeight w:val="709"/>
        </w:trPr>
        <w:tc>
          <w:tcPr>
            <w:tcW w:w="1476"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E72862" w:rsidR="00367D4A" w:rsidP="00E065AB" w:rsidRDefault="00367D4A" w14:paraId="69923EDB" w14:textId="77777777">
            <w:pPr>
              <w:jc w:val="center"/>
              <w:rPr>
                <w:rFonts w:eastAsia="Calibri"/>
                <w:b/>
                <w:sz w:val="18"/>
                <w:szCs w:val="18"/>
              </w:rPr>
            </w:pPr>
            <w:r w:rsidRPr="00E72862">
              <w:rPr>
                <w:b/>
                <w:sz w:val="18"/>
                <w:szCs w:val="18"/>
              </w:rPr>
              <w:t>Information Collection</w:t>
            </w:r>
          </w:p>
        </w:tc>
        <w:tc>
          <w:tcPr>
            <w:tcW w:w="13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72862" w:rsidR="00367D4A" w:rsidP="00E065AB" w:rsidRDefault="00367D4A" w14:paraId="2A824C99" w14:textId="77777777">
            <w:pPr>
              <w:jc w:val="center"/>
              <w:rPr>
                <w:rFonts w:eastAsia="Calibri"/>
                <w:b/>
                <w:sz w:val="18"/>
                <w:szCs w:val="18"/>
              </w:rPr>
            </w:pPr>
            <w:r w:rsidRPr="00E72862">
              <w:rPr>
                <w:b/>
                <w:sz w:val="18"/>
                <w:szCs w:val="18"/>
              </w:rPr>
              <w:t>Number of Respondents</w:t>
            </w:r>
          </w:p>
        </w:tc>
        <w:tc>
          <w:tcPr>
            <w:tcW w:w="1286"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72862" w:rsidR="00367D4A" w:rsidP="00E065AB" w:rsidRDefault="00367D4A" w14:paraId="63C158C8" w14:textId="77777777">
            <w:pPr>
              <w:jc w:val="center"/>
              <w:rPr>
                <w:rFonts w:eastAsia="Calibri"/>
                <w:b/>
                <w:sz w:val="18"/>
                <w:szCs w:val="18"/>
              </w:rPr>
            </w:pPr>
            <w:r w:rsidRPr="00E72862">
              <w:rPr>
                <w:b/>
                <w:sz w:val="18"/>
                <w:szCs w:val="18"/>
              </w:rPr>
              <w:t>Frequency of Response</w:t>
            </w:r>
          </w:p>
        </w:tc>
        <w:tc>
          <w:tcPr>
            <w:tcW w:w="1368"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72862" w:rsidR="00367D4A" w:rsidP="00E065AB" w:rsidRDefault="00367D4A" w14:paraId="0B77CA46" w14:textId="77777777">
            <w:pPr>
              <w:jc w:val="center"/>
              <w:rPr>
                <w:rFonts w:eastAsia="Calibri"/>
                <w:b/>
                <w:sz w:val="18"/>
                <w:szCs w:val="18"/>
              </w:rPr>
            </w:pPr>
            <w:r w:rsidRPr="00E72862">
              <w:rPr>
                <w:b/>
                <w:sz w:val="18"/>
                <w:szCs w:val="18"/>
              </w:rPr>
              <w:t>Responses</w:t>
            </w:r>
          </w:p>
          <w:p w:rsidRPr="00E72862" w:rsidR="00367D4A" w:rsidP="00E065AB" w:rsidRDefault="00367D4A" w14:paraId="0D979C33" w14:textId="77777777">
            <w:pPr>
              <w:jc w:val="center"/>
              <w:rPr>
                <w:rFonts w:eastAsia="Calibri"/>
                <w:b/>
                <w:sz w:val="18"/>
                <w:szCs w:val="18"/>
              </w:rPr>
            </w:pPr>
            <w:r w:rsidRPr="00E72862">
              <w:rPr>
                <w:b/>
                <w:sz w:val="18"/>
                <w:szCs w:val="18"/>
              </w:rPr>
              <w:t>Per Annum</w:t>
            </w:r>
          </w:p>
        </w:tc>
        <w:tc>
          <w:tcPr>
            <w:tcW w:w="144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72862" w:rsidR="00367D4A" w:rsidP="00E065AB" w:rsidRDefault="00367D4A" w14:paraId="0C500FEC" w14:textId="77777777">
            <w:pPr>
              <w:jc w:val="center"/>
              <w:rPr>
                <w:rFonts w:eastAsia="Calibri"/>
                <w:b/>
                <w:sz w:val="18"/>
                <w:szCs w:val="18"/>
              </w:rPr>
            </w:pPr>
            <w:r w:rsidRPr="00E72862">
              <w:rPr>
                <w:b/>
                <w:sz w:val="18"/>
                <w:szCs w:val="18"/>
              </w:rPr>
              <w:t>Burden Hour Per Response</w:t>
            </w:r>
          </w:p>
        </w:tc>
        <w:tc>
          <w:tcPr>
            <w:tcW w:w="99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72862" w:rsidR="00367D4A" w:rsidP="00E065AB" w:rsidRDefault="00367D4A" w14:paraId="767F7778" w14:textId="77777777">
            <w:pPr>
              <w:jc w:val="center"/>
              <w:rPr>
                <w:rFonts w:eastAsia="Calibri"/>
                <w:b/>
                <w:sz w:val="18"/>
                <w:szCs w:val="18"/>
              </w:rPr>
            </w:pPr>
            <w:r w:rsidRPr="00E72862">
              <w:rPr>
                <w:b/>
                <w:sz w:val="18"/>
                <w:szCs w:val="18"/>
              </w:rPr>
              <w:t>Annual Burden Hours</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72862" w:rsidR="00367D4A" w:rsidP="00E065AB" w:rsidRDefault="00367D4A" w14:paraId="13173347" w14:textId="77777777">
            <w:pPr>
              <w:jc w:val="center"/>
              <w:rPr>
                <w:rFonts w:eastAsia="Calibri"/>
                <w:b/>
                <w:sz w:val="18"/>
                <w:szCs w:val="18"/>
              </w:rPr>
            </w:pPr>
            <w:r w:rsidRPr="00E72862">
              <w:rPr>
                <w:b/>
                <w:sz w:val="18"/>
                <w:szCs w:val="18"/>
              </w:rPr>
              <w:t>Hourly Cost Per Response</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E72862" w:rsidR="00367D4A" w:rsidP="00E065AB" w:rsidRDefault="00367D4A" w14:paraId="7C16E7DB" w14:textId="77777777">
            <w:pPr>
              <w:jc w:val="center"/>
              <w:rPr>
                <w:rFonts w:eastAsia="Calibri"/>
                <w:b/>
                <w:sz w:val="18"/>
                <w:szCs w:val="18"/>
              </w:rPr>
            </w:pPr>
            <w:r w:rsidRPr="00E72862">
              <w:rPr>
                <w:b/>
                <w:sz w:val="18"/>
                <w:szCs w:val="18"/>
              </w:rPr>
              <w:t>Annual Cost</w:t>
            </w:r>
          </w:p>
          <w:p w:rsidRPr="00E72862" w:rsidR="00367D4A" w:rsidP="00E065AB" w:rsidRDefault="00367D4A" w14:paraId="15C9BE30" w14:textId="77777777">
            <w:pPr>
              <w:jc w:val="center"/>
              <w:rPr>
                <w:rFonts w:eastAsia="Calibri"/>
                <w:b/>
                <w:sz w:val="18"/>
                <w:szCs w:val="18"/>
              </w:rPr>
            </w:pPr>
          </w:p>
        </w:tc>
      </w:tr>
      <w:tr w:rsidRPr="00E72862" w:rsidR="00367D4A" w:rsidTr="008E2781" w14:paraId="09FD5DBC" w14:textId="77777777">
        <w:trPr>
          <w:trHeight w:val="852"/>
        </w:trPr>
        <w:tc>
          <w:tcPr>
            <w:tcW w:w="14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2862" w:rsidR="00367D4A" w:rsidP="00E065AB" w:rsidRDefault="00367D4A" w14:paraId="355254A5" w14:textId="77777777">
            <w:pPr>
              <w:rPr>
                <w:b/>
                <w:bCs/>
                <w:sz w:val="18"/>
                <w:szCs w:val="18"/>
              </w:rPr>
            </w:pPr>
            <w:r w:rsidRPr="00E72862">
              <w:rPr>
                <w:b/>
                <w:bCs/>
                <w:sz w:val="18"/>
                <w:szCs w:val="18"/>
              </w:rPr>
              <w:t>22019 PIV Pre-Screen Application</w:t>
            </w:r>
          </w:p>
        </w:tc>
        <w:tc>
          <w:tcPr>
            <w:tcW w:w="13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32860B32" w14:textId="77777777">
            <w:pPr>
              <w:jc w:val="center"/>
              <w:rPr>
                <w:b/>
                <w:bCs/>
                <w:sz w:val="18"/>
                <w:szCs w:val="18"/>
              </w:rPr>
            </w:pPr>
            <w:r w:rsidRPr="00E72862">
              <w:rPr>
                <w:b/>
                <w:bCs/>
                <w:sz w:val="18"/>
                <w:szCs w:val="18"/>
              </w:rPr>
              <w:t>1,625</w:t>
            </w:r>
          </w:p>
        </w:tc>
        <w:tc>
          <w:tcPr>
            <w:tcW w:w="12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5B683B0E" w14:textId="77777777">
            <w:pPr>
              <w:jc w:val="center"/>
              <w:rPr>
                <w:rFonts w:eastAsia="Calibri"/>
                <w:b/>
                <w:bCs/>
                <w:sz w:val="18"/>
                <w:szCs w:val="18"/>
              </w:rPr>
            </w:pPr>
            <w:r w:rsidRPr="00E72862">
              <w:rPr>
                <w:rFonts w:eastAsia="Calibri"/>
                <w:b/>
                <w:bCs/>
                <w:sz w:val="18"/>
                <w:szCs w:val="18"/>
              </w:rPr>
              <w:t>1</w:t>
            </w:r>
          </w:p>
        </w:tc>
        <w:tc>
          <w:tcPr>
            <w:tcW w:w="13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48AE6346" w14:textId="77777777">
            <w:pPr>
              <w:jc w:val="center"/>
              <w:rPr>
                <w:rFonts w:eastAsia="Calibri"/>
                <w:b/>
                <w:bCs/>
                <w:sz w:val="18"/>
                <w:szCs w:val="18"/>
              </w:rPr>
            </w:pPr>
            <w:r w:rsidRPr="00E72862">
              <w:rPr>
                <w:rFonts w:eastAsia="Calibri"/>
                <w:b/>
                <w:bCs/>
                <w:sz w:val="18"/>
                <w:szCs w:val="18"/>
              </w:rPr>
              <w:t>1,625</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65235071" w14:textId="77777777">
            <w:pPr>
              <w:jc w:val="center"/>
              <w:rPr>
                <w:rFonts w:eastAsia="Calibri"/>
                <w:b/>
                <w:bCs/>
                <w:sz w:val="18"/>
                <w:szCs w:val="18"/>
              </w:rPr>
            </w:pPr>
            <w:r w:rsidRPr="00E72862">
              <w:rPr>
                <w:rFonts w:eastAsia="Calibri"/>
                <w:b/>
                <w:bCs/>
                <w:sz w:val="18"/>
                <w:szCs w:val="18"/>
              </w:rPr>
              <w:t>.17</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16D1DAFE" w14:textId="77777777">
            <w:pPr>
              <w:jc w:val="center"/>
              <w:rPr>
                <w:rFonts w:eastAsia="Calibri"/>
                <w:b/>
                <w:bCs/>
                <w:sz w:val="18"/>
                <w:szCs w:val="18"/>
              </w:rPr>
            </w:pPr>
            <w:r w:rsidRPr="00E72862">
              <w:rPr>
                <w:rFonts w:eastAsia="Calibri"/>
                <w:b/>
                <w:bCs/>
                <w:sz w:val="18"/>
                <w:szCs w:val="18"/>
              </w:rPr>
              <w:t>276.25</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0BCAF0E2" w14:textId="77777777">
            <w:pPr>
              <w:jc w:val="center"/>
              <w:rPr>
                <w:rFonts w:eastAsia="Calibri"/>
                <w:b/>
                <w:bCs/>
                <w:sz w:val="18"/>
                <w:szCs w:val="18"/>
              </w:rPr>
            </w:pPr>
            <w:r w:rsidRPr="00E72862">
              <w:rPr>
                <w:rFonts w:eastAsia="Calibri"/>
                <w:b/>
                <w:bCs/>
                <w:sz w:val="18"/>
                <w:szCs w:val="18"/>
              </w:rPr>
              <w:t>$34.86</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0387C0D5" w14:textId="77777777">
            <w:pPr>
              <w:jc w:val="center"/>
              <w:rPr>
                <w:rFonts w:eastAsia="Calibri"/>
                <w:b/>
                <w:bCs/>
                <w:sz w:val="18"/>
                <w:szCs w:val="18"/>
              </w:rPr>
            </w:pPr>
            <w:r w:rsidRPr="00E72862">
              <w:rPr>
                <w:rFonts w:eastAsia="Calibri"/>
                <w:b/>
                <w:bCs/>
                <w:sz w:val="18"/>
                <w:szCs w:val="18"/>
              </w:rPr>
              <w:t>$9,630.08</w:t>
            </w:r>
          </w:p>
        </w:tc>
      </w:tr>
      <w:tr w:rsidRPr="00E72862" w:rsidR="00367D4A" w:rsidTr="008E2781" w14:paraId="5FEFB27A" w14:textId="77777777">
        <w:trPr>
          <w:trHeight w:val="386"/>
        </w:trPr>
        <w:tc>
          <w:tcPr>
            <w:tcW w:w="14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2862" w:rsidR="00367D4A" w:rsidP="00E065AB" w:rsidRDefault="00367D4A" w14:paraId="5801AB2B" w14:textId="77777777">
            <w:pPr>
              <w:rPr>
                <w:b/>
                <w:bCs/>
                <w:sz w:val="18"/>
                <w:szCs w:val="18"/>
              </w:rPr>
            </w:pPr>
            <w:r w:rsidRPr="00E72862">
              <w:rPr>
                <w:b/>
                <w:bCs/>
                <w:sz w:val="18"/>
                <w:szCs w:val="18"/>
              </w:rPr>
              <w:t>Total</w:t>
            </w:r>
          </w:p>
        </w:tc>
        <w:tc>
          <w:tcPr>
            <w:tcW w:w="13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53108176" w14:textId="77777777">
            <w:pPr>
              <w:jc w:val="center"/>
              <w:rPr>
                <w:b/>
                <w:bCs/>
                <w:sz w:val="18"/>
                <w:szCs w:val="18"/>
              </w:rPr>
            </w:pPr>
            <w:r w:rsidRPr="00E72862">
              <w:rPr>
                <w:b/>
                <w:bCs/>
                <w:sz w:val="18"/>
                <w:szCs w:val="18"/>
              </w:rPr>
              <w:t>1,625</w:t>
            </w:r>
          </w:p>
        </w:tc>
        <w:tc>
          <w:tcPr>
            <w:tcW w:w="12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3B437AD6" w14:textId="77777777">
            <w:pPr>
              <w:jc w:val="center"/>
              <w:rPr>
                <w:rFonts w:eastAsia="Calibri"/>
                <w:b/>
                <w:bCs/>
                <w:sz w:val="18"/>
                <w:szCs w:val="18"/>
              </w:rPr>
            </w:pPr>
            <w:r w:rsidRPr="00E72862">
              <w:rPr>
                <w:rFonts w:eastAsia="Calibri"/>
                <w:b/>
                <w:bCs/>
                <w:sz w:val="18"/>
                <w:szCs w:val="18"/>
              </w:rPr>
              <w:t>1</w:t>
            </w:r>
          </w:p>
        </w:tc>
        <w:tc>
          <w:tcPr>
            <w:tcW w:w="13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26CC3DF5" w14:textId="77777777">
            <w:pPr>
              <w:jc w:val="center"/>
              <w:rPr>
                <w:rFonts w:eastAsia="Calibri"/>
                <w:b/>
                <w:bCs/>
                <w:sz w:val="18"/>
                <w:szCs w:val="18"/>
              </w:rPr>
            </w:pPr>
            <w:r w:rsidRPr="00E72862">
              <w:rPr>
                <w:rFonts w:eastAsia="Calibri"/>
                <w:b/>
                <w:bCs/>
                <w:sz w:val="18"/>
                <w:szCs w:val="18"/>
              </w:rPr>
              <w:t>1,625</w:t>
            </w: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0471AE28" w14:textId="77777777">
            <w:pPr>
              <w:jc w:val="center"/>
              <w:rPr>
                <w:rFonts w:eastAsia="Calibri"/>
                <w:b/>
                <w:bCs/>
                <w:sz w:val="18"/>
                <w:szCs w:val="18"/>
              </w:rPr>
            </w:pPr>
            <w:r w:rsidRPr="00E72862">
              <w:rPr>
                <w:rFonts w:eastAsia="Calibri"/>
                <w:b/>
                <w:bCs/>
                <w:sz w:val="18"/>
                <w:szCs w:val="18"/>
              </w:rPr>
              <w:t>.17</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1832F951" w14:textId="77777777">
            <w:pPr>
              <w:jc w:val="center"/>
              <w:rPr>
                <w:rFonts w:eastAsia="Calibri"/>
                <w:b/>
                <w:bCs/>
                <w:sz w:val="18"/>
                <w:szCs w:val="18"/>
              </w:rPr>
            </w:pPr>
            <w:r w:rsidRPr="00E72862">
              <w:rPr>
                <w:rFonts w:eastAsia="Calibri"/>
                <w:b/>
                <w:bCs/>
                <w:sz w:val="18"/>
                <w:szCs w:val="18"/>
              </w:rPr>
              <w:t>276.25</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76936885" w14:textId="77777777">
            <w:pPr>
              <w:jc w:val="center"/>
              <w:rPr>
                <w:rFonts w:eastAsia="Calibri"/>
                <w:b/>
                <w:bCs/>
                <w:sz w:val="18"/>
                <w:szCs w:val="18"/>
              </w:rPr>
            </w:pPr>
            <w:r w:rsidRPr="00E72862">
              <w:rPr>
                <w:rFonts w:eastAsia="Calibri"/>
                <w:b/>
                <w:bCs/>
                <w:sz w:val="18"/>
                <w:szCs w:val="18"/>
              </w:rPr>
              <w:t>$34.86</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72862" w:rsidR="00367D4A" w:rsidP="00E065AB" w:rsidRDefault="00367D4A" w14:paraId="101DBD31" w14:textId="77777777">
            <w:pPr>
              <w:jc w:val="right"/>
              <w:rPr>
                <w:rFonts w:eastAsia="Calibri"/>
                <w:b/>
                <w:bCs/>
                <w:sz w:val="18"/>
                <w:szCs w:val="18"/>
              </w:rPr>
            </w:pPr>
            <w:r w:rsidRPr="00E72862">
              <w:rPr>
                <w:rFonts w:eastAsia="Calibri"/>
                <w:b/>
                <w:bCs/>
                <w:sz w:val="18"/>
                <w:szCs w:val="18"/>
              </w:rPr>
              <w:t>$9,630.08</w:t>
            </w:r>
          </w:p>
        </w:tc>
      </w:tr>
    </w:tbl>
    <w:p w:rsidRPr="00E72862" w:rsidR="00367D4A" w:rsidP="00457D18" w:rsidRDefault="00367D4A" w14:paraId="0D5F6CE1" w14:textId="55A1837E">
      <w:pPr>
        <w:keepLines/>
        <w:tabs>
          <w:tab w:val="left" w:pos="480"/>
        </w:tabs>
        <w:spacing w:after="80"/>
        <w:ind w:left="480"/>
        <w:rPr>
          <w:sz w:val="24"/>
          <w:szCs w:val="24"/>
        </w:rPr>
      </w:pPr>
      <w:r w:rsidRPr="00E72862">
        <w:rPr>
          <w:sz w:val="24"/>
          <w:szCs w:val="24"/>
        </w:rPr>
        <w:t xml:space="preserve"> </w:t>
      </w:r>
    </w:p>
    <w:p w:rsidRPr="00E72862" w:rsidR="00025206" w:rsidP="00025206" w:rsidRDefault="00457D18" w14:paraId="1DA64BD3" w14:textId="1FBAA9B2">
      <w:pPr>
        <w:keepLines/>
        <w:tabs>
          <w:tab w:val="left" w:pos="480"/>
        </w:tabs>
        <w:spacing w:after="80"/>
        <w:rPr>
          <w:sz w:val="24"/>
          <w:szCs w:val="24"/>
        </w:rPr>
      </w:pPr>
      <w:r w:rsidRPr="00E72862">
        <w:rPr>
          <w:sz w:val="24"/>
          <w:szCs w:val="24"/>
        </w:rPr>
        <w:t xml:space="preserve">        </w:t>
      </w:r>
    </w:p>
    <w:p w:rsidRPr="00E72862" w:rsidR="00025206" w:rsidP="00E72862" w:rsidRDefault="00E72862" w14:paraId="13C56871" w14:textId="381C91EA">
      <w:pPr>
        <w:keepLines/>
        <w:spacing w:after="80"/>
        <w:ind w:left="360" w:hanging="360"/>
        <w:rPr>
          <w:b/>
          <w:bCs/>
          <w:sz w:val="24"/>
          <w:szCs w:val="24"/>
        </w:rPr>
      </w:pPr>
      <w:r w:rsidRPr="00E72862">
        <w:rPr>
          <w:b/>
          <w:bCs/>
          <w:sz w:val="24"/>
          <w:szCs w:val="24"/>
        </w:rPr>
        <w:t xml:space="preserve">13. </w:t>
      </w:r>
      <w:r w:rsidRPr="00E72862" w:rsidR="00025206">
        <w:rPr>
          <w:b/>
          <w:bCs/>
          <w:sz w:val="24"/>
          <w:szCs w:val="24"/>
        </w:rPr>
        <w:t>Provide an estimate of the total annual cost burden to respondents or recordkeepers resulting from</w:t>
      </w:r>
      <w:r w:rsidRPr="00E72862">
        <w:rPr>
          <w:b/>
          <w:bCs/>
          <w:sz w:val="24"/>
          <w:szCs w:val="24"/>
        </w:rPr>
        <w:t xml:space="preserve"> </w:t>
      </w:r>
      <w:r w:rsidRPr="00E72862" w:rsidR="00025206">
        <w:rPr>
          <w:b/>
          <w:bCs/>
          <w:sz w:val="24"/>
          <w:szCs w:val="24"/>
        </w:rPr>
        <w:t xml:space="preserve">the collection of information (do not include the cost of any hour burden shown in Items 12 and 14). </w:t>
      </w:r>
    </w:p>
    <w:p w:rsidRPr="00E72862" w:rsidR="00025206" w:rsidP="00025206" w:rsidRDefault="00025206" w14:paraId="174480C8" w14:textId="77777777">
      <w:pPr>
        <w:numPr>
          <w:ilvl w:val="0"/>
          <w:numId w:val="2"/>
        </w:numPr>
        <w:tabs>
          <w:tab w:val="left" w:pos="360"/>
        </w:tabs>
        <w:ind w:left="480"/>
        <w:rPr>
          <w:b/>
          <w:bCs/>
          <w:sz w:val="24"/>
          <w:szCs w:val="24"/>
        </w:rPr>
      </w:pPr>
      <w:r w:rsidRPr="00E72862">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E72862">
        <w:rPr>
          <w:b/>
          <w:bCs/>
          <w:sz w:val="24"/>
          <w:szCs w:val="24"/>
        </w:rPr>
        <w:t>take into account</w:t>
      </w:r>
      <w:proofErr w:type="gramEnd"/>
      <w:r w:rsidRPr="00E72862">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72862">
        <w:rPr>
          <w:b/>
          <w:bCs/>
          <w:sz w:val="24"/>
          <w:szCs w:val="24"/>
        </w:rPr>
        <w:t>time period</w:t>
      </w:r>
      <w:proofErr w:type="gramEnd"/>
      <w:r w:rsidRPr="00E72862">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E72862">
        <w:rPr>
          <w:b/>
          <w:bCs/>
          <w:sz w:val="24"/>
          <w:szCs w:val="24"/>
        </w:rPr>
        <w:t>facilities;</w:t>
      </w:r>
      <w:proofErr w:type="gramEnd"/>
      <w:r w:rsidRPr="00E72862">
        <w:rPr>
          <w:b/>
          <w:bCs/>
          <w:sz w:val="24"/>
          <w:szCs w:val="24"/>
        </w:rPr>
        <w:t xml:space="preserve"> </w:t>
      </w:r>
    </w:p>
    <w:p w:rsidRPr="00E72862" w:rsidR="00025206" w:rsidP="00025206" w:rsidRDefault="00025206" w14:paraId="3A0D484E" w14:textId="77777777">
      <w:pPr>
        <w:numPr>
          <w:ilvl w:val="0"/>
          <w:numId w:val="2"/>
        </w:numPr>
        <w:tabs>
          <w:tab w:val="left" w:pos="360"/>
        </w:tabs>
        <w:ind w:left="480"/>
        <w:rPr>
          <w:b/>
          <w:bCs/>
          <w:sz w:val="24"/>
          <w:szCs w:val="24"/>
        </w:rPr>
      </w:pPr>
      <w:r w:rsidRPr="00E72862">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E72862">
        <w:rPr>
          <w:b/>
          <w:bCs/>
          <w:sz w:val="24"/>
          <w:szCs w:val="24"/>
        </w:rPr>
        <w:lastRenderedPageBreak/>
        <w:t xml:space="preserve">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E72862" w:rsidR="00025206" w:rsidP="00025206" w:rsidRDefault="00025206" w14:paraId="2A9BB566" w14:textId="77777777">
      <w:pPr>
        <w:keepLines/>
        <w:numPr>
          <w:ilvl w:val="0"/>
          <w:numId w:val="2"/>
        </w:numPr>
        <w:tabs>
          <w:tab w:val="left" w:pos="360"/>
        </w:tabs>
        <w:spacing w:after="80"/>
        <w:ind w:left="480"/>
        <w:rPr>
          <w:b/>
          <w:bCs/>
          <w:sz w:val="24"/>
          <w:szCs w:val="24"/>
        </w:rPr>
      </w:pPr>
      <w:r w:rsidRPr="00E72862">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4A3307" w:rsidR="0062114D" w:rsidP="0062114D" w:rsidRDefault="0062114D" w14:paraId="74B3BA08" w14:textId="77777777">
      <w:pPr>
        <w:rPr>
          <w:sz w:val="24"/>
          <w:szCs w:val="24"/>
        </w:rPr>
      </w:pPr>
    </w:p>
    <w:p w:rsidRPr="004A3307" w:rsidR="00457D18" w:rsidP="0062114D" w:rsidRDefault="0062114D" w14:paraId="207E991F" w14:textId="5436DC2B">
      <w:pPr>
        <w:pStyle w:val="ListParagraph"/>
        <w:ind w:left="180"/>
        <w:rPr>
          <w:rFonts w:ascii="Times New Roman" w:hAnsi="Times New Roman" w:cs="Times New Roman"/>
          <w:sz w:val="24"/>
          <w:szCs w:val="24"/>
        </w:rPr>
      </w:pPr>
      <w:r w:rsidRPr="004A3307">
        <w:rPr>
          <w:rFonts w:ascii="Times New Roman" w:hAnsi="Times New Roman" w:eastAsia="Times New Roman" w:cs="Times New Roman"/>
          <w:sz w:val="24"/>
          <w:szCs w:val="24"/>
        </w:rPr>
        <w:t>This data collection effort involves no recordkeeping or reporting costs for respondents other than the time burden to respond to questions on the data collection instruments as described in item 12 above. There is no known additional cost burden to the respondents</w:t>
      </w:r>
    </w:p>
    <w:p w:rsidRPr="00E72862" w:rsidR="009A04C3" w:rsidP="00025206" w:rsidRDefault="009A04C3" w14:paraId="3EAB7F08" w14:textId="77777777">
      <w:pPr>
        <w:keepLines/>
        <w:tabs>
          <w:tab w:val="left" w:pos="360"/>
        </w:tabs>
        <w:spacing w:after="80"/>
        <w:ind w:left="480"/>
        <w:rPr>
          <w:sz w:val="24"/>
          <w:szCs w:val="24"/>
        </w:rPr>
      </w:pPr>
    </w:p>
    <w:p w:rsidRPr="00E72862" w:rsidR="00025206" w:rsidP="00E72862" w:rsidRDefault="00025206" w14:paraId="53535732" w14:textId="5F5725C5">
      <w:pPr>
        <w:keepLines/>
        <w:spacing w:after="80"/>
        <w:ind w:left="360" w:hanging="360"/>
        <w:rPr>
          <w:b/>
          <w:bCs/>
          <w:spacing w:val="1"/>
          <w:sz w:val="24"/>
          <w:szCs w:val="24"/>
        </w:rPr>
      </w:pPr>
      <w:r w:rsidRPr="00E72862">
        <w:rPr>
          <w:b/>
          <w:bCs/>
          <w:sz w:val="24"/>
          <w:szCs w:val="24"/>
        </w:rPr>
        <w:t>14.</w:t>
      </w:r>
      <w:r w:rsidRPr="00E72862">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E72862" w:rsidR="0094343D">
        <w:rPr>
          <w:b/>
          <w:bCs/>
          <w:sz w:val="24"/>
          <w:szCs w:val="24"/>
        </w:rPr>
        <w:t>.</w:t>
      </w:r>
      <w:r w:rsidRPr="00E72862">
        <w:rPr>
          <w:b/>
          <w:bCs/>
          <w:spacing w:val="1"/>
          <w:sz w:val="24"/>
          <w:szCs w:val="24"/>
        </w:rPr>
        <w:t xml:space="preserve"> </w:t>
      </w:r>
    </w:p>
    <w:p w:rsidRPr="004A3307" w:rsidR="009A04C3" w:rsidP="008E2781" w:rsidRDefault="00025206" w14:paraId="2256CE1F" w14:textId="397975AB">
      <w:pPr>
        <w:keepLines/>
        <w:tabs>
          <w:tab w:val="left" w:pos="360"/>
        </w:tabs>
        <w:spacing w:after="80"/>
        <w:ind w:left="360" w:hanging="360"/>
        <w:rPr>
          <w:sz w:val="24"/>
          <w:szCs w:val="24"/>
        </w:rPr>
      </w:pPr>
      <w:r w:rsidRPr="004A3307">
        <w:rPr>
          <w:spacing w:val="1"/>
          <w:sz w:val="24"/>
          <w:szCs w:val="24"/>
        </w:rPr>
        <w:t xml:space="preserve">   </w:t>
      </w:r>
      <w:r w:rsidRPr="004A3307" w:rsidR="00457D18">
        <w:rPr>
          <w:spacing w:val="1"/>
          <w:sz w:val="24"/>
          <w:szCs w:val="24"/>
        </w:rPr>
        <w:t xml:space="preserve">       </w:t>
      </w:r>
      <w:r w:rsidRPr="004A3307">
        <w:rPr>
          <w:sz w:val="24"/>
          <w:szCs w:val="24"/>
        </w:rPr>
        <w:tab/>
      </w:r>
    </w:p>
    <w:tbl>
      <w:tblPr>
        <w:tblW w:w="10260"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610"/>
        <w:gridCol w:w="1306"/>
        <w:gridCol w:w="1256"/>
        <w:gridCol w:w="1430"/>
        <w:gridCol w:w="1428"/>
        <w:gridCol w:w="986"/>
        <w:gridCol w:w="1078"/>
        <w:gridCol w:w="1166"/>
      </w:tblGrid>
      <w:tr w:rsidRPr="00E72862" w:rsidR="009A04C3" w:rsidTr="004A3307" w14:paraId="74AC8A6D" w14:textId="77777777">
        <w:trPr>
          <w:trHeight w:val="700"/>
        </w:trPr>
        <w:tc>
          <w:tcPr>
            <w:tcW w:w="1610" w:type="dxa"/>
            <w:tcMar>
              <w:top w:w="0" w:type="dxa"/>
              <w:left w:w="108" w:type="dxa"/>
              <w:bottom w:w="0" w:type="dxa"/>
              <w:right w:w="108" w:type="dxa"/>
            </w:tcMar>
            <w:hideMark/>
          </w:tcPr>
          <w:p w:rsidRPr="00E72862" w:rsidR="009A04C3" w:rsidP="00D62968" w:rsidRDefault="009A04C3" w14:paraId="772E30FB" w14:textId="77777777">
            <w:pPr>
              <w:jc w:val="center"/>
              <w:rPr>
                <w:rFonts w:eastAsia="Calibri"/>
                <w:bCs/>
                <w:sz w:val="18"/>
                <w:szCs w:val="18"/>
              </w:rPr>
            </w:pPr>
            <w:r w:rsidRPr="00E72862">
              <w:rPr>
                <w:bCs/>
                <w:sz w:val="18"/>
                <w:szCs w:val="18"/>
              </w:rPr>
              <w:t>Information Collection</w:t>
            </w:r>
          </w:p>
        </w:tc>
        <w:tc>
          <w:tcPr>
            <w:tcW w:w="1306" w:type="dxa"/>
            <w:tcMar>
              <w:top w:w="0" w:type="dxa"/>
              <w:left w:w="108" w:type="dxa"/>
              <w:bottom w:w="0" w:type="dxa"/>
              <w:right w:w="108" w:type="dxa"/>
            </w:tcMar>
            <w:hideMark/>
          </w:tcPr>
          <w:p w:rsidRPr="00E72862" w:rsidR="009A04C3" w:rsidP="00D62968" w:rsidRDefault="009A04C3" w14:paraId="421A1674" w14:textId="77777777">
            <w:pPr>
              <w:jc w:val="center"/>
              <w:rPr>
                <w:rFonts w:eastAsia="Calibri"/>
                <w:bCs/>
                <w:sz w:val="18"/>
                <w:szCs w:val="18"/>
              </w:rPr>
            </w:pPr>
            <w:r w:rsidRPr="00E72862">
              <w:rPr>
                <w:bCs/>
                <w:sz w:val="18"/>
                <w:szCs w:val="18"/>
              </w:rPr>
              <w:t>Number of Respondents</w:t>
            </w:r>
          </w:p>
        </w:tc>
        <w:tc>
          <w:tcPr>
            <w:tcW w:w="1256" w:type="dxa"/>
            <w:tcMar>
              <w:top w:w="0" w:type="dxa"/>
              <w:left w:w="108" w:type="dxa"/>
              <w:bottom w:w="0" w:type="dxa"/>
              <w:right w:w="108" w:type="dxa"/>
            </w:tcMar>
            <w:hideMark/>
          </w:tcPr>
          <w:p w:rsidRPr="00E72862" w:rsidR="009A04C3" w:rsidP="00D62968" w:rsidRDefault="009A04C3" w14:paraId="7DDC30FC" w14:textId="77777777">
            <w:pPr>
              <w:jc w:val="center"/>
              <w:rPr>
                <w:rFonts w:eastAsia="Calibri"/>
                <w:bCs/>
                <w:sz w:val="18"/>
                <w:szCs w:val="18"/>
              </w:rPr>
            </w:pPr>
            <w:r w:rsidRPr="00E72862">
              <w:rPr>
                <w:bCs/>
                <w:sz w:val="18"/>
                <w:szCs w:val="18"/>
              </w:rPr>
              <w:t>Frequency of Response</w:t>
            </w:r>
          </w:p>
        </w:tc>
        <w:tc>
          <w:tcPr>
            <w:tcW w:w="1430" w:type="dxa"/>
            <w:tcMar>
              <w:top w:w="0" w:type="dxa"/>
              <w:left w:w="108" w:type="dxa"/>
              <w:bottom w:w="0" w:type="dxa"/>
              <w:right w:w="108" w:type="dxa"/>
            </w:tcMar>
            <w:hideMark/>
          </w:tcPr>
          <w:p w:rsidRPr="00E72862" w:rsidR="009A04C3" w:rsidP="00D62968" w:rsidRDefault="009A04C3" w14:paraId="03503361" w14:textId="77777777">
            <w:pPr>
              <w:jc w:val="center"/>
              <w:rPr>
                <w:rFonts w:eastAsia="Calibri"/>
                <w:bCs/>
                <w:sz w:val="18"/>
                <w:szCs w:val="18"/>
              </w:rPr>
            </w:pPr>
            <w:r w:rsidRPr="00E72862">
              <w:rPr>
                <w:bCs/>
                <w:sz w:val="18"/>
                <w:szCs w:val="18"/>
              </w:rPr>
              <w:t>Responses</w:t>
            </w:r>
          </w:p>
          <w:p w:rsidRPr="00E72862" w:rsidR="009A04C3" w:rsidP="00D62968" w:rsidRDefault="009A04C3" w14:paraId="36CFBF38" w14:textId="77777777">
            <w:pPr>
              <w:jc w:val="center"/>
              <w:rPr>
                <w:rFonts w:eastAsia="Calibri"/>
                <w:bCs/>
                <w:sz w:val="18"/>
                <w:szCs w:val="18"/>
              </w:rPr>
            </w:pPr>
            <w:r w:rsidRPr="00E72862">
              <w:rPr>
                <w:bCs/>
                <w:sz w:val="18"/>
                <w:szCs w:val="18"/>
              </w:rPr>
              <w:t>Per Annum</w:t>
            </w:r>
          </w:p>
        </w:tc>
        <w:tc>
          <w:tcPr>
            <w:tcW w:w="1428" w:type="dxa"/>
            <w:tcMar>
              <w:top w:w="0" w:type="dxa"/>
              <w:left w:w="108" w:type="dxa"/>
              <w:bottom w:w="0" w:type="dxa"/>
              <w:right w:w="108" w:type="dxa"/>
            </w:tcMar>
            <w:hideMark/>
          </w:tcPr>
          <w:p w:rsidRPr="00E72862" w:rsidR="009A04C3" w:rsidP="00D62968" w:rsidRDefault="009A04C3" w14:paraId="5AE79CEA" w14:textId="77777777">
            <w:pPr>
              <w:jc w:val="center"/>
              <w:rPr>
                <w:rFonts w:eastAsia="Calibri"/>
                <w:bCs/>
                <w:sz w:val="18"/>
                <w:szCs w:val="18"/>
              </w:rPr>
            </w:pPr>
            <w:r w:rsidRPr="00E72862">
              <w:rPr>
                <w:bCs/>
                <w:sz w:val="18"/>
                <w:szCs w:val="18"/>
              </w:rPr>
              <w:t>Burden Hour Per Response</w:t>
            </w:r>
          </w:p>
        </w:tc>
        <w:tc>
          <w:tcPr>
            <w:tcW w:w="986" w:type="dxa"/>
            <w:tcMar>
              <w:top w:w="0" w:type="dxa"/>
              <w:left w:w="108" w:type="dxa"/>
              <w:bottom w:w="0" w:type="dxa"/>
              <w:right w:w="108" w:type="dxa"/>
            </w:tcMar>
            <w:hideMark/>
          </w:tcPr>
          <w:p w:rsidRPr="00E72862" w:rsidR="009A04C3" w:rsidP="00D62968" w:rsidRDefault="009A04C3" w14:paraId="027B9820" w14:textId="77777777">
            <w:pPr>
              <w:jc w:val="center"/>
              <w:rPr>
                <w:rFonts w:eastAsia="Calibri"/>
                <w:bCs/>
                <w:sz w:val="18"/>
                <w:szCs w:val="18"/>
              </w:rPr>
            </w:pPr>
            <w:r w:rsidRPr="00E72862">
              <w:rPr>
                <w:bCs/>
                <w:sz w:val="18"/>
                <w:szCs w:val="18"/>
              </w:rPr>
              <w:t>Annual Burden Hours</w:t>
            </w:r>
          </w:p>
        </w:tc>
        <w:tc>
          <w:tcPr>
            <w:tcW w:w="1078" w:type="dxa"/>
            <w:tcMar>
              <w:top w:w="0" w:type="dxa"/>
              <w:left w:w="108" w:type="dxa"/>
              <w:bottom w:w="0" w:type="dxa"/>
              <w:right w:w="108" w:type="dxa"/>
            </w:tcMar>
            <w:hideMark/>
          </w:tcPr>
          <w:p w:rsidRPr="00E72862" w:rsidR="009A04C3" w:rsidP="00D62968" w:rsidRDefault="009A04C3" w14:paraId="5A87B24E" w14:textId="77777777">
            <w:pPr>
              <w:jc w:val="center"/>
              <w:rPr>
                <w:rFonts w:eastAsia="Calibri"/>
                <w:bCs/>
                <w:sz w:val="18"/>
                <w:szCs w:val="18"/>
              </w:rPr>
            </w:pPr>
            <w:r w:rsidRPr="00E72862">
              <w:rPr>
                <w:bCs/>
                <w:sz w:val="18"/>
                <w:szCs w:val="18"/>
              </w:rPr>
              <w:t>Hourly Cost Per Response</w:t>
            </w:r>
          </w:p>
        </w:tc>
        <w:tc>
          <w:tcPr>
            <w:tcW w:w="1166" w:type="dxa"/>
            <w:tcMar>
              <w:top w:w="0" w:type="dxa"/>
              <w:left w:w="108" w:type="dxa"/>
              <w:bottom w:w="0" w:type="dxa"/>
              <w:right w:w="108" w:type="dxa"/>
            </w:tcMar>
          </w:tcPr>
          <w:p w:rsidRPr="00E72862" w:rsidR="009A04C3" w:rsidP="00D62968" w:rsidRDefault="009A04C3" w14:paraId="22D03A66" w14:textId="77777777">
            <w:pPr>
              <w:jc w:val="center"/>
              <w:rPr>
                <w:rFonts w:eastAsia="Calibri"/>
                <w:bCs/>
                <w:sz w:val="18"/>
                <w:szCs w:val="18"/>
              </w:rPr>
            </w:pPr>
            <w:r w:rsidRPr="00E72862">
              <w:rPr>
                <w:bCs/>
                <w:sz w:val="18"/>
                <w:szCs w:val="18"/>
              </w:rPr>
              <w:t>Annual Cost</w:t>
            </w:r>
          </w:p>
          <w:p w:rsidRPr="00E72862" w:rsidR="009A04C3" w:rsidP="00D62968" w:rsidRDefault="009A04C3" w14:paraId="295D204A" w14:textId="77777777">
            <w:pPr>
              <w:jc w:val="center"/>
              <w:rPr>
                <w:rFonts w:eastAsia="Calibri"/>
                <w:bCs/>
                <w:sz w:val="18"/>
                <w:szCs w:val="18"/>
              </w:rPr>
            </w:pPr>
          </w:p>
        </w:tc>
      </w:tr>
      <w:tr w:rsidRPr="00E72862" w:rsidR="009A04C3" w:rsidTr="004A3307" w14:paraId="620218EB" w14:textId="77777777">
        <w:trPr>
          <w:trHeight w:val="852"/>
        </w:trPr>
        <w:tc>
          <w:tcPr>
            <w:tcW w:w="1610" w:type="dxa"/>
            <w:tcMar>
              <w:top w:w="0" w:type="dxa"/>
              <w:left w:w="108" w:type="dxa"/>
              <w:bottom w:w="0" w:type="dxa"/>
              <w:right w:w="108" w:type="dxa"/>
            </w:tcMar>
          </w:tcPr>
          <w:p w:rsidRPr="00E72862" w:rsidR="009A04C3" w:rsidP="00D62968" w:rsidRDefault="009A04C3" w14:paraId="1A4765BF" w14:textId="77777777">
            <w:pPr>
              <w:rPr>
                <w:bCs/>
                <w:sz w:val="18"/>
                <w:szCs w:val="18"/>
              </w:rPr>
            </w:pPr>
            <w:r w:rsidRPr="00E72862">
              <w:rPr>
                <w:bCs/>
                <w:sz w:val="18"/>
                <w:szCs w:val="18"/>
              </w:rPr>
              <w:t>22019 PIV Pre-Screen Application</w:t>
            </w:r>
          </w:p>
        </w:tc>
        <w:tc>
          <w:tcPr>
            <w:tcW w:w="1306" w:type="dxa"/>
            <w:tcMar>
              <w:top w:w="0" w:type="dxa"/>
              <w:left w:w="108" w:type="dxa"/>
              <w:bottom w:w="0" w:type="dxa"/>
              <w:right w:w="108" w:type="dxa"/>
            </w:tcMar>
            <w:vAlign w:val="center"/>
          </w:tcPr>
          <w:p w:rsidRPr="00E72862" w:rsidR="009A04C3" w:rsidP="00D62968" w:rsidRDefault="009A04C3" w14:paraId="40170476" w14:textId="77777777">
            <w:pPr>
              <w:jc w:val="center"/>
              <w:rPr>
                <w:bCs/>
                <w:sz w:val="18"/>
                <w:szCs w:val="18"/>
              </w:rPr>
            </w:pPr>
            <w:r w:rsidRPr="00E72862">
              <w:rPr>
                <w:bCs/>
                <w:sz w:val="18"/>
                <w:szCs w:val="18"/>
              </w:rPr>
              <w:t>1,625</w:t>
            </w:r>
          </w:p>
        </w:tc>
        <w:tc>
          <w:tcPr>
            <w:tcW w:w="1256" w:type="dxa"/>
            <w:tcMar>
              <w:top w:w="0" w:type="dxa"/>
              <w:left w:w="108" w:type="dxa"/>
              <w:bottom w:w="0" w:type="dxa"/>
              <w:right w:w="108" w:type="dxa"/>
            </w:tcMar>
            <w:vAlign w:val="center"/>
          </w:tcPr>
          <w:p w:rsidRPr="00E72862" w:rsidR="009A04C3" w:rsidP="00D62968" w:rsidRDefault="009A04C3" w14:paraId="4E1305EC" w14:textId="77777777">
            <w:pPr>
              <w:jc w:val="center"/>
              <w:rPr>
                <w:rFonts w:eastAsia="Calibri"/>
                <w:bCs/>
                <w:sz w:val="18"/>
                <w:szCs w:val="18"/>
              </w:rPr>
            </w:pPr>
            <w:r w:rsidRPr="00E72862">
              <w:rPr>
                <w:rFonts w:eastAsia="Calibri"/>
                <w:bCs/>
                <w:sz w:val="18"/>
                <w:szCs w:val="18"/>
              </w:rPr>
              <w:t>1</w:t>
            </w:r>
          </w:p>
        </w:tc>
        <w:tc>
          <w:tcPr>
            <w:tcW w:w="1430" w:type="dxa"/>
            <w:tcMar>
              <w:top w:w="0" w:type="dxa"/>
              <w:left w:w="108" w:type="dxa"/>
              <w:bottom w:w="0" w:type="dxa"/>
              <w:right w:w="108" w:type="dxa"/>
            </w:tcMar>
            <w:vAlign w:val="center"/>
          </w:tcPr>
          <w:p w:rsidRPr="00E72862" w:rsidR="009A04C3" w:rsidP="00D62968" w:rsidRDefault="009A04C3" w14:paraId="4AD70D85" w14:textId="77777777">
            <w:pPr>
              <w:jc w:val="center"/>
              <w:rPr>
                <w:rFonts w:eastAsia="Calibri"/>
                <w:bCs/>
                <w:sz w:val="18"/>
                <w:szCs w:val="18"/>
              </w:rPr>
            </w:pPr>
            <w:r w:rsidRPr="00E72862">
              <w:rPr>
                <w:rFonts w:eastAsia="Calibri"/>
                <w:bCs/>
                <w:sz w:val="18"/>
                <w:szCs w:val="18"/>
              </w:rPr>
              <w:t>1,625</w:t>
            </w:r>
          </w:p>
        </w:tc>
        <w:tc>
          <w:tcPr>
            <w:tcW w:w="1428" w:type="dxa"/>
            <w:tcMar>
              <w:top w:w="0" w:type="dxa"/>
              <w:left w:w="108" w:type="dxa"/>
              <w:bottom w:w="0" w:type="dxa"/>
              <w:right w:w="108" w:type="dxa"/>
            </w:tcMar>
            <w:vAlign w:val="center"/>
          </w:tcPr>
          <w:p w:rsidRPr="00E72862" w:rsidR="009A04C3" w:rsidP="00D62968" w:rsidRDefault="009A04C3" w14:paraId="372E788A" w14:textId="77777777">
            <w:pPr>
              <w:jc w:val="center"/>
              <w:rPr>
                <w:rFonts w:eastAsia="Calibri"/>
                <w:bCs/>
                <w:sz w:val="18"/>
                <w:szCs w:val="18"/>
              </w:rPr>
            </w:pPr>
            <w:r w:rsidRPr="00E72862">
              <w:rPr>
                <w:rFonts w:eastAsia="Calibri"/>
                <w:bCs/>
                <w:sz w:val="18"/>
                <w:szCs w:val="18"/>
              </w:rPr>
              <w:t>.17</w:t>
            </w:r>
          </w:p>
        </w:tc>
        <w:tc>
          <w:tcPr>
            <w:tcW w:w="986" w:type="dxa"/>
            <w:tcMar>
              <w:top w:w="0" w:type="dxa"/>
              <w:left w:w="108" w:type="dxa"/>
              <w:bottom w:w="0" w:type="dxa"/>
              <w:right w:w="108" w:type="dxa"/>
            </w:tcMar>
            <w:vAlign w:val="center"/>
          </w:tcPr>
          <w:p w:rsidRPr="00E72862" w:rsidR="009A04C3" w:rsidP="00D62968" w:rsidRDefault="009A04C3" w14:paraId="0CD31C14" w14:textId="77777777">
            <w:pPr>
              <w:jc w:val="center"/>
              <w:rPr>
                <w:rFonts w:eastAsia="Calibri"/>
                <w:bCs/>
                <w:sz w:val="18"/>
                <w:szCs w:val="18"/>
              </w:rPr>
            </w:pPr>
            <w:r w:rsidRPr="00E72862">
              <w:rPr>
                <w:rFonts w:eastAsia="Calibri"/>
                <w:bCs/>
                <w:sz w:val="18"/>
                <w:szCs w:val="18"/>
              </w:rPr>
              <w:t>276.25</w:t>
            </w:r>
          </w:p>
        </w:tc>
        <w:tc>
          <w:tcPr>
            <w:tcW w:w="1078" w:type="dxa"/>
            <w:tcMar>
              <w:top w:w="0" w:type="dxa"/>
              <w:left w:w="108" w:type="dxa"/>
              <w:bottom w:w="0" w:type="dxa"/>
              <w:right w:w="108" w:type="dxa"/>
            </w:tcMar>
            <w:vAlign w:val="center"/>
          </w:tcPr>
          <w:p w:rsidRPr="00E72862" w:rsidR="009A04C3" w:rsidP="00D62968" w:rsidRDefault="009A04C3" w14:paraId="19E8EBDB" w14:textId="77777777">
            <w:pPr>
              <w:jc w:val="center"/>
              <w:rPr>
                <w:rFonts w:eastAsia="Calibri"/>
                <w:bCs/>
                <w:sz w:val="18"/>
                <w:szCs w:val="18"/>
              </w:rPr>
            </w:pPr>
            <w:r w:rsidRPr="00E72862">
              <w:rPr>
                <w:rFonts w:eastAsia="Calibri"/>
                <w:bCs/>
                <w:sz w:val="18"/>
                <w:szCs w:val="18"/>
              </w:rPr>
              <w:t>$34.86</w:t>
            </w:r>
          </w:p>
        </w:tc>
        <w:tc>
          <w:tcPr>
            <w:tcW w:w="1166" w:type="dxa"/>
            <w:tcMar>
              <w:top w:w="0" w:type="dxa"/>
              <w:left w:w="108" w:type="dxa"/>
              <w:bottom w:w="0" w:type="dxa"/>
              <w:right w:w="108" w:type="dxa"/>
            </w:tcMar>
            <w:vAlign w:val="center"/>
          </w:tcPr>
          <w:p w:rsidRPr="00E72862" w:rsidR="009A04C3" w:rsidP="00D62968" w:rsidRDefault="009A04C3" w14:paraId="17ACFA11" w14:textId="77777777">
            <w:pPr>
              <w:jc w:val="center"/>
              <w:rPr>
                <w:rFonts w:eastAsia="Calibri"/>
                <w:bCs/>
                <w:sz w:val="18"/>
                <w:szCs w:val="18"/>
              </w:rPr>
            </w:pPr>
            <w:r w:rsidRPr="00E72862">
              <w:rPr>
                <w:rFonts w:eastAsia="Calibri"/>
                <w:bCs/>
                <w:sz w:val="18"/>
                <w:szCs w:val="18"/>
              </w:rPr>
              <w:t>$9,630.08</w:t>
            </w:r>
          </w:p>
        </w:tc>
      </w:tr>
      <w:tr w:rsidRPr="00E72862" w:rsidR="009A04C3" w:rsidTr="004A3307" w14:paraId="64DE691D" w14:textId="77777777">
        <w:trPr>
          <w:trHeight w:val="386"/>
        </w:trPr>
        <w:tc>
          <w:tcPr>
            <w:tcW w:w="1610" w:type="dxa"/>
            <w:tcMar>
              <w:top w:w="0" w:type="dxa"/>
              <w:left w:w="108" w:type="dxa"/>
              <w:bottom w:w="0" w:type="dxa"/>
              <w:right w:w="108" w:type="dxa"/>
            </w:tcMar>
          </w:tcPr>
          <w:p w:rsidRPr="00E72862" w:rsidR="009A04C3" w:rsidP="00D62968" w:rsidRDefault="009A04C3" w14:paraId="0582D8CD" w14:textId="77777777">
            <w:pPr>
              <w:rPr>
                <w:bCs/>
                <w:sz w:val="18"/>
                <w:szCs w:val="18"/>
              </w:rPr>
            </w:pPr>
            <w:r w:rsidRPr="00E72862">
              <w:rPr>
                <w:bCs/>
                <w:sz w:val="18"/>
                <w:szCs w:val="18"/>
              </w:rPr>
              <w:t>Total</w:t>
            </w:r>
          </w:p>
        </w:tc>
        <w:tc>
          <w:tcPr>
            <w:tcW w:w="1306" w:type="dxa"/>
            <w:tcMar>
              <w:top w:w="0" w:type="dxa"/>
              <w:left w:w="108" w:type="dxa"/>
              <w:bottom w:w="0" w:type="dxa"/>
              <w:right w:w="108" w:type="dxa"/>
            </w:tcMar>
            <w:vAlign w:val="center"/>
          </w:tcPr>
          <w:p w:rsidRPr="00E72862" w:rsidR="009A04C3" w:rsidP="00D62968" w:rsidRDefault="009A04C3" w14:paraId="07C3D365" w14:textId="77777777">
            <w:pPr>
              <w:jc w:val="center"/>
              <w:rPr>
                <w:bCs/>
                <w:sz w:val="18"/>
                <w:szCs w:val="18"/>
              </w:rPr>
            </w:pPr>
            <w:r w:rsidRPr="00E72862">
              <w:rPr>
                <w:bCs/>
                <w:sz w:val="18"/>
                <w:szCs w:val="18"/>
              </w:rPr>
              <w:t>1,625</w:t>
            </w:r>
          </w:p>
        </w:tc>
        <w:tc>
          <w:tcPr>
            <w:tcW w:w="1256" w:type="dxa"/>
            <w:tcMar>
              <w:top w:w="0" w:type="dxa"/>
              <w:left w:w="108" w:type="dxa"/>
              <w:bottom w:w="0" w:type="dxa"/>
              <w:right w:w="108" w:type="dxa"/>
            </w:tcMar>
            <w:vAlign w:val="center"/>
          </w:tcPr>
          <w:p w:rsidRPr="00E72862" w:rsidR="009A04C3" w:rsidP="00D62968" w:rsidRDefault="009A04C3" w14:paraId="7E916F87" w14:textId="77777777">
            <w:pPr>
              <w:jc w:val="center"/>
              <w:rPr>
                <w:rFonts w:eastAsia="Calibri"/>
                <w:bCs/>
                <w:sz w:val="18"/>
                <w:szCs w:val="18"/>
              </w:rPr>
            </w:pPr>
            <w:r w:rsidRPr="00E72862">
              <w:rPr>
                <w:rFonts w:eastAsia="Calibri"/>
                <w:bCs/>
                <w:sz w:val="18"/>
                <w:szCs w:val="18"/>
              </w:rPr>
              <w:t>1</w:t>
            </w:r>
          </w:p>
        </w:tc>
        <w:tc>
          <w:tcPr>
            <w:tcW w:w="1430" w:type="dxa"/>
            <w:tcMar>
              <w:top w:w="0" w:type="dxa"/>
              <w:left w:w="108" w:type="dxa"/>
              <w:bottom w:w="0" w:type="dxa"/>
              <w:right w:w="108" w:type="dxa"/>
            </w:tcMar>
            <w:vAlign w:val="center"/>
          </w:tcPr>
          <w:p w:rsidRPr="00E72862" w:rsidR="009A04C3" w:rsidP="00D62968" w:rsidRDefault="009A04C3" w14:paraId="2C7083D5" w14:textId="77777777">
            <w:pPr>
              <w:jc w:val="center"/>
              <w:rPr>
                <w:rFonts w:eastAsia="Calibri"/>
                <w:bCs/>
                <w:sz w:val="18"/>
                <w:szCs w:val="18"/>
              </w:rPr>
            </w:pPr>
            <w:r w:rsidRPr="00E72862">
              <w:rPr>
                <w:rFonts w:eastAsia="Calibri"/>
                <w:bCs/>
                <w:sz w:val="18"/>
                <w:szCs w:val="18"/>
              </w:rPr>
              <w:t>1,625</w:t>
            </w:r>
          </w:p>
        </w:tc>
        <w:tc>
          <w:tcPr>
            <w:tcW w:w="1428" w:type="dxa"/>
            <w:tcMar>
              <w:top w:w="0" w:type="dxa"/>
              <w:left w:w="108" w:type="dxa"/>
              <w:bottom w:w="0" w:type="dxa"/>
              <w:right w:w="108" w:type="dxa"/>
            </w:tcMar>
            <w:vAlign w:val="center"/>
          </w:tcPr>
          <w:p w:rsidRPr="00E72862" w:rsidR="009A04C3" w:rsidP="00D62968" w:rsidRDefault="009A04C3" w14:paraId="737E4A88" w14:textId="77777777">
            <w:pPr>
              <w:jc w:val="center"/>
              <w:rPr>
                <w:rFonts w:eastAsia="Calibri"/>
                <w:bCs/>
                <w:sz w:val="18"/>
                <w:szCs w:val="18"/>
              </w:rPr>
            </w:pPr>
            <w:r w:rsidRPr="00E72862">
              <w:rPr>
                <w:rFonts w:eastAsia="Calibri"/>
                <w:bCs/>
                <w:sz w:val="18"/>
                <w:szCs w:val="18"/>
              </w:rPr>
              <w:t>.17</w:t>
            </w:r>
          </w:p>
        </w:tc>
        <w:tc>
          <w:tcPr>
            <w:tcW w:w="986" w:type="dxa"/>
            <w:tcMar>
              <w:top w:w="0" w:type="dxa"/>
              <w:left w:w="108" w:type="dxa"/>
              <w:bottom w:w="0" w:type="dxa"/>
              <w:right w:w="108" w:type="dxa"/>
            </w:tcMar>
            <w:vAlign w:val="center"/>
          </w:tcPr>
          <w:p w:rsidRPr="00E72862" w:rsidR="009A04C3" w:rsidP="00D62968" w:rsidRDefault="009A04C3" w14:paraId="4EFE4089" w14:textId="77777777">
            <w:pPr>
              <w:jc w:val="center"/>
              <w:rPr>
                <w:rFonts w:eastAsia="Calibri"/>
                <w:bCs/>
                <w:sz w:val="18"/>
                <w:szCs w:val="18"/>
              </w:rPr>
            </w:pPr>
            <w:r w:rsidRPr="00E72862">
              <w:rPr>
                <w:rFonts w:eastAsia="Calibri"/>
                <w:bCs/>
                <w:sz w:val="18"/>
                <w:szCs w:val="18"/>
              </w:rPr>
              <w:t>276.25</w:t>
            </w:r>
          </w:p>
        </w:tc>
        <w:tc>
          <w:tcPr>
            <w:tcW w:w="1078" w:type="dxa"/>
            <w:tcMar>
              <w:top w:w="0" w:type="dxa"/>
              <w:left w:w="108" w:type="dxa"/>
              <w:bottom w:w="0" w:type="dxa"/>
              <w:right w:w="108" w:type="dxa"/>
            </w:tcMar>
            <w:vAlign w:val="center"/>
          </w:tcPr>
          <w:p w:rsidRPr="00E72862" w:rsidR="009A04C3" w:rsidP="00D62968" w:rsidRDefault="009A04C3" w14:paraId="0AFEAECD" w14:textId="77777777">
            <w:pPr>
              <w:jc w:val="center"/>
              <w:rPr>
                <w:rFonts w:eastAsia="Calibri"/>
                <w:bCs/>
                <w:sz w:val="18"/>
                <w:szCs w:val="18"/>
              </w:rPr>
            </w:pPr>
            <w:r w:rsidRPr="00E72862">
              <w:rPr>
                <w:rFonts w:eastAsia="Calibri"/>
                <w:bCs/>
                <w:sz w:val="18"/>
                <w:szCs w:val="18"/>
              </w:rPr>
              <w:t>$34.86</w:t>
            </w:r>
          </w:p>
        </w:tc>
        <w:tc>
          <w:tcPr>
            <w:tcW w:w="1166" w:type="dxa"/>
            <w:tcMar>
              <w:top w:w="0" w:type="dxa"/>
              <w:left w:w="108" w:type="dxa"/>
              <w:bottom w:w="0" w:type="dxa"/>
              <w:right w:w="108" w:type="dxa"/>
            </w:tcMar>
            <w:vAlign w:val="center"/>
          </w:tcPr>
          <w:p w:rsidRPr="00E72862" w:rsidR="009A04C3" w:rsidP="00D62968" w:rsidRDefault="009A04C3" w14:paraId="67849895" w14:textId="77777777">
            <w:pPr>
              <w:jc w:val="right"/>
              <w:rPr>
                <w:rFonts w:eastAsia="Calibri"/>
                <w:bCs/>
                <w:sz w:val="18"/>
                <w:szCs w:val="18"/>
              </w:rPr>
            </w:pPr>
            <w:r w:rsidRPr="00E72862">
              <w:rPr>
                <w:rFonts w:eastAsia="Calibri"/>
                <w:bCs/>
                <w:sz w:val="18"/>
                <w:szCs w:val="18"/>
              </w:rPr>
              <w:t>$9,630.08</w:t>
            </w:r>
          </w:p>
        </w:tc>
      </w:tr>
    </w:tbl>
    <w:p w:rsidRPr="00E72862" w:rsidR="0062114D" w:rsidP="0094343D" w:rsidRDefault="0094343D" w14:paraId="4F08A9BA" w14:textId="77777777">
      <w:pPr>
        <w:keepLines/>
        <w:tabs>
          <w:tab w:val="left" w:pos="450"/>
        </w:tabs>
        <w:spacing w:after="80"/>
        <w:jc w:val="both"/>
        <w:rPr>
          <w:b/>
          <w:bCs/>
          <w:spacing w:val="1"/>
          <w:sz w:val="18"/>
          <w:szCs w:val="18"/>
        </w:rPr>
      </w:pPr>
      <w:r w:rsidRPr="00E72862">
        <w:rPr>
          <w:b/>
          <w:bCs/>
          <w:spacing w:val="1"/>
          <w:sz w:val="18"/>
          <w:szCs w:val="18"/>
        </w:rPr>
        <w:t>Burden hourly rate used for this estimate for technical/program staff (average grade GS-1</w:t>
      </w:r>
      <w:r w:rsidRPr="00E72862" w:rsidR="0062114D">
        <w:rPr>
          <w:b/>
          <w:bCs/>
          <w:spacing w:val="1"/>
          <w:sz w:val="18"/>
          <w:szCs w:val="18"/>
        </w:rPr>
        <w:t>1</w:t>
      </w:r>
      <w:r w:rsidRPr="00E72862">
        <w:rPr>
          <w:b/>
          <w:bCs/>
          <w:spacing w:val="1"/>
          <w:sz w:val="18"/>
          <w:szCs w:val="18"/>
        </w:rPr>
        <w:t xml:space="preserve">, step </w:t>
      </w:r>
      <w:r w:rsidRPr="00E72862" w:rsidR="0062114D">
        <w:rPr>
          <w:b/>
          <w:bCs/>
          <w:spacing w:val="1"/>
          <w:sz w:val="18"/>
          <w:szCs w:val="18"/>
        </w:rPr>
        <w:t>1</w:t>
      </w:r>
      <w:r w:rsidRPr="00E72862">
        <w:rPr>
          <w:b/>
          <w:bCs/>
          <w:spacing w:val="1"/>
          <w:sz w:val="18"/>
          <w:szCs w:val="18"/>
        </w:rPr>
        <w:t>)</w:t>
      </w:r>
      <w:r w:rsidRPr="00E72862" w:rsidR="0062114D">
        <w:rPr>
          <w:b/>
          <w:bCs/>
          <w:spacing w:val="1"/>
          <w:sz w:val="18"/>
          <w:szCs w:val="18"/>
        </w:rPr>
        <w:t>.</w:t>
      </w:r>
    </w:p>
    <w:p w:rsidRPr="004A3307" w:rsidR="0094343D" w:rsidP="0094343D" w:rsidRDefault="0094343D" w14:paraId="0BA729EF" w14:textId="46373568">
      <w:pPr>
        <w:keepLines/>
        <w:tabs>
          <w:tab w:val="left" w:pos="450"/>
        </w:tabs>
        <w:spacing w:after="80"/>
        <w:jc w:val="both"/>
        <w:rPr>
          <w:b/>
          <w:bCs/>
          <w:i/>
          <w:iCs/>
          <w:spacing w:val="1"/>
          <w:sz w:val="24"/>
          <w:szCs w:val="24"/>
        </w:rPr>
      </w:pPr>
      <w:r w:rsidRPr="004A3307">
        <w:rPr>
          <w:b/>
          <w:bCs/>
          <w:i/>
          <w:iCs/>
          <w:spacing w:val="1"/>
          <w:sz w:val="24"/>
          <w:szCs w:val="24"/>
        </w:rPr>
        <w:t xml:space="preserve"> </w:t>
      </w:r>
    </w:p>
    <w:p w:rsidRPr="00E72862" w:rsidR="00025206" w:rsidP="00E72862" w:rsidRDefault="00025206" w14:paraId="4BD3B9CA" w14:textId="3A4B15EE">
      <w:pPr>
        <w:keepLines/>
        <w:spacing w:after="80"/>
        <w:ind w:left="360" w:hanging="360"/>
        <w:rPr>
          <w:b/>
          <w:bCs/>
          <w:sz w:val="24"/>
          <w:szCs w:val="24"/>
        </w:rPr>
      </w:pPr>
      <w:r w:rsidRPr="00E72862">
        <w:rPr>
          <w:b/>
          <w:bCs/>
          <w:sz w:val="24"/>
          <w:szCs w:val="24"/>
        </w:rPr>
        <w:t>15.</w:t>
      </w:r>
      <w:r w:rsidRPr="00E72862">
        <w:rPr>
          <w:b/>
          <w:bCs/>
          <w:sz w:val="24"/>
          <w:szCs w:val="24"/>
        </w:rPr>
        <w:tab/>
        <w:t>Explain the reasons for any program changes or adjustments reported in Items 13 and 14 of the OMB Form 83-I.</w:t>
      </w:r>
    </w:p>
    <w:p w:rsidRPr="004A3307" w:rsidR="00457D18" w:rsidP="00025206" w:rsidRDefault="00457D18" w14:paraId="6D754B1B" w14:textId="77777777">
      <w:pPr>
        <w:keepLines/>
        <w:tabs>
          <w:tab w:val="left" w:pos="360"/>
          <w:tab w:val="left" w:pos="720"/>
        </w:tabs>
        <w:ind w:left="360"/>
        <w:rPr>
          <w:sz w:val="24"/>
          <w:szCs w:val="24"/>
        </w:rPr>
      </w:pPr>
    </w:p>
    <w:p w:rsidRPr="004A3307" w:rsidR="00025206" w:rsidP="00025206" w:rsidRDefault="00780C3D" w14:paraId="148B641C" w14:textId="3750EA5D">
      <w:pPr>
        <w:keepLines/>
        <w:tabs>
          <w:tab w:val="left" w:pos="360"/>
          <w:tab w:val="left" w:pos="720"/>
        </w:tabs>
        <w:ind w:left="360"/>
        <w:rPr>
          <w:sz w:val="24"/>
          <w:szCs w:val="24"/>
        </w:rPr>
      </w:pPr>
      <w:r w:rsidRPr="004A3307">
        <w:rPr>
          <w:sz w:val="24"/>
          <w:szCs w:val="24"/>
        </w:rPr>
        <w:t xml:space="preserve">This </w:t>
      </w:r>
      <w:r w:rsidRPr="004A3307" w:rsidR="0027551E">
        <w:rPr>
          <w:sz w:val="24"/>
          <w:szCs w:val="24"/>
        </w:rPr>
        <w:t xml:space="preserve">is </w:t>
      </w:r>
      <w:r w:rsidRPr="004A3307">
        <w:rPr>
          <w:sz w:val="24"/>
          <w:szCs w:val="24"/>
        </w:rPr>
        <w:t>a new collection</w:t>
      </w:r>
      <w:r w:rsidRPr="004A3307" w:rsidR="00025206">
        <w:rPr>
          <w:sz w:val="24"/>
          <w:szCs w:val="24"/>
        </w:rPr>
        <w:t xml:space="preserve">.    </w:t>
      </w:r>
    </w:p>
    <w:p w:rsidRPr="004A3307" w:rsidR="00025206" w:rsidP="00025206" w:rsidRDefault="00025206" w14:paraId="428C44F6" w14:textId="77777777">
      <w:pPr>
        <w:tabs>
          <w:tab w:val="left" w:pos="360"/>
        </w:tabs>
        <w:ind w:left="360" w:hanging="360"/>
        <w:rPr>
          <w:sz w:val="24"/>
          <w:szCs w:val="24"/>
        </w:rPr>
      </w:pPr>
    </w:p>
    <w:p w:rsidRPr="00E72862" w:rsidR="00025206" w:rsidP="00E72862" w:rsidRDefault="00025206" w14:paraId="1A3E7373" w14:textId="77777777">
      <w:pPr>
        <w:keepLines/>
        <w:spacing w:after="80"/>
        <w:ind w:left="360" w:hanging="360"/>
        <w:rPr>
          <w:b/>
          <w:bCs/>
          <w:sz w:val="24"/>
          <w:szCs w:val="24"/>
        </w:rPr>
      </w:pPr>
      <w:r w:rsidRPr="00E72862">
        <w:rPr>
          <w:b/>
          <w:bCs/>
          <w:sz w:val="24"/>
          <w:szCs w:val="24"/>
        </w:rPr>
        <w:t>16.</w:t>
      </w:r>
      <w:r w:rsidRPr="00E72862">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A3307" w:rsidR="00457D18" w:rsidP="00025206" w:rsidRDefault="00457D18" w14:paraId="020BDF4F" w14:textId="77777777">
      <w:pPr>
        <w:keepLines/>
        <w:tabs>
          <w:tab w:val="left" w:pos="360"/>
          <w:tab w:val="left" w:pos="720"/>
        </w:tabs>
        <w:ind w:left="360"/>
        <w:rPr>
          <w:sz w:val="24"/>
          <w:szCs w:val="24"/>
        </w:rPr>
      </w:pPr>
      <w:r w:rsidRPr="004A3307">
        <w:rPr>
          <w:sz w:val="24"/>
          <w:szCs w:val="24"/>
        </w:rPr>
        <w:t xml:space="preserve"> </w:t>
      </w:r>
    </w:p>
    <w:p w:rsidRPr="004A3307" w:rsidR="00025206" w:rsidP="00025206" w:rsidRDefault="00025206" w14:paraId="68DFD3B3" w14:textId="63685FD1">
      <w:pPr>
        <w:keepLines/>
        <w:tabs>
          <w:tab w:val="left" w:pos="360"/>
          <w:tab w:val="left" w:pos="720"/>
        </w:tabs>
        <w:ind w:left="360"/>
        <w:rPr>
          <w:sz w:val="24"/>
          <w:szCs w:val="24"/>
        </w:rPr>
      </w:pPr>
      <w:r w:rsidRPr="004A3307">
        <w:rPr>
          <w:sz w:val="24"/>
          <w:szCs w:val="24"/>
        </w:rPr>
        <w:t>HUD has no plans to publish any of the information collec</w:t>
      </w:r>
      <w:r w:rsidRPr="004A3307" w:rsidR="00457D18">
        <w:rPr>
          <w:sz w:val="24"/>
          <w:szCs w:val="24"/>
        </w:rPr>
        <w:t>ted</w:t>
      </w:r>
      <w:r w:rsidRPr="004A3307">
        <w:rPr>
          <w:sz w:val="24"/>
          <w:szCs w:val="24"/>
        </w:rPr>
        <w:t>.</w:t>
      </w:r>
    </w:p>
    <w:p w:rsidRPr="004A3307" w:rsidR="00025206" w:rsidP="00025206" w:rsidRDefault="00025206" w14:paraId="6DC95A75" w14:textId="77777777">
      <w:pPr>
        <w:tabs>
          <w:tab w:val="left" w:pos="360"/>
        </w:tabs>
        <w:ind w:left="360" w:hanging="360"/>
        <w:rPr>
          <w:sz w:val="24"/>
          <w:szCs w:val="24"/>
        </w:rPr>
      </w:pPr>
    </w:p>
    <w:p w:rsidRPr="004A3307" w:rsidR="00025206" w:rsidP="00E72862" w:rsidRDefault="00025206" w14:paraId="60A031F0" w14:textId="77777777">
      <w:pPr>
        <w:keepLines/>
        <w:spacing w:after="80"/>
        <w:ind w:left="360" w:hanging="360"/>
        <w:rPr>
          <w:sz w:val="24"/>
          <w:szCs w:val="24"/>
        </w:rPr>
      </w:pPr>
      <w:r w:rsidRPr="00E72862">
        <w:rPr>
          <w:b/>
          <w:bCs/>
          <w:sz w:val="24"/>
          <w:szCs w:val="24"/>
        </w:rPr>
        <w:lastRenderedPageBreak/>
        <w:t>17.</w:t>
      </w:r>
      <w:r w:rsidRPr="00E72862">
        <w:rPr>
          <w:b/>
          <w:bCs/>
          <w:sz w:val="24"/>
          <w:szCs w:val="24"/>
        </w:rPr>
        <w:tab/>
        <w:t>If seeking approval to not display the expiration date for OMB approval of the information collection, explain the reasons that display would be inappropriate.</w:t>
      </w:r>
    </w:p>
    <w:p w:rsidRPr="004A3307" w:rsidR="00457D18" w:rsidP="00025206" w:rsidRDefault="00457D18" w14:paraId="0722EA8E" w14:textId="77777777">
      <w:pPr>
        <w:keepLines/>
        <w:tabs>
          <w:tab w:val="left" w:pos="360"/>
          <w:tab w:val="left" w:pos="720"/>
        </w:tabs>
        <w:ind w:left="360"/>
        <w:rPr>
          <w:sz w:val="24"/>
          <w:szCs w:val="24"/>
        </w:rPr>
      </w:pPr>
    </w:p>
    <w:p w:rsidRPr="004A3307" w:rsidR="00025206" w:rsidP="00025206" w:rsidRDefault="00E63C04" w14:paraId="7CA8B2B4" w14:textId="6D05BD5D">
      <w:pPr>
        <w:keepLines/>
        <w:tabs>
          <w:tab w:val="left" w:pos="360"/>
          <w:tab w:val="left" w:pos="720"/>
        </w:tabs>
        <w:ind w:left="360"/>
        <w:rPr>
          <w:sz w:val="24"/>
          <w:szCs w:val="24"/>
        </w:rPr>
      </w:pPr>
      <w:r w:rsidRPr="004A3307">
        <w:rPr>
          <w:sz w:val="24"/>
          <w:szCs w:val="24"/>
        </w:rPr>
        <w:t>Not Applicable</w:t>
      </w:r>
      <w:r w:rsidRPr="004A3307" w:rsidR="00025206">
        <w:rPr>
          <w:sz w:val="24"/>
          <w:szCs w:val="24"/>
        </w:rPr>
        <w:t>.</w:t>
      </w:r>
    </w:p>
    <w:p w:rsidRPr="004A3307" w:rsidR="00025206" w:rsidP="00025206" w:rsidRDefault="00025206" w14:paraId="6EDCA085" w14:textId="77777777">
      <w:pPr>
        <w:tabs>
          <w:tab w:val="left" w:pos="360"/>
        </w:tabs>
        <w:ind w:left="360" w:hanging="360"/>
        <w:rPr>
          <w:sz w:val="24"/>
          <w:szCs w:val="24"/>
        </w:rPr>
      </w:pPr>
    </w:p>
    <w:p w:rsidRPr="00E72862" w:rsidR="00025206" w:rsidP="00E72862" w:rsidRDefault="00025206" w14:paraId="2106F558" w14:textId="77777777">
      <w:pPr>
        <w:keepLines/>
        <w:spacing w:after="80"/>
        <w:ind w:left="360" w:hanging="360"/>
        <w:rPr>
          <w:b/>
          <w:bCs/>
          <w:sz w:val="24"/>
          <w:szCs w:val="24"/>
        </w:rPr>
      </w:pPr>
      <w:r w:rsidRPr="00E72862">
        <w:rPr>
          <w:b/>
          <w:bCs/>
          <w:sz w:val="24"/>
          <w:szCs w:val="24"/>
        </w:rPr>
        <w:t>18.</w:t>
      </w:r>
      <w:r w:rsidRPr="00E72862">
        <w:rPr>
          <w:b/>
          <w:bCs/>
          <w:sz w:val="24"/>
          <w:szCs w:val="24"/>
        </w:rPr>
        <w:tab/>
        <w:t>Explain each exception to the certification statement identified in item 19.</w:t>
      </w:r>
    </w:p>
    <w:p w:rsidRPr="004A3307" w:rsidR="006F4434" w:rsidP="00025206" w:rsidRDefault="006F4434" w14:paraId="4F9CCE0D" w14:textId="77777777">
      <w:pPr>
        <w:keepLines/>
        <w:tabs>
          <w:tab w:val="left" w:pos="360"/>
          <w:tab w:val="left" w:pos="720"/>
        </w:tabs>
        <w:ind w:left="360"/>
        <w:rPr>
          <w:sz w:val="24"/>
          <w:szCs w:val="24"/>
        </w:rPr>
      </w:pPr>
    </w:p>
    <w:p w:rsidRPr="004A3307" w:rsidR="00025206" w:rsidP="00025206" w:rsidRDefault="00025206" w14:paraId="22FF0185" w14:textId="42B9090B">
      <w:pPr>
        <w:keepLines/>
        <w:tabs>
          <w:tab w:val="left" w:pos="360"/>
          <w:tab w:val="left" w:pos="720"/>
        </w:tabs>
        <w:ind w:left="360"/>
        <w:rPr>
          <w:sz w:val="24"/>
          <w:szCs w:val="24"/>
        </w:rPr>
      </w:pPr>
      <w:r w:rsidRPr="004A3307">
        <w:rPr>
          <w:sz w:val="24"/>
          <w:szCs w:val="24"/>
        </w:rPr>
        <w:t>None.</w:t>
      </w:r>
    </w:p>
    <w:p w:rsidRPr="004A3307" w:rsidR="00025206" w:rsidP="00025206" w:rsidRDefault="00025206" w14:paraId="2BEA08E9" w14:textId="77777777">
      <w:pPr>
        <w:tabs>
          <w:tab w:val="left" w:pos="360"/>
          <w:tab w:val="left" w:pos="720"/>
        </w:tabs>
        <w:rPr>
          <w:sz w:val="24"/>
          <w:szCs w:val="24"/>
        </w:rPr>
      </w:pPr>
    </w:p>
    <w:p w:rsidRPr="004A3307" w:rsidR="00025206" w:rsidP="00025206" w:rsidRDefault="00025206" w14:paraId="4C6491F5" w14:textId="77777777">
      <w:pPr>
        <w:tabs>
          <w:tab w:val="left" w:pos="360"/>
          <w:tab w:val="left" w:pos="720"/>
        </w:tabs>
        <w:rPr>
          <w:sz w:val="24"/>
          <w:szCs w:val="24"/>
        </w:rPr>
      </w:pPr>
    </w:p>
    <w:p w:rsidRPr="004A3307" w:rsidR="00025206" w:rsidP="00025206" w:rsidRDefault="00025206" w14:paraId="49405080"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4A3307">
        <w:rPr>
          <w:b/>
          <w:sz w:val="24"/>
          <w:szCs w:val="24"/>
        </w:rPr>
        <w:t xml:space="preserve">B. </w:t>
      </w:r>
      <w:r w:rsidRPr="004A3307">
        <w:rPr>
          <w:b/>
          <w:sz w:val="24"/>
          <w:szCs w:val="24"/>
        </w:rPr>
        <w:tab/>
        <w:t>Collections of Information Employing Statistical Methods</w:t>
      </w:r>
    </w:p>
    <w:p w:rsidRPr="004A3307" w:rsidR="00025206" w:rsidP="00025206" w:rsidRDefault="00025206" w14:paraId="435D18F0"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Pr="004A3307" w:rsidR="00025206" w:rsidP="00025206" w:rsidRDefault="00025206" w14:paraId="6592923E" w14:textId="77777777">
      <w:pPr>
        <w:keepLines/>
        <w:tabs>
          <w:tab w:val="left" w:pos="360"/>
          <w:tab w:val="left" w:pos="720"/>
        </w:tabs>
        <w:ind w:left="360"/>
        <w:rPr>
          <w:color w:val="0070C0"/>
          <w:sz w:val="24"/>
          <w:szCs w:val="24"/>
        </w:rPr>
      </w:pPr>
      <w:r w:rsidRPr="004A3307">
        <w:rPr>
          <w:sz w:val="24"/>
          <w:szCs w:val="24"/>
        </w:rPr>
        <w:t>None</w:t>
      </w:r>
      <w:r w:rsidRPr="004A3307">
        <w:rPr>
          <w:color w:val="0070C0"/>
          <w:sz w:val="24"/>
          <w:szCs w:val="24"/>
        </w:rPr>
        <w:t>.</w:t>
      </w:r>
    </w:p>
    <w:sectPr w:rsidRPr="004A3307" w:rsidR="00025206" w:rsidSect="005F319B">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5FCC" w14:textId="77777777" w:rsidR="009F1834" w:rsidRDefault="009F1834" w:rsidP="005F319B">
      <w:r>
        <w:separator/>
      </w:r>
    </w:p>
  </w:endnote>
  <w:endnote w:type="continuationSeparator" w:id="0">
    <w:p w14:paraId="237BBB43" w14:textId="77777777" w:rsidR="009F1834" w:rsidRDefault="009F1834" w:rsidP="005F319B">
      <w:r>
        <w:continuationSeparator/>
      </w:r>
    </w:p>
  </w:endnote>
  <w:endnote w:type="continuationNotice" w:id="1">
    <w:p w14:paraId="10D92FC0" w14:textId="77777777" w:rsidR="009F1834" w:rsidRDefault="009F1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233913"/>
      <w:docPartObj>
        <w:docPartGallery w:val="Page Numbers (Bottom of Page)"/>
        <w:docPartUnique/>
      </w:docPartObj>
    </w:sdtPr>
    <w:sdtEndPr>
      <w:rPr>
        <w:noProof/>
        <w:sz w:val="24"/>
        <w:szCs w:val="24"/>
      </w:rPr>
    </w:sdtEndPr>
    <w:sdtContent>
      <w:p w14:paraId="3B431F86" w14:textId="0FBC9018" w:rsidR="005F319B" w:rsidRPr="005F319B" w:rsidRDefault="005F319B">
        <w:pPr>
          <w:pStyle w:val="Footer"/>
          <w:jc w:val="center"/>
          <w:rPr>
            <w:sz w:val="24"/>
            <w:szCs w:val="24"/>
          </w:rPr>
        </w:pPr>
        <w:r w:rsidRPr="005F319B">
          <w:rPr>
            <w:sz w:val="24"/>
            <w:szCs w:val="24"/>
          </w:rPr>
          <w:fldChar w:fldCharType="begin"/>
        </w:r>
        <w:r w:rsidRPr="005F319B">
          <w:rPr>
            <w:sz w:val="24"/>
            <w:szCs w:val="24"/>
          </w:rPr>
          <w:instrText xml:space="preserve"> PAGE   \* MERGEFORMAT </w:instrText>
        </w:r>
        <w:r w:rsidRPr="005F319B">
          <w:rPr>
            <w:sz w:val="24"/>
            <w:szCs w:val="24"/>
          </w:rPr>
          <w:fldChar w:fldCharType="separate"/>
        </w:r>
        <w:r w:rsidRPr="005F319B">
          <w:rPr>
            <w:noProof/>
            <w:sz w:val="24"/>
            <w:szCs w:val="24"/>
          </w:rPr>
          <w:t>2</w:t>
        </w:r>
        <w:r w:rsidRPr="005F319B">
          <w:rPr>
            <w:noProof/>
            <w:sz w:val="24"/>
            <w:szCs w:val="24"/>
          </w:rPr>
          <w:fldChar w:fldCharType="end"/>
        </w:r>
      </w:p>
    </w:sdtContent>
  </w:sdt>
  <w:p w14:paraId="345450E2" w14:textId="77777777" w:rsidR="005F319B" w:rsidRDefault="005F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E1D9" w14:textId="77777777" w:rsidR="009F1834" w:rsidRDefault="009F1834" w:rsidP="005F319B">
      <w:r>
        <w:separator/>
      </w:r>
    </w:p>
  </w:footnote>
  <w:footnote w:type="continuationSeparator" w:id="0">
    <w:p w14:paraId="5C006A34" w14:textId="77777777" w:rsidR="009F1834" w:rsidRDefault="009F1834" w:rsidP="005F319B">
      <w:r>
        <w:continuationSeparator/>
      </w:r>
    </w:p>
  </w:footnote>
  <w:footnote w:type="continuationNotice" w:id="1">
    <w:p w14:paraId="232B1EE2" w14:textId="77777777" w:rsidR="009F1834" w:rsidRDefault="009F1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2AEC" w14:textId="77777777" w:rsidR="006F2692" w:rsidRDefault="006F2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97176C2"/>
    <w:multiLevelType w:val="hybridMultilevel"/>
    <w:tmpl w:val="92E6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1853C2"/>
    <w:multiLevelType w:val="hybridMultilevel"/>
    <w:tmpl w:val="249032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15:restartNumberingAfterBreak="0">
    <w:nsid w:val="792D18DA"/>
    <w:multiLevelType w:val="hybridMultilevel"/>
    <w:tmpl w:val="8F483D76"/>
    <w:lvl w:ilvl="0" w:tplc="1556E1D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 w:ilvl="0">
        <w:start w:val="1"/>
        <w:numFmt w:val="bullet"/>
        <w:lvlText w:val=""/>
        <w:legacy w:legacy="1" w:legacySpace="0" w:legacyIndent="144"/>
        <w:lvlJc w:val="left"/>
        <w:pPr>
          <w:ind w:left="594" w:hanging="144"/>
        </w:pPr>
        <w:rPr>
          <w:rFonts w:ascii="Symbol" w:hAnsi="Symbol" w:hint="default"/>
          <w:sz w:val="16"/>
        </w:rPr>
      </w:lvl>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06"/>
    <w:rsid w:val="00025206"/>
    <w:rsid w:val="000315F0"/>
    <w:rsid w:val="00053813"/>
    <w:rsid w:val="0006664D"/>
    <w:rsid w:val="00067C16"/>
    <w:rsid w:val="00072232"/>
    <w:rsid w:val="00076D0C"/>
    <w:rsid w:val="0008009E"/>
    <w:rsid w:val="000A72DF"/>
    <w:rsid w:val="000A7B92"/>
    <w:rsid w:val="000B0F39"/>
    <w:rsid w:val="000C2ECE"/>
    <w:rsid w:val="000D264E"/>
    <w:rsid w:val="000F7E3C"/>
    <w:rsid w:val="00123218"/>
    <w:rsid w:val="00127644"/>
    <w:rsid w:val="00131D76"/>
    <w:rsid w:val="00142C4A"/>
    <w:rsid w:val="00187D13"/>
    <w:rsid w:val="00191F06"/>
    <w:rsid w:val="001A46E7"/>
    <w:rsid w:val="001A7F81"/>
    <w:rsid w:val="001D2CAB"/>
    <w:rsid w:val="0027551E"/>
    <w:rsid w:val="002A2F44"/>
    <w:rsid w:val="002A3EB6"/>
    <w:rsid w:val="002E4139"/>
    <w:rsid w:val="00332AF1"/>
    <w:rsid w:val="00367D4A"/>
    <w:rsid w:val="0037125D"/>
    <w:rsid w:val="003E5F02"/>
    <w:rsid w:val="003F27AE"/>
    <w:rsid w:val="003F51A2"/>
    <w:rsid w:val="00440254"/>
    <w:rsid w:val="00457D18"/>
    <w:rsid w:val="0046543C"/>
    <w:rsid w:val="00467FA1"/>
    <w:rsid w:val="004A3307"/>
    <w:rsid w:val="004A4F68"/>
    <w:rsid w:val="004D1C2A"/>
    <w:rsid w:val="0057111D"/>
    <w:rsid w:val="00571AFC"/>
    <w:rsid w:val="005A57C9"/>
    <w:rsid w:val="005C4698"/>
    <w:rsid w:val="005F290E"/>
    <w:rsid w:val="005F319B"/>
    <w:rsid w:val="006120DE"/>
    <w:rsid w:val="0062114D"/>
    <w:rsid w:val="00636582"/>
    <w:rsid w:val="006446C3"/>
    <w:rsid w:val="00654521"/>
    <w:rsid w:val="006B4946"/>
    <w:rsid w:val="006C1D88"/>
    <w:rsid w:val="006D1831"/>
    <w:rsid w:val="006D3E32"/>
    <w:rsid w:val="006F2692"/>
    <w:rsid w:val="006F4434"/>
    <w:rsid w:val="0071758E"/>
    <w:rsid w:val="0073623D"/>
    <w:rsid w:val="00737245"/>
    <w:rsid w:val="00767A7D"/>
    <w:rsid w:val="00780C3D"/>
    <w:rsid w:val="00783DDB"/>
    <w:rsid w:val="007A63BF"/>
    <w:rsid w:val="007B4578"/>
    <w:rsid w:val="007C4C66"/>
    <w:rsid w:val="00820D13"/>
    <w:rsid w:val="00822479"/>
    <w:rsid w:val="00827658"/>
    <w:rsid w:val="008334F9"/>
    <w:rsid w:val="00850F7E"/>
    <w:rsid w:val="0088121B"/>
    <w:rsid w:val="008845FD"/>
    <w:rsid w:val="008A4980"/>
    <w:rsid w:val="008C5177"/>
    <w:rsid w:val="008D11FB"/>
    <w:rsid w:val="008D14C8"/>
    <w:rsid w:val="008E2781"/>
    <w:rsid w:val="008F1858"/>
    <w:rsid w:val="00917E91"/>
    <w:rsid w:val="00935126"/>
    <w:rsid w:val="0094343D"/>
    <w:rsid w:val="00961FA1"/>
    <w:rsid w:val="00987BB4"/>
    <w:rsid w:val="009A04C3"/>
    <w:rsid w:val="009E3DEE"/>
    <w:rsid w:val="009F0F14"/>
    <w:rsid w:val="009F1834"/>
    <w:rsid w:val="00A42556"/>
    <w:rsid w:val="00A51B35"/>
    <w:rsid w:val="00A86733"/>
    <w:rsid w:val="00AA377E"/>
    <w:rsid w:val="00AB27D0"/>
    <w:rsid w:val="00AB3725"/>
    <w:rsid w:val="00BB60CD"/>
    <w:rsid w:val="00C406C0"/>
    <w:rsid w:val="00C564C1"/>
    <w:rsid w:val="00C6565D"/>
    <w:rsid w:val="00CA18DA"/>
    <w:rsid w:val="00CC31B0"/>
    <w:rsid w:val="00D36D7A"/>
    <w:rsid w:val="00D5057A"/>
    <w:rsid w:val="00D87F13"/>
    <w:rsid w:val="00D9313A"/>
    <w:rsid w:val="00DC1333"/>
    <w:rsid w:val="00DE4865"/>
    <w:rsid w:val="00DF6629"/>
    <w:rsid w:val="00E23233"/>
    <w:rsid w:val="00E57593"/>
    <w:rsid w:val="00E63C04"/>
    <w:rsid w:val="00E72862"/>
    <w:rsid w:val="00E91933"/>
    <w:rsid w:val="00EE19D8"/>
    <w:rsid w:val="00EE1E7E"/>
    <w:rsid w:val="00F77C05"/>
    <w:rsid w:val="00F9141B"/>
    <w:rsid w:val="00F91D35"/>
    <w:rsid w:val="00FF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C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2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5206"/>
    <w:pPr>
      <w:spacing w:after="120" w:line="480" w:lineRule="auto"/>
      <w:ind w:left="360"/>
    </w:pPr>
  </w:style>
  <w:style w:type="character" w:customStyle="1" w:styleId="BodyTextIndent2Char">
    <w:name w:val="Body Text Indent 2 Char"/>
    <w:basedOn w:val="DefaultParagraphFont"/>
    <w:link w:val="BodyTextIndent2"/>
    <w:rsid w:val="0002520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A2F44"/>
    <w:rPr>
      <w:sz w:val="16"/>
      <w:szCs w:val="16"/>
    </w:rPr>
  </w:style>
  <w:style w:type="paragraph" w:styleId="CommentText">
    <w:name w:val="annotation text"/>
    <w:basedOn w:val="Normal"/>
    <w:link w:val="CommentTextChar"/>
    <w:uiPriority w:val="99"/>
    <w:semiHidden/>
    <w:unhideWhenUsed/>
    <w:rsid w:val="002A2F44"/>
  </w:style>
  <w:style w:type="character" w:customStyle="1" w:styleId="CommentTextChar">
    <w:name w:val="Comment Text Char"/>
    <w:basedOn w:val="DefaultParagraphFont"/>
    <w:link w:val="CommentText"/>
    <w:uiPriority w:val="99"/>
    <w:semiHidden/>
    <w:rsid w:val="002A2F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F44"/>
    <w:rPr>
      <w:b/>
      <w:bCs/>
    </w:rPr>
  </w:style>
  <w:style w:type="character" w:customStyle="1" w:styleId="CommentSubjectChar">
    <w:name w:val="Comment Subject Char"/>
    <w:basedOn w:val="CommentTextChar"/>
    <w:link w:val="CommentSubject"/>
    <w:uiPriority w:val="99"/>
    <w:semiHidden/>
    <w:rsid w:val="002A2F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A2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F44"/>
    <w:rPr>
      <w:rFonts w:ascii="Segoe UI" w:eastAsia="Times New Roman" w:hAnsi="Segoe UI" w:cs="Segoe UI"/>
      <w:sz w:val="18"/>
      <w:szCs w:val="18"/>
    </w:rPr>
  </w:style>
  <w:style w:type="paragraph" w:styleId="Header">
    <w:name w:val="header"/>
    <w:basedOn w:val="Normal"/>
    <w:link w:val="HeaderChar"/>
    <w:uiPriority w:val="99"/>
    <w:unhideWhenUsed/>
    <w:rsid w:val="005F319B"/>
    <w:pPr>
      <w:tabs>
        <w:tab w:val="center" w:pos="4680"/>
        <w:tab w:val="right" w:pos="9360"/>
      </w:tabs>
    </w:pPr>
  </w:style>
  <w:style w:type="character" w:customStyle="1" w:styleId="HeaderChar">
    <w:name w:val="Header Char"/>
    <w:basedOn w:val="DefaultParagraphFont"/>
    <w:link w:val="Header"/>
    <w:uiPriority w:val="99"/>
    <w:rsid w:val="005F319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F319B"/>
    <w:pPr>
      <w:tabs>
        <w:tab w:val="center" w:pos="4680"/>
        <w:tab w:val="right" w:pos="9360"/>
      </w:tabs>
    </w:pPr>
  </w:style>
  <w:style w:type="character" w:customStyle="1" w:styleId="FooterChar">
    <w:name w:val="Footer Char"/>
    <w:basedOn w:val="DefaultParagraphFont"/>
    <w:link w:val="Footer"/>
    <w:uiPriority w:val="99"/>
    <w:rsid w:val="005F319B"/>
    <w:rPr>
      <w:rFonts w:ascii="Times New Roman" w:eastAsia="Times New Roman" w:hAnsi="Times New Roman" w:cs="Times New Roman"/>
      <w:sz w:val="20"/>
      <w:szCs w:val="20"/>
    </w:rPr>
  </w:style>
  <w:style w:type="paragraph" w:styleId="ListParagraph">
    <w:name w:val="List Paragraph"/>
    <w:basedOn w:val="Normal"/>
    <w:uiPriority w:val="34"/>
    <w:qFormat/>
    <w:rsid w:val="00636582"/>
    <w:pPr>
      <w:overflowPunct/>
      <w:autoSpaceDE/>
      <w:autoSpaceDN/>
      <w:adjustRightInd/>
      <w:ind w:left="720"/>
      <w:textAlignment w:val="auto"/>
    </w:pPr>
    <w:rPr>
      <w:rFonts w:ascii="Calibri" w:eastAsiaTheme="minorHAnsi" w:hAnsi="Calibri" w:cs="Calibri"/>
      <w:sz w:val="22"/>
      <w:szCs w:val="22"/>
    </w:rPr>
  </w:style>
  <w:style w:type="character" w:styleId="Hyperlink">
    <w:name w:val="Hyperlink"/>
    <w:basedOn w:val="DefaultParagraphFont"/>
    <w:uiPriority w:val="99"/>
    <w:unhideWhenUsed/>
    <w:rsid w:val="00C564C1"/>
    <w:rPr>
      <w:color w:val="0563C1" w:themeColor="hyperlink"/>
      <w:u w:val="single"/>
    </w:rPr>
  </w:style>
  <w:style w:type="character" w:styleId="UnresolvedMention">
    <w:name w:val="Unresolved Mention"/>
    <w:basedOn w:val="DefaultParagraphFont"/>
    <w:uiPriority w:val="99"/>
    <w:semiHidden/>
    <w:unhideWhenUsed/>
    <w:rsid w:val="00C564C1"/>
    <w:rPr>
      <w:color w:val="605E5C"/>
      <w:shd w:val="clear" w:color="auto" w:fill="E1DFDD"/>
    </w:rPr>
  </w:style>
  <w:style w:type="character" w:styleId="FollowedHyperlink">
    <w:name w:val="FollowedHyperlink"/>
    <w:basedOn w:val="DefaultParagraphFont"/>
    <w:uiPriority w:val="99"/>
    <w:semiHidden/>
    <w:unhideWhenUsed/>
    <w:rsid w:val="00C564C1"/>
    <w:rPr>
      <w:color w:val="954F72" w:themeColor="followedHyperlink"/>
      <w:u w:val="single"/>
    </w:rPr>
  </w:style>
  <w:style w:type="paragraph" w:styleId="Revision">
    <w:name w:val="Revision"/>
    <w:hidden/>
    <w:uiPriority w:val="99"/>
    <w:semiHidden/>
    <w:rsid w:val="008E278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7070">
      <w:bodyDiv w:val="1"/>
      <w:marLeft w:val="0"/>
      <w:marRight w:val="0"/>
      <w:marTop w:val="0"/>
      <w:marBottom w:val="0"/>
      <w:divBdr>
        <w:top w:val="none" w:sz="0" w:space="0" w:color="auto"/>
        <w:left w:val="none" w:sz="0" w:space="0" w:color="auto"/>
        <w:bottom w:val="none" w:sz="0" w:space="0" w:color="auto"/>
        <w:right w:val="none" w:sz="0" w:space="0" w:color="auto"/>
      </w:divBdr>
    </w:div>
    <w:div w:id="267734762">
      <w:bodyDiv w:val="1"/>
      <w:marLeft w:val="0"/>
      <w:marRight w:val="0"/>
      <w:marTop w:val="0"/>
      <w:marBottom w:val="0"/>
      <w:divBdr>
        <w:top w:val="none" w:sz="0" w:space="0" w:color="auto"/>
        <w:left w:val="none" w:sz="0" w:space="0" w:color="auto"/>
        <w:bottom w:val="none" w:sz="0" w:space="0" w:color="auto"/>
        <w:right w:val="none" w:sz="0" w:space="0" w:color="auto"/>
      </w:divBdr>
    </w:div>
    <w:div w:id="268587754">
      <w:bodyDiv w:val="1"/>
      <w:marLeft w:val="0"/>
      <w:marRight w:val="0"/>
      <w:marTop w:val="0"/>
      <w:marBottom w:val="0"/>
      <w:divBdr>
        <w:top w:val="none" w:sz="0" w:space="0" w:color="auto"/>
        <w:left w:val="none" w:sz="0" w:space="0" w:color="auto"/>
        <w:bottom w:val="none" w:sz="0" w:space="0" w:color="auto"/>
        <w:right w:val="none" w:sz="0" w:space="0" w:color="auto"/>
      </w:divBdr>
    </w:div>
    <w:div w:id="844125837">
      <w:bodyDiv w:val="1"/>
      <w:marLeft w:val="0"/>
      <w:marRight w:val="0"/>
      <w:marTop w:val="0"/>
      <w:marBottom w:val="0"/>
      <w:divBdr>
        <w:top w:val="none" w:sz="0" w:space="0" w:color="auto"/>
        <w:left w:val="none" w:sz="0" w:space="0" w:color="auto"/>
        <w:bottom w:val="none" w:sz="0" w:space="0" w:color="auto"/>
        <w:right w:val="none" w:sz="0" w:space="0" w:color="auto"/>
      </w:divBdr>
    </w:div>
    <w:div w:id="10363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atwork.hud.gov/HUD/chco/doc/PSS-5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71277-3920-4A6D-8F3E-F85A6318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2916</Words>
  <Characters>16625</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2021-08-12T15:32:00Z</dcterms:created>
  <dcterms:modified xsi:type="dcterms:W3CDTF">2021-08-12T15:32:00Z</dcterms:modified>
</cp:coreProperties>
</file>