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5DC8" w:rsidRDefault="00F45DC8" w14:paraId="22077563" w14:textId="77777777">
      <w:pPr>
        <w:pStyle w:val="Title"/>
      </w:pPr>
      <w:r>
        <w:t>Supporting Statement for Paperwork Reduction Act Submissions</w:t>
      </w:r>
    </w:p>
    <w:p w:rsidR="00F45DC8" w:rsidRDefault="00F45DC8" w14:paraId="132F2186" w14:textId="77777777"/>
    <w:p w:rsidR="00F45DC8" w:rsidRDefault="00F45DC8" w14:paraId="1225BAE5" w14:textId="77777777">
      <w:pPr>
        <w:pStyle w:val="Heading1"/>
        <w:numPr>
          <w:ilvl w:val="0"/>
          <w:numId w:val="9"/>
        </w:numPr>
      </w:pPr>
      <w:r>
        <w:t>Justification</w:t>
      </w:r>
    </w:p>
    <w:p w:rsidR="00F45DC8" w:rsidRDefault="00F45DC8" w14:paraId="4C7F92EC" w14:textId="77777777">
      <w:pPr>
        <w:rPr>
          <w:sz w:val="22"/>
        </w:rPr>
      </w:pPr>
    </w:p>
    <w:p w:rsidR="00F45DC8" w:rsidRDefault="00F45DC8" w14:paraId="55343642" w14:textId="77777777">
      <w:pPr>
        <w:tabs>
          <w:tab w:val="left" w:pos="360"/>
        </w:tabs>
        <w:ind w:left="360" w:hanging="360"/>
        <w:rPr>
          <w:b/>
          <w:bCs/>
          <w:sz w:val="22"/>
        </w:rPr>
      </w:pPr>
      <w:r>
        <w:rPr>
          <w:sz w:val="22"/>
        </w:rPr>
        <w:t>1.</w:t>
      </w:r>
      <w:r>
        <w:rPr>
          <w:sz w:val="22"/>
        </w:rPr>
        <w:tab/>
        <w:t xml:space="preserve">To ensure that federal financial assistance is directed to those legally eligible to receive such assistance, </w:t>
      </w:r>
      <w:r w:rsidR="00552041">
        <w:rPr>
          <w:sz w:val="22"/>
        </w:rPr>
        <w:t>24</w:t>
      </w:r>
      <w:r w:rsidR="00887151">
        <w:rPr>
          <w:sz w:val="22"/>
        </w:rPr>
        <w:t xml:space="preserve"> CFR Part 5, Subpart E-Restrictions on Assistance to Noncitizens,</w:t>
      </w:r>
      <w:r>
        <w:rPr>
          <w:sz w:val="22"/>
        </w:rPr>
        <w:t xml:space="preserve"> require</w:t>
      </w:r>
      <w:r w:rsidR="00BE426A">
        <w:rPr>
          <w:sz w:val="22"/>
        </w:rPr>
        <w:t>s</w:t>
      </w:r>
      <w:r>
        <w:rPr>
          <w:sz w:val="22"/>
        </w:rPr>
        <w:t xml:space="preserve"> written declaration of </w:t>
      </w:r>
      <w:r w:rsidR="00571F49">
        <w:rPr>
          <w:sz w:val="22"/>
        </w:rPr>
        <w:t xml:space="preserve">U.S. </w:t>
      </w:r>
      <w:r>
        <w:rPr>
          <w:sz w:val="22"/>
        </w:rPr>
        <w:t xml:space="preserve">citizenship or </w:t>
      </w:r>
      <w:r w:rsidR="00571F49">
        <w:rPr>
          <w:sz w:val="22"/>
        </w:rPr>
        <w:t>U.S. nationality</w:t>
      </w:r>
      <w:r w:rsidR="00394139">
        <w:rPr>
          <w:sz w:val="22"/>
        </w:rPr>
        <w:t xml:space="preserve">. </w:t>
      </w:r>
      <w:r w:rsidR="00571F49">
        <w:rPr>
          <w:sz w:val="22"/>
        </w:rPr>
        <w:t>For U.S. citizens or U.S nationals, each family member, regardless of age, must submit a signed declaration of U.S. citizenship or U.S. nationality</w:t>
      </w:r>
      <w:r w:rsidR="00394139">
        <w:rPr>
          <w:sz w:val="22"/>
        </w:rPr>
        <w:t xml:space="preserve">. </w:t>
      </w:r>
      <w:r w:rsidR="00571F49">
        <w:rPr>
          <w:sz w:val="22"/>
        </w:rPr>
        <w:t>For noncitizens who are 62 years of age or older and receiving assistance or applying for assistance</w:t>
      </w:r>
      <w:r w:rsidR="00EE14DC">
        <w:rPr>
          <w:sz w:val="22"/>
        </w:rPr>
        <w:t>, they must provide a signed declaration of eligible immigration status and proof of age document</w:t>
      </w:r>
      <w:r w:rsidR="00394139">
        <w:rPr>
          <w:sz w:val="22"/>
        </w:rPr>
        <w:t xml:space="preserve">. </w:t>
      </w:r>
      <w:r w:rsidR="00EE14DC">
        <w:rPr>
          <w:sz w:val="22"/>
        </w:rPr>
        <w:t xml:space="preserve">For all other noncitizens, they are required to submit (1) a signed declaration of eligible immigration status; (2) the original of a document designated by </w:t>
      </w:r>
      <w:r w:rsidR="00881305">
        <w:rPr>
          <w:sz w:val="22"/>
        </w:rPr>
        <w:t>U.S.</w:t>
      </w:r>
      <w:r w:rsidR="00A92A30">
        <w:rPr>
          <w:sz w:val="22"/>
        </w:rPr>
        <w:t xml:space="preserve"> Citizenship and Immigration Services (</w:t>
      </w:r>
      <w:r w:rsidR="00881305">
        <w:rPr>
          <w:sz w:val="22"/>
        </w:rPr>
        <w:t>US</w:t>
      </w:r>
      <w:r w:rsidR="00A92A30">
        <w:rPr>
          <w:sz w:val="22"/>
        </w:rPr>
        <w:t>CIS)</w:t>
      </w:r>
      <w:r w:rsidR="00EE14DC">
        <w:rPr>
          <w:sz w:val="22"/>
        </w:rPr>
        <w:t xml:space="preserve"> as acceptable</w:t>
      </w:r>
      <w:r w:rsidR="00740B69">
        <w:rPr>
          <w:sz w:val="22"/>
        </w:rPr>
        <w:t xml:space="preserve"> evidence of immigration status, and (3) a signed verification consent form</w:t>
      </w:r>
      <w:r w:rsidR="00394139">
        <w:rPr>
          <w:sz w:val="22"/>
        </w:rPr>
        <w:t xml:space="preserve">. </w:t>
      </w:r>
    </w:p>
    <w:p w:rsidR="00F45DC8" w:rsidRDefault="00F45DC8" w14:paraId="4F12699A" w14:textId="77777777">
      <w:pPr>
        <w:rPr>
          <w:sz w:val="22"/>
        </w:rPr>
      </w:pPr>
    </w:p>
    <w:p w:rsidR="00066975" w:rsidRDefault="00F45DC8" w14:paraId="106A1ACE" w14:textId="77777777">
      <w:pPr>
        <w:pStyle w:val="BodyTextIndent2"/>
        <w:tabs>
          <w:tab w:val="left" w:pos="360"/>
        </w:tabs>
        <w:ind w:left="360" w:hanging="360"/>
        <w:rPr>
          <w:sz w:val="22"/>
        </w:rPr>
      </w:pPr>
      <w:r>
        <w:rPr>
          <w:sz w:val="22"/>
        </w:rPr>
        <w:t>2.</w:t>
      </w:r>
      <w:r>
        <w:rPr>
          <w:sz w:val="22"/>
        </w:rPr>
        <w:tab/>
      </w:r>
      <w:r w:rsidR="00DD1710">
        <w:rPr>
          <w:sz w:val="22"/>
        </w:rPr>
        <w:t xml:space="preserve">In verifying information provided by the applicant/tenant, public housing agencies (PHAs) must obtain consent from the applicant/tenant using form HUD-9886 to verify eligibility and income information provided through computer matching or by obtaining information directly from the </w:t>
      </w:r>
      <w:proofErr w:type="gramStart"/>
      <w:r w:rsidR="00DD1710">
        <w:rPr>
          <w:sz w:val="22"/>
        </w:rPr>
        <w:t>third party</w:t>
      </w:r>
      <w:proofErr w:type="gramEnd"/>
      <w:r w:rsidR="00DD1710">
        <w:rPr>
          <w:sz w:val="22"/>
        </w:rPr>
        <w:t xml:space="preserve"> source</w:t>
      </w:r>
      <w:r w:rsidR="00394139">
        <w:rPr>
          <w:sz w:val="22"/>
        </w:rPr>
        <w:t xml:space="preserve">. </w:t>
      </w:r>
      <w:r w:rsidR="009676BA">
        <w:rPr>
          <w:sz w:val="22"/>
        </w:rPr>
        <w:t>PHA</w:t>
      </w:r>
      <w:r w:rsidR="00DD1710">
        <w:rPr>
          <w:sz w:val="22"/>
        </w:rPr>
        <w:t>s</w:t>
      </w:r>
      <w:r w:rsidR="00BD0E1B">
        <w:rPr>
          <w:sz w:val="22"/>
        </w:rPr>
        <w:t xml:space="preserve"> </w:t>
      </w:r>
      <w:r w:rsidR="009676BA">
        <w:rPr>
          <w:sz w:val="22"/>
        </w:rPr>
        <w:t>are required to verify citizenship or eligible immigration status of individuals and family members</w:t>
      </w:r>
      <w:r w:rsidR="00415D26">
        <w:rPr>
          <w:sz w:val="22"/>
        </w:rPr>
        <w:t>, regardless of age,</w:t>
      </w:r>
      <w:r w:rsidR="009676BA">
        <w:rPr>
          <w:sz w:val="22"/>
        </w:rPr>
        <w:t xml:space="preserve"> applying for or currently receiving assisted housing in accordance with Section 214</w:t>
      </w:r>
      <w:r w:rsidR="00394139">
        <w:rPr>
          <w:sz w:val="22"/>
        </w:rPr>
        <w:t xml:space="preserve">. </w:t>
      </w:r>
      <w:proofErr w:type="gramStart"/>
      <w:r w:rsidR="009676BA">
        <w:rPr>
          <w:sz w:val="22"/>
        </w:rPr>
        <w:t>24 CFR 5.512,</w:t>
      </w:r>
      <w:proofErr w:type="gramEnd"/>
      <w:r w:rsidR="009676BA">
        <w:rPr>
          <w:sz w:val="22"/>
        </w:rPr>
        <w:t xml:space="preserve"> requires PHAs</w:t>
      </w:r>
      <w:r w:rsidR="00A92A30">
        <w:rPr>
          <w:sz w:val="22"/>
        </w:rPr>
        <w:t xml:space="preserve"> </w:t>
      </w:r>
      <w:r w:rsidR="009676BA">
        <w:rPr>
          <w:sz w:val="22"/>
        </w:rPr>
        <w:t xml:space="preserve">to use the </w:t>
      </w:r>
      <w:r w:rsidR="00394139">
        <w:rPr>
          <w:sz w:val="22"/>
        </w:rPr>
        <w:t>US</w:t>
      </w:r>
      <w:r w:rsidR="009676BA">
        <w:rPr>
          <w:sz w:val="22"/>
        </w:rPr>
        <w:t>CIS Systematic Alien Verification Entitlements (SAVE) Program as the primary source for the verification of (1) immigration status, (2) nonimmigrant status and (3) naturalized and derived U.S. citizenship of individuals</w:t>
      </w:r>
      <w:r w:rsidR="00066975">
        <w:rPr>
          <w:sz w:val="22"/>
        </w:rPr>
        <w:t xml:space="preserve"> applying for assistance </w:t>
      </w:r>
      <w:r w:rsidR="000C1B3D">
        <w:rPr>
          <w:sz w:val="22"/>
        </w:rPr>
        <w:t xml:space="preserve">under various </w:t>
      </w:r>
      <w:r w:rsidR="00066975">
        <w:rPr>
          <w:sz w:val="22"/>
        </w:rPr>
        <w:t>housing programs</w:t>
      </w:r>
      <w:r w:rsidR="00394139">
        <w:rPr>
          <w:sz w:val="22"/>
        </w:rPr>
        <w:t xml:space="preserve">. </w:t>
      </w:r>
      <w:r w:rsidR="00415D26">
        <w:rPr>
          <w:sz w:val="22"/>
        </w:rPr>
        <w:t xml:space="preserve">The data is stored </w:t>
      </w:r>
      <w:r w:rsidR="00A92A30">
        <w:rPr>
          <w:sz w:val="22"/>
        </w:rPr>
        <w:t>i</w:t>
      </w:r>
      <w:r w:rsidR="00134D39">
        <w:rPr>
          <w:sz w:val="22"/>
        </w:rPr>
        <w:t>n</w:t>
      </w:r>
      <w:r w:rsidR="00A92A30">
        <w:rPr>
          <w:sz w:val="22"/>
        </w:rPr>
        <w:t xml:space="preserve"> </w:t>
      </w:r>
      <w:r w:rsidR="00394139">
        <w:rPr>
          <w:sz w:val="22"/>
        </w:rPr>
        <w:t>US</w:t>
      </w:r>
      <w:r w:rsidR="00286D10">
        <w:rPr>
          <w:sz w:val="22"/>
        </w:rPr>
        <w:t>C</w:t>
      </w:r>
      <w:r w:rsidR="00A92A30">
        <w:rPr>
          <w:sz w:val="22"/>
        </w:rPr>
        <w:t xml:space="preserve">IS’ </w:t>
      </w:r>
      <w:r w:rsidR="00E31DA0">
        <w:rPr>
          <w:sz w:val="22"/>
        </w:rPr>
        <w:t>secured online</w:t>
      </w:r>
      <w:r w:rsidR="00415D26">
        <w:rPr>
          <w:sz w:val="22"/>
        </w:rPr>
        <w:t xml:space="preserve"> Verification Information System (VIS) database</w:t>
      </w:r>
      <w:r w:rsidR="00134D39">
        <w:rPr>
          <w:sz w:val="22"/>
        </w:rPr>
        <w:t xml:space="preserve"> and </w:t>
      </w:r>
      <w:r w:rsidR="00066975">
        <w:rPr>
          <w:sz w:val="22"/>
        </w:rPr>
        <w:t>check</w:t>
      </w:r>
      <w:r w:rsidR="00134D39">
        <w:rPr>
          <w:sz w:val="22"/>
        </w:rPr>
        <w:t>s</w:t>
      </w:r>
      <w:r w:rsidR="00066975">
        <w:rPr>
          <w:sz w:val="22"/>
        </w:rPr>
        <w:t xml:space="preserve"> the immigration status of applicants/tenants against Department of Homeland Security (DHS) database records.  </w:t>
      </w:r>
    </w:p>
    <w:p w:rsidR="00675C1C" w:rsidRDefault="00675C1C" w14:paraId="51930CDA" w14:textId="77777777">
      <w:pPr>
        <w:pStyle w:val="BodyTextIndent2"/>
        <w:tabs>
          <w:tab w:val="left" w:pos="360"/>
        </w:tabs>
        <w:ind w:left="360" w:hanging="360"/>
        <w:rPr>
          <w:sz w:val="22"/>
        </w:rPr>
      </w:pPr>
    </w:p>
    <w:p w:rsidR="00675C1C" w:rsidRDefault="00675C1C" w14:paraId="1160F3FF" w14:textId="77777777">
      <w:pPr>
        <w:pStyle w:val="BodyTextIndent2"/>
        <w:tabs>
          <w:tab w:val="left" w:pos="360"/>
        </w:tabs>
        <w:ind w:left="360" w:hanging="360"/>
        <w:rPr>
          <w:sz w:val="22"/>
        </w:rPr>
      </w:pPr>
      <w:r>
        <w:rPr>
          <w:sz w:val="22"/>
        </w:rPr>
        <w:tab/>
      </w:r>
      <w:r w:rsidR="00AC7195">
        <w:rPr>
          <w:sz w:val="22"/>
        </w:rPr>
        <w:t xml:space="preserve">Additionally, to determine eligibility and to assist HUD in managing and monitoring HUD-assisted housing programs, applicants and tenants </w:t>
      </w:r>
      <w:r>
        <w:rPr>
          <w:sz w:val="22"/>
        </w:rPr>
        <w:t xml:space="preserve">receiving </w:t>
      </w:r>
      <w:r w:rsidR="00AC7195">
        <w:rPr>
          <w:sz w:val="22"/>
        </w:rPr>
        <w:t xml:space="preserve">assistance in public housing programs are required </w:t>
      </w:r>
      <w:r>
        <w:rPr>
          <w:sz w:val="22"/>
        </w:rPr>
        <w:t>to sign the Authorization for the Release of Information/Privacy Act Notice</w:t>
      </w:r>
      <w:r w:rsidR="00AC7195">
        <w:rPr>
          <w:sz w:val="22"/>
        </w:rPr>
        <w:t xml:space="preserve"> - (</w:t>
      </w:r>
      <w:r w:rsidR="008F1250">
        <w:rPr>
          <w:sz w:val="22"/>
        </w:rPr>
        <w:t xml:space="preserve">Public </w:t>
      </w:r>
      <w:r w:rsidR="00552041">
        <w:rPr>
          <w:sz w:val="22"/>
        </w:rPr>
        <w:t xml:space="preserve">and Indian </w:t>
      </w:r>
      <w:r w:rsidR="008F1250">
        <w:rPr>
          <w:sz w:val="22"/>
        </w:rPr>
        <w:t xml:space="preserve">Housing </w:t>
      </w:r>
      <w:r w:rsidR="00E31DA0">
        <w:rPr>
          <w:sz w:val="22"/>
        </w:rPr>
        <w:t>form HUD-9886)</w:t>
      </w:r>
      <w:r w:rsidR="00394139">
        <w:rPr>
          <w:sz w:val="22"/>
        </w:rPr>
        <w:t xml:space="preserve">. </w:t>
      </w:r>
      <w:r w:rsidR="000C1B3D">
        <w:rPr>
          <w:sz w:val="22"/>
        </w:rPr>
        <w:t xml:space="preserve">The form is also available in Arabic, Cambodian, Mandarin, Creole, French, Hmong, Korean, Russian, Spanish, and Vietnamese.  </w:t>
      </w:r>
    </w:p>
    <w:p w:rsidR="00AC7195" w:rsidRDefault="00AC7195" w14:paraId="4F7D2739" w14:textId="77777777">
      <w:pPr>
        <w:pStyle w:val="BodyTextIndent2"/>
        <w:tabs>
          <w:tab w:val="left" w:pos="360"/>
        </w:tabs>
        <w:ind w:left="360" w:hanging="360"/>
        <w:rPr>
          <w:sz w:val="22"/>
        </w:rPr>
      </w:pPr>
    </w:p>
    <w:p w:rsidR="00AC7195" w:rsidP="00AC7195" w:rsidRDefault="00F45DC8" w14:paraId="0F568848" w14:textId="77777777">
      <w:pPr>
        <w:pStyle w:val="BodyTextIndent3"/>
        <w:ind w:left="288"/>
        <w:rPr>
          <w:sz w:val="22"/>
        </w:rPr>
      </w:pPr>
      <w:r>
        <w:rPr>
          <w:sz w:val="22"/>
        </w:rPr>
        <w:t xml:space="preserve">The submission of the written declaration of citizenship, written declaration of eligible immigration status, alien registration documents, and verification consent form to the </w:t>
      </w:r>
      <w:r w:rsidR="00DA164A">
        <w:rPr>
          <w:sz w:val="22"/>
        </w:rPr>
        <w:t>P</w:t>
      </w:r>
      <w:r>
        <w:rPr>
          <w:sz w:val="22"/>
        </w:rPr>
        <w:t>HA</w:t>
      </w:r>
      <w:r w:rsidR="00990A62">
        <w:rPr>
          <w:sz w:val="22"/>
        </w:rPr>
        <w:t xml:space="preserve"> </w:t>
      </w:r>
      <w:r>
        <w:rPr>
          <w:sz w:val="22"/>
        </w:rPr>
        <w:t>(</w:t>
      </w:r>
      <w:r w:rsidR="00990A62">
        <w:rPr>
          <w:sz w:val="22"/>
        </w:rPr>
        <w:t xml:space="preserve">form </w:t>
      </w:r>
      <w:r>
        <w:rPr>
          <w:sz w:val="22"/>
        </w:rPr>
        <w:t>HUD</w:t>
      </w:r>
      <w:r w:rsidR="00990A62">
        <w:rPr>
          <w:sz w:val="22"/>
        </w:rPr>
        <w:t>-</w:t>
      </w:r>
      <w:r w:rsidR="00E31DA0">
        <w:rPr>
          <w:sz w:val="22"/>
        </w:rPr>
        <w:t>9886)</w:t>
      </w:r>
      <w:r>
        <w:rPr>
          <w:sz w:val="22"/>
        </w:rPr>
        <w:t xml:space="preserve"> is necessary so that </w:t>
      </w:r>
      <w:r w:rsidR="00DA164A">
        <w:rPr>
          <w:sz w:val="22"/>
        </w:rPr>
        <w:t>P</w:t>
      </w:r>
      <w:r w:rsidR="008F1250">
        <w:rPr>
          <w:sz w:val="22"/>
        </w:rPr>
        <w:t>HAs</w:t>
      </w:r>
      <w:r>
        <w:rPr>
          <w:sz w:val="22"/>
        </w:rPr>
        <w:t xml:space="preserve"> can carry out the requirements of Section 214, to ensure that only citizens and legal </w:t>
      </w:r>
      <w:r w:rsidR="00990A62">
        <w:rPr>
          <w:sz w:val="22"/>
        </w:rPr>
        <w:t>residents are the recipients of public benefits</w:t>
      </w:r>
      <w:r w:rsidR="00394139">
        <w:rPr>
          <w:sz w:val="22"/>
        </w:rPr>
        <w:t xml:space="preserve">. </w:t>
      </w:r>
      <w:r w:rsidR="00990A62">
        <w:rPr>
          <w:sz w:val="22"/>
        </w:rPr>
        <w:t>The docume</w:t>
      </w:r>
      <w:r w:rsidR="008F1250">
        <w:rPr>
          <w:sz w:val="22"/>
        </w:rPr>
        <w:t>nts, once submitted to the PHAs</w:t>
      </w:r>
      <w:r w:rsidR="00990A62">
        <w:rPr>
          <w:sz w:val="22"/>
        </w:rPr>
        <w:t>,</w:t>
      </w:r>
      <w:r w:rsidR="00552041">
        <w:rPr>
          <w:sz w:val="22"/>
        </w:rPr>
        <w:t xml:space="preserve"> will be </w:t>
      </w:r>
      <w:proofErr w:type="gramStart"/>
      <w:r w:rsidR="00552041">
        <w:rPr>
          <w:sz w:val="22"/>
        </w:rPr>
        <w:t>verified</w:t>
      </w:r>
      <w:proofErr w:type="gramEnd"/>
      <w:r w:rsidR="00552041">
        <w:rPr>
          <w:sz w:val="22"/>
        </w:rPr>
        <w:t xml:space="preserve"> and retained o</w:t>
      </w:r>
      <w:r w:rsidR="00990A62">
        <w:rPr>
          <w:sz w:val="22"/>
        </w:rPr>
        <w:t>n file as evidence that the restrictions on financial assistance are met.</w:t>
      </w:r>
    </w:p>
    <w:p w:rsidR="00AC7195" w:rsidRDefault="00AC7195" w14:paraId="05B6EC14" w14:textId="77777777">
      <w:pPr>
        <w:pStyle w:val="BodyTextIndent3"/>
        <w:ind w:left="288" w:hanging="288"/>
        <w:rPr>
          <w:sz w:val="22"/>
        </w:rPr>
      </w:pPr>
    </w:p>
    <w:p w:rsidR="000C1B3D" w:rsidRDefault="00F45DC8" w14:paraId="558B7E66" w14:textId="77777777">
      <w:pPr>
        <w:pStyle w:val="BodyTextIndent3"/>
        <w:ind w:left="288" w:hanging="288"/>
        <w:rPr>
          <w:sz w:val="22"/>
        </w:rPr>
      </w:pPr>
      <w:r>
        <w:rPr>
          <w:sz w:val="22"/>
        </w:rPr>
        <w:t>3.  The collection of information required does not permit electronic submission</w:t>
      </w:r>
      <w:r w:rsidR="00394139">
        <w:rPr>
          <w:sz w:val="22"/>
        </w:rPr>
        <w:t xml:space="preserve">. </w:t>
      </w:r>
      <w:r w:rsidR="00134D39">
        <w:rPr>
          <w:sz w:val="22"/>
        </w:rPr>
        <w:t>The regu</w:t>
      </w:r>
      <w:r w:rsidR="00990A62">
        <w:rPr>
          <w:sz w:val="22"/>
        </w:rPr>
        <w:t xml:space="preserve">lations at 24 CFR </w:t>
      </w:r>
      <w:r w:rsidRPr="003D52E0" w:rsidR="00990A62">
        <w:rPr>
          <w:sz w:val="22"/>
        </w:rPr>
        <w:t>5.</w:t>
      </w:r>
      <w:r w:rsidRPr="003D52E0" w:rsidR="000042D2">
        <w:rPr>
          <w:sz w:val="22"/>
        </w:rPr>
        <w:t>5</w:t>
      </w:r>
      <w:r w:rsidRPr="003D52E0" w:rsidR="00990A62">
        <w:rPr>
          <w:sz w:val="22"/>
        </w:rPr>
        <w:t>08</w:t>
      </w:r>
      <w:r w:rsidR="00990A62">
        <w:rPr>
          <w:sz w:val="22"/>
        </w:rPr>
        <w:t xml:space="preserve"> require</w:t>
      </w:r>
      <w:r w:rsidR="00134D39">
        <w:rPr>
          <w:sz w:val="22"/>
        </w:rPr>
        <w:t xml:space="preserve"> </w:t>
      </w:r>
      <w:r>
        <w:rPr>
          <w:sz w:val="22"/>
        </w:rPr>
        <w:t xml:space="preserve">the presentation of </w:t>
      </w:r>
      <w:r w:rsidR="00056A38">
        <w:rPr>
          <w:sz w:val="22"/>
        </w:rPr>
        <w:t xml:space="preserve">actual </w:t>
      </w:r>
      <w:r>
        <w:rPr>
          <w:sz w:val="22"/>
        </w:rPr>
        <w:t>alien registration documents and a written declaration of citizenship; eligible immigration status</w:t>
      </w:r>
      <w:r w:rsidR="00056A38">
        <w:rPr>
          <w:sz w:val="22"/>
        </w:rPr>
        <w:t>,</w:t>
      </w:r>
      <w:r>
        <w:rPr>
          <w:sz w:val="22"/>
        </w:rPr>
        <w:t xml:space="preserve"> and verification consent form</w:t>
      </w:r>
      <w:r w:rsidR="00415D26">
        <w:rPr>
          <w:sz w:val="22"/>
        </w:rPr>
        <w:t>s</w:t>
      </w:r>
      <w:r>
        <w:rPr>
          <w:sz w:val="22"/>
        </w:rPr>
        <w:t xml:space="preserve">.  </w:t>
      </w:r>
    </w:p>
    <w:p w:rsidR="000C1B3D" w:rsidRDefault="000C1B3D" w14:paraId="637D05AA" w14:textId="77777777">
      <w:pPr>
        <w:pStyle w:val="BodyTextIndent3"/>
        <w:ind w:left="288" w:hanging="288"/>
        <w:rPr>
          <w:sz w:val="22"/>
        </w:rPr>
      </w:pPr>
    </w:p>
    <w:p w:rsidR="00F45DC8" w:rsidP="000C1B3D" w:rsidRDefault="00271506" w14:paraId="4E4F3934" w14:textId="77777777">
      <w:pPr>
        <w:pStyle w:val="BodyTextIndent3"/>
        <w:ind w:left="288"/>
        <w:rPr>
          <w:sz w:val="22"/>
        </w:rPr>
      </w:pPr>
      <w:r>
        <w:rPr>
          <w:sz w:val="22"/>
        </w:rPr>
        <w:t>The verification of</w:t>
      </w:r>
      <w:r w:rsidR="00F45DC8">
        <w:rPr>
          <w:sz w:val="22"/>
        </w:rPr>
        <w:t xml:space="preserve"> </w:t>
      </w:r>
      <w:r w:rsidR="006A61B0">
        <w:rPr>
          <w:sz w:val="22"/>
        </w:rPr>
        <w:t xml:space="preserve">current </w:t>
      </w:r>
      <w:r w:rsidR="00675C1C">
        <w:rPr>
          <w:sz w:val="22"/>
        </w:rPr>
        <w:t>immigration</w:t>
      </w:r>
      <w:r w:rsidR="00134D39">
        <w:rPr>
          <w:sz w:val="22"/>
        </w:rPr>
        <w:t xml:space="preserve"> </w:t>
      </w:r>
      <w:r w:rsidR="00F45DC8">
        <w:rPr>
          <w:sz w:val="22"/>
        </w:rPr>
        <w:t xml:space="preserve">status </w:t>
      </w:r>
      <w:r w:rsidR="00134D39">
        <w:rPr>
          <w:sz w:val="22"/>
        </w:rPr>
        <w:t xml:space="preserve">can be done by paper or </w:t>
      </w:r>
      <w:r w:rsidR="00F45DC8">
        <w:rPr>
          <w:sz w:val="22"/>
        </w:rPr>
        <w:t>electronically through the Systematic Alien Verification Entitlement (SAVE) Verification Information System (VIS)</w:t>
      </w:r>
      <w:r w:rsidR="00990A62">
        <w:rPr>
          <w:sz w:val="22"/>
        </w:rPr>
        <w:t xml:space="preserve"> database</w:t>
      </w:r>
      <w:r w:rsidR="00394139">
        <w:rPr>
          <w:sz w:val="22"/>
        </w:rPr>
        <w:t xml:space="preserve">. </w:t>
      </w:r>
      <w:r w:rsidR="00F45DC8">
        <w:rPr>
          <w:sz w:val="22"/>
        </w:rPr>
        <w:t>The</w:t>
      </w:r>
      <w:r>
        <w:rPr>
          <w:sz w:val="22"/>
        </w:rPr>
        <w:t xml:space="preserve"> </w:t>
      </w:r>
      <w:r w:rsidR="00F45DC8">
        <w:rPr>
          <w:sz w:val="22"/>
        </w:rPr>
        <w:t>DHS SAVE VIS can be accessed through a Web-based application</w:t>
      </w:r>
      <w:r w:rsidR="00394139">
        <w:rPr>
          <w:sz w:val="22"/>
        </w:rPr>
        <w:t xml:space="preserve">. </w:t>
      </w:r>
      <w:r w:rsidR="00F45DC8">
        <w:rPr>
          <w:sz w:val="22"/>
        </w:rPr>
        <w:t xml:space="preserve">This technology allows </w:t>
      </w:r>
      <w:r w:rsidR="00056A38">
        <w:rPr>
          <w:sz w:val="22"/>
        </w:rPr>
        <w:t>PHA</w:t>
      </w:r>
      <w:r w:rsidR="00415D26">
        <w:rPr>
          <w:sz w:val="22"/>
        </w:rPr>
        <w:t xml:space="preserve">s </w:t>
      </w:r>
      <w:r w:rsidR="00F45DC8">
        <w:rPr>
          <w:sz w:val="22"/>
        </w:rPr>
        <w:t>to confirm the immigration status of an individual without the necessity for substantial paperwork.</w:t>
      </w:r>
    </w:p>
    <w:p w:rsidR="00F45DC8" w:rsidRDefault="00F45DC8" w14:paraId="50524FB0" w14:textId="77777777">
      <w:pPr>
        <w:pStyle w:val="BodyTextIndent3"/>
        <w:ind w:left="288" w:hanging="288"/>
        <w:rPr>
          <w:sz w:val="22"/>
        </w:rPr>
      </w:pPr>
    </w:p>
    <w:p w:rsidR="00F45DC8" w:rsidP="00552041" w:rsidRDefault="00F45DC8" w14:paraId="00C7FDF0" w14:textId="77777777">
      <w:pPr>
        <w:pStyle w:val="BodyTextIndent3"/>
        <w:ind w:left="288" w:hanging="288"/>
        <w:rPr>
          <w:sz w:val="22"/>
        </w:rPr>
      </w:pPr>
      <w:r>
        <w:rPr>
          <w:sz w:val="22"/>
        </w:rPr>
        <w:t>4.  No similar information concerning citizenship or eligible immigration status is required under other programs that are already available to HUD</w:t>
      </w:r>
      <w:r w:rsidR="00271506">
        <w:rPr>
          <w:sz w:val="22"/>
        </w:rPr>
        <w:t xml:space="preserve"> or </w:t>
      </w:r>
      <w:r w:rsidR="00056A38">
        <w:rPr>
          <w:sz w:val="22"/>
        </w:rPr>
        <w:t>P</w:t>
      </w:r>
      <w:r>
        <w:rPr>
          <w:sz w:val="22"/>
        </w:rPr>
        <w:t>HAs</w:t>
      </w:r>
      <w:r w:rsidR="00394139">
        <w:rPr>
          <w:sz w:val="22"/>
        </w:rPr>
        <w:t xml:space="preserve">. </w:t>
      </w:r>
      <w:r w:rsidR="00056A38">
        <w:rPr>
          <w:sz w:val="22"/>
        </w:rPr>
        <w:t>Although e</w:t>
      </w:r>
      <w:r>
        <w:rPr>
          <w:sz w:val="22"/>
        </w:rPr>
        <w:t>vidence of citizenship or age is required only once</w:t>
      </w:r>
      <w:r w:rsidR="00056A38">
        <w:rPr>
          <w:sz w:val="22"/>
        </w:rPr>
        <w:t xml:space="preserve"> to avoid </w:t>
      </w:r>
      <w:r>
        <w:rPr>
          <w:sz w:val="22"/>
        </w:rPr>
        <w:t>duplication</w:t>
      </w:r>
      <w:r w:rsidR="00056A38">
        <w:rPr>
          <w:sz w:val="22"/>
        </w:rPr>
        <w:t xml:space="preserve">, </w:t>
      </w:r>
      <w:r>
        <w:rPr>
          <w:sz w:val="22"/>
        </w:rPr>
        <w:t xml:space="preserve">evidence of </w:t>
      </w:r>
      <w:r w:rsidR="00552041">
        <w:rPr>
          <w:sz w:val="22"/>
        </w:rPr>
        <w:t xml:space="preserve">an individual’s </w:t>
      </w:r>
      <w:r>
        <w:rPr>
          <w:sz w:val="22"/>
        </w:rPr>
        <w:t>eligible immigration status is to be submitted every year during the annual recertification of tenants</w:t>
      </w:r>
      <w:r w:rsidR="00394139">
        <w:rPr>
          <w:sz w:val="22"/>
        </w:rPr>
        <w:t xml:space="preserve">. </w:t>
      </w:r>
      <w:r>
        <w:rPr>
          <w:sz w:val="22"/>
        </w:rPr>
        <w:t xml:space="preserve">This is required to </w:t>
      </w:r>
      <w:r w:rsidR="00552041">
        <w:rPr>
          <w:sz w:val="22"/>
        </w:rPr>
        <w:t>e</w:t>
      </w:r>
      <w:r>
        <w:rPr>
          <w:sz w:val="22"/>
        </w:rPr>
        <w:t>nsure continued eligibility status for financial assistance.</w:t>
      </w:r>
    </w:p>
    <w:p w:rsidR="00F45DC8" w:rsidRDefault="00F45DC8" w14:paraId="1365A25A" w14:textId="77777777">
      <w:pPr>
        <w:rPr>
          <w:sz w:val="22"/>
        </w:rPr>
      </w:pPr>
    </w:p>
    <w:p w:rsidR="00F45DC8" w:rsidP="00056A38" w:rsidRDefault="00F45DC8" w14:paraId="3D121915" w14:textId="77777777">
      <w:pPr>
        <w:ind w:left="270" w:hanging="270"/>
        <w:rPr>
          <w:sz w:val="22"/>
        </w:rPr>
      </w:pPr>
      <w:r>
        <w:rPr>
          <w:sz w:val="22"/>
        </w:rPr>
        <w:t xml:space="preserve">5.  Some small </w:t>
      </w:r>
      <w:r w:rsidR="00056A38">
        <w:rPr>
          <w:sz w:val="22"/>
        </w:rPr>
        <w:t>P</w:t>
      </w:r>
      <w:r>
        <w:rPr>
          <w:sz w:val="22"/>
        </w:rPr>
        <w:t>HAs</w:t>
      </w:r>
      <w:r w:rsidR="00271506">
        <w:rPr>
          <w:sz w:val="22"/>
        </w:rPr>
        <w:t xml:space="preserve"> </w:t>
      </w:r>
      <w:r>
        <w:rPr>
          <w:sz w:val="22"/>
        </w:rPr>
        <w:t>are affected by the information collection requirements</w:t>
      </w:r>
      <w:r w:rsidR="00592CE3">
        <w:rPr>
          <w:sz w:val="22"/>
        </w:rPr>
        <w:t xml:space="preserve">. </w:t>
      </w:r>
      <w:r>
        <w:rPr>
          <w:sz w:val="22"/>
        </w:rPr>
        <w:t>The information collection requirements are those that are required by the statute. H</w:t>
      </w:r>
      <w:r w:rsidR="00056A38">
        <w:rPr>
          <w:sz w:val="22"/>
        </w:rPr>
        <w:t xml:space="preserve">UD has not imposed </w:t>
      </w:r>
      <w:r w:rsidR="00552041">
        <w:rPr>
          <w:sz w:val="22"/>
        </w:rPr>
        <w:t xml:space="preserve">additional information collection </w:t>
      </w:r>
      <w:r w:rsidR="00056A38">
        <w:rPr>
          <w:sz w:val="22"/>
        </w:rPr>
        <w:t>requirements</w:t>
      </w:r>
      <w:r>
        <w:rPr>
          <w:sz w:val="22"/>
        </w:rPr>
        <w:t xml:space="preserve"> beyond those </w:t>
      </w:r>
      <w:r w:rsidR="00552041">
        <w:rPr>
          <w:sz w:val="22"/>
        </w:rPr>
        <w:t>defined</w:t>
      </w:r>
      <w:r>
        <w:rPr>
          <w:sz w:val="22"/>
        </w:rPr>
        <w:t xml:space="preserve"> by the statute</w:t>
      </w:r>
      <w:r w:rsidR="00592CE3">
        <w:rPr>
          <w:sz w:val="22"/>
        </w:rPr>
        <w:t xml:space="preserve">. </w:t>
      </w:r>
      <w:r>
        <w:rPr>
          <w:sz w:val="22"/>
        </w:rPr>
        <w:t>Given the statutory requirements, there are no alternatives for submission of the required information</w:t>
      </w:r>
      <w:r w:rsidR="00592CE3">
        <w:rPr>
          <w:sz w:val="22"/>
        </w:rPr>
        <w:t xml:space="preserve">. </w:t>
      </w:r>
      <w:r>
        <w:rPr>
          <w:sz w:val="22"/>
        </w:rPr>
        <w:t>Again, electronic verification through the SAVE VIS minimizes burden.</w:t>
      </w:r>
    </w:p>
    <w:p w:rsidR="00F45DC8" w:rsidP="00056A38" w:rsidRDefault="00F45DC8" w14:paraId="7A591D6B" w14:textId="77777777">
      <w:pPr>
        <w:ind w:left="270" w:hanging="270"/>
        <w:rPr>
          <w:sz w:val="22"/>
        </w:rPr>
      </w:pPr>
    </w:p>
    <w:p w:rsidR="00F45DC8" w:rsidP="00056A38" w:rsidRDefault="00F45DC8" w14:paraId="47CA91D9" w14:textId="77777777">
      <w:pPr>
        <w:ind w:left="270" w:hanging="270"/>
        <w:rPr>
          <w:sz w:val="22"/>
        </w:rPr>
      </w:pPr>
      <w:r>
        <w:rPr>
          <w:sz w:val="22"/>
        </w:rPr>
        <w:lastRenderedPageBreak/>
        <w:t>6.  The statute dictates information collection for the purpose of determining whether applicants applying for or tenants receiving housing subsidy under HUD assistance programs are eligible for such assistance</w:t>
      </w:r>
      <w:r w:rsidR="00592CE3">
        <w:rPr>
          <w:sz w:val="22"/>
        </w:rPr>
        <w:t xml:space="preserve">. </w:t>
      </w:r>
      <w:r>
        <w:rPr>
          <w:sz w:val="22"/>
        </w:rPr>
        <w:t xml:space="preserve">The collection conducted is the minimum necessary. </w:t>
      </w:r>
    </w:p>
    <w:p w:rsidR="00F45DC8" w:rsidP="00056A38" w:rsidRDefault="00F45DC8" w14:paraId="414A14F6" w14:textId="77777777">
      <w:pPr>
        <w:ind w:left="270" w:hanging="270"/>
        <w:rPr>
          <w:sz w:val="22"/>
        </w:rPr>
      </w:pPr>
    </w:p>
    <w:p w:rsidRPr="009B7204" w:rsidR="009B7204" w:rsidP="00CB2CA8" w:rsidRDefault="009B7204" w14:paraId="5213071E" w14:textId="77777777">
      <w:pPr>
        <w:numPr>
          <w:ilvl w:val="0"/>
          <w:numId w:val="14"/>
        </w:numPr>
        <w:overflowPunct/>
        <w:autoSpaceDE/>
        <w:autoSpaceDN/>
        <w:adjustRightInd/>
        <w:spacing w:after="200" w:line="276" w:lineRule="auto"/>
        <w:ind w:left="-90" w:firstLine="0"/>
        <w:contextualSpacing/>
        <w:textAlignment w:val="auto"/>
        <w:rPr>
          <w:rFonts w:eastAsia="Calibri"/>
        </w:rPr>
      </w:pPr>
      <w:r w:rsidRPr="009B7204">
        <w:rPr>
          <w:rFonts w:eastAsia="Calibri"/>
          <w:b/>
        </w:rPr>
        <w:t>Explain any special circumstances that would cause an information to be collected in a manner:</w:t>
      </w:r>
    </w:p>
    <w:p w:rsidRPr="009B7204" w:rsidR="009B7204" w:rsidP="009B7204" w:rsidRDefault="009B7204" w14:paraId="3F04FD5D"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 xml:space="preserve">requiring respondents to report information to the agency more than </w:t>
      </w:r>
      <w:proofErr w:type="gramStart"/>
      <w:r w:rsidRPr="009B7204">
        <w:rPr>
          <w:rFonts w:eastAsia="Calibri"/>
        </w:rPr>
        <w:t>quarterly;</w:t>
      </w:r>
      <w:proofErr w:type="gramEnd"/>
      <w:r w:rsidRPr="009B7204">
        <w:rPr>
          <w:rFonts w:eastAsia="Calibri"/>
        </w:rPr>
        <w:t xml:space="preserve"> </w:t>
      </w:r>
    </w:p>
    <w:p w:rsidRPr="009B7204" w:rsidR="009B7204" w:rsidP="009B7204" w:rsidRDefault="009B7204" w14:paraId="3D78AF1A"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59E25BE0"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 xml:space="preserve">requiring respondents to prepare a written response to a collection of information in fewer than 30 days after receipt of </w:t>
      </w:r>
      <w:proofErr w:type="gramStart"/>
      <w:r w:rsidRPr="009B7204">
        <w:rPr>
          <w:rFonts w:eastAsia="Calibri"/>
        </w:rPr>
        <w:t>it;</w:t>
      </w:r>
      <w:proofErr w:type="gramEnd"/>
    </w:p>
    <w:p w:rsidRPr="009B7204" w:rsidR="009B7204" w:rsidP="009B7204" w:rsidRDefault="009B7204" w14:paraId="5BEB7BA3"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73F2FF31"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 xml:space="preserve">requiring respondents to submit more than an original and two copies of any </w:t>
      </w:r>
      <w:proofErr w:type="gramStart"/>
      <w:r w:rsidRPr="009B7204">
        <w:rPr>
          <w:rFonts w:eastAsia="Calibri"/>
        </w:rPr>
        <w:t>document;</w:t>
      </w:r>
      <w:proofErr w:type="gramEnd"/>
    </w:p>
    <w:p w:rsidRPr="009B7204" w:rsidR="009B7204" w:rsidP="009B7204" w:rsidRDefault="009B7204" w14:paraId="4C34F8FB"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009B7204" w:rsidP="00CB2CA8" w:rsidRDefault="009B7204" w14:paraId="27408A87" w14:textId="77777777">
      <w:pPr>
        <w:numPr>
          <w:ilvl w:val="0"/>
          <w:numId w:val="13"/>
        </w:numPr>
        <w:overflowPunct/>
        <w:autoSpaceDE/>
        <w:autoSpaceDN/>
        <w:adjustRightInd/>
        <w:spacing w:after="200" w:line="276" w:lineRule="auto"/>
        <w:ind w:left="1530"/>
        <w:contextualSpacing/>
        <w:textAlignment w:val="auto"/>
        <w:rPr>
          <w:rFonts w:eastAsia="Calibri"/>
        </w:rPr>
      </w:pPr>
      <w:r w:rsidRPr="009B7204">
        <w:rPr>
          <w:rFonts w:eastAsia="Calibri"/>
        </w:rPr>
        <w:t xml:space="preserve">requiring respondents to retain records other than health, medical, government contract, grant-in-aid, or tax records for more than three </w:t>
      </w:r>
      <w:proofErr w:type="gramStart"/>
      <w:r w:rsidRPr="009B7204">
        <w:rPr>
          <w:rFonts w:eastAsia="Calibri"/>
        </w:rPr>
        <w:t>years;</w:t>
      </w:r>
      <w:proofErr w:type="gramEnd"/>
    </w:p>
    <w:p w:rsidR="009B7204" w:rsidP="009B7204" w:rsidRDefault="009B7204" w14:paraId="720F329C" w14:textId="77777777">
      <w:pPr>
        <w:ind w:left="1440"/>
        <w:rPr>
          <w:sz w:val="22"/>
        </w:rPr>
      </w:pPr>
      <w:r>
        <w:rPr>
          <w:sz w:val="22"/>
        </w:rPr>
        <w:t xml:space="preserve">The entity responsible for administering the restrictions on </w:t>
      </w:r>
      <w:proofErr w:type="gramStart"/>
      <w:r>
        <w:rPr>
          <w:sz w:val="22"/>
        </w:rPr>
        <w:t>providing assistance to</w:t>
      </w:r>
      <w:proofErr w:type="gramEnd"/>
      <w:r>
        <w:rPr>
          <w:sz w:val="22"/>
        </w:rPr>
        <w:t xml:space="preserve"> noncitizens with ineligible immigration status under the Public Housing or Section 8 programs shall retain for a minimum of 5 years certain documents and photocopies of any original documents submitted.  </w:t>
      </w:r>
    </w:p>
    <w:p w:rsidRPr="009B7204" w:rsidR="009B7204" w:rsidP="009B7204" w:rsidRDefault="009B7204" w14:paraId="4C157525" w14:textId="77777777">
      <w:pPr>
        <w:overflowPunct/>
        <w:autoSpaceDE/>
        <w:autoSpaceDN/>
        <w:adjustRightInd/>
        <w:spacing w:after="200" w:line="276" w:lineRule="auto"/>
        <w:ind w:left="1485"/>
        <w:contextualSpacing/>
        <w:textAlignment w:val="auto"/>
        <w:rPr>
          <w:rFonts w:eastAsia="Calibri"/>
        </w:rPr>
      </w:pPr>
    </w:p>
    <w:p w:rsidRPr="009B7204" w:rsidR="009B7204" w:rsidP="009B7204" w:rsidRDefault="009B7204" w14:paraId="6E3BEAA0"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0BA4E255"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 xml:space="preserve">in connection with a statistical survey, that is not designed to produce valid and reliable results than can be generalized to the universe of the </w:t>
      </w:r>
      <w:proofErr w:type="gramStart"/>
      <w:r w:rsidRPr="009B7204">
        <w:rPr>
          <w:rFonts w:eastAsia="Calibri"/>
        </w:rPr>
        <w:t>study;</w:t>
      </w:r>
      <w:proofErr w:type="gramEnd"/>
    </w:p>
    <w:p w:rsidRPr="009B7204" w:rsidR="009B7204" w:rsidP="009B7204" w:rsidRDefault="009B7204" w14:paraId="4F8B8110"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35E326C5"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 xml:space="preserve">requiring the use of statistical data classification that has not been reviewed and approved by </w:t>
      </w:r>
      <w:proofErr w:type="gramStart"/>
      <w:r w:rsidRPr="009B7204">
        <w:rPr>
          <w:rFonts w:eastAsia="Calibri"/>
        </w:rPr>
        <w:t>OMB;</w:t>
      </w:r>
      <w:proofErr w:type="gramEnd"/>
    </w:p>
    <w:p w:rsidRPr="009B7204" w:rsidR="009B7204" w:rsidP="009B7204" w:rsidRDefault="009B7204" w14:paraId="665312E1"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1C082E3D"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B7204" w:rsidR="009B7204" w:rsidP="009B7204" w:rsidRDefault="009B7204" w14:paraId="00E28E3D"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Pr="009B7204" w:rsidR="009B7204" w:rsidP="009B7204" w:rsidRDefault="009B7204" w14:paraId="0E7776DB" w14:textId="77777777">
      <w:pPr>
        <w:numPr>
          <w:ilvl w:val="0"/>
          <w:numId w:val="13"/>
        </w:numPr>
        <w:overflowPunct/>
        <w:autoSpaceDE/>
        <w:autoSpaceDN/>
        <w:adjustRightInd/>
        <w:spacing w:after="200" w:line="276" w:lineRule="auto"/>
        <w:contextualSpacing/>
        <w:textAlignment w:val="auto"/>
        <w:rPr>
          <w:rFonts w:eastAsia="Calibri"/>
        </w:rPr>
      </w:pPr>
      <w:r w:rsidRPr="009B7204">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Pr="009B7204" w:rsidR="009B7204" w:rsidP="009B7204" w:rsidRDefault="009B7204" w14:paraId="181767FC" w14:textId="77777777">
      <w:pPr>
        <w:overflowPunct/>
        <w:autoSpaceDE/>
        <w:autoSpaceDN/>
        <w:adjustRightInd/>
        <w:spacing w:after="200" w:line="276" w:lineRule="auto"/>
        <w:ind w:left="1485"/>
        <w:contextualSpacing/>
        <w:textAlignment w:val="auto"/>
        <w:rPr>
          <w:rFonts w:eastAsia="Calibri"/>
        </w:rPr>
      </w:pPr>
      <w:r w:rsidRPr="009B7204">
        <w:rPr>
          <w:rFonts w:eastAsia="Calibri"/>
          <w:b/>
        </w:rPr>
        <w:t>Not Applicable</w:t>
      </w:r>
    </w:p>
    <w:p w:rsidR="00F45DC8" w:rsidP="00056A38" w:rsidRDefault="00F45DC8" w14:paraId="54FCE4E8" w14:textId="77777777">
      <w:pPr>
        <w:ind w:left="270" w:hanging="270"/>
        <w:rPr>
          <w:sz w:val="22"/>
        </w:rPr>
      </w:pPr>
    </w:p>
    <w:p w:rsidRPr="003D52E0" w:rsidR="00F45DC8" w:rsidP="009B7204" w:rsidRDefault="009B7204" w14:paraId="04E67CE0" w14:textId="0583F176">
      <w:pPr>
        <w:numPr>
          <w:ilvl w:val="0"/>
          <w:numId w:val="15"/>
        </w:numPr>
        <w:tabs>
          <w:tab w:val="left" w:pos="450"/>
          <w:tab w:val="left" w:pos="540"/>
        </w:tabs>
        <w:ind w:left="540"/>
        <w:rPr>
          <w:sz w:val="22"/>
        </w:rPr>
      </w:pPr>
      <w:r>
        <w:rPr>
          <w:sz w:val="22"/>
        </w:rPr>
        <w:t xml:space="preserve"> HUD published a Notice of Proposed Information Collection for Public Comments in the </w:t>
      </w:r>
      <w:r w:rsidRPr="003D52E0" w:rsidR="00F45DC8">
        <w:rPr>
          <w:i/>
          <w:sz w:val="22"/>
        </w:rPr>
        <w:t>Federal Register</w:t>
      </w:r>
      <w:r w:rsidRPr="003D52E0" w:rsidR="003D52E0">
        <w:rPr>
          <w:sz w:val="22"/>
        </w:rPr>
        <w:t>, Volume</w:t>
      </w:r>
      <w:r w:rsidR="00D3433C">
        <w:rPr>
          <w:sz w:val="22"/>
        </w:rPr>
        <w:t xml:space="preserve"> </w:t>
      </w:r>
      <w:r w:rsidR="000B17E6">
        <w:rPr>
          <w:sz w:val="22"/>
        </w:rPr>
        <w:t>86</w:t>
      </w:r>
      <w:r w:rsidR="00B42359">
        <w:rPr>
          <w:sz w:val="22"/>
        </w:rPr>
        <w:t>, No.</w:t>
      </w:r>
      <w:r w:rsidR="00E060C6">
        <w:rPr>
          <w:sz w:val="22"/>
        </w:rPr>
        <w:t>__</w:t>
      </w:r>
      <w:r w:rsidR="00B42359">
        <w:rPr>
          <w:sz w:val="22"/>
        </w:rPr>
        <w:t xml:space="preserve">, </w:t>
      </w:r>
      <w:r w:rsidRPr="003D52E0" w:rsidR="003D52E0">
        <w:rPr>
          <w:sz w:val="22"/>
        </w:rPr>
        <w:t>Page</w:t>
      </w:r>
      <w:r w:rsidR="00D3433C">
        <w:rPr>
          <w:sz w:val="22"/>
        </w:rPr>
        <w:t xml:space="preserve"> </w:t>
      </w:r>
      <w:r w:rsidR="000B17E6">
        <w:rPr>
          <w:sz w:val="22"/>
        </w:rPr>
        <w:t>23421</w:t>
      </w:r>
      <w:r w:rsidRPr="003D52E0" w:rsidR="003D52E0">
        <w:rPr>
          <w:sz w:val="22"/>
        </w:rPr>
        <w:t>, on</w:t>
      </w:r>
      <w:r w:rsidR="00571B91">
        <w:rPr>
          <w:sz w:val="22"/>
        </w:rPr>
        <w:t xml:space="preserve"> </w:t>
      </w:r>
      <w:r w:rsidR="000B17E6">
        <w:rPr>
          <w:sz w:val="22"/>
        </w:rPr>
        <w:t>May 3, 2021</w:t>
      </w:r>
      <w:r w:rsidRPr="003D52E0" w:rsidR="00D8021B">
        <w:rPr>
          <w:sz w:val="22"/>
        </w:rPr>
        <w:t>.</w:t>
      </w:r>
      <w:r>
        <w:rPr>
          <w:sz w:val="22"/>
        </w:rPr>
        <w:t xml:space="preserve">  The p</w:t>
      </w:r>
      <w:r w:rsidR="00D3433C">
        <w:rPr>
          <w:sz w:val="22"/>
        </w:rPr>
        <w:t xml:space="preserve">ublic was given until </w:t>
      </w:r>
      <w:r w:rsidR="000B17E6">
        <w:rPr>
          <w:sz w:val="22"/>
        </w:rPr>
        <w:t>July 2, 2021</w:t>
      </w:r>
      <w:r w:rsidR="00D3433C">
        <w:rPr>
          <w:sz w:val="22"/>
        </w:rPr>
        <w:t xml:space="preserve">, </w:t>
      </w:r>
      <w:r>
        <w:rPr>
          <w:sz w:val="22"/>
        </w:rPr>
        <w:t>to submit comments on the proposed information collection.  HUD received no comments on this proposed collection.</w:t>
      </w:r>
      <w:r w:rsidRPr="003D52E0" w:rsidR="00D8021B">
        <w:rPr>
          <w:sz w:val="22"/>
        </w:rPr>
        <w:t xml:space="preserve"> </w:t>
      </w:r>
    </w:p>
    <w:p w:rsidRPr="00D8021B" w:rsidR="00D8021B" w:rsidP="00D8021B" w:rsidRDefault="00D8021B" w14:paraId="19515E6A" w14:textId="77777777">
      <w:pPr>
        <w:ind w:left="270"/>
        <w:rPr>
          <w:sz w:val="22"/>
        </w:rPr>
      </w:pPr>
    </w:p>
    <w:p w:rsidR="00F45DC8" w:rsidP="009B7204" w:rsidRDefault="00F45DC8" w14:paraId="619FD575" w14:textId="77777777">
      <w:pPr>
        <w:pStyle w:val="BodyText"/>
        <w:ind w:left="540" w:hanging="450"/>
        <w:rPr>
          <w:i w:val="0"/>
          <w:iCs w:val="0"/>
          <w:sz w:val="22"/>
        </w:rPr>
      </w:pPr>
      <w:r>
        <w:rPr>
          <w:i w:val="0"/>
          <w:iCs w:val="0"/>
          <w:sz w:val="22"/>
        </w:rPr>
        <w:t xml:space="preserve">9.  </w:t>
      </w:r>
      <w:r w:rsidR="009B7204">
        <w:rPr>
          <w:i w:val="0"/>
          <w:iCs w:val="0"/>
          <w:sz w:val="22"/>
        </w:rPr>
        <w:t xml:space="preserve">  </w:t>
      </w:r>
      <w:r>
        <w:rPr>
          <w:i w:val="0"/>
          <w:iCs w:val="0"/>
          <w:sz w:val="22"/>
        </w:rPr>
        <w:t xml:space="preserve">No </w:t>
      </w:r>
      <w:r w:rsidR="00271506">
        <w:rPr>
          <w:i w:val="0"/>
          <w:iCs w:val="0"/>
          <w:sz w:val="22"/>
        </w:rPr>
        <w:t>payments are made to the r</w:t>
      </w:r>
      <w:r>
        <w:rPr>
          <w:i w:val="0"/>
          <w:iCs w:val="0"/>
          <w:sz w:val="22"/>
        </w:rPr>
        <w:t>espondents.</w:t>
      </w:r>
    </w:p>
    <w:p w:rsidR="00286D10" w:rsidP="00056A38" w:rsidRDefault="00286D10" w14:paraId="4BCCD83F" w14:textId="77777777">
      <w:pPr>
        <w:pStyle w:val="BodyText"/>
        <w:ind w:left="270" w:hanging="270"/>
        <w:rPr>
          <w:i w:val="0"/>
          <w:iCs w:val="0"/>
          <w:sz w:val="22"/>
        </w:rPr>
      </w:pPr>
    </w:p>
    <w:p w:rsidR="00A678BB" w:rsidP="009B7204" w:rsidRDefault="00286D10" w14:paraId="0C90D490" w14:textId="77777777">
      <w:pPr>
        <w:pStyle w:val="BodyText"/>
        <w:ind w:left="450" w:hanging="450"/>
        <w:rPr>
          <w:i w:val="0"/>
          <w:iCs w:val="0"/>
          <w:sz w:val="22"/>
        </w:rPr>
      </w:pPr>
      <w:r>
        <w:rPr>
          <w:i w:val="0"/>
          <w:iCs w:val="0"/>
          <w:sz w:val="22"/>
        </w:rPr>
        <w:t>10.</w:t>
      </w:r>
      <w:r w:rsidR="009B7204">
        <w:rPr>
          <w:i w:val="0"/>
          <w:iCs w:val="0"/>
          <w:sz w:val="22"/>
        </w:rPr>
        <w:t xml:space="preserve">   </w:t>
      </w:r>
      <w:r>
        <w:rPr>
          <w:i w:val="0"/>
          <w:iCs w:val="0"/>
          <w:sz w:val="22"/>
        </w:rPr>
        <w:t xml:space="preserve"> </w:t>
      </w:r>
      <w:r w:rsidR="002E03DC">
        <w:rPr>
          <w:i w:val="0"/>
          <w:iCs w:val="0"/>
          <w:sz w:val="22"/>
        </w:rPr>
        <w:t>HUD shall comply with the Privacy Act of 1974</w:t>
      </w:r>
      <w:r w:rsidR="002952F1">
        <w:rPr>
          <w:i w:val="0"/>
          <w:iCs w:val="0"/>
          <w:sz w:val="22"/>
        </w:rPr>
        <w:t xml:space="preserve"> (</w:t>
      </w:r>
      <w:r w:rsidR="002E03DC">
        <w:rPr>
          <w:i w:val="0"/>
          <w:iCs w:val="0"/>
          <w:sz w:val="22"/>
        </w:rPr>
        <w:t>5 U.S.C., § 552a</w:t>
      </w:r>
      <w:r w:rsidR="002952F1">
        <w:rPr>
          <w:i w:val="0"/>
          <w:iCs w:val="0"/>
          <w:sz w:val="22"/>
        </w:rPr>
        <w:t>)</w:t>
      </w:r>
      <w:r w:rsidR="008D4E85">
        <w:rPr>
          <w:i w:val="0"/>
          <w:iCs w:val="0"/>
          <w:sz w:val="22"/>
        </w:rPr>
        <w:t xml:space="preserve"> </w:t>
      </w:r>
      <w:r w:rsidR="002952F1">
        <w:rPr>
          <w:i w:val="0"/>
          <w:iCs w:val="0"/>
          <w:sz w:val="22"/>
        </w:rPr>
        <w:t xml:space="preserve">requirements in the conduct of the verification procedures, as well as in the safeguarding, maintenance, and disposition of any information used for </w:t>
      </w:r>
      <w:r w:rsidR="008D4E85">
        <w:rPr>
          <w:i w:val="0"/>
          <w:iCs w:val="0"/>
          <w:sz w:val="22"/>
        </w:rPr>
        <w:t xml:space="preserve">determining the </w:t>
      </w:r>
      <w:r w:rsidR="002E03DC">
        <w:rPr>
          <w:i w:val="0"/>
          <w:iCs w:val="0"/>
          <w:sz w:val="22"/>
        </w:rPr>
        <w:t>citizenship or eligible immigration status of individuals and family members applying for or currently receiving housing assistance</w:t>
      </w:r>
      <w:r w:rsidR="008D4E85">
        <w:rPr>
          <w:i w:val="0"/>
          <w:iCs w:val="0"/>
          <w:sz w:val="22"/>
        </w:rPr>
        <w:t xml:space="preserve"> and not for any other purpose</w:t>
      </w:r>
      <w:r w:rsidR="00592CE3">
        <w:rPr>
          <w:i w:val="0"/>
          <w:iCs w:val="0"/>
          <w:sz w:val="22"/>
        </w:rPr>
        <w:t xml:space="preserve">. </w:t>
      </w:r>
      <w:r w:rsidR="00F45DC8">
        <w:rPr>
          <w:i w:val="0"/>
          <w:iCs w:val="0"/>
          <w:sz w:val="22"/>
        </w:rPr>
        <w:t xml:space="preserve">Section 404 of the </w:t>
      </w:r>
      <w:r w:rsidR="000E200D">
        <w:rPr>
          <w:i w:val="0"/>
          <w:iCs w:val="0"/>
          <w:sz w:val="22"/>
        </w:rPr>
        <w:t xml:space="preserve">Personal Responsibility and Work Opportunity Reconciliation Act of 1996 (PRWORA) </w:t>
      </w:r>
      <w:r w:rsidR="00F45DC8">
        <w:rPr>
          <w:i w:val="0"/>
          <w:iCs w:val="0"/>
          <w:sz w:val="22"/>
        </w:rPr>
        <w:t xml:space="preserve">requires HUD </w:t>
      </w:r>
      <w:r w:rsidR="000E200D">
        <w:rPr>
          <w:i w:val="0"/>
          <w:iCs w:val="0"/>
          <w:sz w:val="22"/>
        </w:rPr>
        <w:t xml:space="preserve">(with respect to Public and Assisted Housing Programs provided under the U.S. Housing Act of 1937, as amended, 42 U.S.C. 1437 et seq.) and any PHA that enters into a contract for assistance under section 6 or 8 of Title I of the U. S. Housing Act of 1937, as amended, 42 U.S.C. 1437 et seq.) </w:t>
      </w:r>
      <w:r w:rsidR="00F45DC8">
        <w:rPr>
          <w:i w:val="0"/>
          <w:iCs w:val="0"/>
          <w:sz w:val="22"/>
        </w:rPr>
        <w:t xml:space="preserve">to report to </w:t>
      </w:r>
      <w:r w:rsidR="00592CE3">
        <w:rPr>
          <w:i w:val="0"/>
          <w:iCs w:val="0"/>
          <w:sz w:val="22"/>
        </w:rPr>
        <w:t>the US</w:t>
      </w:r>
      <w:r>
        <w:rPr>
          <w:i w:val="0"/>
          <w:iCs w:val="0"/>
          <w:sz w:val="22"/>
        </w:rPr>
        <w:t>CIS</w:t>
      </w:r>
      <w:r w:rsidR="00F45DC8">
        <w:rPr>
          <w:i w:val="0"/>
          <w:iCs w:val="0"/>
          <w:sz w:val="22"/>
        </w:rPr>
        <w:t xml:space="preserve">, at least 4 times a year those individuals who HUD </w:t>
      </w:r>
      <w:r>
        <w:rPr>
          <w:i w:val="0"/>
          <w:iCs w:val="0"/>
          <w:sz w:val="22"/>
        </w:rPr>
        <w:t>has verified a</w:t>
      </w:r>
      <w:r w:rsidR="00F45DC8">
        <w:rPr>
          <w:i w:val="0"/>
          <w:iCs w:val="0"/>
          <w:sz w:val="22"/>
        </w:rPr>
        <w:t>re in the U.S. unlawfully</w:t>
      </w:r>
      <w:r w:rsidR="00592CE3">
        <w:rPr>
          <w:i w:val="0"/>
          <w:iCs w:val="0"/>
          <w:sz w:val="22"/>
        </w:rPr>
        <w:t xml:space="preserve">. </w:t>
      </w:r>
      <w:r w:rsidR="00F45DC8">
        <w:rPr>
          <w:i w:val="0"/>
          <w:iCs w:val="0"/>
          <w:sz w:val="22"/>
        </w:rPr>
        <w:t xml:space="preserve">Additionally, </w:t>
      </w:r>
      <w:r w:rsidR="005E0667">
        <w:rPr>
          <w:i w:val="0"/>
          <w:iCs w:val="0"/>
          <w:sz w:val="22"/>
        </w:rPr>
        <w:t xml:space="preserve">the secured SAVE VIS database </w:t>
      </w:r>
      <w:r w:rsidR="00F45DC8">
        <w:rPr>
          <w:i w:val="0"/>
          <w:iCs w:val="0"/>
          <w:sz w:val="22"/>
        </w:rPr>
        <w:t>carries its own protective measures</w:t>
      </w:r>
      <w:r w:rsidR="005E0667">
        <w:rPr>
          <w:i w:val="0"/>
          <w:iCs w:val="0"/>
          <w:sz w:val="22"/>
        </w:rPr>
        <w:t xml:space="preserve"> by assigning identification and passwords to authorized users</w:t>
      </w:r>
      <w:r w:rsidR="00F45DC8">
        <w:rPr>
          <w:i w:val="0"/>
          <w:iCs w:val="0"/>
          <w:sz w:val="22"/>
        </w:rPr>
        <w:t xml:space="preserve">.  </w:t>
      </w:r>
    </w:p>
    <w:p w:rsidRPr="005E0667" w:rsidR="00F45DC8" w:rsidP="00286D10" w:rsidRDefault="00F45DC8" w14:paraId="2B374C77" w14:textId="77777777">
      <w:pPr>
        <w:pStyle w:val="BodyText"/>
        <w:ind w:left="270"/>
        <w:rPr>
          <w:i w:val="0"/>
          <w:iCs w:val="0"/>
          <w:sz w:val="22"/>
        </w:rPr>
      </w:pPr>
    </w:p>
    <w:p w:rsidR="00286D10" w:rsidP="00286D10" w:rsidRDefault="00286D10" w14:paraId="037D34E5" w14:textId="77777777">
      <w:pPr>
        <w:pStyle w:val="BodyText"/>
        <w:rPr>
          <w:i w:val="0"/>
          <w:iCs w:val="0"/>
          <w:sz w:val="22"/>
        </w:rPr>
      </w:pPr>
      <w:r>
        <w:rPr>
          <w:i w:val="0"/>
          <w:iCs w:val="0"/>
          <w:sz w:val="22"/>
        </w:rPr>
        <w:t xml:space="preserve">11.  The only information required of a sensitive nature is citizenship/immigration status.  </w:t>
      </w:r>
    </w:p>
    <w:p w:rsidR="00F45DC8" w:rsidP="00286D10" w:rsidRDefault="00F45DC8" w14:paraId="7562E97D" w14:textId="77777777">
      <w:pPr>
        <w:pStyle w:val="BodyText"/>
        <w:rPr>
          <w:i w:val="0"/>
          <w:iCs w:val="0"/>
          <w:sz w:val="22"/>
        </w:rPr>
      </w:pPr>
    </w:p>
    <w:p w:rsidR="00F45DC8" w:rsidP="00056A38" w:rsidRDefault="00F45DC8" w14:paraId="6EA4585E" w14:textId="77777777">
      <w:pPr>
        <w:pStyle w:val="BodyText"/>
        <w:keepNext/>
        <w:keepLines/>
        <w:numPr>
          <w:ilvl w:val="0"/>
          <w:numId w:val="10"/>
        </w:numPr>
        <w:tabs>
          <w:tab w:val="clear" w:pos="360"/>
        </w:tabs>
        <w:rPr>
          <w:i w:val="0"/>
          <w:iCs w:val="0"/>
          <w:sz w:val="22"/>
        </w:rPr>
      </w:pPr>
      <w:r>
        <w:rPr>
          <w:i w:val="0"/>
          <w:iCs w:val="0"/>
          <w:sz w:val="22"/>
        </w:rPr>
        <w:lastRenderedPageBreak/>
        <w:t xml:space="preserve">Estimated public burden: number of respondents, frequency of responses, annual hour. </w:t>
      </w:r>
    </w:p>
    <w:p w:rsidR="00F45DC8" w:rsidRDefault="00F45DC8" w14:paraId="31DF0702" w14:textId="77777777">
      <w:pPr>
        <w:pStyle w:val="BodyText"/>
        <w:keepNext/>
        <w:keepLines/>
        <w:rPr>
          <w:i w:val="0"/>
          <w:iCs w:val="0"/>
        </w:rPr>
      </w:pPr>
    </w:p>
    <w:p w:rsidR="00F45DC8" w:rsidRDefault="00F45DC8" w14:paraId="541CB11D" w14:textId="77777777">
      <w:pPr>
        <w:pStyle w:val="BodyText"/>
        <w:keepNext/>
        <w:keepLines/>
        <w:pBdr>
          <w:top w:val="single" w:color="auto" w:sz="4" w:space="0"/>
        </w:pBdr>
        <w:ind w:left="360"/>
        <w:jc w:val="center"/>
        <w:rPr>
          <w:rFonts w:ascii="Helvetica" w:hAnsi="Helvetica"/>
          <w:i w:val="0"/>
          <w:iCs w:val="0"/>
          <w:sz w:val="18"/>
        </w:rPr>
      </w:pPr>
      <w:r>
        <w:rPr>
          <w:rFonts w:ascii="Helvetica" w:hAnsi="Helvetica"/>
          <w:i w:val="0"/>
          <w:iCs w:val="0"/>
          <w:sz w:val="18"/>
        </w:rPr>
        <w:t>Tabulation of Annual Reporting Burden</w:t>
      </w:r>
    </w:p>
    <w:p w:rsidR="00F45DC8" w:rsidRDefault="00F45DC8" w14:paraId="6BC39A1F" w14:textId="77777777">
      <w:pPr>
        <w:pStyle w:val="BodyText"/>
        <w:keepNext/>
        <w:keepLines/>
        <w:ind w:left="360"/>
        <w:jc w:val="center"/>
        <w:rPr>
          <w:rFonts w:ascii="Helvetica" w:hAnsi="Helvetica"/>
          <w:i w:val="0"/>
          <w:iCs w:val="0"/>
          <w:sz w:val="18"/>
        </w:rPr>
      </w:pPr>
      <w:r>
        <w:rPr>
          <w:rFonts w:ascii="Helvetica" w:hAnsi="Helvetica"/>
          <w:i w:val="0"/>
          <w:iCs w:val="0"/>
          <w:sz w:val="18"/>
        </w:rPr>
        <w:t>Restriction on Assistance to Noncitizens</w:t>
      </w:r>
    </w:p>
    <w:p w:rsidR="00A04E43" w:rsidP="00A04E43" w:rsidRDefault="00A04E43" w14:paraId="49FC8961" w14:textId="77777777">
      <w:pPr>
        <w:pStyle w:val="BodyText"/>
        <w:keepNext/>
        <w:keepLines/>
        <w:ind w:left="360"/>
        <w:jc w:val="center"/>
        <w:rPr>
          <w:rFonts w:ascii="Helvetica" w:hAnsi="Helvetica"/>
          <w:i w:val="0"/>
          <w:iCs w:val="0"/>
          <w:sz w:val="18"/>
        </w:rPr>
      </w:pPr>
    </w:p>
    <w:p w:rsidR="00A04E43" w:rsidP="00A04E43" w:rsidRDefault="00A04E43" w14:paraId="782F1A4A" w14:textId="77777777">
      <w:pPr>
        <w:pStyle w:val="BodyText"/>
        <w:keepNext/>
        <w:keepLines/>
        <w:ind w:left="360"/>
        <w:rPr>
          <w:rFonts w:ascii="Helvetica" w:hAnsi="Helvetica"/>
          <w:i w:val="0"/>
          <w:iCs w:val="0"/>
          <w:sz w:val="18"/>
        </w:rPr>
      </w:pPr>
    </w:p>
    <w:p w:rsidRPr="00A04E43" w:rsidR="00A04E43" w:rsidP="00A04E43" w:rsidRDefault="00A04E43" w14:paraId="421070BC" w14:textId="77777777">
      <w:pPr>
        <w:keepNext/>
        <w:keepLines/>
        <w:overflowPunct/>
        <w:autoSpaceDE/>
        <w:autoSpaceDN/>
        <w:adjustRightInd/>
        <w:ind w:left="360"/>
        <w:jc w:val="center"/>
        <w:textAlignment w:val="auto"/>
        <w:rPr>
          <w:rFonts w:ascii="Helvetica" w:hAnsi="Helvetica"/>
          <w:sz w:val="18"/>
          <w:szCs w:val="24"/>
        </w:rPr>
      </w:pPr>
    </w:p>
    <w:tbl>
      <w:tblPr>
        <w:tblW w:w="10019"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2234"/>
        <w:gridCol w:w="1119"/>
        <w:gridCol w:w="1027"/>
        <w:gridCol w:w="1038"/>
        <w:gridCol w:w="1055"/>
        <w:gridCol w:w="993"/>
        <w:gridCol w:w="1055"/>
        <w:gridCol w:w="1498"/>
      </w:tblGrid>
      <w:tr w:rsidRPr="00A04E43" w:rsidR="00A04E43" w:rsidTr="00D82613" w14:paraId="3BE31B6E" w14:textId="77777777">
        <w:tc>
          <w:tcPr>
            <w:tcW w:w="2369" w:type="dxa"/>
            <w:shd w:val="clear" w:color="auto" w:fill="auto"/>
          </w:tcPr>
          <w:p w:rsidRPr="00A04E43" w:rsidR="00A04E43" w:rsidP="00A04E43" w:rsidRDefault="00A04E43" w14:paraId="0BC1ACD9"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Information Collection</w:t>
            </w:r>
          </w:p>
        </w:tc>
        <w:tc>
          <w:tcPr>
            <w:tcW w:w="873" w:type="dxa"/>
            <w:shd w:val="clear" w:color="auto" w:fill="auto"/>
          </w:tcPr>
          <w:p w:rsidRPr="00A04E43" w:rsidR="00A04E43" w:rsidP="00A04E43" w:rsidRDefault="00A04E43" w14:paraId="2010BE6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Number of Respondents</w:t>
            </w:r>
          </w:p>
        </w:tc>
        <w:tc>
          <w:tcPr>
            <w:tcW w:w="1042" w:type="dxa"/>
            <w:shd w:val="clear" w:color="auto" w:fill="auto"/>
          </w:tcPr>
          <w:p w:rsidRPr="00A04E43" w:rsidR="00A04E43" w:rsidP="00A04E43" w:rsidRDefault="00A04E43" w14:paraId="3D661AEA"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Frequency of Response</w:t>
            </w:r>
          </w:p>
        </w:tc>
        <w:tc>
          <w:tcPr>
            <w:tcW w:w="1048" w:type="dxa"/>
            <w:shd w:val="clear" w:color="auto" w:fill="auto"/>
          </w:tcPr>
          <w:p w:rsidRPr="00A04E43" w:rsidR="00A04E43" w:rsidP="00A04E43" w:rsidRDefault="00A04E43" w14:paraId="11234925"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Responses Per </w:t>
            </w:r>
          </w:p>
          <w:p w:rsidRPr="00A04E43" w:rsidR="00A04E43" w:rsidP="00A04E43" w:rsidRDefault="00A04E43" w14:paraId="11B9C485"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Annum</w:t>
            </w:r>
          </w:p>
        </w:tc>
        <w:tc>
          <w:tcPr>
            <w:tcW w:w="1078" w:type="dxa"/>
            <w:shd w:val="clear" w:color="auto" w:fill="auto"/>
          </w:tcPr>
          <w:p w:rsidRPr="00A04E43" w:rsidR="00A04E43" w:rsidP="00A04E43" w:rsidRDefault="00A04E43" w14:paraId="1EB4DF03"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Burden Hour Per Response</w:t>
            </w:r>
          </w:p>
        </w:tc>
        <w:tc>
          <w:tcPr>
            <w:tcW w:w="997" w:type="dxa"/>
            <w:shd w:val="clear" w:color="auto" w:fill="auto"/>
          </w:tcPr>
          <w:p w:rsidRPr="00A04E43" w:rsidR="00A04E43" w:rsidP="00A04E43" w:rsidRDefault="00A04E43" w14:paraId="1BDC2E83"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Annual Burden </w:t>
            </w:r>
          </w:p>
          <w:p w:rsidRPr="00A04E43" w:rsidR="00A04E43" w:rsidP="00A04E43" w:rsidRDefault="00A04E43" w14:paraId="68F128CF"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Hours</w:t>
            </w:r>
          </w:p>
        </w:tc>
        <w:tc>
          <w:tcPr>
            <w:tcW w:w="1078" w:type="dxa"/>
            <w:shd w:val="clear" w:color="auto" w:fill="auto"/>
          </w:tcPr>
          <w:p w:rsidRPr="00A04E43" w:rsidR="00A04E43" w:rsidP="00A04E43" w:rsidRDefault="00A04E43" w14:paraId="06B7898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Hourly Cost Per Response</w:t>
            </w:r>
          </w:p>
        </w:tc>
        <w:tc>
          <w:tcPr>
            <w:tcW w:w="1534" w:type="dxa"/>
            <w:shd w:val="clear" w:color="auto" w:fill="auto"/>
          </w:tcPr>
          <w:p w:rsidRPr="00A04E43" w:rsidR="00A04E43" w:rsidP="00A04E43" w:rsidRDefault="00A04E43" w14:paraId="4A2300D1"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Annual Cost</w:t>
            </w:r>
          </w:p>
        </w:tc>
      </w:tr>
      <w:tr w:rsidRPr="00A04E43" w:rsidR="00A04E43" w:rsidTr="00D82613" w14:paraId="7A437E44" w14:textId="77777777">
        <w:tc>
          <w:tcPr>
            <w:tcW w:w="2369" w:type="dxa"/>
            <w:shd w:val="clear" w:color="auto" w:fill="auto"/>
          </w:tcPr>
          <w:p w:rsidRPr="00A04E43" w:rsidR="00A04E43" w:rsidP="00A04E43" w:rsidRDefault="00A04E43" w14:paraId="12A02C1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New tenant admissions in Public &amp; Indian Housing and Section 8 Programs**</w:t>
            </w:r>
          </w:p>
        </w:tc>
        <w:tc>
          <w:tcPr>
            <w:tcW w:w="873" w:type="dxa"/>
            <w:shd w:val="clear" w:color="auto" w:fill="auto"/>
            <w:vAlign w:val="bottom"/>
          </w:tcPr>
          <w:p w:rsidRPr="00A04E43" w:rsidR="00A04E43" w:rsidP="00206D3B" w:rsidRDefault="00A04E43" w14:paraId="25C7719A"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4,055</w:t>
            </w:r>
          </w:p>
        </w:tc>
        <w:tc>
          <w:tcPr>
            <w:tcW w:w="1042" w:type="dxa"/>
            <w:shd w:val="clear" w:color="auto" w:fill="auto"/>
            <w:vAlign w:val="bottom"/>
          </w:tcPr>
          <w:p w:rsidRPr="00A04E43" w:rsidR="00A04E43" w:rsidP="00206D3B" w:rsidRDefault="00A04E43" w14:paraId="6F5DEA39"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213</w:t>
            </w:r>
          </w:p>
        </w:tc>
        <w:tc>
          <w:tcPr>
            <w:tcW w:w="1048" w:type="dxa"/>
            <w:shd w:val="clear" w:color="auto" w:fill="auto"/>
            <w:vAlign w:val="bottom"/>
          </w:tcPr>
          <w:p w:rsidRPr="00A04E43" w:rsidR="00A04E43" w:rsidP="00206D3B" w:rsidRDefault="00A04E43" w14:paraId="00EF7F47"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863, 715</w:t>
            </w:r>
            <w:r w:rsidR="00EC1F69">
              <w:rPr>
                <w:rFonts w:ascii="Helvetica" w:hAnsi="Helvetica"/>
                <w:sz w:val="18"/>
                <w:szCs w:val="24"/>
              </w:rPr>
              <w:t>.00</w:t>
            </w:r>
          </w:p>
        </w:tc>
        <w:tc>
          <w:tcPr>
            <w:tcW w:w="1078" w:type="dxa"/>
            <w:shd w:val="clear" w:color="auto" w:fill="auto"/>
            <w:vAlign w:val="bottom"/>
          </w:tcPr>
          <w:p w:rsidRPr="00A04E43" w:rsidR="00A04E43" w:rsidP="00206D3B" w:rsidRDefault="00A04E43" w14:paraId="7EF26FE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0.16</w:t>
            </w:r>
          </w:p>
        </w:tc>
        <w:tc>
          <w:tcPr>
            <w:tcW w:w="997" w:type="dxa"/>
            <w:shd w:val="clear" w:color="auto" w:fill="auto"/>
            <w:vAlign w:val="bottom"/>
          </w:tcPr>
          <w:p w:rsidRPr="00A04E43" w:rsidR="00A04E43" w:rsidP="00206D3B" w:rsidRDefault="00A04E43" w14:paraId="35BCCC96"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138,194</w:t>
            </w:r>
            <w:r w:rsidR="00EC1F69">
              <w:rPr>
                <w:rFonts w:ascii="Helvetica" w:hAnsi="Helvetica"/>
                <w:sz w:val="18"/>
                <w:szCs w:val="24"/>
              </w:rPr>
              <w:t>.40</w:t>
            </w:r>
          </w:p>
        </w:tc>
        <w:tc>
          <w:tcPr>
            <w:tcW w:w="1078" w:type="dxa"/>
            <w:shd w:val="clear" w:color="auto" w:fill="auto"/>
            <w:vAlign w:val="bottom"/>
          </w:tcPr>
          <w:p w:rsidRPr="00A04E43" w:rsidR="00A04E43" w:rsidP="00206D3B" w:rsidRDefault="00A04E43" w14:paraId="270174AE"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sidR="00EC1F69">
              <w:rPr>
                <w:rFonts w:ascii="Helvetica" w:hAnsi="Helvetica"/>
                <w:sz w:val="18"/>
                <w:szCs w:val="24"/>
              </w:rPr>
              <w:t>30.00</w:t>
            </w:r>
          </w:p>
        </w:tc>
        <w:tc>
          <w:tcPr>
            <w:tcW w:w="1534" w:type="dxa"/>
            <w:shd w:val="clear" w:color="auto" w:fill="auto"/>
            <w:vAlign w:val="bottom"/>
          </w:tcPr>
          <w:p w:rsidRPr="00A04E43" w:rsidR="00A04E43" w:rsidP="00206D3B" w:rsidRDefault="00A04E43" w14:paraId="7DE5F70C"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 xml:space="preserve"> $4,145,832</w:t>
            </w:r>
            <w:r w:rsidR="00EC1F69">
              <w:rPr>
                <w:rFonts w:ascii="Helvetica" w:hAnsi="Helvetica"/>
                <w:sz w:val="18"/>
                <w:szCs w:val="24"/>
              </w:rPr>
              <w:t>.00</w:t>
            </w:r>
          </w:p>
        </w:tc>
      </w:tr>
      <w:tr w:rsidRPr="00A04E43" w:rsidR="00A04E43" w:rsidTr="00D82613" w14:paraId="0DBA8DD6" w14:textId="77777777">
        <w:tc>
          <w:tcPr>
            <w:tcW w:w="2369" w:type="dxa"/>
            <w:shd w:val="clear" w:color="auto" w:fill="auto"/>
          </w:tcPr>
          <w:p w:rsidRPr="00A04E43" w:rsidR="00A04E43" w:rsidP="00A04E43" w:rsidRDefault="00A04E43" w14:paraId="0A500119"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Annual recertification of tenants’ eligible immigration status in Public &amp; Indian Housing and Section 8 Programs**</w:t>
            </w:r>
          </w:p>
        </w:tc>
        <w:tc>
          <w:tcPr>
            <w:tcW w:w="873" w:type="dxa"/>
            <w:shd w:val="clear" w:color="auto" w:fill="auto"/>
            <w:vAlign w:val="bottom"/>
          </w:tcPr>
          <w:p w:rsidRPr="00A04E43" w:rsidR="00A04E43" w:rsidP="00206D3B" w:rsidRDefault="00A04E43" w14:paraId="3A46E271"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4,055</w:t>
            </w:r>
          </w:p>
        </w:tc>
        <w:tc>
          <w:tcPr>
            <w:tcW w:w="1042" w:type="dxa"/>
            <w:shd w:val="clear" w:color="auto" w:fill="auto"/>
            <w:vAlign w:val="bottom"/>
          </w:tcPr>
          <w:p w:rsidRPr="00A04E43" w:rsidR="00A04E43" w:rsidP="00206D3B" w:rsidRDefault="00A04E43" w14:paraId="4C69D208"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7</w:t>
            </w:r>
          </w:p>
        </w:tc>
        <w:tc>
          <w:tcPr>
            <w:tcW w:w="1048" w:type="dxa"/>
            <w:shd w:val="clear" w:color="auto" w:fill="auto"/>
            <w:vAlign w:val="bottom"/>
          </w:tcPr>
          <w:p w:rsidRPr="00A04E43" w:rsidR="00A04E43" w:rsidP="00206D3B" w:rsidRDefault="00A04E43" w14:paraId="12AB539A"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28,385</w:t>
            </w:r>
            <w:r w:rsidR="00EC1F69">
              <w:rPr>
                <w:rFonts w:ascii="Helvetica" w:hAnsi="Helvetica"/>
                <w:sz w:val="18"/>
                <w:szCs w:val="24"/>
              </w:rPr>
              <w:t>.00</w:t>
            </w:r>
          </w:p>
        </w:tc>
        <w:tc>
          <w:tcPr>
            <w:tcW w:w="1078" w:type="dxa"/>
            <w:shd w:val="clear" w:color="auto" w:fill="auto"/>
            <w:vAlign w:val="bottom"/>
          </w:tcPr>
          <w:p w:rsidRPr="00A04E43" w:rsidR="00A04E43" w:rsidP="00206D3B" w:rsidRDefault="00A04E43" w14:paraId="51B2F47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0.08</w:t>
            </w:r>
          </w:p>
        </w:tc>
        <w:tc>
          <w:tcPr>
            <w:tcW w:w="997" w:type="dxa"/>
            <w:shd w:val="clear" w:color="auto" w:fill="auto"/>
            <w:vAlign w:val="bottom"/>
          </w:tcPr>
          <w:p w:rsidRPr="00A04E43" w:rsidR="00A04E43" w:rsidP="00206D3B" w:rsidRDefault="00A04E43" w14:paraId="595A4C6E"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2,270</w:t>
            </w:r>
            <w:r w:rsidR="00EC1F69">
              <w:rPr>
                <w:rFonts w:ascii="Helvetica" w:hAnsi="Helvetica"/>
                <w:sz w:val="18"/>
                <w:szCs w:val="24"/>
              </w:rPr>
              <w:t>.80</w:t>
            </w:r>
          </w:p>
        </w:tc>
        <w:tc>
          <w:tcPr>
            <w:tcW w:w="1078" w:type="dxa"/>
            <w:shd w:val="clear" w:color="auto" w:fill="auto"/>
            <w:vAlign w:val="bottom"/>
          </w:tcPr>
          <w:p w:rsidRPr="00A04E43" w:rsidR="00A04E43" w:rsidP="00206D3B" w:rsidRDefault="00A04E43" w14:paraId="7832FCD0"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sidR="00EC1F69">
              <w:rPr>
                <w:rFonts w:ascii="Helvetica" w:hAnsi="Helvetica"/>
                <w:sz w:val="18"/>
                <w:szCs w:val="24"/>
              </w:rPr>
              <w:t>30.00</w:t>
            </w:r>
          </w:p>
        </w:tc>
        <w:tc>
          <w:tcPr>
            <w:tcW w:w="1534" w:type="dxa"/>
            <w:shd w:val="clear" w:color="auto" w:fill="auto"/>
            <w:vAlign w:val="bottom"/>
          </w:tcPr>
          <w:p w:rsidRPr="00A04E43" w:rsidR="00A04E43" w:rsidP="00206D3B" w:rsidRDefault="00A04E43" w14:paraId="5719A422"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 xml:space="preserve">   $68,124</w:t>
            </w:r>
            <w:r w:rsidR="00EC1F69">
              <w:rPr>
                <w:rFonts w:ascii="Helvetica" w:hAnsi="Helvetica"/>
                <w:sz w:val="18"/>
                <w:szCs w:val="24"/>
              </w:rPr>
              <w:t>.00</w:t>
            </w:r>
          </w:p>
        </w:tc>
      </w:tr>
      <w:tr w:rsidRPr="00E060C6" w:rsidR="00A04E43" w:rsidTr="00D82613" w14:paraId="3D4D6B18" w14:textId="77777777">
        <w:tc>
          <w:tcPr>
            <w:tcW w:w="2369" w:type="dxa"/>
            <w:shd w:val="clear" w:color="auto" w:fill="auto"/>
          </w:tcPr>
          <w:p w:rsidRPr="00E060C6" w:rsidR="00A04E43" w:rsidP="00A04E43" w:rsidRDefault="00E060C6" w14:paraId="48E00A48" w14:textId="0E8B8664">
            <w:pPr>
              <w:keepNext/>
              <w:keepLines/>
              <w:overflowPunct/>
              <w:autoSpaceDE/>
              <w:autoSpaceDN/>
              <w:adjustRightInd/>
              <w:jc w:val="center"/>
              <w:textAlignment w:val="auto"/>
              <w:rPr>
                <w:rFonts w:ascii="Helvetica" w:hAnsi="Helvetica"/>
                <w:b/>
                <w:bCs/>
                <w:sz w:val="18"/>
                <w:szCs w:val="24"/>
              </w:rPr>
            </w:pPr>
            <w:r w:rsidRPr="00E060C6">
              <w:rPr>
                <w:rFonts w:ascii="Helvetica" w:hAnsi="Helvetica"/>
                <w:b/>
                <w:bCs/>
                <w:sz w:val="18"/>
                <w:szCs w:val="24"/>
              </w:rPr>
              <w:t>Totals</w:t>
            </w:r>
          </w:p>
        </w:tc>
        <w:tc>
          <w:tcPr>
            <w:tcW w:w="873" w:type="dxa"/>
            <w:shd w:val="clear" w:color="auto" w:fill="auto"/>
            <w:vAlign w:val="bottom"/>
          </w:tcPr>
          <w:p w:rsidRPr="00E060C6" w:rsidR="00A04E43" w:rsidP="00206D3B" w:rsidRDefault="00E060C6" w14:paraId="55F74731" w14:textId="763D6DD6">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4,055</w:t>
            </w:r>
          </w:p>
        </w:tc>
        <w:tc>
          <w:tcPr>
            <w:tcW w:w="1042" w:type="dxa"/>
            <w:shd w:val="clear" w:color="auto" w:fill="auto"/>
            <w:vAlign w:val="bottom"/>
          </w:tcPr>
          <w:p w:rsidRPr="00E060C6" w:rsidR="00A04E43" w:rsidP="00206D3B" w:rsidRDefault="00A04E43" w14:paraId="0A73173E" w14:textId="77777777">
            <w:pPr>
              <w:keepNext/>
              <w:keepLines/>
              <w:overflowPunct/>
              <w:autoSpaceDE/>
              <w:autoSpaceDN/>
              <w:adjustRightInd/>
              <w:jc w:val="right"/>
              <w:textAlignment w:val="auto"/>
              <w:rPr>
                <w:rFonts w:ascii="Helvetica" w:hAnsi="Helvetica"/>
                <w:b/>
                <w:bCs/>
                <w:sz w:val="18"/>
                <w:szCs w:val="24"/>
              </w:rPr>
            </w:pPr>
          </w:p>
        </w:tc>
        <w:tc>
          <w:tcPr>
            <w:tcW w:w="1048" w:type="dxa"/>
            <w:shd w:val="clear" w:color="auto" w:fill="auto"/>
            <w:vAlign w:val="bottom"/>
          </w:tcPr>
          <w:p w:rsidRPr="00E060C6" w:rsidR="00A04E43" w:rsidP="00206D3B" w:rsidRDefault="00E060C6" w14:paraId="7C4F6356" w14:textId="14A5AEAF">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892,100</w:t>
            </w:r>
          </w:p>
        </w:tc>
        <w:tc>
          <w:tcPr>
            <w:tcW w:w="1078" w:type="dxa"/>
            <w:shd w:val="clear" w:color="auto" w:fill="auto"/>
            <w:vAlign w:val="bottom"/>
          </w:tcPr>
          <w:p w:rsidRPr="00E060C6" w:rsidR="00A04E43" w:rsidP="00206D3B" w:rsidRDefault="00A04E43" w14:paraId="0CA2D4D4" w14:textId="77777777">
            <w:pPr>
              <w:keepNext/>
              <w:keepLines/>
              <w:overflowPunct/>
              <w:autoSpaceDE/>
              <w:autoSpaceDN/>
              <w:adjustRightInd/>
              <w:jc w:val="right"/>
              <w:textAlignment w:val="auto"/>
              <w:rPr>
                <w:rFonts w:ascii="Helvetica" w:hAnsi="Helvetica"/>
                <w:b/>
                <w:bCs/>
                <w:sz w:val="18"/>
                <w:szCs w:val="24"/>
              </w:rPr>
            </w:pPr>
          </w:p>
        </w:tc>
        <w:tc>
          <w:tcPr>
            <w:tcW w:w="997" w:type="dxa"/>
            <w:shd w:val="clear" w:color="auto" w:fill="auto"/>
            <w:vAlign w:val="bottom"/>
          </w:tcPr>
          <w:p w:rsidRPr="00E060C6" w:rsidR="00A04E43" w:rsidP="00206D3B" w:rsidRDefault="00A04E43" w14:paraId="5DCB82C9" w14:textId="77777777">
            <w:pPr>
              <w:keepNext/>
              <w:keepLines/>
              <w:overflowPunct/>
              <w:autoSpaceDE/>
              <w:autoSpaceDN/>
              <w:adjustRightInd/>
              <w:jc w:val="center"/>
              <w:textAlignment w:val="auto"/>
              <w:rPr>
                <w:rFonts w:ascii="Helvetica" w:hAnsi="Helvetica"/>
                <w:b/>
                <w:bCs/>
                <w:sz w:val="18"/>
                <w:szCs w:val="24"/>
              </w:rPr>
            </w:pPr>
            <w:r w:rsidRPr="00E060C6">
              <w:rPr>
                <w:rFonts w:ascii="Helvetica" w:hAnsi="Helvetica"/>
                <w:b/>
                <w:bCs/>
                <w:sz w:val="18"/>
                <w:szCs w:val="24"/>
              </w:rPr>
              <w:t>140,</w:t>
            </w:r>
            <w:r w:rsidRPr="00E060C6" w:rsidR="00206D3B">
              <w:rPr>
                <w:rFonts w:ascii="Helvetica" w:hAnsi="Helvetica"/>
                <w:b/>
                <w:bCs/>
                <w:sz w:val="18"/>
                <w:szCs w:val="24"/>
              </w:rPr>
              <w:t>465.20</w:t>
            </w:r>
          </w:p>
        </w:tc>
        <w:tc>
          <w:tcPr>
            <w:tcW w:w="1078" w:type="dxa"/>
            <w:shd w:val="clear" w:color="auto" w:fill="auto"/>
            <w:vAlign w:val="bottom"/>
          </w:tcPr>
          <w:p w:rsidRPr="00E060C6" w:rsidR="00A04E43" w:rsidP="00206D3B" w:rsidRDefault="00A04E43" w14:paraId="63653494" w14:textId="77777777">
            <w:pPr>
              <w:keepNext/>
              <w:keepLines/>
              <w:overflowPunct/>
              <w:autoSpaceDE/>
              <w:autoSpaceDN/>
              <w:adjustRightInd/>
              <w:jc w:val="right"/>
              <w:textAlignment w:val="auto"/>
              <w:rPr>
                <w:rFonts w:ascii="Helvetica" w:hAnsi="Helvetica"/>
                <w:b/>
                <w:bCs/>
                <w:sz w:val="18"/>
                <w:szCs w:val="24"/>
              </w:rPr>
            </w:pPr>
          </w:p>
        </w:tc>
        <w:tc>
          <w:tcPr>
            <w:tcW w:w="1534" w:type="dxa"/>
            <w:shd w:val="clear" w:color="auto" w:fill="auto"/>
            <w:vAlign w:val="bottom"/>
          </w:tcPr>
          <w:p w:rsidRPr="00E060C6" w:rsidR="00A04E43" w:rsidP="00206D3B" w:rsidRDefault="00206D3B" w14:paraId="3C9F109F" w14:textId="77777777">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$4,213,956.00</w:t>
            </w:r>
          </w:p>
        </w:tc>
      </w:tr>
    </w:tbl>
    <w:p w:rsidR="00305E14" w:rsidRDefault="00305E14" w14:paraId="5E124E8F" w14:textId="77777777">
      <w:pPr>
        <w:pStyle w:val="BodyText"/>
        <w:keepNext/>
        <w:keepLines/>
        <w:ind w:left="360"/>
        <w:jc w:val="center"/>
        <w:rPr>
          <w:rFonts w:ascii="Helvetica" w:hAnsi="Helvetica"/>
          <w:i w:val="0"/>
          <w:iCs w:val="0"/>
          <w:sz w:val="18"/>
        </w:rPr>
      </w:pPr>
    </w:p>
    <w:p w:rsidR="00305E14" w:rsidRDefault="00305E14" w14:paraId="7F5CB1CA" w14:textId="77777777">
      <w:pPr>
        <w:pStyle w:val="BodyText"/>
        <w:keepNext/>
        <w:keepLines/>
        <w:ind w:left="360"/>
        <w:jc w:val="center"/>
        <w:rPr>
          <w:rFonts w:ascii="Helvetica" w:hAnsi="Helvetica"/>
          <w:i w:val="0"/>
          <w:iCs w:val="0"/>
          <w:sz w:val="18"/>
        </w:rPr>
      </w:pPr>
    </w:p>
    <w:p w:rsidR="00F45DC8" w:rsidRDefault="00F45DC8" w14:paraId="221D9D87" w14:textId="77777777">
      <w:pPr>
        <w:pStyle w:val="BodyText"/>
        <w:keepNext/>
        <w:keepLines/>
        <w:ind w:left="360"/>
        <w:rPr>
          <w:rFonts w:ascii="Helvetica" w:hAnsi="Helvetica"/>
          <w:i w:val="0"/>
          <w:iCs w:val="0"/>
          <w:sz w:val="18"/>
        </w:rPr>
      </w:pPr>
    </w:p>
    <w:p w:rsidR="000C1B3D" w:rsidP="0012024F" w:rsidRDefault="005C398A" w14:paraId="6531035B" w14:textId="77777777">
      <w:pPr>
        <w:pStyle w:val="BodyText"/>
        <w:keepNext/>
        <w:keepLines/>
        <w:ind w:left="540" w:hanging="180"/>
        <w:rPr>
          <w:i w:val="0"/>
          <w:iCs w:val="0"/>
          <w:sz w:val="20"/>
          <w:szCs w:val="20"/>
        </w:rPr>
      </w:pPr>
      <w:r>
        <w:rPr>
          <w:i w:val="0"/>
          <w:iCs w:val="0"/>
          <w:sz w:val="20"/>
          <w:szCs w:val="20"/>
        </w:rPr>
        <w:t>D</w:t>
      </w:r>
      <w:r w:rsidRPr="0012024F" w:rsidR="00DA13EA">
        <w:rPr>
          <w:i w:val="0"/>
          <w:iCs w:val="0"/>
          <w:sz w:val="20"/>
          <w:szCs w:val="20"/>
        </w:rPr>
        <w:t xml:space="preserve">ata is from HUD’s Public </w:t>
      </w:r>
      <w:r w:rsidR="0012024F">
        <w:rPr>
          <w:i w:val="0"/>
          <w:iCs w:val="0"/>
          <w:sz w:val="20"/>
          <w:szCs w:val="20"/>
        </w:rPr>
        <w:t>&amp;</w:t>
      </w:r>
      <w:r w:rsidRPr="0012024F" w:rsidR="00DA13EA">
        <w:rPr>
          <w:i w:val="0"/>
          <w:iCs w:val="0"/>
          <w:sz w:val="20"/>
          <w:szCs w:val="20"/>
        </w:rPr>
        <w:t xml:space="preserve"> Indian Housing Information Center (PIC). </w:t>
      </w:r>
      <w:r w:rsidRPr="0012024F" w:rsidR="0012024F">
        <w:rPr>
          <w:i w:val="0"/>
          <w:iCs w:val="0"/>
          <w:sz w:val="20"/>
          <w:szCs w:val="20"/>
        </w:rPr>
        <w:t xml:space="preserve"> </w:t>
      </w:r>
    </w:p>
    <w:p w:rsidRPr="008C0685" w:rsidR="008C0685" w:rsidP="008C0685" w:rsidRDefault="000C1B3D" w14:paraId="245AA68F" w14:textId="77777777">
      <w:pPr>
        <w:pStyle w:val="BodyText"/>
        <w:keepNext/>
        <w:keepLines/>
        <w:ind w:left="540" w:hanging="180"/>
        <w:rPr>
          <w:i w:val="0"/>
          <w:iCs w:val="0"/>
          <w:sz w:val="20"/>
          <w:szCs w:val="20"/>
        </w:rPr>
      </w:pPr>
      <w:r>
        <w:rPr>
          <w:i w:val="0"/>
          <w:iCs w:val="0"/>
          <w:sz w:val="20"/>
          <w:szCs w:val="20"/>
        </w:rPr>
        <w:t>*</w:t>
      </w:r>
      <w:r w:rsidR="00647096">
        <w:rPr>
          <w:i w:val="0"/>
          <w:iCs w:val="0"/>
          <w:sz w:val="20"/>
          <w:szCs w:val="20"/>
        </w:rPr>
        <w:t xml:space="preserve">Data from </w:t>
      </w:r>
      <w:r w:rsidR="00592CE3">
        <w:rPr>
          <w:i w:val="0"/>
          <w:iCs w:val="0"/>
          <w:sz w:val="20"/>
          <w:szCs w:val="20"/>
        </w:rPr>
        <w:t>FY 2010, 2011, and 2012 averages</w:t>
      </w:r>
      <w:r w:rsidRPr="0012024F" w:rsidR="0012024F">
        <w:rPr>
          <w:i w:val="0"/>
          <w:iCs w:val="0"/>
          <w:sz w:val="20"/>
          <w:szCs w:val="20"/>
        </w:rPr>
        <w:t>.</w:t>
      </w:r>
    </w:p>
    <w:p w:rsidRPr="008C0685" w:rsidR="00F45DC8" w:rsidRDefault="008C0685" w14:paraId="44B47006" w14:textId="77777777">
      <w:pPr>
        <w:pStyle w:val="BodyText"/>
        <w:ind w:left="360"/>
        <w:rPr>
          <w:i w:val="0"/>
          <w:iCs w:val="0"/>
          <w:sz w:val="20"/>
          <w:szCs w:val="20"/>
        </w:rPr>
      </w:pPr>
      <w:r w:rsidRPr="008C0685">
        <w:rPr>
          <w:i w:val="0"/>
          <w:iCs w:val="0"/>
          <w:sz w:val="20"/>
          <w:szCs w:val="20"/>
        </w:rPr>
        <w:t xml:space="preserve">**New tenants that are citizens or </w:t>
      </w:r>
      <w:r>
        <w:rPr>
          <w:i w:val="0"/>
          <w:iCs w:val="0"/>
          <w:sz w:val="20"/>
          <w:szCs w:val="20"/>
        </w:rPr>
        <w:t>have permanent eligible immigra</w:t>
      </w:r>
      <w:r w:rsidRPr="008C0685">
        <w:rPr>
          <w:i w:val="0"/>
          <w:iCs w:val="0"/>
          <w:sz w:val="20"/>
          <w:szCs w:val="20"/>
        </w:rPr>
        <w:t>t</w:t>
      </w:r>
      <w:r>
        <w:rPr>
          <w:i w:val="0"/>
          <w:iCs w:val="0"/>
          <w:sz w:val="20"/>
          <w:szCs w:val="20"/>
        </w:rPr>
        <w:t>ion</w:t>
      </w:r>
      <w:r w:rsidRPr="008C0685">
        <w:rPr>
          <w:i w:val="0"/>
          <w:iCs w:val="0"/>
          <w:sz w:val="20"/>
          <w:szCs w:val="20"/>
        </w:rPr>
        <w:t xml:space="preserve"> status must submit this form only once</w:t>
      </w:r>
      <w:r w:rsidRPr="008C0685" w:rsidR="00592CE3">
        <w:rPr>
          <w:i w:val="0"/>
          <w:iCs w:val="0"/>
          <w:sz w:val="20"/>
          <w:szCs w:val="20"/>
        </w:rPr>
        <w:t xml:space="preserve">. </w:t>
      </w:r>
      <w:r w:rsidRPr="008C0685">
        <w:rPr>
          <w:i w:val="0"/>
          <w:iCs w:val="0"/>
          <w:sz w:val="20"/>
          <w:szCs w:val="20"/>
        </w:rPr>
        <w:t>Others must submit this form annually during recertification.</w:t>
      </w:r>
    </w:p>
    <w:p w:rsidR="008C0685" w:rsidRDefault="008C0685" w14:paraId="593A793C" w14:textId="77777777">
      <w:pPr>
        <w:pStyle w:val="BodyText"/>
        <w:ind w:left="360"/>
        <w:rPr>
          <w:i w:val="0"/>
          <w:iCs w:val="0"/>
        </w:rPr>
      </w:pPr>
    </w:p>
    <w:p w:rsidR="00F45DC8" w:rsidRDefault="00F45DC8" w14:paraId="3349D195" w14:textId="77777777">
      <w:pPr>
        <w:pStyle w:val="BodyText"/>
        <w:rPr>
          <w:i w:val="0"/>
          <w:iCs w:val="0"/>
          <w:sz w:val="22"/>
        </w:rPr>
      </w:pPr>
      <w:r>
        <w:rPr>
          <w:i w:val="0"/>
          <w:iCs w:val="0"/>
          <w:sz w:val="22"/>
        </w:rPr>
        <w:t>13.  There are no additional costs to respondents.</w:t>
      </w:r>
    </w:p>
    <w:p w:rsidR="00F45DC8" w:rsidRDefault="00F45DC8" w14:paraId="31FA125A" w14:textId="77777777">
      <w:pPr>
        <w:pStyle w:val="BodyText"/>
        <w:ind w:left="420"/>
        <w:rPr>
          <w:i w:val="0"/>
          <w:iCs w:val="0"/>
          <w:sz w:val="22"/>
        </w:rPr>
      </w:pPr>
    </w:p>
    <w:p w:rsidR="00AD7B3C" w:rsidP="00AD7B3C" w:rsidRDefault="00F45DC8" w14:paraId="619EDCA3" w14:textId="4BB26748">
      <w:pPr>
        <w:pStyle w:val="BodyText"/>
        <w:ind w:left="360" w:hanging="360"/>
        <w:rPr>
          <w:i w:val="0"/>
          <w:iCs w:val="0"/>
          <w:sz w:val="22"/>
        </w:rPr>
      </w:pPr>
      <w:r>
        <w:rPr>
          <w:i w:val="0"/>
          <w:iCs w:val="0"/>
          <w:sz w:val="22"/>
        </w:rPr>
        <w:t xml:space="preserve">14.  </w:t>
      </w:r>
      <w:r w:rsidR="00EF6854">
        <w:rPr>
          <w:i w:val="0"/>
          <w:iCs w:val="0"/>
          <w:sz w:val="22"/>
        </w:rPr>
        <w:t>Cost to the respondents (PHAs) is estimated at $30.00 per hour, which includes overhead, staff preparation, time, etc</w:t>
      </w:r>
      <w:r w:rsidR="00592CE3">
        <w:rPr>
          <w:i w:val="0"/>
          <w:iCs w:val="0"/>
          <w:sz w:val="22"/>
        </w:rPr>
        <w:t xml:space="preserve">. </w:t>
      </w:r>
      <w:r w:rsidR="00EF6854">
        <w:rPr>
          <w:i w:val="0"/>
          <w:iCs w:val="0"/>
          <w:sz w:val="22"/>
        </w:rPr>
        <w:t xml:space="preserve">Burden for </w:t>
      </w:r>
      <w:r w:rsidR="00E64059">
        <w:rPr>
          <w:i w:val="0"/>
          <w:iCs w:val="0"/>
          <w:sz w:val="22"/>
        </w:rPr>
        <w:t xml:space="preserve">these respondents, is $30.00 x </w:t>
      </w:r>
      <w:r w:rsidRPr="00007268" w:rsidR="00007268">
        <w:rPr>
          <w:i w:val="0"/>
          <w:iCs w:val="0"/>
          <w:sz w:val="22"/>
        </w:rPr>
        <w:t>140,</w:t>
      </w:r>
      <w:r w:rsidR="00E060C6">
        <w:rPr>
          <w:i w:val="0"/>
          <w:iCs w:val="0"/>
          <w:sz w:val="22"/>
        </w:rPr>
        <w:t>465</w:t>
      </w:r>
      <w:r w:rsidRPr="00007268" w:rsidR="00E64059">
        <w:rPr>
          <w:i w:val="0"/>
          <w:iCs w:val="0"/>
          <w:sz w:val="22"/>
        </w:rPr>
        <w:t xml:space="preserve"> for a total of $</w:t>
      </w:r>
      <w:r w:rsidRPr="00007268" w:rsidR="00007268">
        <w:rPr>
          <w:i w:val="0"/>
          <w:iCs w:val="0"/>
          <w:sz w:val="22"/>
        </w:rPr>
        <w:t>4</w:t>
      </w:r>
      <w:r w:rsidRPr="00007268" w:rsidR="00EC6F23">
        <w:rPr>
          <w:i w:val="0"/>
          <w:iCs w:val="0"/>
          <w:sz w:val="22"/>
        </w:rPr>
        <w:t>,</w:t>
      </w:r>
      <w:r w:rsidRPr="00007268" w:rsidR="00007268">
        <w:rPr>
          <w:i w:val="0"/>
          <w:iCs w:val="0"/>
          <w:sz w:val="22"/>
        </w:rPr>
        <w:t>2</w:t>
      </w:r>
      <w:r w:rsidR="00E060C6">
        <w:rPr>
          <w:i w:val="0"/>
          <w:iCs w:val="0"/>
          <w:sz w:val="22"/>
        </w:rPr>
        <w:t>13</w:t>
      </w:r>
      <w:r w:rsidRPr="00007268" w:rsidR="00007268">
        <w:rPr>
          <w:i w:val="0"/>
          <w:iCs w:val="0"/>
          <w:sz w:val="22"/>
        </w:rPr>
        <w:t>,</w:t>
      </w:r>
      <w:r w:rsidR="00E060C6">
        <w:rPr>
          <w:i w:val="0"/>
          <w:iCs w:val="0"/>
          <w:sz w:val="22"/>
        </w:rPr>
        <w:t>956</w:t>
      </w:r>
      <w:r w:rsidR="00592CE3">
        <w:rPr>
          <w:i w:val="0"/>
          <w:iCs w:val="0"/>
          <w:sz w:val="22"/>
        </w:rPr>
        <w:t xml:space="preserve">. </w:t>
      </w:r>
      <w:r w:rsidR="00EF6854">
        <w:rPr>
          <w:i w:val="0"/>
          <w:iCs w:val="0"/>
          <w:sz w:val="22"/>
        </w:rPr>
        <w:t>The hours associated with the notification, verification, and termination are small</w:t>
      </w:r>
      <w:r w:rsidR="00592CE3">
        <w:rPr>
          <w:i w:val="0"/>
          <w:iCs w:val="0"/>
          <w:sz w:val="22"/>
        </w:rPr>
        <w:t xml:space="preserve">. </w:t>
      </w:r>
      <w:r w:rsidR="00EF6854">
        <w:rPr>
          <w:i w:val="0"/>
          <w:iCs w:val="0"/>
          <w:sz w:val="22"/>
        </w:rPr>
        <w:t>For a citizen, only one declaration is required</w:t>
      </w:r>
      <w:r w:rsidR="00592CE3">
        <w:rPr>
          <w:i w:val="0"/>
          <w:iCs w:val="0"/>
          <w:sz w:val="22"/>
        </w:rPr>
        <w:t>. N</w:t>
      </w:r>
      <w:r w:rsidR="00EF6854">
        <w:rPr>
          <w:i w:val="0"/>
          <w:iCs w:val="0"/>
          <w:sz w:val="22"/>
        </w:rPr>
        <w:t>oncitizens with eligible immigration status</w:t>
      </w:r>
      <w:r w:rsidR="00592CE3">
        <w:rPr>
          <w:i w:val="0"/>
          <w:iCs w:val="0"/>
          <w:sz w:val="22"/>
        </w:rPr>
        <w:t xml:space="preserve"> </w:t>
      </w:r>
      <w:r w:rsidR="00EF6854">
        <w:rPr>
          <w:i w:val="0"/>
          <w:iCs w:val="0"/>
          <w:sz w:val="22"/>
        </w:rPr>
        <w:t xml:space="preserve">should have evidence of eligible immigration status.  </w:t>
      </w:r>
    </w:p>
    <w:p w:rsidR="00AD7B3C" w:rsidP="00AD7B3C" w:rsidRDefault="00AD7B3C" w14:paraId="2683402B" w14:textId="77777777">
      <w:pPr>
        <w:pStyle w:val="BodyText"/>
        <w:ind w:left="360" w:hanging="360"/>
        <w:rPr>
          <w:i w:val="0"/>
          <w:iCs w:val="0"/>
          <w:sz w:val="22"/>
        </w:rPr>
      </w:pPr>
    </w:p>
    <w:p w:rsidRPr="00AD7B3C" w:rsidR="00F45DC8" w:rsidP="00AD7B3C" w:rsidRDefault="00F45DC8" w14:paraId="14417B21" w14:textId="77B66A5E">
      <w:pPr>
        <w:pStyle w:val="BodyText"/>
        <w:ind w:left="360" w:hanging="360"/>
        <w:rPr>
          <w:i w:val="0"/>
          <w:iCs w:val="0"/>
          <w:color w:val="000000"/>
          <w:sz w:val="22"/>
          <w:szCs w:val="22"/>
        </w:rPr>
      </w:pPr>
      <w:r w:rsidRPr="00AD7B3C">
        <w:rPr>
          <w:i w:val="0"/>
          <w:iCs w:val="0"/>
          <w:sz w:val="22"/>
          <w:szCs w:val="22"/>
        </w:rPr>
        <w:t xml:space="preserve">15. </w:t>
      </w:r>
      <w:r w:rsidR="008C0685">
        <w:rPr>
          <w:i w:val="0"/>
          <w:iCs w:val="0"/>
          <w:color w:val="000000"/>
          <w:sz w:val="22"/>
          <w:szCs w:val="22"/>
        </w:rPr>
        <w:t>This is a</w:t>
      </w:r>
      <w:r w:rsidR="00E060C6">
        <w:rPr>
          <w:i w:val="0"/>
          <w:iCs w:val="0"/>
          <w:color w:val="000000"/>
          <w:sz w:val="22"/>
          <w:szCs w:val="22"/>
        </w:rPr>
        <w:t xml:space="preserve">n extension </w:t>
      </w:r>
      <w:r w:rsidRPr="00AD7B3C">
        <w:rPr>
          <w:i w:val="0"/>
          <w:iCs w:val="0"/>
          <w:color w:val="000000"/>
          <w:sz w:val="22"/>
          <w:szCs w:val="22"/>
        </w:rPr>
        <w:t>of a currently approved collection</w:t>
      </w:r>
      <w:r w:rsidRPr="00AD7B3C" w:rsidR="00592CE3">
        <w:rPr>
          <w:i w:val="0"/>
          <w:iCs w:val="0"/>
          <w:color w:val="000000"/>
          <w:sz w:val="22"/>
          <w:szCs w:val="22"/>
        </w:rPr>
        <w:t>.</w:t>
      </w:r>
      <w:r w:rsidR="00592CE3">
        <w:rPr>
          <w:i w:val="0"/>
          <w:iCs w:val="0"/>
          <w:color w:val="000000"/>
          <w:sz w:val="22"/>
          <w:szCs w:val="22"/>
        </w:rPr>
        <w:t xml:space="preserve"> </w:t>
      </w:r>
    </w:p>
    <w:p w:rsidRPr="00AD7B3C" w:rsidR="00F45DC8" w:rsidRDefault="00F45DC8" w14:paraId="2F1D5BBC" w14:textId="77777777">
      <w:pPr>
        <w:pStyle w:val="BodyText"/>
        <w:rPr>
          <w:i w:val="0"/>
          <w:iCs w:val="0"/>
          <w:sz w:val="22"/>
          <w:szCs w:val="22"/>
        </w:rPr>
      </w:pPr>
    </w:p>
    <w:p w:rsidRPr="00AD7B3C" w:rsidR="00F45DC8" w:rsidRDefault="00F45DC8" w14:paraId="1454FE5C" w14:textId="77777777">
      <w:pPr>
        <w:pStyle w:val="BodyText"/>
        <w:tabs>
          <w:tab w:val="left" w:pos="360"/>
        </w:tabs>
        <w:ind w:left="360" w:hanging="360"/>
        <w:rPr>
          <w:i w:val="0"/>
          <w:iCs w:val="0"/>
          <w:sz w:val="22"/>
          <w:szCs w:val="22"/>
        </w:rPr>
      </w:pPr>
      <w:r w:rsidRPr="00AD7B3C">
        <w:rPr>
          <w:i w:val="0"/>
          <w:iCs w:val="0"/>
          <w:sz w:val="22"/>
          <w:szCs w:val="22"/>
        </w:rPr>
        <w:t>16.</w:t>
      </w:r>
      <w:r w:rsidRPr="00AD7B3C">
        <w:rPr>
          <w:i w:val="0"/>
          <w:iCs w:val="0"/>
          <w:sz w:val="22"/>
          <w:szCs w:val="22"/>
        </w:rPr>
        <w:tab/>
        <w:t xml:space="preserve">Information </w:t>
      </w:r>
      <w:r w:rsidRPr="00AD7B3C" w:rsidR="00AD7B3C">
        <w:rPr>
          <w:i w:val="0"/>
          <w:iCs w:val="0"/>
          <w:sz w:val="22"/>
          <w:szCs w:val="22"/>
        </w:rPr>
        <w:t xml:space="preserve">collected </w:t>
      </w:r>
      <w:r w:rsidRPr="00AD7B3C">
        <w:rPr>
          <w:i w:val="0"/>
          <w:iCs w:val="0"/>
          <w:sz w:val="22"/>
          <w:szCs w:val="22"/>
        </w:rPr>
        <w:t>will not be published.</w:t>
      </w:r>
    </w:p>
    <w:p w:rsidRPr="00AD7B3C" w:rsidR="00F45DC8" w:rsidRDefault="00F45DC8" w14:paraId="1BAED8B4" w14:textId="77777777">
      <w:pPr>
        <w:pStyle w:val="BodyText"/>
        <w:rPr>
          <w:i w:val="0"/>
          <w:iCs w:val="0"/>
          <w:sz w:val="22"/>
          <w:szCs w:val="22"/>
        </w:rPr>
      </w:pPr>
    </w:p>
    <w:p w:rsidRPr="00AD7B3C" w:rsidR="00F45DC8" w:rsidRDefault="00F45DC8" w14:paraId="1DBC3D98" w14:textId="49A806EF">
      <w:pPr>
        <w:pStyle w:val="BodyText"/>
        <w:rPr>
          <w:i w:val="0"/>
          <w:iCs w:val="0"/>
          <w:sz w:val="22"/>
          <w:szCs w:val="22"/>
        </w:rPr>
      </w:pPr>
      <w:r w:rsidRPr="00AD7B3C">
        <w:rPr>
          <w:i w:val="0"/>
          <w:iCs w:val="0"/>
          <w:sz w:val="22"/>
          <w:szCs w:val="22"/>
        </w:rPr>
        <w:t xml:space="preserve">17.  </w:t>
      </w:r>
      <w:r w:rsidRPr="00272D6C" w:rsidR="00AD7B3C">
        <w:rPr>
          <w:i w:val="0"/>
          <w:sz w:val="22"/>
          <w:szCs w:val="22"/>
        </w:rPr>
        <w:t xml:space="preserve">HUD will display the OMB control number and expiration date on </w:t>
      </w:r>
      <w:r w:rsidRPr="00272D6C" w:rsidR="00D82613">
        <w:rPr>
          <w:i w:val="0"/>
          <w:sz w:val="22"/>
          <w:szCs w:val="22"/>
        </w:rPr>
        <w:t xml:space="preserve">all HUD-9886 </w:t>
      </w:r>
      <w:r w:rsidRPr="00272D6C" w:rsidR="00AD7B3C">
        <w:rPr>
          <w:i w:val="0"/>
          <w:sz w:val="22"/>
          <w:szCs w:val="22"/>
        </w:rPr>
        <w:t>form</w:t>
      </w:r>
      <w:r w:rsidRPr="00272D6C" w:rsidR="00D82613">
        <w:rPr>
          <w:i w:val="0"/>
          <w:sz w:val="22"/>
          <w:szCs w:val="22"/>
        </w:rPr>
        <w:t>s</w:t>
      </w:r>
      <w:r w:rsidRPr="00272D6C" w:rsidR="00AD7B3C">
        <w:rPr>
          <w:i w:val="0"/>
          <w:sz w:val="22"/>
          <w:szCs w:val="22"/>
        </w:rPr>
        <w:t>.</w:t>
      </w:r>
    </w:p>
    <w:p w:rsidRPr="00AD7B3C" w:rsidR="00F45DC8" w:rsidRDefault="00F45DC8" w14:paraId="5993BFA4" w14:textId="77777777">
      <w:pPr>
        <w:pStyle w:val="BodyText"/>
        <w:rPr>
          <w:i w:val="0"/>
          <w:iCs w:val="0"/>
          <w:sz w:val="22"/>
          <w:szCs w:val="22"/>
        </w:rPr>
      </w:pPr>
    </w:p>
    <w:p w:rsidRPr="00AD7B3C" w:rsidR="00F45DC8" w:rsidP="00EF6854" w:rsidRDefault="00F45DC8" w14:paraId="142BE51A" w14:textId="77777777">
      <w:pPr>
        <w:rPr>
          <w:bCs/>
          <w:sz w:val="22"/>
          <w:szCs w:val="22"/>
        </w:rPr>
      </w:pPr>
      <w:r w:rsidRPr="00AD7B3C">
        <w:rPr>
          <w:iCs/>
          <w:sz w:val="22"/>
          <w:szCs w:val="22"/>
        </w:rPr>
        <w:t xml:space="preserve">18.  </w:t>
      </w:r>
      <w:r w:rsidRPr="00AD7B3C" w:rsidR="00EF6854">
        <w:rPr>
          <w:bCs/>
          <w:sz w:val="22"/>
          <w:szCs w:val="22"/>
        </w:rPr>
        <w:t>There are no exceptions to the certification statement.</w:t>
      </w:r>
    </w:p>
    <w:p w:rsidRPr="00AD7B3C" w:rsidR="00EF6854" w:rsidP="00EF6854" w:rsidRDefault="00EF6854" w14:paraId="7300C6D9" w14:textId="77777777">
      <w:pPr>
        <w:rPr>
          <w:bCs/>
          <w:sz w:val="22"/>
          <w:szCs w:val="22"/>
        </w:rPr>
      </w:pPr>
    </w:p>
    <w:p w:rsidRPr="00AD7B3C" w:rsidR="00EF6854" w:rsidP="00EF6854" w:rsidRDefault="00EF6854" w14:paraId="7FD959B4" w14:textId="77777777">
      <w:pPr>
        <w:rPr>
          <w:bCs/>
          <w:sz w:val="22"/>
          <w:szCs w:val="22"/>
        </w:rPr>
      </w:pPr>
      <w:r w:rsidRPr="00AD7B3C">
        <w:rPr>
          <w:bCs/>
          <w:sz w:val="22"/>
          <w:szCs w:val="22"/>
        </w:rPr>
        <w:t>B.  This collection of information does not employ statistical methods.</w:t>
      </w:r>
    </w:p>
    <w:p w:rsidRPr="00AD7B3C" w:rsidR="00EF6854" w:rsidP="00EF6854" w:rsidRDefault="00EF6854" w14:paraId="50535DBA" w14:textId="77777777">
      <w:pPr>
        <w:rPr>
          <w:bCs/>
          <w:sz w:val="22"/>
          <w:szCs w:val="22"/>
        </w:rPr>
      </w:pPr>
    </w:p>
    <w:sectPr w:rsidRPr="00AD7B3C" w:rsidR="00EF6854">
      <w:headerReference w:type="default" r:id="rId7"/>
      <w:footerReference w:type="default" r:id="rId8"/>
      <w:footerReference w:type="first" r:id="rId9"/>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4FA59" w14:textId="77777777" w:rsidR="006F49C2" w:rsidRDefault="006F49C2">
      <w:r>
        <w:separator/>
      </w:r>
    </w:p>
  </w:endnote>
  <w:endnote w:type="continuationSeparator" w:id="0">
    <w:p w14:paraId="5C068E47" w14:textId="77777777" w:rsidR="006F49C2" w:rsidRDefault="006F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91CD" w14:textId="77777777" w:rsidR="00CE47B7" w:rsidRDefault="00CE47B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CE47B7" w14:paraId="41C57063" w14:textId="77777777">
      <w:tc>
        <w:tcPr>
          <w:tcW w:w="8388" w:type="dxa"/>
          <w:tcBorders>
            <w:top w:val="single" w:sz="6" w:space="0" w:color="auto"/>
            <w:left w:val="nil"/>
            <w:right w:val="single" w:sz="6" w:space="0" w:color="auto"/>
          </w:tcBorders>
        </w:tcPr>
        <w:p w14:paraId="3D3794B6" w14:textId="77777777" w:rsidR="00CE47B7" w:rsidRDefault="00CE47B7">
          <w:pPr>
            <w:pStyle w:val="Footer"/>
            <w:rPr>
              <w:rFonts w:ascii="Helvetica" w:hAnsi="Helvetica"/>
              <w:sz w:val="16"/>
            </w:rPr>
          </w:pPr>
          <w:r>
            <w:rPr>
              <w:rFonts w:ascii="Helvetica" w:hAnsi="Helvetica"/>
              <w:sz w:val="16"/>
            </w:rPr>
            <w:t>Signature of Senior Officer or Designee:</w:t>
          </w:r>
        </w:p>
        <w:p w14:paraId="1850CF34" w14:textId="77777777" w:rsidR="00CE47B7" w:rsidRDefault="00CE47B7">
          <w:pPr>
            <w:pStyle w:val="Footer"/>
            <w:rPr>
              <w:rFonts w:ascii="Helvetica" w:hAnsi="Helvetica"/>
              <w:sz w:val="16"/>
            </w:rPr>
          </w:pPr>
        </w:p>
        <w:p w14:paraId="6F29C37F" w14:textId="77777777" w:rsidR="00CE47B7" w:rsidRDefault="00CE47B7">
          <w:pPr>
            <w:pStyle w:val="Footer"/>
            <w:rPr>
              <w:rFonts w:ascii="Helvetica" w:hAnsi="Helvetica"/>
              <w:sz w:val="16"/>
            </w:rPr>
          </w:pPr>
        </w:p>
        <w:p w14:paraId="303DD586" w14:textId="77777777" w:rsidR="00CE47B7" w:rsidRDefault="00CE47B7">
          <w:pPr>
            <w:pStyle w:val="Footer"/>
            <w:rPr>
              <w:rFonts w:ascii="Helvetica" w:hAnsi="Helvetica"/>
              <w:sz w:val="16"/>
            </w:rPr>
          </w:pPr>
          <w:r>
            <w:rPr>
              <w:rFonts w:ascii="Helvetica" w:hAnsi="Helvetica"/>
              <w:sz w:val="16"/>
            </w:rPr>
            <w:t>X</w:t>
          </w:r>
        </w:p>
        <w:p w14:paraId="4B2CF381" w14:textId="77777777" w:rsidR="00CE47B7" w:rsidRDefault="00CE47B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168685BD" w14:textId="77777777" w:rsidR="00CE47B7" w:rsidRDefault="00CE47B7">
          <w:pPr>
            <w:pStyle w:val="Footer"/>
            <w:rPr>
              <w:rFonts w:ascii="Helvetica" w:hAnsi="Helvetica"/>
              <w:sz w:val="16"/>
            </w:rPr>
          </w:pPr>
          <w:r>
            <w:rPr>
              <w:rFonts w:ascii="Helvetica" w:hAnsi="Helvetica"/>
              <w:sz w:val="16"/>
            </w:rPr>
            <w:t xml:space="preserve">Date: </w:t>
          </w:r>
        </w:p>
      </w:tc>
    </w:tr>
  </w:tbl>
  <w:p w14:paraId="4E755FCE" w14:textId="77777777" w:rsidR="00CE47B7" w:rsidRDefault="00CE47B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F94D8" w14:textId="77777777" w:rsidR="006F49C2" w:rsidRDefault="006F49C2">
      <w:r>
        <w:separator/>
      </w:r>
    </w:p>
  </w:footnote>
  <w:footnote w:type="continuationSeparator" w:id="0">
    <w:p w14:paraId="6CFA376A" w14:textId="77777777" w:rsidR="006F49C2" w:rsidRDefault="006F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BE176" w14:textId="77777777" w:rsidR="00CE47B7" w:rsidRDefault="00CE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DCA4BC"/>
    <w:lvl w:ilvl="0">
      <w:numFmt w:val="decimal"/>
      <w:lvlText w:val="*"/>
      <w:lvlJc w:val="left"/>
    </w:lvl>
  </w:abstractNum>
  <w:abstractNum w:abstractNumId="1" w15:restartNumberingAfterBreak="0">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D314E18"/>
    <w:multiLevelType w:val="hybridMultilevel"/>
    <w:tmpl w:val="78A4CA3E"/>
    <w:lvl w:ilvl="0" w:tplc="3B44163C">
      <w:start w:val="7"/>
      <w:numFmt w:val="decimal"/>
      <w:lvlText w:val="%1."/>
      <w:lvlJc w:val="left"/>
      <w:pPr>
        <w:tabs>
          <w:tab w:val="num" w:pos="72"/>
        </w:tabs>
        <w:ind w:left="72" w:hanging="360"/>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4F0775A"/>
    <w:multiLevelType w:val="singleLevel"/>
    <w:tmpl w:val="1C1252A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15:restartNumberingAfterBreak="0">
    <w:nsid w:val="16684FD9"/>
    <w:multiLevelType w:val="singleLevel"/>
    <w:tmpl w:val="1E142854"/>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1C644FF9"/>
    <w:multiLevelType w:val="hybridMultilevel"/>
    <w:tmpl w:val="3F46E9DA"/>
    <w:lvl w:ilvl="0" w:tplc="BABA20C4">
      <w:start w:val="10"/>
      <w:numFmt w:val="decimal"/>
      <w:lvlText w:val="%1."/>
      <w:lvlJc w:val="left"/>
      <w:pPr>
        <w:tabs>
          <w:tab w:val="num" w:pos="72"/>
        </w:tabs>
        <w:ind w:left="72" w:hanging="360"/>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9" w15:restartNumberingAfterBreak="0">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E065855"/>
    <w:multiLevelType w:val="singleLevel"/>
    <w:tmpl w:val="FB9E661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36593D2F"/>
    <w:multiLevelType w:val="singleLevel"/>
    <w:tmpl w:val="0BDAF1B8"/>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3C8D4047"/>
    <w:multiLevelType w:val="hybridMultilevel"/>
    <w:tmpl w:val="A3CAE3DA"/>
    <w:lvl w:ilvl="0" w:tplc="69F8E2B4">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D3B537E"/>
    <w:multiLevelType w:val="singleLevel"/>
    <w:tmpl w:val="1E142854"/>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6D6D4DDD"/>
    <w:multiLevelType w:val="singleLevel"/>
    <w:tmpl w:val="BDCA886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7"/>
  </w:num>
  <w:num w:numId="2">
    <w:abstractNumId w:val="13"/>
  </w:num>
  <w:num w:numId="3">
    <w:abstractNumId w:val="11"/>
  </w:num>
  <w:num w:numId="4">
    <w:abstractNumId w:val="15"/>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
  </w:num>
  <w:num w:numId="10">
    <w:abstractNumId w:val="9"/>
  </w:num>
  <w:num w:numId="11">
    <w:abstractNumId w:val="4"/>
  </w:num>
  <w:num w:numId="12">
    <w:abstractNumId w:val="8"/>
  </w:num>
  <w:num w:numId="13">
    <w:abstractNumId w:val="14"/>
  </w:num>
  <w:num w:numId="14">
    <w:abstractNumId w:val="2"/>
  </w:num>
  <w:num w:numId="15">
    <w:abstractNumId w:val="12"/>
  </w:num>
  <w:num w:numId="16">
    <w:abstractNumId w:val="5"/>
  </w:num>
  <w:num w:numId="17">
    <w:abstractNumId w:val="18"/>
  </w:num>
  <w:num w:numId="18">
    <w:abstractNumId w:val="3"/>
  </w:num>
  <w:num w:numId="19">
    <w:abstractNumId w:val="17"/>
  </w:num>
  <w:num w:numId="20">
    <w:abstractNumId w:val="16"/>
  </w:num>
  <w:num w:numId="21">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DC8"/>
    <w:rsid w:val="00000D59"/>
    <w:rsid w:val="0000148F"/>
    <w:rsid w:val="000042D2"/>
    <w:rsid w:val="00007268"/>
    <w:rsid w:val="00014929"/>
    <w:rsid w:val="000154A5"/>
    <w:rsid w:val="00056A38"/>
    <w:rsid w:val="00066975"/>
    <w:rsid w:val="0007082D"/>
    <w:rsid w:val="000B17E6"/>
    <w:rsid w:val="000C1B3D"/>
    <w:rsid w:val="000C50EC"/>
    <w:rsid w:val="000E200D"/>
    <w:rsid w:val="00100C6B"/>
    <w:rsid w:val="0012024F"/>
    <w:rsid w:val="00134D39"/>
    <w:rsid w:val="00143C46"/>
    <w:rsid w:val="00146C3E"/>
    <w:rsid w:val="001752FA"/>
    <w:rsid w:val="00185E2F"/>
    <w:rsid w:val="001D68A0"/>
    <w:rsid w:val="001F130D"/>
    <w:rsid w:val="00206D3B"/>
    <w:rsid w:val="00213880"/>
    <w:rsid w:val="00230221"/>
    <w:rsid w:val="00244DD1"/>
    <w:rsid w:val="00260A8D"/>
    <w:rsid w:val="0026227C"/>
    <w:rsid w:val="00271506"/>
    <w:rsid w:val="002726C1"/>
    <w:rsid w:val="00272D6C"/>
    <w:rsid w:val="00282C1C"/>
    <w:rsid w:val="00284D3B"/>
    <w:rsid w:val="00286D10"/>
    <w:rsid w:val="002952F1"/>
    <w:rsid w:val="002E03DC"/>
    <w:rsid w:val="00305E14"/>
    <w:rsid w:val="00355E4D"/>
    <w:rsid w:val="00394139"/>
    <w:rsid w:val="003A3D81"/>
    <w:rsid w:val="003C0879"/>
    <w:rsid w:val="003C1160"/>
    <w:rsid w:val="003C3663"/>
    <w:rsid w:val="003D52E0"/>
    <w:rsid w:val="003E1BD4"/>
    <w:rsid w:val="004024E3"/>
    <w:rsid w:val="00411694"/>
    <w:rsid w:val="00412C0E"/>
    <w:rsid w:val="00415825"/>
    <w:rsid w:val="00415D26"/>
    <w:rsid w:val="00433F62"/>
    <w:rsid w:val="00483231"/>
    <w:rsid w:val="0048525F"/>
    <w:rsid w:val="00486BDE"/>
    <w:rsid w:val="004B5E9E"/>
    <w:rsid w:val="004B7F7C"/>
    <w:rsid w:val="00546006"/>
    <w:rsid w:val="00552041"/>
    <w:rsid w:val="00571B91"/>
    <w:rsid w:val="00571F49"/>
    <w:rsid w:val="00592CE3"/>
    <w:rsid w:val="005A5C89"/>
    <w:rsid w:val="005B2BC8"/>
    <w:rsid w:val="005C398A"/>
    <w:rsid w:val="005C7037"/>
    <w:rsid w:val="005D684C"/>
    <w:rsid w:val="005E0667"/>
    <w:rsid w:val="006022DD"/>
    <w:rsid w:val="0063390F"/>
    <w:rsid w:val="00647096"/>
    <w:rsid w:val="00664E61"/>
    <w:rsid w:val="00675C1C"/>
    <w:rsid w:val="006A17EF"/>
    <w:rsid w:val="006A61B0"/>
    <w:rsid w:val="006D13D1"/>
    <w:rsid w:val="006F0009"/>
    <w:rsid w:val="006F49C2"/>
    <w:rsid w:val="007134EC"/>
    <w:rsid w:val="00740B69"/>
    <w:rsid w:val="007677D5"/>
    <w:rsid w:val="007751F6"/>
    <w:rsid w:val="00792B05"/>
    <w:rsid w:val="007C00E5"/>
    <w:rsid w:val="007D14AE"/>
    <w:rsid w:val="007E5258"/>
    <w:rsid w:val="008536B7"/>
    <w:rsid w:val="00881305"/>
    <w:rsid w:val="00887151"/>
    <w:rsid w:val="008A7567"/>
    <w:rsid w:val="008B35C5"/>
    <w:rsid w:val="008C0685"/>
    <w:rsid w:val="008D4E85"/>
    <w:rsid w:val="008F1250"/>
    <w:rsid w:val="009028BA"/>
    <w:rsid w:val="00946A51"/>
    <w:rsid w:val="00956F10"/>
    <w:rsid w:val="00963F7E"/>
    <w:rsid w:val="009676BA"/>
    <w:rsid w:val="00990A62"/>
    <w:rsid w:val="009B7204"/>
    <w:rsid w:val="009D0CFD"/>
    <w:rsid w:val="009F1E1A"/>
    <w:rsid w:val="00A0234F"/>
    <w:rsid w:val="00A04E43"/>
    <w:rsid w:val="00A17A87"/>
    <w:rsid w:val="00A678BB"/>
    <w:rsid w:val="00A7095A"/>
    <w:rsid w:val="00A92A30"/>
    <w:rsid w:val="00A95CBA"/>
    <w:rsid w:val="00AC0A29"/>
    <w:rsid w:val="00AC7195"/>
    <w:rsid w:val="00AD7B3C"/>
    <w:rsid w:val="00AF0888"/>
    <w:rsid w:val="00B01FD8"/>
    <w:rsid w:val="00B2643F"/>
    <w:rsid w:val="00B301B4"/>
    <w:rsid w:val="00B42359"/>
    <w:rsid w:val="00B83390"/>
    <w:rsid w:val="00BB1492"/>
    <w:rsid w:val="00BB6182"/>
    <w:rsid w:val="00BD0E1B"/>
    <w:rsid w:val="00BD1D30"/>
    <w:rsid w:val="00BD37CD"/>
    <w:rsid w:val="00BE426A"/>
    <w:rsid w:val="00C64896"/>
    <w:rsid w:val="00CB2CA8"/>
    <w:rsid w:val="00CC6852"/>
    <w:rsid w:val="00CE47B7"/>
    <w:rsid w:val="00D02899"/>
    <w:rsid w:val="00D3433C"/>
    <w:rsid w:val="00D356B3"/>
    <w:rsid w:val="00D8021B"/>
    <w:rsid w:val="00D812DB"/>
    <w:rsid w:val="00D82613"/>
    <w:rsid w:val="00D900EB"/>
    <w:rsid w:val="00DA0E78"/>
    <w:rsid w:val="00DA13EA"/>
    <w:rsid w:val="00DA164A"/>
    <w:rsid w:val="00DD1088"/>
    <w:rsid w:val="00DD1710"/>
    <w:rsid w:val="00DD651D"/>
    <w:rsid w:val="00E060C6"/>
    <w:rsid w:val="00E075FA"/>
    <w:rsid w:val="00E31DA0"/>
    <w:rsid w:val="00E50C01"/>
    <w:rsid w:val="00E64059"/>
    <w:rsid w:val="00EB2844"/>
    <w:rsid w:val="00EC1F69"/>
    <w:rsid w:val="00EC6F23"/>
    <w:rsid w:val="00ED48DE"/>
    <w:rsid w:val="00EE14DC"/>
    <w:rsid w:val="00EF6854"/>
    <w:rsid w:val="00EF736B"/>
    <w:rsid w:val="00F123A9"/>
    <w:rsid w:val="00F45DC8"/>
    <w:rsid w:val="00F50B91"/>
    <w:rsid w:val="00F66C7B"/>
    <w:rsid w:val="00F70228"/>
    <w:rsid w:val="00F7740E"/>
    <w:rsid w:val="00FB0140"/>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367E1"/>
  <w15:chartTrackingRefBased/>
  <w15:docId w15:val="{A4A2DAB9-562C-49E1-A9E6-D27D9033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overflowPunct/>
      <w:autoSpaceDE/>
      <w:autoSpaceDN/>
      <w:adjustRightInd/>
      <w:jc w:val="center"/>
      <w:textAlignment w:val="auto"/>
    </w:pPr>
    <w:rPr>
      <w:b/>
      <w:bCs/>
      <w:sz w:val="24"/>
      <w:szCs w:val="24"/>
    </w:rPr>
  </w:style>
  <w:style w:type="paragraph" w:styleId="BodyTextIndent">
    <w:name w:val="Body Text Indent"/>
    <w:basedOn w:val="Normal"/>
    <w:semiHidden/>
    <w:pPr>
      <w:overflowPunct/>
      <w:autoSpaceDE/>
      <w:autoSpaceDN/>
      <w:adjustRightInd/>
      <w:ind w:left="360"/>
      <w:textAlignment w:val="auto"/>
    </w:pPr>
    <w:rPr>
      <w:sz w:val="24"/>
      <w:szCs w:val="24"/>
    </w:rPr>
  </w:style>
  <w:style w:type="paragraph" w:styleId="BodyText">
    <w:name w:val="Body Text"/>
    <w:basedOn w:val="Normal"/>
    <w:semiHidden/>
    <w:pPr>
      <w:overflowPunct/>
      <w:autoSpaceDE/>
      <w:autoSpaceDN/>
      <w:adjustRightInd/>
      <w:textAlignment w:val="auto"/>
    </w:pPr>
    <w:rPr>
      <w:i/>
      <w:iCs/>
      <w:sz w:val="24"/>
      <w:szCs w:val="24"/>
    </w:rPr>
  </w:style>
  <w:style w:type="paragraph" w:styleId="BodyTextIndent2">
    <w:name w:val="Body Text Indent 2"/>
    <w:basedOn w:val="Normal"/>
    <w:semiHidden/>
    <w:pPr>
      <w:overflowPunct/>
      <w:autoSpaceDE/>
      <w:autoSpaceDN/>
      <w:adjustRightInd/>
      <w:ind w:left="288" w:hanging="288"/>
      <w:textAlignment w:val="auto"/>
    </w:pPr>
    <w:rPr>
      <w:sz w:val="24"/>
      <w:szCs w:val="24"/>
    </w:rPr>
  </w:style>
  <w:style w:type="paragraph" w:styleId="BodyTextIndent3">
    <w:name w:val="Body Text Indent 3"/>
    <w:basedOn w:val="Normal"/>
    <w:semiHidden/>
    <w:pPr>
      <w:overflowPunct/>
      <w:autoSpaceDE/>
      <w:autoSpaceDN/>
      <w:adjustRightInd/>
      <w:ind w:left="300"/>
      <w:textAlignment w:val="auto"/>
    </w:pPr>
    <w:rPr>
      <w:sz w:val="24"/>
      <w:szCs w:val="24"/>
    </w:rPr>
  </w:style>
  <w:style w:type="character" w:styleId="Hyperlink">
    <w:name w:val="Hyperlink"/>
    <w:uiPriority w:val="99"/>
    <w:semiHidden/>
    <w:unhideWhenUsed/>
    <w:rsid w:val="00F45DC8"/>
    <w:rPr>
      <w:color w:val="0000FF"/>
      <w:u w:val="single"/>
    </w:rPr>
  </w:style>
  <w:style w:type="character" w:styleId="Emphasis">
    <w:name w:val="Emphasis"/>
    <w:uiPriority w:val="20"/>
    <w:qFormat/>
    <w:rsid w:val="00DA164A"/>
    <w:rPr>
      <w:b/>
      <w:bCs/>
      <w:i w:val="0"/>
      <w:iCs w:val="0"/>
    </w:rPr>
  </w:style>
  <w:style w:type="paragraph" w:styleId="BalloonText">
    <w:name w:val="Balloon Text"/>
    <w:basedOn w:val="Normal"/>
    <w:link w:val="BalloonTextChar"/>
    <w:uiPriority w:val="99"/>
    <w:semiHidden/>
    <w:unhideWhenUsed/>
    <w:rsid w:val="001D68A0"/>
    <w:rPr>
      <w:rFonts w:ascii="Tahoma" w:hAnsi="Tahoma" w:cs="Tahoma"/>
      <w:sz w:val="16"/>
      <w:szCs w:val="16"/>
    </w:rPr>
  </w:style>
  <w:style w:type="character" w:customStyle="1" w:styleId="BalloonTextChar">
    <w:name w:val="Balloon Text Char"/>
    <w:link w:val="BalloonText"/>
    <w:uiPriority w:val="99"/>
    <w:semiHidden/>
    <w:rsid w:val="001D68A0"/>
    <w:rPr>
      <w:rFonts w:ascii="Tahoma" w:hAnsi="Tahoma" w:cs="Tahoma"/>
      <w:sz w:val="16"/>
      <w:szCs w:val="16"/>
    </w:rPr>
  </w:style>
  <w:style w:type="paragraph" w:styleId="ListParagraph">
    <w:name w:val="List Paragraph"/>
    <w:basedOn w:val="Normal"/>
    <w:uiPriority w:val="34"/>
    <w:qFormat/>
    <w:rsid w:val="00BB6182"/>
    <w:pPr>
      <w:ind w:left="720"/>
    </w:pPr>
  </w:style>
  <w:style w:type="paragraph" w:styleId="Revision">
    <w:name w:val="Revision"/>
    <w:hidden/>
    <w:uiPriority w:val="99"/>
    <w:semiHidden/>
    <w:rsid w:val="00AC7195"/>
  </w:style>
  <w:style w:type="table" w:styleId="TableGrid">
    <w:name w:val="Table Grid"/>
    <w:basedOn w:val="TableNormal"/>
    <w:uiPriority w:val="59"/>
    <w:rsid w:val="00305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85149">
      <w:bodyDiv w:val="1"/>
      <w:marLeft w:val="0"/>
      <w:marRight w:val="0"/>
      <w:marTop w:val="0"/>
      <w:marBottom w:val="0"/>
      <w:divBdr>
        <w:top w:val="none" w:sz="0" w:space="0" w:color="auto"/>
        <w:left w:val="none" w:sz="0" w:space="0" w:color="auto"/>
        <w:bottom w:val="none" w:sz="0" w:space="0" w:color="auto"/>
        <w:right w:val="none" w:sz="0" w:space="0" w:color="auto"/>
      </w:divBdr>
    </w:div>
    <w:div w:id="15192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cp:lastModifiedBy>Rogers, Dacia A</cp:lastModifiedBy>
  <cp:revision>3</cp:revision>
  <cp:lastPrinted>2018-05-17T14:02:00Z</cp:lastPrinted>
  <dcterms:created xsi:type="dcterms:W3CDTF">2021-07-14T15:54:00Z</dcterms:created>
  <dcterms:modified xsi:type="dcterms:W3CDTF">2021-07-14T15:56:00Z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