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30A" w:rsidP="004A530A" w:rsidRDefault="004A530A" w14:paraId="7B8E84A0" w14:textId="77777777">
      <w:pPr>
        <w:suppressAutoHyphens/>
        <w:jc w:val="center"/>
        <w:rPr>
          <w:rFonts w:ascii="Times New Roman" w:hAnsi="Times New Roman"/>
          <w:b/>
        </w:rPr>
      </w:pPr>
      <w:r>
        <w:rPr>
          <w:rFonts w:ascii="Times New Roman" w:hAnsi="Times New Roman"/>
          <w:b/>
        </w:rPr>
        <w:t>SUPPORTING STATEMENT FOR NEW AND</w:t>
      </w:r>
    </w:p>
    <w:p w:rsidR="004A530A" w:rsidP="00216986" w:rsidRDefault="00216986" w14:paraId="2582EB8F" w14:textId="7B3AB5D1">
      <w:pPr>
        <w:tabs>
          <w:tab w:val="center" w:pos="4680"/>
          <w:tab w:val="left" w:pos="7580"/>
        </w:tabs>
        <w:suppressAutoHyphens/>
        <w:spacing w:after="240"/>
        <w:rPr>
          <w:rFonts w:ascii="Times New Roman" w:hAnsi="Times New Roman"/>
          <w:b/>
        </w:rPr>
      </w:pPr>
      <w:r>
        <w:rPr>
          <w:rFonts w:ascii="Times New Roman" w:hAnsi="Times New Roman"/>
          <w:b/>
        </w:rPr>
        <w:tab/>
      </w:r>
      <w:r w:rsidR="004A530A">
        <w:rPr>
          <w:rFonts w:ascii="Times New Roman" w:hAnsi="Times New Roman"/>
          <w:b/>
        </w:rPr>
        <w:t>REVISED INFORMATION COLLECTIONS</w:t>
      </w:r>
      <w:r>
        <w:rPr>
          <w:rFonts w:ascii="Times New Roman" w:hAnsi="Times New Roman"/>
          <w:b/>
        </w:rPr>
        <w:tab/>
      </w:r>
    </w:p>
    <w:p w:rsidRPr="00427F74" w:rsidR="004A530A" w:rsidP="004A530A" w:rsidRDefault="004A530A" w14:paraId="2A938320" w14:textId="77777777">
      <w:pPr>
        <w:suppressAutoHyphens/>
        <w:spacing w:after="240"/>
        <w:jc w:val="center"/>
        <w:rPr>
          <w:rFonts w:ascii="Times New Roman" w:hAnsi="Times New Roman"/>
          <w:u w:val="single"/>
        </w:rPr>
      </w:pPr>
      <w:r>
        <w:rPr>
          <w:rFonts w:ascii="Times New Roman" w:hAnsi="Times New Roman"/>
        </w:rPr>
        <w:t>Reparations Complaint, CFTC Form 30</w:t>
      </w:r>
    </w:p>
    <w:p w:rsidR="004A530A" w:rsidP="004A530A" w:rsidRDefault="004A530A" w14:paraId="781A229C" w14:textId="561D3719">
      <w:pPr>
        <w:tabs>
          <w:tab w:val="center" w:pos="4680"/>
        </w:tabs>
        <w:suppressAutoHyphens/>
        <w:spacing w:after="240"/>
        <w:jc w:val="center"/>
        <w:rPr>
          <w:rFonts w:ascii="Times New Roman" w:hAnsi="Times New Roman"/>
          <w:b/>
        </w:rPr>
      </w:pPr>
      <w:r>
        <w:rPr>
          <w:rFonts w:ascii="Times New Roman" w:hAnsi="Times New Roman"/>
          <w:b/>
        </w:rPr>
        <w:t>OMB CONTROL NUMBER 3038-</w:t>
      </w:r>
      <w:r w:rsidR="00DE3B5A">
        <w:rPr>
          <w:rFonts w:ascii="Times New Roman" w:hAnsi="Times New Roman"/>
          <w:b/>
        </w:rPr>
        <w:t>0115</w:t>
      </w:r>
      <w:r>
        <w:rPr>
          <w:rFonts w:ascii="Times New Roman" w:hAnsi="Times New Roman"/>
          <w:b/>
        </w:rPr>
        <w:t xml:space="preserve"> </w:t>
      </w:r>
    </w:p>
    <w:p w:rsidR="004A530A" w:rsidP="004A530A" w:rsidRDefault="004A530A" w14:paraId="1DAEBF86" w14:textId="77777777">
      <w:pPr>
        <w:pStyle w:val="Heading1"/>
        <w:keepNext w:val="0"/>
        <w:rPr>
          <w:rFonts w:ascii="Times New Roman" w:hAnsi="Times New Roman"/>
          <w:szCs w:val="24"/>
        </w:rPr>
      </w:pPr>
      <w:r>
        <w:rPr>
          <w:rFonts w:ascii="Times New Roman" w:hAnsi="Times New Roman"/>
          <w:szCs w:val="24"/>
        </w:rPr>
        <w:t>Justification</w:t>
      </w:r>
    </w:p>
    <w:p w:rsidR="004A530A" w:rsidP="004A530A" w:rsidRDefault="004A530A" w14:paraId="53F62D1A" w14:textId="77777777">
      <w:pPr>
        <w:jc w:val="both"/>
      </w:pPr>
    </w:p>
    <w:p w:rsidR="004A530A" w:rsidP="004A530A" w:rsidRDefault="004A530A" w14:paraId="262D2BD8" w14:textId="77777777">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A530A" w:rsidP="004A530A" w:rsidRDefault="004A530A" w14:paraId="2DF7B870" w14:textId="77777777">
      <w:pPr>
        <w:pStyle w:val="Default"/>
        <w:jc w:val="both"/>
        <w:rPr>
          <w:rFonts w:ascii="Times New Roman" w:hAnsi="Times New Roman" w:cs="Times New Roman"/>
        </w:rPr>
      </w:pPr>
    </w:p>
    <w:p w:rsidR="004A530A" w:rsidP="007F5AB9" w:rsidRDefault="004A530A" w14:paraId="136B78A8" w14:textId="39D7A4A1">
      <w:pPr>
        <w:pStyle w:val="Default"/>
        <w:ind w:firstLine="720"/>
        <w:rPr>
          <w:rFonts w:ascii="Times New Roman" w:hAnsi="Times New Roman" w:cs="Times New Roman"/>
        </w:rPr>
      </w:pPr>
      <w:r>
        <w:rPr>
          <w:rFonts w:ascii="Times New Roman" w:hAnsi="Times New Roman" w:cs="Times New Roman"/>
        </w:rPr>
        <w:t xml:space="preserve">Since 1984, the Commodity Futures Trading Commission (Commission) has utilized a standard form, CFTC Form 30 (Form 30), to obtain information from members of the public that wish to file a Reparations complaint pursuant to Section 14 of the Commodity Exchange Act (Act), 7 U.S.C. 18. The legislative intent of the Reparations program was to provide a low-cost, speedy, and effective forum for the resolution of customer complaints and to sanction individuals and firms found to have violated the Act and/or any regulations. </w:t>
      </w:r>
    </w:p>
    <w:p w:rsidR="004A530A" w:rsidP="004A530A" w:rsidRDefault="004A530A" w14:paraId="1D0081F3" w14:textId="77777777">
      <w:pPr>
        <w:pStyle w:val="Default"/>
        <w:jc w:val="both"/>
        <w:rPr>
          <w:rFonts w:ascii="Times New Roman" w:hAnsi="Times New Roman" w:cs="Times New Roman"/>
        </w:rPr>
      </w:pPr>
    </w:p>
    <w:p w:rsidR="004A530A" w:rsidP="004A530A" w:rsidRDefault="004A530A" w14:paraId="3786149B" w14:textId="77777777">
      <w:pPr>
        <w:pStyle w:val="Default"/>
        <w:ind w:firstLine="720"/>
        <w:jc w:val="both"/>
        <w:rPr>
          <w:rFonts w:ascii="Times New Roman" w:hAnsi="Times New Roman" w:cs="Times New Roman"/>
        </w:rPr>
      </w:pPr>
      <w:r>
        <w:rPr>
          <w:rFonts w:ascii="Times New Roman" w:hAnsi="Times New Roman" w:cs="Times New Roman"/>
        </w:rPr>
        <w:t>Pursuant to Section 14(b) of the Act, Congress provided the Commission with authority to promulgate rules necessary to administer the Reparations program.  In 1984, the Commission promulgated Part 12 of the Commission regulations to administer Section 14.  Rule 12.13 provides the standards and procedures for filing a Reparations complaint.  Specifically, subparagraph (b) describes the form and content requirements of a complaint.  Form 30 mirrors the requirements set forth in subparagraph (b).</w:t>
      </w:r>
    </w:p>
    <w:p w:rsidR="004A530A" w:rsidP="004A530A" w:rsidRDefault="004A530A" w14:paraId="2DD1432B" w14:textId="77777777">
      <w:pPr>
        <w:pStyle w:val="Default"/>
        <w:ind w:firstLine="720"/>
        <w:jc w:val="both"/>
        <w:rPr>
          <w:rFonts w:ascii="Times New Roman" w:hAnsi="Times New Roman" w:cs="Times New Roman"/>
        </w:rPr>
      </w:pPr>
    </w:p>
    <w:p w:rsidR="004A530A" w:rsidP="00794805" w:rsidRDefault="004A530A" w14:paraId="500A9FB0" w14:textId="1C588DF8">
      <w:pPr>
        <w:pStyle w:val="Default"/>
        <w:ind w:firstLine="720"/>
        <w:jc w:val="both"/>
        <w:rPr>
          <w:rFonts w:ascii="Times New Roman" w:hAnsi="Times New Roman" w:cs="Times New Roman"/>
        </w:rPr>
      </w:pPr>
      <w:r>
        <w:rPr>
          <w:rFonts w:ascii="Times New Roman" w:hAnsi="Times New Roman" w:cs="Times New Roman"/>
        </w:rPr>
        <w:t xml:space="preserve">Form 30 was created to assist customers, who are typically </w:t>
      </w:r>
      <w:r w:rsidRPr="00350336">
        <w:rPr>
          <w:rFonts w:ascii="Times New Roman" w:hAnsi="Times New Roman" w:cs="Times New Roman"/>
          <w:i/>
        </w:rPr>
        <w:t>pro se</w:t>
      </w:r>
      <w:r>
        <w:rPr>
          <w:rFonts w:ascii="Times New Roman" w:hAnsi="Times New Roman" w:cs="Times New Roman"/>
        </w:rPr>
        <w:t xml:space="preserve"> and non-lawyers.  It was also designed as a way to give proper notice to respondents of the charges against them.  The purpose of Reparations is to provide a low-cost, efficient, and effective forum to resolve private disputes involving potential violations of the Act and/or Regulations.  This form is critical to fulfilling this policy goal. </w:t>
      </w:r>
      <w:r w:rsidRPr="00D370B6" w:rsidR="00794805">
        <w:rPr>
          <w:rFonts w:ascii="Times New Roman" w:hAnsi="Times New Roman" w:cs="Times New Roman"/>
        </w:rPr>
        <w:t>The Commission also intends to implement a web-based version of Form 30 in 2021 as an additional option for the public to submit complaints online.</w:t>
      </w:r>
      <w:r w:rsidRPr="00DE3B5A" w:rsidR="00794805">
        <w:rPr>
          <w:rFonts w:ascii="Times New Roman" w:hAnsi="Times New Roman" w:cs="Times New Roman"/>
        </w:rPr>
        <w:t xml:space="preserve">  </w:t>
      </w:r>
      <w:r w:rsidRPr="00D370B6" w:rsidR="00794805">
        <w:rPr>
          <w:rFonts w:ascii="Times New Roman" w:hAnsi="Times New Roman" w:cs="Times New Roman"/>
        </w:rPr>
        <w:t xml:space="preserve">Accordingly, the Commission is requesting </w:t>
      </w:r>
      <w:r w:rsidRPr="00D370B6" w:rsidR="00DE3B5A">
        <w:rPr>
          <w:rFonts w:ascii="Times New Roman" w:hAnsi="Times New Roman" w:cs="Times New Roman"/>
        </w:rPr>
        <w:t>an extension of the current collection</w:t>
      </w:r>
      <w:r w:rsidRPr="00D370B6" w:rsidR="00794805">
        <w:rPr>
          <w:rFonts w:ascii="Times New Roman" w:hAnsi="Times New Roman" w:cs="Times New Roman"/>
        </w:rPr>
        <w:t>.</w:t>
      </w:r>
    </w:p>
    <w:p w:rsidR="00216986" w:rsidP="00794805" w:rsidRDefault="00216986" w14:paraId="0C4B251C" w14:textId="39DB579F">
      <w:pPr>
        <w:pStyle w:val="Default"/>
        <w:ind w:firstLine="720"/>
        <w:jc w:val="both"/>
        <w:rPr>
          <w:rFonts w:ascii="Times New Roman" w:hAnsi="Times New Roman" w:cs="Times New Roman"/>
        </w:rPr>
      </w:pPr>
    </w:p>
    <w:p w:rsidR="00216986" w:rsidP="00794805" w:rsidRDefault="00216986" w14:paraId="2EBD4E4C" w14:textId="77777777">
      <w:pPr>
        <w:pStyle w:val="Default"/>
        <w:ind w:firstLine="720"/>
        <w:jc w:val="both"/>
        <w:rPr>
          <w:rFonts w:ascii="Times New Roman" w:hAnsi="Times New Roman" w:cs="Times New Roman"/>
        </w:rPr>
      </w:pPr>
    </w:p>
    <w:p w:rsidR="004A530A" w:rsidP="004A530A" w:rsidRDefault="004A530A" w14:paraId="429CFF53" w14:textId="77777777">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4A530A" w:rsidP="004A530A" w:rsidRDefault="004A530A" w14:paraId="1BFBEB92" w14:textId="77777777">
      <w:pPr>
        <w:jc w:val="both"/>
        <w:rPr>
          <w:rFonts w:ascii="Times New Roman" w:hAnsi="Times New Roman"/>
        </w:rPr>
      </w:pPr>
    </w:p>
    <w:p w:rsidR="004A530A" w:rsidP="004A530A" w:rsidRDefault="004A530A" w14:paraId="2A890067" w14:textId="77777777">
      <w:pPr>
        <w:pStyle w:val="Default"/>
        <w:jc w:val="both"/>
        <w:rPr>
          <w:rFonts w:ascii="Times New Roman" w:hAnsi="Times New Roman" w:cs="Times New Roman"/>
        </w:rPr>
      </w:pPr>
      <w:r>
        <w:rPr>
          <w:rFonts w:ascii="Times New Roman" w:hAnsi="Times New Roman" w:cs="Times New Roman"/>
        </w:rPr>
        <w:t>Commission staff uses this information to assess whether the complainant has met the threshold standards for applying for a Reparations award and to put the respondents on notice of the charges.  If the complaint meets the threshold standards, respondents may use the information to submit a proper response to the complaint.</w:t>
      </w:r>
    </w:p>
    <w:p w:rsidR="004A530A" w:rsidP="004A530A" w:rsidRDefault="004A530A" w14:paraId="64E14A61" w14:textId="77777777">
      <w:pPr>
        <w:pStyle w:val="Default"/>
        <w:jc w:val="both"/>
        <w:rPr>
          <w:rFonts w:ascii="Times New Roman" w:hAnsi="Times New Roman" w:cs="Times New Roman"/>
        </w:rPr>
      </w:pPr>
    </w:p>
    <w:p w:rsidR="004A530A" w:rsidP="004A530A" w:rsidRDefault="004A530A" w14:paraId="31EF58B6" w14:textId="77777777">
      <w:pPr>
        <w:jc w:val="both"/>
        <w:rPr>
          <w:rFonts w:ascii="Times New Roman" w:hAnsi="Times New Roman"/>
        </w:rPr>
      </w:pPr>
    </w:p>
    <w:p w:rsidR="004A530A" w:rsidP="004A530A" w:rsidRDefault="004A530A" w14:paraId="462B000E" w14:textId="77777777">
      <w:pPr>
        <w:keepNext/>
        <w:tabs>
          <w:tab w:val="left" w:pos="-720"/>
        </w:tabs>
        <w:spacing w:after="240"/>
        <w:ind w:left="720" w:hanging="720"/>
        <w:jc w:val="both"/>
        <w:rPr>
          <w:rFonts w:ascii="Times New Roman" w:hAnsi="Times New Roman"/>
          <w:b/>
        </w:rPr>
      </w:pPr>
      <w:r>
        <w:rPr>
          <w:rFonts w:ascii="Times New Roman" w:hAnsi="Times New Roman"/>
          <w:b/>
        </w:rPr>
        <w:lastRenderedPageBreak/>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16986" w:rsidP="000D054B" w:rsidRDefault="004A530A" w14:paraId="1620CACE" w14:textId="77777777">
      <w:pPr>
        <w:pStyle w:val="FootnoteText"/>
      </w:pPr>
      <w:r>
        <w:t xml:space="preserve">Persons interested in applying for a </w:t>
      </w:r>
      <w:r w:rsidR="00DE3B5A">
        <w:t>r</w:t>
      </w:r>
      <w:r>
        <w:t>eparations award are typically emailed a link to the complaint form, which is maintained on the CFTC’s public website</w:t>
      </w:r>
      <w:bookmarkStart w:name="_Hlk71036176" w:id="0"/>
      <w:r>
        <w:t xml:space="preserve">. </w:t>
      </w:r>
      <w:r w:rsidR="00DE3B5A">
        <w:t xml:space="preserve">Currently, </w:t>
      </w:r>
      <w:r>
        <w:t xml:space="preserve">Rule 12.13(b)(3) provides for three methods of filing a complaint: (1) in person, during normal business hours, (2) by certified mail, or (3) by registered mail with return receipt requested. </w:t>
      </w:r>
    </w:p>
    <w:p w:rsidR="00216986" w:rsidP="000D054B" w:rsidRDefault="00216986" w14:paraId="3B6B3EE4" w14:textId="77777777">
      <w:pPr>
        <w:pStyle w:val="FootnoteText"/>
      </w:pPr>
    </w:p>
    <w:p w:rsidR="000D054B" w:rsidP="000D054B" w:rsidRDefault="000D054B" w14:paraId="342D7E23" w14:textId="0310ED46">
      <w:pPr>
        <w:pStyle w:val="FootnoteText"/>
      </w:pPr>
      <w:r>
        <w:t xml:space="preserve">In response to safety concerns arising from Covid-19, the Commission has recently allowed complainants to file their complaints electronically. </w:t>
      </w:r>
      <w:r>
        <w:rPr>
          <w:rStyle w:val="CommentReference"/>
        </w:rPr>
        <w:annotationRef/>
      </w:r>
      <w:r>
        <w:t xml:space="preserve">Accordingly, the Commission plans to update its procedures to include the electronic or web-based option which will provide the public with a more efficient and effective option for submitting their complaints, while still allowing the traditional method of printing and mailing form as currently provided for in Rule 12.13.  </w:t>
      </w:r>
    </w:p>
    <w:p w:rsidR="004A530A" w:rsidP="007F5AB9" w:rsidRDefault="004A530A" w14:paraId="7D674A1D" w14:textId="0C6BC529">
      <w:pPr>
        <w:pStyle w:val="FootnoteText"/>
      </w:pPr>
      <w:r>
        <w:t xml:space="preserve"> </w:t>
      </w:r>
      <w:bookmarkEnd w:id="0"/>
    </w:p>
    <w:p w:rsidR="004A530A" w:rsidP="007F5AB9" w:rsidRDefault="004A530A" w14:paraId="7E932AD9" w14:textId="77777777">
      <w:pPr>
        <w:tabs>
          <w:tab w:val="left" w:pos="-720"/>
        </w:tabs>
        <w:spacing w:after="240"/>
        <w:ind w:left="720" w:hanging="72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4A530A" w:rsidP="004A530A" w:rsidRDefault="004A530A" w14:paraId="6EDFD1D2" w14:textId="77777777">
      <w:pPr>
        <w:tabs>
          <w:tab w:val="left" w:pos="-720"/>
        </w:tabs>
        <w:spacing w:after="240"/>
        <w:jc w:val="both"/>
        <w:rPr>
          <w:rFonts w:ascii="Times New Roman" w:hAnsi="Times New Roman"/>
        </w:rPr>
      </w:pPr>
      <w:r>
        <w:rPr>
          <w:rFonts w:ascii="Times New Roman" w:hAnsi="Times New Roman"/>
        </w:rPr>
        <w:t>Each complaint is unique to the facts and circumstances of each applicant, so no two complaints are the same.  Moreover, given the personal and private nature of this information, Commission staff may only obtain this information from the complainants or their representatives.</w:t>
      </w:r>
    </w:p>
    <w:p w:rsidR="004A530A" w:rsidP="004A530A" w:rsidRDefault="004A530A" w14:paraId="1B816365" w14:textId="1F7AED57">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w:t>
      </w:r>
      <w:r w:rsidR="00DF57C4">
        <w:rPr>
          <w:rFonts w:ascii="Times New Roman" w:hAnsi="Times New Roman"/>
          <w:b/>
        </w:rPr>
        <w:t>orm</w:t>
      </w:r>
      <w:r>
        <w:rPr>
          <w:rFonts w:ascii="Times New Roman" w:hAnsi="Times New Roman"/>
          <w:b/>
        </w:rPr>
        <w:t xml:space="preserve"> 83-I), describe the methods used to minimize burden.</w:t>
      </w:r>
    </w:p>
    <w:p w:rsidR="004A530A" w:rsidP="004A530A" w:rsidRDefault="004A530A" w14:paraId="4DCEE824" w14:textId="14392FAB">
      <w:pPr>
        <w:tabs>
          <w:tab w:val="left" w:pos="-720"/>
        </w:tabs>
        <w:spacing w:after="240"/>
        <w:jc w:val="both"/>
        <w:rPr>
          <w:rFonts w:ascii="Times New Roman" w:hAnsi="Times New Roman"/>
        </w:rPr>
      </w:pPr>
      <w:r>
        <w:rPr>
          <w:rFonts w:ascii="Times New Roman" w:hAnsi="Times New Roman"/>
        </w:rPr>
        <w:t xml:space="preserve">Most complainants are individuals so this question does not apply. </w:t>
      </w:r>
    </w:p>
    <w:p w:rsidR="004A530A" w:rsidP="004A530A" w:rsidRDefault="004A530A" w14:paraId="15AC8DBD" w14:textId="77777777">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4A530A" w:rsidP="004A530A" w:rsidRDefault="004A530A" w14:paraId="17C64B47" w14:textId="77777777">
      <w:pPr>
        <w:pStyle w:val="Default"/>
        <w:jc w:val="both"/>
        <w:rPr>
          <w:rFonts w:ascii="Times New Roman" w:hAnsi="Times New Roman" w:cs="Times New Roman"/>
        </w:rPr>
      </w:pPr>
      <w:r>
        <w:rPr>
          <w:rFonts w:ascii="Times New Roman" w:hAnsi="Times New Roman" w:cs="Times New Roman"/>
        </w:rPr>
        <w:t xml:space="preserve">The inability to utilize a standard form will adversely impact the Commission’s ability to obtain the relevant information necessary to process Reparations applications.  This will also impact the ability of many </w:t>
      </w:r>
      <w:r w:rsidRPr="0070140F">
        <w:rPr>
          <w:rFonts w:ascii="Times New Roman" w:hAnsi="Times New Roman" w:cs="Times New Roman"/>
          <w:i/>
        </w:rPr>
        <w:t>pro se</w:t>
      </w:r>
      <w:r>
        <w:rPr>
          <w:rFonts w:ascii="Times New Roman" w:hAnsi="Times New Roman" w:cs="Times New Roman"/>
        </w:rPr>
        <w:t xml:space="preserve"> non-lawyer applicants’ ability to submit the necessary information in a timely and efficient many.  This could also impact the respondents’ ability to understand the natures of charges against them and thus impact their ability to file an appropriate response.  </w:t>
      </w:r>
    </w:p>
    <w:p w:rsidR="004A530A" w:rsidP="004A530A" w:rsidRDefault="004A530A" w14:paraId="2D429E70" w14:textId="77777777">
      <w:pPr>
        <w:pStyle w:val="Default"/>
        <w:jc w:val="both"/>
        <w:rPr>
          <w:rFonts w:ascii="Times New Roman" w:hAnsi="Times New Roman" w:cs="Times New Roman"/>
        </w:rPr>
      </w:pPr>
    </w:p>
    <w:p w:rsidR="004A530A" w:rsidP="004A530A" w:rsidRDefault="004A530A" w14:paraId="6FC4F8A4" w14:textId="77777777">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4A530A" w:rsidP="004A530A" w:rsidRDefault="004A530A" w14:paraId="72839021"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4A530A" w:rsidP="004A530A" w:rsidRDefault="004A530A" w14:paraId="3C3D3933"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w:t>
      </w:r>
    </w:p>
    <w:p w:rsidR="004A530A" w:rsidP="004A530A" w:rsidRDefault="004A530A" w14:paraId="13C83312"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lastRenderedPageBreak/>
        <w:t>requiring respondents to prepare a written response to a collection of information in fewer than 30 days after receipt of it:</w:t>
      </w:r>
    </w:p>
    <w:p w:rsidR="004A530A" w:rsidP="004A530A" w:rsidRDefault="004A530A" w14:paraId="025BEF57" w14:textId="7777777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p>
    <w:p w:rsidR="004A530A" w:rsidP="004A530A" w:rsidRDefault="004A530A" w14:paraId="1BF9A01E"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than an original and two copies of any document;</w:t>
      </w:r>
    </w:p>
    <w:p w:rsidR="004A530A" w:rsidP="004A530A" w:rsidRDefault="004A530A" w14:paraId="52806BA0" w14:textId="7777777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p>
    <w:p w:rsidR="004A530A" w:rsidP="004A530A" w:rsidRDefault="004A530A" w14:paraId="23ADC9F8"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Pr="0055257F" w:rsidR="004A530A" w:rsidP="004A530A" w:rsidRDefault="004A530A" w14:paraId="5D29F7B3" w14:textId="77777777">
      <w:pPr>
        <w:tabs>
          <w:tab w:val="left" w:pos="-720"/>
          <w:tab w:val="left" w:pos="0"/>
          <w:tab w:val="left" w:pos="720"/>
        </w:tabs>
        <w:spacing w:after="240"/>
        <w:jc w:val="both"/>
        <w:rPr>
          <w:rFonts w:ascii="Times New Roman" w:hAnsi="Times New Roman"/>
        </w:rPr>
      </w:pPr>
      <w:r w:rsidRPr="0055257F">
        <w:rPr>
          <w:rFonts w:ascii="Times New Roman" w:hAnsi="Times New Roman"/>
        </w:rPr>
        <w:t>This question does not apply.</w:t>
      </w:r>
    </w:p>
    <w:p w:rsidR="004A530A" w:rsidP="004A530A" w:rsidRDefault="004A530A" w14:paraId="2E10683E"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4A530A" w:rsidP="004A530A" w:rsidRDefault="004A530A" w14:paraId="467BE0AC" w14:textId="7777777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p>
    <w:p w:rsidR="004A530A" w:rsidP="004A530A" w:rsidRDefault="004A530A" w14:paraId="196711A2"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4A530A" w:rsidP="004A530A" w:rsidRDefault="004A530A" w14:paraId="221C43F4" w14:textId="7777777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p>
    <w:p w:rsidR="004A530A" w:rsidP="004A530A" w:rsidRDefault="004A530A" w14:paraId="3167A1C9"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A530A" w:rsidP="004A530A" w:rsidRDefault="004A530A" w14:paraId="6FB6740F" w14:textId="7777777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p>
    <w:p w:rsidRPr="00F74530" w:rsidR="004A530A" w:rsidP="004A530A" w:rsidRDefault="004A530A" w14:paraId="458F4DB3"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requiring respondents to submit proprietary trade secrets, or other confidential information unless the agency can demonstrate that it has instituted procedures </w:t>
      </w:r>
      <w:r w:rsidRPr="00F74530">
        <w:rPr>
          <w:rFonts w:ascii="Times New Roman" w:hAnsi="Times New Roman"/>
          <w:b/>
        </w:rPr>
        <w:t>to protect the information's confidentiality to the extent permitted by law.</w:t>
      </w:r>
    </w:p>
    <w:p w:rsidRPr="00261931" w:rsidR="004A530A" w:rsidP="004A530A" w:rsidRDefault="004A530A" w14:paraId="25A49562" w14:textId="70E6828B">
      <w:pPr>
        <w:tabs>
          <w:tab w:val="left" w:pos="-720"/>
          <w:tab w:val="left" w:pos="0"/>
          <w:tab w:val="left" w:pos="720"/>
        </w:tabs>
        <w:spacing w:after="240"/>
        <w:jc w:val="both"/>
        <w:rPr>
          <w:rFonts w:ascii="Times New Roman" w:hAnsi="Times New Roman"/>
        </w:rPr>
      </w:pPr>
      <w:r w:rsidRPr="005E2FDA">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r w:rsidRPr="00295F14">
        <w:rPr>
          <w:rFonts w:ascii="Times New Roman" w:hAnsi="Times New Roman"/>
        </w:rPr>
        <w:t>.</w:t>
      </w:r>
    </w:p>
    <w:p w:rsidR="004A530A" w:rsidP="004A530A" w:rsidRDefault="004A530A" w14:paraId="3603A3C6" w14:textId="563CE1E2">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w:t>
      </w:r>
      <w:proofErr w:type="gramStart"/>
      <w:r w:rsidR="00216986">
        <w:rPr>
          <w:rFonts w:ascii="Times New Roman" w:hAnsi="Times New Roman"/>
          <w:b/>
        </w:rPr>
        <w:t>publication</w:t>
      </w:r>
      <w:proofErr w:type="gramEnd"/>
      <w:r w:rsidR="00216986">
        <w:rPr>
          <w:rFonts w:ascii="Times New Roman" w:hAnsi="Times New Roman"/>
          <w:b/>
        </w:rPr>
        <w:t xml:space="preserve"> </w:t>
      </w:r>
      <w:r>
        <w:rPr>
          <w:rFonts w:ascii="Times New Roman" w:hAnsi="Times New Roman"/>
          <w:b/>
        </w:rPr>
        <w:t xml:space="preserve">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4A530A" w:rsidP="004A530A" w:rsidRDefault="004A530A" w14:paraId="44AEAE3C" w14:textId="77777777">
      <w:pPr>
        <w:tabs>
          <w:tab w:val="left" w:pos="-720"/>
        </w:tabs>
        <w:spacing w:after="240"/>
        <w:ind w:left="720"/>
        <w:jc w:val="both"/>
        <w:rPr>
          <w:rFonts w:ascii="Times New Roman" w:hAnsi="Times New Roman"/>
          <w:b/>
        </w:rPr>
      </w:pPr>
      <w:r>
        <w:rPr>
          <w:rFonts w:ascii="Times New Roman" w:hAnsi="Times New Roman"/>
          <w:b/>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F5AB9" w:rsidP="004A530A" w:rsidRDefault="00C152C2" w14:paraId="4018AD2C" w14:textId="6C94C783">
      <w:pPr>
        <w:tabs>
          <w:tab w:val="left" w:pos="-720"/>
        </w:tabs>
        <w:spacing w:after="240"/>
        <w:ind w:left="720"/>
        <w:jc w:val="both"/>
        <w:rPr>
          <w:rFonts w:ascii="Times New Roman" w:hAnsi="Times New Roman"/>
        </w:rPr>
      </w:pPr>
      <w:r w:rsidRPr="00D9451B">
        <w:rPr>
          <w:rFonts w:ascii="Times New Roman" w:hAnsi="Times New Roman"/>
        </w:rPr>
        <w:t xml:space="preserve">The 60-day </w:t>
      </w:r>
      <w:r w:rsidRPr="00D9451B">
        <w:rPr>
          <w:rFonts w:ascii="Times New Roman" w:hAnsi="Times New Roman"/>
          <w:b/>
          <w:i/>
        </w:rPr>
        <w:t>Federal Register</w:t>
      </w:r>
      <w:r w:rsidRPr="00D9451B">
        <w:rPr>
          <w:rFonts w:ascii="Times New Roman" w:hAnsi="Times New Roman"/>
        </w:rPr>
        <w:t xml:space="preserve"> notice soliciting comments on the renewal of this collection was published </w:t>
      </w:r>
      <w:r>
        <w:rPr>
          <w:rFonts w:ascii="Times New Roman" w:hAnsi="Times New Roman"/>
        </w:rPr>
        <w:t xml:space="preserve">at </w:t>
      </w:r>
      <w:r w:rsidRPr="00C152C2" w:rsidR="00B11D36">
        <w:rPr>
          <w:rFonts w:ascii="Times New Roman" w:hAnsi="Times New Roman"/>
        </w:rPr>
        <w:t>86</w:t>
      </w:r>
      <w:r w:rsidRPr="00C152C2" w:rsidR="004A530A">
        <w:rPr>
          <w:rFonts w:ascii="Times New Roman" w:hAnsi="Times New Roman"/>
        </w:rPr>
        <w:t xml:space="preserve"> </w:t>
      </w:r>
      <w:r w:rsidRPr="00C152C2" w:rsidR="00DF57C4">
        <w:rPr>
          <w:rFonts w:ascii="Times New Roman" w:hAnsi="Times New Roman"/>
        </w:rPr>
        <w:t>F</w:t>
      </w:r>
      <w:r>
        <w:rPr>
          <w:rFonts w:ascii="Times New Roman" w:hAnsi="Times New Roman"/>
        </w:rPr>
        <w:t xml:space="preserve">ed. </w:t>
      </w:r>
      <w:r w:rsidRPr="00C152C2" w:rsidR="00DF57C4">
        <w:rPr>
          <w:rFonts w:ascii="Times New Roman" w:hAnsi="Times New Roman"/>
        </w:rPr>
        <w:t>R</w:t>
      </w:r>
      <w:r>
        <w:rPr>
          <w:rFonts w:ascii="Times New Roman" w:hAnsi="Times New Roman"/>
        </w:rPr>
        <w:t xml:space="preserve">eg. </w:t>
      </w:r>
      <w:r w:rsidRPr="00C152C2" w:rsidR="00B11D36">
        <w:rPr>
          <w:rFonts w:ascii="Times New Roman" w:hAnsi="Times New Roman"/>
        </w:rPr>
        <w:t>25845</w:t>
      </w:r>
      <w:r>
        <w:rPr>
          <w:rFonts w:ascii="Times New Roman" w:hAnsi="Times New Roman"/>
        </w:rPr>
        <w:t xml:space="preserve"> (May 11, 2021)</w:t>
      </w:r>
      <w:bookmarkStart w:name="_GoBack" w:id="1"/>
      <w:bookmarkEnd w:id="1"/>
      <w:r w:rsidRPr="005E2FDA" w:rsidR="004A530A">
        <w:rPr>
          <w:rFonts w:ascii="Times New Roman" w:hAnsi="Times New Roman"/>
        </w:rPr>
        <w:t>.  The Commission received</w:t>
      </w:r>
      <w:r w:rsidRPr="005E2FDA" w:rsidDel="005E2FDA" w:rsidR="004A530A">
        <w:rPr>
          <w:rFonts w:ascii="Times New Roman" w:hAnsi="Times New Roman"/>
        </w:rPr>
        <w:t xml:space="preserve"> </w:t>
      </w:r>
      <w:r>
        <w:rPr>
          <w:rFonts w:ascii="Times New Roman" w:hAnsi="Times New Roman"/>
        </w:rPr>
        <w:t xml:space="preserve">no relevant </w:t>
      </w:r>
      <w:r w:rsidR="004A530A">
        <w:rPr>
          <w:rFonts w:ascii="Times New Roman" w:hAnsi="Times New Roman"/>
        </w:rPr>
        <w:t>comments.</w:t>
      </w:r>
    </w:p>
    <w:p w:rsidR="004A530A" w:rsidP="004A530A" w:rsidRDefault="004A530A" w14:paraId="7C5EFC53" w14:textId="1D77742A">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A530A" w:rsidP="007F5AB9" w:rsidRDefault="004A530A" w14:paraId="6302F5C2" w14:textId="7F99FDBB">
      <w:pPr>
        <w:tabs>
          <w:tab w:val="left" w:pos="-720"/>
        </w:tabs>
        <w:spacing w:after="240"/>
        <w:rPr>
          <w:rFonts w:ascii="Times New Roman" w:hAnsi="Times New Roman"/>
        </w:rPr>
      </w:pPr>
      <w:r>
        <w:rPr>
          <w:rFonts w:ascii="Times New Roman" w:hAnsi="Times New Roman"/>
        </w:rPr>
        <w:t>This question does not apply.</w:t>
      </w:r>
      <w:r w:rsidR="007F5AB9">
        <w:rPr>
          <w:rFonts w:ascii="Times New Roman" w:hAnsi="Times New Roman"/>
        </w:rPr>
        <w:br/>
      </w:r>
    </w:p>
    <w:p w:rsidR="004A530A" w:rsidP="004A530A" w:rsidRDefault="004A530A" w14:paraId="039B0C31" w14:textId="77777777">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4A530A" w:rsidP="004A530A" w:rsidRDefault="004A530A" w14:paraId="6E2F58D0" w14:textId="77777777">
      <w:pPr>
        <w:tabs>
          <w:tab w:val="left" w:pos="-720"/>
        </w:tabs>
        <w:spacing w:after="240"/>
        <w:jc w:val="both"/>
        <w:rPr>
          <w:rFonts w:ascii="Times New Roman" w:hAnsi="Times New Roman"/>
        </w:rPr>
      </w:pPr>
      <w:r>
        <w:rPr>
          <w:rFonts w:ascii="Times New Roman" w:hAnsi="Times New Roman"/>
        </w:rPr>
        <w:t>This question does not apply.  The Commission has neither considered nor has it made any payment or gift to any Reparations applicant.</w:t>
      </w:r>
    </w:p>
    <w:p w:rsidR="004A530A" w:rsidP="004A530A" w:rsidRDefault="007F5AB9" w14:paraId="296F196D" w14:textId="51A7E7CB">
      <w:pPr>
        <w:tabs>
          <w:tab w:val="left" w:pos="-720"/>
        </w:tabs>
        <w:spacing w:after="240"/>
        <w:ind w:left="720" w:hanging="720"/>
        <w:jc w:val="both"/>
        <w:rPr>
          <w:rFonts w:ascii="Times New Roman" w:hAnsi="Times New Roman"/>
          <w:b/>
        </w:rPr>
      </w:pPr>
      <w:r>
        <w:rPr>
          <w:rFonts w:ascii="Times New Roman" w:hAnsi="Times New Roman"/>
          <w:b/>
        </w:rPr>
        <w:br/>
      </w:r>
      <w:r w:rsidR="004A530A">
        <w:rPr>
          <w:rFonts w:ascii="Times New Roman" w:hAnsi="Times New Roman"/>
          <w:b/>
        </w:rPr>
        <w:t>10.</w:t>
      </w:r>
      <w:r w:rsidR="004A530A">
        <w:rPr>
          <w:rFonts w:ascii="Times New Roman" w:hAnsi="Times New Roman"/>
          <w:b/>
        </w:rPr>
        <w:tab/>
        <w:t>Describe any assurance of confidentiality provided to respondents and the basis for the assurance in statute, regulations, or agency policy.</w:t>
      </w:r>
    </w:p>
    <w:p w:rsidR="007F5AB9" w:rsidP="004A530A" w:rsidRDefault="004A530A" w14:paraId="4B1725F8" w14:textId="46A03DB3">
      <w:pPr>
        <w:tabs>
          <w:tab w:val="left" w:pos="-720"/>
        </w:tabs>
        <w:spacing w:after="240"/>
        <w:jc w:val="both"/>
        <w:rPr>
          <w:rFonts w:ascii="Times New Roman" w:hAnsi="Times New Roman"/>
        </w:rPr>
      </w:pPr>
      <w:r>
        <w:rPr>
          <w:rFonts w:ascii="Times New Roman" w:hAnsi="Times New Roman"/>
        </w:rPr>
        <w:t xml:space="preserve">There are no assurances of confidentiality provided to applicants. </w:t>
      </w:r>
      <w:r w:rsidRPr="00AC3145">
        <w:rPr>
          <w:rFonts w:ascii="Times New Roman" w:hAnsi="Times New Roman"/>
        </w:rPr>
        <w:t>The Commission does not provide respondents with an assurance of confidentiality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positions of any person and trade secrets or names of customers.”  The Commission has procedures to protect the confidentiality of a respondent’s data set forth in part 145 of the Code of Federal Regulations.</w:t>
      </w:r>
      <w:r w:rsidR="007F5AB9">
        <w:rPr>
          <w:rFonts w:ascii="Times New Roman" w:hAnsi="Times New Roman"/>
        </w:rPr>
        <w:t xml:space="preserve"> </w:t>
      </w:r>
    </w:p>
    <w:p w:rsidR="004A530A" w:rsidP="004A530A" w:rsidRDefault="004A530A" w14:paraId="7CC920B8" w14:textId="0D147FFA">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A530A" w:rsidP="004A530A" w:rsidRDefault="004A530A" w14:paraId="4AF93C56" w14:textId="77777777">
      <w:pPr>
        <w:tabs>
          <w:tab w:val="left" w:pos="-720"/>
        </w:tabs>
        <w:spacing w:after="240"/>
        <w:jc w:val="both"/>
        <w:rPr>
          <w:rFonts w:ascii="Times New Roman" w:hAnsi="Times New Roman"/>
        </w:rPr>
      </w:pPr>
      <w:r>
        <w:rPr>
          <w:rFonts w:ascii="Times New Roman" w:hAnsi="Times New Roman"/>
        </w:rPr>
        <w:t>This question does not apply.  Form 30 does not request or require the provision of sensitive information, as that term is used in Item 11.</w:t>
      </w:r>
    </w:p>
    <w:p w:rsidR="004A530A" w:rsidP="004A530A" w:rsidRDefault="004A530A" w14:paraId="568C9512" w14:textId="77777777">
      <w:pPr>
        <w:tabs>
          <w:tab w:val="left" w:pos="-720"/>
        </w:tabs>
        <w:spacing w:after="240"/>
        <w:ind w:left="720" w:hanging="720"/>
        <w:jc w:val="both"/>
        <w:rPr>
          <w:rFonts w:ascii="Times New Roman" w:hAnsi="Times New Roman"/>
          <w:b/>
        </w:rPr>
      </w:pPr>
      <w:r>
        <w:rPr>
          <w:rFonts w:ascii="Times New Roman" w:hAnsi="Times New Roman"/>
          <w:b/>
        </w:rPr>
        <w:lastRenderedPageBreak/>
        <w:t>12.</w:t>
      </w:r>
      <w:r>
        <w:rPr>
          <w:rFonts w:ascii="Times New Roman" w:hAnsi="Times New Roman"/>
          <w:b/>
        </w:rPr>
        <w:tab/>
        <w:t>Provide estimates of the hour burden of the collection of information.  The Statement should:</w:t>
      </w:r>
    </w:p>
    <w:p w:rsidR="004A530A" w:rsidP="004A530A" w:rsidRDefault="004A530A" w14:paraId="6A3FA79B"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A530A" w:rsidP="004A530A" w:rsidRDefault="004A530A" w14:paraId="270DDDDF"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4A530A" w:rsidP="004A530A" w:rsidRDefault="004A530A" w14:paraId="5A057174"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A530A" w:rsidP="004A530A" w:rsidRDefault="004A530A" w14:paraId="1DDE46E2" w14:textId="77777777">
      <w:pPr>
        <w:jc w:val="both"/>
        <w:rPr>
          <w:rFonts w:ascii="Times New Roman" w:hAnsi="Times New Roman"/>
        </w:rPr>
      </w:pPr>
      <w:r>
        <w:rPr>
          <w:rFonts w:ascii="Times New Roman" w:hAnsi="Times New Roman"/>
        </w:rPr>
        <w:t>The</w:t>
      </w:r>
      <w:r w:rsidRPr="0019146A">
        <w:rPr>
          <w:rFonts w:ascii="Times New Roman" w:hAnsi="Times New Roman"/>
        </w:rPr>
        <w:t xml:space="preserve"> Commission staff estimates that the</w:t>
      </w:r>
      <w:r>
        <w:rPr>
          <w:rFonts w:ascii="Times New Roman" w:hAnsi="Times New Roman"/>
        </w:rPr>
        <w:t xml:space="preserve"> average</w:t>
      </w:r>
      <w:r w:rsidRPr="0019146A">
        <w:rPr>
          <w:rFonts w:ascii="Times New Roman" w:hAnsi="Times New Roman"/>
        </w:rPr>
        <w:t xml:space="preserve"> person </w:t>
      </w:r>
      <w:r>
        <w:rPr>
          <w:rFonts w:ascii="Times New Roman" w:hAnsi="Times New Roman"/>
        </w:rPr>
        <w:t xml:space="preserve">with no professional legal assistance </w:t>
      </w:r>
      <w:r w:rsidRPr="0019146A">
        <w:rPr>
          <w:rFonts w:ascii="Times New Roman" w:hAnsi="Times New Roman"/>
        </w:rPr>
        <w:t xml:space="preserve">will incur </w:t>
      </w:r>
      <w:r>
        <w:rPr>
          <w:rFonts w:ascii="Times New Roman" w:hAnsi="Times New Roman"/>
        </w:rPr>
        <w:t>between one half</w:t>
      </w:r>
      <w:r w:rsidRPr="0019146A">
        <w:rPr>
          <w:rFonts w:ascii="Times New Roman" w:hAnsi="Times New Roman"/>
        </w:rPr>
        <w:t xml:space="preserve"> hour</w:t>
      </w:r>
      <w:r>
        <w:rPr>
          <w:rFonts w:ascii="Times New Roman" w:hAnsi="Times New Roman"/>
        </w:rPr>
        <w:t xml:space="preserve"> to two hours</w:t>
      </w:r>
      <w:r w:rsidRPr="0019146A">
        <w:rPr>
          <w:rFonts w:ascii="Times New Roman" w:hAnsi="Times New Roman"/>
        </w:rPr>
        <w:t xml:space="preserve"> of burden </w:t>
      </w:r>
      <w:r>
        <w:rPr>
          <w:rFonts w:ascii="Times New Roman" w:hAnsi="Times New Roman"/>
        </w:rPr>
        <w:t>to gather the necessary documents and respond to the complaint</w:t>
      </w:r>
      <w:r w:rsidRPr="0019146A">
        <w:rPr>
          <w:rFonts w:ascii="Times New Roman" w:hAnsi="Times New Roman"/>
        </w:rPr>
        <w:t xml:space="preserve">.  </w:t>
      </w:r>
      <w:r>
        <w:rPr>
          <w:rFonts w:ascii="Times New Roman" w:hAnsi="Times New Roman"/>
        </w:rPr>
        <w:t xml:space="preserve">The Commission estimates that </w:t>
      </w:r>
      <w:r w:rsidR="00E54E1B">
        <w:rPr>
          <w:rFonts w:ascii="Times New Roman" w:hAnsi="Times New Roman"/>
        </w:rPr>
        <w:t>24</w:t>
      </w:r>
      <w:r>
        <w:rPr>
          <w:rFonts w:ascii="Times New Roman" w:hAnsi="Times New Roman"/>
        </w:rPr>
        <w:t xml:space="preserve"> persons will make one response annually for an average of </w:t>
      </w:r>
      <w:r w:rsidR="00930D71">
        <w:rPr>
          <w:rFonts w:ascii="Times New Roman" w:hAnsi="Times New Roman"/>
        </w:rPr>
        <w:t>24</w:t>
      </w:r>
      <w:r>
        <w:rPr>
          <w:rFonts w:ascii="Times New Roman" w:hAnsi="Times New Roman"/>
        </w:rPr>
        <w:t xml:space="preserve"> responses.  Each response is estimated to take approximately 1.5 hours for a total annual burden of approximately </w:t>
      </w:r>
      <w:r w:rsidR="00930D71">
        <w:rPr>
          <w:rFonts w:ascii="Times New Roman" w:hAnsi="Times New Roman"/>
        </w:rPr>
        <w:t>36</w:t>
      </w:r>
      <w:r>
        <w:rPr>
          <w:rFonts w:ascii="Times New Roman" w:hAnsi="Times New Roman"/>
        </w:rPr>
        <w:t xml:space="preserve"> hours.  </w:t>
      </w:r>
    </w:p>
    <w:p w:rsidR="004A530A" w:rsidP="004A530A" w:rsidRDefault="004A530A" w14:paraId="73521A79" w14:textId="77777777">
      <w:pPr>
        <w:jc w:val="both"/>
        <w:rPr>
          <w:rFonts w:ascii="Times New Roman" w:hAnsi="Times New Roman"/>
        </w:rPr>
      </w:pPr>
    </w:p>
    <w:p w:rsidRPr="000C47E7" w:rsidR="004A530A" w:rsidP="00216986" w:rsidRDefault="004A530A" w14:paraId="2FCE9403" w14:textId="2B4B18F5">
      <w:pPr>
        <w:rPr>
          <w:rFonts w:ascii="Times New Roman" w:hAnsi="Times New Roman"/>
        </w:rPr>
      </w:pPr>
      <w:r>
        <w:rPr>
          <w:rFonts w:ascii="Times New Roman" w:hAnsi="Times New Roman"/>
        </w:rPr>
        <w:t>The cost estimate for the average complainant represented by competent counsel</w:t>
      </w:r>
      <w:r w:rsidR="00BD61BA">
        <w:rPr>
          <w:rFonts w:ascii="Times New Roman" w:hAnsi="Times New Roman"/>
        </w:rPr>
        <w:t xml:space="preserve"> </w:t>
      </w:r>
      <w:r>
        <w:rPr>
          <w:rFonts w:ascii="Times New Roman" w:hAnsi="Times New Roman"/>
        </w:rPr>
        <w:t>would be approximately $</w:t>
      </w:r>
      <w:r w:rsidR="00BD61BA">
        <w:rPr>
          <w:rFonts w:ascii="Times New Roman" w:hAnsi="Times New Roman"/>
        </w:rPr>
        <w:t>107</w:t>
      </w:r>
      <w:r>
        <w:rPr>
          <w:rFonts w:ascii="Times New Roman" w:hAnsi="Times New Roman"/>
        </w:rPr>
        <w:t>.</w:t>
      </w:r>
      <w:r>
        <w:rPr>
          <w:rStyle w:val="FootnoteReference"/>
          <w:rFonts w:ascii="Times New Roman" w:hAnsi="Times New Roman"/>
        </w:rPr>
        <w:footnoteReference w:id="1"/>
      </w:r>
      <w:r>
        <w:rPr>
          <w:rFonts w:ascii="Times New Roman" w:hAnsi="Times New Roman"/>
        </w:rPr>
        <w:t xml:space="preserve">  </w:t>
      </w:r>
    </w:p>
    <w:p w:rsidR="004A530A" w:rsidP="004A530A" w:rsidRDefault="004A530A" w14:paraId="2310FAE7" w14:textId="77777777">
      <w:pPr>
        <w:jc w:val="both"/>
        <w:rPr>
          <w:rFonts w:ascii="Times New Roman" w:hAnsi="Times New Roman"/>
        </w:rPr>
      </w:pPr>
    </w:p>
    <w:p w:rsidR="004A530A" w:rsidP="004A530A" w:rsidRDefault="004A530A" w14:paraId="5D763227" w14:textId="77777777">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4A530A" w:rsidP="007F5AB9" w:rsidRDefault="004A530A" w14:paraId="1A6EF1E3" w14:textId="588E196A">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007F5AB9">
        <w:rPr>
          <w:rFonts w:ascii="Times New Roman" w:hAnsi="Times New Roman"/>
          <w:b/>
        </w:rPr>
        <w:t>take into account</w:t>
      </w:r>
      <w:proofErr w:type="gramEnd"/>
      <w:r w:rsidR="007F5AB9">
        <w:rPr>
          <w:rFonts w:ascii="Times New Roman" w:hAnsi="Times New Roman"/>
          <w:b/>
        </w:rPr>
        <w:t xml:space="preserve"> </w:t>
      </w:r>
      <w:r>
        <w:rPr>
          <w:rFonts w:ascii="Times New Roman" w:hAnsi="Times New Roman"/>
          <w:b/>
        </w:rPr>
        <w:t xml:space="preserve">costs associated with generating, maintaining, and disclosing or providing the information.  Include descriptions of methods used to </w:t>
      </w:r>
      <w:r>
        <w:rPr>
          <w:rFonts w:ascii="Times New Roman" w:hAnsi="Times New Roman"/>
          <w:b/>
        </w:rPr>
        <w:lastRenderedPageBreak/>
        <w:t>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A530A" w:rsidP="004A530A" w:rsidRDefault="004A530A" w14:paraId="2D4264A3"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4A530A" w:rsidP="004A530A" w:rsidRDefault="004A530A" w14:paraId="671B8C84"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80313" w:rsidR="004A530A" w:rsidP="004A530A" w:rsidRDefault="004A530A" w14:paraId="26EA92D9" w14:textId="77777777">
      <w:pPr>
        <w:spacing w:after="240"/>
        <w:jc w:val="both"/>
        <w:rPr>
          <w:rFonts w:ascii="Times New Roman" w:hAnsi="Times New Roman"/>
        </w:rPr>
      </w:pPr>
      <w:r w:rsidRPr="00D32BDE">
        <w:rPr>
          <w:rFonts w:ascii="Times New Roman" w:hAnsi="Times New Roman"/>
        </w:rPr>
        <w:t>The proposed collection involves no new start-up or operations and maintenance costs.</w:t>
      </w:r>
    </w:p>
    <w:p w:rsidR="004A530A" w:rsidP="004A530A" w:rsidRDefault="004A530A" w14:paraId="10106215" w14:textId="77777777">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4A530A" w:rsidP="004A530A" w:rsidRDefault="004A530A" w14:paraId="5F8F6B89" w14:textId="77777777">
      <w:pPr>
        <w:tabs>
          <w:tab w:val="left" w:pos="-720"/>
        </w:tabs>
        <w:spacing w:after="240"/>
        <w:jc w:val="both"/>
        <w:rPr>
          <w:rFonts w:ascii="Times New Roman" w:hAnsi="Times New Roman"/>
        </w:rPr>
      </w:pPr>
      <w:r>
        <w:rPr>
          <w:rFonts w:ascii="Times New Roman" w:hAnsi="Times New Roman"/>
        </w:rPr>
        <w:t>It is not anticipated that this collection will impose any additional costs to the Federal Government.</w:t>
      </w:r>
    </w:p>
    <w:p w:rsidR="004A530A" w:rsidP="004A530A" w:rsidRDefault="004A530A" w14:paraId="1C1D518B" w14:textId="77777777">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4A530A" w:rsidP="004A530A" w:rsidRDefault="004A530A" w14:paraId="2BCE151E" w14:textId="77777777">
      <w:pPr>
        <w:tabs>
          <w:tab w:val="left" w:pos="-720"/>
        </w:tabs>
        <w:spacing w:after="240"/>
        <w:jc w:val="both"/>
        <w:rPr>
          <w:rFonts w:ascii="Times New Roman" w:hAnsi="Times New Roman"/>
        </w:rPr>
      </w:pPr>
      <w:r>
        <w:rPr>
          <w:rFonts w:ascii="Times New Roman" w:hAnsi="Times New Roman"/>
        </w:rPr>
        <w:t xml:space="preserve">Not applicable. </w:t>
      </w:r>
    </w:p>
    <w:p w:rsidR="004A530A" w:rsidP="004A530A" w:rsidRDefault="004A530A" w14:paraId="1C0CEEA7" w14:textId="77777777">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4A530A" w:rsidP="004A530A" w:rsidRDefault="004A530A" w14:paraId="372C2C79" w14:textId="77777777">
      <w:pPr>
        <w:tabs>
          <w:tab w:val="left" w:pos="-720"/>
        </w:tabs>
        <w:spacing w:after="240"/>
        <w:jc w:val="both"/>
        <w:rPr>
          <w:rFonts w:ascii="Times New Roman" w:hAnsi="Times New Roman"/>
        </w:rPr>
      </w:pPr>
      <w:r>
        <w:rPr>
          <w:rFonts w:ascii="Times New Roman" w:hAnsi="Times New Roman"/>
        </w:rPr>
        <w:t>Not applicable.</w:t>
      </w:r>
    </w:p>
    <w:p w:rsidR="004A530A" w:rsidP="004A530A" w:rsidRDefault="004A530A" w14:paraId="34B2F374" w14:textId="77777777">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4A530A" w:rsidP="004A530A" w:rsidRDefault="004A530A" w14:paraId="50326648" w14:textId="77777777">
      <w:pPr>
        <w:tabs>
          <w:tab w:val="left" w:pos="-720"/>
        </w:tabs>
        <w:spacing w:after="240"/>
        <w:jc w:val="both"/>
        <w:rPr>
          <w:rFonts w:ascii="Times New Roman" w:hAnsi="Times New Roman"/>
        </w:rPr>
      </w:pPr>
      <w:r>
        <w:rPr>
          <w:rFonts w:ascii="Times New Roman" w:hAnsi="Times New Roman"/>
        </w:rPr>
        <w:t>Not applicable.</w:t>
      </w:r>
    </w:p>
    <w:p w:rsidR="004A530A" w:rsidP="004A530A" w:rsidRDefault="004A530A" w14:paraId="388ABA63" w14:textId="77777777">
      <w:pPr>
        <w:keepNext/>
        <w:tabs>
          <w:tab w:val="left" w:pos="-720"/>
        </w:tabs>
        <w:spacing w:after="240"/>
        <w:ind w:left="720" w:hanging="720"/>
        <w:jc w:val="both"/>
        <w:rPr>
          <w:rFonts w:ascii="Times New Roman" w:hAnsi="Times New Roman"/>
          <w:b/>
        </w:rPr>
      </w:pPr>
      <w:r>
        <w:rPr>
          <w:rFonts w:ascii="Times New Roman" w:hAnsi="Times New Roman"/>
          <w:b/>
        </w:rPr>
        <w:lastRenderedPageBreak/>
        <w:t>18.</w:t>
      </w:r>
      <w:r>
        <w:rPr>
          <w:rFonts w:ascii="Times New Roman" w:hAnsi="Times New Roman"/>
          <w:b/>
        </w:rPr>
        <w:tab/>
        <w:t>Explain each exception to the certification statement identified in Item 19, “Certification for Paperwork Reduction Act Submissions,” of OMB Form 83-I.</w:t>
      </w:r>
    </w:p>
    <w:p w:rsidR="004A530A" w:rsidP="004A530A" w:rsidRDefault="004A530A" w14:paraId="3D1D46D3" w14:textId="77777777">
      <w:pPr>
        <w:tabs>
          <w:tab w:val="left" w:pos="-720"/>
        </w:tabs>
        <w:spacing w:after="240"/>
        <w:jc w:val="both"/>
        <w:rPr>
          <w:rFonts w:ascii="Times New Roman" w:hAnsi="Times New Roman"/>
        </w:rPr>
      </w:pPr>
      <w:r>
        <w:rPr>
          <w:rFonts w:ascii="Times New Roman" w:hAnsi="Times New Roman"/>
        </w:rPr>
        <w:t>Not applicable.</w:t>
      </w:r>
    </w:p>
    <w:p w:rsidRPr="00840F04" w:rsidR="004A530A" w:rsidP="004A530A" w:rsidRDefault="004A530A" w14:paraId="2732E4D8" w14:textId="77777777">
      <w:pPr>
        <w:tabs>
          <w:tab w:val="left" w:pos="-720"/>
        </w:tabs>
        <w:spacing w:after="240"/>
        <w:jc w:val="center"/>
        <w:rPr>
          <w:rFonts w:ascii="Times New Roman" w:hAnsi="Times New Roman"/>
          <w:b/>
        </w:rPr>
      </w:pPr>
      <w:r>
        <w:rPr>
          <w:rFonts w:ascii="Times New Roman" w:hAnsi="Times New Roman"/>
        </w:rPr>
        <w:br w:type="page"/>
      </w:r>
      <w:r w:rsidRPr="00840F04">
        <w:rPr>
          <w:rFonts w:ascii="Times New Roman" w:hAnsi="Times New Roman"/>
          <w:b/>
        </w:rPr>
        <w:lastRenderedPageBreak/>
        <w:t>Attachment A</w:t>
      </w:r>
    </w:p>
    <w:p w:rsidR="004A530A" w:rsidP="004A530A" w:rsidRDefault="004A530A" w14:paraId="6682044A" w14:textId="77777777">
      <w:pPr>
        <w:jc w:val="center"/>
        <w:rPr>
          <w:rFonts w:ascii="Times New Roman" w:hAnsi="Times New Roman"/>
        </w:rPr>
      </w:pPr>
    </w:p>
    <w:p w:rsidRPr="00840F04" w:rsidR="004A530A" w:rsidP="004A530A" w:rsidRDefault="004A530A" w14:paraId="24EB7236" w14:textId="77777777">
      <w:pPr>
        <w:jc w:val="center"/>
        <w:rPr>
          <w:rFonts w:ascii="Times New Roman" w:hAnsi="Times New Roman"/>
        </w:rPr>
      </w:pPr>
      <w:r w:rsidRPr="00840F04">
        <w:rPr>
          <w:rFonts w:ascii="Times New Roman" w:hAnsi="Times New Roman"/>
          <w:b/>
          <w:bCs/>
        </w:rPr>
        <w:t>OMB Control Number 3038-</w:t>
      </w:r>
      <w:r>
        <w:rPr>
          <w:rFonts w:ascii="Times New Roman" w:hAnsi="Times New Roman"/>
          <w:b/>
          <w:bCs/>
        </w:rPr>
        <w:t>XXXX</w:t>
      </w:r>
      <w:r w:rsidRPr="00840F04">
        <w:rPr>
          <w:rFonts w:ascii="Times New Roman" w:hAnsi="Times New Roman"/>
          <w:b/>
          <w:bCs/>
        </w:rPr>
        <w:t xml:space="preserve"> – </w:t>
      </w:r>
      <w:r>
        <w:rPr>
          <w:rFonts w:ascii="Times New Roman" w:hAnsi="Times New Roman"/>
          <w:b/>
          <w:bCs/>
        </w:rPr>
        <w:t>Reparations Complaint, CFTC Form 30</w:t>
      </w:r>
      <w:r w:rsidRPr="00840F04">
        <w:rPr>
          <w:rFonts w:ascii="Times New Roman" w:hAnsi="Times New Roman"/>
          <w:b/>
          <w:bCs/>
          <w:i/>
        </w:rPr>
        <w:t>.</w:t>
      </w:r>
    </w:p>
    <w:p w:rsidRPr="00D35F83" w:rsidR="004A530A" w:rsidP="004A530A" w:rsidRDefault="004A530A" w14:paraId="77894799" w14:textId="77777777">
      <w:pPr>
        <w:rPr>
          <w:rFonts w:ascii="Times New Roman" w:hAnsi="Times New Roman"/>
        </w:rPr>
      </w:pPr>
      <w:r w:rsidRPr="00D35F83">
        <w:rPr>
          <w:rFonts w:ascii="Times New Roman" w:hAnsi="Times New Roman"/>
        </w:rPr>
        <w:t xml:space="preserve">                                                                                                                  </w:t>
      </w:r>
    </w:p>
    <w:p w:rsidR="004A530A" w:rsidP="004A530A" w:rsidRDefault="004A530A" w14:paraId="688CAB72" w14:textId="77777777">
      <w:pPr>
        <w:jc w:val="center"/>
        <w:rPr>
          <w:rFonts w:ascii="Times New Roman" w:hAnsi="Times New Roman"/>
        </w:rPr>
      </w:pPr>
      <w:r>
        <w:rPr>
          <w:rFonts w:ascii="Times New Roman" w:hAnsi="Times New Roman"/>
        </w:rPr>
        <w:t>Reporting Burden</w:t>
      </w:r>
    </w:p>
    <w:p w:rsidR="004A530A" w:rsidP="004A530A" w:rsidRDefault="004A530A" w14:paraId="779A1FC9" w14:textId="77777777">
      <w:pPr>
        <w:jc w:val="center"/>
        <w:rPr>
          <w:rFonts w:ascii="Times New Roman" w:hAnsi="Times New Roman"/>
        </w:rPr>
      </w:pPr>
    </w:p>
    <w:tbl>
      <w:tblPr>
        <w:tblW w:w="5310" w:type="pct"/>
        <w:tblInd w:w="-7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54"/>
        <w:gridCol w:w="1320"/>
        <w:gridCol w:w="1495"/>
        <w:gridCol w:w="1231"/>
        <w:gridCol w:w="1406"/>
        <w:gridCol w:w="1229"/>
        <w:gridCol w:w="1144"/>
        <w:gridCol w:w="1051"/>
      </w:tblGrid>
      <w:tr w:rsidRPr="00642B6A" w:rsidR="004A530A" w:rsidTr="00775656" w14:paraId="60FF76C9" w14:textId="77777777">
        <w:trPr>
          <w:trHeight w:val="1457"/>
        </w:trPr>
        <w:tc>
          <w:tcPr>
            <w:tcW w:w="530" w:type="pct"/>
          </w:tcPr>
          <w:p w:rsidRPr="002600FA" w:rsidR="004A530A" w:rsidP="00775656" w:rsidRDefault="004A530A" w14:paraId="6EC24705" w14:textId="77777777">
            <w:pPr>
              <w:tabs>
                <w:tab w:val="left" w:pos="-720"/>
                <w:tab w:val="left" w:pos="0"/>
              </w:tabs>
              <w:suppressAutoHyphens/>
              <w:jc w:val="center"/>
              <w:rPr>
                <w:b/>
                <w:sz w:val="16"/>
                <w:szCs w:val="16"/>
              </w:rPr>
            </w:pPr>
            <w:r>
              <w:rPr>
                <w:b/>
                <w:sz w:val="16"/>
                <w:szCs w:val="16"/>
              </w:rPr>
              <w:t>Regulation</w:t>
            </w:r>
          </w:p>
        </w:tc>
        <w:tc>
          <w:tcPr>
            <w:tcW w:w="664" w:type="pct"/>
          </w:tcPr>
          <w:p w:rsidRPr="002600FA" w:rsidR="004A530A" w:rsidP="00775656" w:rsidRDefault="004A530A" w14:paraId="2E2B8553" w14:textId="77777777">
            <w:pPr>
              <w:tabs>
                <w:tab w:val="left" w:pos="-720"/>
                <w:tab w:val="left" w:pos="0"/>
              </w:tabs>
              <w:suppressAutoHyphens/>
              <w:jc w:val="center"/>
              <w:rPr>
                <w:b/>
                <w:sz w:val="16"/>
                <w:szCs w:val="16"/>
              </w:rPr>
            </w:pPr>
            <w:r w:rsidRPr="002600FA">
              <w:rPr>
                <w:b/>
                <w:sz w:val="16"/>
                <w:szCs w:val="16"/>
              </w:rPr>
              <w:t>Estimated Number of Respondents</w:t>
            </w:r>
            <w:r>
              <w:rPr>
                <w:rStyle w:val="FootnoteReference"/>
                <w:b/>
                <w:sz w:val="16"/>
                <w:szCs w:val="16"/>
              </w:rPr>
              <w:footnoteReference w:id="2"/>
            </w:r>
            <w:r w:rsidRPr="002600FA">
              <w:rPr>
                <w:b/>
                <w:sz w:val="16"/>
                <w:szCs w:val="16"/>
              </w:rPr>
              <w:t xml:space="preserve"> </w:t>
            </w:r>
          </w:p>
        </w:tc>
        <w:tc>
          <w:tcPr>
            <w:tcW w:w="753" w:type="pct"/>
          </w:tcPr>
          <w:p w:rsidRPr="002600FA" w:rsidR="004A530A" w:rsidP="00775656" w:rsidRDefault="004A530A" w14:paraId="56A69A64" w14:textId="77777777">
            <w:pPr>
              <w:tabs>
                <w:tab w:val="left" w:pos="-720"/>
                <w:tab w:val="left" w:pos="0"/>
              </w:tabs>
              <w:suppressAutoHyphens/>
              <w:jc w:val="center"/>
              <w:rPr>
                <w:b/>
                <w:sz w:val="16"/>
                <w:szCs w:val="16"/>
              </w:rPr>
            </w:pPr>
            <w:r w:rsidRPr="002600FA">
              <w:rPr>
                <w:b/>
                <w:sz w:val="16"/>
                <w:szCs w:val="16"/>
              </w:rPr>
              <w:t>Reports</w:t>
            </w:r>
          </w:p>
          <w:p w:rsidRPr="002600FA" w:rsidR="004A530A" w:rsidP="00775656" w:rsidRDefault="004A530A" w14:paraId="507DD4FB" w14:textId="77777777">
            <w:pPr>
              <w:tabs>
                <w:tab w:val="left" w:pos="-720"/>
                <w:tab w:val="left" w:pos="0"/>
              </w:tabs>
              <w:suppressAutoHyphens/>
              <w:jc w:val="center"/>
              <w:rPr>
                <w:b/>
                <w:sz w:val="16"/>
                <w:szCs w:val="16"/>
              </w:rPr>
            </w:pPr>
            <w:r w:rsidRPr="002600FA">
              <w:rPr>
                <w:b/>
                <w:sz w:val="16"/>
                <w:szCs w:val="16"/>
              </w:rPr>
              <w:t>by Each Respondent</w:t>
            </w:r>
          </w:p>
        </w:tc>
        <w:tc>
          <w:tcPr>
            <w:tcW w:w="620" w:type="pct"/>
          </w:tcPr>
          <w:p w:rsidRPr="002600FA" w:rsidR="004A530A" w:rsidP="00775656" w:rsidRDefault="004A530A" w14:paraId="0660752F" w14:textId="77777777">
            <w:pPr>
              <w:tabs>
                <w:tab w:val="left" w:pos="-720"/>
                <w:tab w:val="left" w:pos="0"/>
              </w:tabs>
              <w:suppressAutoHyphens/>
              <w:jc w:val="center"/>
              <w:rPr>
                <w:b/>
                <w:sz w:val="16"/>
                <w:szCs w:val="16"/>
              </w:rPr>
            </w:pPr>
            <w:r w:rsidRPr="002600FA">
              <w:rPr>
                <w:b/>
                <w:sz w:val="16"/>
                <w:szCs w:val="16"/>
              </w:rPr>
              <w:t>Total Annual</w:t>
            </w:r>
          </w:p>
          <w:p w:rsidRPr="002600FA" w:rsidR="004A530A" w:rsidP="00775656" w:rsidRDefault="004A530A" w14:paraId="3D7C30F0" w14:textId="77777777">
            <w:pPr>
              <w:tabs>
                <w:tab w:val="left" w:pos="-720"/>
                <w:tab w:val="left" w:pos="0"/>
              </w:tabs>
              <w:suppressAutoHyphens/>
              <w:jc w:val="center"/>
              <w:rPr>
                <w:b/>
                <w:sz w:val="16"/>
                <w:szCs w:val="16"/>
              </w:rPr>
            </w:pPr>
            <w:r w:rsidRPr="002600FA">
              <w:rPr>
                <w:b/>
                <w:sz w:val="16"/>
                <w:szCs w:val="16"/>
              </w:rPr>
              <w:t>Responses</w:t>
            </w:r>
          </w:p>
        </w:tc>
        <w:tc>
          <w:tcPr>
            <w:tcW w:w="708" w:type="pct"/>
          </w:tcPr>
          <w:p w:rsidRPr="002600FA" w:rsidR="004A530A" w:rsidP="00775656" w:rsidRDefault="004A530A" w14:paraId="606E4F1D" w14:textId="77777777">
            <w:pPr>
              <w:tabs>
                <w:tab w:val="left" w:pos="-720"/>
                <w:tab w:val="left" w:pos="0"/>
              </w:tabs>
              <w:suppressAutoHyphens/>
              <w:jc w:val="center"/>
              <w:rPr>
                <w:b/>
                <w:sz w:val="16"/>
                <w:szCs w:val="16"/>
              </w:rPr>
            </w:pPr>
            <w:r w:rsidRPr="002600FA">
              <w:rPr>
                <w:b/>
                <w:sz w:val="16"/>
                <w:szCs w:val="16"/>
              </w:rPr>
              <w:t>Estimated Average Number of Hours per Response</w:t>
            </w:r>
          </w:p>
        </w:tc>
        <w:tc>
          <w:tcPr>
            <w:tcW w:w="619" w:type="pct"/>
          </w:tcPr>
          <w:p w:rsidRPr="002600FA" w:rsidR="004A530A" w:rsidP="00775656" w:rsidRDefault="004A530A" w14:paraId="02DDE2E8" w14:textId="77777777">
            <w:pPr>
              <w:tabs>
                <w:tab w:val="left" w:pos="-720"/>
                <w:tab w:val="left" w:pos="0"/>
              </w:tabs>
              <w:suppressAutoHyphens/>
              <w:jc w:val="center"/>
              <w:rPr>
                <w:b/>
                <w:sz w:val="16"/>
                <w:szCs w:val="16"/>
              </w:rPr>
            </w:pPr>
            <w:r w:rsidRPr="002600FA">
              <w:rPr>
                <w:b/>
                <w:sz w:val="16"/>
                <w:szCs w:val="16"/>
              </w:rPr>
              <w:t xml:space="preserve">Estimated Total </w:t>
            </w:r>
            <w:proofErr w:type="gramStart"/>
            <w:r w:rsidRPr="002600FA">
              <w:rPr>
                <w:b/>
                <w:sz w:val="16"/>
                <w:szCs w:val="16"/>
              </w:rPr>
              <w:t>Annual  Number</w:t>
            </w:r>
            <w:proofErr w:type="gramEnd"/>
            <w:r w:rsidRPr="002600FA">
              <w:rPr>
                <w:b/>
                <w:sz w:val="16"/>
                <w:szCs w:val="16"/>
              </w:rPr>
              <w:t xml:space="preserve"> of Hours</w:t>
            </w:r>
          </w:p>
        </w:tc>
        <w:tc>
          <w:tcPr>
            <w:tcW w:w="576" w:type="pct"/>
          </w:tcPr>
          <w:p w:rsidRPr="002600FA" w:rsidR="004A530A" w:rsidP="00775656" w:rsidRDefault="004A530A" w14:paraId="155689D1" w14:textId="77777777">
            <w:pPr>
              <w:tabs>
                <w:tab w:val="left" w:pos="-720"/>
                <w:tab w:val="left" w:pos="0"/>
              </w:tabs>
              <w:suppressAutoHyphens/>
              <w:jc w:val="center"/>
              <w:rPr>
                <w:b/>
                <w:sz w:val="16"/>
                <w:szCs w:val="16"/>
              </w:rPr>
            </w:pPr>
            <w:r w:rsidRPr="002600FA">
              <w:rPr>
                <w:b/>
                <w:sz w:val="16"/>
                <w:szCs w:val="16"/>
              </w:rPr>
              <w:t xml:space="preserve"> Cost per response</w:t>
            </w:r>
            <w:r>
              <w:rPr>
                <w:rStyle w:val="FootnoteReference"/>
                <w:b/>
                <w:sz w:val="16"/>
                <w:szCs w:val="16"/>
              </w:rPr>
              <w:footnoteReference w:id="3"/>
            </w:r>
          </w:p>
        </w:tc>
        <w:tc>
          <w:tcPr>
            <w:tcW w:w="529" w:type="pct"/>
          </w:tcPr>
          <w:p w:rsidRPr="002600FA" w:rsidR="004A530A" w:rsidDel="009C6DB4" w:rsidP="00775656" w:rsidRDefault="004A530A" w14:paraId="33F1DEDC" w14:textId="77777777">
            <w:pPr>
              <w:tabs>
                <w:tab w:val="left" w:pos="-720"/>
                <w:tab w:val="left" w:pos="0"/>
              </w:tabs>
              <w:suppressAutoHyphens/>
              <w:jc w:val="center"/>
              <w:rPr>
                <w:b/>
                <w:sz w:val="16"/>
                <w:szCs w:val="16"/>
              </w:rPr>
            </w:pPr>
            <w:r w:rsidRPr="002600FA">
              <w:rPr>
                <w:b/>
                <w:sz w:val="16"/>
                <w:szCs w:val="16"/>
              </w:rPr>
              <w:t>Total Annual cost of all responses</w:t>
            </w:r>
            <w:r>
              <w:rPr>
                <w:rStyle w:val="FootnoteReference"/>
                <w:b/>
                <w:sz w:val="16"/>
                <w:szCs w:val="16"/>
              </w:rPr>
              <w:footnoteReference w:id="4"/>
            </w:r>
          </w:p>
        </w:tc>
      </w:tr>
      <w:tr w:rsidRPr="00642B6A" w:rsidR="004A530A" w:rsidTr="00775656" w14:paraId="5B235BBE" w14:textId="77777777">
        <w:trPr>
          <w:trHeight w:val="998"/>
        </w:trPr>
        <w:tc>
          <w:tcPr>
            <w:tcW w:w="530" w:type="pct"/>
          </w:tcPr>
          <w:p w:rsidRPr="002600FA" w:rsidR="004A530A" w:rsidP="00775656" w:rsidRDefault="004A530A" w14:paraId="437CE731" w14:textId="77777777">
            <w:pPr>
              <w:tabs>
                <w:tab w:val="left" w:pos="-720"/>
                <w:tab w:val="left" w:pos="0"/>
              </w:tabs>
              <w:suppressAutoHyphens/>
              <w:jc w:val="center"/>
              <w:rPr>
                <w:b/>
                <w:sz w:val="16"/>
                <w:szCs w:val="16"/>
              </w:rPr>
            </w:pPr>
            <w:r>
              <w:rPr>
                <w:b/>
                <w:sz w:val="16"/>
                <w:szCs w:val="16"/>
              </w:rPr>
              <w:t>12.13</w:t>
            </w:r>
          </w:p>
        </w:tc>
        <w:tc>
          <w:tcPr>
            <w:tcW w:w="664" w:type="pct"/>
          </w:tcPr>
          <w:p w:rsidRPr="002600FA" w:rsidR="004A530A" w:rsidP="00775656" w:rsidRDefault="00E54E1B" w14:paraId="29BE2B67" w14:textId="77777777">
            <w:pPr>
              <w:tabs>
                <w:tab w:val="left" w:pos="-720"/>
                <w:tab w:val="left" w:pos="0"/>
              </w:tabs>
              <w:suppressAutoHyphens/>
              <w:jc w:val="center"/>
              <w:rPr>
                <w:b/>
                <w:sz w:val="16"/>
                <w:szCs w:val="16"/>
              </w:rPr>
            </w:pPr>
            <w:r>
              <w:rPr>
                <w:b/>
                <w:sz w:val="16"/>
                <w:szCs w:val="16"/>
              </w:rPr>
              <w:t>24</w:t>
            </w:r>
          </w:p>
        </w:tc>
        <w:tc>
          <w:tcPr>
            <w:tcW w:w="753" w:type="pct"/>
          </w:tcPr>
          <w:p w:rsidRPr="002600FA" w:rsidR="004A530A" w:rsidP="00775656" w:rsidRDefault="004A530A" w14:paraId="7F93D7C5" w14:textId="77777777">
            <w:pPr>
              <w:tabs>
                <w:tab w:val="left" w:pos="-720"/>
                <w:tab w:val="left" w:pos="0"/>
              </w:tabs>
              <w:suppressAutoHyphens/>
              <w:jc w:val="center"/>
              <w:rPr>
                <w:b/>
                <w:sz w:val="16"/>
                <w:szCs w:val="16"/>
              </w:rPr>
            </w:pPr>
            <w:r w:rsidRPr="002600FA">
              <w:rPr>
                <w:b/>
                <w:sz w:val="16"/>
                <w:szCs w:val="16"/>
              </w:rPr>
              <w:t>1</w:t>
            </w:r>
          </w:p>
        </w:tc>
        <w:tc>
          <w:tcPr>
            <w:tcW w:w="620" w:type="pct"/>
          </w:tcPr>
          <w:p w:rsidRPr="002600FA" w:rsidR="004A530A" w:rsidP="00775656" w:rsidRDefault="00E54E1B" w14:paraId="65C99A19" w14:textId="77777777">
            <w:pPr>
              <w:tabs>
                <w:tab w:val="left" w:pos="-720"/>
                <w:tab w:val="left" w:pos="0"/>
              </w:tabs>
              <w:suppressAutoHyphens/>
              <w:jc w:val="center"/>
              <w:rPr>
                <w:b/>
                <w:sz w:val="16"/>
                <w:szCs w:val="16"/>
              </w:rPr>
            </w:pPr>
            <w:r>
              <w:rPr>
                <w:b/>
                <w:sz w:val="16"/>
                <w:szCs w:val="16"/>
              </w:rPr>
              <w:t>24</w:t>
            </w:r>
          </w:p>
        </w:tc>
        <w:tc>
          <w:tcPr>
            <w:tcW w:w="708" w:type="pct"/>
          </w:tcPr>
          <w:p w:rsidRPr="002600FA" w:rsidR="004A530A" w:rsidP="00775656" w:rsidRDefault="004A530A" w14:paraId="0229A2E7" w14:textId="77777777">
            <w:pPr>
              <w:tabs>
                <w:tab w:val="left" w:pos="-720"/>
                <w:tab w:val="left" w:pos="0"/>
              </w:tabs>
              <w:suppressAutoHyphens/>
              <w:jc w:val="center"/>
              <w:rPr>
                <w:b/>
                <w:sz w:val="16"/>
                <w:szCs w:val="16"/>
              </w:rPr>
            </w:pPr>
            <w:r>
              <w:rPr>
                <w:b/>
                <w:sz w:val="16"/>
                <w:szCs w:val="16"/>
              </w:rPr>
              <w:t>1.5hrs</w:t>
            </w:r>
          </w:p>
        </w:tc>
        <w:tc>
          <w:tcPr>
            <w:tcW w:w="619" w:type="pct"/>
          </w:tcPr>
          <w:p w:rsidRPr="002600FA" w:rsidR="004A530A" w:rsidP="00775656" w:rsidRDefault="00E54E1B" w14:paraId="125B2806" w14:textId="77777777">
            <w:pPr>
              <w:tabs>
                <w:tab w:val="left" w:pos="-720"/>
                <w:tab w:val="left" w:pos="0"/>
              </w:tabs>
              <w:suppressAutoHyphens/>
              <w:jc w:val="center"/>
              <w:rPr>
                <w:b/>
                <w:sz w:val="16"/>
                <w:szCs w:val="16"/>
              </w:rPr>
            </w:pPr>
            <w:r>
              <w:rPr>
                <w:b/>
                <w:sz w:val="16"/>
                <w:szCs w:val="16"/>
              </w:rPr>
              <w:t>3</w:t>
            </w:r>
            <w:r w:rsidR="00930D71">
              <w:rPr>
                <w:b/>
                <w:sz w:val="16"/>
                <w:szCs w:val="16"/>
              </w:rPr>
              <w:t>6</w:t>
            </w:r>
          </w:p>
        </w:tc>
        <w:tc>
          <w:tcPr>
            <w:tcW w:w="576" w:type="pct"/>
          </w:tcPr>
          <w:p w:rsidRPr="002600FA" w:rsidR="004A530A" w:rsidP="00775656" w:rsidRDefault="004A530A" w14:paraId="4E1B392F" w14:textId="2A3D062F">
            <w:pPr>
              <w:tabs>
                <w:tab w:val="left" w:pos="-720"/>
                <w:tab w:val="left" w:pos="0"/>
              </w:tabs>
              <w:suppressAutoHyphens/>
              <w:jc w:val="center"/>
              <w:rPr>
                <w:b/>
                <w:sz w:val="16"/>
                <w:szCs w:val="16"/>
              </w:rPr>
            </w:pPr>
            <w:r w:rsidRPr="002600FA">
              <w:rPr>
                <w:b/>
                <w:sz w:val="16"/>
                <w:szCs w:val="16"/>
              </w:rPr>
              <w:t>$</w:t>
            </w:r>
            <w:r w:rsidR="00BD61BA">
              <w:rPr>
                <w:b/>
                <w:sz w:val="16"/>
                <w:szCs w:val="16"/>
              </w:rPr>
              <w:t>107</w:t>
            </w:r>
            <w:r>
              <w:rPr>
                <w:b/>
                <w:sz w:val="16"/>
                <w:szCs w:val="16"/>
              </w:rPr>
              <w:t xml:space="preserve"> </w:t>
            </w:r>
          </w:p>
        </w:tc>
        <w:tc>
          <w:tcPr>
            <w:tcW w:w="529" w:type="pct"/>
          </w:tcPr>
          <w:p w:rsidRPr="002600FA" w:rsidR="004A530A" w:rsidP="00775656" w:rsidRDefault="004A530A" w14:paraId="056DAA1A" w14:textId="0222F58C">
            <w:pPr>
              <w:tabs>
                <w:tab w:val="left" w:pos="-720"/>
                <w:tab w:val="left" w:pos="0"/>
              </w:tabs>
              <w:suppressAutoHyphens/>
              <w:jc w:val="center"/>
              <w:rPr>
                <w:b/>
                <w:sz w:val="16"/>
                <w:szCs w:val="16"/>
              </w:rPr>
            </w:pPr>
            <w:r w:rsidRPr="002600FA">
              <w:rPr>
                <w:b/>
                <w:sz w:val="16"/>
                <w:szCs w:val="16"/>
              </w:rPr>
              <w:t>$</w:t>
            </w:r>
            <w:r w:rsidR="00BD61BA">
              <w:rPr>
                <w:b/>
                <w:sz w:val="16"/>
                <w:szCs w:val="16"/>
              </w:rPr>
              <w:t>3852</w:t>
            </w:r>
          </w:p>
        </w:tc>
      </w:tr>
    </w:tbl>
    <w:p w:rsidR="004A530A" w:rsidP="004A530A" w:rsidRDefault="004A530A" w14:paraId="76837FFB" w14:textId="77777777">
      <w:pPr>
        <w:rPr>
          <w:rFonts w:ascii="Times New Roman" w:hAnsi="Times New Roman"/>
        </w:rPr>
      </w:pPr>
    </w:p>
    <w:p w:rsidR="004A530A" w:rsidP="004A530A" w:rsidRDefault="004A530A" w14:paraId="2DD1B8F8" w14:textId="77777777">
      <w:pPr>
        <w:jc w:val="center"/>
        <w:rPr>
          <w:rFonts w:ascii="Times New Roman" w:hAnsi="Times New Roman"/>
        </w:rPr>
      </w:pPr>
    </w:p>
    <w:p w:rsidRPr="00144E80" w:rsidR="004A530A" w:rsidP="004A530A" w:rsidRDefault="004A530A" w14:paraId="61B1D470" w14:textId="77777777">
      <w:pPr>
        <w:tabs>
          <w:tab w:val="left" w:pos="7260"/>
        </w:tabs>
        <w:rPr>
          <w:rFonts w:ascii="Times New Roman" w:hAnsi="Times New Roman"/>
        </w:rPr>
      </w:pPr>
      <w:r>
        <w:rPr>
          <w:rFonts w:ascii="Times New Roman" w:hAnsi="Times New Roman"/>
        </w:rPr>
        <w:tab/>
      </w:r>
    </w:p>
    <w:p w:rsidR="00924040" w:rsidRDefault="00924040" w14:paraId="7E2FBE6D" w14:textId="77777777"/>
    <w:sectPr w:rsidR="00924040" w:rsidSect="00216986">
      <w:headerReference w:type="even" r:id="rId8"/>
      <w:foot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76E69" w14:textId="77777777" w:rsidR="004A530A" w:rsidRDefault="004A530A" w:rsidP="004A530A">
      <w:r>
        <w:separator/>
      </w:r>
    </w:p>
  </w:endnote>
  <w:endnote w:type="continuationSeparator" w:id="0">
    <w:p w14:paraId="2EA23977" w14:textId="77777777" w:rsidR="004A530A" w:rsidRDefault="004A530A" w:rsidP="004A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u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E5852" w14:textId="77777777" w:rsidR="008426F3" w:rsidRPr="00216986" w:rsidRDefault="00270461">
    <w:pPr>
      <w:pStyle w:val="Footer"/>
      <w:jc w:val="center"/>
      <w:rPr>
        <w:rFonts w:ascii="Times New Roman" w:hAnsi="Times New Roman"/>
      </w:rPr>
    </w:pPr>
    <w:r w:rsidRPr="00216986">
      <w:rPr>
        <w:rFonts w:ascii="Times New Roman" w:hAnsi="Times New Roman"/>
      </w:rPr>
      <w:fldChar w:fldCharType="begin"/>
    </w:r>
    <w:r w:rsidRPr="00216986">
      <w:rPr>
        <w:rFonts w:ascii="Times New Roman" w:hAnsi="Times New Roman"/>
      </w:rPr>
      <w:instrText xml:space="preserve"> PAGE   \* MERGEFORMAT </w:instrText>
    </w:r>
    <w:r w:rsidRPr="00216986">
      <w:rPr>
        <w:rFonts w:ascii="Times New Roman" w:hAnsi="Times New Roman"/>
      </w:rPr>
      <w:fldChar w:fldCharType="separate"/>
    </w:r>
    <w:r w:rsidRPr="00216986">
      <w:rPr>
        <w:rFonts w:ascii="Times New Roman" w:hAnsi="Times New Roman"/>
        <w:noProof/>
      </w:rPr>
      <w:t>1</w:t>
    </w:r>
    <w:r w:rsidRPr="00216986">
      <w:rPr>
        <w:rFonts w:ascii="Times New Roman" w:hAnsi="Times New Roman"/>
      </w:rPr>
      <w:fldChar w:fldCharType="end"/>
    </w:r>
  </w:p>
  <w:p w14:paraId="483F273F" w14:textId="77777777" w:rsidR="008426F3" w:rsidRDefault="00C15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0DA76" w14:textId="77777777" w:rsidR="004A530A" w:rsidRDefault="004A530A" w:rsidP="004A530A">
      <w:r>
        <w:separator/>
      </w:r>
    </w:p>
  </w:footnote>
  <w:footnote w:type="continuationSeparator" w:id="0">
    <w:p w14:paraId="7ABAE8ED" w14:textId="77777777" w:rsidR="004A530A" w:rsidRDefault="004A530A" w:rsidP="004A530A">
      <w:r>
        <w:continuationSeparator/>
      </w:r>
    </w:p>
  </w:footnote>
  <w:footnote w:id="1">
    <w:p w14:paraId="61990344" w14:textId="4B886D07" w:rsidR="004A530A" w:rsidRPr="008E3DC6" w:rsidRDefault="004A530A" w:rsidP="004A530A">
      <w:pPr>
        <w:pStyle w:val="FootnoteText"/>
      </w:pPr>
      <w:r>
        <w:rPr>
          <w:rStyle w:val="FootnoteReference"/>
        </w:rPr>
        <w:footnoteRef/>
      </w:r>
      <w:r>
        <w:t xml:space="preserve"> </w:t>
      </w:r>
      <w:r w:rsidR="00D1415F">
        <w:t xml:space="preserve">We </w:t>
      </w:r>
      <w:r w:rsidR="00E22454">
        <w:t xml:space="preserve">applied the Bureau of Labor Statistics </w:t>
      </w:r>
      <w:bookmarkStart w:id="2" w:name="_Hlk70935655"/>
      <w:r w:rsidR="00E22454">
        <w:t xml:space="preserve">(BLS) pay scale </w:t>
      </w:r>
      <w:r w:rsidR="00BD61BA">
        <w:t xml:space="preserve">for lawyers </w:t>
      </w:r>
      <w:hyperlink r:id="rId1" w:anchor="23-0000" w:history="1">
        <w:r w:rsidR="00BD61BA" w:rsidRPr="004C7144">
          <w:rPr>
            <w:rStyle w:val="Hyperlink"/>
          </w:rPr>
          <w:t>https://www.bls.gov/oes/current/oes_nat.htm#23-0000</w:t>
        </w:r>
      </w:hyperlink>
      <w:bookmarkEnd w:id="2"/>
      <w:r w:rsidR="00BD61BA">
        <w:t xml:space="preserve"> </w:t>
      </w:r>
      <w:r w:rsidR="00E22454">
        <w:t>in calculating the average cost burden for submitting a Reparations complaint.</w:t>
      </w:r>
      <w:r w:rsidR="00BD61BA">
        <w:t xml:space="preserve"> Specifically, we used the </w:t>
      </w:r>
      <w:r w:rsidR="00D1415F">
        <w:t>BLS “</w:t>
      </w:r>
      <w:r w:rsidR="00BD61BA">
        <w:t>mean hourly wage</w:t>
      </w:r>
      <w:r w:rsidR="00D1415F">
        <w:t>”</w:t>
      </w:r>
      <w:r w:rsidR="00BD61BA">
        <w:t xml:space="preserve"> for lawyers</w:t>
      </w:r>
      <w:r w:rsidR="00D1415F">
        <w:t xml:space="preserve"> </w:t>
      </w:r>
      <w:r w:rsidR="00BD61BA">
        <w:t>($71.59</w:t>
      </w:r>
      <w:r w:rsidR="002F5300">
        <w:t xml:space="preserve">/hrs x </w:t>
      </w:r>
      <w:r w:rsidR="00D1415F">
        <w:t>1.5</w:t>
      </w:r>
      <w:r w:rsidR="002F5300">
        <w:t xml:space="preserve">hrs </w:t>
      </w:r>
      <w:r w:rsidR="00D1415F">
        <w:t>= $107.39)</w:t>
      </w:r>
      <w:r w:rsidR="00BD61BA">
        <w:t>.</w:t>
      </w:r>
    </w:p>
    <w:p w14:paraId="461F2BA8" w14:textId="77777777" w:rsidR="004A530A" w:rsidRDefault="004A530A" w:rsidP="004A530A">
      <w:pPr>
        <w:pStyle w:val="FootnoteText"/>
      </w:pPr>
    </w:p>
  </w:footnote>
  <w:footnote w:id="2">
    <w:p w14:paraId="34DAB1B6" w14:textId="77777777" w:rsidR="004A530A" w:rsidRDefault="004A530A" w:rsidP="004A530A">
      <w:pPr>
        <w:pStyle w:val="FootnoteText"/>
      </w:pPr>
      <w:r>
        <w:rPr>
          <w:rStyle w:val="FootnoteReference"/>
        </w:rPr>
        <w:footnoteRef/>
      </w:r>
      <w:r>
        <w:t xml:space="preserve"> Based on the average number of Reparations complaints for the past 3 fiscal years ((</w:t>
      </w:r>
      <w:r w:rsidR="00E54E1B">
        <w:t>30</w:t>
      </w:r>
      <w:r>
        <w:t>)</w:t>
      </w:r>
      <w:r w:rsidR="00A92621">
        <w:t xml:space="preserve"> </w:t>
      </w:r>
      <w:r>
        <w:t>FY1</w:t>
      </w:r>
      <w:r w:rsidR="00E54E1B">
        <w:t>8</w:t>
      </w:r>
      <w:r>
        <w:t>, (1</w:t>
      </w:r>
      <w:r w:rsidR="00E54E1B">
        <w:t>5</w:t>
      </w:r>
      <w:r>
        <w:t>)</w:t>
      </w:r>
      <w:r w:rsidR="00A92621">
        <w:t xml:space="preserve"> </w:t>
      </w:r>
      <w:r>
        <w:t>FY1</w:t>
      </w:r>
      <w:r w:rsidR="00E54E1B">
        <w:t>9</w:t>
      </w:r>
      <w:r>
        <w:t>, and (</w:t>
      </w:r>
      <w:r w:rsidR="00E54E1B">
        <w:t>28</w:t>
      </w:r>
      <w:r>
        <w:t>)</w:t>
      </w:r>
      <w:r w:rsidR="00A92621">
        <w:t xml:space="preserve"> </w:t>
      </w:r>
      <w:r>
        <w:t>FY</w:t>
      </w:r>
      <w:r w:rsidR="00E54E1B">
        <w:t>20</w:t>
      </w:r>
      <w:r>
        <w:t>) ([</w:t>
      </w:r>
      <w:r w:rsidR="00E54E1B">
        <w:t>30</w:t>
      </w:r>
      <w:r>
        <w:t>+1</w:t>
      </w:r>
      <w:r w:rsidR="00E54E1B">
        <w:t>5</w:t>
      </w:r>
      <w:r>
        <w:t>+</w:t>
      </w:r>
      <w:r w:rsidR="00E54E1B">
        <w:t>28</w:t>
      </w:r>
      <w:r>
        <w:t xml:space="preserve">]/3 = </w:t>
      </w:r>
      <w:r w:rsidR="00E54E1B">
        <w:t>24.33</w:t>
      </w:r>
      <w:r>
        <w:t>).</w:t>
      </w:r>
    </w:p>
  </w:footnote>
  <w:footnote w:id="3">
    <w:p w14:paraId="44E05940" w14:textId="52B9EE31" w:rsidR="004A530A" w:rsidRDefault="004A530A" w:rsidP="004A530A">
      <w:pPr>
        <w:pStyle w:val="FootnoteText"/>
      </w:pPr>
      <w:r>
        <w:rPr>
          <w:rStyle w:val="FootnoteReference"/>
        </w:rPr>
        <w:footnoteRef/>
      </w:r>
      <w:r>
        <w:t xml:space="preserve"> Based on </w:t>
      </w:r>
      <w:r w:rsidR="00A53F58">
        <w:t xml:space="preserve">the </w:t>
      </w:r>
      <w:r w:rsidR="00BD61BA">
        <w:t xml:space="preserve">BLS pay scale for lawyers </w:t>
      </w:r>
      <w:hyperlink r:id="rId2" w:anchor="23-0000" w:history="1">
        <w:r w:rsidR="00BD61BA" w:rsidRPr="004C7144">
          <w:rPr>
            <w:rStyle w:val="Hyperlink"/>
          </w:rPr>
          <w:t>https://www.bls.gov/oes/current/oes_nat.htm#23-0000</w:t>
        </w:r>
      </w:hyperlink>
      <w:r>
        <w:t xml:space="preserve"> ($</w:t>
      </w:r>
      <w:r w:rsidR="002F5300">
        <w:t>71.59</w:t>
      </w:r>
      <w:r>
        <w:t>/hr x 1.5hrs).</w:t>
      </w:r>
    </w:p>
  </w:footnote>
  <w:footnote w:id="4">
    <w:p w14:paraId="6DCCC6B0" w14:textId="3A0320CE" w:rsidR="004A530A" w:rsidRDefault="004A530A" w:rsidP="004A530A">
      <w:pPr>
        <w:pStyle w:val="FootnoteText"/>
      </w:pPr>
      <w:r>
        <w:rPr>
          <w:rStyle w:val="FootnoteReference"/>
        </w:rPr>
        <w:footnoteRef/>
      </w:r>
      <w:r>
        <w:t xml:space="preserve"> This total is calculated by multiplying the estimated average number of complaints per year by the estimated cost per response (</w:t>
      </w:r>
      <w:r w:rsidR="00A53F58">
        <w:t>36</w:t>
      </w:r>
      <w:r>
        <w:t xml:space="preserve"> x $</w:t>
      </w:r>
      <w:r w:rsidR="00BD61BA">
        <w:t>10</w:t>
      </w:r>
      <w:r w:rsidR="00A53F58">
        <w:t>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59D1F" w14:textId="73521459" w:rsidR="00736EA5" w:rsidRDefault="00C15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D9081" w14:textId="488361F7" w:rsidR="00736EA5" w:rsidRDefault="00C15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0A"/>
    <w:rsid w:val="000D054B"/>
    <w:rsid w:val="00216986"/>
    <w:rsid w:val="00270461"/>
    <w:rsid w:val="002C5A41"/>
    <w:rsid w:val="002F5300"/>
    <w:rsid w:val="00305D6E"/>
    <w:rsid w:val="003A2B31"/>
    <w:rsid w:val="003B0776"/>
    <w:rsid w:val="004A530A"/>
    <w:rsid w:val="00794805"/>
    <w:rsid w:val="007D1968"/>
    <w:rsid w:val="007F5AB9"/>
    <w:rsid w:val="00924040"/>
    <w:rsid w:val="00924F8A"/>
    <w:rsid w:val="00930D71"/>
    <w:rsid w:val="009B26AD"/>
    <w:rsid w:val="009C27C0"/>
    <w:rsid w:val="00A06B76"/>
    <w:rsid w:val="00A53F58"/>
    <w:rsid w:val="00A92621"/>
    <w:rsid w:val="00B11D36"/>
    <w:rsid w:val="00BD61BA"/>
    <w:rsid w:val="00C152C2"/>
    <w:rsid w:val="00D1415F"/>
    <w:rsid w:val="00D370B6"/>
    <w:rsid w:val="00D63A14"/>
    <w:rsid w:val="00DC35D4"/>
    <w:rsid w:val="00DE3B5A"/>
    <w:rsid w:val="00DF57C4"/>
    <w:rsid w:val="00E211BD"/>
    <w:rsid w:val="00E22454"/>
    <w:rsid w:val="00E54E1B"/>
    <w:rsid w:val="00EF6C93"/>
    <w:rsid w:val="00F575C2"/>
    <w:rsid w:val="00FE4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9C4D1"/>
  <w15:chartTrackingRefBased/>
  <w15:docId w15:val="{55B621DE-8596-4C78-83A8-86761350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30A"/>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4A530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30A"/>
    <w:rPr>
      <w:rFonts w:ascii="Arial" w:eastAsia="Times New Roman" w:hAnsi="Arial" w:cs="Times New Roman"/>
      <w:b/>
      <w:sz w:val="24"/>
      <w:szCs w:val="20"/>
    </w:rPr>
  </w:style>
  <w:style w:type="character" w:styleId="FootnoteReference">
    <w:name w:val="footnote reference"/>
    <w:aliases w:val="fr,Style 19,Style 16,Style 35"/>
    <w:rsid w:val="004A530A"/>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4A530A"/>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4A530A"/>
    <w:rPr>
      <w:rFonts w:ascii="Times New Roman" w:eastAsia="Times New Roman" w:hAnsi="Times New Roman" w:cs="Times New Roman"/>
      <w:sz w:val="24"/>
      <w:szCs w:val="20"/>
    </w:rPr>
  </w:style>
  <w:style w:type="paragraph" w:customStyle="1" w:styleId="Default">
    <w:name w:val="Default"/>
    <w:rsid w:val="004A530A"/>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4A530A"/>
    <w:pPr>
      <w:tabs>
        <w:tab w:val="center" w:pos="4680"/>
        <w:tab w:val="right" w:pos="9360"/>
      </w:tabs>
    </w:pPr>
  </w:style>
  <w:style w:type="character" w:customStyle="1" w:styleId="HeaderChar">
    <w:name w:val="Header Char"/>
    <w:basedOn w:val="DefaultParagraphFont"/>
    <w:link w:val="Header"/>
    <w:rsid w:val="004A530A"/>
    <w:rPr>
      <w:rFonts w:ascii="Arial" w:eastAsia="Times New Roman" w:hAnsi="Arial" w:cs="Times New Roman"/>
      <w:sz w:val="24"/>
      <w:szCs w:val="24"/>
    </w:rPr>
  </w:style>
  <w:style w:type="paragraph" w:styleId="Footer">
    <w:name w:val="footer"/>
    <w:basedOn w:val="Normal"/>
    <w:link w:val="FooterChar"/>
    <w:uiPriority w:val="99"/>
    <w:rsid w:val="004A530A"/>
    <w:pPr>
      <w:tabs>
        <w:tab w:val="center" w:pos="4680"/>
        <w:tab w:val="right" w:pos="9360"/>
      </w:tabs>
    </w:pPr>
  </w:style>
  <w:style w:type="character" w:customStyle="1" w:styleId="FooterChar">
    <w:name w:val="Footer Char"/>
    <w:basedOn w:val="DefaultParagraphFont"/>
    <w:link w:val="Footer"/>
    <w:uiPriority w:val="99"/>
    <w:rsid w:val="004A530A"/>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DE3B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B5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E3B5A"/>
    <w:rPr>
      <w:sz w:val="16"/>
      <w:szCs w:val="16"/>
    </w:rPr>
  </w:style>
  <w:style w:type="paragraph" w:styleId="CommentText">
    <w:name w:val="annotation text"/>
    <w:basedOn w:val="Normal"/>
    <w:link w:val="CommentTextChar"/>
    <w:uiPriority w:val="99"/>
    <w:semiHidden/>
    <w:unhideWhenUsed/>
    <w:rsid w:val="00DE3B5A"/>
    <w:rPr>
      <w:sz w:val="20"/>
      <w:szCs w:val="20"/>
    </w:rPr>
  </w:style>
  <w:style w:type="character" w:customStyle="1" w:styleId="CommentTextChar">
    <w:name w:val="Comment Text Char"/>
    <w:basedOn w:val="DefaultParagraphFont"/>
    <w:link w:val="CommentText"/>
    <w:uiPriority w:val="99"/>
    <w:semiHidden/>
    <w:rsid w:val="00DE3B5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E3B5A"/>
    <w:rPr>
      <w:b/>
      <w:bCs/>
    </w:rPr>
  </w:style>
  <w:style w:type="character" w:customStyle="1" w:styleId="CommentSubjectChar">
    <w:name w:val="Comment Subject Char"/>
    <w:basedOn w:val="CommentTextChar"/>
    <w:link w:val="CommentSubject"/>
    <w:uiPriority w:val="99"/>
    <w:semiHidden/>
    <w:rsid w:val="00DE3B5A"/>
    <w:rPr>
      <w:rFonts w:ascii="Arial" w:eastAsia="Times New Roman" w:hAnsi="Arial" w:cs="Times New Roman"/>
      <w:b/>
      <w:bCs/>
      <w:sz w:val="20"/>
      <w:szCs w:val="20"/>
    </w:rPr>
  </w:style>
  <w:style w:type="character" w:styleId="Hyperlink">
    <w:name w:val="Hyperlink"/>
    <w:basedOn w:val="DefaultParagraphFont"/>
    <w:uiPriority w:val="99"/>
    <w:unhideWhenUsed/>
    <w:rsid w:val="00FE4736"/>
    <w:rPr>
      <w:color w:val="0000FF"/>
      <w:u w:val="single"/>
    </w:rPr>
  </w:style>
  <w:style w:type="character" w:styleId="FollowedHyperlink">
    <w:name w:val="FollowedHyperlink"/>
    <w:basedOn w:val="DefaultParagraphFont"/>
    <w:uiPriority w:val="99"/>
    <w:semiHidden/>
    <w:unhideWhenUsed/>
    <w:rsid w:val="00E22454"/>
    <w:rPr>
      <w:color w:val="800080" w:themeColor="followedHyperlink"/>
      <w:u w:val="single"/>
    </w:rPr>
  </w:style>
  <w:style w:type="character" w:styleId="UnresolvedMention">
    <w:name w:val="Unresolved Mention"/>
    <w:basedOn w:val="DefaultParagraphFont"/>
    <w:uiPriority w:val="99"/>
    <w:semiHidden/>
    <w:unhideWhenUsed/>
    <w:rsid w:val="00BD6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4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B5D5F-73EF-4937-8D7C-C6BFF5F7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2350</Words>
  <Characters>13395</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Eugene</dc:creator>
  <cp:keywords/>
  <dc:description/>
  <cp:lastModifiedBy>Dinh, Thuy B.</cp:lastModifiedBy>
  <cp:revision>2</cp:revision>
  <dcterms:created xsi:type="dcterms:W3CDTF">2021-07-08T20:43:00Z</dcterms:created>
  <dcterms:modified xsi:type="dcterms:W3CDTF">2021-07-08T20:43:00Z</dcterms:modified>
</cp:coreProperties>
</file>