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642B6A" w:rsidP="00140DEF" w:rsidRDefault="00642B6A" w14:paraId="50F42292" w14:textId="77777777">
      <w:pPr>
        <w:suppressAutoHyphens/>
        <w:jc w:val="center"/>
        <w:rPr>
          <w:rFonts w:eastAsia="Times New Roman" w:cs="Times New Roman"/>
          <w:b/>
          <w:szCs w:val="24"/>
        </w:rPr>
      </w:pPr>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0AF34979">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524073">
        <w:rPr>
          <w:rFonts w:eastAsia="Times New Roman" w:cs="Times New Roman"/>
          <w:b/>
          <w:szCs w:val="24"/>
        </w:rPr>
        <w:t>8</w:t>
      </w:r>
      <w:r w:rsidR="00047399">
        <w:rPr>
          <w:rFonts w:eastAsia="Times New Roman" w:cs="Times New Roman"/>
          <w:b/>
          <w:szCs w:val="24"/>
        </w:rPr>
        <w:t>6</w:t>
      </w:r>
    </w:p>
    <w:p w:rsidR="00524073" w:rsidP="006B3F2C" w:rsidRDefault="00524073" w14:paraId="60199080" w14:textId="77777777">
      <w:pPr>
        <w:spacing w:after="240"/>
        <w:jc w:val="center"/>
        <w:outlineLvl w:val="0"/>
        <w:rPr>
          <w:rFonts w:eastAsia="Times New Roman" w:cs="Times New Roman"/>
          <w:szCs w:val="24"/>
        </w:rPr>
      </w:pPr>
      <w:r w:rsidRPr="00524073">
        <w:rPr>
          <w:rFonts w:eastAsia="Times New Roman" w:cs="Times New Roman"/>
          <w:szCs w:val="24"/>
        </w:rPr>
        <w:t>Swap Data Repositories: Registration and Regulatory Requirements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002142B5" w:rsidP="002142B5" w:rsidRDefault="002142B5" w14:paraId="11F00B70" w14:textId="77777777">
      <w:pPr>
        <w:tabs>
          <w:tab w:val="left" w:pos="-720"/>
          <w:tab w:val="left" w:pos="0"/>
        </w:tabs>
        <w:spacing w:after="240"/>
        <w:ind w:firstLine="720"/>
        <w:rPr>
          <w:rFonts w:eastAsia="Times New Roman" w:cs="Times New Roman"/>
          <w:szCs w:val="20"/>
        </w:rPr>
      </w:pPr>
      <w:r w:rsidRPr="007F5DBF">
        <w:rPr>
          <w:rFonts w:eastAsia="Times New Roman" w:cs="Times New Roman"/>
          <w:szCs w:val="20"/>
        </w:rPr>
        <w:t>On July 21, 2010, the Dodd-Frank Wall Street Reform and Consumer Protection Act (“</w:t>
      </w:r>
      <w:r>
        <w:rPr>
          <w:rFonts w:eastAsia="Times New Roman" w:cs="Times New Roman"/>
          <w:szCs w:val="20"/>
        </w:rPr>
        <w:t xml:space="preserve">Dodd </w:t>
      </w:r>
      <w:r w:rsidRPr="007F5DBF">
        <w:rPr>
          <w:rFonts w:eastAsia="Times New Roman" w:cs="Times New Roman"/>
          <w:szCs w:val="20"/>
        </w:rPr>
        <w:t>Frank Act”) went into effect.</w:t>
      </w:r>
      <w:r w:rsidRPr="007F5DBF">
        <w:rPr>
          <w:rFonts w:eastAsia="Times New Roman" w:cs="Times New Roman"/>
          <w:szCs w:val="20"/>
          <w:vertAlign w:val="superscript"/>
        </w:rPr>
        <w:footnoteReference w:id="1"/>
      </w:r>
      <w:r w:rsidRPr="007F5DBF">
        <w:rPr>
          <w:rFonts w:eastAsia="Times New Roman" w:cs="Times New Roman"/>
          <w:szCs w:val="20"/>
        </w:rPr>
        <w:t xml:space="preserve"> Title VII of the Dodd-Frank Act amends the Commodity Exchange Act (“CEA”)</w:t>
      </w:r>
      <w:r w:rsidRPr="007F5DBF">
        <w:rPr>
          <w:rFonts w:eastAsia="Times New Roman" w:cs="Times New Roman"/>
          <w:szCs w:val="20"/>
          <w:vertAlign w:val="superscript"/>
        </w:rPr>
        <w:footnoteReference w:id="2"/>
      </w:r>
      <w:r w:rsidRPr="007F5DBF">
        <w:rPr>
          <w:rFonts w:eastAsia="Times New Roman" w:cs="Times New Roman"/>
          <w:szCs w:val="20"/>
        </w:rPr>
        <w:t xml:space="preserve"> to establish a comprehensive new regulatory framework for s</w:t>
      </w:r>
      <w:r>
        <w:rPr>
          <w:rFonts w:eastAsia="Times New Roman" w:cs="Times New Roman"/>
          <w:szCs w:val="20"/>
        </w:rPr>
        <w:t xml:space="preserve">waps and security-based swaps. </w:t>
      </w:r>
      <w:r w:rsidRPr="007F5DBF">
        <w:rPr>
          <w:rFonts w:eastAsia="Times New Roman" w:cs="Times New Roman"/>
          <w:szCs w:val="20"/>
        </w:rPr>
        <w:t>Section 728 of the Dodd-Frank Act specifically requires the Commodity Futures Trading Commission (“CFTC” or “Commission”) to establish certain standards for the registration and governance of swap data repositories (“SDRs”)</w:t>
      </w:r>
      <w:r>
        <w:rPr>
          <w:rFonts w:eastAsia="Times New Roman" w:cs="Times New Roman"/>
          <w:szCs w:val="20"/>
        </w:rPr>
        <w:t>, including regulations regarding SDRs reporting data to the Commission and to the public</w:t>
      </w:r>
      <w:r w:rsidRPr="007F5DBF">
        <w:rPr>
          <w:rFonts w:eastAsia="Times New Roman" w:cs="Times New Roman"/>
          <w:szCs w:val="20"/>
        </w:rPr>
        <w:t>.</w:t>
      </w:r>
      <w:r>
        <w:rPr>
          <w:rFonts w:eastAsia="Times New Roman" w:cs="Times New Roman"/>
          <w:szCs w:val="20"/>
        </w:rPr>
        <w:t xml:space="preserve"> </w:t>
      </w:r>
      <w:r w:rsidRPr="007F5DBF">
        <w:rPr>
          <w:rFonts w:eastAsia="Times New Roman" w:cs="Times New Roman"/>
          <w:szCs w:val="20"/>
        </w:rPr>
        <w:t>Accordingly, the CFTC proposed and adopted part 49 of the Commission’s Regulations</w:t>
      </w:r>
      <w:r>
        <w:rPr>
          <w:rFonts w:eastAsia="Times New Roman" w:cs="Times New Roman"/>
          <w:szCs w:val="20"/>
        </w:rPr>
        <w:t xml:space="preserve"> in 2011</w:t>
      </w:r>
      <w:r w:rsidRPr="007F5DBF">
        <w:rPr>
          <w:rFonts w:eastAsia="Times New Roman" w:cs="Times New Roman"/>
          <w:szCs w:val="20"/>
        </w:rPr>
        <w:t>.</w:t>
      </w:r>
      <w:r w:rsidRPr="007F5DBF">
        <w:rPr>
          <w:rFonts w:eastAsia="Times New Roman" w:cs="Times New Roman"/>
          <w:szCs w:val="20"/>
          <w:vertAlign w:val="superscript"/>
        </w:rPr>
        <w:footnoteReference w:id="3"/>
      </w:r>
    </w:p>
    <w:p w:rsidR="00A078CB" w:rsidP="002142B5" w:rsidRDefault="002142B5" w14:paraId="44A45F33" w14:textId="1713981C">
      <w:pPr>
        <w:tabs>
          <w:tab w:val="left" w:pos="-720"/>
          <w:tab w:val="left" w:pos="0"/>
        </w:tabs>
        <w:spacing w:after="240"/>
        <w:ind w:firstLine="720"/>
        <w:rPr>
          <w:rFonts w:eastAsia="Calibri" w:cs="Times New Roman"/>
          <w:szCs w:val="24"/>
        </w:rPr>
      </w:pPr>
      <w:r>
        <w:rPr>
          <w:rFonts w:eastAsia="Times New Roman" w:cs="Times New Roman"/>
          <w:szCs w:val="20"/>
        </w:rPr>
        <w:t xml:space="preserve">On July 10, 2017, </w:t>
      </w:r>
      <w:r w:rsidRPr="00414DBF">
        <w:rPr>
          <w:rFonts w:eastAsia="Calibri" w:cs="Times New Roman"/>
          <w:szCs w:val="24"/>
        </w:rPr>
        <w:t>Commission staff announced a comprehensive review of swap reporting regulations and released the Roadmap to Achieve High Quality Swap Data (“Roadmap”)</w:t>
      </w:r>
      <w:bookmarkStart w:name="_Ref498697230" w:id="0"/>
      <w:r w:rsidRPr="00414DBF">
        <w:rPr>
          <w:rFonts w:eastAsia="Calibri" w:cs="Times New Roman"/>
          <w:szCs w:val="24"/>
          <w:vertAlign w:val="superscript"/>
        </w:rPr>
        <w:footnoteReference w:id="4"/>
      </w:r>
      <w:bookmarkEnd w:id="0"/>
      <w:r w:rsidRPr="00414DBF">
        <w:rPr>
          <w:rFonts w:eastAsia="Calibri" w:cs="Times New Roman"/>
          <w:szCs w:val="24"/>
        </w:rPr>
        <w:t xml:space="preserve"> to solicit feedback on improvements to data reporting and how the Commission’s regulatory goals may be achieved without imposing unnecessary burdens on market participants</w:t>
      </w:r>
      <w:r w:rsidR="00245D71">
        <w:rPr>
          <w:rFonts w:eastAsia="Calibri" w:cs="Times New Roman"/>
          <w:szCs w:val="24"/>
        </w:rPr>
        <w:t>.</w:t>
      </w:r>
      <w:r w:rsidR="00A078CB">
        <w:rPr>
          <w:rFonts w:eastAsia="Calibri" w:cs="Times New Roman"/>
          <w:szCs w:val="24"/>
        </w:rPr>
        <w:t xml:space="preserve"> </w:t>
      </w:r>
      <w:r w:rsidR="00A078CB">
        <w:rPr>
          <w:rFonts w:eastAsia="Calibri"/>
        </w:rPr>
        <w:t xml:space="preserve">Based in part on these public comments and the Commission staff’s review of these issues, the Commission issued a notice of proposed rulemaking (“Proposal”) on May 13, 2019 to </w:t>
      </w:r>
      <w:r w:rsidRPr="006C0D6E" w:rsidR="00A078CB">
        <w:rPr>
          <w:rFonts w:eastAsia="Calibri"/>
        </w:rPr>
        <w:t>address the Roadmap</w:t>
      </w:r>
      <w:r w:rsidR="00A078CB">
        <w:rPr>
          <w:rFonts w:eastAsia="Calibri"/>
        </w:rPr>
        <w:t>’s</w:t>
      </w:r>
      <w:r w:rsidRPr="006C0D6E" w:rsidR="00A078CB">
        <w:rPr>
          <w:rFonts w:eastAsia="Calibri"/>
        </w:rPr>
        <w:t xml:space="preserve"> SDR Operations Review goals</w:t>
      </w:r>
      <w:r w:rsidRPr="00414DBF">
        <w:rPr>
          <w:rFonts w:eastAsia="Calibri" w:cs="Times New Roman"/>
          <w:szCs w:val="24"/>
        </w:rPr>
        <w:t>.</w:t>
      </w:r>
      <w:r w:rsidR="00A078CB">
        <w:rPr>
          <w:rFonts w:eastAsia="Calibri" w:cs="Times New Roman"/>
          <w:szCs w:val="24"/>
        </w:rPr>
        <w:t xml:space="preserve"> </w:t>
      </w:r>
      <w:r w:rsidR="00FB17E6">
        <w:rPr>
          <w:rFonts w:eastAsia="Calibri" w:cs="Times New Roman"/>
          <w:szCs w:val="24"/>
        </w:rPr>
        <w:t>T</w:t>
      </w:r>
      <w:r>
        <w:rPr>
          <w:rFonts w:eastAsia="Calibri" w:cs="Times New Roman"/>
          <w:szCs w:val="24"/>
        </w:rPr>
        <w:t xml:space="preserve">he Commission </w:t>
      </w:r>
      <w:r w:rsidR="000D3504">
        <w:rPr>
          <w:rFonts w:eastAsia="Calibri" w:cs="Times New Roman"/>
          <w:szCs w:val="24"/>
        </w:rPr>
        <w:t>has</w:t>
      </w:r>
      <w:r>
        <w:rPr>
          <w:rFonts w:eastAsia="Calibri" w:cs="Times New Roman"/>
          <w:szCs w:val="24"/>
        </w:rPr>
        <w:t xml:space="preserve"> now </w:t>
      </w:r>
      <w:r w:rsidR="000D3504">
        <w:rPr>
          <w:rFonts w:eastAsia="Calibri" w:cs="Times New Roman"/>
          <w:szCs w:val="24"/>
        </w:rPr>
        <w:t>finalized</w:t>
      </w:r>
      <w:r>
        <w:rPr>
          <w:rFonts w:eastAsia="Calibri" w:cs="Times New Roman"/>
          <w:szCs w:val="24"/>
        </w:rPr>
        <w:t xml:space="preserve"> </w:t>
      </w:r>
      <w:r w:rsidR="00FB17E6">
        <w:rPr>
          <w:rFonts w:eastAsia="Calibri" w:cs="Times New Roman"/>
          <w:szCs w:val="24"/>
        </w:rPr>
        <w:t xml:space="preserve">that proposed </w:t>
      </w:r>
      <w:r>
        <w:rPr>
          <w:rFonts w:eastAsia="Calibri" w:cs="Times New Roman"/>
          <w:szCs w:val="24"/>
        </w:rPr>
        <w:t>rulemaking</w:t>
      </w:r>
      <w:r w:rsidR="00FB17E6">
        <w:rPr>
          <w:rFonts w:eastAsia="Calibri" w:cs="Times New Roman"/>
          <w:szCs w:val="24"/>
        </w:rPr>
        <w:t>.</w:t>
      </w:r>
      <w:r>
        <w:rPr>
          <w:rFonts w:eastAsia="Calibri" w:cs="Times New Roman"/>
          <w:szCs w:val="24"/>
        </w:rPr>
        <w:t xml:space="preserve"> Many information collections discussed in existing Information Collection 3038-0086 would not be impacted by the revisions, and the Commission is not revis</w:t>
      </w:r>
      <w:r w:rsidR="0042465E">
        <w:rPr>
          <w:rFonts w:eastAsia="Calibri" w:cs="Times New Roman"/>
          <w:szCs w:val="24"/>
        </w:rPr>
        <w:t>ing</w:t>
      </w:r>
      <w:bookmarkStart w:name="_GoBack" w:id="1"/>
      <w:bookmarkEnd w:id="1"/>
      <w:r>
        <w:rPr>
          <w:rFonts w:eastAsia="Calibri" w:cs="Times New Roman"/>
          <w:szCs w:val="24"/>
        </w:rPr>
        <w:t xml:space="preserve"> the estimated burdens associated with those collections. </w:t>
      </w:r>
      <w:r w:rsidR="00FB17E6">
        <w:rPr>
          <w:rFonts w:eastAsia="Times New Roman" w:cs="Times New Roman"/>
          <w:color w:val="000000"/>
          <w:szCs w:val="24"/>
        </w:rPr>
        <w:t>As explained further below, several</w:t>
      </w:r>
      <w:r w:rsidRPr="00A02F67" w:rsidR="00FB17E6">
        <w:rPr>
          <w:rFonts w:eastAsia="Times New Roman" w:cs="Times New Roman"/>
          <w:color w:val="000000"/>
          <w:szCs w:val="24"/>
        </w:rPr>
        <w:t xml:space="preserve"> information collections discussed in existing </w:t>
      </w:r>
      <w:r w:rsidR="00FB17E6">
        <w:rPr>
          <w:rFonts w:eastAsia="Times New Roman" w:cs="Times New Roman"/>
          <w:color w:val="000000"/>
          <w:szCs w:val="24"/>
        </w:rPr>
        <w:t>Information Collection 3038-0086</w:t>
      </w:r>
      <w:r w:rsidRPr="00A02F67" w:rsidR="00FB17E6">
        <w:rPr>
          <w:rFonts w:eastAsia="Times New Roman" w:cs="Times New Roman"/>
          <w:color w:val="000000"/>
          <w:szCs w:val="24"/>
        </w:rPr>
        <w:t xml:space="preserve"> </w:t>
      </w:r>
      <w:r w:rsidR="00FB17E6">
        <w:rPr>
          <w:rFonts w:eastAsia="Times New Roman" w:cs="Times New Roman"/>
          <w:color w:val="000000"/>
          <w:szCs w:val="24"/>
        </w:rPr>
        <w:t>are amended by a separate rulemaking</w:t>
      </w:r>
      <w:r w:rsidRPr="00A02F67" w:rsidR="00FB17E6">
        <w:rPr>
          <w:rFonts w:eastAsia="Times New Roman" w:cs="Times New Roman"/>
          <w:color w:val="000000"/>
          <w:szCs w:val="24"/>
        </w:rPr>
        <w:t>, and the Commission is not revis</w:t>
      </w:r>
      <w:r w:rsidR="00FB17E6">
        <w:rPr>
          <w:rFonts w:eastAsia="Times New Roman" w:cs="Times New Roman"/>
          <w:color w:val="000000"/>
          <w:szCs w:val="24"/>
        </w:rPr>
        <w:t>ing</w:t>
      </w:r>
      <w:r w:rsidRPr="00A02F67" w:rsidR="00FB17E6">
        <w:rPr>
          <w:rFonts w:eastAsia="Times New Roman" w:cs="Times New Roman"/>
          <w:color w:val="000000"/>
          <w:szCs w:val="24"/>
        </w:rPr>
        <w:t xml:space="preserve"> the estimated burdens ass</w:t>
      </w:r>
      <w:r w:rsidR="00FB17E6">
        <w:rPr>
          <w:rFonts w:eastAsia="Times New Roman" w:cs="Times New Roman"/>
          <w:color w:val="000000"/>
          <w:szCs w:val="24"/>
        </w:rPr>
        <w:t>ociated with those collections in this statement.</w:t>
      </w:r>
    </w:p>
    <w:p w:rsidR="00A078CB" w:rsidP="00A078CB" w:rsidRDefault="00A078CB" w14:paraId="661B56FC" w14:textId="77777777">
      <w:pPr>
        <w:autoSpaceDE w:val="0"/>
        <w:autoSpaceDN w:val="0"/>
        <w:adjustRightInd w:val="0"/>
        <w:rPr>
          <w:rFonts w:eastAsia="Times New Roman" w:cs="Times New Roman"/>
          <w:color w:val="000000"/>
          <w:szCs w:val="24"/>
        </w:rPr>
      </w:pPr>
    </w:p>
    <w:p w:rsidR="00A078CB" w:rsidP="00A078CB" w:rsidRDefault="00A078CB" w14:paraId="41E5013A" w14:textId="20A1621D">
      <w:pPr>
        <w:autoSpaceDE w:val="0"/>
        <w:autoSpaceDN w:val="0"/>
        <w:adjustRightInd w:val="0"/>
        <w:ind w:firstLine="720"/>
      </w:pPr>
      <w:r w:rsidRPr="001E1F23">
        <w:t>The modified collections</w:t>
      </w:r>
      <w:r w:rsidR="00FB17E6">
        <w:t xml:space="preserve"> discussed herein</w:t>
      </w:r>
      <w:r w:rsidRPr="001E1F23">
        <w:t xml:space="preserve"> </w:t>
      </w:r>
      <w:r>
        <w:t>will</w:t>
      </w:r>
      <w:r w:rsidRPr="001E1F23">
        <w:t xml:space="preserve"> affect SDRs that collect swap data for the Commission to perform its regulatory duties of risk monitoring and ensuring compliance with its rules, among other things. The information sent to the Commission </w:t>
      </w:r>
      <w:r>
        <w:t xml:space="preserve">is </w:t>
      </w:r>
      <w:r w:rsidRPr="001E1F23">
        <w:t xml:space="preserve">necessary for the Commission to </w:t>
      </w:r>
      <w:r w:rsidR="00FB17E6">
        <w:t xml:space="preserve">perform its regulatory mandate of the markets, and SDRs. </w:t>
      </w:r>
      <w:r w:rsidRPr="001E1F23">
        <w:t xml:space="preserve">Without accurate reporting of </w:t>
      </w:r>
      <w:r w:rsidR="00FB17E6">
        <w:t>the</w:t>
      </w:r>
      <w:r w:rsidRPr="001E1F23">
        <w:t xml:space="preserve"> data as set forth in the Commission’s regulations</w:t>
      </w:r>
      <w:r w:rsidR="00FB17E6">
        <w:t xml:space="preserve"> discussed in this statement,</w:t>
      </w:r>
      <w:r w:rsidRPr="001E1F23">
        <w:t xml:space="preserve"> the Commission would be unable to fulfill its regulatory mandate of monitoring systemic risk.</w:t>
      </w:r>
    </w:p>
    <w:p w:rsidR="00FB17E6" w:rsidP="002142B5" w:rsidRDefault="00FB17E6" w14:paraId="17273155" w14:textId="77777777">
      <w:pPr>
        <w:tabs>
          <w:tab w:val="left" w:pos="-720"/>
          <w:tab w:val="left" w:pos="0"/>
        </w:tabs>
        <w:spacing w:after="240"/>
        <w:ind w:firstLine="720"/>
        <w:rPr>
          <w:rFonts w:eastAsia="Calibri" w:cs="Times New Roman"/>
          <w:szCs w:val="24"/>
        </w:rPr>
      </w:pPr>
    </w:p>
    <w:p w:rsidRPr="00642B6A" w:rsidR="002142B5" w:rsidP="002142B5" w:rsidRDefault="002142B5" w14:paraId="5A18F14A" w14:textId="7166FDE5">
      <w:pPr>
        <w:tabs>
          <w:tab w:val="left" w:pos="-720"/>
          <w:tab w:val="left" w:pos="0"/>
        </w:tabs>
        <w:spacing w:after="240"/>
        <w:ind w:firstLine="720"/>
        <w:rPr>
          <w:rFonts w:eastAsia="Times New Roman" w:cs="Times New Roman"/>
          <w:szCs w:val="24"/>
        </w:rPr>
      </w:pPr>
      <w:r>
        <w:rPr>
          <w:rFonts w:eastAsia="Calibri" w:cs="Times New Roman"/>
          <w:szCs w:val="24"/>
        </w:rPr>
        <w:t>The new or revised information collections affect SDRs that are registered with the Commission or may register with the Commission in the future. The Commission is add</w:t>
      </w:r>
      <w:r w:rsidR="001725C0">
        <w:rPr>
          <w:rFonts w:eastAsia="Calibri" w:cs="Times New Roman"/>
          <w:szCs w:val="24"/>
        </w:rPr>
        <w:t>ing</w:t>
      </w:r>
      <w:r>
        <w:rPr>
          <w:rFonts w:eastAsia="Calibri" w:cs="Times New Roman"/>
          <w:szCs w:val="24"/>
        </w:rPr>
        <w:t xml:space="preserve"> or modify</w:t>
      </w:r>
      <w:r w:rsidR="001725C0">
        <w:rPr>
          <w:rFonts w:eastAsia="Calibri" w:cs="Times New Roman"/>
          <w:szCs w:val="24"/>
        </w:rPr>
        <w:t>ing</w:t>
      </w:r>
      <w:r>
        <w:rPr>
          <w:rFonts w:eastAsia="Calibri" w:cs="Times New Roman"/>
          <w:szCs w:val="24"/>
        </w:rPr>
        <w:t xml:space="preserve"> information collections </w:t>
      </w:r>
      <w:r w:rsidR="00370BB6">
        <w:rPr>
          <w:rFonts w:eastAsia="Calibri" w:cs="Times New Roman"/>
          <w:szCs w:val="24"/>
        </w:rPr>
        <w:t>relating to</w:t>
      </w:r>
      <w:r>
        <w:rPr>
          <w:rFonts w:eastAsia="Calibri" w:cs="Times New Roman"/>
          <w:szCs w:val="24"/>
        </w:rPr>
        <w:t xml:space="preserve"> the following regulations:</w:t>
      </w:r>
    </w:p>
    <w:p w:rsidRPr="00B37CD9" w:rsidR="002142B5" w:rsidP="002142B5" w:rsidRDefault="002142B5" w14:paraId="09ED7855" w14:textId="63705618">
      <w:pPr>
        <w:pStyle w:val="ListParagraph"/>
        <w:numPr>
          <w:ilvl w:val="0"/>
          <w:numId w:val="16"/>
        </w:numPr>
        <w:autoSpaceDE w:val="0"/>
        <w:autoSpaceDN w:val="0"/>
        <w:adjustRightInd w:val="0"/>
        <w:rPr>
          <w:rFonts w:eastAsia="Times New Roman" w:cs="Times New Roman"/>
          <w:color w:val="000000"/>
          <w:szCs w:val="24"/>
        </w:rPr>
      </w:pPr>
      <w:r>
        <w:t xml:space="preserve">Section 49.3 of the Commission’s regulations contains the requirements related to registering with the Commission as an SDR. </w:t>
      </w:r>
      <w:r w:rsidR="00370BB6">
        <w:t>Final</w:t>
      </w:r>
      <w:r>
        <w:t xml:space="preserve"> § 49.3(a) remove</w:t>
      </w:r>
      <w:r w:rsidR="00D70894">
        <w:t>s</w:t>
      </w:r>
      <w:r>
        <w:t xml:space="preserve"> from § 49.3(a)(5) the requirement for SDRs to file an annual amendment to Form SDR.</w:t>
      </w:r>
    </w:p>
    <w:p w:rsidRPr="007F5DBF" w:rsidR="002142B5" w:rsidP="002142B5" w:rsidRDefault="002142B5" w14:paraId="762DFD30" w14:textId="77777777">
      <w:pPr>
        <w:pStyle w:val="ListParagraph"/>
        <w:autoSpaceDE w:val="0"/>
        <w:autoSpaceDN w:val="0"/>
        <w:adjustRightInd w:val="0"/>
        <w:rPr>
          <w:rFonts w:eastAsia="Times New Roman" w:cs="Times New Roman"/>
          <w:color w:val="000000"/>
          <w:szCs w:val="24"/>
        </w:rPr>
      </w:pPr>
    </w:p>
    <w:p w:rsidR="002142B5" w:rsidP="002142B5" w:rsidRDefault="002142B5" w14:paraId="5D571000" w14:textId="2B136E35">
      <w:pPr>
        <w:pStyle w:val="ListParagraph"/>
        <w:numPr>
          <w:ilvl w:val="0"/>
          <w:numId w:val="16"/>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49.5 of the Commission’s regulations contains the requirements related to equity interest transfers. </w:t>
      </w:r>
      <w:r w:rsidR="00370BB6">
        <w:rPr>
          <w:rFonts w:eastAsia="Times New Roman" w:cs="Times New Roman"/>
          <w:color w:val="000000"/>
          <w:szCs w:val="24"/>
        </w:rPr>
        <w:t>Final</w:t>
      </w:r>
      <w:r>
        <w:rPr>
          <w:rFonts w:eastAsia="Times New Roman" w:cs="Times New Roman"/>
          <w:color w:val="000000"/>
          <w:szCs w:val="24"/>
        </w:rPr>
        <w:t xml:space="preserve"> § 49.5 require</w:t>
      </w:r>
      <w:r w:rsidR="00370BB6">
        <w:rPr>
          <w:rFonts w:eastAsia="Times New Roman" w:cs="Times New Roman"/>
          <w:color w:val="000000"/>
          <w:szCs w:val="24"/>
        </w:rPr>
        <w:t>s</w:t>
      </w:r>
      <w:r>
        <w:rPr>
          <w:rFonts w:eastAsia="Times New Roman" w:cs="Times New Roman"/>
          <w:color w:val="000000"/>
          <w:szCs w:val="24"/>
        </w:rPr>
        <w:t xml:space="preserve"> SDRs to file a notification with the Commission for each transaction involving the direct or indirect transfer of ten percent or more of the equity interest in the SDR within ten business days of the firm obligation to transfer the equity interest, to provide the Commission with supporting documentation for the transaction on request, and to file a certification with the Commission that the SDR will meet all of its obligations under the CEA and the Commission’s regulations within two business days of completing the equity interest transfer.</w:t>
      </w:r>
    </w:p>
    <w:p w:rsidRPr="00B37CD9" w:rsidR="002142B5" w:rsidP="002142B5" w:rsidRDefault="002142B5" w14:paraId="700DA9B0" w14:textId="77777777">
      <w:pPr>
        <w:autoSpaceDE w:val="0"/>
        <w:autoSpaceDN w:val="0"/>
        <w:adjustRightInd w:val="0"/>
        <w:rPr>
          <w:rFonts w:eastAsia="Times New Roman" w:cs="Times New Roman"/>
          <w:color w:val="000000"/>
          <w:szCs w:val="24"/>
        </w:rPr>
      </w:pPr>
    </w:p>
    <w:p w:rsidR="002142B5" w:rsidP="002142B5" w:rsidRDefault="002142B5" w14:paraId="5733AF09" w14:textId="36144A3F">
      <w:pPr>
        <w:pStyle w:val="ListParagraph"/>
        <w:numPr>
          <w:ilvl w:val="0"/>
          <w:numId w:val="16"/>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49.6 of the Commission’s regulations contains the requirements related to registration of successor entities. </w:t>
      </w:r>
      <w:r w:rsidR="00370BB6">
        <w:rPr>
          <w:rFonts w:eastAsia="Times New Roman" w:cs="Times New Roman"/>
          <w:color w:val="000000"/>
          <w:szCs w:val="24"/>
        </w:rPr>
        <w:t>Final</w:t>
      </w:r>
      <w:r>
        <w:rPr>
          <w:rFonts w:eastAsia="Times New Roman" w:cs="Times New Roman"/>
          <w:color w:val="000000"/>
          <w:szCs w:val="24"/>
        </w:rPr>
        <w:t xml:space="preserve"> § 49.6 require</w:t>
      </w:r>
      <w:r w:rsidR="00370BB6">
        <w:rPr>
          <w:rFonts w:eastAsia="Times New Roman" w:cs="Times New Roman"/>
          <w:color w:val="000000"/>
          <w:szCs w:val="24"/>
        </w:rPr>
        <w:t>s</w:t>
      </w:r>
      <w:r>
        <w:rPr>
          <w:rFonts w:eastAsia="Times New Roman" w:cs="Times New Roman"/>
          <w:color w:val="000000"/>
          <w:szCs w:val="24"/>
        </w:rPr>
        <w:t xml:space="preserve"> an SDR seeking to transfer its registration to another legal entity due to a corporate change to file a request for approval with the Commission before the anticipated corporate change, including the specific documents and information listed in § 49.6(c).</w:t>
      </w:r>
    </w:p>
    <w:p w:rsidRPr="00B37CD9" w:rsidR="002142B5" w:rsidP="002142B5" w:rsidRDefault="002142B5" w14:paraId="74CECDE6" w14:textId="77777777">
      <w:pPr>
        <w:pStyle w:val="ListParagraph"/>
        <w:rPr>
          <w:rFonts w:eastAsia="Times New Roman" w:cs="Times New Roman"/>
          <w:color w:val="000000"/>
          <w:szCs w:val="24"/>
        </w:rPr>
      </w:pPr>
    </w:p>
    <w:p w:rsidR="002142B5" w:rsidP="002142B5" w:rsidRDefault="00D70894" w14:paraId="3CBDE465" w14:textId="12C5923D">
      <w:pPr>
        <w:pStyle w:val="ListParagraph"/>
        <w:numPr>
          <w:ilvl w:val="0"/>
          <w:numId w:val="16"/>
        </w:numPr>
        <w:autoSpaceDE w:val="0"/>
        <w:autoSpaceDN w:val="0"/>
        <w:adjustRightInd w:val="0"/>
        <w:rPr>
          <w:rFonts w:eastAsia="Times New Roman" w:cs="Times New Roman"/>
          <w:color w:val="000000"/>
          <w:szCs w:val="24"/>
        </w:rPr>
      </w:pPr>
      <w:r>
        <w:rPr>
          <w:rFonts w:eastAsia="Times New Roman" w:cs="Times New Roman"/>
          <w:color w:val="000000"/>
          <w:szCs w:val="24"/>
        </w:rPr>
        <w:t>Final</w:t>
      </w:r>
      <w:r w:rsidR="002142B5">
        <w:rPr>
          <w:rFonts w:eastAsia="Times New Roman" w:cs="Times New Roman"/>
          <w:color w:val="000000"/>
          <w:szCs w:val="24"/>
        </w:rPr>
        <w:t xml:space="preserve"> § </w:t>
      </w:r>
      <w:r w:rsidRPr="00B37CD9" w:rsidR="002142B5">
        <w:rPr>
          <w:rFonts w:eastAsia="Times New Roman" w:cs="Times New Roman"/>
          <w:color w:val="000000"/>
          <w:szCs w:val="24"/>
        </w:rPr>
        <w:t>49.9</w:t>
      </w:r>
      <w:r w:rsidR="002142B5">
        <w:rPr>
          <w:rFonts w:eastAsia="Times New Roman" w:cs="Times New Roman"/>
          <w:color w:val="000000"/>
          <w:szCs w:val="24"/>
        </w:rPr>
        <w:t xml:space="preserve"> remove</w:t>
      </w:r>
      <w:r>
        <w:rPr>
          <w:rFonts w:eastAsia="Times New Roman" w:cs="Times New Roman"/>
          <w:color w:val="000000"/>
          <w:szCs w:val="24"/>
        </w:rPr>
        <w:t>s</w:t>
      </w:r>
      <w:r w:rsidR="002142B5">
        <w:rPr>
          <w:rFonts w:eastAsia="Times New Roman" w:cs="Times New Roman"/>
          <w:color w:val="000000"/>
          <w:szCs w:val="24"/>
        </w:rPr>
        <w:t xml:space="preserve"> the current text of the section and replace</w:t>
      </w:r>
      <w:r>
        <w:rPr>
          <w:rFonts w:eastAsia="Times New Roman" w:cs="Times New Roman"/>
          <w:color w:val="000000"/>
          <w:szCs w:val="24"/>
        </w:rPr>
        <w:t>s</w:t>
      </w:r>
      <w:r w:rsidR="002142B5">
        <w:rPr>
          <w:rFonts w:eastAsia="Times New Roman" w:cs="Times New Roman"/>
          <w:color w:val="000000"/>
          <w:szCs w:val="24"/>
        </w:rPr>
        <w:t xml:space="preserve"> it with requirements related to SDRs providing open swaps reports to the Commission. </w:t>
      </w:r>
      <w:r>
        <w:rPr>
          <w:rFonts w:eastAsia="Times New Roman" w:cs="Times New Roman"/>
          <w:color w:val="000000"/>
          <w:szCs w:val="24"/>
        </w:rPr>
        <w:t xml:space="preserve">Final </w:t>
      </w:r>
      <w:r w:rsidR="002142B5">
        <w:rPr>
          <w:rFonts w:eastAsia="Times New Roman" w:cs="Times New Roman"/>
          <w:color w:val="000000"/>
          <w:szCs w:val="24"/>
        </w:rPr>
        <w:t>§ 49.9 require</w:t>
      </w:r>
      <w:r>
        <w:rPr>
          <w:rFonts w:eastAsia="Times New Roman" w:cs="Times New Roman"/>
          <w:color w:val="000000"/>
          <w:szCs w:val="24"/>
        </w:rPr>
        <w:t>s</w:t>
      </w:r>
      <w:r w:rsidR="002142B5">
        <w:rPr>
          <w:rFonts w:eastAsia="Times New Roman" w:cs="Times New Roman"/>
          <w:color w:val="000000"/>
          <w:szCs w:val="24"/>
        </w:rPr>
        <w:t xml:space="preserve"> SDRs to provide reports to the Commission with swap data for every open swap maintained by an SDR, as instructed by the Commission, including instructions related to the method, timing, frequency, and format for the open swaps reports.</w:t>
      </w:r>
    </w:p>
    <w:p w:rsidRPr="00966CD3" w:rsidR="002142B5" w:rsidP="002142B5" w:rsidRDefault="002142B5" w14:paraId="5BEFC97C" w14:textId="77777777">
      <w:pPr>
        <w:pStyle w:val="ListParagraph"/>
        <w:rPr>
          <w:rFonts w:eastAsia="Times New Roman" w:cs="Times New Roman"/>
          <w:color w:val="000000"/>
          <w:szCs w:val="24"/>
        </w:rPr>
      </w:pPr>
    </w:p>
    <w:p w:rsidR="002142B5" w:rsidP="002142B5" w:rsidRDefault="002142B5" w14:paraId="19118F3D" w14:textId="7366B43E">
      <w:pPr>
        <w:pStyle w:val="ListParagraph"/>
        <w:numPr>
          <w:ilvl w:val="0"/>
          <w:numId w:val="16"/>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w:t>
      </w:r>
      <w:r w:rsidRPr="00966CD3">
        <w:rPr>
          <w:rFonts w:eastAsia="Times New Roman" w:cs="Times New Roman"/>
          <w:color w:val="000000"/>
          <w:szCs w:val="24"/>
        </w:rPr>
        <w:t>49.10</w:t>
      </w:r>
      <w:r>
        <w:rPr>
          <w:rFonts w:eastAsia="Times New Roman" w:cs="Times New Roman"/>
          <w:color w:val="000000"/>
          <w:szCs w:val="24"/>
        </w:rPr>
        <w:t xml:space="preserve"> of the Commission’s regulations contains requirements related to SDRs accepting data reported to them pursuant to other Commission regulations. </w:t>
      </w:r>
      <w:r w:rsidR="00D70894">
        <w:rPr>
          <w:rFonts w:eastAsia="Times New Roman" w:cs="Times New Roman"/>
          <w:color w:val="000000"/>
          <w:szCs w:val="24"/>
        </w:rPr>
        <w:t>Final</w:t>
      </w:r>
      <w:r>
        <w:rPr>
          <w:rFonts w:eastAsia="Times New Roman" w:cs="Times New Roman"/>
          <w:color w:val="000000"/>
          <w:szCs w:val="24"/>
        </w:rPr>
        <w:t xml:space="preserve"> § 49.10(e) more clearly require</w:t>
      </w:r>
      <w:r w:rsidR="00D70894">
        <w:rPr>
          <w:rFonts w:eastAsia="Times New Roman" w:cs="Times New Roman"/>
          <w:color w:val="000000"/>
          <w:szCs w:val="24"/>
        </w:rPr>
        <w:t>s</w:t>
      </w:r>
      <w:r>
        <w:rPr>
          <w:rFonts w:eastAsia="Times New Roman" w:cs="Times New Roman"/>
          <w:color w:val="000000"/>
          <w:szCs w:val="24"/>
        </w:rPr>
        <w:t xml:space="preserve"> SDRs to accept, process, and disseminate corrections for data errors and omissions.</w:t>
      </w:r>
    </w:p>
    <w:p w:rsidRPr="00B00E21" w:rsidR="002142B5" w:rsidP="002142B5" w:rsidRDefault="002142B5" w14:paraId="51B0CDEF" w14:textId="77777777">
      <w:pPr>
        <w:pStyle w:val="ListParagraph"/>
        <w:rPr>
          <w:rFonts w:eastAsia="Times New Roman" w:cs="Times New Roman"/>
          <w:color w:val="000000"/>
          <w:szCs w:val="24"/>
        </w:rPr>
      </w:pPr>
    </w:p>
    <w:p w:rsidR="00D70894" w:rsidP="00D70894" w:rsidRDefault="002142B5" w14:paraId="64367D4B" w14:textId="7E32804E">
      <w:pPr>
        <w:pStyle w:val="ListParagraph"/>
        <w:numPr>
          <w:ilvl w:val="0"/>
          <w:numId w:val="16"/>
        </w:numPr>
        <w:autoSpaceDE w:val="0"/>
        <w:autoSpaceDN w:val="0"/>
        <w:adjustRightInd w:val="0"/>
        <w:rPr>
          <w:rFonts w:eastAsia="Times New Roman" w:cs="Times New Roman"/>
          <w:color w:val="000000"/>
          <w:szCs w:val="24"/>
        </w:rPr>
      </w:pPr>
      <w:r w:rsidRPr="00D70894">
        <w:rPr>
          <w:rFonts w:eastAsia="Times New Roman" w:cs="Times New Roman"/>
          <w:color w:val="000000"/>
          <w:szCs w:val="24"/>
        </w:rPr>
        <w:t xml:space="preserve">Section 49.11 of the Commission’s regulations contains the requirements related to SDRs confirming data reported to them pursuant to other Commission regulations. </w:t>
      </w:r>
      <w:r w:rsidRPr="00D70894" w:rsidR="00D70894">
        <w:rPr>
          <w:rFonts w:eastAsia="Times New Roman" w:cs="Times New Roman"/>
          <w:color w:val="000000"/>
          <w:szCs w:val="24"/>
        </w:rPr>
        <w:t>Final</w:t>
      </w:r>
      <w:r w:rsidRPr="00D70894">
        <w:rPr>
          <w:rFonts w:eastAsia="Times New Roman" w:cs="Times New Roman"/>
          <w:color w:val="000000"/>
          <w:szCs w:val="24"/>
        </w:rPr>
        <w:t xml:space="preserve"> § 49.11 update</w:t>
      </w:r>
      <w:r w:rsidRPr="00D70894" w:rsidR="00D70894">
        <w:rPr>
          <w:rFonts w:eastAsia="Times New Roman" w:cs="Times New Roman"/>
          <w:color w:val="000000"/>
          <w:szCs w:val="24"/>
        </w:rPr>
        <w:t>s</w:t>
      </w:r>
      <w:r w:rsidRPr="00D70894">
        <w:rPr>
          <w:rFonts w:eastAsia="Times New Roman" w:cs="Times New Roman"/>
          <w:color w:val="000000"/>
          <w:szCs w:val="24"/>
        </w:rPr>
        <w:t xml:space="preserve"> these requirements to create the SDR side of the new verification </w:t>
      </w:r>
      <w:r w:rsidRPr="00D70894">
        <w:rPr>
          <w:rFonts w:eastAsia="Times New Roman" w:cs="Times New Roman"/>
          <w:color w:val="000000"/>
          <w:szCs w:val="24"/>
        </w:rPr>
        <w:lastRenderedPageBreak/>
        <w:t xml:space="preserve">requirements. </w:t>
      </w:r>
      <w:r w:rsidRPr="00D70894" w:rsidR="00D70894">
        <w:rPr>
          <w:rFonts w:eastAsia="Times New Roman" w:cs="Times New Roman"/>
          <w:color w:val="000000"/>
          <w:szCs w:val="24"/>
        </w:rPr>
        <w:t>Final</w:t>
      </w:r>
      <w:r w:rsidRPr="00D70894">
        <w:rPr>
          <w:rFonts w:eastAsia="Times New Roman" w:cs="Times New Roman"/>
          <w:color w:val="000000"/>
          <w:szCs w:val="24"/>
        </w:rPr>
        <w:t xml:space="preserve"> § 49.11(b) require</w:t>
      </w:r>
      <w:r w:rsidRPr="00D70894" w:rsidR="00D70894">
        <w:rPr>
          <w:rFonts w:eastAsia="Times New Roman" w:cs="Times New Roman"/>
          <w:color w:val="000000"/>
          <w:szCs w:val="24"/>
        </w:rPr>
        <w:t>s</w:t>
      </w:r>
      <w:r w:rsidRPr="00D70894">
        <w:rPr>
          <w:rFonts w:eastAsia="Times New Roman" w:cs="Times New Roman"/>
          <w:color w:val="000000"/>
          <w:szCs w:val="24"/>
        </w:rPr>
        <w:t xml:space="preserve"> SDRs to </w:t>
      </w:r>
      <w:r w:rsidRPr="00D70894" w:rsidR="00D70894">
        <w:rPr>
          <w:rFonts w:eastAsia="Times New Roman" w:cs="Times New Roman"/>
          <w:color w:val="000000"/>
          <w:szCs w:val="24"/>
        </w:rPr>
        <w:t>provide a mechanism that allows each reporting counterparty that is a user of the swap data repository to access all swap data maintained by the swap data repository for each open swap for which the reporting counterparty is serving as the reporting counterparty.</w:t>
      </w:r>
    </w:p>
    <w:p w:rsidRPr="00D70894" w:rsidR="00D70894" w:rsidP="00B04F8A" w:rsidRDefault="00D70894" w14:paraId="72712F09" w14:textId="77777777">
      <w:pPr>
        <w:pStyle w:val="ListParagraph"/>
        <w:autoSpaceDE w:val="0"/>
        <w:autoSpaceDN w:val="0"/>
        <w:adjustRightInd w:val="0"/>
        <w:rPr>
          <w:rFonts w:eastAsia="Times New Roman" w:cs="Times New Roman"/>
          <w:color w:val="000000"/>
          <w:szCs w:val="24"/>
        </w:rPr>
      </w:pPr>
    </w:p>
    <w:p w:rsidR="002142B5" w:rsidP="002142B5" w:rsidRDefault="002142B5" w14:paraId="04B65703" w14:textId="741A1268">
      <w:pPr>
        <w:pStyle w:val="ListParagraph"/>
        <w:numPr>
          <w:ilvl w:val="0"/>
          <w:numId w:val="16"/>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49.26 of the Commission’s regulations contains the requirements related to SDRs disclosing information related to the risks and costs associated with using an SDR’s services. </w:t>
      </w:r>
      <w:r w:rsidR="00D70894">
        <w:rPr>
          <w:rFonts w:eastAsia="Times New Roman" w:cs="Times New Roman"/>
          <w:color w:val="000000"/>
          <w:szCs w:val="24"/>
        </w:rPr>
        <w:t>Final</w:t>
      </w:r>
      <w:r>
        <w:rPr>
          <w:rFonts w:eastAsia="Times New Roman" w:cs="Times New Roman"/>
          <w:color w:val="000000"/>
          <w:szCs w:val="24"/>
        </w:rPr>
        <w:t xml:space="preserve"> § 49.26(j) create</w:t>
      </w:r>
      <w:r w:rsidR="00D70894">
        <w:rPr>
          <w:rFonts w:eastAsia="Times New Roman" w:cs="Times New Roman"/>
          <w:color w:val="000000"/>
          <w:szCs w:val="24"/>
        </w:rPr>
        <w:t>s</w:t>
      </w:r>
      <w:r>
        <w:rPr>
          <w:rFonts w:eastAsia="Times New Roman" w:cs="Times New Roman"/>
          <w:color w:val="000000"/>
          <w:szCs w:val="24"/>
        </w:rPr>
        <w:t xml:space="preserve"> a new requirement for SDRs to disclose their policies and procedures related to data reporting, including their validation procedures, verification procedures, and data correction procedures.</w:t>
      </w:r>
    </w:p>
    <w:p w:rsidRPr="00D16AA3" w:rsidR="002142B5" w:rsidP="002142B5" w:rsidRDefault="002142B5" w14:paraId="6234C1CA" w14:textId="77777777">
      <w:pPr>
        <w:pStyle w:val="ListParagraph"/>
        <w:rPr>
          <w:rFonts w:eastAsia="Times New Roman" w:cs="Times New Roman"/>
          <w:color w:val="000000"/>
          <w:szCs w:val="24"/>
        </w:rPr>
      </w:pPr>
    </w:p>
    <w:p w:rsidR="002142B5" w:rsidP="00B04F8A" w:rsidRDefault="00D70894" w14:paraId="6F2AD264" w14:textId="435A4C3C">
      <w:pPr>
        <w:pStyle w:val="ListParagraph"/>
        <w:numPr>
          <w:ilvl w:val="0"/>
          <w:numId w:val="16"/>
        </w:numPr>
        <w:autoSpaceDE w:val="0"/>
        <w:autoSpaceDN w:val="0"/>
        <w:adjustRightInd w:val="0"/>
        <w:rPr>
          <w:rFonts w:eastAsia="Times New Roman" w:cs="Times New Roman"/>
          <w:color w:val="000000"/>
          <w:szCs w:val="24"/>
        </w:rPr>
      </w:pPr>
      <w:r w:rsidRPr="00D70894">
        <w:rPr>
          <w:rFonts w:eastAsia="Times New Roman" w:cs="Times New Roman"/>
          <w:color w:val="000000"/>
          <w:szCs w:val="24"/>
        </w:rPr>
        <w:t>Final</w:t>
      </w:r>
      <w:r w:rsidRPr="00D70894" w:rsidR="002142B5">
        <w:rPr>
          <w:rFonts w:eastAsia="Times New Roman" w:cs="Times New Roman"/>
          <w:color w:val="000000"/>
          <w:szCs w:val="24"/>
        </w:rPr>
        <w:t xml:space="preserve"> § 49.28 contain</w:t>
      </w:r>
      <w:r w:rsidRPr="00D70894">
        <w:rPr>
          <w:rFonts w:eastAsia="Times New Roman" w:cs="Times New Roman"/>
          <w:color w:val="000000"/>
          <w:szCs w:val="24"/>
        </w:rPr>
        <w:t>s</w:t>
      </w:r>
      <w:r w:rsidRPr="00D70894" w:rsidR="002142B5">
        <w:rPr>
          <w:rFonts w:eastAsia="Times New Roman" w:cs="Times New Roman"/>
          <w:color w:val="000000"/>
          <w:szCs w:val="24"/>
        </w:rPr>
        <w:t xml:space="preserve"> the operating hours requirements for SDRs, including incorporating the operating requirements of § 43.3(f) and (g). This includes the requ</w:t>
      </w:r>
      <w:r w:rsidRPr="00A34C62" w:rsidR="002142B5">
        <w:rPr>
          <w:rFonts w:eastAsia="Times New Roman" w:cs="Times New Roman"/>
          <w:color w:val="000000"/>
          <w:szCs w:val="24"/>
        </w:rPr>
        <w:t xml:space="preserve">irement to issue public notices under </w:t>
      </w:r>
      <w:r w:rsidRPr="00A34C62">
        <w:rPr>
          <w:rFonts w:eastAsia="Times New Roman" w:cs="Times New Roman"/>
          <w:color w:val="000000"/>
          <w:szCs w:val="24"/>
        </w:rPr>
        <w:t>final</w:t>
      </w:r>
      <w:r w:rsidRPr="00A34C62" w:rsidR="002142B5">
        <w:rPr>
          <w:rFonts w:eastAsia="Times New Roman" w:cs="Times New Roman"/>
          <w:color w:val="000000"/>
          <w:szCs w:val="24"/>
        </w:rPr>
        <w:t xml:space="preserve"> § 49.28(a) and (c). </w:t>
      </w:r>
    </w:p>
    <w:p w:rsidRPr="00D70894" w:rsidR="00D70894" w:rsidP="00B04F8A" w:rsidRDefault="00D70894" w14:paraId="7A2B6C71" w14:textId="77777777">
      <w:pPr>
        <w:pStyle w:val="ListParagraph"/>
        <w:autoSpaceDE w:val="0"/>
        <w:autoSpaceDN w:val="0"/>
        <w:adjustRightInd w:val="0"/>
        <w:rPr>
          <w:rFonts w:eastAsia="Times New Roman" w:cs="Times New Roman"/>
          <w:color w:val="000000"/>
          <w:szCs w:val="24"/>
        </w:rPr>
      </w:pPr>
    </w:p>
    <w:p w:rsidRPr="00C256E9" w:rsidR="002142B5" w:rsidP="002142B5" w:rsidRDefault="00D70894" w14:paraId="58D63C0A" w14:textId="5457F20B">
      <w:pPr>
        <w:pStyle w:val="ListParagraph"/>
        <w:numPr>
          <w:ilvl w:val="0"/>
          <w:numId w:val="16"/>
        </w:numPr>
        <w:autoSpaceDE w:val="0"/>
        <w:autoSpaceDN w:val="0"/>
        <w:adjustRightInd w:val="0"/>
        <w:rPr>
          <w:rFonts w:eastAsia="Times New Roman" w:cs="Times New Roman"/>
          <w:color w:val="000000"/>
          <w:szCs w:val="24"/>
        </w:rPr>
      </w:pPr>
      <w:r>
        <w:rPr>
          <w:rFonts w:eastAsia="Times New Roman" w:cs="Times New Roman"/>
          <w:color w:val="000000"/>
          <w:szCs w:val="24"/>
        </w:rPr>
        <w:t>Final</w:t>
      </w:r>
      <w:r w:rsidR="002142B5">
        <w:rPr>
          <w:rFonts w:eastAsia="Times New Roman" w:cs="Times New Roman"/>
          <w:color w:val="000000"/>
          <w:szCs w:val="24"/>
        </w:rPr>
        <w:t xml:space="preserve"> § </w:t>
      </w:r>
      <w:r w:rsidRPr="00C256E9" w:rsidR="002142B5">
        <w:rPr>
          <w:rFonts w:eastAsia="Times New Roman" w:cs="Times New Roman"/>
          <w:color w:val="000000"/>
          <w:szCs w:val="24"/>
        </w:rPr>
        <w:t>49.29</w:t>
      </w:r>
      <w:r w:rsidR="002142B5">
        <w:rPr>
          <w:rFonts w:eastAsia="Times New Roman" w:cs="Times New Roman"/>
          <w:color w:val="000000"/>
          <w:szCs w:val="24"/>
        </w:rPr>
        <w:t xml:space="preserve"> require</w:t>
      </w:r>
      <w:r>
        <w:rPr>
          <w:rFonts w:eastAsia="Times New Roman" w:cs="Times New Roman"/>
          <w:color w:val="000000"/>
          <w:szCs w:val="24"/>
        </w:rPr>
        <w:t>s</w:t>
      </w:r>
      <w:r w:rsidR="002142B5">
        <w:rPr>
          <w:rFonts w:eastAsia="Times New Roman" w:cs="Times New Roman"/>
          <w:color w:val="000000"/>
          <w:szCs w:val="24"/>
        </w:rPr>
        <w:t xml:space="preserve"> each SDR to provide, on request by the Commission, information relating to its business as an SDR and other information that the Commission needs to perform its regulatory duties.</w:t>
      </w:r>
      <w:r>
        <w:rPr>
          <w:rFonts w:eastAsia="Times New Roman" w:cs="Times New Roman"/>
          <w:color w:val="000000"/>
          <w:szCs w:val="24"/>
        </w:rPr>
        <w:t xml:space="preserve"> Final</w:t>
      </w:r>
      <w:r w:rsidR="002142B5">
        <w:rPr>
          <w:rFonts w:eastAsia="Times New Roman" w:cs="Times New Roman"/>
          <w:color w:val="000000"/>
          <w:szCs w:val="24"/>
        </w:rPr>
        <w:t xml:space="preserve"> § 49.29 also require</w:t>
      </w:r>
      <w:r>
        <w:rPr>
          <w:rFonts w:eastAsia="Times New Roman" w:cs="Times New Roman"/>
          <w:color w:val="000000"/>
          <w:szCs w:val="24"/>
        </w:rPr>
        <w:t>s</w:t>
      </w:r>
      <w:r w:rsidR="002142B5">
        <w:rPr>
          <w:rFonts w:eastAsia="Times New Roman" w:cs="Times New Roman"/>
          <w:color w:val="000000"/>
          <w:szCs w:val="24"/>
        </w:rPr>
        <w:t xml:space="preserve"> an SDR, on request from the Commission, to provide written demonstrations of compliance with SDR core principles and other regulatory obligations.</w:t>
      </w:r>
    </w:p>
    <w:p w:rsidRPr="0066471D" w:rsidR="00A02F67" w:rsidP="00642B6A" w:rsidRDefault="00A02F67" w14:paraId="606FCFB3" w14:textId="6605BFB2">
      <w:pPr>
        <w:autoSpaceDE w:val="0"/>
        <w:autoSpaceDN w:val="0"/>
        <w:adjustRightInd w:val="0"/>
        <w:rPr>
          <w:rFonts w:eastAsia="Times New Roman" w:cs="Times New Roman"/>
          <w:color w:val="000000"/>
          <w:szCs w:val="24"/>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D70894" w:rsidP="00D70894" w:rsidRDefault="00D70894" w14:paraId="4A1A1A3E" w14:textId="50E6BF01">
      <w:pPr>
        <w:tabs>
          <w:tab w:val="left" w:pos="-720"/>
        </w:tabs>
        <w:suppressAutoHyphens/>
        <w:ind w:firstLine="720"/>
        <w:rPr>
          <w:rFonts w:eastAsia="Times New Roman" w:cs="Times New Roman"/>
          <w:szCs w:val="20"/>
        </w:rPr>
      </w:pPr>
      <w:r w:rsidRPr="00C75FF7">
        <w:rPr>
          <w:rFonts w:eastAsia="Times New Roman" w:cs="Times New Roman"/>
          <w:szCs w:val="20"/>
        </w:rPr>
        <w:t>The data is used by the Commission to assess the governance arrangements, operations</w:t>
      </w:r>
      <w:r>
        <w:rPr>
          <w:rFonts w:eastAsia="Times New Roman" w:cs="Times New Roman"/>
          <w:szCs w:val="20"/>
        </w:rPr>
        <w:t>,</w:t>
      </w:r>
      <w:r w:rsidRPr="00C75FF7">
        <w:rPr>
          <w:rFonts w:eastAsia="Times New Roman" w:cs="Times New Roman"/>
          <w:szCs w:val="20"/>
        </w:rPr>
        <w:t xml:space="preserve"> and compliance functions of SDRs, and to ensure that registered SDRs are complying with the core princ</w:t>
      </w:r>
      <w:r>
        <w:rPr>
          <w:rFonts w:eastAsia="Times New Roman" w:cs="Times New Roman"/>
          <w:szCs w:val="20"/>
        </w:rPr>
        <w:t>ipals enumerated in s</w:t>
      </w:r>
      <w:r w:rsidRPr="00C75FF7">
        <w:rPr>
          <w:rFonts w:eastAsia="Times New Roman" w:cs="Times New Roman"/>
          <w:szCs w:val="20"/>
        </w:rPr>
        <w:t xml:space="preserve">ection 21 of the </w:t>
      </w:r>
      <w:r>
        <w:rPr>
          <w:rFonts w:eastAsia="Times New Roman" w:cs="Times New Roman"/>
          <w:szCs w:val="20"/>
        </w:rPr>
        <w:t xml:space="preserve">Act. </w:t>
      </w:r>
      <w:r w:rsidRPr="00C75FF7">
        <w:rPr>
          <w:rFonts w:eastAsia="Times New Roman" w:cs="Times New Roman"/>
          <w:szCs w:val="20"/>
        </w:rPr>
        <w:t xml:space="preserve">Additionally, the data collected </w:t>
      </w:r>
      <w:r>
        <w:rPr>
          <w:rFonts w:eastAsia="Times New Roman" w:cs="Times New Roman"/>
          <w:szCs w:val="20"/>
        </w:rPr>
        <w:t>is</w:t>
      </w:r>
      <w:r w:rsidRPr="00C75FF7">
        <w:rPr>
          <w:rFonts w:eastAsia="Times New Roman" w:cs="Times New Roman"/>
          <w:szCs w:val="20"/>
        </w:rPr>
        <w:t xml:space="preserve"> used for regulatory purposes by </w:t>
      </w:r>
      <w:r>
        <w:rPr>
          <w:rFonts w:eastAsia="Times New Roman" w:cs="Times New Roman"/>
          <w:szCs w:val="20"/>
        </w:rPr>
        <w:t xml:space="preserve">the Commission, and is available to </w:t>
      </w:r>
      <w:r w:rsidRPr="00C75FF7">
        <w:rPr>
          <w:rFonts w:eastAsia="Times New Roman" w:cs="Times New Roman"/>
          <w:szCs w:val="20"/>
        </w:rPr>
        <w:t>other domestic and foreign regulators</w:t>
      </w:r>
      <w:r>
        <w:rPr>
          <w:rFonts w:eastAsia="Times New Roman" w:cs="Times New Roman"/>
          <w:szCs w:val="20"/>
        </w:rPr>
        <w:t>,</w:t>
      </w:r>
      <w:r w:rsidRPr="00C75FF7">
        <w:rPr>
          <w:rFonts w:eastAsia="Times New Roman" w:cs="Times New Roman"/>
          <w:szCs w:val="20"/>
        </w:rPr>
        <w:t xml:space="preserve"> including the Board of Governors of the Federal Reserve System, Office of the Comptroller of the Currency, Federal </w:t>
      </w:r>
      <w:r>
        <w:rPr>
          <w:rFonts w:eastAsia="Times New Roman" w:cs="Times New Roman"/>
          <w:szCs w:val="20"/>
        </w:rPr>
        <w:t xml:space="preserve">Deposit Insurance Corporation, </w:t>
      </w:r>
      <w:r w:rsidRPr="00C75FF7">
        <w:rPr>
          <w:rFonts w:eastAsia="Times New Roman" w:cs="Times New Roman"/>
          <w:szCs w:val="20"/>
        </w:rPr>
        <w:t>Farm Credit Administration and Federal Housing Finance Agency, Financial Stability Oversight Council, Securities and Exchange Commission, Depa</w:t>
      </w:r>
      <w:r>
        <w:rPr>
          <w:rFonts w:eastAsia="Times New Roman" w:cs="Times New Roman"/>
          <w:szCs w:val="20"/>
        </w:rPr>
        <w:t>rtment of Justice, and any other regulator</w:t>
      </w:r>
      <w:r w:rsidRPr="00C75FF7">
        <w:rPr>
          <w:rFonts w:eastAsia="Times New Roman" w:cs="Times New Roman"/>
          <w:szCs w:val="20"/>
        </w:rPr>
        <w:t xml:space="preserve"> the Commission determines to be appropriate, including foreign financial supervisors, foreign central banks, and foreign ministries.</w:t>
      </w:r>
    </w:p>
    <w:p w:rsidR="00FB17E6" w:rsidP="00D70894" w:rsidRDefault="00FB17E6" w14:paraId="7B1282D5" w14:textId="77777777">
      <w:pPr>
        <w:tabs>
          <w:tab w:val="left" w:pos="-720"/>
        </w:tabs>
        <w:suppressAutoHyphens/>
        <w:ind w:firstLine="720"/>
        <w:rPr>
          <w:rFonts w:eastAsia="Times New Roman" w:cs="Times New Roman"/>
          <w:szCs w:val="20"/>
        </w:rPr>
      </w:pPr>
    </w:p>
    <w:p w:rsidRPr="00C75FF7" w:rsidR="00D70894" w:rsidP="00D70894" w:rsidRDefault="00D70894" w14:paraId="666DA5CC" w14:textId="595DB5C1">
      <w:pPr>
        <w:tabs>
          <w:tab w:val="left" w:pos="-720"/>
        </w:tabs>
        <w:suppressAutoHyphens/>
        <w:ind w:firstLine="720"/>
        <w:rPr>
          <w:rFonts w:eastAsia="Times New Roman" w:cs="Times New Roman"/>
          <w:szCs w:val="20"/>
        </w:rPr>
      </w:pPr>
      <w:r w:rsidRPr="00C75FF7">
        <w:rPr>
          <w:rFonts w:eastAsia="Times New Roman" w:cs="Times New Roman"/>
          <w:szCs w:val="20"/>
        </w:rPr>
        <w:t xml:space="preserve">SDRs </w:t>
      </w:r>
      <w:r>
        <w:rPr>
          <w:rFonts w:eastAsia="Times New Roman" w:cs="Times New Roman"/>
          <w:szCs w:val="20"/>
        </w:rPr>
        <w:t xml:space="preserve">also publicly disseminate data </w:t>
      </w:r>
      <w:r w:rsidRPr="00C75FF7">
        <w:rPr>
          <w:rFonts w:eastAsia="Times New Roman" w:cs="Times New Roman"/>
          <w:szCs w:val="20"/>
        </w:rPr>
        <w:t>pursuant to part 43 of the Commission’s Regulations</w:t>
      </w:r>
      <w:r>
        <w:rPr>
          <w:rFonts w:eastAsia="Times New Roman" w:cs="Times New Roman"/>
          <w:szCs w:val="20"/>
        </w:rPr>
        <w:t xml:space="preserve">. </w:t>
      </w:r>
      <w:r w:rsidRPr="00C75FF7">
        <w:rPr>
          <w:rFonts w:eastAsia="Times New Roman" w:cs="Times New Roman"/>
          <w:szCs w:val="20"/>
        </w:rPr>
        <w:t>The publication of the swap data by a registe</w:t>
      </w:r>
      <w:r>
        <w:rPr>
          <w:rFonts w:eastAsia="Times New Roman" w:cs="Times New Roman"/>
          <w:szCs w:val="20"/>
        </w:rPr>
        <w:t xml:space="preserve">red SDR is intended to increase </w:t>
      </w:r>
      <w:r w:rsidRPr="00C75FF7">
        <w:rPr>
          <w:rFonts w:eastAsia="Times New Roman" w:cs="Times New Roman"/>
          <w:szCs w:val="20"/>
        </w:rPr>
        <w:t xml:space="preserve">transparency in the swaps market </w:t>
      </w:r>
      <w:r>
        <w:rPr>
          <w:rFonts w:eastAsia="Times New Roman" w:cs="Times New Roman"/>
          <w:szCs w:val="20"/>
        </w:rPr>
        <w:t>for market participants</w:t>
      </w:r>
      <w:r w:rsidRPr="00C75FF7">
        <w:rPr>
          <w:rFonts w:eastAsia="Times New Roman" w:cs="Times New Roman"/>
          <w:szCs w:val="20"/>
        </w:rPr>
        <w:t>.</w:t>
      </w:r>
    </w:p>
    <w:p w:rsidR="00CC0909" w:rsidP="001577B2" w:rsidRDefault="00CC0909" w14:paraId="25C61900" w14:textId="248BE12D">
      <w:pPr>
        <w:rPr>
          <w:rFonts w:eastAsia="Times New Roman" w:cs="Times New Roman"/>
          <w:color w:val="000000"/>
          <w:szCs w:val="24"/>
        </w:rPr>
      </w:pP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w:t>
      </w:r>
      <w:r w:rsidRPr="00642B6A">
        <w:rPr>
          <w:rFonts w:eastAsia="Times New Roman" w:cs="Times New Roman"/>
          <w:b/>
          <w:szCs w:val="24"/>
        </w:rPr>
        <w:lastRenderedPageBreak/>
        <w:t>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3CD2BC80">
      <w:pPr>
        <w:tabs>
          <w:tab w:val="left" w:pos="-720"/>
          <w:tab w:val="left" w:pos="0"/>
        </w:tabs>
        <w:spacing w:after="240"/>
        <w:rPr>
          <w:rFonts w:eastAsia="Times New Roman" w:cs="Times New Roman"/>
          <w:szCs w:val="24"/>
        </w:rPr>
      </w:pPr>
      <w:r>
        <w:rPr>
          <w:rFonts w:eastAsia="Times New Roman" w:cs="Times New Roman"/>
          <w:szCs w:val="24"/>
        </w:rPr>
        <w:tab/>
      </w:r>
      <w:r w:rsidRPr="00B46731" w:rsidR="00B46731">
        <w:rPr>
          <w:rFonts w:eastAsia="Times New Roman" w:cs="Times New Roman"/>
          <w:szCs w:val="24"/>
        </w:rPr>
        <w:t xml:space="preserve">All of the information collections within Information Collection </w:t>
      </w:r>
      <w:r w:rsidR="00B46731">
        <w:rPr>
          <w:rFonts w:eastAsia="Times New Roman" w:cs="Times New Roman"/>
          <w:szCs w:val="24"/>
        </w:rPr>
        <w:t>3038-</w:t>
      </w:r>
      <w:r w:rsidR="00CC0909">
        <w:rPr>
          <w:rFonts w:eastAsia="Times New Roman" w:cs="Times New Roman"/>
          <w:szCs w:val="24"/>
        </w:rPr>
        <w:t>0086</w:t>
      </w:r>
      <w:r w:rsidRPr="00B46731" w:rsidR="00CC0909">
        <w:rPr>
          <w:rFonts w:eastAsia="Times New Roman" w:cs="Times New Roman"/>
          <w:szCs w:val="24"/>
        </w:rPr>
        <w:t xml:space="preserve"> </w:t>
      </w:r>
      <w:r w:rsidRPr="00B46731" w:rsidR="00B46731">
        <w:rPr>
          <w:rFonts w:eastAsia="Times New Roman" w:cs="Times New Roman"/>
          <w:szCs w:val="24"/>
        </w:rPr>
        <w:t>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21398D40">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 xml:space="preserve">collected pursuant to </w:t>
      </w:r>
      <w:r w:rsidR="00CC0909">
        <w:rPr>
          <w:rFonts w:eastAsia="Times New Roman" w:cs="Times New Roman"/>
          <w:szCs w:val="24"/>
        </w:rPr>
        <w:t>P</w:t>
      </w:r>
      <w:r w:rsidR="00AD0896">
        <w:rPr>
          <w:rFonts w:eastAsia="Times New Roman" w:cs="Times New Roman"/>
          <w:szCs w:val="24"/>
        </w:rPr>
        <w:t xml:space="preserve">art </w:t>
      </w:r>
      <w:r w:rsidR="00CC0909">
        <w:rPr>
          <w:rFonts w:eastAsia="Times New Roman" w:cs="Times New Roman"/>
          <w:szCs w:val="24"/>
        </w:rPr>
        <w:t>49</w:t>
      </w:r>
      <w:r w:rsidRPr="00AD0896" w:rsidR="00CC0909">
        <w:rPr>
          <w:rFonts w:eastAsia="Times New Roman" w:cs="Times New Roman"/>
          <w:szCs w:val="24"/>
        </w:rPr>
        <w:t xml:space="preserve"> </w:t>
      </w:r>
      <w:r w:rsidRPr="00AD0896" w:rsidR="00AD0896">
        <w:rPr>
          <w:rFonts w:eastAsia="Times New Roman" w:cs="Times New Roman"/>
          <w:szCs w:val="24"/>
        </w:rPr>
        <w:t xml:space="preserve">of the Commission’s regulations is not already collected by the Commission or other regulator for any other purpose and is not publicly available through </w:t>
      </w:r>
      <w:r w:rsidR="00AD0896">
        <w:rPr>
          <w:rFonts w:eastAsia="Times New Roman" w:cs="Times New Roman"/>
          <w:szCs w:val="24"/>
        </w:rPr>
        <w:t xml:space="preserve">another source. </w:t>
      </w:r>
    </w:p>
    <w:p w:rsidRPr="00642B6A" w:rsidR="00642B6A" w:rsidP="00FE503D" w:rsidRDefault="00642B6A" w14:paraId="50F422A0" w14:textId="1C4072AB">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 xml:space="preserve">If the collection of information involves small business or other small entities (Item 5 of OMB </w:t>
      </w:r>
      <w:r w:rsidR="007D0F5D">
        <w:rPr>
          <w:rFonts w:eastAsia="Times New Roman" w:cs="Times New Roman"/>
          <w:b/>
          <w:szCs w:val="24"/>
        </w:rPr>
        <w:t>Form</w:t>
      </w:r>
      <w:r w:rsidRPr="00642B6A">
        <w:rPr>
          <w:rFonts w:eastAsia="Times New Roman" w:cs="Times New Roman"/>
          <w:b/>
          <w:szCs w:val="24"/>
        </w:rPr>
        <w:t xml:space="preserve"> 83-I), describe the methods used to minimize burden.</w:t>
      </w:r>
    </w:p>
    <w:p w:rsidRPr="00642B6A" w:rsidR="00642B6A" w:rsidP="00AD0896" w:rsidRDefault="00642B6A" w14:paraId="50F422A1" w14:textId="254A39D7">
      <w:pPr>
        <w:tabs>
          <w:tab w:val="left" w:pos="-720"/>
        </w:tabs>
        <w:spacing w:after="240"/>
        <w:rPr>
          <w:rFonts w:eastAsia="Times New Roman" w:cs="Times New Roman"/>
          <w:szCs w:val="24"/>
        </w:rPr>
      </w:pPr>
      <w:r w:rsidRPr="00642B6A">
        <w:rPr>
          <w:rFonts w:eastAsia="Times New Roman" w:cs="Times New Roman"/>
          <w:szCs w:val="24"/>
        </w:rPr>
        <w:tab/>
      </w:r>
      <w:r w:rsidRPr="00AD0896" w:rsidR="00AD0896">
        <w:rPr>
          <w:rFonts w:eastAsia="Times New Roman" w:cs="Times New Roman"/>
          <w:szCs w:val="24"/>
        </w:rPr>
        <w:t xml:space="preserve">This collection of information </w:t>
      </w:r>
      <w:r w:rsidR="00D70894">
        <w:rPr>
          <w:rFonts w:eastAsia="Times New Roman" w:cs="Times New Roman"/>
          <w:szCs w:val="24"/>
        </w:rPr>
        <w:t>does</w:t>
      </w:r>
      <w:r w:rsidRPr="00AD0896" w:rsidR="00D70894">
        <w:rPr>
          <w:rFonts w:eastAsia="Times New Roman" w:cs="Times New Roman"/>
          <w:szCs w:val="24"/>
        </w:rPr>
        <w:t xml:space="preserve"> </w:t>
      </w:r>
      <w:r w:rsidRPr="00AD0896" w:rsidR="00AD0896">
        <w:rPr>
          <w:rFonts w:eastAsia="Times New Roman" w:cs="Times New Roman"/>
          <w:szCs w:val="24"/>
        </w:rPr>
        <w:t>not involve any small busines</w:t>
      </w:r>
      <w:r w:rsidR="00AD0896">
        <w:rPr>
          <w:rFonts w:eastAsia="Times New Roman" w:cs="Times New Roman"/>
          <w:szCs w:val="24"/>
        </w:rPr>
        <w:t xml:space="preserve">s or other small entities. The Commission has previously established </w:t>
      </w:r>
      <w:r w:rsidR="005946E6">
        <w:rPr>
          <w:rFonts w:eastAsia="Times New Roman" w:cs="Times New Roman"/>
          <w:szCs w:val="24"/>
        </w:rPr>
        <w:t xml:space="preserve">that </w:t>
      </w:r>
      <w:r w:rsidR="007D0F5D">
        <w:rPr>
          <w:rFonts w:eastAsia="Times New Roman" w:cs="Times New Roman"/>
          <w:szCs w:val="24"/>
        </w:rPr>
        <w:t>the SDRs</w:t>
      </w:r>
      <w:r w:rsidR="00AD0896">
        <w:rPr>
          <w:rFonts w:eastAsia="Times New Roman" w:cs="Times New Roman"/>
          <w:szCs w:val="24"/>
        </w:rPr>
        <w:t xml:space="preserve"> that would be affected by this collection are</w:t>
      </w:r>
      <w:r w:rsidR="00D70894">
        <w:rPr>
          <w:rFonts w:eastAsia="Times New Roman" w:cs="Times New Roman"/>
          <w:szCs w:val="24"/>
        </w:rPr>
        <w:t xml:space="preserve"> not</w:t>
      </w:r>
      <w:r w:rsidR="00AD0896">
        <w:rPr>
          <w:rFonts w:eastAsia="Times New Roman" w:cs="Times New Roman"/>
          <w:szCs w:val="24"/>
        </w:rPr>
        <w:t xml:space="preserve"> small entities.</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D70894" w:rsidP="00642B6A" w:rsidRDefault="00D70894" w14:paraId="54E71650" w14:textId="77777777">
      <w:pPr>
        <w:ind w:firstLine="720"/>
        <w:rPr>
          <w:rFonts w:eastAsia="Times New Roman" w:cs="Times New Roman"/>
          <w:color w:val="000000"/>
          <w:szCs w:val="24"/>
        </w:rPr>
      </w:pPr>
      <w:r>
        <w:rPr>
          <w:rFonts w:eastAsia="Times New Roman" w:cs="Times New Roman"/>
          <w:color w:val="000000"/>
          <w:szCs w:val="24"/>
        </w:rPr>
        <w:t>If the information required under this collection of information were not collected or were collected less frequently, enforcement of the CEA and the Commission’s regulations would be severely curtailed. The Commission would be less able to oversee SDRs for compliance with their regulatory obligations and would be unable to effectively monitor the swaps markets.</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D70894" w:rsidP="00642B6A" w:rsidRDefault="00642B6A" w14:paraId="55101009" w14:textId="77777777">
      <w:pPr>
        <w:tabs>
          <w:tab w:val="left" w:pos="-720"/>
        </w:tabs>
        <w:spacing w:after="240"/>
        <w:rPr>
          <w:rFonts w:eastAsia="Times New Roman" w:cs="Times New Roman"/>
          <w:szCs w:val="24"/>
        </w:rPr>
      </w:pPr>
      <w:r w:rsidRPr="00642B6A">
        <w:rPr>
          <w:rFonts w:eastAsia="Times New Roman" w:cs="Times New Roman"/>
          <w:szCs w:val="24"/>
        </w:rPr>
        <w:tab/>
      </w:r>
      <w:r w:rsidR="00D70894">
        <w:rPr>
          <w:rFonts w:eastAsia="Times New Roman" w:cs="Times New Roman"/>
          <w:szCs w:val="24"/>
        </w:rPr>
        <w:t>Final</w:t>
      </w:r>
      <w:r w:rsidRPr="00D70894" w:rsidR="00D70894">
        <w:rPr>
          <w:rFonts w:eastAsia="Times New Roman" w:cs="Times New Roman"/>
          <w:szCs w:val="24"/>
        </w:rPr>
        <w:t xml:space="preserve"> § 49.11 require</w:t>
      </w:r>
      <w:r w:rsidR="00D70894">
        <w:rPr>
          <w:rFonts w:eastAsia="Times New Roman" w:cs="Times New Roman"/>
          <w:szCs w:val="24"/>
        </w:rPr>
        <w:t>s</w:t>
      </w:r>
      <w:r w:rsidRPr="00D70894" w:rsidR="00D70894">
        <w:rPr>
          <w:rFonts w:eastAsia="Times New Roman" w:cs="Times New Roman"/>
          <w:szCs w:val="24"/>
        </w:rPr>
        <w:t xml:space="preserve"> the associated collections to be conducted on monthly </w:t>
      </w:r>
      <w:r w:rsidR="00D70894">
        <w:rPr>
          <w:rFonts w:eastAsia="Times New Roman" w:cs="Times New Roman"/>
          <w:szCs w:val="24"/>
        </w:rPr>
        <w:t xml:space="preserve">or quarterly </w:t>
      </w:r>
      <w:r w:rsidRPr="00D70894" w:rsidR="00D70894">
        <w:rPr>
          <w:rFonts w:eastAsia="Times New Roman" w:cs="Times New Roman"/>
          <w:szCs w:val="24"/>
        </w:rPr>
        <w:t>basis, depending on the registration status of the reporting. This frequency is necessary to help ensure that data available to the Commission and the public is accurate and complete. Less frequent collection could hamper the Commission’s ability to oversee the swaps markets and perform its regulatory functions, while also allowing more inaccurate data to be provided to the public.</w:t>
      </w:r>
    </w:p>
    <w:p w:rsidRPr="00642B6A" w:rsidR="00642B6A" w:rsidP="00B04F8A" w:rsidRDefault="00D70894" w14:paraId="50F422A6" w14:textId="2161D039">
      <w:pPr>
        <w:tabs>
          <w:tab w:val="left" w:pos="-720"/>
        </w:tabs>
        <w:spacing w:after="240"/>
        <w:ind w:firstLine="720"/>
        <w:rPr>
          <w:rFonts w:eastAsia="Times New Roman" w:cs="Times New Roman"/>
          <w:szCs w:val="24"/>
        </w:rPr>
      </w:pPr>
      <w:r>
        <w:rPr>
          <w:rFonts w:eastAsia="Times New Roman" w:cs="Times New Roman"/>
          <w:szCs w:val="24"/>
        </w:rPr>
        <w:t xml:space="preserve">The </w:t>
      </w:r>
      <w:r w:rsidR="00E5107D">
        <w:rPr>
          <w:rFonts w:eastAsia="Times New Roman" w:cs="Times New Roman"/>
          <w:szCs w:val="24"/>
        </w:rPr>
        <w:t>final</w:t>
      </w:r>
      <w:r>
        <w:rPr>
          <w:rFonts w:eastAsia="Times New Roman" w:cs="Times New Roman"/>
          <w:szCs w:val="24"/>
        </w:rPr>
        <w:t xml:space="preserve"> amendments to §§ 49.9, 49.10, 49.26, and 49.29 do not specifically require the collection of information more than quarterly, as the required collections are event specific, but the Commission believes that the collections would likely occur more than quarterly in most instances. Providing open swaps reports to the Commission as required by final § 49.9 will </w:t>
      </w:r>
      <w:r>
        <w:rPr>
          <w:rFonts w:eastAsia="Times New Roman" w:cs="Times New Roman"/>
          <w:szCs w:val="24"/>
        </w:rPr>
        <w:lastRenderedPageBreak/>
        <w:t>improve the Commission’s ability to oversee the swaps markets and perform its other regulatory functions. The correction requirements in final § 49.10 will help ensure that correct data is provided to the Commission and to the public. The final requirements of § 49.26 will help prevent reporting errors before they occur, which will improve the accuracy and completeness of data available to the Commission and the public. The final requirements of § 49.29 will help the Commission oversee SDRs.</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7B96483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D70894">
        <w:rPr>
          <w:rFonts w:eastAsia="Times New Roman" w:cs="Times New Roman"/>
          <w:szCs w:val="24"/>
        </w:rPr>
        <w:t>Most of the final amendments to this Information Collection require a response to the collection in fewer than 30 days after the receipt of a request. Final collections related to final §§ 49.3, 49.5, 49.6, 49.10, 49.11, 49.26, and 49.28 all require information be provided in fewer than 30 days after the triggering event for the collection. The final collections related to final §§ 49.9 and 49.29 do not specifically require a response within 30 days of the triggering event for the collection, but all could require a response within 30 days of the triggering event. For each of these collections, the responses must be within 30 days in order for the Commission to effectively perform its regulatory functions</w:t>
      </w:r>
      <w:r w:rsidRPr="00AD0896" w:rsidR="00AD0896">
        <w:rPr>
          <w:rFonts w:eastAsia="Times New Roman" w:cs="Times New Roman"/>
          <w:szCs w:val="24"/>
        </w:rPr>
        <w: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10D00" w:rsidR="00D70894" w:rsidP="00D70894" w:rsidRDefault="00D70894" w14:paraId="0F0166AF" w14:textId="6947A7F7">
      <w:pPr>
        <w:tabs>
          <w:tab w:val="left" w:pos="-720"/>
        </w:tabs>
        <w:suppressAutoHyphens/>
        <w:ind w:firstLine="720"/>
        <w:rPr>
          <w:rFonts w:eastAsia="Times New Roman" w:cs="Times New Roman"/>
          <w:szCs w:val="20"/>
        </w:rPr>
      </w:pPr>
      <w:r>
        <w:rPr>
          <w:rFonts w:eastAsia="Times New Roman" w:cs="Times New Roman"/>
          <w:szCs w:val="24"/>
        </w:rPr>
        <w:t xml:space="preserve">The final amendments to part 49 do not modify Information Collection 3038-0086 in regards to recordkeeping requirements. Current and </w:t>
      </w:r>
      <w:r>
        <w:rPr>
          <w:rFonts w:eastAsia="Times New Roman" w:cs="Times New Roman"/>
          <w:szCs w:val="20"/>
        </w:rPr>
        <w:t xml:space="preserve">final § 49.12 </w:t>
      </w:r>
      <w:r w:rsidRPr="00E55644">
        <w:rPr>
          <w:rFonts w:eastAsia="Times New Roman" w:cs="Times New Roman"/>
          <w:szCs w:val="20"/>
        </w:rPr>
        <w:t>require SDR</w:t>
      </w:r>
      <w:r>
        <w:rPr>
          <w:rFonts w:eastAsia="Times New Roman" w:cs="Times New Roman"/>
          <w:szCs w:val="20"/>
        </w:rPr>
        <w:t>s</w:t>
      </w:r>
      <w:r w:rsidRPr="00E55644">
        <w:rPr>
          <w:rFonts w:eastAsia="Times New Roman" w:cs="Times New Roman"/>
          <w:szCs w:val="20"/>
        </w:rPr>
        <w:t xml:space="preserve"> to maintain </w:t>
      </w:r>
      <w:r>
        <w:rPr>
          <w:rFonts w:eastAsia="Times New Roman" w:cs="Times New Roman"/>
          <w:szCs w:val="20"/>
        </w:rPr>
        <w:t xml:space="preserve">the </w:t>
      </w:r>
      <w:r w:rsidRPr="00E55644">
        <w:rPr>
          <w:rFonts w:eastAsia="Times New Roman" w:cs="Times New Roman"/>
          <w:szCs w:val="20"/>
        </w:rPr>
        <w:t xml:space="preserve">data </w:t>
      </w:r>
      <w:r>
        <w:rPr>
          <w:rFonts w:eastAsia="Times New Roman" w:cs="Times New Roman"/>
          <w:szCs w:val="20"/>
        </w:rPr>
        <w:t>they</w:t>
      </w:r>
      <w:r w:rsidRPr="00E55644">
        <w:rPr>
          <w:rFonts w:eastAsia="Times New Roman" w:cs="Times New Roman"/>
          <w:szCs w:val="20"/>
        </w:rPr>
        <w:t xml:space="preserve"> r</w:t>
      </w:r>
      <w:r>
        <w:rPr>
          <w:rFonts w:eastAsia="Times New Roman" w:cs="Times New Roman"/>
          <w:szCs w:val="20"/>
        </w:rPr>
        <w:t>eceive</w:t>
      </w:r>
      <w:r w:rsidRPr="00E55644">
        <w:rPr>
          <w:rFonts w:eastAsia="Times New Roman" w:cs="Times New Roman"/>
          <w:szCs w:val="20"/>
        </w:rPr>
        <w:t xml:space="preserve"> for a period of not less than fiv</w:t>
      </w:r>
      <w:r>
        <w:rPr>
          <w:rFonts w:eastAsia="Times New Roman" w:cs="Times New Roman"/>
          <w:szCs w:val="20"/>
        </w:rPr>
        <w:t>e</w:t>
      </w:r>
      <w:r w:rsidRPr="00E55644">
        <w:rPr>
          <w:rFonts w:eastAsia="Times New Roman" w:cs="Times New Roman"/>
          <w:szCs w:val="20"/>
        </w:rPr>
        <w:t xml:space="preserve"> years after the </w:t>
      </w:r>
      <w:r>
        <w:rPr>
          <w:rFonts w:eastAsia="Times New Roman" w:cs="Times New Roman"/>
          <w:szCs w:val="20"/>
        </w:rPr>
        <w:t>relevant</w:t>
      </w:r>
      <w:r w:rsidRPr="00E55644">
        <w:rPr>
          <w:rFonts w:eastAsia="Times New Roman" w:cs="Times New Roman"/>
          <w:szCs w:val="20"/>
        </w:rPr>
        <w:t xml:space="preserve"> swap expires, during which time the records must be readily available by the SDR and available to the Commission v</w:t>
      </w:r>
      <w:r>
        <w:rPr>
          <w:rFonts w:eastAsia="Times New Roman" w:cs="Times New Roman"/>
          <w:szCs w:val="20"/>
        </w:rPr>
        <w:t>ia real-time electronic access.</w:t>
      </w:r>
      <w:r w:rsidRPr="00E55644">
        <w:rPr>
          <w:rFonts w:eastAsia="Times New Roman" w:cs="Times New Roman"/>
          <w:szCs w:val="20"/>
        </w:rPr>
        <w:t xml:space="preserve"> Thereafter, the swap data must be archived and retrievable by the SDR within 3 business days</w:t>
      </w:r>
      <w:r>
        <w:rPr>
          <w:rFonts w:eastAsia="Times New Roman" w:cs="Times New Roman"/>
          <w:szCs w:val="20"/>
        </w:rPr>
        <w:t xml:space="preserve"> for an additional ten years</w:t>
      </w:r>
      <w:r w:rsidRPr="00E55644">
        <w:rPr>
          <w:rFonts w:eastAsia="Times New Roman" w:cs="Times New Roman"/>
          <w:szCs w:val="20"/>
        </w:rPr>
        <w:t>.</w:t>
      </w:r>
      <w:r>
        <w:rPr>
          <w:rFonts w:eastAsia="Times New Roman" w:cs="Times New Roman"/>
          <w:szCs w:val="20"/>
        </w:rPr>
        <w:t xml:space="preserve"> The SDRs are also required to keep non-data records for a period of five years from the creation of the record.</w:t>
      </w:r>
    </w:p>
    <w:p w:rsidRPr="00642B6A" w:rsidR="00642B6A" w:rsidP="00642B6A" w:rsidRDefault="00642B6A" w14:paraId="50F422AC" w14:textId="2728256D">
      <w:pPr>
        <w:tabs>
          <w:tab w:val="left" w:pos="-720"/>
          <w:tab w:val="left" w:pos="0"/>
          <w:tab w:val="left" w:pos="720"/>
        </w:tabs>
        <w:spacing w:after="240"/>
        <w:rPr>
          <w:rFonts w:eastAsia="Times New Roman" w:cs="Times New Roman"/>
          <w:szCs w:val="24"/>
        </w:rPr>
      </w:pP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4F5CB43A">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327AFDE5">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336B1874">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4A309BA4">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current and </w:t>
      </w:r>
      <w:r w:rsidR="00D70894">
        <w:rPr>
          <w:rFonts w:eastAsia="Times New Roman" w:cs="Times New Roman"/>
          <w:szCs w:val="24"/>
        </w:rPr>
        <w:t>final</w:t>
      </w:r>
      <w:r w:rsidRPr="00AD0896" w:rsidR="00D70894">
        <w:rPr>
          <w:rFonts w:eastAsia="Times New Roman" w:cs="Times New Roman"/>
          <w:szCs w:val="24"/>
        </w:rPr>
        <w:t xml:space="preserve"> </w:t>
      </w:r>
      <w:r w:rsidRPr="00AD0896">
        <w:rPr>
          <w:rFonts w:eastAsia="Times New Roman" w:cs="Times New Roman"/>
          <w:szCs w:val="24"/>
        </w:rPr>
        <w:t xml:space="preserve">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Pr="00642B6A" w:rsidR="00653547" w:rsidP="007A1013" w:rsidRDefault="00B86819" w14:paraId="50F422B4" w14:textId="4F7BCD0E">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bookmarkStart w:name="_Hlk71072084" w:id="2"/>
      <w:r w:rsidRPr="00BA2264" w:rsidR="00BA2264">
        <w:rPr>
          <w:rFonts w:eastAsia="Times New Roman" w:cs="Times New Roman"/>
          <w:szCs w:val="24"/>
        </w:rPr>
        <w:t xml:space="preserve">As part of the rulemaking process, the </w:t>
      </w:r>
      <w:r w:rsidR="00D70894">
        <w:rPr>
          <w:rFonts w:eastAsia="Times New Roman" w:cs="Times New Roman"/>
          <w:szCs w:val="24"/>
        </w:rPr>
        <w:t>proposed</w:t>
      </w:r>
      <w:r w:rsidRPr="00BA2264" w:rsidR="00D70894">
        <w:rPr>
          <w:rFonts w:eastAsia="Times New Roman" w:cs="Times New Roman"/>
          <w:szCs w:val="24"/>
        </w:rPr>
        <w:t xml:space="preserve"> </w:t>
      </w:r>
      <w:r w:rsidRPr="00BA2264" w:rsidR="00BA2264">
        <w:rPr>
          <w:rFonts w:eastAsia="Times New Roman" w:cs="Times New Roman"/>
          <w:szCs w:val="24"/>
        </w:rPr>
        <w:t xml:space="preserve">amendments were published in the Federal Register </w:t>
      </w:r>
      <w:r w:rsidR="00BA2264">
        <w:rPr>
          <w:rFonts w:eastAsia="Times New Roman" w:cs="Times New Roman"/>
          <w:szCs w:val="24"/>
        </w:rPr>
        <w:t xml:space="preserve">at </w:t>
      </w:r>
      <w:r w:rsidR="00D70894">
        <w:rPr>
          <w:rFonts w:eastAsia="Times New Roman" w:cs="Times New Roman"/>
          <w:szCs w:val="24"/>
        </w:rPr>
        <w:t>84 FR 21044 (May 13, 2019)</w:t>
      </w:r>
      <w:r w:rsidR="00BA2264">
        <w:rPr>
          <w:rFonts w:eastAsia="Times New Roman" w:cs="Times New Roman"/>
          <w:szCs w:val="24"/>
        </w:rPr>
        <w:t>.</w:t>
      </w:r>
      <w:r w:rsidR="00E73171">
        <w:rPr>
          <w:rFonts w:eastAsia="Times New Roman" w:cs="Times New Roman"/>
          <w:szCs w:val="24"/>
        </w:rPr>
        <w:t xml:space="preserve"> The Commission also announced its Roadmap on </w:t>
      </w:r>
      <w:r w:rsidR="00E73171">
        <w:rPr>
          <w:rFonts w:eastAsia="Times New Roman" w:cs="Times New Roman"/>
          <w:szCs w:val="20"/>
        </w:rPr>
        <w:t>July 10, 2017, soliciting comments on the development of these rules.</w:t>
      </w:r>
      <w:r w:rsidRPr="00BA2264" w:rsidR="00BA2264">
        <w:rPr>
          <w:rFonts w:eastAsia="Times New Roman" w:cs="Times New Roman"/>
          <w:szCs w:val="24"/>
        </w:rPr>
        <w:t xml:space="preserve"> Thus, members of the public, including respondents, have been provided an opportunity to comment on the rule and related matters, including issues and other paperwork burdens. The Commission did not receive any comments on the information collection</w:t>
      </w:r>
      <w:r w:rsidR="00E73171">
        <w:rPr>
          <w:rFonts w:eastAsia="Times New Roman" w:cs="Times New Roman"/>
          <w:szCs w:val="24"/>
        </w:rPr>
        <w:t xml:space="preserve"> aspects</w:t>
      </w:r>
      <w:r w:rsidRPr="00BA2264" w:rsidR="00BA2264">
        <w:rPr>
          <w:rFonts w:eastAsia="Times New Roman" w:cs="Times New Roman"/>
          <w:szCs w:val="24"/>
        </w:rPr>
        <w:t>.</w:t>
      </w:r>
    </w:p>
    <w:bookmarkEnd w:id="2"/>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7A1013" w14:paraId="50F422B8" w14:textId="24C202C2">
      <w:pPr>
        <w:tabs>
          <w:tab w:val="left" w:pos="-720"/>
        </w:tabs>
        <w:spacing w:after="240"/>
        <w:ind w:firstLine="720"/>
        <w:rPr>
          <w:rFonts w:eastAsia="Times New Roman" w:cs="Times New Roman"/>
          <w:szCs w:val="24"/>
        </w:rPr>
      </w:pPr>
      <w:r w:rsidRPr="007A1013">
        <w:rPr>
          <w:rFonts w:eastAsia="Times New Roman" w:cs="Times New Roman"/>
          <w:szCs w:val="24"/>
        </w:rPr>
        <w:t xml:space="preserve">All current and </w:t>
      </w:r>
      <w:r w:rsidR="00D70894">
        <w:rPr>
          <w:rFonts w:eastAsia="Times New Roman" w:cs="Times New Roman"/>
          <w:szCs w:val="24"/>
        </w:rPr>
        <w:t>final</w:t>
      </w:r>
      <w:r w:rsidRPr="007A1013" w:rsidR="00D70894">
        <w:rPr>
          <w:rFonts w:eastAsia="Times New Roman" w:cs="Times New Roman"/>
          <w:szCs w:val="24"/>
        </w:rPr>
        <w:t xml:space="preserve"> </w:t>
      </w:r>
      <w:r w:rsidRPr="007A1013">
        <w:rPr>
          <w:rFonts w:eastAsia="Times New Roman" w:cs="Times New Roman"/>
          <w:szCs w:val="24"/>
        </w:rPr>
        <w:t xml:space="preserve">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Pr>
          <w:rFonts w:eastAsia="Times New Roman" w:cs="Times New Roman"/>
          <w:szCs w:val="24"/>
        </w:rPr>
        <w:t xml:space="preserve">43.4, </w:t>
      </w:r>
      <w:r w:rsidRPr="007A1013">
        <w:rPr>
          <w:rFonts w:eastAsia="Times New Roman" w:cs="Times New Roman"/>
          <w:szCs w:val="24"/>
        </w:rPr>
        <w:t>49.16, 49.17, and 49.18, and parts 145 and 147 of the Commission’s regulations.</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lastRenderedPageBreak/>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5292C408">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7D0F5D" w:rsidP="007D0F5D" w:rsidRDefault="007D0F5D" w14:paraId="74F996DD" w14:textId="74869094">
      <w:pPr>
        <w:ind w:firstLine="720"/>
        <w:rPr>
          <w:rFonts w:eastAsia="Times New Roman" w:cs="Times New Roman"/>
          <w:color w:val="000000"/>
          <w:szCs w:val="24"/>
        </w:rPr>
      </w:pPr>
      <w:r w:rsidRPr="008F41C5">
        <w:rPr>
          <w:rFonts w:eastAsia="Times New Roman" w:cs="Times New Roman"/>
          <w:color w:val="000000"/>
          <w:szCs w:val="24"/>
        </w:rPr>
        <w:t xml:space="preserve">Please see </w:t>
      </w:r>
      <w:r w:rsidR="00B70CD2">
        <w:rPr>
          <w:rFonts w:eastAsia="Times New Roman" w:cs="Times New Roman"/>
          <w:color w:val="000000"/>
          <w:szCs w:val="24"/>
        </w:rPr>
        <w:t>A</w:t>
      </w:r>
      <w:r w:rsidRPr="008F41C5" w:rsidR="00B70CD2">
        <w:rPr>
          <w:rFonts w:eastAsia="Times New Roman" w:cs="Times New Roman"/>
          <w:color w:val="000000"/>
          <w:szCs w:val="24"/>
        </w:rPr>
        <w:t xml:space="preserve">ttachment </w:t>
      </w:r>
      <w:r w:rsidRPr="008F41C5">
        <w:rPr>
          <w:rFonts w:eastAsia="Times New Roman" w:cs="Times New Roman"/>
          <w:color w:val="000000"/>
          <w:szCs w:val="24"/>
        </w:rPr>
        <w:t>A for the estimated hour burden</w:t>
      </w:r>
      <w:r w:rsidR="00722882">
        <w:rPr>
          <w:rFonts w:eastAsia="Times New Roman" w:cs="Times New Roman"/>
          <w:color w:val="000000"/>
          <w:szCs w:val="24"/>
        </w:rPr>
        <w:t xml:space="preserve"> adjustments</w:t>
      </w:r>
      <w:r w:rsidRPr="008F41C5">
        <w:rPr>
          <w:rFonts w:eastAsia="Times New Roman" w:cs="Times New Roman"/>
          <w:color w:val="000000"/>
          <w:szCs w:val="24"/>
        </w:rPr>
        <w:t xml:space="preserve"> </w:t>
      </w:r>
      <w:r w:rsidR="00722882">
        <w:rPr>
          <w:rFonts w:eastAsia="Times New Roman" w:cs="Times New Roman"/>
          <w:color w:val="000000"/>
          <w:szCs w:val="24"/>
        </w:rPr>
        <w:t>to</w:t>
      </w:r>
      <w:r w:rsidRPr="008F41C5" w:rsidR="00722882">
        <w:rPr>
          <w:rFonts w:eastAsia="Times New Roman" w:cs="Times New Roman"/>
          <w:color w:val="000000"/>
          <w:szCs w:val="24"/>
        </w:rPr>
        <w:t xml:space="preserve"> </w:t>
      </w:r>
      <w:r w:rsidRPr="008F41C5">
        <w:rPr>
          <w:rFonts w:eastAsia="Times New Roman" w:cs="Times New Roman"/>
          <w:color w:val="000000"/>
          <w:szCs w:val="24"/>
        </w:rPr>
        <w:t>the collections of information discussed in this supporting statement.</w:t>
      </w:r>
      <w:r w:rsidR="00E45A29">
        <w:rPr>
          <w:rFonts w:eastAsia="Times New Roman" w:cs="Times New Roman"/>
          <w:color w:val="000000"/>
          <w:szCs w:val="24"/>
        </w:rPr>
        <w:t xml:space="preserve"> </w:t>
      </w:r>
    </w:p>
    <w:p w:rsidR="007D0F5D" w:rsidP="007D0F5D" w:rsidRDefault="007D0F5D" w14:paraId="261D8051" w14:textId="77777777">
      <w:pPr>
        <w:ind w:firstLine="720"/>
        <w:rPr>
          <w:rFonts w:eastAsia="Times New Roman" w:cs="Times New Roman"/>
          <w:color w:val="000000"/>
          <w:szCs w:val="24"/>
        </w:rPr>
      </w:pPr>
    </w:p>
    <w:p w:rsidR="007D0F5D" w:rsidP="007D0F5D" w:rsidRDefault="007D0F5D" w14:paraId="1D3A3B9A" w14:textId="08294079">
      <w:pPr>
        <w:ind w:firstLine="720"/>
        <w:rPr>
          <w:rFonts w:eastAsia="Times New Roman" w:cs="Times New Roman"/>
          <w:color w:val="000000"/>
          <w:szCs w:val="24"/>
        </w:rPr>
      </w:pPr>
      <w:r w:rsidRPr="008F41C5">
        <w:rPr>
          <w:rFonts w:eastAsia="Times New Roman" w:cs="Times New Roman"/>
          <w:color w:val="000000"/>
          <w:szCs w:val="24"/>
        </w:rPr>
        <w:t xml:space="preserve">In calculating </w:t>
      </w:r>
      <w:r w:rsidR="00730B43">
        <w:rPr>
          <w:rFonts w:eastAsia="Times New Roman" w:cs="Times New Roman"/>
          <w:color w:val="000000"/>
          <w:szCs w:val="24"/>
        </w:rPr>
        <w:t>these</w:t>
      </w:r>
      <w:r w:rsidRPr="008F41C5">
        <w:rPr>
          <w:rFonts w:eastAsia="Times New Roman" w:cs="Times New Roman"/>
          <w:color w:val="000000"/>
          <w:szCs w:val="24"/>
        </w:rPr>
        <w:t xml:space="preserve">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Pr>
          <w:rFonts w:eastAsia="Times New Roman" w:cs="Times New Roman"/>
          <w:color w:val="000000"/>
          <w:szCs w:val="24"/>
        </w:rPr>
        <w:t xml:space="preserve">nt and Wages Report (May 2018) </w:t>
      </w:r>
      <w:r w:rsidRPr="008F41C5">
        <w:rPr>
          <w:rFonts w:eastAsia="Times New Roman" w:cs="Times New Roman"/>
          <w:color w:val="000000"/>
          <w:szCs w:val="24"/>
        </w:rPr>
        <w:t xml:space="preserve">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w:t>
      </w:r>
      <w:r w:rsidRPr="008F41C5">
        <w:rPr>
          <w:rFonts w:eastAsia="Times New Roman" w:cs="Times New Roman"/>
          <w:color w:val="000000"/>
          <w:szCs w:val="24"/>
        </w:rPr>
        <w:lastRenderedPageBreak/>
        <w:t>and “lawyer – legal services” (25%). Commission staff chose this methodology to account for the variance in skill sets that may be used to accomplish the collection of information.</w:t>
      </w:r>
    </w:p>
    <w:p w:rsidR="00867CB2" w:rsidP="007D0F5D" w:rsidRDefault="00867CB2" w14:paraId="03CBB740" w14:textId="73484E5A">
      <w:pPr>
        <w:ind w:firstLine="720"/>
        <w:rPr>
          <w:rFonts w:eastAsia="Times New Roman" w:cs="Times New Roman"/>
          <w:color w:val="000000"/>
          <w:szCs w:val="24"/>
        </w:rPr>
      </w:pPr>
    </w:p>
    <w:p w:rsidRPr="00642B6A" w:rsidR="009B71FB" w:rsidP="00642B6A" w:rsidRDefault="009B71FB" w14:paraId="2599E21A" w14:textId="77777777">
      <w:pPr>
        <w:ind w:firstLine="720"/>
        <w:rPr>
          <w:rFonts w:eastAsia="Times New Roman" w:cs="Times New Roman"/>
          <w:color w:val="000000"/>
          <w:szCs w:val="24"/>
        </w:rPr>
      </w:pPr>
    </w:p>
    <w:p w:rsidRPr="00642B6A" w:rsidR="00642B6A" w:rsidP="00FE503D" w:rsidRDefault="00642B6A" w14:paraId="50F422C1" w14:textId="5F035295">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642B6A" w:rsidP="00FE503D" w:rsidRDefault="00642B6A"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642B6A" w:rsidP="00FE503D" w:rsidRDefault="00642B6A"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30B43" w:rsidP="00730B43" w:rsidRDefault="00730B43" w14:paraId="72D66B16" w14:textId="509FC737">
      <w:pPr>
        <w:ind w:firstLine="720"/>
        <w:rPr>
          <w:rFonts w:eastAsia="Times New Roman" w:cs="Times New Roman"/>
          <w:color w:val="000000"/>
          <w:szCs w:val="24"/>
        </w:rPr>
      </w:pPr>
      <w:r w:rsidRPr="00730B43">
        <w:rPr>
          <w:rFonts w:eastAsia="Times New Roman" w:cs="Times New Roman"/>
          <w:color w:val="000000"/>
          <w:szCs w:val="24"/>
        </w:rPr>
        <w:t xml:space="preserve">Please see Attachment B for the estimated hour burden related to </w:t>
      </w:r>
      <w:r w:rsidR="00BE7047">
        <w:rPr>
          <w:rFonts w:eastAsia="Times New Roman" w:cs="Times New Roman"/>
          <w:color w:val="000000"/>
          <w:szCs w:val="24"/>
        </w:rPr>
        <w:t>startup</w:t>
      </w:r>
      <w:r>
        <w:rPr>
          <w:rFonts w:eastAsia="Times New Roman" w:cs="Times New Roman"/>
          <w:color w:val="000000"/>
          <w:szCs w:val="24"/>
        </w:rPr>
        <w:t xml:space="preserve"> costs and annual maintenance costs for </w:t>
      </w:r>
      <w:r w:rsidRPr="008F41C5">
        <w:rPr>
          <w:rFonts w:eastAsia="Times New Roman" w:cs="Times New Roman"/>
          <w:color w:val="000000"/>
          <w:szCs w:val="24"/>
        </w:rPr>
        <w:t>the collections of information discussed in this supporting statement.</w:t>
      </w:r>
      <w:r>
        <w:rPr>
          <w:rFonts w:eastAsia="Times New Roman" w:cs="Times New Roman"/>
          <w:color w:val="000000"/>
          <w:szCs w:val="24"/>
        </w:rPr>
        <w:t xml:space="preserve"> </w:t>
      </w:r>
    </w:p>
    <w:p w:rsidRPr="00730B43" w:rsidR="00730B43" w:rsidP="00730B43" w:rsidRDefault="00730B43" w14:paraId="696578A5" w14:textId="7ED2AA26">
      <w:pPr>
        <w:ind w:firstLine="720"/>
        <w:rPr>
          <w:rFonts w:eastAsia="Times New Roman" w:cs="Times New Roman"/>
          <w:color w:val="000000"/>
          <w:szCs w:val="24"/>
        </w:rPr>
      </w:pPr>
      <w:r>
        <w:rPr>
          <w:rFonts w:eastAsia="Times New Roman" w:cs="Times New Roman"/>
          <w:color w:val="000000"/>
          <w:szCs w:val="24"/>
        </w:rPr>
        <w:t xml:space="preserve"> </w:t>
      </w:r>
    </w:p>
    <w:p w:rsidRPr="00642B6A" w:rsidR="00347613" w:rsidP="00642B6A" w:rsidRDefault="00347613" w14:paraId="157A3524" w14:textId="77777777">
      <w:pPr>
        <w:ind w:firstLine="720"/>
        <w:rPr>
          <w:rFonts w:eastAsia="Times New Roman" w:cs="Times New Roman"/>
          <w:color w:val="000000"/>
          <w:szCs w:val="24"/>
        </w:rPr>
      </w:pPr>
    </w:p>
    <w:p w:rsidRPr="00642B6A" w:rsidR="00642B6A" w:rsidP="00FE503D" w:rsidRDefault="00642B6A"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Pr="00642B6A" w:rsidR="00642B6A" w:rsidP="007553BE" w:rsidRDefault="00642B6A" w14:paraId="50F422C8" w14:textId="2E95E0F3">
      <w:pPr>
        <w:tabs>
          <w:tab w:val="left" w:pos="-720"/>
        </w:tabs>
        <w:spacing w:after="240"/>
        <w:rPr>
          <w:rFonts w:eastAsia="Times New Roman" w:cs="Times New Roman"/>
          <w:szCs w:val="24"/>
        </w:rPr>
      </w:pPr>
      <w:r w:rsidRPr="00642B6A">
        <w:rPr>
          <w:rFonts w:eastAsia="Times New Roman" w:cs="Times New Roman"/>
          <w:szCs w:val="24"/>
        </w:rPr>
        <w:lastRenderedPageBreak/>
        <w:tab/>
      </w:r>
      <w:r w:rsidR="007553BE">
        <w:rPr>
          <w:rFonts w:eastAsia="Times New Roman" w:cs="Times New Roman"/>
          <w:szCs w:val="24"/>
        </w:rPr>
        <w:t>The Commission does not</w:t>
      </w:r>
      <w:r w:rsidRPr="007553BE" w:rsidR="007553BE">
        <w:rPr>
          <w:rFonts w:eastAsia="Times New Roman" w:cs="Times New Roman"/>
          <w:szCs w:val="24"/>
        </w:rPr>
        <w:t xml:space="preserve"> anticipate that </w:t>
      </w:r>
      <w:r w:rsidR="007553BE">
        <w:rPr>
          <w:rFonts w:eastAsia="Times New Roman" w:cs="Times New Roman"/>
          <w:szCs w:val="24"/>
        </w:rPr>
        <w:t xml:space="preserve">the </w:t>
      </w:r>
      <w:r w:rsidRPr="007553BE" w:rsidR="007553BE">
        <w:rPr>
          <w:rFonts w:eastAsia="Times New Roman" w:cs="Times New Roman"/>
          <w:szCs w:val="24"/>
        </w:rPr>
        <w:t>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3038-00</w:t>
      </w:r>
      <w:r w:rsidR="00C066FB">
        <w:rPr>
          <w:rFonts w:eastAsia="Times New Roman" w:cs="Times New Roman"/>
          <w:szCs w:val="24"/>
        </w:rPr>
        <w:t>86</w:t>
      </w:r>
      <w:r w:rsidRPr="007553BE" w:rsidR="007553BE">
        <w:rPr>
          <w:rFonts w:eastAsia="Times New Roman" w:cs="Times New Roman"/>
          <w:szCs w:val="24"/>
        </w:rPr>
        <w:t>.</w:t>
      </w:r>
    </w:p>
    <w:p w:rsidRPr="00642B6A" w:rsidR="00642B6A" w:rsidP="00FE503D" w:rsidRDefault="00642B6A"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642B6A" w:rsidP="00BE76BF" w:rsidRDefault="00642B6A" w14:paraId="50F422CA" w14:textId="3C9B5E84">
      <w:pPr>
        <w:tabs>
          <w:tab w:val="left" w:pos="-720"/>
        </w:tabs>
        <w:spacing w:after="240"/>
        <w:rPr>
          <w:rFonts w:eastAsia="Times New Roman" w:cs="Times New Roman"/>
          <w:szCs w:val="24"/>
        </w:rPr>
      </w:pPr>
      <w:r w:rsidRPr="00642B6A">
        <w:rPr>
          <w:rFonts w:eastAsia="Times New Roman" w:cs="Times New Roman"/>
          <w:szCs w:val="24"/>
        </w:rPr>
        <w:tab/>
      </w:r>
      <w:r w:rsidR="00C066FB">
        <w:rPr>
          <w:rFonts w:eastAsia="Times New Roman" w:cs="Times New Roman"/>
          <w:szCs w:val="24"/>
        </w:rPr>
        <w:t>T</w:t>
      </w:r>
      <w:r w:rsidRPr="00752AE8" w:rsidR="00752AE8">
        <w:rPr>
          <w:rFonts w:eastAsia="Times New Roman" w:cs="Times New Roman"/>
          <w:szCs w:val="24"/>
        </w:rPr>
        <w:t>he Commission is</w:t>
      </w:r>
      <w:r w:rsidR="00752AE8">
        <w:rPr>
          <w:rFonts w:eastAsia="Times New Roman" w:cs="Times New Roman"/>
          <w:szCs w:val="24"/>
        </w:rPr>
        <w:t xml:space="preserve"> amend</w:t>
      </w:r>
      <w:r w:rsidR="00867CB2">
        <w:rPr>
          <w:rFonts w:eastAsia="Times New Roman" w:cs="Times New Roman"/>
          <w:szCs w:val="24"/>
        </w:rPr>
        <w:t>ing</w:t>
      </w:r>
      <w:r w:rsidR="00752AE8">
        <w:rPr>
          <w:rFonts w:eastAsia="Times New Roman" w:cs="Times New Roman"/>
          <w:szCs w:val="24"/>
        </w:rPr>
        <w:t xml:space="preserve"> </w:t>
      </w:r>
      <w:r w:rsidR="00C066FB">
        <w:rPr>
          <w:rFonts w:eastAsia="Times New Roman" w:cs="Times New Roman"/>
          <w:szCs w:val="24"/>
        </w:rPr>
        <w:t xml:space="preserve">Part </w:t>
      </w:r>
      <w:r w:rsidR="00752AE8">
        <w:rPr>
          <w:rFonts w:eastAsia="Times New Roman" w:cs="Times New Roman"/>
          <w:szCs w:val="24"/>
        </w:rPr>
        <w:t>4</w:t>
      </w:r>
      <w:r w:rsidR="00C066FB">
        <w:rPr>
          <w:rFonts w:eastAsia="Times New Roman" w:cs="Times New Roman"/>
          <w:szCs w:val="24"/>
        </w:rPr>
        <w:t>9</w:t>
      </w:r>
      <w:r w:rsidRPr="00752AE8" w:rsidR="00752AE8">
        <w:rPr>
          <w:rFonts w:eastAsia="Times New Roman" w:cs="Times New Roman"/>
          <w:szCs w:val="24"/>
        </w:rPr>
        <w:t xml:space="preserve"> of the Commission</w:t>
      </w:r>
      <w:r w:rsidR="00AA013C">
        <w:rPr>
          <w:rFonts w:eastAsia="Times New Roman" w:cs="Times New Roman"/>
          <w:szCs w:val="24"/>
        </w:rPr>
        <w:t>’s</w:t>
      </w:r>
      <w:r w:rsidRPr="00752AE8" w:rsidR="00752AE8">
        <w:rPr>
          <w:rFonts w:eastAsia="Times New Roman" w:cs="Times New Roman"/>
          <w:szCs w:val="24"/>
        </w:rPr>
        <w:t xml:space="preserve"> regulations in order to improve the quality of </w:t>
      </w:r>
      <w:r w:rsidR="00625287">
        <w:rPr>
          <w:rFonts w:eastAsia="Times New Roman" w:cs="Times New Roman"/>
          <w:szCs w:val="24"/>
        </w:rPr>
        <w:t xml:space="preserve">swap data and </w:t>
      </w:r>
      <w:r w:rsidRPr="00752AE8" w:rsidR="00752AE8">
        <w:rPr>
          <w:rFonts w:eastAsia="Times New Roman" w:cs="Times New Roman"/>
          <w:szCs w:val="24"/>
        </w:rPr>
        <w:t>to streamline regulatory requirements govern</w:t>
      </w:r>
      <w:r w:rsidR="00752AE8">
        <w:rPr>
          <w:rFonts w:eastAsia="Times New Roman" w:cs="Times New Roman"/>
          <w:szCs w:val="24"/>
        </w:rPr>
        <w:t>ing data reporting</w:t>
      </w:r>
      <w:r w:rsidRPr="00752AE8" w:rsidR="00752AE8">
        <w:rPr>
          <w:rFonts w:eastAsia="Times New Roman" w:cs="Times New Roman"/>
          <w:szCs w:val="24"/>
        </w:rPr>
        <w:t xml:space="preserve">. This supporting statement discusses adjustments to burden hours calculations for </w:t>
      </w:r>
      <w:r w:rsidR="00752AE8">
        <w:rPr>
          <w:rFonts w:eastAsia="Times New Roman" w:cs="Times New Roman"/>
          <w:szCs w:val="24"/>
        </w:rPr>
        <w:t>Information Collection 3038-00</w:t>
      </w:r>
      <w:r w:rsidR="00C066FB">
        <w:rPr>
          <w:rFonts w:eastAsia="Times New Roman" w:cs="Times New Roman"/>
          <w:szCs w:val="24"/>
        </w:rPr>
        <w:t>86</w:t>
      </w:r>
      <w:r w:rsidRPr="00752AE8" w:rsidR="00752AE8">
        <w:rPr>
          <w:rFonts w:eastAsia="Times New Roman" w:cs="Times New Roman"/>
          <w:szCs w:val="24"/>
        </w:rPr>
        <w:t xml:space="preserve"> to account for modified and new burdens associated with the changes to t</w:t>
      </w:r>
      <w:r w:rsidR="00B6286C">
        <w:rPr>
          <w:rFonts w:eastAsia="Times New Roman" w:cs="Times New Roman"/>
          <w:szCs w:val="24"/>
        </w:rPr>
        <w:t>he regulation.</w:t>
      </w:r>
      <w:r w:rsidR="00AE73AB">
        <w:rPr>
          <w:rFonts w:eastAsia="Times New Roman" w:cs="Times New Roman"/>
          <w:szCs w:val="24"/>
        </w:rPr>
        <w:t xml:space="preserve">  </w:t>
      </w:r>
      <w:r w:rsidR="0042465E">
        <w:rPr>
          <w:rFonts w:eastAsia="Times New Roman" w:cs="Times New Roman"/>
          <w:szCs w:val="24"/>
        </w:rPr>
        <w:t>These amendments, together with the amendments finalized at 85 FR 75503, Nov. 25, 2020, cover all of the regulations under collection 3038-0086.</w:t>
      </w:r>
    </w:p>
    <w:p w:rsidRPr="00642B6A" w:rsidR="00642B6A" w:rsidP="00FE503D" w:rsidRDefault="00642B6A"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642B6A" w:rsidP="00642B6A" w:rsidRDefault="00642B6A"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results of this collection of information are not planned to be published for statistical use.</w:t>
      </w:r>
    </w:p>
    <w:p w:rsidRPr="00642B6A" w:rsidR="00642B6A" w:rsidP="00FE503D" w:rsidRDefault="00642B6A"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642B6A" w:rsidP="00642B6A" w:rsidRDefault="00642B6A"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Commission is not seeking such approval for this publication.</w:t>
      </w:r>
    </w:p>
    <w:p w:rsidRPr="00642B6A" w:rsidR="00642B6A" w:rsidP="00FE503D" w:rsidRDefault="00642B6A"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P="009D00FB" w:rsidRDefault="00642B6A"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there are no</w:t>
      </w:r>
      <w:r w:rsidR="00BE76BF">
        <w:rPr>
          <w:rFonts w:eastAsia="Times New Roman" w:cs="Times New Roman"/>
          <w:szCs w:val="24"/>
        </w:rPr>
        <w:t xml:space="preserve"> exceptions.</w:t>
      </w:r>
    </w:p>
    <w:p w:rsidR="00A34C62" w:rsidP="00DF6095" w:rsidRDefault="00B74CE1" w14:paraId="7D38EF79" w14:textId="3AB2802C">
      <w:pPr>
        <w:spacing w:after="200" w:line="276" w:lineRule="auto"/>
        <w:rPr>
          <w:rFonts w:eastAsia="Times New Roman" w:cs="Times New Roman"/>
          <w:szCs w:val="24"/>
        </w:rPr>
      </w:pPr>
      <w:r>
        <w:rPr>
          <w:rFonts w:eastAsia="Times New Roman" w:cs="Times New Roman"/>
          <w:szCs w:val="24"/>
        </w:rPr>
        <w:br w:type="page"/>
      </w:r>
    </w:p>
    <w:p w:rsidRPr="00642B6A" w:rsidR="00A34C62" w:rsidP="00A34C62" w:rsidRDefault="00A34C62" w14:paraId="3D11149C" w14:textId="77777777">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00A34C62" w:rsidP="00A34C62" w:rsidRDefault="00A34C62" w14:paraId="5350876D" w14:textId="77777777">
      <w:pPr>
        <w:jc w:val="center"/>
        <w:rPr>
          <w:rFonts w:eastAsia="Times New Roman" w:cs="Times New Roman"/>
          <w:b/>
          <w:szCs w:val="24"/>
        </w:rPr>
      </w:pPr>
      <w:r w:rsidRPr="007F3179">
        <w:rPr>
          <w:rFonts w:eastAsia="Times New Roman" w:cs="Times New Roman"/>
          <w:b/>
          <w:szCs w:val="24"/>
        </w:rPr>
        <w:t>OMB Control Number 3038-</w:t>
      </w:r>
      <w:r>
        <w:rPr>
          <w:rFonts w:eastAsia="Times New Roman" w:cs="Times New Roman"/>
          <w:b/>
          <w:szCs w:val="24"/>
        </w:rPr>
        <w:t>0086</w:t>
      </w:r>
    </w:p>
    <w:p w:rsidR="00A34C62" w:rsidP="00A34C62" w:rsidRDefault="00A34C62" w14:paraId="536849DF" w14:textId="77777777">
      <w:pPr>
        <w:jc w:val="center"/>
        <w:rPr>
          <w:rFonts w:eastAsia="Times New Roman" w:cs="Times New Roman"/>
          <w:szCs w:val="24"/>
        </w:rPr>
      </w:pPr>
      <w:r w:rsidRPr="007B7990">
        <w:rPr>
          <w:rFonts w:eastAsia="Times New Roman" w:cs="Times New Roman"/>
          <w:szCs w:val="24"/>
        </w:rPr>
        <w:t>Swap Data Repositories: Registration and Regulatory Requirements</w:t>
      </w:r>
    </w:p>
    <w:p w:rsidRPr="00642B6A" w:rsidR="00A34C62" w:rsidP="00A34C62" w:rsidRDefault="00A34C62" w14:paraId="62E6D1B7" w14:textId="77777777">
      <w:pPr>
        <w:jc w:val="center"/>
        <w:rPr>
          <w:rFonts w:eastAsia="Times New Roman" w:cs="Times New Roman"/>
          <w:b/>
          <w:szCs w:val="24"/>
        </w:rPr>
      </w:pPr>
    </w:p>
    <w:p w:rsidRPr="008F6D4A" w:rsidR="00A34C62" w:rsidP="00A34C62" w:rsidRDefault="00A34C62" w14:paraId="4C08544A" w14:textId="77777777">
      <w:pPr>
        <w:jc w:val="center"/>
        <w:rPr>
          <w:rFonts w:eastAsia="Times New Roman" w:cs="Times New Roman"/>
          <w:szCs w:val="24"/>
        </w:rPr>
      </w:pPr>
      <w:r w:rsidRPr="008F6D4A">
        <w:rPr>
          <w:rFonts w:eastAsia="Times New Roman" w:cs="Times New Roman"/>
          <w:szCs w:val="24"/>
        </w:rPr>
        <w:t>Reporting Burden</w:t>
      </w:r>
    </w:p>
    <w:p w:rsidRPr="008F6D4A" w:rsidR="00A34C62" w:rsidP="00A34C62" w:rsidRDefault="00A34C62" w14:paraId="7696698E" w14:textId="77777777">
      <w:pPr>
        <w:jc w:val="center"/>
        <w:rPr>
          <w:rFonts w:eastAsia="Times New Roman" w:cs="Times New Roman"/>
          <w:szCs w:val="24"/>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30"/>
        <w:gridCol w:w="1229"/>
        <w:gridCol w:w="1145"/>
        <w:gridCol w:w="1143"/>
        <w:gridCol w:w="1143"/>
        <w:gridCol w:w="968"/>
        <w:gridCol w:w="1227"/>
        <w:gridCol w:w="972"/>
        <w:gridCol w:w="872"/>
        <w:gridCol w:w="1143"/>
      </w:tblGrid>
      <w:tr w:rsidRPr="008F6D4A" w:rsidR="00A34C62" w:rsidDel="009C6DB4" w:rsidTr="005828A2" w14:paraId="5B5037FB" w14:textId="77777777">
        <w:trPr>
          <w:trHeight w:val="1427"/>
        </w:trPr>
        <w:tc>
          <w:tcPr>
            <w:tcW w:w="556" w:type="pct"/>
          </w:tcPr>
          <w:p w:rsidR="00A34C62" w:rsidP="005828A2" w:rsidRDefault="00A34C62" w14:paraId="035C622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Pr="005E41B2" w:rsidR="00A34C62" w:rsidP="005828A2" w:rsidRDefault="00A34C62" w14:paraId="0A2E257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tc>
        <w:tc>
          <w:tcPr>
            <w:tcW w:w="555" w:type="pct"/>
          </w:tcPr>
          <w:p w:rsidR="00A34C62" w:rsidP="005828A2" w:rsidRDefault="00A34C62" w14:paraId="27613CE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A34C62" w:rsidP="005828A2" w:rsidRDefault="00A34C62" w14:paraId="586918A4"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A34C62" w:rsidP="005828A2" w:rsidRDefault="00A34C62" w14:paraId="52E33F6B" w14:textId="77777777">
            <w:pPr>
              <w:tabs>
                <w:tab w:val="left" w:pos="-720"/>
                <w:tab w:val="left" w:pos="0"/>
              </w:tabs>
              <w:suppressAutoHyphens/>
              <w:jc w:val="center"/>
              <w:rPr>
                <w:rFonts w:ascii="Arial" w:hAnsi="Arial" w:eastAsia="Times New Roman" w:cs="Times New Roman"/>
                <w:b/>
                <w:sz w:val="16"/>
                <w:szCs w:val="16"/>
              </w:rPr>
            </w:pPr>
          </w:p>
        </w:tc>
        <w:tc>
          <w:tcPr>
            <w:tcW w:w="517" w:type="pct"/>
          </w:tcPr>
          <w:p w:rsidR="00A34C62" w:rsidP="005828A2" w:rsidRDefault="00A34C62" w14:paraId="7304BEAA"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A34C62" w:rsidP="005828A2" w:rsidRDefault="00A34C62" w14:paraId="181374F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A34C62" w:rsidP="005828A2" w:rsidRDefault="00A34C62" w14:paraId="3D7A450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16" w:type="pct"/>
          </w:tcPr>
          <w:p w:rsidR="00A34C62" w:rsidP="005828A2" w:rsidRDefault="00A34C62" w14:paraId="16B7D51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A34C62" w:rsidP="005828A2" w:rsidRDefault="00A34C62" w14:paraId="2576DD9A"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16" w:type="pct"/>
          </w:tcPr>
          <w:p w:rsidR="00A34C62" w:rsidP="005828A2" w:rsidRDefault="00A34C62" w14:paraId="5C20154A"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A34C62" w:rsidP="005828A2" w:rsidRDefault="00A34C62" w14:paraId="55DDA88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Annual</w:t>
            </w:r>
            <w:r w:rsidRPr="005E41B2">
              <w:rPr>
                <w:rFonts w:ascii="Arial" w:hAnsi="Arial" w:eastAsia="Times New Roman" w:cs="Times New Roman"/>
                <w:b/>
                <w:sz w:val="16"/>
                <w:szCs w:val="16"/>
              </w:rPr>
              <w:t xml:space="preserve"> Number of Burden Hours per Respondent</w:t>
            </w:r>
          </w:p>
          <w:p w:rsidRPr="005E41B2" w:rsidR="00A34C62" w:rsidP="005828A2" w:rsidRDefault="00A34C62" w14:paraId="3396109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7" w:type="pct"/>
          </w:tcPr>
          <w:p w:rsidR="00A34C62" w:rsidP="005828A2" w:rsidRDefault="00A34C62" w14:paraId="1F064AE4"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A34C62" w:rsidP="005828A2" w:rsidRDefault="00A34C62" w14:paraId="4F73D9DB"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footnoteReference w:id="5"/>
            </w:r>
          </w:p>
          <w:p w:rsidRPr="005E41B2" w:rsidR="00A34C62" w:rsidP="005828A2" w:rsidRDefault="00A34C62" w14:paraId="2A7975E9" w14:textId="77777777">
            <w:pPr>
              <w:tabs>
                <w:tab w:val="left" w:pos="-720"/>
                <w:tab w:val="left" w:pos="0"/>
              </w:tabs>
              <w:suppressAutoHyphens/>
              <w:jc w:val="center"/>
              <w:rPr>
                <w:rFonts w:ascii="Arial" w:hAnsi="Arial" w:eastAsia="Times New Roman" w:cs="Times New Roman"/>
                <w:b/>
                <w:sz w:val="16"/>
                <w:szCs w:val="16"/>
              </w:rPr>
            </w:pPr>
          </w:p>
        </w:tc>
        <w:tc>
          <w:tcPr>
            <w:tcW w:w="554" w:type="pct"/>
          </w:tcPr>
          <w:p w:rsidR="00A34C62" w:rsidP="005828A2" w:rsidRDefault="00A34C62" w14:paraId="10AD2CD6" w14:textId="77777777">
            <w:pPr>
              <w:jc w:val="center"/>
              <w:rPr>
                <w:rFonts w:ascii="Arial" w:hAnsi="Arial" w:cs="Arial"/>
                <w:b/>
                <w:sz w:val="16"/>
                <w:szCs w:val="16"/>
              </w:rPr>
            </w:pPr>
            <w:r>
              <w:rPr>
                <w:rFonts w:ascii="Arial" w:hAnsi="Arial" w:cs="Arial"/>
                <w:b/>
                <w:sz w:val="16"/>
                <w:szCs w:val="16"/>
              </w:rPr>
              <w:t>7.</w:t>
            </w:r>
          </w:p>
          <w:p w:rsidR="00A34C62" w:rsidP="005828A2" w:rsidRDefault="00A34C62" w14:paraId="5E9DC244"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A34C62" w:rsidP="005828A2" w:rsidRDefault="00A34C62" w14:paraId="65329134" w14:textId="77777777">
            <w:pPr>
              <w:jc w:val="center"/>
              <w:rPr>
                <w:rFonts w:ascii="Arial" w:hAnsi="Arial" w:cs="Arial"/>
                <w:b/>
                <w:sz w:val="16"/>
                <w:szCs w:val="16"/>
              </w:rPr>
            </w:pPr>
            <w:r>
              <w:rPr>
                <w:rFonts w:ascii="Arial" w:hAnsi="Arial" w:cs="Arial"/>
                <w:b/>
                <w:sz w:val="16"/>
                <w:szCs w:val="16"/>
              </w:rPr>
              <w:t>(5 x 6)</w:t>
            </w:r>
          </w:p>
        </w:tc>
        <w:tc>
          <w:tcPr>
            <w:tcW w:w="439" w:type="pct"/>
          </w:tcPr>
          <w:p w:rsidR="00A34C62" w:rsidP="005828A2" w:rsidRDefault="00A34C62" w14:paraId="5FF9644F"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A34C62" w:rsidP="005828A2" w:rsidRDefault="00A34C62" w14:paraId="7D8A2487"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A34C62" w:rsidP="005828A2" w:rsidRDefault="00A34C62" w14:paraId="37A85C9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A34C62" w:rsidP="005828A2" w:rsidRDefault="00A34C62" w14:paraId="50F49E9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394" w:type="pct"/>
          </w:tcPr>
          <w:p w:rsidRPr="00C91CB5" w:rsidR="00A34C62" w:rsidP="005828A2" w:rsidRDefault="00A34C62" w14:paraId="5375C8BF"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A34C62" w:rsidP="005828A2" w:rsidRDefault="00A34C62" w14:paraId="68A32DD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Total Annual</w:t>
            </w:r>
            <w:r w:rsidRPr="00C91CB5">
              <w:rPr>
                <w:rFonts w:ascii="Arial" w:hAnsi="Arial" w:eastAsia="Times New Roman" w:cs="Times New Roman"/>
                <w:b/>
                <w:sz w:val="16"/>
                <w:szCs w:val="16"/>
              </w:rPr>
              <w:t xml:space="preserve"> Number of Burden Hours</w:t>
            </w:r>
          </w:p>
          <w:p w:rsidR="00A34C62" w:rsidP="005828A2" w:rsidRDefault="00A34C62" w14:paraId="57216A04"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6" w:type="pct"/>
          </w:tcPr>
          <w:p w:rsidR="00A34C62" w:rsidP="005828A2" w:rsidRDefault="00A34C62" w14:paraId="37ECF30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A34C62" w:rsidP="005828A2" w:rsidRDefault="00A34C62" w14:paraId="1834D3C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A34C62" w:rsidDel="009C6DB4" w:rsidP="005828A2" w:rsidRDefault="00A34C62" w14:paraId="3DAE1B0B"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8F6D4A" w:rsidR="00A34C62" w:rsidTr="005828A2" w14:paraId="225F4880" w14:textId="77777777">
        <w:trPr>
          <w:trHeight w:val="977"/>
        </w:trPr>
        <w:tc>
          <w:tcPr>
            <w:tcW w:w="556" w:type="pct"/>
          </w:tcPr>
          <w:p w:rsidRPr="00B37B2D" w:rsidR="00A34C62" w:rsidP="005828A2" w:rsidRDefault="00A34C62" w14:paraId="2F8080DC" w14:textId="77777777">
            <w:pPr>
              <w:tabs>
                <w:tab w:val="left" w:pos="-720"/>
                <w:tab w:val="left" w:pos="0"/>
              </w:tabs>
              <w:suppressAutoHyphens/>
              <w:jc w:val="center"/>
              <w:rPr>
                <w:rFonts w:ascii="Arial" w:hAnsi="Arial" w:eastAsia="Times New Roman" w:cs="Times New Roman"/>
                <w:sz w:val="16"/>
                <w:szCs w:val="16"/>
              </w:rPr>
            </w:pPr>
            <w:r w:rsidRPr="00B37B2D">
              <w:rPr>
                <w:rFonts w:ascii="Arial" w:hAnsi="Arial" w:eastAsia="Times New Roman" w:cs="Times New Roman"/>
                <w:sz w:val="16"/>
                <w:szCs w:val="16"/>
              </w:rPr>
              <w:t>49.3(a) – Procedures for Registration</w:t>
            </w:r>
          </w:p>
        </w:tc>
        <w:tc>
          <w:tcPr>
            <w:tcW w:w="555" w:type="pct"/>
          </w:tcPr>
          <w:p w:rsidRPr="0041769D" w:rsidR="00A34C62" w:rsidP="005828A2" w:rsidRDefault="00A34C62" w14:paraId="6FDC483E"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3</w:t>
            </w:r>
          </w:p>
        </w:tc>
        <w:tc>
          <w:tcPr>
            <w:tcW w:w="517" w:type="pct"/>
          </w:tcPr>
          <w:p w:rsidRPr="0041769D" w:rsidR="00A34C62" w:rsidP="005828A2" w:rsidRDefault="00A34C62" w14:paraId="70CC67EF"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2</w:t>
            </w:r>
          </w:p>
        </w:tc>
        <w:tc>
          <w:tcPr>
            <w:tcW w:w="516" w:type="pct"/>
          </w:tcPr>
          <w:p w:rsidRPr="0041769D" w:rsidR="00A34C62" w:rsidP="005828A2" w:rsidRDefault="00A34C62" w14:paraId="6CBC2DF0"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15</w:t>
            </w:r>
          </w:p>
        </w:tc>
        <w:tc>
          <w:tcPr>
            <w:tcW w:w="516" w:type="pct"/>
          </w:tcPr>
          <w:p w:rsidRPr="0041769D" w:rsidR="00A34C62" w:rsidP="005828A2" w:rsidRDefault="00A34C62" w14:paraId="0A3B429B"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30</w:t>
            </w:r>
          </w:p>
        </w:tc>
        <w:tc>
          <w:tcPr>
            <w:tcW w:w="437" w:type="pct"/>
          </w:tcPr>
          <w:p w:rsidRPr="0041769D" w:rsidR="00A34C62" w:rsidP="005828A2" w:rsidRDefault="00A34C62" w14:paraId="1E76F5E0"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$72.23</w:t>
            </w:r>
          </w:p>
        </w:tc>
        <w:tc>
          <w:tcPr>
            <w:tcW w:w="554" w:type="pct"/>
          </w:tcPr>
          <w:p w:rsidRPr="0041769D" w:rsidR="00A34C62" w:rsidP="005828A2" w:rsidRDefault="00A34C62" w14:paraId="54C34361" w14:textId="77777777">
            <w:pPr>
              <w:rPr>
                <w:rFonts w:ascii="Arial" w:hAnsi="Arial" w:cs="Arial"/>
                <w:sz w:val="16"/>
                <w:szCs w:val="16"/>
              </w:rPr>
            </w:pPr>
            <w:r>
              <w:rPr>
                <w:rFonts w:ascii="Arial" w:hAnsi="Arial" w:cs="Arial"/>
                <w:sz w:val="16"/>
                <w:szCs w:val="16"/>
              </w:rPr>
              <w:t>$2,166.90</w:t>
            </w:r>
          </w:p>
        </w:tc>
        <w:tc>
          <w:tcPr>
            <w:tcW w:w="439" w:type="pct"/>
          </w:tcPr>
          <w:p w:rsidRPr="0041769D" w:rsidR="00A34C62" w:rsidP="005828A2" w:rsidRDefault="00A34C62" w14:paraId="61FCB222"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6</w:t>
            </w:r>
          </w:p>
        </w:tc>
        <w:tc>
          <w:tcPr>
            <w:tcW w:w="394" w:type="pct"/>
          </w:tcPr>
          <w:p w:rsidRPr="0041769D" w:rsidR="00A34C62" w:rsidP="005828A2" w:rsidRDefault="00C55429" w14:paraId="364AB0A6" w14:textId="4D0475F6">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90</w:t>
            </w:r>
          </w:p>
        </w:tc>
        <w:tc>
          <w:tcPr>
            <w:tcW w:w="516" w:type="pct"/>
          </w:tcPr>
          <w:p w:rsidRPr="0041769D" w:rsidR="00A34C62" w:rsidP="005828A2" w:rsidRDefault="00A34C62" w14:paraId="6A67922A"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$6,500.70</w:t>
            </w:r>
          </w:p>
        </w:tc>
      </w:tr>
      <w:tr w:rsidRPr="008F6D4A" w:rsidR="00A34C62" w:rsidTr="005828A2" w14:paraId="43935B85" w14:textId="77777777">
        <w:trPr>
          <w:trHeight w:val="1222"/>
        </w:trPr>
        <w:tc>
          <w:tcPr>
            <w:tcW w:w="556" w:type="pct"/>
          </w:tcPr>
          <w:p w:rsidRPr="00B37B2D" w:rsidR="00A34C62" w:rsidP="005828A2" w:rsidRDefault="00A34C62" w14:paraId="3C6D17EA" w14:textId="77777777">
            <w:pPr>
              <w:tabs>
                <w:tab w:val="left" w:pos="-720"/>
                <w:tab w:val="left" w:pos="0"/>
              </w:tabs>
              <w:suppressAutoHyphens/>
              <w:jc w:val="center"/>
              <w:rPr>
                <w:rFonts w:ascii="Arial" w:hAnsi="Arial" w:eastAsia="Times New Roman" w:cs="Times New Roman"/>
                <w:sz w:val="16"/>
                <w:szCs w:val="16"/>
              </w:rPr>
            </w:pPr>
            <w:r w:rsidRPr="00B37B2D">
              <w:rPr>
                <w:rFonts w:ascii="Arial" w:hAnsi="Arial" w:eastAsia="Times New Roman" w:cs="Times New Roman"/>
                <w:sz w:val="16"/>
                <w:szCs w:val="16"/>
              </w:rPr>
              <w:t>49.5 – Equity Interest Transfers</w:t>
            </w:r>
          </w:p>
        </w:tc>
        <w:tc>
          <w:tcPr>
            <w:tcW w:w="555" w:type="pct"/>
          </w:tcPr>
          <w:p w:rsidRPr="0041769D" w:rsidR="00A34C62" w:rsidP="005828A2" w:rsidRDefault="00A34C62" w14:paraId="403B3570"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3</w:t>
            </w:r>
          </w:p>
        </w:tc>
        <w:tc>
          <w:tcPr>
            <w:tcW w:w="517" w:type="pct"/>
          </w:tcPr>
          <w:p w:rsidRPr="0041769D" w:rsidR="00A34C62" w:rsidP="005828A2" w:rsidRDefault="00A34C62" w14:paraId="3A7DE3D4"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.33</w:t>
            </w:r>
            <w:r w:rsidRPr="0041769D">
              <w:rPr>
                <w:rStyle w:val="FootnoteReference"/>
                <w:rFonts w:ascii="Arial" w:hAnsi="Arial" w:eastAsia="Times New Roman" w:cs="Times New Roman"/>
                <w:sz w:val="16"/>
                <w:szCs w:val="16"/>
              </w:rPr>
              <w:footnoteReference w:id="6"/>
            </w:r>
          </w:p>
        </w:tc>
        <w:tc>
          <w:tcPr>
            <w:tcW w:w="516" w:type="pct"/>
          </w:tcPr>
          <w:p w:rsidRPr="0041769D" w:rsidR="00A34C62" w:rsidP="005828A2" w:rsidRDefault="00A34C62" w14:paraId="0A9A0333"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15</w:t>
            </w:r>
          </w:p>
        </w:tc>
        <w:tc>
          <w:tcPr>
            <w:tcW w:w="516" w:type="pct"/>
          </w:tcPr>
          <w:p w:rsidRPr="0041769D" w:rsidR="00A34C62" w:rsidP="005828A2" w:rsidRDefault="00A34C62" w14:paraId="5179846F"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5</w:t>
            </w:r>
          </w:p>
        </w:tc>
        <w:tc>
          <w:tcPr>
            <w:tcW w:w="437" w:type="pct"/>
          </w:tcPr>
          <w:p w:rsidRPr="0041769D" w:rsidR="00A34C62" w:rsidP="005828A2" w:rsidRDefault="00A34C62" w14:paraId="3DDA660C" w14:textId="77777777">
            <w:pPr>
              <w:tabs>
                <w:tab w:val="left" w:pos="-720"/>
                <w:tab w:val="left" w:pos="0"/>
              </w:tabs>
              <w:suppressAutoHyphens/>
              <w:jc w:val="center"/>
              <w:rPr>
                <w:rFonts w:ascii="Arial" w:hAnsi="Arial" w:eastAsia="Times New Roman" w:cs="Times New Roman"/>
                <w:sz w:val="16"/>
                <w:szCs w:val="16"/>
              </w:rPr>
            </w:pPr>
            <w:r w:rsidRPr="006E7FDE">
              <w:rPr>
                <w:rFonts w:ascii="Arial" w:hAnsi="Arial" w:eastAsia="Times New Roman" w:cs="Times New Roman"/>
                <w:sz w:val="16"/>
                <w:szCs w:val="16"/>
              </w:rPr>
              <w:t>$72.23</w:t>
            </w:r>
          </w:p>
        </w:tc>
        <w:tc>
          <w:tcPr>
            <w:tcW w:w="554" w:type="pct"/>
          </w:tcPr>
          <w:p w:rsidRPr="00D77ECE" w:rsidR="00A34C62" w:rsidP="005828A2" w:rsidRDefault="00A34C62" w14:paraId="7E89BE63" w14:textId="77777777">
            <w:pPr>
              <w:rPr>
                <w:rFonts w:ascii="Arial" w:hAnsi="Arial" w:cs="Arial"/>
                <w:sz w:val="16"/>
                <w:szCs w:val="16"/>
              </w:rPr>
            </w:pPr>
            <w:r w:rsidRPr="00D77ECE">
              <w:rPr>
                <w:rFonts w:ascii="Arial" w:hAnsi="Arial" w:cs="Arial"/>
                <w:sz w:val="16"/>
                <w:szCs w:val="16"/>
              </w:rPr>
              <w:t>$361.15</w:t>
            </w:r>
          </w:p>
        </w:tc>
        <w:tc>
          <w:tcPr>
            <w:tcW w:w="439" w:type="pct"/>
          </w:tcPr>
          <w:p w:rsidRPr="0041769D" w:rsidR="00A34C62" w:rsidP="005828A2" w:rsidRDefault="00A34C62" w14:paraId="0559C89D"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1</w:t>
            </w:r>
          </w:p>
        </w:tc>
        <w:tc>
          <w:tcPr>
            <w:tcW w:w="394" w:type="pct"/>
          </w:tcPr>
          <w:p w:rsidRPr="0041769D" w:rsidR="00A34C62" w:rsidP="005828A2" w:rsidRDefault="00A34C62" w14:paraId="6071F10C"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15</w:t>
            </w:r>
          </w:p>
        </w:tc>
        <w:tc>
          <w:tcPr>
            <w:tcW w:w="516" w:type="pct"/>
          </w:tcPr>
          <w:p w:rsidRPr="0041769D" w:rsidR="00A34C62" w:rsidP="005828A2" w:rsidRDefault="00A34C62" w14:paraId="0E39342D"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$1,083.45</w:t>
            </w:r>
          </w:p>
        </w:tc>
      </w:tr>
      <w:tr w:rsidRPr="008F6D4A" w:rsidR="00A34C62" w:rsidTr="005828A2" w14:paraId="4E44D7F5" w14:textId="77777777">
        <w:trPr>
          <w:trHeight w:val="1222"/>
        </w:trPr>
        <w:tc>
          <w:tcPr>
            <w:tcW w:w="556" w:type="pct"/>
          </w:tcPr>
          <w:p w:rsidRPr="00B37B2D" w:rsidR="00A34C62" w:rsidP="005828A2" w:rsidRDefault="00A34C62" w14:paraId="072AC780" w14:textId="77777777">
            <w:pPr>
              <w:tabs>
                <w:tab w:val="left" w:pos="-720"/>
                <w:tab w:val="left" w:pos="0"/>
              </w:tabs>
              <w:suppressAutoHyphens/>
              <w:jc w:val="center"/>
              <w:rPr>
                <w:rFonts w:ascii="Arial" w:hAnsi="Arial" w:eastAsia="Times New Roman" w:cs="Times New Roman"/>
                <w:sz w:val="16"/>
                <w:szCs w:val="16"/>
              </w:rPr>
            </w:pPr>
            <w:r w:rsidRPr="00B37B2D">
              <w:rPr>
                <w:rFonts w:ascii="Arial" w:hAnsi="Arial" w:eastAsia="Times New Roman" w:cs="Times New Roman"/>
                <w:sz w:val="16"/>
                <w:szCs w:val="16"/>
              </w:rPr>
              <w:t>49.6 – Request for Transfer of Registration</w:t>
            </w:r>
          </w:p>
        </w:tc>
        <w:tc>
          <w:tcPr>
            <w:tcW w:w="555" w:type="pct"/>
          </w:tcPr>
          <w:p w:rsidRPr="0041769D" w:rsidR="00A34C62" w:rsidP="005828A2" w:rsidRDefault="00A34C62" w14:paraId="0F34263C"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3</w:t>
            </w:r>
          </w:p>
        </w:tc>
        <w:tc>
          <w:tcPr>
            <w:tcW w:w="517" w:type="pct"/>
          </w:tcPr>
          <w:p w:rsidRPr="0041769D" w:rsidR="00A34C62" w:rsidP="005828A2" w:rsidRDefault="00A34C62" w14:paraId="5EAB9021"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.33</w:t>
            </w:r>
            <w:r w:rsidRPr="0041769D">
              <w:rPr>
                <w:rStyle w:val="FootnoteReference"/>
                <w:rFonts w:ascii="Arial" w:hAnsi="Arial" w:eastAsia="Times New Roman" w:cs="Times New Roman"/>
                <w:sz w:val="16"/>
                <w:szCs w:val="16"/>
              </w:rPr>
              <w:footnoteReference w:id="7"/>
            </w:r>
          </w:p>
        </w:tc>
        <w:tc>
          <w:tcPr>
            <w:tcW w:w="516" w:type="pct"/>
          </w:tcPr>
          <w:p w:rsidRPr="0041769D" w:rsidR="00A34C62" w:rsidP="005828A2" w:rsidRDefault="00A34C62" w14:paraId="76C53500"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15</w:t>
            </w:r>
          </w:p>
        </w:tc>
        <w:tc>
          <w:tcPr>
            <w:tcW w:w="516" w:type="pct"/>
          </w:tcPr>
          <w:p w:rsidRPr="0041769D" w:rsidR="00A34C62" w:rsidP="005828A2" w:rsidRDefault="00A34C62" w14:paraId="068F3A3D"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5</w:t>
            </w:r>
          </w:p>
        </w:tc>
        <w:tc>
          <w:tcPr>
            <w:tcW w:w="437" w:type="pct"/>
          </w:tcPr>
          <w:p w:rsidRPr="0041769D" w:rsidR="00A34C62" w:rsidP="005828A2" w:rsidRDefault="00A34C62" w14:paraId="3FB9E597" w14:textId="77777777">
            <w:pPr>
              <w:tabs>
                <w:tab w:val="left" w:pos="-720"/>
                <w:tab w:val="left" w:pos="0"/>
              </w:tabs>
              <w:suppressAutoHyphens/>
              <w:jc w:val="center"/>
              <w:rPr>
                <w:rFonts w:ascii="Arial" w:hAnsi="Arial" w:eastAsia="Times New Roman" w:cs="Times New Roman"/>
                <w:sz w:val="16"/>
                <w:szCs w:val="16"/>
              </w:rPr>
            </w:pPr>
            <w:r w:rsidRPr="006E7FDE">
              <w:rPr>
                <w:rFonts w:ascii="Arial" w:hAnsi="Arial" w:eastAsia="Times New Roman" w:cs="Times New Roman"/>
                <w:sz w:val="16"/>
                <w:szCs w:val="16"/>
              </w:rPr>
              <w:t>$72.23</w:t>
            </w:r>
          </w:p>
        </w:tc>
        <w:tc>
          <w:tcPr>
            <w:tcW w:w="554" w:type="pct"/>
          </w:tcPr>
          <w:p w:rsidRPr="0041769D" w:rsidR="00A34C62" w:rsidP="005828A2" w:rsidRDefault="00A34C62" w14:paraId="59A9AADE" w14:textId="77777777">
            <w:pPr>
              <w:rPr>
                <w:sz w:val="18"/>
                <w:szCs w:val="18"/>
              </w:rPr>
            </w:pPr>
            <w:r>
              <w:rPr>
                <w:sz w:val="18"/>
                <w:szCs w:val="18"/>
              </w:rPr>
              <w:t>$361.15</w:t>
            </w:r>
          </w:p>
        </w:tc>
        <w:tc>
          <w:tcPr>
            <w:tcW w:w="439" w:type="pct"/>
          </w:tcPr>
          <w:p w:rsidRPr="0041769D" w:rsidR="00A34C62" w:rsidP="005828A2" w:rsidRDefault="00A34C62" w14:paraId="5D0CFEC2"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1</w:t>
            </w:r>
          </w:p>
        </w:tc>
        <w:tc>
          <w:tcPr>
            <w:tcW w:w="394" w:type="pct"/>
          </w:tcPr>
          <w:p w:rsidRPr="0041769D" w:rsidR="00A34C62" w:rsidP="005828A2" w:rsidRDefault="00A34C62" w14:paraId="569638D5"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15</w:t>
            </w:r>
          </w:p>
        </w:tc>
        <w:tc>
          <w:tcPr>
            <w:tcW w:w="516" w:type="pct"/>
          </w:tcPr>
          <w:p w:rsidRPr="0041769D" w:rsidR="00A34C62" w:rsidP="005828A2" w:rsidRDefault="00A34C62" w14:paraId="5C0F33D8"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$1,083.45</w:t>
            </w:r>
          </w:p>
        </w:tc>
      </w:tr>
      <w:tr w:rsidRPr="008F6D4A" w:rsidR="00A34C62" w:rsidTr="005828A2" w14:paraId="75562826" w14:textId="77777777">
        <w:trPr>
          <w:trHeight w:val="1222"/>
        </w:trPr>
        <w:tc>
          <w:tcPr>
            <w:tcW w:w="556" w:type="pct"/>
          </w:tcPr>
          <w:p w:rsidRPr="00B37B2D" w:rsidR="00A34C62" w:rsidP="005828A2" w:rsidRDefault="00A34C62" w14:paraId="421DC0D3" w14:textId="77777777">
            <w:pPr>
              <w:tabs>
                <w:tab w:val="left" w:pos="-720"/>
                <w:tab w:val="left" w:pos="0"/>
              </w:tabs>
              <w:suppressAutoHyphens/>
              <w:jc w:val="center"/>
              <w:rPr>
                <w:rFonts w:ascii="Arial" w:hAnsi="Arial" w:eastAsia="Times New Roman" w:cs="Times New Roman"/>
                <w:sz w:val="16"/>
                <w:szCs w:val="16"/>
              </w:rPr>
            </w:pPr>
            <w:r w:rsidRPr="00B37B2D">
              <w:rPr>
                <w:rFonts w:ascii="Arial" w:hAnsi="Arial" w:eastAsia="Times New Roman" w:cs="Times New Roman"/>
                <w:sz w:val="16"/>
                <w:szCs w:val="16"/>
              </w:rPr>
              <w:t>49.9 – Open Swaps Reports Provided to the Commission</w:t>
            </w:r>
          </w:p>
        </w:tc>
        <w:tc>
          <w:tcPr>
            <w:tcW w:w="555" w:type="pct"/>
          </w:tcPr>
          <w:p w:rsidRPr="0041769D" w:rsidR="00A34C62" w:rsidP="005828A2" w:rsidRDefault="00A34C62" w14:paraId="0A7B2AEF"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3</w:t>
            </w:r>
          </w:p>
        </w:tc>
        <w:tc>
          <w:tcPr>
            <w:tcW w:w="517" w:type="pct"/>
          </w:tcPr>
          <w:p w:rsidRPr="0041769D" w:rsidR="00A34C62" w:rsidP="005828A2" w:rsidRDefault="00A34C62" w14:paraId="322AC2DB"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365</w:t>
            </w:r>
          </w:p>
        </w:tc>
        <w:tc>
          <w:tcPr>
            <w:tcW w:w="516" w:type="pct"/>
          </w:tcPr>
          <w:p w:rsidRPr="0041769D" w:rsidR="00A34C62" w:rsidP="005828A2" w:rsidRDefault="00A34C62" w14:paraId="2D820F98"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2</w:t>
            </w:r>
          </w:p>
        </w:tc>
        <w:tc>
          <w:tcPr>
            <w:tcW w:w="516" w:type="pct"/>
          </w:tcPr>
          <w:p w:rsidRPr="0041769D" w:rsidR="00A34C62" w:rsidP="005828A2" w:rsidRDefault="00A34C62" w14:paraId="719D115C"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730</w:t>
            </w:r>
          </w:p>
        </w:tc>
        <w:tc>
          <w:tcPr>
            <w:tcW w:w="437" w:type="pct"/>
          </w:tcPr>
          <w:p w:rsidRPr="0041769D" w:rsidR="00A34C62" w:rsidP="005828A2" w:rsidRDefault="00A34C62" w14:paraId="31AFD9C7" w14:textId="77777777">
            <w:pPr>
              <w:tabs>
                <w:tab w:val="left" w:pos="-720"/>
                <w:tab w:val="left" w:pos="0"/>
              </w:tabs>
              <w:suppressAutoHyphens/>
              <w:jc w:val="center"/>
              <w:rPr>
                <w:rFonts w:ascii="Arial" w:hAnsi="Arial" w:eastAsia="Times New Roman" w:cs="Times New Roman"/>
                <w:sz w:val="16"/>
                <w:szCs w:val="16"/>
              </w:rPr>
            </w:pPr>
            <w:r w:rsidRPr="006E7FDE">
              <w:rPr>
                <w:rFonts w:ascii="Arial" w:hAnsi="Arial" w:eastAsia="Times New Roman" w:cs="Times New Roman"/>
                <w:sz w:val="16"/>
                <w:szCs w:val="16"/>
              </w:rPr>
              <w:t>$72.23</w:t>
            </w:r>
          </w:p>
        </w:tc>
        <w:tc>
          <w:tcPr>
            <w:tcW w:w="554" w:type="pct"/>
          </w:tcPr>
          <w:p w:rsidRPr="0041769D" w:rsidR="00A34C62" w:rsidP="005828A2" w:rsidRDefault="00A34C62" w14:paraId="42427B96" w14:textId="77777777">
            <w:pPr>
              <w:rPr>
                <w:sz w:val="18"/>
                <w:szCs w:val="18"/>
              </w:rPr>
            </w:pPr>
            <w:r>
              <w:rPr>
                <w:sz w:val="18"/>
                <w:szCs w:val="18"/>
              </w:rPr>
              <w:t>$52,727.90</w:t>
            </w:r>
          </w:p>
        </w:tc>
        <w:tc>
          <w:tcPr>
            <w:tcW w:w="439" w:type="pct"/>
          </w:tcPr>
          <w:p w:rsidRPr="0041769D" w:rsidR="00A34C62" w:rsidP="005828A2" w:rsidRDefault="00A34C62" w14:paraId="0B8C1099"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1095</w:t>
            </w:r>
          </w:p>
        </w:tc>
        <w:tc>
          <w:tcPr>
            <w:tcW w:w="394" w:type="pct"/>
          </w:tcPr>
          <w:p w:rsidRPr="0041769D" w:rsidR="00A34C62" w:rsidP="005828A2" w:rsidRDefault="00A34C62" w14:paraId="17656EAA" w14:textId="77777777">
            <w:pPr>
              <w:tabs>
                <w:tab w:val="left" w:pos="-720"/>
                <w:tab w:val="left" w:pos="0"/>
              </w:tabs>
              <w:suppressAutoHyphens/>
              <w:jc w:val="center"/>
              <w:rPr>
                <w:rFonts w:ascii="Arial" w:hAnsi="Arial" w:eastAsia="Times New Roman" w:cs="Times New Roman"/>
                <w:sz w:val="16"/>
                <w:szCs w:val="16"/>
              </w:rPr>
            </w:pPr>
            <w:r w:rsidRPr="0041769D">
              <w:rPr>
                <w:rFonts w:ascii="Arial" w:hAnsi="Arial" w:eastAsia="Times New Roman" w:cs="Times New Roman"/>
                <w:sz w:val="16"/>
                <w:szCs w:val="16"/>
              </w:rPr>
              <w:t>2</w:t>
            </w:r>
            <w:r>
              <w:rPr>
                <w:rFonts w:ascii="Arial" w:hAnsi="Arial" w:eastAsia="Times New Roman" w:cs="Times New Roman"/>
                <w:sz w:val="16"/>
                <w:szCs w:val="16"/>
              </w:rPr>
              <w:t>,</w:t>
            </w:r>
            <w:r w:rsidRPr="0041769D">
              <w:rPr>
                <w:rFonts w:ascii="Arial" w:hAnsi="Arial" w:eastAsia="Times New Roman" w:cs="Times New Roman"/>
                <w:sz w:val="16"/>
                <w:szCs w:val="16"/>
              </w:rPr>
              <w:t>190</w:t>
            </w:r>
          </w:p>
        </w:tc>
        <w:tc>
          <w:tcPr>
            <w:tcW w:w="516" w:type="pct"/>
          </w:tcPr>
          <w:p w:rsidRPr="0041769D" w:rsidR="00A34C62" w:rsidP="005828A2" w:rsidRDefault="00A34C62" w14:paraId="29532243"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$158,183.70</w:t>
            </w:r>
          </w:p>
        </w:tc>
      </w:tr>
      <w:tr w:rsidRPr="008F6D4A" w:rsidR="008846F1" w:rsidTr="005828A2" w14:paraId="613376B8" w14:textId="77777777">
        <w:trPr>
          <w:trHeight w:val="1222"/>
        </w:trPr>
        <w:tc>
          <w:tcPr>
            <w:tcW w:w="556" w:type="pct"/>
          </w:tcPr>
          <w:p w:rsidRPr="00B37B2D" w:rsidR="008846F1" w:rsidP="005828A2" w:rsidRDefault="008846F1" w14:paraId="054F2269" w14:textId="1E9BB623">
            <w:pPr>
              <w:tabs>
                <w:tab w:val="left" w:pos="-720"/>
                <w:tab w:val="left" w:pos="0"/>
              </w:tabs>
              <w:suppressAutoHyphens/>
              <w:jc w:val="center"/>
              <w:rPr>
                <w:rFonts w:ascii="Arial" w:hAnsi="Arial" w:eastAsia="Times New Roman" w:cs="Times New Roman"/>
                <w:sz w:val="16"/>
                <w:szCs w:val="16"/>
              </w:rPr>
            </w:pPr>
            <w:r w:rsidRPr="00B37B2D">
              <w:rPr>
                <w:rFonts w:ascii="Arial" w:hAnsi="Arial" w:eastAsia="Times New Roman" w:cs="Times New Roman"/>
                <w:sz w:val="16"/>
                <w:szCs w:val="16"/>
              </w:rPr>
              <w:t>49.10</w:t>
            </w:r>
            <w:r>
              <w:rPr>
                <w:rFonts w:ascii="Arial" w:hAnsi="Arial" w:eastAsia="Times New Roman" w:cs="Times New Roman"/>
                <w:sz w:val="16"/>
                <w:szCs w:val="16"/>
              </w:rPr>
              <w:t>(e)</w:t>
            </w:r>
            <w:r w:rsidRPr="00B37B2D">
              <w:rPr>
                <w:rFonts w:ascii="Arial" w:hAnsi="Arial" w:eastAsia="Times New Roman" w:cs="Times New Roman"/>
                <w:sz w:val="16"/>
                <w:szCs w:val="16"/>
              </w:rPr>
              <w:t xml:space="preserve"> – Acceptance of Data</w:t>
            </w:r>
          </w:p>
        </w:tc>
        <w:tc>
          <w:tcPr>
            <w:tcW w:w="555" w:type="pct"/>
          </w:tcPr>
          <w:p w:rsidRPr="0041769D" w:rsidR="008846F1" w:rsidP="005828A2" w:rsidRDefault="008846F1" w14:paraId="47E7B923" w14:textId="4228C493">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3</w:t>
            </w:r>
          </w:p>
        </w:tc>
        <w:tc>
          <w:tcPr>
            <w:tcW w:w="517" w:type="pct"/>
          </w:tcPr>
          <w:p w:rsidRPr="0041769D" w:rsidR="008846F1" w:rsidP="005828A2" w:rsidRDefault="008846F1" w14:paraId="1FB646E3" w14:textId="6A4843EB">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3,000,000</w:t>
            </w:r>
            <w:r>
              <w:rPr>
                <w:rStyle w:val="FootnoteReference"/>
                <w:rFonts w:ascii="Arial" w:hAnsi="Arial" w:eastAsia="Times New Roman" w:cs="Times New Roman"/>
                <w:sz w:val="16"/>
                <w:szCs w:val="16"/>
              </w:rPr>
              <w:footnoteReference w:id="8"/>
            </w:r>
          </w:p>
        </w:tc>
        <w:tc>
          <w:tcPr>
            <w:tcW w:w="516" w:type="pct"/>
          </w:tcPr>
          <w:p w:rsidRPr="0041769D" w:rsidR="008846F1" w:rsidP="005828A2" w:rsidRDefault="008846F1" w14:paraId="2ECA3DC5" w14:textId="762FD920">
            <w:pPr>
              <w:tabs>
                <w:tab w:val="left" w:pos="-720"/>
                <w:tab w:val="left" w:pos="0"/>
              </w:tabs>
              <w:suppressAutoHyphens/>
              <w:jc w:val="center"/>
              <w:rPr>
                <w:rFonts w:ascii="Arial" w:hAnsi="Arial" w:eastAsia="Times New Roman" w:cs="Times New Roman"/>
                <w:sz w:val="16"/>
                <w:szCs w:val="16"/>
              </w:rPr>
            </w:pPr>
            <w:r w:rsidRPr="00AD5E25">
              <w:rPr>
                <w:rFonts w:ascii="Arial" w:hAnsi="Arial" w:eastAsia="Times New Roman" w:cs="Times New Roman"/>
                <w:sz w:val="16"/>
                <w:szCs w:val="16"/>
              </w:rPr>
              <w:t>0.00055</w:t>
            </w:r>
          </w:p>
        </w:tc>
        <w:tc>
          <w:tcPr>
            <w:tcW w:w="516" w:type="pct"/>
          </w:tcPr>
          <w:p w:rsidRPr="0041769D" w:rsidR="008846F1" w:rsidP="005828A2" w:rsidRDefault="008846F1" w14:paraId="1FB07719" w14:textId="18107345">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1,650</w:t>
            </w:r>
          </w:p>
        </w:tc>
        <w:tc>
          <w:tcPr>
            <w:tcW w:w="437" w:type="pct"/>
          </w:tcPr>
          <w:p w:rsidRPr="0041769D" w:rsidR="008846F1" w:rsidP="005828A2" w:rsidRDefault="008846F1" w14:paraId="4FD5CD54" w14:textId="38FDC2EE">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$72.23</w:t>
            </w:r>
            <w:r w:rsidRPr="00AD5E25">
              <w:rPr>
                <w:rFonts w:ascii="Arial" w:hAnsi="Arial" w:eastAsia="Times New Roman" w:cs="Times New Roman"/>
                <w:sz w:val="16"/>
                <w:szCs w:val="16"/>
              </w:rPr>
              <w:t xml:space="preserve"> </w:t>
            </w:r>
          </w:p>
        </w:tc>
        <w:tc>
          <w:tcPr>
            <w:tcW w:w="554" w:type="pct"/>
          </w:tcPr>
          <w:p w:rsidRPr="0041769D" w:rsidR="008846F1" w:rsidP="005828A2" w:rsidRDefault="008846F1" w14:paraId="5832E1C9" w14:textId="0451C6F3">
            <w:pPr>
              <w:rPr>
                <w:sz w:val="18"/>
                <w:szCs w:val="18"/>
              </w:rPr>
            </w:pPr>
            <w:r>
              <w:rPr>
                <w:rFonts w:ascii="Arial" w:hAnsi="Arial" w:cs="Arial"/>
                <w:color w:val="000000"/>
                <w:sz w:val="16"/>
                <w:szCs w:val="16"/>
              </w:rPr>
              <w:t xml:space="preserve">$ </w:t>
            </w:r>
            <w:r w:rsidRPr="00D431CA">
              <w:rPr>
                <w:rFonts w:ascii="Arial" w:hAnsi="Arial" w:cs="Arial"/>
                <w:color w:val="000000"/>
                <w:sz w:val="16"/>
                <w:szCs w:val="16"/>
              </w:rPr>
              <w:t>119,179.5</w:t>
            </w:r>
            <w:r>
              <w:rPr>
                <w:rFonts w:ascii="Arial" w:hAnsi="Arial" w:cs="Arial"/>
                <w:color w:val="000000"/>
                <w:sz w:val="16"/>
                <w:szCs w:val="16"/>
              </w:rPr>
              <w:t>0</w:t>
            </w:r>
          </w:p>
        </w:tc>
        <w:tc>
          <w:tcPr>
            <w:tcW w:w="439" w:type="pct"/>
          </w:tcPr>
          <w:p w:rsidRPr="0041769D" w:rsidR="008846F1" w:rsidP="005828A2" w:rsidRDefault="008846F1" w14:paraId="330CC6CB" w14:textId="45F662A9">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9,000,000</w:t>
            </w:r>
          </w:p>
        </w:tc>
        <w:tc>
          <w:tcPr>
            <w:tcW w:w="394" w:type="pct"/>
          </w:tcPr>
          <w:p w:rsidRPr="0041769D" w:rsidR="008846F1" w:rsidP="005828A2" w:rsidRDefault="008846F1" w14:paraId="0C332D5F" w14:textId="17188755">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4,950</w:t>
            </w:r>
          </w:p>
        </w:tc>
        <w:tc>
          <w:tcPr>
            <w:tcW w:w="516" w:type="pct"/>
          </w:tcPr>
          <w:p w:rsidRPr="0041769D" w:rsidR="008846F1" w:rsidP="005828A2" w:rsidRDefault="008846F1" w14:paraId="22603DE6" w14:textId="31695DC8">
            <w:pPr>
              <w:tabs>
                <w:tab w:val="left" w:pos="-720"/>
                <w:tab w:val="left" w:pos="0"/>
              </w:tabs>
              <w:suppressAutoHyphens/>
              <w:jc w:val="center"/>
              <w:rPr>
                <w:rFonts w:ascii="Arial" w:hAnsi="Arial" w:eastAsia="Times New Roman" w:cs="Times New Roman"/>
                <w:sz w:val="16"/>
                <w:szCs w:val="16"/>
              </w:rPr>
            </w:pPr>
            <w:r>
              <w:rPr>
                <w:rFonts w:ascii="Arial" w:hAnsi="Arial" w:cs="Arial"/>
                <w:color w:val="000000"/>
                <w:sz w:val="16"/>
                <w:szCs w:val="16"/>
              </w:rPr>
              <w:t xml:space="preserve">$ </w:t>
            </w:r>
            <w:r w:rsidRPr="00D431CA">
              <w:rPr>
                <w:rFonts w:ascii="Arial" w:hAnsi="Arial" w:cs="Arial"/>
                <w:color w:val="000000"/>
                <w:sz w:val="16"/>
                <w:szCs w:val="16"/>
              </w:rPr>
              <w:t>357,538.5</w:t>
            </w:r>
            <w:r>
              <w:rPr>
                <w:rFonts w:ascii="Arial" w:hAnsi="Arial" w:cs="Arial"/>
                <w:color w:val="000000"/>
                <w:sz w:val="16"/>
                <w:szCs w:val="16"/>
              </w:rPr>
              <w:t>0</w:t>
            </w:r>
          </w:p>
        </w:tc>
      </w:tr>
      <w:tr w:rsidRPr="008F6D4A" w:rsidR="00A34C62" w:rsidTr="005828A2" w14:paraId="20412BAD" w14:textId="77777777">
        <w:trPr>
          <w:trHeight w:val="1222"/>
        </w:trPr>
        <w:tc>
          <w:tcPr>
            <w:tcW w:w="556" w:type="pct"/>
          </w:tcPr>
          <w:p w:rsidRPr="00B37B2D" w:rsidR="00A34C62" w:rsidP="005828A2" w:rsidRDefault="00A34C62" w14:paraId="0E5E6CB4" w14:textId="77777777">
            <w:pPr>
              <w:tabs>
                <w:tab w:val="left" w:pos="-720"/>
                <w:tab w:val="left" w:pos="0"/>
              </w:tabs>
              <w:suppressAutoHyphens/>
              <w:jc w:val="center"/>
              <w:rPr>
                <w:rFonts w:ascii="Arial" w:hAnsi="Arial" w:eastAsia="Times New Roman" w:cs="Times New Roman"/>
                <w:sz w:val="16"/>
                <w:szCs w:val="16"/>
              </w:rPr>
            </w:pPr>
            <w:r w:rsidRPr="00B37B2D">
              <w:rPr>
                <w:rFonts w:ascii="Arial" w:hAnsi="Arial" w:eastAsia="Times New Roman" w:cs="Times New Roman"/>
                <w:sz w:val="16"/>
                <w:szCs w:val="16"/>
              </w:rPr>
              <w:t>49.11 – Verification of Swap Data Accuracy</w:t>
            </w:r>
          </w:p>
        </w:tc>
        <w:tc>
          <w:tcPr>
            <w:tcW w:w="555" w:type="pct"/>
          </w:tcPr>
          <w:p w:rsidRPr="00D57199" w:rsidR="00A34C62" w:rsidP="005828A2" w:rsidRDefault="00A34C62" w14:paraId="577CF288" w14:textId="77777777">
            <w:pPr>
              <w:tabs>
                <w:tab w:val="left" w:pos="-720"/>
                <w:tab w:val="left" w:pos="0"/>
              </w:tabs>
              <w:suppressAutoHyphens/>
              <w:jc w:val="center"/>
              <w:rPr>
                <w:rFonts w:ascii="Arial" w:hAnsi="Arial" w:eastAsia="Times New Roman" w:cs="Times New Roman"/>
                <w:sz w:val="16"/>
                <w:szCs w:val="16"/>
              </w:rPr>
            </w:pPr>
            <w:r w:rsidRPr="00D57199">
              <w:rPr>
                <w:rFonts w:ascii="Arial" w:hAnsi="Arial" w:eastAsia="Times New Roman" w:cs="Times New Roman"/>
                <w:sz w:val="16"/>
                <w:szCs w:val="16"/>
              </w:rPr>
              <w:t>3</w:t>
            </w:r>
          </w:p>
        </w:tc>
        <w:tc>
          <w:tcPr>
            <w:tcW w:w="517" w:type="pct"/>
          </w:tcPr>
          <w:p w:rsidRPr="001C752E" w:rsidR="00A34C62" w:rsidP="005828A2" w:rsidRDefault="009C2C09" w14:paraId="6F712DA2" w14:textId="37260AE3">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7,861</w:t>
            </w:r>
            <w:r w:rsidR="00E76C4A">
              <w:rPr>
                <w:rStyle w:val="FootnoteReference"/>
                <w:rFonts w:ascii="Arial" w:hAnsi="Arial" w:eastAsia="Times New Roman" w:cs="Times New Roman"/>
                <w:sz w:val="16"/>
                <w:szCs w:val="16"/>
              </w:rPr>
              <w:footnoteReference w:id="9"/>
            </w:r>
          </w:p>
        </w:tc>
        <w:tc>
          <w:tcPr>
            <w:tcW w:w="516" w:type="pct"/>
          </w:tcPr>
          <w:p w:rsidRPr="001C752E" w:rsidR="00A34C62" w:rsidP="005828A2" w:rsidRDefault="009C2C09" w14:paraId="63F0A512" w14:textId="1B88FB9F">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0.0038</w:t>
            </w:r>
          </w:p>
        </w:tc>
        <w:tc>
          <w:tcPr>
            <w:tcW w:w="516" w:type="pct"/>
          </w:tcPr>
          <w:p w:rsidRPr="001C752E" w:rsidR="00A34C62" w:rsidP="005828A2" w:rsidRDefault="009C2C09" w14:paraId="21F9A218" w14:textId="24688919">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30</w:t>
            </w:r>
          </w:p>
        </w:tc>
        <w:tc>
          <w:tcPr>
            <w:tcW w:w="437" w:type="pct"/>
          </w:tcPr>
          <w:p w:rsidRPr="008F6D4A" w:rsidR="00A34C62" w:rsidP="005828A2" w:rsidRDefault="00A34C62" w14:paraId="00CC448B" w14:textId="77777777">
            <w:pPr>
              <w:tabs>
                <w:tab w:val="left" w:pos="-720"/>
                <w:tab w:val="left" w:pos="0"/>
              </w:tabs>
              <w:suppressAutoHyphens/>
              <w:jc w:val="center"/>
              <w:rPr>
                <w:rFonts w:ascii="Arial" w:hAnsi="Arial" w:eastAsia="Times New Roman" w:cs="Times New Roman"/>
                <w:b/>
                <w:sz w:val="16"/>
                <w:szCs w:val="16"/>
              </w:rPr>
            </w:pPr>
            <w:r w:rsidRPr="006E7FDE">
              <w:rPr>
                <w:rFonts w:ascii="Arial" w:hAnsi="Arial" w:eastAsia="Times New Roman" w:cs="Times New Roman"/>
                <w:sz w:val="16"/>
                <w:szCs w:val="16"/>
              </w:rPr>
              <w:t>$72.23</w:t>
            </w:r>
          </w:p>
        </w:tc>
        <w:tc>
          <w:tcPr>
            <w:tcW w:w="554" w:type="pct"/>
          </w:tcPr>
          <w:p w:rsidRPr="009C643F" w:rsidR="00A34C62" w:rsidP="005828A2" w:rsidRDefault="009C2C09" w14:paraId="376E4976" w14:textId="6F6FCF6E">
            <w:pPr>
              <w:rPr>
                <w:sz w:val="18"/>
                <w:szCs w:val="18"/>
              </w:rPr>
            </w:pPr>
            <w:r>
              <w:rPr>
                <w:rFonts w:ascii="Arial" w:hAnsi="Arial" w:cs="Arial"/>
                <w:sz w:val="16"/>
                <w:szCs w:val="16"/>
              </w:rPr>
              <w:t>$2,166.90</w:t>
            </w:r>
          </w:p>
        </w:tc>
        <w:tc>
          <w:tcPr>
            <w:tcW w:w="439" w:type="pct"/>
          </w:tcPr>
          <w:p w:rsidRPr="001C752E" w:rsidR="00A34C62" w:rsidP="005828A2" w:rsidRDefault="009C2C09" w14:paraId="1D04F9DB" w14:textId="74034B35">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23,583</w:t>
            </w:r>
          </w:p>
        </w:tc>
        <w:tc>
          <w:tcPr>
            <w:tcW w:w="394" w:type="pct"/>
          </w:tcPr>
          <w:p w:rsidRPr="008F6D4A" w:rsidR="00A34C62" w:rsidP="005828A2" w:rsidRDefault="009C2C09" w14:paraId="62F1F829" w14:textId="5733F850">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sz w:val="16"/>
                <w:szCs w:val="16"/>
              </w:rPr>
              <w:t>90</w:t>
            </w:r>
          </w:p>
        </w:tc>
        <w:tc>
          <w:tcPr>
            <w:tcW w:w="516" w:type="pct"/>
          </w:tcPr>
          <w:p w:rsidRPr="001C752E" w:rsidR="00A34C62" w:rsidP="00C55429" w:rsidRDefault="00A34C62" w14:paraId="77CA202C" w14:textId="00D29098">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w:t>
            </w:r>
            <w:r w:rsidR="00C55429">
              <w:rPr>
                <w:rFonts w:ascii="Arial" w:hAnsi="Arial" w:eastAsia="Times New Roman" w:cs="Times New Roman"/>
                <w:sz w:val="16"/>
                <w:szCs w:val="16"/>
              </w:rPr>
              <w:t>6,500.7</w:t>
            </w:r>
          </w:p>
        </w:tc>
      </w:tr>
      <w:tr w:rsidRPr="008F6D4A" w:rsidR="00A34C62" w:rsidTr="005828A2" w14:paraId="6EDB94DA" w14:textId="77777777">
        <w:trPr>
          <w:trHeight w:val="1222"/>
        </w:trPr>
        <w:tc>
          <w:tcPr>
            <w:tcW w:w="556" w:type="pct"/>
          </w:tcPr>
          <w:p w:rsidRPr="00B37B2D" w:rsidR="00A34C62" w:rsidP="005828A2" w:rsidRDefault="00A34C62" w14:paraId="42CDB54F" w14:textId="77777777">
            <w:pPr>
              <w:tabs>
                <w:tab w:val="left" w:pos="-720"/>
                <w:tab w:val="left" w:pos="0"/>
              </w:tabs>
              <w:suppressAutoHyphens/>
              <w:jc w:val="center"/>
              <w:rPr>
                <w:rFonts w:ascii="Arial" w:hAnsi="Arial" w:eastAsia="Times New Roman" w:cs="Times New Roman"/>
                <w:sz w:val="16"/>
                <w:szCs w:val="16"/>
              </w:rPr>
            </w:pPr>
            <w:r w:rsidRPr="00B37B2D">
              <w:rPr>
                <w:rFonts w:ascii="Arial" w:hAnsi="Arial" w:eastAsia="Times New Roman" w:cs="Times New Roman"/>
                <w:sz w:val="16"/>
                <w:szCs w:val="16"/>
              </w:rPr>
              <w:lastRenderedPageBreak/>
              <w:t>49.26 – Disclosure Requirements for SDRs</w:t>
            </w:r>
          </w:p>
        </w:tc>
        <w:tc>
          <w:tcPr>
            <w:tcW w:w="555" w:type="pct"/>
          </w:tcPr>
          <w:p w:rsidRPr="00D57199" w:rsidR="00A34C62" w:rsidP="005828A2" w:rsidRDefault="00A34C62" w14:paraId="68B181DF" w14:textId="77777777">
            <w:pPr>
              <w:tabs>
                <w:tab w:val="left" w:pos="-720"/>
                <w:tab w:val="left" w:pos="0"/>
              </w:tabs>
              <w:suppressAutoHyphens/>
              <w:jc w:val="center"/>
              <w:rPr>
                <w:rFonts w:ascii="Arial" w:hAnsi="Arial" w:eastAsia="Times New Roman" w:cs="Times New Roman"/>
                <w:sz w:val="16"/>
                <w:szCs w:val="16"/>
              </w:rPr>
            </w:pPr>
            <w:r w:rsidRPr="00D57199">
              <w:rPr>
                <w:rFonts w:ascii="Arial" w:hAnsi="Arial" w:eastAsia="Times New Roman" w:cs="Times New Roman"/>
                <w:sz w:val="16"/>
                <w:szCs w:val="16"/>
              </w:rPr>
              <w:t>3</w:t>
            </w:r>
          </w:p>
        </w:tc>
        <w:tc>
          <w:tcPr>
            <w:tcW w:w="517" w:type="pct"/>
          </w:tcPr>
          <w:p w:rsidRPr="005625BF" w:rsidR="00A34C62" w:rsidP="005828A2" w:rsidRDefault="00A34C62" w14:paraId="7CD0309C"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w:t>
            </w:r>
          </w:p>
        </w:tc>
        <w:tc>
          <w:tcPr>
            <w:tcW w:w="516" w:type="pct"/>
          </w:tcPr>
          <w:p w:rsidRPr="005625BF" w:rsidR="00A34C62" w:rsidP="005828A2" w:rsidRDefault="00A34C62" w14:paraId="59E5C064"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10</w:t>
            </w:r>
          </w:p>
        </w:tc>
        <w:tc>
          <w:tcPr>
            <w:tcW w:w="516" w:type="pct"/>
          </w:tcPr>
          <w:p w:rsidRPr="005625BF" w:rsidR="00A34C62" w:rsidP="005828A2" w:rsidRDefault="00A34C62" w14:paraId="5E128F92"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10</w:t>
            </w:r>
          </w:p>
        </w:tc>
        <w:tc>
          <w:tcPr>
            <w:tcW w:w="437" w:type="pct"/>
          </w:tcPr>
          <w:p w:rsidRPr="005625BF" w:rsidR="00A34C62" w:rsidP="005828A2" w:rsidRDefault="00A34C62" w14:paraId="091ACCAD" w14:textId="77777777">
            <w:pPr>
              <w:tabs>
                <w:tab w:val="left" w:pos="-720"/>
                <w:tab w:val="left" w:pos="0"/>
              </w:tabs>
              <w:suppressAutoHyphens/>
              <w:jc w:val="center"/>
              <w:rPr>
                <w:rFonts w:ascii="Arial" w:hAnsi="Arial" w:eastAsia="Times New Roman" w:cs="Times New Roman"/>
                <w:sz w:val="16"/>
                <w:szCs w:val="16"/>
              </w:rPr>
            </w:pPr>
            <w:r w:rsidRPr="006E7FDE">
              <w:rPr>
                <w:rFonts w:ascii="Arial" w:hAnsi="Arial" w:eastAsia="Times New Roman" w:cs="Times New Roman"/>
                <w:sz w:val="16"/>
                <w:szCs w:val="16"/>
              </w:rPr>
              <w:t>$72.23</w:t>
            </w:r>
          </w:p>
        </w:tc>
        <w:tc>
          <w:tcPr>
            <w:tcW w:w="554" w:type="pct"/>
          </w:tcPr>
          <w:p w:rsidRPr="005625BF" w:rsidR="00A34C62" w:rsidP="005828A2" w:rsidRDefault="00A34C62" w14:paraId="642ACD41" w14:textId="77777777">
            <w:pPr>
              <w:rPr>
                <w:sz w:val="18"/>
                <w:szCs w:val="18"/>
              </w:rPr>
            </w:pPr>
            <w:r>
              <w:rPr>
                <w:sz w:val="18"/>
                <w:szCs w:val="18"/>
              </w:rPr>
              <w:t>$722.30</w:t>
            </w:r>
          </w:p>
        </w:tc>
        <w:tc>
          <w:tcPr>
            <w:tcW w:w="439" w:type="pct"/>
          </w:tcPr>
          <w:p w:rsidRPr="005625BF" w:rsidR="00A34C62" w:rsidP="005828A2" w:rsidRDefault="00A34C62" w14:paraId="59113098"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w:t>
            </w:r>
          </w:p>
        </w:tc>
        <w:tc>
          <w:tcPr>
            <w:tcW w:w="394" w:type="pct"/>
          </w:tcPr>
          <w:p w:rsidRPr="005625BF" w:rsidR="00A34C62" w:rsidP="005828A2" w:rsidRDefault="00A34C62" w14:paraId="03822C56"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30</w:t>
            </w:r>
          </w:p>
        </w:tc>
        <w:tc>
          <w:tcPr>
            <w:tcW w:w="516" w:type="pct"/>
          </w:tcPr>
          <w:p w:rsidRPr="005625BF" w:rsidR="00A34C62" w:rsidP="005828A2" w:rsidRDefault="00A34C62" w14:paraId="33EB8F0C"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$2,166.90</w:t>
            </w:r>
          </w:p>
        </w:tc>
      </w:tr>
      <w:tr w:rsidRPr="008F6D4A" w:rsidR="00A34C62" w:rsidTr="005828A2" w14:paraId="7DA38A1D" w14:textId="77777777">
        <w:trPr>
          <w:trHeight w:val="1222"/>
        </w:trPr>
        <w:tc>
          <w:tcPr>
            <w:tcW w:w="556" w:type="pct"/>
          </w:tcPr>
          <w:p w:rsidRPr="00B37B2D" w:rsidR="00A34C62" w:rsidP="005828A2" w:rsidRDefault="00A34C62" w14:paraId="78EA52B2" w14:textId="77777777">
            <w:pPr>
              <w:tabs>
                <w:tab w:val="left" w:pos="-720"/>
                <w:tab w:val="left" w:pos="0"/>
              </w:tabs>
              <w:suppressAutoHyphens/>
              <w:jc w:val="center"/>
              <w:rPr>
                <w:rFonts w:ascii="Arial" w:hAnsi="Arial" w:eastAsia="Times New Roman" w:cs="Times New Roman"/>
                <w:sz w:val="16"/>
                <w:szCs w:val="16"/>
              </w:rPr>
            </w:pPr>
            <w:r w:rsidRPr="00B37B2D">
              <w:rPr>
                <w:rFonts w:ascii="Arial" w:hAnsi="Arial" w:eastAsia="Times New Roman" w:cs="Times New Roman"/>
                <w:sz w:val="16"/>
                <w:szCs w:val="16"/>
              </w:rPr>
              <w:t>49.28 – Operating Hours for SDRs</w:t>
            </w:r>
          </w:p>
        </w:tc>
        <w:tc>
          <w:tcPr>
            <w:tcW w:w="555" w:type="pct"/>
          </w:tcPr>
          <w:p w:rsidRPr="00D57199" w:rsidR="00A34C62" w:rsidP="005828A2" w:rsidRDefault="00A34C62" w14:paraId="50737F42" w14:textId="77777777">
            <w:pPr>
              <w:tabs>
                <w:tab w:val="left" w:pos="-720"/>
                <w:tab w:val="left" w:pos="0"/>
              </w:tabs>
              <w:suppressAutoHyphens/>
              <w:jc w:val="center"/>
              <w:rPr>
                <w:rFonts w:ascii="Arial" w:hAnsi="Arial" w:eastAsia="Times New Roman" w:cs="Times New Roman"/>
                <w:sz w:val="16"/>
                <w:szCs w:val="16"/>
              </w:rPr>
            </w:pPr>
            <w:r w:rsidRPr="00D57199">
              <w:rPr>
                <w:rFonts w:ascii="Arial" w:hAnsi="Arial" w:eastAsia="Times New Roman" w:cs="Times New Roman"/>
                <w:sz w:val="16"/>
                <w:szCs w:val="16"/>
              </w:rPr>
              <w:t>3</w:t>
            </w:r>
          </w:p>
        </w:tc>
        <w:tc>
          <w:tcPr>
            <w:tcW w:w="517" w:type="pct"/>
          </w:tcPr>
          <w:p w:rsidRPr="005625BF" w:rsidR="00A34C62" w:rsidP="005828A2" w:rsidRDefault="00A34C62" w14:paraId="79E5E5E8"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w:t>
            </w:r>
          </w:p>
        </w:tc>
        <w:tc>
          <w:tcPr>
            <w:tcW w:w="516" w:type="pct"/>
          </w:tcPr>
          <w:p w:rsidRPr="005625BF" w:rsidR="00A34C62" w:rsidP="005828A2" w:rsidRDefault="00A34C62" w14:paraId="03B1FACF"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5</w:t>
            </w:r>
          </w:p>
        </w:tc>
        <w:tc>
          <w:tcPr>
            <w:tcW w:w="516" w:type="pct"/>
          </w:tcPr>
          <w:p w:rsidRPr="005625BF" w:rsidR="00A34C62" w:rsidP="005828A2" w:rsidRDefault="00A34C62" w14:paraId="5DEF7E89"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15</w:t>
            </w:r>
          </w:p>
        </w:tc>
        <w:tc>
          <w:tcPr>
            <w:tcW w:w="437" w:type="pct"/>
          </w:tcPr>
          <w:p w:rsidRPr="005625BF" w:rsidR="00A34C62" w:rsidP="005828A2" w:rsidRDefault="00A34C62" w14:paraId="47D63578" w14:textId="77777777">
            <w:pPr>
              <w:tabs>
                <w:tab w:val="left" w:pos="-720"/>
                <w:tab w:val="left" w:pos="0"/>
              </w:tabs>
              <w:suppressAutoHyphens/>
              <w:jc w:val="center"/>
              <w:rPr>
                <w:rFonts w:ascii="Arial" w:hAnsi="Arial" w:eastAsia="Times New Roman" w:cs="Times New Roman"/>
                <w:sz w:val="16"/>
                <w:szCs w:val="16"/>
              </w:rPr>
            </w:pPr>
            <w:r w:rsidRPr="006E7FDE">
              <w:rPr>
                <w:rFonts w:ascii="Arial" w:hAnsi="Arial" w:eastAsia="Times New Roman" w:cs="Times New Roman"/>
                <w:sz w:val="16"/>
                <w:szCs w:val="16"/>
              </w:rPr>
              <w:t>$72.23</w:t>
            </w:r>
          </w:p>
        </w:tc>
        <w:tc>
          <w:tcPr>
            <w:tcW w:w="554" w:type="pct"/>
          </w:tcPr>
          <w:p w:rsidRPr="005625BF" w:rsidR="00A34C62" w:rsidP="005828A2" w:rsidRDefault="00A34C62" w14:paraId="7FCE256A" w14:textId="77777777">
            <w:pPr>
              <w:rPr>
                <w:sz w:val="18"/>
                <w:szCs w:val="18"/>
              </w:rPr>
            </w:pPr>
            <w:r>
              <w:rPr>
                <w:sz w:val="18"/>
                <w:szCs w:val="18"/>
              </w:rPr>
              <w:t>$1,083.45</w:t>
            </w:r>
          </w:p>
        </w:tc>
        <w:tc>
          <w:tcPr>
            <w:tcW w:w="439" w:type="pct"/>
          </w:tcPr>
          <w:p w:rsidRPr="005625BF" w:rsidR="00A34C62" w:rsidP="005828A2" w:rsidRDefault="00A34C62" w14:paraId="227E5822"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9</w:t>
            </w:r>
          </w:p>
        </w:tc>
        <w:tc>
          <w:tcPr>
            <w:tcW w:w="394" w:type="pct"/>
          </w:tcPr>
          <w:p w:rsidRPr="005625BF" w:rsidR="00A34C62" w:rsidP="005828A2" w:rsidRDefault="00A34C62" w14:paraId="6407D728"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45</w:t>
            </w:r>
          </w:p>
        </w:tc>
        <w:tc>
          <w:tcPr>
            <w:tcW w:w="516" w:type="pct"/>
          </w:tcPr>
          <w:p w:rsidRPr="005625BF" w:rsidR="00A34C62" w:rsidP="005828A2" w:rsidRDefault="00A34C62" w14:paraId="1BD60C53"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$3,250.35</w:t>
            </w:r>
          </w:p>
        </w:tc>
      </w:tr>
      <w:tr w:rsidRPr="008F6D4A" w:rsidR="00A34C62" w:rsidTr="005828A2" w14:paraId="46597868" w14:textId="77777777">
        <w:trPr>
          <w:trHeight w:val="1222"/>
        </w:trPr>
        <w:tc>
          <w:tcPr>
            <w:tcW w:w="556" w:type="pct"/>
          </w:tcPr>
          <w:p w:rsidRPr="00B37B2D" w:rsidR="00A34C62" w:rsidP="005828A2" w:rsidRDefault="00A34C62" w14:paraId="05F6830F" w14:textId="77777777">
            <w:pPr>
              <w:tabs>
                <w:tab w:val="left" w:pos="-720"/>
                <w:tab w:val="left" w:pos="0"/>
              </w:tabs>
              <w:suppressAutoHyphens/>
              <w:jc w:val="center"/>
              <w:rPr>
                <w:rFonts w:ascii="Arial" w:hAnsi="Arial" w:eastAsia="Times New Roman" w:cs="Times New Roman"/>
                <w:sz w:val="16"/>
                <w:szCs w:val="16"/>
              </w:rPr>
            </w:pPr>
            <w:r w:rsidRPr="00B37B2D">
              <w:rPr>
                <w:rFonts w:ascii="Arial" w:hAnsi="Arial" w:eastAsia="Times New Roman" w:cs="Times New Roman"/>
                <w:sz w:val="16"/>
                <w:szCs w:val="16"/>
              </w:rPr>
              <w:t>49.29 – Information Relating to SDR Compliance</w:t>
            </w:r>
          </w:p>
        </w:tc>
        <w:tc>
          <w:tcPr>
            <w:tcW w:w="555" w:type="pct"/>
          </w:tcPr>
          <w:p w:rsidRPr="00D57199" w:rsidR="00A34C62" w:rsidP="005828A2" w:rsidRDefault="00A34C62" w14:paraId="5D0E87FA" w14:textId="77777777">
            <w:pPr>
              <w:tabs>
                <w:tab w:val="left" w:pos="-720"/>
                <w:tab w:val="left" w:pos="0"/>
              </w:tabs>
              <w:suppressAutoHyphens/>
              <w:jc w:val="center"/>
              <w:rPr>
                <w:rFonts w:ascii="Arial" w:hAnsi="Arial" w:eastAsia="Times New Roman" w:cs="Times New Roman"/>
                <w:sz w:val="16"/>
                <w:szCs w:val="16"/>
              </w:rPr>
            </w:pPr>
            <w:r w:rsidRPr="00D57199">
              <w:rPr>
                <w:rFonts w:ascii="Arial" w:hAnsi="Arial" w:eastAsia="Times New Roman" w:cs="Times New Roman"/>
                <w:sz w:val="16"/>
                <w:szCs w:val="16"/>
              </w:rPr>
              <w:t>3</w:t>
            </w:r>
          </w:p>
        </w:tc>
        <w:tc>
          <w:tcPr>
            <w:tcW w:w="517" w:type="pct"/>
          </w:tcPr>
          <w:p w:rsidRPr="005625BF" w:rsidR="00A34C62" w:rsidP="005828A2" w:rsidRDefault="00A34C62" w14:paraId="11835E23"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5</w:t>
            </w:r>
          </w:p>
        </w:tc>
        <w:tc>
          <w:tcPr>
            <w:tcW w:w="516" w:type="pct"/>
          </w:tcPr>
          <w:p w:rsidRPr="005625BF" w:rsidR="00A34C62" w:rsidP="005828A2" w:rsidRDefault="00A34C62" w14:paraId="77BF0FCC"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20</w:t>
            </w:r>
          </w:p>
        </w:tc>
        <w:tc>
          <w:tcPr>
            <w:tcW w:w="516" w:type="pct"/>
          </w:tcPr>
          <w:p w:rsidRPr="005625BF" w:rsidR="00A34C62" w:rsidP="005828A2" w:rsidRDefault="00A34C62" w14:paraId="77CDEFF4"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100</w:t>
            </w:r>
          </w:p>
        </w:tc>
        <w:tc>
          <w:tcPr>
            <w:tcW w:w="437" w:type="pct"/>
          </w:tcPr>
          <w:p w:rsidRPr="005625BF" w:rsidR="00A34C62" w:rsidP="005828A2" w:rsidRDefault="00A34C62" w14:paraId="327B6498" w14:textId="77777777">
            <w:pPr>
              <w:tabs>
                <w:tab w:val="left" w:pos="-720"/>
                <w:tab w:val="left" w:pos="0"/>
              </w:tabs>
              <w:suppressAutoHyphens/>
              <w:jc w:val="center"/>
              <w:rPr>
                <w:rFonts w:ascii="Arial" w:hAnsi="Arial" w:eastAsia="Times New Roman" w:cs="Times New Roman"/>
                <w:sz w:val="16"/>
                <w:szCs w:val="16"/>
              </w:rPr>
            </w:pPr>
            <w:r w:rsidRPr="006E7FDE">
              <w:rPr>
                <w:rFonts w:ascii="Arial" w:hAnsi="Arial" w:eastAsia="Times New Roman" w:cs="Times New Roman"/>
                <w:sz w:val="16"/>
                <w:szCs w:val="16"/>
              </w:rPr>
              <w:t>$72.23</w:t>
            </w:r>
          </w:p>
        </w:tc>
        <w:tc>
          <w:tcPr>
            <w:tcW w:w="554" w:type="pct"/>
          </w:tcPr>
          <w:p w:rsidRPr="005625BF" w:rsidR="00A34C62" w:rsidP="005828A2" w:rsidRDefault="00A34C62" w14:paraId="42CEE5EC" w14:textId="77777777">
            <w:pPr>
              <w:rPr>
                <w:sz w:val="18"/>
                <w:szCs w:val="18"/>
              </w:rPr>
            </w:pPr>
            <w:r>
              <w:rPr>
                <w:sz w:val="18"/>
                <w:szCs w:val="18"/>
              </w:rPr>
              <w:t>$7,223.00</w:t>
            </w:r>
          </w:p>
        </w:tc>
        <w:tc>
          <w:tcPr>
            <w:tcW w:w="439" w:type="pct"/>
          </w:tcPr>
          <w:p w:rsidRPr="005625BF" w:rsidR="00A34C62" w:rsidP="005828A2" w:rsidRDefault="00A34C62" w14:paraId="16576C3F"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15</w:t>
            </w:r>
          </w:p>
        </w:tc>
        <w:tc>
          <w:tcPr>
            <w:tcW w:w="394" w:type="pct"/>
          </w:tcPr>
          <w:p w:rsidRPr="005625BF" w:rsidR="00A34C62" w:rsidP="005828A2" w:rsidRDefault="00A34C62" w14:paraId="32E07ABD"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300</w:t>
            </w:r>
          </w:p>
        </w:tc>
        <w:tc>
          <w:tcPr>
            <w:tcW w:w="516" w:type="pct"/>
          </w:tcPr>
          <w:p w:rsidRPr="005625BF" w:rsidR="00A34C62" w:rsidP="005828A2" w:rsidRDefault="00A34C62" w14:paraId="68D173EF" w14:textId="7777777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$21,669.00</w:t>
            </w:r>
          </w:p>
        </w:tc>
      </w:tr>
    </w:tbl>
    <w:p w:rsidRPr="008F6D4A" w:rsidR="00A34C62" w:rsidP="00A34C62" w:rsidRDefault="00A34C62" w14:paraId="716D0CCA" w14:textId="77777777">
      <w:pPr>
        <w:rPr>
          <w:rFonts w:eastAsia="Times New Roman" w:cs="Times New Roman"/>
          <w:szCs w:val="24"/>
        </w:rPr>
      </w:pPr>
    </w:p>
    <w:p w:rsidRPr="008F6D4A" w:rsidR="00A34C62" w:rsidP="008F6D4A" w:rsidRDefault="00A34C62" w14:paraId="0C47E461" w14:textId="77777777">
      <w:pPr>
        <w:jc w:val="center"/>
        <w:rPr>
          <w:rFonts w:eastAsia="Times New Roman" w:cs="Times New Roman"/>
          <w:szCs w:val="24"/>
        </w:rPr>
      </w:pPr>
    </w:p>
    <w:p w:rsidRPr="008F6D4A" w:rsidR="008F6D4A" w:rsidP="008F6D4A" w:rsidRDefault="008F6D4A" w14:paraId="50F422D8" w14:textId="77777777">
      <w:pPr>
        <w:jc w:val="center"/>
        <w:rPr>
          <w:rFonts w:eastAsia="Times New Roman" w:cs="Times New Roman"/>
          <w:szCs w:val="24"/>
        </w:rPr>
      </w:pPr>
    </w:p>
    <w:p w:rsidR="00730B43" w:rsidRDefault="00730B43" w14:paraId="3DDB511F" w14:textId="289DE388">
      <w:pPr>
        <w:spacing w:after="200" w:line="276" w:lineRule="auto"/>
      </w:pPr>
      <w:r>
        <w:br w:type="page"/>
      </w:r>
    </w:p>
    <w:p w:rsidRPr="007F4582" w:rsidR="007F4582" w:rsidP="007F4582" w:rsidRDefault="007F4582" w14:paraId="6AF91960" w14:textId="77777777">
      <w:pPr>
        <w:tabs>
          <w:tab w:val="left" w:pos="-720"/>
          <w:tab w:val="left" w:pos="0"/>
        </w:tabs>
        <w:suppressAutoHyphens/>
        <w:ind w:left="720" w:hanging="720"/>
        <w:jc w:val="center"/>
        <w:rPr>
          <w:b/>
        </w:rPr>
      </w:pPr>
      <w:r w:rsidRPr="007F4582">
        <w:rPr>
          <w:b/>
        </w:rPr>
        <w:lastRenderedPageBreak/>
        <w:t>Attachment B</w:t>
      </w:r>
    </w:p>
    <w:p w:rsidRPr="00642B6A" w:rsidR="00DF6095" w:rsidP="00DF6095" w:rsidRDefault="00DF6095" w14:paraId="506CCDE3" w14:textId="77777777">
      <w:pPr>
        <w:jc w:val="center"/>
        <w:rPr>
          <w:rFonts w:eastAsia="Times New Roman" w:cs="Times New Roman"/>
          <w:b/>
          <w:szCs w:val="24"/>
        </w:rPr>
      </w:pPr>
    </w:p>
    <w:p w:rsidR="00DF6095" w:rsidP="00DF6095" w:rsidRDefault="00DF6095" w14:paraId="79236DEE" w14:textId="77777777">
      <w:pPr>
        <w:jc w:val="center"/>
        <w:rPr>
          <w:rFonts w:eastAsia="Times New Roman" w:cs="Times New Roman"/>
          <w:b/>
          <w:szCs w:val="24"/>
        </w:rPr>
      </w:pPr>
      <w:r>
        <w:rPr>
          <w:rFonts w:eastAsia="Times New Roman" w:cs="Times New Roman"/>
          <w:b/>
          <w:szCs w:val="24"/>
        </w:rPr>
        <w:t>OMB Control Number 3038-0086</w:t>
      </w:r>
    </w:p>
    <w:p w:rsidR="00DF6095" w:rsidP="00DF6095" w:rsidRDefault="00DF6095" w14:paraId="5F3D35F3" w14:textId="77777777">
      <w:pPr>
        <w:jc w:val="center"/>
        <w:rPr>
          <w:rFonts w:eastAsia="Times New Roman" w:cs="Times New Roman"/>
          <w:szCs w:val="24"/>
        </w:rPr>
      </w:pPr>
      <w:r w:rsidRPr="00274164">
        <w:rPr>
          <w:rFonts w:eastAsia="Times New Roman" w:cs="Times New Roman"/>
          <w:szCs w:val="24"/>
        </w:rPr>
        <w:t>Swap Data Repositories: Registration and Regulatory Requirements</w:t>
      </w:r>
    </w:p>
    <w:p w:rsidRPr="00642B6A" w:rsidR="00DF6095" w:rsidP="00DF6095" w:rsidRDefault="00DF6095" w14:paraId="4A4B9A19" w14:textId="77777777">
      <w:pPr>
        <w:jc w:val="center"/>
        <w:rPr>
          <w:rFonts w:eastAsia="Times New Roman" w:cs="Times New Roman"/>
          <w:b/>
          <w:szCs w:val="24"/>
        </w:rPr>
      </w:pPr>
    </w:p>
    <w:p w:rsidR="007F4582" w:rsidP="007F4582" w:rsidRDefault="007F4582" w14:paraId="0D79EE93" w14:textId="77777777">
      <w:pPr>
        <w:tabs>
          <w:tab w:val="left" w:pos="-720"/>
          <w:tab w:val="left" w:pos="0"/>
        </w:tabs>
        <w:suppressAutoHyphens/>
        <w:ind w:left="720" w:hanging="720"/>
        <w:jc w:val="center"/>
      </w:pPr>
      <w:r w:rsidRPr="007F4582">
        <w:t>Capital/Start-Up Costs</w:t>
      </w:r>
    </w:p>
    <w:p w:rsidR="00DF6095" w:rsidP="007F4582" w:rsidRDefault="00DF6095" w14:paraId="1BBA2BEB" w14:textId="77777777">
      <w:pPr>
        <w:tabs>
          <w:tab w:val="left" w:pos="-720"/>
          <w:tab w:val="left" w:pos="0"/>
        </w:tabs>
        <w:suppressAutoHyphens/>
        <w:ind w:left="720" w:hanging="720"/>
        <w:jc w:val="center"/>
      </w:pPr>
    </w:p>
    <w:tbl>
      <w:tblPr>
        <w:tblStyle w:val="TableGrid"/>
        <w:tblW w:w="0" w:type="auto"/>
        <w:tblInd w:w="738" w:type="dxa"/>
        <w:tblLook w:val="04A0" w:firstRow="1" w:lastRow="0" w:firstColumn="1" w:lastColumn="0" w:noHBand="0" w:noVBand="1"/>
      </w:tblPr>
      <w:tblGrid>
        <w:gridCol w:w="1400"/>
        <w:gridCol w:w="1276"/>
        <w:gridCol w:w="1104"/>
        <w:gridCol w:w="1256"/>
        <w:gridCol w:w="3576"/>
      </w:tblGrid>
      <w:tr w:rsidRPr="007F4582" w:rsidR="000D086D" w:rsidTr="00B04F8A" w14:paraId="6B0614EF" w14:textId="77777777">
        <w:tc>
          <w:tcPr>
            <w:tcW w:w="1613" w:type="dxa"/>
            <w:tcBorders>
              <w:top w:val="single" w:color="auto" w:sz="4" w:space="0"/>
              <w:left w:val="single" w:color="auto" w:sz="4" w:space="0"/>
              <w:bottom w:val="single" w:color="auto" w:sz="4" w:space="0"/>
              <w:right w:val="single" w:color="auto" w:sz="4" w:space="0"/>
            </w:tcBorders>
            <w:hideMark/>
          </w:tcPr>
          <w:p w:rsidRPr="007F4582" w:rsidR="000D086D" w:rsidP="005828A2" w:rsidRDefault="000D086D" w14:paraId="269A0264" w14:textId="77777777">
            <w:pPr>
              <w:tabs>
                <w:tab w:val="left" w:pos="-720"/>
                <w:tab w:val="left" w:pos="0"/>
              </w:tabs>
              <w:suppressAutoHyphens/>
              <w:ind w:left="720" w:hanging="720"/>
              <w:jc w:val="center"/>
              <w:rPr>
                <w:b/>
              </w:rPr>
            </w:pPr>
            <w:r w:rsidRPr="007F4582">
              <w:rPr>
                <w:b/>
              </w:rPr>
              <w:t>Regulation</w:t>
            </w:r>
          </w:p>
        </w:tc>
        <w:tc>
          <w:tcPr>
            <w:tcW w:w="1342" w:type="dxa"/>
            <w:tcBorders>
              <w:top w:val="single" w:color="auto" w:sz="4" w:space="0"/>
              <w:left w:val="single" w:color="auto" w:sz="4" w:space="0"/>
              <w:bottom w:val="single" w:color="auto" w:sz="4" w:space="0"/>
              <w:right w:val="single" w:color="auto" w:sz="4" w:space="0"/>
            </w:tcBorders>
          </w:tcPr>
          <w:p w:rsidRPr="007F4582" w:rsidR="000D086D" w:rsidP="005828A2" w:rsidRDefault="000D086D" w14:paraId="7D5A78DC" w14:textId="77777777">
            <w:pPr>
              <w:tabs>
                <w:tab w:val="left" w:pos="-720"/>
                <w:tab w:val="left" w:pos="0"/>
              </w:tabs>
              <w:suppressAutoHyphens/>
              <w:jc w:val="center"/>
              <w:rPr>
                <w:b/>
              </w:rPr>
            </w:pPr>
            <w:r w:rsidRPr="00A56A4D">
              <w:rPr>
                <w:b/>
              </w:rPr>
              <w:t>Estimated Average Number of Burden Hours per Response</w:t>
            </w:r>
          </w:p>
        </w:tc>
        <w:tc>
          <w:tcPr>
            <w:tcW w:w="1218" w:type="dxa"/>
            <w:tcBorders>
              <w:top w:val="single" w:color="auto" w:sz="4" w:space="0"/>
              <w:left w:val="single" w:color="auto" w:sz="4" w:space="0"/>
              <w:bottom w:val="single" w:color="auto" w:sz="4" w:space="0"/>
              <w:right w:val="single" w:color="auto" w:sz="4" w:space="0"/>
            </w:tcBorders>
          </w:tcPr>
          <w:p w:rsidRPr="007F4582" w:rsidR="000D086D" w:rsidP="005828A2" w:rsidRDefault="000D086D" w14:paraId="12DB9B84" w14:textId="77777777">
            <w:pPr>
              <w:tabs>
                <w:tab w:val="left" w:pos="-720"/>
                <w:tab w:val="left" w:pos="0"/>
              </w:tabs>
              <w:suppressAutoHyphens/>
              <w:jc w:val="center"/>
              <w:rPr>
                <w:b/>
              </w:rPr>
            </w:pPr>
            <w:r>
              <w:rPr>
                <w:b/>
              </w:rPr>
              <w:t>Total Number of  Burden Hours</w:t>
            </w:r>
          </w:p>
        </w:tc>
        <w:tc>
          <w:tcPr>
            <w:tcW w:w="1256" w:type="dxa"/>
            <w:tcBorders>
              <w:top w:val="single" w:color="auto" w:sz="4" w:space="0"/>
              <w:left w:val="single" w:color="auto" w:sz="4" w:space="0"/>
              <w:bottom w:val="single" w:color="auto" w:sz="4" w:space="0"/>
              <w:right w:val="single" w:color="auto" w:sz="4" w:space="0"/>
            </w:tcBorders>
          </w:tcPr>
          <w:p w:rsidRPr="007F4582" w:rsidR="000D086D" w:rsidP="005828A2" w:rsidRDefault="000D086D" w14:paraId="0DE9D9B8" w14:textId="77777777">
            <w:pPr>
              <w:tabs>
                <w:tab w:val="left" w:pos="-720"/>
                <w:tab w:val="left" w:pos="0"/>
              </w:tabs>
              <w:suppressAutoHyphens/>
              <w:jc w:val="center"/>
              <w:rPr>
                <w:b/>
              </w:rPr>
            </w:pPr>
            <w:r w:rsidRPr="00A56A4D">
              <w:rPr>
                <w:b/>
              </w:rPr>
              <w:t>Estimated Average Burden Hour Cost</w:t>
            </w:r>
          </w:p>
        </w:tc>
        <w:tc>
          <w:tcPr>
            <w:tcW w:w="2959" w:type="dxa"/>
            <w:tcBorders>
              <w:top w:val="single" w:color="auto" w:sz="4" w:space="0"/>
              <w:left w:val="single" w:color="auto" w:sz="4" w:space="0"/>
              <w:bottom w:val="single" w:color="auto" w:sz="4" w:space="0"/>
              <w:right w:val="single" w:color="auto" w:sz="4" w:space="0"/>
            </w:tcBorders>
            <w:hideMark/>
          </w:tcPr>
          <w:p w:rsidRPr="007F4582" w:rsidR="000D086D" w:rsidP="005828A2" w:rsidRDefault="000D086D" w14:paraId="5F521540" w14:textId="77777777">
            <w:pPr>
              <w:tabs>
                <w:tab w:val="left" w:pos="-720"/>
                <w:tab w:val="left" w:pos="0"/>
              </w:tabs>
              <w:suppressAutoHyphens/>
              <w:ind w:left="720" w:hanging="720"/>
              <w:jc w:val="center"/>
              <w:rPr>
                <w:b/>
              </w:rPr>
            </w:pPr>
            <w:r>
              <w:rPr>
                <w:b/>
              </w:rPr>
              <w:t xml:space="preserve">Total </w:t>
            </w:r>
            <w:r w:rsidRPr="007F4582">
              <w:rPr>
                <w:b/>
              </w:rPr>
              <w:t>Operational/Maintenance Costs</w:t>
            </w:r>
          </w:p>
        </w:tc>
      </w:tr>
      <w:tr w:rsidRPr="007F4582" w:rsidR="000D086D" w:rsidTr="00B04F8A" w14:paraId="0D25025D" w14:textId="77777777">
        <w:tc>
          <w:tcPr>
            <w:tcW w:w="1613" w:type="dxa"/>
            <w:tcBorders>
              <w:top w:val="single" w:color="auto" w:sz="4" w:space="0"/>
              <w:left w:val="single" w:color="auto" w:sz="4" w:space="0"/>
              <w:bottom w:val="single" w:color="auto" w:sz="4" w:space="0"/>
              <w:right w:val="single" w:color="auto" w:sz="4" w:space="0"/>
            </w:tcBorders>
            <w:hideMark/>
          </w:tcPr>
          <w:p w:rsidRPr="007F4582" w:rsidR="000D086D" w:rsidP="005828A2" w:rsidRDefault="000D086D" w14:paraId="635E091C" w14:textId="77777777">
            <w:pPr>
              <w:tabs>
                <w:tab w:val="left" w:pos="-720"/>
                <w:tab w:val="left" w:pos="0"/>
              </w:tabs>
              <w:suppressAutoHyphens/>
              <w:ind w:left="720" w:hanging="720"/>
              <w:jc w:val="center"/>
            </w:pPr>
            <w:r>
              <w:t>49.9</w:t>
            </w:r>
          </w:p>
        </w:tc>
        <w:tc>
          <w:tcPr>
            <w:tcW w:w="1342" w:type="dxa"/>
            <w:tcBorders>
              <w:top w:val="single" w:color="auto" w:sz="4" w:space="0"/>
              <w:left w:val="single" w:color="auto" w:sz="4" w:space="0"/>
              <w:bottom w:val="single" w:color="auto" w:sz="4" w:space="0"/>
              <w:right w:val="single" w:color="auto" w:sz="4" w:space="0"/>
            </w:tcBorders>
          </w:tcPr>
          <w:p w:rsidR="000D086D" w:rsidP="005828A2" w:rsidRDefault="000D086D" w14:paraId="299073C8" w14:textId="54B02BF9">
            <w:pPr>
              <w:tabs>
                <w:tab w:val="left" w:pos="-720"/>
                <w:tab w:val="left" w:pos="0"/>
              </w:tabs>
              <w:suppressAutoHyphens/>
              <w:ind w:left="720" w:hanging="720"/>
              <w:jc w:val="center"/>
            </w:pPr>
            <w:r>
              <w:t>250</w:t>
            </w:r>
          </w:p>
        </w:tc>
        <w:tc>
          <w:tcPr>
            <w:tcW w:w="1218" w:type="dxa"/>
            <w:tcBorders>
              <w:top w:val="single" w:color="auto" w:sz="4" w:space="0"/>
              <w:left w:val="single" w:color="auto" w:sz="4" w:space="0"/>
              <w:bottom w:val="single" w:color="auto" w:sz="4" w:space="0"/>
              <w:right w:val="single" w:color="auto" w:sz="4" w:space="0"/>
            </w:tcBorders>
          </w:tcPr>
          <w:p w:rsidR="000D086D" w:rsidP="005828A2" w:rsidRDefault="000D086D" w14:paraId="25B675C2" w14:textId="3193B0EB">
            <w:pPr>
              <w:tabs>
                <w:tab w:val="left" w:pos="-720"/>
                <w:tab w:val="left" w:pos="0"/>
              </w:tabs>
              <w:suppressAutoHyphens/>
              <w:ind w:left="720" w:hanging="720"/>
              <w:jc w:val="center"/>
            </w:pPr>
            <w:r>
              <w:t>750</w:t>
            </w:r>
          </w:p>
        </w:tc>
        <w:tc>
          <w:tcPr>
            <w:tcW w:w="1256" w:type="dxa"/>
            <w:tcBorders>
              <w:top w:val="single" w:color="auto" w:sz="4" w:space="0"/>
              <w:left w:val="single" w:color="auto" w:sz="4" w:space="0"/>
              <w:bottom w:val="single" w:color="auto" w:sz="4" w:space="0"/>
              <w:right w:val="single" w:color="auto" w:sz="4" w:space="0"/>
            </w:tcBorders>
          </w:tcPr>
          <w:p w:rsidR="000D086D" w:rsidP="005828A2" w:rsidRDefault="000D086D" w14:paraId="63D04C7F" w14:textId="77777777">
            <w:pPr>
              <w:tabs>
                <w:tab w:val="left" w:pos="-720"/>
                <w:tab w:val="left" w:pos="0"/>
              </w:tabs>
              <w:suppressAutoHyphens/>
              <w:ind w:left="720" w:hanging="720"/>
              <w:jc w:val="center"/>
            </w:pPr>
            <w:r w:rsidRPr="00A56A4D">
              <w:t>$72.23</w:t>
            </w:r>
          </w:p>
        </w:tc>
        <w:tc>
          <w:tcPr>
            <w:tcW w:w="2959" w:type="dxa"/>
            <w:tcBorders>
              <w:top w:val="single" w:color="auto" w:sz="4" w:space="0"/>
              <w:left w:val="single" w:color="auto" w:sz="4" w:space="0"/>
              <w:bottom w:val="single" w:color="auto" w:sz="4" w:space="0"/>
              <w:right w:val="single" w:color="auto" w:sz="4" w:space="0"/>
            </w:tcBorders>
            <w:hideMark/>
          </w:tcPr>
          <w:p w:rsidRPr="007F4582" w:rsidR="000D086D" w:rsidP="000D086D" w:rsidRDefault="000D086D" w14:paraId="491386BE" w14:textId="0BEB902D">
            <w:pPr>
              <w:tabs>
                <w:tab w:val="left" w:pos="-720"/>
                <w:tab w:val="left" w:pos="0"/>
              </w:tabs>
              <w:suppressAutoHyphens/>
              <w:ind w:left="720" w:hanging="720"/>
              <w:jc w:val="center"/>
            </w:pPr>
            <w:r>
              <w:t>$54,173</w:t>
            </w:r>
          </w:p>
        </w:tc>
      </w:tr>
      <w:tr w:rsidRPr="007F4582" w:rsidR="004D0B8B" w:rsidTr="00DF6095" w14:paraId="4E55FE53" w14:textId="77777777">
        <w:tc>
          <w:tcPr>
            <w:tcW w:w="1613" w:type="dxa"/>
            <w:tcBorders>
              <w:top w:val="single" w:color="auto" w:sz="4" w:space="0"/>
              <w:left w:val="single" w:color="auto" w:sz="4" w:space="0"/>
              <w:bottom w:val="single" w:color="auto" w:sz="4" w:space="0"/>
              <w:right w:val="single" w:color="auto" w:sz="4" w:space="0"/>
            </w:tcBorders>
          </w:tcPr>
          <w:p w:rsidR="004D0B8B" w:rsidP="005828A2" w:rsidRDefault="004D0B8B" w14:paraId="6DEE2829" w14:textId="540A8C18">
            <w:pPr>
              <w:tabs>
                <w:tab w:val="left" w:pos="-720"/>
                <w:tab w:val="left" w:pos="0"/>
              </w:tabs>
              <w:suppressAutoHyphens/>
              <w:ind w:left="720" w:hanging="720"/>
              <w:jc w:val="center"/>
            </w:pPr>
            <w:r>
              <w:t>49.10</w:t>
            </w:r>
          </w:p>
        </w:tc>
        <w:tc>
          <w:tcPr>
            <w:tcW w:w="1342" w:type="dxa"/>
            <w:tcBorders>
              <w:top w:val="single" w:color="auto" w:sz="4" w:space="0"/>
              <w:left w:val="single" w:color="auto" w:sz="4" w:space="0"/>
              <w:bottom w:val="single" w:color="auto" w:sz="4" w:space="0"/>
              <w:right w:val="single" w:color="auto" w:sz="4" w:space="0"/>
            </w:tcBorders>
          </w:tcPr>
          <w:p w:rsidR="004D0B8B" w:rsidP="005828A2" w:rsidRDefault="004D0B8B" w14:paraId="64879A37" w14:textId="33AD5BAC">
            <w:pPr>
              <w:tabs>
                <w:tab w:val="left" w:pos="-720"/>
                <w:tab w:val="left" w:pos="0"/>
              </w:tabs>
              <w:suppressAutoHyphens/>
              <w:ind w:left="720" w:hanging="720"/>
              <w:jc w:val="center"/>
            </w:pPr>
            <w:r>
              <w:t>100</w:t>
            </w:r>
          </w:p>
        </w:tc>
        <w:tc>
          <w:tcPr>
            <w:tcW w:w="1218" w:type="dxa"/>
            <w:tcBorders>
              <w:top w:val="single" w:color="auto" w:sz="4" w:space="0"/>
              <w:left w:val="single" w:color="auto" w:sz="4" w:space="0"/>
              <w:bottom w:val="single" w:color="auto" w:sz="4" w:space="0"/>
              <w:right w:val="single" w:color="auto" w:sz="4" w:space="0"/>
            </w:tcBorders>
          </w:tcPr>
          <w:p w:rsidR="004D0B8B" w:rsidP="005828A2" w:rsidRDefault="004D0B8B" w14:paraId="41340A6B" w14:textId="1CA29EFE">
            <w:pPr>
              <w:tabs>
                <w:tab w:val="left" w:pos="-720"/>
                <w:tab w:val="left" w:pos="0"/>
              </w:tabs>
              <w:suppressAutoHyphens/>
              <w:ind w:left="720" w:hanging="720"/>
              <w:jc w:val="center"/>
            </w:pPr>
            <w:r>
              <w:t>300</w:t>
            </w:r>
          </w:p>
        </w:tc>
        <w:tc>
          <w:tcPr>
            <w:tcW w:w="1256" w:type="dxa"/>
            <w:tcBorders>
              <w:top w:val="single" w:color="auto" w:sz="4" w:space="0"/>
              <w:left w:val="single" w:color="auto" w:sz="4" w:space="0"/>
              <w:bottom w:val="single" w:color="auto" w:sz="4" w:space="0"/>
              <w:right w:val="single" w:color="auto" w:sz="4" w:space="0"/>
            </w:tcBorders>
          </w:tcPr>
          <w:p w:rsidRPr="00A56A4D" w:rsidR="004D0B8B" w:rsidP="005828A2" w:rsidRDefault="004D0B8B" w14:paraId="04808DEE" w14:textId="72F74FE0">
            <w:pPr>
              <w:tabs>
                <w:tab w:val="left" w:pos="-720"/>
                <w:tab w:val="left" w:pos="0"/>
              </w:tabs>
              <w:suppressAutoHyphens/>
              <w:ind w:left="720" w:hanging="720"/>
              <w:jc w:val="center"/>
            </w:pPr>
            <w:r w:rsidRPr="00A56A4D">
              <w:t>$72.23</w:t>
            </w:r>
          </w:p>
        </w:tc>
        <w:tc>
          <w:tcPr>
            <w:tcW w:w="2959" w:type="dxa"/>
            <w:tcBorders>
              <w:top w:val="single" w:color="auto" w:sz="4" w:space="0"/>
              <w:left w:val="single" w:color="auto" w:sz="4" w:space="0"/>
              <w:bottom w:val="single" w:color="auto" w:sz="4" w:space="0"/>
              <w:right w:val="single" w:color="auto" w:sz="4" w:space="0"/>
            </w:tcBorders>
          </w:tcPr>
          <w:p w:rsidR="004D0B8B" w:rsidP="000D086D" w:rsidRDefault="004D0B8B" w14:paraId="52D19BE2" w14:textId="14C03405">
            <w:pPr>
              <w:tabs>
                <w:tab w:val="left" w:pos="-720"/>
                <w:tab w:val="left" w:pos="0"/>
              </w:tabs>
              <w:suppressAutoHyphens/>
              <w:ind w:left="720" w:hanging="720"/>
              <w:jc w:val="center"/>
            </w:pPr>
            <w:r>
              <w:t>$21,669</w:t>
            </w:r>
          </w:p>
        </w:tc>
      </w:tr>
      <w:tr w:rsidRPr="007F4582" w:rsidR="004D0B8B" w:rsidTr="00DF6095" w14:paraId="0692CD7B" w14:textId="77777777">
        <w:tc>
          <w:tcPr>
            <w:tcW w:w="1613" w:type="dxa"/>
            <w:tcBorders>
              <w:top w:val="single" w:color="auto" w:sz="4" w:space="0"/>
              <w:left w:val="single" w:color="auto" w:sz="4" w:space="0"/>
              <w:bottom w:val="single" w:color="auto" w:sz="4" w:space="0"/>
              <w:right w:val="single" w:color="auto" w:sz="4" w:space="0"/>
            </w:tcBorders>
          </w:tcPr>
          <w:p w:rsidR="004D0B8B" w:rsidP="005828A2" w:rsidRDefault="00E45A29" w14:paraId="29D3F588" w14:textId="40BD0A3F">
            <w:pPr>
              <w:tabs>
                <w:tab w:val="left" w:pos="-720"/>
                <w:tab w:val="left" w:pos="0"/>
              </w:tabs>
              <w:suppressAutoHyphens/>
              <w:ind w:left="720" w:hanging="720"/>
              <w:jc w:val="center"/>
            </w:pPr>
            <w:r>
              <w:t>49.11</w:t>
            </w:r>
          </w:p>
        </w:tc>
        <w:tc>
          <w:tcPr>
            <w:tcW w:w="1342" w:type="dxa"/>
            <w:tcBorders>
              <w:top w:val="single" w:color="auto" w:sz="4" w:space="0"/>
              <w:left w:val="single" w:color="auto" w:sz="4" w:space="0"/>
              <w:bottom w:val="single" w:color="auto" w:sz="4" w:space="0"/>
              <w:right w:val="single" w:color="auto" w:sz="4" w:space="0"/>
            </w:tcBorders>
          </w:tcPr>
          <w:p w:rsidR="004D0B8B" w:rsidP="005828A2" w:rsidRDefault="00E45A29" w14:paraId="437F3979" w14:textId="08991E4E">
            <w:pPr>
              <w:tabs>
                <w:tab w:val="left" w:pos="-720"/>
                <w:tab w:val="left" w:pos="0"/>
              </w:tabs>
              <w:suppressAutoHyphens/>
              <w:ind w:left="720" w:hanging="720"/>
              <w:jc w:val="center"/>
            </w:pPr>
            <w:r>
              <w:t>300</w:t>
            </w:r>
          </w:p>
        </w:tc>
        <w:tc>
          <w:tcPr>
            <w:tcW w:w="1218" w:type="dxa"/>
            <w:tcBorders>
              <w:top w:val="single" w:color="auto" w:sz="4" w:space="0"/>
              <w:left w:val="single" w:color="auto" w:sz="4" w:space="0"/>
              <w:bottom w:val="single" w:color="auto" w:sz="4" w:space="0"/>
              <w:right w:val="single" w:color="auto" w:sz="4" w:space="0"/>
            </w:tcBorders>
          </w:tcPr>
          <w:p w:rsidR="004D0B8B" w:rsidP="005828A2" w:rsidRDefault="00E45A29" w14:paraId="02CCB359" w14:textId="752C54C0">
            <w:pPr>
              <w:tabs>
                <w:tab w:val="left" w:pos="-720"/>
                <w:tab w:val="left" w:pos="0"/>
              </w:tabs>
              <w:suppressAutoHyphens/>
              <w:ind w:left="720" w:hanging="720"/>
              <w:jc w:val="center"/>
            </w:pPr>
            <w:r>
              <w:t>900</w:t>
            </w:r>
          </w:p>
        </w:tc>
        <w:tc>
          <w:tcPr>
            <w:tcW w:w="1256" w:type="dxa"/>
            <w:tcBorders>
              <w:top w:val="single" w:color="auto" w:sz="4" w:space="0"/>
              <w:left w:val="single" w:color="auto" w:sz="4" w:space="0"/>
              <w:bottom w:val="single" w:color="auto" w:sz="4" w:space="0"/>
              <w:right w:val="single" w:color="auto" w:sz="4" w:space="0"/>
            </w:tcBorders>
          </w:tcPr>
          <w:p w:rsidRPr="00A56A4D" w:rsidR="004D0B8B" w:rsidP="005828A2" w:rsidRDefault="00E45A29" w14:paraId="02090F63" w14:textId="31AAEA45">
            <w:pPr>
              <w:tabs>
                <w:tab w:val="left" w:pos="-720"/>
                <w:tab w:val="left" w:pos="0"/>
              </w:tabs>
              <w:suppressAutoHyphens/>
              <w:ind w:left="720" w:hanging="720"/>
              <w:jc w:val="center"/>
            </w:pPr>
            <w:r w:rsidRPr="00A56A4D">
              <w:t>$72.23</w:t>
            </w:r>
          </w:p>
        </w:tc>
        <w:tc>
          <w:tcPr>
            <w:tcW w:w="2959" w:type="dxa"/>
            <w:tcBorders>
              <w:top w:val="single" w:color="auto" w:sz="4" w:space="0"/>
              <w:left w:val="single" w:color="auto" w:sz="4" w:space="0"/>
              <w:bottom w:val="single" w:color="auto" w:sz="4" w:space="0"/>
              <w:right w:val="single" w:color="auto" w:sz="4" w:space="0"/>
            </w:tcBorders>
          </w:tcPr>
          <w:p w:rsidR="004D0B8B" w:rsidP="000D086D" w:rsidRDefault="00E45A29" w14:paraId="30A00955" w14:textId="234332E9">
            <w:pPr>
              <w:tabs>
                <w:tab w:val="left" w:pos="-720"/>
                <w:tab w:val="left" w:pos="0"/>
              </w:tabs>
              <w:suppressAutoHyphens/>
              <w:ind w:left="720" w:hanging="720"/>
              <w:jc w:val="center"/>
            </w:pPr>
            <w:r>
              <w:t>$65,007</w:t>
            </w:r>
          </w:p>
        </w:tc>
      </w:tr>
      <w:tr w:rsidRPr="007F4582" w:rsidR="004D0B8B" w:rsidTr="00DF6095" w14:paraId="7D25AD2D" w14:textId="77777777">
        <w:tc>
          <w:tcPr>
            <w:tcW w:w="1613" w:type="dxa"/>
            <w:tcBorders>
              <w:top w:val="single" w:color="auto" w:sz="4" w:space="0"/>
              <w:left w:val="single" w:color="auto" w:sz="4" w:space="0"/>
              <w:bottom w:val="single" w:color="auto" w:sz="4" w:space="0"/>
              <w:right w:val="single" w:color="auto" w:sz="4" w:space="0"/>
            </w:tcBorders>
          </w:tcPr>
          <w:p w:rsidR="004D0B8B" w:rsidP="005828A2" w:rsidRDefault="004D0B8B" w14:paraId="4AB3290C" w14:textId="297195C1">
            <w:pPr>
              <w:tabs>
                <w:tab w:val="left" w:pos="-720"/>
                <w:tab w:val="left" w:pos="0"/>
              </w:tabs>
              <w:suppressAutoHyphens/>
              <w:ind w:left="720" w:hanging="720"/>
              <w:jc w:val="center"/>
            </w:pPr>
            <w:r>
              <w:t>49.26</w:t>
            </w:r>
          </w:p>
        </w:tc>
        <w:tc>
          <w:tcPr>
            <w:tcW w:w="1342" w:type="dxa"/>
            <w:tcBorders>
              <w:top w:val="single" w:color="auto" w:sz="4" w:space="0"/>
              <w:left w:val="single" w:color="auto" w:sz="4" w:space="0"/>
              <w:bottom w:val="single" w:color="auto" w:sz="4" w:space="0"/>
              <w:right w:val="single" w:color="auto" w:sz="4" w:space="0"/>
            </w:tcBorders>
          </w:tcPr>
          <w:p w:rsidR="004D0B8B" w:rsidP="005828A2" w:rsidRDefault="00E45A29" w14:paraId="563A8B92" w14:textId="14E27522">
            <w:pPr>
              <w:tabs>
                <w:tab w:val="left" w:pos="-720"/>
                <w:tab w:val="left" w:pos="0"/>
              </w:tabs>
              <w:suppressAutoHyphens/>
              <w:ind w:left="720" w:hanging="720"/>
              <w:jc w:val="center"/>
            </w:pPr>
            <w:r>
              <w:t>20</w:t>
            </w:r>
          </w:p>
        </w:tc>
        <w:tc>
          <w:tcPr>
            <w:tcW w:w="1218" w:type="dxa"/>
            <w:tcBorders>
              <w:top w:val="single" w:color="auto" w:sz="4" w:space="0"/>
              <w:left w:val="single" w:color="auto" w:sz="4" w:space="0"/>
              <w:bottom w:val="single" w:color="auto" w:sz="4" w:space="0"/>
              <w:right w:val="single" w:color="auto" w:sz="4" w:space="0"/>
            </w:tcBorders>
          </w:tcPr>
          <w:p w:rsidR="004D0B8B" w:rsidP="005828A2" w:rsidRDefault="00E45A29" w14:paraId="1F09548E" w14:textId="4EB44569">
            <w:pPr>
              <w:tabs>
                <w:tab w:val="left" w:pos="-720"/>
                <w:tab w:val="left" w:pos="0"/>
              </w:tabs>
              <w:suppressAutoHyphens/>
              <w:ind w:left="720" w:hanging="720"/>
              <w:jc w:val="center"/>
            </w:pPr>
            <w:r>
              <w:t>60</w:t>
            </w:r>
          </w:p>
        </w:tc>
        <w:tc>
          <w:tcPr>
            <w:tcW w:w="1256" w:type="dxa"/>
            <w:tcBorders>
              <w:top w:val="single" w:color="auto" w:sz="4" w:space="0"/>
              <w:left w:val="single" w:color="auto" w:sz="4" w:space="0"/>
              <w:bottom w:val="single" w:color="auto" w:sz="4" w:space="0"/>
              <w:right w:val="single" w:color="auto" w:sz="4" w:space="0"/>
            </w:tcBorders>
          </w:tcPr>
          <w:p w:rsidRPr="00A56A4D" w:rsidR="004D0B8B" w:rsidP="005828A2" w:rsidRDefault="00E45A29" w14:paraId="43FD905F" w14:textId="0F0E7028">
            <w:pPr>
              <w:tabs>
                <w:tab w:val="left" w:pos="-720"/>
                <w:tab w:val="left" w:pos="0"/>
              </w:tabs>
              <w:suppressAutoHyphens/>
              <w:ind w:left="720" w:hanging="720"/>
              <w:jc w:val="center"/>
            </w:pPr>
            <w:r w:rsidRPr="00A56A4D">
              <w:t>$72.23</w:t>
            </w:r>
          </w:p>
        </w:tc>
        <w:tc>
          <w:tcPr>
            <w:tcW w:w="2959" w:type="dxa"/>
            <w:tcBorders>
              <w:top w:val="single" w:color="auto" w:sz="4" w:space="0"/>
              <w:left w:val="single" w:color="auto" w:sz="4" w:space="0"/>
              <w:bottom w:val="single" w:color="auto" w:sz="4" w:space="0"/>
              <w:right w:val="single" w:color="auto" w:sz="4" w:space="0"/>
            </w:tcBorders>
          </w:tcPr>
          <w:p w:rsidR="004D0B8B" w:rsidP="000D086D" w:rsidRDefault="00E45A29" w14:paraId="71985C9B" w14:textId="37F157AB">
            <w:pPr>
              <w:tabs>
                <w:tab w:val="left" w:pos="-720"/>
                <w:tab w:val="left" w:pos="0"/>
              </w:tabs>
              <w:suppressAutoHyphens/>
              <w:ind w:left="720" w:hanging="720"/>
              <w:jc w:val="center"/>
            </w:pPr>
            <w:r>
              <w:t>$4,339</w:t>
            </w:r>
          </w:p>
        </w:tc>
      </w:tr>
    </w:tbl>
    <w:p w:rsidRPr="007F4582" w:rsidR="007F4582" w:rsidP="007F4582" w:rsidRDefault="007F4582" w14:paraId="1F3077A7" w14:textId="77777777">
      <w:pPr>
        <w:tabs>
          <w:tab w:val="left" w:pos="-720"/>
          <w:tab w:val="left" w:pos="0"/>
        </w:tabs>
        <w:suppressAutoHyphens/>
        <w:ind w:left="720" w:hanging="720"/>
        <w:jc w:val="center"/>
      </w:pPr>
    </w:p>
    <w:p w:rsidR="007F4582" w:rsidP="007F4582" w:rsidRDefault="007F4582" w14:paraId="216B0987" w14:textId="77777777">
      <w:pPr>
        <w:tabs>
          <w:tab w:val="left" w:pos="-720"/>
          <w:tab w:val="left" w:pos="0"/>
        </w:tabs>
        <w:suppressAutoHyphens/>
        <w:ind w:left="720" w:hanging="720"/>
        <w:jc w:val="center"/>
      </w:pPr>
      <w:r w:rsidRPr="007F4582">
        <w:t>Operational/Maintenance Costs</w:t>
      </w:r>
    </w:p>
    <w:p w:rsidRPr="007F4582" w:rsidR="00DF6095" w:rsidP="007F4582" w:rsidRDefault="00DF6095" w14:paraId="45099587" w14:textId="77777777">
      <w:pPr>
        <w:tabs>
          <w:tab w:val="left" w:pos="-720"/>
          <w:tab w:val="left" w:pos="0"/>
        </w:tabs>
        <w:suppressAutoHyphens/>
        <w:ind w:left="720" w:hanging="720"/>
        <w:jc w:val="center"/>
      </w:pPr>
    </w:p>
    <w:tbl>
      <w:tblPr>
        <w:tblStyle w:val="TableGrid"/>
        <w:tblW w:w="0" w:type="auto"/>
        <w:tblInd w:w="738" w:type="dxa"/>
        <w:tblLook w:val="04A0" w:firstRow="1" w:lastRow="0" w:firstColumn="1" w:lastColumn="0" w:noHBand="0" w:noVBand="1"/>
      </w:tblPr>
      <w:tblGrid>
        <w:gridCol w:w="1400"/>
        <w:gridCol w:w="1276"/>
        <w:gridCol w:w="1104"/>
        <w:gridCol w:w="1256"/>
        <w:gridCol w:w="3576"/>
      </w:tblGrid>
      <w:tr w:rsidRPr="007F4582" w:rsidR="00A56A4D" w:rsidTr="00DF6095" w14:paraId="575D2479" w14:textId="77777777">
        <w:tc>
          <w:tcPr>
            <w:tcW w:w="1613" w:type="dxa"/>
            <w:tcBorders>
              <w:top w:val="single" w:color="auto" w:sz="4" w:space="0"/>
              <w:left w:val="single" w:color="auto" w:sz="4" w:space="0"/>
              <w:bottom w:val="single" w:color="auto" w:sz="4" w:space="0"/>
              <w:right w:val="single" w:color="auto" w:sz="4" w:space="0"/>
            </w:tcBorders>
            <w:hideMark/>
          </w:tcPr>
          <w:p w:rsidRPr="007F4582" w:rsidR="00A56A4D" w:rsidP="007F4582" w:rsidRDefault="00A56A4D" w14:paraId="22593AF0" w14:textId="77777777">
            <w:pPr>
              <w:tabs>
                <w:tab w:val="left" w:pos="-720"/>
                <w:tab w:val="left" w:pos="0"/>
              </w:tabs>
              <w:suppressAutoHyphens/>
              <w:ind w:left="720" w:hanging="720"/>
              <w:jc w:val="center"/>
              <w:rPr>
                <w:b/>
              </w:rPr>
            </w:pPr>
            <w:r w:rsidRPr="007F4582">
              <w:rPr>
                <w:b/>
              </w:rPr>
              <w:t>Regulation</w:t>
            </w:r>
          </w:p>
        </w:tc>
        <w:tc>
          <w:tcPr>
            <w:tcW w:w="1342" w:type="dxa"/>
            <w:tcBorders>
              <w:top w:val="single" w:color="auto" w:sz="4" w:space="0"/>
              <w:left w:val="single" w:color="auto" w:sz="4" w:space="0"/>
              <w:bottom w:val="single" w:color="auto" w:sz="4" w:space="0"/>
              <w:right w:val="single" w:color="auto" w:sz="4" w:space="0"/>
            </w:tcBorders>
          </w:tcPr>
          <w:p w:rsidRPr="007F4582" w:rsidR="00A56A4D" w:rsidP="00B04F8A" w:rsidRDefault="00A56A4D" w14:paraId="36591F11" w14:textId="08A815BD">
            <w:pPr>
              <w:tabs>
                <w:tab w:val="left" w:pos="-720"/>
                <w:tab w:val="left" w:pos="0"/>
              </w:tabs>
              <w:suppressAutoHyphens/>
              <w:jc w:val="center"/>
              <w:rPr>
                <w:b/>
              </w:rPr>
            </w:pPr>
            <w:r w:rsidRPr="00A56A4D">
              <w:rPr>
                <w:b/>
              </w:rPr>
              <w:t>Estimated Average Number of Burden Hours per Response</w:t>
            </w:r>
          </w:p>
        </w:tc>
        <w:tc>
          <w:tcPr>
            <w:tcW w:w="1218" w:type="dxa"/>
            <w:tcBorders>
              <w:top w:val="single" w:color="auto" w:sz="4" w:space="0"/>
              <w:left w:val="single" w:color="auto" w:sz="4" w:space="0"/>
              <w:bottom w:val="single" w:color="auto" w:sz="4" w:space="0"/>
              <w:right w:val="single" w:color="auto" w:sz="4" w:space="0"/>
            </w:tcBorders>
          </w:tcPr>
          <w:p w:rsidRPr="007F4582" w:rsidR="00A56A4D" w:rsidP="00B04F8A" w:rsidRDefault="00A56A4D" w14:paraId="6DC12ECB" w14:textId="33569D06">
            <w:pPr>
              <w:tabs>
                <w:tab w:val="left" w:pos="-720"/>
                <w:tab w:val="left" w:pos="0"/>
              </w:tabs>
              <w:suppressAutoHyphens/>
              <w:jc w:val="center"/>
              <w:rPr>
                <w:b/>
              </w:rPr>
            </w:pPr>
            <w:r>
              <w:rPr>
                <w:b/>
              </w:rPr>
              <w:t>Total Number of  Burden Hours</w:t>
            </w:r>
          </w:p>
        </w:tc>
        <w:tc>
          <w:tcPr>
            <w:tcW w:w="1256" w:type="dxa"/>
            <w:tcBorders>
              <w:top w:val="single" w:color="auto" w:sz="4" w:space="0"/>
              <w:left w:val="single" w:color="auto" w:sz="4" w:space="0"/>
              <w:bottom w:val="single" w:color="auto" w:sz="4" w:space="0"/>
              <w:right w:val="single" w:color="auto" w:sz="4" w:space="0"/>
            </w:tcBorders>
          </w:tcPr>
          <w:p w:rsidRPr="007F4582" w:rsidR="00A56A4D" w:rsidP="00B04F8A" w:rsidRDefault="00A56A4D" w14:paraId="685375CF" w14:textId="2F2D5F34">
            <w:pPr>
              <w:tabs>
                <w:tab w:val="left" w:pos="-720"/>
                <w:tab w:val="left" w:pos="0"/>
              </w:tabs>
              <w:suppressAutoHyphens/>
              <w:jc w:val="center"/>
              <w:rPr>
                <w:b/>
              </w:rPr>
            </w:pPr>
            <w:r w:rsidRPr="00A56A4D">
              <w:rPr>
                <w:b/>
              </w:rPr>
              <w:t>Estimated Average Burden Hour Cost</w:t>
            </w:r>
          </w:p>
        </w:tc>
        <w:tc>
          <w:tcPr>
            <w:tcW w:w="2959" w:type="dxa"/>
            <w:tcBorders>
              <w:top w:val="single" w:color="auto" w:sz="4" w:space="0"/>
              <w:left w:val="single" w:color="auto" w:sz="4" w:space="0"/>
              <w:bottom w:val="single" w:color="auto" w:sz="4" w:space="0"/>
              <w:right w:val="single" w:color="auto" w:sz="4" w:space="0"/>
            </w:tcBorders>
            <w:hideMark/>
          </w:tcPr>
          <w:p w:rsidRPr="007F4582" w:rsidR="00A56A4D" w:rsidP="007F4582" w:rsidRDefault="00A56A4D" w14:paraId="5436DA2F" w14:textId="7AAA0868">
            <w:pPr>
              <w:tabs>
                <w:tab w:val="left" w:pos="-720"/>
                <w:tab w:val="left" w:pos="0"/>
              </w:tabs>
              <w:suppressAutoHyphens/>
              <w:ind w:left="720" w:hanging="720"/>
              <w:jc w:val="center"/>
              <w:rPr>
                <w:b/>
              </w:rPr>
            </w:pPr>
            <w:r>
              <w:rPr>
                <w:b/>
              </w:rPr>
              <w:t xml:space="preserve">Total </w:t>
            </w:r>
            <w:r w:rsidRPr="007F4582">
              <w:rPr>
                <w:b/>
              </w:rPr>
              <w:t>Operational/Maintenance Costs</w:t>
            </w:r>
          </w:p>
        </w:tc>
      </w:tr>
      <w:tr w:rsidRPr="007F4582" w:rsidR="00A56A4D" w:rsidTr="00DF6095" w14:paraId="74B832DE" w14:textId="77777777">
        <w:tc>
          <w:tcPr>
            <w:tcW w:w="1613" w:type="dxa"/>
            <w:tcBorders>
              <w:top w:val="single" w:color="auto" w:sz="4" w:space="0"/>
              <w:left w:val="single" w:color="auto" w:sz="4" w:space="0"/>
              <w:bottom w:val="single" w:color="auto" w:sz="4" w:space="0"/>
              <w:right w:val="single" w:color="auto" w:sz="4" w:space="0"/>
            </w:tcBorders>
            <w:hideMark/>
          </w:tcPr>
          <w:p w:rsidRPr="007F4582" w:rsidR="00A56A4D" w:rsidP="007F4582" w:rsidRDefault="00A56A4D" w14:paraId="2B4D2946" w14:textId="7713A2BD">
            <w:pPr>
              <w:tabs>
                <w:tab w:val="left" w:pos="-720"/>
                <w:tab w:val="left" w:pos="0"/>
              </w:tabs>
              <w:suppressAutoHyphens/>
              <w:ind w:left="720" w:hanging="720"/>
              <w:jc w:val="center"/>
            </w:pPr>
            <w:r>
              <w:t>49.9</w:t>
            </w:r>
          </w:p>
        </w:tc>
        <w:tc>
          <w:tcPr>
            <w:tcW w:w="1342" w:type="dxa"/>
            <w:tcBorders>
              <w:top w:val="single" w:color="auto" w:sz="4" w:space="0"/>
              <w:left w:val="single" w:color="auto" w:sz="4" w:space="0"/>
              <w:bottom w:val="single" w:color="auto" w:sz="4" w:space="0"/>
              <w:right w:val="single" w:color="auto" w:sz="4" w:space="0"/>
            </w:tcBorders>
          </w:tcPr>
          <w:p w:rsidR="00A56A4D" w:rsidP="007F4582" w:rsidRDefault="00A56A4D" w14:paraId="4F3EABCD" w14:textId="681178A9">
            <w:pPr>
              <w:tabs>
                <w:tab w:val="left" w:pos="-720"/>
                <w:tab w:val="left" w:pos="0"/>
              </w:tabs>
              <w:suppressAutoHyphens/>
              <w:ind w:left="720" w:hanging="720"/>
              <w:jc w:val="center"/>
            </w:pPr>
            <w:r>
              <w:t>30</w:t>
            </w:r>
          </w:p>
        </w:tc>
        <w:tc>
          <w:tcPr>
            <w:tcW w:w="1218" w:type="dxa"/>
            <w:tcBorders>
              <w:top w:val="single" w:color="auto" w:sz="4" w:space="0"/>
              <w:left w:val="single" w:color="auto" w:sz="4" w:space="0"/>
              <w:bottom w:val="single" w:color="auto" w:sz="4" w:space="0"/>
              <w:right w:val="single" w:color="auto" w:sz="4" w:space="0"/>
            </w:tcBorders>
          </w:tcPr>
          <w:p w:rsidR="00A56A4D" w:rsidP="007F4582" w:rsidRDefault="00A56A4D" w14:paraId="068B1AE9" w14:textId="014EE768">
            <w:pPr>
              <w:tabs>
                <w:tab w:val="left" w:pos="-720"/>
                <w:tab w:val="left" w:pos="0"/>
              </w:tabs>
              <w:suppressAutoHyphens/>
              <w:ind w:left="720" w:hanging="720"/>
              <w:jc w:val="center"/>
            </w:pPr>
            <w:r>
              <w:t>90</w:t>
            </w:r>
          </w:p>
        </w:tc>
        <w:tc>
          <w:tcPr>
            <w:tcW w:w="1256" w:type="dxa"/>
            <w:tcBorders>
              <w:top w:val="single" w:color="auto" w:sz="4" w:space="0"/>
              <w:left w:val="single" w:color="auto" w:sz="4" w:space="0"/>
              <w:bottom w:val="single" w:color="auto" w:sz="4" w:space="0"/>
              <w:right w:val="single" w:color="auto" w:sz="4" w:space="0"/>
            </w:tcBorders>
          </w:tcPr>
          <w:p w:rsidR="00A56A4D" w:rsidP="007F4582" w:rsidRDefault="00A56A4D" w14:paraId="53BD3ABA" w14:textId="3FBC5486">
            <w:pPr>
              <w:tabs>
                <w:tab w:val="left" w:pos="-720"/>
                <w:tab w:val="left" w:pos="0"/>
              </w:tabs>
              <w:suppressAutoHyphens/>
              <w:ind w:left="720" w:hanging="720"/>
              <w:jc w:val="center"/>
            </w:pPr>
            <w:r w:rsidRPr="00A56A4D">
              <w:t>$72.23</w:t>
            </w:r>
          </w:p>
        </w:tc>
        <w:tc>
          <w:tcPr>
            <w:tcW w:w="2959" w:type="dxa"/>
            <w:tcBorders>
              <w:top w:val="single" w:color="auto" w:sz="4" w:space="0"/>
              <w:left w:val="single" w:color="auto" w:sz="4" w:space="0"/>
              <w:bottom w:val="single" w:color="auto" w:sz="4" w:space="0"/>
              <w:right w:val="single" w:color="auto" w:sz="4" w:space="0"/>
            </w:tcBorders>
            <w:hideMark/>
          </w:tcPr>
          <w:p w:rsidRPr="007F4582" w:rsidR="00A56A4D" w:rsidP="000D086D" w:rsidRDefault="00A56A4D" w14:paraId="4A352ACF" w14:textId="76A308FB">
            <w:pPr>
              <w:tabs>
                <w:tab w:val="left" w:pos="-720"/>
                <w:tab w:val="left" w:pos="0"/>
              </w:tabs>
              <w:suppressAutoHyphens/>
              <w:ind w:left="720" w:hanging="720"/>
              <w:jc w:val="center"/>
            </w:pPr>
            <w:r>
              <w:t>$6,501</w:t>
            </w:r>
          </w:p>
        </w:tc>
      </w:tr>
      <w:tr w:rsidRPr="007F4582" w:rsidR="004D0B8B" w:rsidTr="00DF6095" w14:paraId="0D6769CB" w14:textId="77777777">
        <w:tc>
          <w:tcPr>
            <w:tcW w:w="1613" w:type="dxa"/>
            <w:tcBorders>
              <w:top w:val="single" w:color="auto" w:sz="4" w:space="0"/>
              <w:left w:val="single" w:color="auto" w:sz="4" w:space="0"/>
              <w:bottom w:val="single" w:color="auto" w:sz="4" w:space="0"/>
              <w:right w:val="single" w:color="auto" w:sz="4" w:space="0"/>
            </w:tcBorders>
          </w:tcPr>
          <w:p w:rsidR="004D0B8B" w:rsidP="007F4582" w:rsidRDefault="004D0B8B" w14:paraId="28928275" w14:textId="5352377C">
            <w:pPr>
              <w:tabs>
                <w:tab w:val="left" w:pos="-720"/>
                <w:tab w:val="left" w:pos="0"/>
              </w:tabs>
              <w:suppressAutoHyphens/>
              <w:ind w:left="720" w:hanging="720"/>
              <w:jc w:val="center"/>
            </w:pPr>
            <w:r>
              <w:t>49.10</w:t>
            </w:r>
          </w:p>
        </w:tc>
        <w:tc>
          <w:tcPr>
            <w:tcW w:w="1342" w:type="dxa"/>
            <w:tcBorders>
              <w:top w:val="single" w:color="auto" w:sz="4" w:space="0"/>
              <w:left w:val="single" w:color="auto" w:sz="4" w:space="0"/>
              <w:bottom w:val="single" w:color="auto" w:sz="4" w:space="0"/>
              <w:right w:val="single" w:color="auto" w:sz="4" w:space="0"/>
            </w:tcBorders>
          </w:tcPr>
          <w:p w:rsidR="004D0B8B" w:rsidP="007F4582" w:rsidRDefault="004D0B8B" w14:paraId="17A381D2" w14:textId="5E93A134">
            <w:pPr>
              <w:tabs>
                <w:tab w:val="left" w:pos="-720"/>
                <w:tab w:val="left" w:pos="0"/>
              </w:tabs>
              <w:suppressAutoHyphens/>
              <w:ind w:left="720" w:hanging="720"/>
              <w:jc w:val="center"/>
            </w:pPr>
            <w:r>
              <w:t>30</w:t>
            </w:r>
          </w:p>
        </w:tc>
        <w:tc>
          <w:tcPr>
            <w:tcW w:w="1218" w:type="dxa"/>
            <w:tcBorders>
              <w:top w:val="single" w:color="auto" w:sz="4" w:space="0"/>
              <w:left w:val="single" w:color="auto" w:sz="4" w:space="0"/>
              <w:bottom w:val="single" w:color="auto" w:sz="4" w:space="0"/>
              <w:right w:val="single" w:color="auto" w:sz="4" w:space="0"/>
            </w:tcBorders>
          </w:tcPr>
          <w:p w:rsidR="004D0B8B" w:rsidP="007F4582" w:rsidRDefault="004D0B8B" w14:paraId="76B81B6B" w14:textId="609C3B81">
            <w:pPr>
              <w:tabs>
                <w:tab w:val="left" w:pos="-720"/>
                <w:tab w:val="left" w:pos="0"/>
              </w:tabs>
              <w:suppressAutoHyphens/>
              <w:ind w:left="720" w:hanging="720"/>
              <w:jc w:val="center"/>
            </w:pPr>
            <w:r>
              <w:t>90</w:t>
            </w:r>
          </w:p>
        </w:tc>
        <w:tc>
          <w:tcPr>
            <w:tcW w:w="1256" w:type="dxa"/>
            <w:tcBorders>
              <w:top w:val="single" w:color="auto" w:sz="4" w:space="0"/>
              <w:left w:val="single" w:color="auto" w:sz="4" w:space="0"/>
              <w:bottom w:val="single" w:color="auto" w:sz="4" w:space="0"/>
              <w:right w:val="single" w:color="auto" w:sz="4" w:space="0"/>
            </w:tcBorders>
          </w:tcPr>
          <w:p w:rsidRPr="00A56A4D" w:rsidR="004D0B8B" w:rsidP="007F4582" w:rsidRDefault="004D0B8B" w14:paraId="1000D8AD" w14:textId="64A3A81E">
            <w:pPr>
              <w:tabs>
                <w:tab w:val="left" w:pos="-720"/>
                <w:tab w:val="left" w:pos="0"/>
              </w:tabs>
              <w:suppressAutoHyphens/>
              <w:ind w:left="720" w:hanging="720"/>
              <w:jc w:val="center"/>
            </w:pPr>
            <w:r w:rsidRPr="00A56A4D">
              <w:t>$72.23</w:t>
            </w:r>
          </w:p>
        </w:tc>
        <w:tc>
          <w:tcPr>
            <w:tcW w:w="2959" w:type="dxa"/>
            <w:tcBorders>
              <w:top w:val="single" w:color="auto" w:sz="4" w:space="0"/>
              <w:left w:val="single" w:color="auto" w:sz="4" w:space="0"/>
              <w:bottom w:val="single" w:color="auto" w:sz="4" w:space="0"/>
              <w:right w:val="single" w:color="auto" w:sz="4" w:space="0"/>
            </w:tcBorders>
          </w:tcPr>
          <w:p w:rsidR="004D0B8B" w:rsidP="000D086D" w:rsidRDefault="004D0B8B" w14:paraId="0B85219E" w14:textId="77EFF894">
            <w:pPr>
              <w:tabs>
                <w:tab w:val="left" w:pos="-720"/>
                <w:tab w:val="left" w:pos="0"/>
              </w:tabs>
              <w:suppressAutoHyphens/>
              <w:ind w:left="720" w:hanging="720"/>
              <w:jc w:val="center"/>
            </w:pPr>
            <w:r>
              <w:t>$6,501</w:t>
            </w:r>
          </w:p>
        </w:tc>
      </w:tr>
      <w:tr w:rsidRPr="007F4582" w:rsidR="008846F1" w:rsidTr="00DF6095" w14:paraId="6A465BBF" w14:textId="77777777">
        <w:tc>
          <w:tcPr>
            <w:tcW w:w="1613" w:type="dxa"/>
            <w:tcBorders>
              <w:top w:val="single" w:color="auto" w:sz="4" w:space="0"/>
              <w:left w:val="single" w:color="auto" w:sz="4" w:space="0"/>
              <w:bottom w:val="single" w:color="auto" w:sz="4" w:space="0"/>
              <w:right w:val="single" w:color="auto" w:sz="4" w:space="0"/>
            </w:tcBorders>
          </w:tcPr>
          <w:p w:rsidR="008846F1" w:rsidP="007F4582" w:rsidRDefault="008846F1" w14:paraId="4D132CA2" w14:textId="283AADFE">
            <w:pPr>
              <w:tabs>
                <w:tab w:val="left" w:pos="-720"/>
                <w:tab w:val="left" w:pos="0"/>
              </w:tabs>
              <w:suppressAutoHyphens/>
              <w:ind w:left="720" w:hanging="720"/>
              <w:jc w:val="center"/>
            </w:pPr>
            <w:r>
              <w:t>49.11</w:t>
            </w:r>
          </w:p>
        </w:tc>
        <w:tc>
          <w:tcPr>
            <w:tcW w:w="1342" w:type="dxa"/>
            <w:tcBorders>
              <w:top w:val="single" w:color="auto" w:sz="4" w:space="0"/>
              <w:left w:val="single" w:color="auto" w:sz="4" w:space="0"/>
              <w:bottom w:val="single" w:color="auto" w:sz="4" w:space="0"/>
              <w:right w:val="single" w:color="auto" w:sz="4" w:space="0"/>
            </w:tcBorders>
          </w:tcPr>
          <w:p w:rsidR="008846F1" w:rsidP="007F4582" w:rsidRDefault="008846F1" w14:paraId="73A4120C" w14:textId="5A529EDA">
            <w:pPr>
              <w:tabs>
                <w:tab w:val="left" w:pos="-720"/>
                <w:tab w:val="left" w:pos="0"/>
              </w:tabs>
              <w:suppressAutoHyphens/>
              <w:ind w:left="720" w:hanging="720"/>
              <w:jc w:val="center"/>
            </w:pPr>
            <w:r>
              <w:t>30</w:t>
            </w:r>
          </w:p>
        </w:tc>
        <w:tc>
          <w:tcPr>
            <w:tcW w:w="1218" w:type="dxa"/>
            <w:tcBorders>
              <w:top w:val="single" w:color="auto" w:sz="4" w:space="0"/>
              <w:left w:val="single" w:color="auto" w:sz="4" w:space="0"/>
              <w:bottom w:val="single" w:color="auto" w:sz="4" w:space="0"/>
              <w:right w:val="single" w:color="auto" w:sz="4" w:space="0"/>
            </w:tcBorders>
          </w:tcPr>
          <w:p w:rsidR="008846F1" w:rsidP="007F4582" w:rsidRDefault="008846F1" w14:paraId="78555655" w14:textId="2EA4F839">
            <w:pPr>
              <w:tabs>
                <w:tab w:val="left" w:pos="-720"/>
                <w:tab w:val="left" w:pos="0"/>
              </w:tabs>
              <w:suppressAutoHyphens/>
              <w:ind w:left="720" w:hanging="720"/>
              <w:jc w:val="center"/>
            </w:pPr>
            <w:r>
              <w:t>90</w:t>
            </w:r>
          </w:p>
        </w:tc>
        <w:tc>
          <w:tcPr>
            <w:tcW w:w="1256" w:type="dxa"/>
            <w:tcBorders>
              <w:top w:val="single" w:color="auto" w:sz="4" w:space="0"/>
              <w:left w:val="single" w:color="auto" w:sz="4" w:space="0"/>
              <w:bottom w:val="single" w:color="auto" w:sz="4" w:space="0"/>
              <w:right w:val="single" w:color="auto" w:sz="4" w:space="0"/>
            </w:tcBorders>
          </w:tcPr>
          <w:p w:rsidRPr="00A56A4D" w:rsidR="008846F1" w:rsidP="007F4582" w:rsidRDefault="008846F1" w14:paraId="7CDE045E" w14:textId="09D3732F">
            <w:pPr>
              <w:tabs>
                <w:tab w:val="left" w:pos="-720"/>
                <w:tab w:val="left" w:pos="0"/>
              </w:tabs>
              <w:suppressAutoHyphens/>
              <w:ind w:left="720" w:hanging="720"/>
              <w:jc w:val="center"/>
            </w:pPr>
            <w:r w:rsidRPr="00A56A4D">
              <w:t>$72.23</w:t>
            </w:r>
          </w:p>
        </w:tc>
        <w:tc>
          <w:tcPr>
            <w:tcW w:w="2959" w:type="dxa"/>
            <w:tcBorders>
              <w:top w:val="single" w:color="auto" w:sz="4" w:space="0"/>
              <w:left w:val="single" w:color="auto" w:sz="4" w:space="0"/>
              <w:bottom w:val="single" w:color="auto" w:sz="4" w:space="0"/>
              <w:right w:val="single" w:color="auto" w:sz="4" w:space="0"/>
            </w:tcBorders>
          </w:tcPr>
          <w:p w:rsidR="008846F1" w:rsidP="000D086D" w:rsidRDefault="008846F1" w14:paraId="6C5A9656" w14:textId="0A68CC74">
            <w:pPr>
              <w:tabs>
                <w:tab w:val="left" w:pos="-720"/>
                <w:tab w:val="left" w:pos="0"/>
              </w:tabs>
              <w:suppressAutoHyphens/>
              <w:ind w:left="720" w:hanging="720"/>
              <w:jc w:val="center"/>
            </w:pPr>
            <w:r>
              <w:t>$6,501</w:t>
            </w:r>
          </w:p>
        </w:tc>
      </w:tr>
    </w:tbl>
    <w:p w:rsidR="007F4582" w:rsidP="00C50E30" w:rsidRDefault="007F4582" w14:paraId="10EEF29C" w14:textId="77777777">
      <w:pPr>
        <w:tabs>
          <w:tab w:val="left" w:pos="-720"/>
          <w:tab w:val="left" w:pos="0"/>
        </w:tabs>
        <w:suppressAutoHyphens/>
      </w:pPr>
    </w:p>
    <w:sectPr w:rsidR="007F4582"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2384" w14:textId="77777777" w:rsidR="009C6DB4" w:rsidRDefault="009C6DB4" w:rsidP="009C6DB4">
      <w:r>
        <w:separator/>
      </w:r>
    </w:p>
  </w:endnote>
  <w:endnote w:type="continuationSeparator" w:id="0">
    <w:p w14:paraId="50F42385" w14:textId="77777777" w:rsidR="009C6DB4" w:rsidRDefault="009C6DB4"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2382" w14:textId="77777777" w:rsidR="009C6DB4" w:rsidRDefault="009C6DB4" w:rsidP="009C6DB4">
      <w:r>
        <w:separator/>
      </w:r>
    </w:p>
  </w:footnote>
  <w:footnote w:type="continuationSeparator" w:id="0">
    <w:p w14:paraId="50F42383" w14:textId="77777777" w:rsidR="009C6DB4" w:rsidRDefault="009C6DB4" w:rsidP="009C6DB4">
      <w:r>
        <w:continuationSeparator/>
      </w:r>
    </w:p>
  </w:footnote>
  <w:footnote w:id="1">
    <w:p w14:paraId="2DCA3343" w14:textId="77777777" w:rsidR="002142B5" w:rsidRPr="00414DBF" w:rsidRDefault="002142B5" w:rsidP="002142B5">
      <w:pPr>
        <w:pStyle w:val="PlainText"/>
        <w:spacing w:before="120" w:after="120"/>
        <w:rPr>
          <w:rFonts w:ascii="Times New Roman" w:hAnsi="Times New Roman"/>
          <w:sz w:val="20"/>
          <w:szCs w:val="20"/>
        </w:rPr>
      </w:pPr>
      <w:r w:rsidRPr="00414DBF">
        <w:rPr>
          <w:rStyle w:val="FootnoteReference"/>
          <w:rFonts w:ascii="Times New Roman" w:hAnsi="Times New Roman"/>
          <w:sz w:val="20"/>
          <w:szCs w:val="20"/>
        </w:rPr>
        <w:footnoteRef/>
      </w:r>
      <w:r w:rsidRPr="00414DBF">
        <w:rPr>
          <w:rFonts w:ascii="Times New Roman" w:hAnsi="Times New Roman"/>
          <w:sz w:val="20"/>
          <w:szCs w:val="20"/>
        </w:rPr>
        <w:t xml:space="preserve"> </w:t>
      </w:r>
      <w:r w:rsidRPr="00414DBF">
        <w:rPr>
          <w:rFonts w:ascii="Times New Roman" w:hAnsi="Times New Roman"/>
          <w:i/>
          <w:sz w:val="20"/>
          <w:szCs w:val="20"/>
        </w:rPr>
        <w:t>See</w:t>
      </w:r>
      <w:r w:rsidRPr="00414DBF">
        <w:rPr>
          <w:rFonts w:ascii="Times New Roman" w:hAnsi="Times New Roman"/>
          <w:sz w:val="20"/>
          <w:szCs w:val="20"/>
        </w:rPr>
        <w:t xml:space="preserve"> Dodd-Frank Wall Street Reform and Consumer Protection Act, Pub. L. No. 111-203, 124 Stat. 1376 (2010).</w:t>
      </w:r>
    </w:p>
  </w:footnote>
  <w:footnote w:id="2">
    <w:p w14:paraId="411D4CD5" w14:textId="77777777" w:rsidR="002142B5" w:rsidRPr="00414DBF" w:rsidRDefault="002142B5" w:rsidP="002142B5">
      <w:pPr>
        <w:pStyle w:val="FootnoteText"/>
        <w:spacing w:before="120" w:after="120"/>
        <w:rPr>
          <w:i/>
        </w:rPr>
      </w:pPr>
      <w:r w:rsidRPr="00414DBF">
        <w:rPr>
          <w:rStyle w:val="FootnoteReference"/>
        </w:rPr>
        <w:footnoteRef/>
      </w:r>
      <w:r w:rsidRPr="00414DBF">
        <w:t xml:space="preserve"> 7 U.S.C. 1 </w:t>
      </w:r>
      <w:r w:rsidRPr="00881B9B">
        <w:rPr>
          <w:i/>
        </w:rPr>
        <w:t>et seq.</w:t>
      </w:r>
    </w:p>
  </w:footnote>
  <w:footnote w:id="3">
    <w:p w14:paraId="1C1969C3" w14:textId="77777777" w:rsidR="002142B5" w:rsidRDefault="002142B5" w:rsidP="002142B5">
      <w:pPr>
        <w:pStyle w:val="FootnoteText"/>
      </w:pPr>
      <w:r w:rsidRPr="00414DBF">
        <w:rPr>
          <w:rStyle w:val="FootnoteReference"/>
        </w:rPr>
        <w:footnoteRef/>
      </w:r>
      <w:r w:rsidRPr="00414DBF">
        <w:t xml:space="preserve"> 17 C.F.R. § 49; </w:t>
      </w:r>
      <w:r w:rsidRPr="00414DBF">
        <w:rPr>
          <w:i/>
        </w:rPr>
        <w:t>see also</w:t>
      </w:r>
      <w:r>
        <w:t xml:space="preserve"> Swap Data Repositories: </w:t>
      </w:r>
      <w:r w:rsidRPr="00414DBF">
        <w:t>Registration Standards, Duties and Core Principles, 76 FR 54538 (Sept. 1, 2011).</w:t>
      </w:r>
    </w:p>
    <w:p w14:paraId="15FB2446" w14:textId="77777777" w:rsidR="002142B5" w:rsidRPr="00414DBF" w:rsidRDefault="002142B5" w:rsidP="002142B5">
      <w:pPr>
        <w:pStyle w:val="FootnoteText"/>
      </w:pPr>
    </w:p>
  </w:footnote>
  <w:footnote w:id="4">
    <w:p w14:paraId="5EAB6160" w14:textId="77777777" w:rsidR="002142B5" w:rsidRPr="009A6B18" w:rsidRDefault="002142B5" w:rsidP="002142B5">
      <w:pPr>
        <w:pStyle w:val="FootnoteText"/>
      </w:pPr>
      <w:r w:rsidRPr="00414DBF">
        <w:rPr>
          <w:rStyle w:val="FootnoteReference"/>
        </w:rPr>
        <w:footnoteRef/>
      </w:r>
      <w:r w:rsidRPr="00414DBF">
        <w:t xml:space="preserve"> </w:t>
      </w:r>
      <w:r w:rsidRPr="00414DBF">
        <w:rPr>
          <w:i/>
        </w:rPr>
        <w:t>See</w:t>
      </w:r>
      <w:r w:rsidRPr="00414DBF">
        <w:t xml:space="preserve"> CFTC Letter 17-33, Division of Market Oversight Announces Review of Swap Reporting Rules in Parts 43, 45, and 49 of Commission Regulations (July 10, 2017), </w:t>
      </w:r>
      <w:r w:rsidRPr="00414DBF">
        <w:rPr>
          <w:i/>
        </w:rPr>
        <w:t>available at</w:t>
      </w:r>
      <w:r w:rsidRPr="00414DBF">
        <w:t xml:space="preserve"> http://www.cftc.gov/idc/groups/public/@lrlettergeneral/documents/letter/17-33.pdf; Roadmap to Achieve High Quality Swap Data, </w:t>
      </w:r>
      <w:r w:rsidRPr="00414DBF">
        <w:rPr>
          <w:i/>
        </w:rPr>
        <w:t>available at</w:t>
      </w:r>
      <w:r w:rsidRPr="00414DBF">
        <w:t xml:space="preserve"> http://www.cftc.gov/idc/groups/public/@newsroom/documents/file/dmo_swapdataplan071017.pdf.</w:t>
      </w:r>
      <w:r w:rsidRPr="00C47600">
        <w:t xml:space="preserve"> </w:t>
      </w:r>
    </w:p>
  </w:footnote>
  <w:footnote w:id="5">
    <w:p w14:paraId="7F908782" w14:textId="77777777" w:rsidR="00A34C62" w:rsidRPr="0068533B" w:rsidRDefault="00A34C62" w:rsidP="00A34C62">
      <w:pPr>
        <w:pStyle w:val="FootnoteText"/>
      </w:pPr>
      <w:r w:rsidRPr="0068533B">
        <w:rPr>
          <w:rStyle w:val="FootnoteReference"/>
        </w:rPr>
        <w:footnoteRef/>
      </w:r>
      <w:r w:rsidRPr="0068533B">
        <w:t xml:space="preserve"> </w:t>
      </w:r>
      <w:r>
        <w:t>As described above in the answer to question 13, the Commission calculated the average wage rate to $72.23.</w:t>
      </w:r>
    </w:p>
  </w:footnote>
  <w:footnote w:id="6">
    <w:p w14:paraId="66AB763E" w14:textId="77777777" w:rsidR="00A34C62" w:rsidRDefault="00A34C62" w:rsidP="00A34C62">
      <w:pPr>
        <w:pStyle w:val="FootnoteText"/>
      </w:pPr>
      <w:r>
        <w:rPr>
          <w:rStyle w:val="FootnoteReference"/>
        </w:rPr>
        <w:footnoteRef/>
      </w:r>
      <w:r>
        <w:t xml:space="preserve"> Estimate is based on one request every three years.</w:t>
      </w:r>
    </w:p>
  </w:footnote>
  <w:footnote w:id="7">
    <w:p w14:paraId="5AE417A4" w14:textId="77777777" w:rsidR="00A34C62" w:rsidRDefault="00A34C62" w:rsidP="00A34C62">
      <w:pPr>
        <w:pStyle w:val="FootnoteText"/>
      </w:pPr>
      <w:r>
        <w:rPr>
          <w:rStyle w:val="FootnoteReference"/>
        </w:rPr>
        <w:footnoteRef/>
      </w:r>
      <w:r>
        <w:t xml:space="preserve"> Estimate is based on one request every three years.</w:t>
      </w:r>
    </w:p>
  </w:footnote>
  <w:footnote w:id="8">
    <w:p w14:paraId="71627E3D" w14:textId="49504B4D" w:rsidR="008846F1" w:rsidRPr="00C85218" w:rsidRDefault="008846F1">
      <w:pPr>
        <w:pStyle w:val="FootnoteText"/>
      </w:pPr>
      <w:r w:rsidRPr="00C85218">
        <w:rPr>
          <w:rStyle w:val="FootnoteReference"/>
        </w:rPr>
        <w:footnoteRef/>
      </w:r>
      <w:r>
        <w:t xml:space="preserve"> This estimate includes the new verification portion of §49.10, which is part of a different rulemaking. </w:t>
      </w:r>
    </w:p>
  </w:footnote>
  <w:footnote w:id="9">
    <w:p w14:paraId="2C14DF22" w14:textId="7A8D94E2" w:rsidR="00E76C4A" w:rsidRDefault="00E76C4A">
      <w:pPr>
        <w:pStyle w:val="FootnoteText"/>
      </w:pPr>
      <w:r>
        <w:rPr>
          <w:rStyle w:val="FootnoteReference"/>
        </w:rPr>
        <w:footnoteRef/>
      </w:r>
      <w:r>
        <w:t xml:space="preserve"> For SD, MSP, and DCO reporting counterparties, verification must be performed a maximum of 13 times per year. As there are 117 such reporting counterparties, </w:t>
      </w:r>
      <w:r w:rsidR="009C2C09">
        <w:t xml:space="preserve">there is a maximum of 1,521 verifications. For all other reporting counterparties, verification must be performed a maximum of 4 times per year. As there are 1,585 such reporting counterparties, there is a maximum of 6,340.  The total maximum number of verifications that each SDR must provide information for under § 49.11 is 7,861 (1,521 + 6,340=7,861).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D90288"/>
    <w:multiLevelType w:val="hybridMultilevel"/>
    <w:tmpl w:val="80D2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95104"/>
    <w:multiLevelType w:val="hybridMultilevel"/>
    <w:tmpl w:val="2DCA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1D20AAE"/>
    <w:multiLevelType w:val="hybridMultilevel"/>
    <w:tmpl w:val="1CBE2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33F2A"/>
    <w:multiLevelType w:val="hybridMultilevel"/>
    <w:tmpl w:val="08FC1D3A"/>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9774E3"/>
    <w:multiLevelType w:val="hybridMultilevel"/>
    <w:tmpl w:val="1526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4"/>
  </w:num>
  <w:num w:numId="3">
    <w:abstractNumId w:val="9"/>
  </w:num>
  <w:num w:numId="4">
    <w:abstractNumId w:val="5"/>
  </w:num>
  <w:num w:numId="5">
    <w:abstractNumId w:val="2"/>
  </w:num>
  <w:num w:numId="6">
    <w:abstractNumId w:val="0"/>
  </w:num>
  <w:num w:numId="7">
    <w:abstractNumId w:val="7"/>
  </w:num>
  <w:num w:numId="8">
    <w:abstractNumId w:val="10"/>
  </w:num>
  <w:num w:numId="9">
    <w:abstractNumId w:val="8"/>
  </w:num>
  <w:num w:numId="10">
    <w:abstractNumId w:val="14"/>
  </w:num>
  <w:num w:numId="11">
    <w:abstractNumId w:val="6"/>
  </w:num>
  <w:num w:numId="12">
    <w:abstractNumId w:val="11"/>
  </w:num>
  <w:num w:numId="13">
    <w:abstractNumId w:val="12"/>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134A3"/>
    <w:rsid w:val="00032BDD"/>
    <w:rsid w:val="00037E90"/>
    <w:rsid w:val="00047399"/>
    <w:rsid w:val="00047495"/>
    <w:rsid w:val="000576BF"/>
    <w:rsid w:val="00061F6E"/>
    <w:rsid w:val="0007012C"/>
    <w:rsid w:val="00072761"/>
    <w:rsid w:val="000803D6"/>
    <w:rsid w:val="00081BEA"/>
    <w:rsid w:val="000835FF"/>
    <w:rsid w:val="00083F72"/>
    <w:rsid w:val="000C2D0E"/>
    <w:rsid w:val="000C3307"/>
    <w:rsid w:val="000D086D"/>
    <w:rsid w:val="000D3504"/>
    <w:rsid w:val="000E0987"/>
    <w:rsid w:val="00107258"/>
    <w:rsid w:val="00116FC7"/>
    <w:rsid w:val="0012080B"/>
    <w:rsid w:val="00125FBE"/>
    <w:rsid w:val="00140DEF"/>
    <w:rsid w:val="00153901"/>
    <w:rsid w:val="001577B2"/>
    <w:rsid w:val="001725C0"/>
    <w:rsid w:val="00176391"/>
    <w:rsid w:val="00180982"/>
    <w:rsid w:val="001D4BB9"/>
    <w:rsid w:val="001D7B90"/>
    <w:rsid w:val="001E1F23"/>
    <w:rsid w:val="00200207"/>
    <w:rsid w:val="002142B5"/>
    <w:rsid w:val="00220CA5"/>
    <w:rsid w:val="002236D6"/>
    <w:rsid w:val="00233D65"/>
    <w:rsid w:val="00235DD2"/>
    <w:rsid w:val="0023739C"/>
    <w:rsid w:val="00241C71"/>
    <w:rsid w:val="00241E30"/>
    <w:rsid w:val="00243435"/>
    <w:rsid w:val="00245D71"/>
    <w:rsid w:val="00247B86"/>
    <w:rsid w:val="002519B0"/>
    <w:rsid w:val="002600FA"/>
    <w:rsid w:val="00260C07"/>
    <w:rsid w:val="0026565F"/>
    <w:rsid w:val="00274164"/>
    <w:rsid w:val="00276808"/>
    <w:rsid w:val="0027708A"/>
    <w:rsid w:val="002879E8"/>
    <w:rsid w:val="002A328F"/>
    <w:rsid w:val="002A6ACD"/>
    <w:rsid w:val="002B4A1D"/>
    <w:rsid w:val="002C7E70"/>
    <w:rsid w:val="002D0489"/>
    <w:rsid w:val="002E05BD"/>
    <w:rsid w:val="002E0DEB"/>
    <w:rsid w:val="002F1E80"/>
    <w:rsid w:val="00307E70"/>
    <w:rsid w:val="00330578"/>
    <w:rsid w:val="00330DF8"/>
    <w:rsid w:val="00347613"/>
    <w:rsid w:val="0035705B"/>
    <w:rsid w:val="00357784"/>
    <w:rsid w:val="00357E35"/>
    <w:rsid w:val="003607A6"/>
    <w:rsid w:val="00361683"/>
    <w:rsid w:val="003677B4"/>
    <w:rsid w:val="00370522"/>
    <w:rsid w:val="00370BB6"/>
    <w:rsid w:val="00372711"/>
    <w:rsid w:val="0037312F"/>
    <w:rsid w:val="0037421B"/>
    <w:rsid w:val="003755F4"/>
    <w:rsid w:val="003B1073"/>
    <w:rsid w:val="003C1CFA"/>
    <w:rsid w:val="003C4B28"/>
    <w:rsid w:val="003D6F96"/>
    <w:rsid w:val="003E0220"/>
    <w:rsid w:val="003E1141"/>
    <w:rsid w:val="003E3A38"/>
    <w:rsid w:val="003F3FDF"/>
    <w:rsid w:val="00405AC8"/>
    <w:rsid w:val="004101F1"/>
    <w:rsid w:val="00422FB0"/>
    <w:rsid w:val="0042465E"/>
    <w:rsid w:val="00443D7B"/>
    <w:rsid w:val="0044799F"/>
    <w:rsid w:val="004618A5"/>
    <w:rsid w:val="00464286"/>
    <w:rsid w:val="00476AB6"/>
    <w:rsid w:val="004917AF"/>
    <w:rsid w:val="004A5F11"/>
    <w:rsid w:val="004A7924"/>
    <w:rsid w:val="004C2276"/>
    <w:rsid w:val="004D0B8B"/>
    <w:rsid w:val="004D4BEA"/>
    <w:rsid w:val="004E0A52"/>
    <w:rsid w:val="004F4C42"/>
    <w:rsid w:val="00505251"/>
    <w:rsid w:val="00506FE2"/>
    <w:rsid w:val="00517E9A"/>
    <w:rsid w:val="00524073"/>
    <w:rsid w:val="00525395"/>
    <w:rsid w:val="0052742B"/>
    <w:rsid w:val="005428FF"/>
    <w:rsid w:val="005503C6"/>
    <w:rsid w:val="00551E62"/>
    <w:rsid w:val="00554929"/>
    <w:rsid w:val="00557EF2"/>
    <w:rsid w:val="00560340"/>
    <w:rsid w:val="00577F1F"/>
    <w:rsid w:val="00585718"/>
    <w:rsid w:val="005946E6"/>
    <w:rsid w:val="005A3751"/>
    <w:rsid w:val="005D34A0"/>
    <w:rsid w:val="005E41B2"/>
    <w:rsid w:val="005E4E5C"/>
    <w:rsid w:val="005F316D"/>
    <w:rsid w:val="00607B6C"/>
    <w:rsid w:val="00607D38"/>
    <w:rsid w:val="006243BC"/>
    <w:rsid w:val="00625287"/>
    <w:rsid w:val="0063622E"/>
    <w:rsid w:val="00637711"/>
    <w:rsid w:val="00640784"/>
    <w:rsid w:val="00642B6A"/>
    <w:rsid w:val="00643925"/>
    <w:rsid w:val="00653547"/>
    <w:rsid w:val="0066471D"/>
    <w:rsid w:val="00666FBF"/>
    <w:rsid w:val="00666FC0"/>
    <w:rsid w:val="00667CD6"/>
    <w:rsid w:val="006775BC"/>
    <w:rsid w:val="006913E4"/>
    <w:rsid w:val="00697065"/>
    <w:rsid w:val="006B2A40"/>
    <w:rsid w:val="006B3F2C"/>
    <w:rsid w:val="006B452E"/>
    <w:rsid w:val="006B5336"/>
    <w:rsid w:val="006F00A1"/>
    <w:rsid w:val="007029A9"/>
    <w:rsid w:val="00715F21"/>
    <w:rsid w:val="00722882"/>
    <w:rsid w:val="0072353B"/>
    <w:rsid w:val="00730B43"/>
    <w:rsid w:val="0074122B"/>
    <w:rsid w:val="00747BF5"/>
    <w:rsid w:val="00751B4D"/>
    <w:rsid w:val="00752AE8"/>
    <w:rsid w:val="007553BE"/>
    <w:rsid w:val="00755826"/>
    <w:rsid w:val="00755F59"/>
    <w:rsid w:val="00760311"/>
    <w:rsid w:val="00761BD2"/>
    <w:rsid w:val="0076443A"/>
    <w:rsid w:val="00771D97"/>
    <w:rsid w:val="007724B6"/>
    <w:rsid w:val="00774C1A"/>
    <w:rsid w:val="0078471A"/>
    <w:rsid w:val="007A1013"/>
    <w:rsid w:val="007A1107"/>
    <w:rsid w:val="007A383E"/>
    <w:rsid w:val="007B1735"/>
    <w:rsid w:val="007B66E1"/>
    <w:rsid w:val="007B7CE3"/>
    <w:rsid w:val="007C5B3F"/>
    <w:rsid w:val="007C72FB"/>
    <w:rsid w:val="007D0F5D"/>
    <w:rsid w:val="007D22E3"/>
    <w:rsid w:val="007D7026"/>
    <w:rsid w:val="007E03FF"/>
    <w:rsid w:val="007E10D4"/>
    <w:rsid w:val="007F27F5"/>
    <w:rsid w:val="007F3179"/>
    <w:rsid w:val="007F4582"/>
    <w:rsid w:val="008131B0"/>
    <w:rsid w:val="00826F27"/>
    <w:rsid w:val="008336D1"/>
    <w:rsid w:val="00833DC9"/>
    <w:rsid w:val="00836741"/>
    <w:rsid w:val="008435FA"/>
    <w:rsid w:val="00843603"/>
    <w:rsid w:val="00867CB2"/>
    <w:rsid w:val="00882745"/>
    <w:rsid w:val="008846F1"/>
    <w:rsid w:val="008F2F98"/>
    <w:rsid w:val="008F41C5"/>
    <w:rsid w:val="008F6D4A"/>
    <w:rsid w:val="00902356"/>
    <w:rsid w:val="00905654"/>
    <w:rsid w:val="009138D7"/>
    <w:rsid w:val="009309EC"/>
    <w:rsid w:val="009402E6"/>
    <w:rsid w:val="0094455C"/>
    <w:rsid w:val="0096234C"/>
    <w:rsid w:val="00963975"/>
    <w:rsid w:val="009729E7"/>
    <w:rsid w:val="0097616E"/>
    <w:rsid w:val="00981C2F"/>
    <w:rsid w:val="009903F8"/>
    <w:rsid w:val="0099690D"/>
    <w:rsid w:val="009B10DF"/>
    <w:rsid w:val="009B1E93"/>
    <w:rsid w:val="009B2F52"/>
    <w:rsid w:val="009B71FB"/>
    <w:rsid w:val="009C2C09"/>
    <w:rsid w:val="009C6DB4"/>
    <w:rsid w:val="009D00FB"/>
    <w:rsid w:val="009E356F"/>
    <w:rsid w:val="009E5AF5"/>
    <w:rsid w:val="00A014A3"/>
    <w:rsid w:val="00A02F67"/>
    <w:rsid w:val="00A0630F"/>
    <w:rsid w:val="00A078CB"/>
    <w:rsid w:val="00A13E98"/>
    <w:rsid w:val="00A15A96"/>
    <w:rsid w:val="00A1713D"/>
    <w:rsid w:val="00A22D0E"/>
    <w:rsid w:val="00A23237"/>
    <w:rsid w:val="00A257E3"/>
    <w:rsid w:val="00A3234E"/>
    <w:rsid w:val="00A34C62"/>
    <w:rsid w:val="00A34FBC"/>
    <w:rsid w:val="00A54471"/>
    <w:rsid w:val="00A56A4D"/>
    <w:rsid w:val="00A708B1"/>
    <w:rsid w:val="00A728F2"/>
    <w:rsid w:val="00A73BBA"/>
    <w:rsid w:val="00A80B52"/>
    <w:rsid w:val="00A910B8"/>
    <w:rsid w:val="00AA013C"/>
    <w:rsid w:val="00AA3183"/>
    <w:rsid w:val="00AB00BD"/>
    <w:rsid w:val="00AC2529"/>
    <w:rsid w:val="00AC3CC9"/>
    <w:rsid w:val="00AC59BE"/>
    <w:rsid w:val="00AD0896"/>
    <w:rsid w:val="00AD0B9F"/>
    <w:rsid w:val="00AD5E25"/>
    <w:rsid w:val="00AD5FD4"/>
    <w:rsid w:val="00AE73AB"/>
    <w:rsid w:val="00AF2C79"/>
    <w:rsid w:val="00AF47B8"/>
    <w:rsid w:val="00B04F8A"/>
    <w:rsid w:val="00B1090B"/>
    <w:rsid w:val="00B31A84"/>
    <w:rsid w:val="00B328FB"/>
    <w:rsid w:val="00B33652"/>
    <w:rsid w:val="00B46731"/>
    <w:rsid w:val="00B6286C"/>
    <w:rsid w:val="00B6776C"/>
    <w:rsid w:val="00B70CD2"/>
    <w:rsid w:val="00B74586"/>
    <w:rsid w:val="00B74CE1"/>
    <w:rsid w:val="00B86819"/>
    <w:rsid w:val="00B91704"/>
    <w:rsid w:val="00BA0A82"/>
    <w:rsid w:val="00BA10C3"/>
    <w:rsid w:val="00BA2264"/>
    <w:rsid w:val="00BB2859"/>
    <w:rsid w:val="00BB57CB"/>
    <w:rsid w:val="00BE3923"/>
    <w:rsid w:val="00BE4892"/>
    <w:rsid w:val="00BE6AC8"/>
    <w:rsid w:val="00BE7047"/>
    <w:rsid w:val="00BE76BF"/>
    <w:rsid w:val="00BF3442"/>
    <w:rsid w:val="00C032F4"/>
    <w:rsid w:val="00C03FBF"/>
    <w:rsid w:val="00C066FB"/>
    <w:rsid w:val="00C173E1"/>
    <w:rsid w:val="00C2000F"/>
    <w:rsid w:val="00C20143"/>
    <w:rsid w:val="00C23A3C"/>
    <w:rsid w:val="00C50E30"/>
    <w:rsid w:val="00C55429"/>
    <w:rsid w:val="00C76DB9"/>
    <w:rsid w:val="00C80E79"/>
    <w:rsid w:val="00C83EDF"/>
    <w:rsid w:val="00C84A51"/>
    <w:rsid w:val="00C85218"/>
    <w:rsid w:val="00C90C42"/>
    <w:rsid w:val="00C91CB5"/>
    <w:rsid w:val="00C9497A"/>
    <w:rsid w:val="00CC0909"/>
    <w:rsid w:val="00CE39BB"/>
    <w:rsid w:val="00CE561C"/>
    <w:rsid w:val="00CF007B"/>
    <w:rsid w:val="00CF1C34"/>
    <w:rsid w:val="00CF4155"/>
    <w:rsid w:val="00D0347F"/>
    <w:rsid w:val="00D04832"/>
    <w:rsid w:val="00D10E69"/>
    <w:rsid w:val="00D12FEB"/>
    <w:rsid w:val="00D25BD2"/>
    <w:rsid w:val="00D27AE8"/>
    <w:rsid w:val="00D333C7"/>
    <w:rsid w:val="00D37F72"/>
    <w:rsid w:val="00D431CA"/>
    <w:rsid w:val="00D46559"/>
    <w:rsid w:val="00D5232E"/>
    <w:rsid w:val="00D52F4E"/>
    <w:rsid w:val="00D70894"/>
    <w:rsid w:val="00D945B5"/>
    <w:rsid w:val="00DA5113"/>
    <w:rsid w:val="00DB00E1"/>
    <w:rsid w:val="00DB1AD1"/>
    <w:rsid w:val="00DB7297"/>
    <w:rsid w:val="00DC77C0"/>
    <w:rsid w:val="00DD36CC"/>
    <w:rsid w:val="00DD51EE"/>
    <w:rsid w:val="00DD6AE8"/>
    <w:rsid w:val="00DF6095"/>
    <w:rsid w:val="00E056E9"/>
    <w:rsid w:val="00E102D1"/>
    <w:rsid w:val="00E12FD5"/>
    <w:rsid w:val="00E15E4F"/>
    <w:rsid w:val="00E317E0"/>
    <w:rsid w:val="00E42A80"/>
    <w:rsid w:val="00E446C6"/>
    <w:rsid w:val="00E45A29"/>
    <w:rsid w:val="00E5107D"/>
    <w:rsid w:val="00E54279"/>
    <w:rsid w:val="00E73171"/>
    <w:rsid w:val="00E73A61"/>
    <w:rsid w:val="00E76C4A"/>
    <w:rsid w:val="00E81E1F"/>
    <w:rsid w:val="00E87F36"/>
    <w:rsid w:val="00E87F90"/>
    <w:rsid w:val="00EB0FA7"/>
    <w:rsid w:val="00EC0F74"/>
    <w:rsid w:val="00EC238C"/>
    <w:rsid w:val="00EC5903"/>
    <w:rsid w:val="00ED251F"/>
    <w:rsid w:val="00EE71BD"/>
    <w:rsid w:val="00F02CC0"/>
    <w:rsid w:val="00F21958"/>
    <w:rsid w:val="00F22FCB"/>
    <w:rsid w:val="00F336E8"/>
    <w:rsid w:val="00F378A6"/>
    <w:rsid w:val="00F4707F"/>
    <w:rsid w:val="00F564AC"/>
    <w:rsid w:val="00F568E5"/>
    <w:rsid w:val="00F825B7"/>
    <w:rsid w:val="00F860C4"/>
    <w:rsid w:val="00F971DD"/>
    <w:rsid w:val="00FA28E9"/>
    <w:rsid w:val="00FA7B73"/>
    <w:rsid w:val="00FB0145"/>
    <w:rsid w:val="00FB17E6"/>
    <w:rsid w:val="00FC3439"/>
    <w:rsid w:val="00FC54D4"/>
    <w:rsid w:val="00FC5F7F"/>
    <w:rsid w:val="00FD683D"/>
    <w:rsid w:val="00FD6D7D"/>
    <w:rsid w:val="00FE1133"/>
    <w:rsid w:val="00FE503D"/>
    <w:rsid w:val="00FE6FE8"/>
    <w:rsid w:val="00FF1B8C"/>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50F42292"/>
  <w15:docId w15:val="{F3573D75-10A1-4610-AC78-9563C424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7F45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3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00888">
      <w:bodyDiv w:val="1"/>
      <w:marLeft w:val="0"/>
      <w:marRight w:val="0"/>
      <w:marTop w:val="0"/>
      <w:marBottom w:val="0"/>
      <w:divBdr>
        <w:top w:val="none" w:sz="0" w:space="0" w:color="auto"/>
        <w:left w:val="none" w:sz="0" w:space="0" w:color="auto"/>
        <w:bottom w:val="none" w:sz="0" w:space="0" w:color="auto"/>
        <w:right w:val="none" w:sz="0" w:space="0" w:color="auto"/>
      </w:divBdr>
    </w:div>
    <w:div w:id="689647863">
      <w:bodyDiv w:val="1"/>
      <w:marLeft w:val="0"/>
      <w:marRight w:val="0"/>
      <w:marTop w:val="0"/>
      <w:marBottom w:val="0"/>
      <w:divBdr>
        <w:top w:val="none" w:sz="0" w:space="0" w:color="auto"/>
        <w:left w:val="none" w:sz="0" w:space="0" w:color="auto"/>
        <w:bottom w:val="none" w:sz="0" w:space="0" w:color="auto"/>
        <w:right w:val="none" w:sz="0" w:space="0" w:color="auto"/>
      </w:divBdr>
    </w:div>
    <w:div w:id="1536969635">
      <w:bodyDiv w:val="1"/>
      <w:marLeft w:val="0"/>
      <w:marRight w:val="0"/>
      <w:marTop w:val="0"/>
      <w:marBottom w:val="0"/>
      <w:divBdr>
        <w:top w:val="none" w:sz="0" w:space="0" w:color="auto"/>
        <w:left w:val="none" w:sz="0" w:space="0" w:color="auto"/>
        <w:bottom w:val="none" w:sz="0" w:space="0" w:color="auto"/>
        <w:right w:val="none" w:sz="0" w:space="0" w:color="auto"/>
      </w:divBdr>
    </w:div>
    <w:div w:id="20797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243497F542447906B79F06713257A" ma:contentTypeVersion="1" ma:contentTypeDescription="Create a new document." ma:contentTypeScope="" ma:versionID="7e895a6d3c4f975c93ead62d52168970">
  <xsd:schema xmlns:xsd="http://www.w3.org/2001/XMLSchema" xmlns:xs="http://www.w3.org/2001/XMLSchema" xmlns:p="http://schemas.microsoft.com/office/2006/metadata/properties" targetNamespace="http://schemas.microsoft.com/office/2006/metadata/properties" ma:root="true" ma:fieldsID="644c1fac3995242bb5e8d4d3391080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497AE-17EE-4577-9EA1-2F0749A52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3.xml><?xml version="1.0" encoding="utf-8"?>
<ds:datastoreItem xmlns:ds="http://schemas.openxmlformats.org/officeDocument/2006/customXml" ds:itemID="{0E367CBB-B949-4A71-ACFE-8DD0396879C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60294F6-9772-42D1-857F-C45946B8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3872</Words>
  <Characters>22074</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WMcobb</dc:creator>
  <cp:keywords>PRA Blank</cp:keywords>
  <cp:lastModifiedBy>Scott, Gail B.</cp:lastModifiedBy>
  <cp:revision>2</cp:revision>
  <cp:lastPrinted>2020-04-06T20:13:00Z</cp:lastPrinted>
  <dcterms:created xsi:type="dcterms:W3CDTF">2021-07-20T21:41:00Z</dcterms:created>
  <dcterms:modified xsi:type="dcterms:W3CDTF">2021-07-20T21:41:00Z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0x010100A1E243497F542447906B79F06713257A</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