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D61" w:rsidRDefault="005F2D61" w14:paraId="00000001" w14:textId="77777777">
      <w:pPr>
        <w:pStyle w:val="Heading2"/>
        <w:jc w:val="center"/>
      </w:pPr>
      <w:bookmarkStart w:name="_gjdgxs" w:colFirst="0" w:colLast="0" w:id="0"/>
      <w:bookmarkEnd w:id="0"/>
    </w:p>
    <w:p w:rsidR="005F2D61" w:rsidRDefault="00C80795" w14:paraId="00000002" w14:textId="77777777">
      <w:pPr>
        <w:pStyle w:val="Heading2"/>
        <w:jc w:val="center"/>
      </w:pPr>
      <w:bookmarkStart w:name="_ow89jys30zdt" w:colFirst="0" w:colLast="0" w:id="1"/>
      <w:bookmarkEnd w:id="1"/>
      <w:r>
        <w:t>Supporting Statement for Information Collection:</w:t>
      </w:r>
    </w:p>
    <w:p w:rsidR="005F2D61" w:rsidRDefault="00C80795" w14:paraId="00000003" w14:textId="77777777">
      <w:pPr>
        <w:pStyle w:val="Heading2"/>
        <w:jc w:val="center"/>
      </w:pPr>
      <w:r>
        <w:t>Foreign Ownership and Financing Representation for High-Security Leased Space</w:t>
      </w:r>
    </w:p>
    <w:p w:rsidR="005F2D61" w:rsidRDefault="00C80795" w14:paraId="00000004" w14:textId="77777777">
      <w:pPr>
        <w:pStyle w:val="Heading2"/>
        <w:jc w:val="center"/>
      </w:pPr>
      <w:r>
        <w:t>(OMB Control No. 3090-XXXX)</w:t>
      </w:r>
    </w:p>
    <w:p w:rsidR="005F2D61" w:rsidRDefault="005F2D61" w14:paraId="00000005" w14:textId="77777777">
      <w:pPr>
        <w:pStyle w:val="Heading2"/>
        <w:jc w:val="center"/>
      </w:pPr>
    </w:p>
    <w:p w:rsidR="005F2D61" w:rsidRDefault="005F2D61" w14:paraId="00000006" w14:textId="77777777"/>
    <w:p w:rsidR="005F2D61" w:rsidRDefault="00C80795" w14:paraId="00000007" w14:textId="77777777">
      <w:pPr>
        <w:numPr>
          <w:ilvl w:val="0"/>
          <w:numId w:val="1"/>
        </w:numPr>
        <w:tabs>
          <w:tab w:val="left" w:pos="360"/>
        </w:tabs>
        <w:rPr>
          <w:b/>
          <w:sz w:val="24"/>
          <w:szCs w:val="24"/>
        </w:rPr>
      </w:pPr>
      <w:r>
        <w:rPr>
          <w:b/>
          <w:sz w:val="24"/>
          <w:szCs w:val="24"/>
        </w:rPr>
        <w:t>Justification.</w:t>
      </w:r>
    </w:p>
    <w:p w:rsidR="005F2D61" w:rsidRDefault="005F2D61" w14:paraId="00000008" w14:textId="77777777">
      <w:pPr>
        <w:rPr>
          <w:sz w:val="24"/>
          <w:szCs w:val="24"/>
        </w:rPr>
      </w:pPr>
    </w:p>
    <w:p w:rsidR="005F2D61" w:rsidRDefault="00C80795" w14:paraId="00000009" w14:textId="77777777">
      <w:pPr>
        <w:rPr>
          <w:b/>
          <w:sz w:val="24"/>
          <w:szCs w:val="24"/>
        </w:rPr>
      </w:pPr>
      <w:r>
        <w:rPr>
          <w:b/>
          <w:sz w:val="24"/>
          <w:szCs w:val="24"/>
        </w:rPr>
        <w:t xml:space="preserve">1.  Explain the circumstances that make the collection of information necessary. </w:t>
      </w:r>
    </w:p>
    <w:p w:rsidR="005F2D61" w:rsidRDefault="00C80795" w14:paraId="0000000A" w14:textId="77777777">
      <w:pPr>
        <w:rPr>
          <w:sz w:val="24"/>
          <w:szCs w:val="24"/>
        </w:rPr>
      </w:pPr>
      <w:r>
        <w:rPr>
          <w:sz w:val="24"/>
          <w:szCs w:val="24"/>
        </w:rPr>
        <w:t xml:space="preserve"> </w:t>
      </w:r>
    </w:p>
    <w:p w:rsidR="005F2D61" w:rsidRDefault="00C80795" w14:paraId="0000000B" w14:textId="77777777">
      <w:pPr>
        <w:rPr>
          <w:sz w:val="24"/>
          <w:szCs w:val="24"/>
        </w:rPr>
      </w:pPr>
      <w:r>
        <w:rPr>
          <w:sz w:val="24"/>
          <w:szCs w:val="24"/>
        </w:rPr>
        <w:t xml:space="preserve">This information collection supports implementation of the Secure Federal LEASEs Act (Pub. L. 116-276) to reduce security risks in high-security leased space. Section 3 of the bill requires agencies, before entering into a lease agreement for high-security leased space, to require the contractor to identify the immediate or highest-level owner of the space, including any financing entity, and disclose whether that owner is a foreign person or entity, including the country associated with the ownership entity. The contractor shall (1) provide such identification and disclosure when first submitting a proposal in response to a solicitation; and (2) update such information annually. This information is partially implemented in the Federal Acquisition Regulation (FAR) through the provisions at FAR 52.204-3, </w:t>
      </w:r>
      <w:r>
        <w:rPr>
          <w:i/>
          <w:sz w:val="24"/>
          <w:szCs w:val="24"/>
        </w:rPr>
        <w:t>Taxpayer Identification</w:t>
      </w:r>
      <w:r>
        <w:rPr>
          <w:sz w:val="24"/>
          <w:szCs w:val="24"/>
        </w:rPr>
        <w:t xml:space="preserve">, FAR 52.204-7, </w:t>
      </w:r>
      <w:r>
        <w:rPr>
          <w:i/>
          <w:sz w:val="24"/>
          <w:szCs w:val="24"/>
        </w:rPr>
        <w:t>System for Award Management</w:t>
      </w:r>
      <w:r>
        <w:rPr>
          <w:sz w:val="24"/>
          <w:szCs w:val="24"/>
        </w:rPr>
        <w:t xml:space="preserve">, FAR 52.204-17, </w:t>
      </w:r>
      <w:r>
        <w:rPr>
          <w:i/>
          <w:sz w:val="24"/>
          <w:szCs w:val="24"/>
        </w:rPr>
        <w:t>Ownership and Control of Offeror</w:t>
      </w:r>
      <w:r>
        <w:rPr>
          <w:sz w:val="24"/>
          <w:szCs w:val="24"/>
        </w:rPr>
        <w:t xml:space="preserve">, and the clause at FAR 52.204-13, </w:t>
      </w:r>
      <w:r>
        <w:rPr>
          <w:i/>
          <w:sz w:val="24"/>
          <w:szCs w:val="24"/>
        </w:rPr>
        <w:t>System for Award Management Maintenance</w:t>
      </w:r>
      <w:r>
        <w:rPr>
          <w:sz w:val="24"/>
          <w:szCs w:val="24"/>
        </w:rPr>
        <w:t xml:space="preserve">. OMB Control Numbers 9000-0097 and 9000-0185 covers the FAR provisions and clause. However, as the FAR does not account for foreign financing as required by the Act, GSA issued an interim rule for lease acquisitions of high-security space to identify the required information through GSAR 552.270-33.     </w:t>
      </w:r>
    </w:p>
    <w:p w:rsidR="005F2D61" w:rsidRDefault="005F2D61" w14:paraId="0000000C" w14:textId="77777777">
      <w:pPr>
        <w:rPr>
          <w:sz w:val="24"/>
          <w:szCs w:val="24"/>
        </w:rPr>
      </w:pPr>
    </w:p>
    <w:p w:rsidR="005F2D61" w:rsidRDefault="00C80795" w14:paraId="0000000D"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5F2D61" w:rsidRDefault="005F2D61" w14:paraId="0000000E"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5F2D61" w:rsidRDefault="00C80795" w14:paraId="0000000F" w14:textId="77777777">
      <w:pPr>
        <w:rPr>
          <w:sz w:val="24"/>
          <w:szCs w:val="24"/>
        </w:rPr>
      </w:pPr>
      <w:r>
        <w:rPr>
          <w:sz w:val="24"/>
          <w:szCs w:val="24"/>
        </w:rPr>
        <w:t xml:space="preserve">The information collected will be used to identify if an offeror for high-security leased space is a foreign person or entity. If a foreign ownership disclosure is made the contracting activity will notify the Federal tenant of the building that will be used for high-security space in writing, and consult with the Federal tenant, regarding security concerns and necessary mitigation measures, if any.    </w:t>
      </w:r>
      <w:r>
        <w:rPr>
          <w:sz w:val="24"/>
          <w:szCs w:val="24"/>
          <w:highlight w:val="yellow"/>
        </w:rPr>
        <w:t xml:space="preserve"> </w:t>
      </w:r>
    </w:p>
    <w:p w:rsidR="005F2D61" w:rsidRDefault="005F2D61" w14:paraId="00000010" w14:textId="77777777">
      <w:pPr>
        <w:rPr>
          <w:sz w:val="24"/>
          <w:szCs w:val="24"/>
        </w:rPr>
      </w:pPr>
    </w:p>
    <w:p w:rsidR="005F2D61" w:rsidRDefault="00C80795" w14:paraId="00000011" w14:textId="77777777">
      <w:pPr>
        <w:tabs>
          <w:tab w:val="left" w:pos="90"/>
        </w:tabs>
        <w:rPr>
          <w:b/>
          <w:sz w:val="24"/>
          <w:szCs w:val="24"/>
        </w:rPr>
      </w:pPr>
      <w:r>
        <w:rPr>
          <w:b/>
          <w:sz w:val="24"/>
          <w:szCs w:val="24"/>
        </w:rPr>
        <w:t xml:space="preserve">3.  Describe whether, and to what extent, the collection of information involves the use of automated, electronic, mechanical, or other technological collection techniques or other forms of information technology. </w:t>
      </w:r>
    </w:p>
    <w:p w:rsidR="005F2D61" w:rsidRDefault="005F2D61" w14:paraId="00000012" w14:textId="77777777">
      <w:pPr>
        <w:rPr>
          <w:sz w:val="24"/>
          <w:szCs w:val="24"/>
          <w:highlight w:val="yellow"/>
        </w:rPr>
      </w:pPr>
    </w:p>
    <w:p w:rsidR="005F2D61" w:rsidRDefault="00C80795" w14:paraId="00000013" w14:textId="77777777">
      <w:pPr>
        <w:rPr>
          <w:color w:val="0E101A"/>
          <w:sz w:val="24"/>
          <w:szCs w:val="24"/>
        </w:rPr>
      </w:pPr>
      <w:r>
        <w:rPr>
          <w:sz w:val="24"/>
          <w:szCs w:val="24"/>
        </w:rPr>
        <w:t xml:space="preserve">GSA uses improved information technology to the maximum extent practicable. Where both GSA and contractors are capable of electronic interchange, contractors may submit this information collection requirement electronically. </w:t>
      </w:r>
    </w:p>
    <w:p w:rsidR="005F2D61" w:rsidRDefault="005F2D61" w14:paraId="00000014" w14:textId="77777777">
      <w:pPr>
        <w:rPr>
          <w:color w:val="0E101A"/>
          <w:sz w:val="24"/>
          <w:szCs w:val="24"/>
        </w:rPr>
      </w:pPr>
    </w:p>
    <w:p w:rsidR="005F2D61" w:rsidRDefault="005F2D61" w14:paraId="00000015" w14:textId="77777777">
      <w:pPr>
        <w:rPr>
          <w:color w:val="0E101A"/>
          <w:sz w:val="24"/>
          <w:szCs w:val="24"/>
        </w:rPr>
      </w:pPr>
    </w:p>
    <w:p w:rsidR="005F2D61" w:rsidRDefault="005F2D61" w14:paraId="00000016" w14:textId="77777777">
      <w:pPr>
        <w:rPr>
          <w:color w:val="0E101A"/>
          <w:sz w:val="24"/>
          <w:szCs w:val="24"/>
        </w:rPr>
      </w:pPr>
    </w:p>
    <w:p w:rsidR="005F2D61" w:rsidRDefault="005F2D61" w14:paraId="00000017" w14:textId="77777777">
      <w:pPr>
        <w:rPr>
          <w:color w:val="0E101A"/>
          <w:sz w:val="24"/>
          <w:szCs w:val="24"/>
        </w:rPr>
      </w:pPr>
    </w:p>
    <w:p w:rsidR="005F2D61" w:rsidRDefault="00C80795" w14:paraId="00000018"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lastRenderedPageBreak/>
        <w:t xml:space="preserve">4.  Describe efforts to identify duplication.  </w:t>
      </w:r>
    </w:p>
    <w:p w:rsidR="005F2D61" w:rsidRDefault="005F2D61" w14:paraId="00000019"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5F2D61" w:rsidRDefault="00C80795" w14:paraId="0000001A" w14:textId="77777777">
      <w:pPr>
        <w:rPr>
          <w:sz w:val="24"/>
          <w:szCs w:val="24"/>
        </w:rPr>
      </w:pPr>
      <w:r>
        <w:rPr>
          <w:sz w:val="24"/>
          <w:szCs w:val="24"/>
        </w:rPr>
        <w:t>There is no similar data and no duplication of information exists under this collection. OMB Control Numbers 9000-0097 and 9000-0185 covers the burden of related FAR provisions and clauses, but does not fully account for the burden associated with lease acquisitions for high-security space.</w:t>
      </w:r>
    </w:p>
    <w:p w:rsidR="005F2D61" w:rsidRDefault="005F2D61" w14:paraId="0000001B" w14:textId="77777777">
      <w:pPr>
        <w:rPr>
          <w:sz w:val="24"/>
          <w:szCs w:val="24"/>
        </w:rPr>
      </w:pPr>
    </w:p>
    <w:p w:rsidR="005F2D61" w:rsidRDefault="00C80795" w14:paraId="0000001C" w14:textId="77777777">
      <w:pPr>
        <w:rPr>
          <w:b/>
          <w:sz w:val="24"/>
          <w:szCs w:val="24"/>
        </w:rPr>
      </w:pPr>
      <w:r>
        <w:rPr>
          <w:b/>
          <w:sz w:val="24"/>
          <w:szCs w:val="24"/>
        </w:rPr>
        <w:t xml:space="preserve">5.  If the collection of information impacts small businesses or other small entities, describe any methods used to minimize burden.  </w:t>
      </w:r>
    </w:p>
    <w:p w:rsidR="005F2D61" w:rsidRDefault="005F2D61" w14:paraId="0000001D" w14:textId="77777777">
      <w:pPr>
        <w:rPr>
          <w:sz w:val="24"/>
          <w:szCs w:val="24"/>
        </w:rPr>
      </w:pPr>
    </w:p>
    <w:p w:rsidR="005F2D61" w:rsidRDefault="00C80795" w14:paraId="0000001E" w14:textId="77777777">
      <w:pPr>
        <w:rPr>
          <w:sz w:val="24"/>
          <w:szCs w:val="24"/>
          <w:highlight w:val="yellow"/>
        </w:rPr>
      </w:pPr>
      <w:r>
        <w:rPr>
          <w:sz w:val="24"/>
          <w:szCs w:val="24"/>
        </w:rPr>
        <w:t>The burden applies equally to small businesses that opt to do business with GSA. This information collected is the minimum necessary consistent with applicable laws, Executive orders, regulations, and prudent business practices.</w:t>
      </w:r>
    </w:p>
    <w:p w:rsidR="005F2D61" w:rsidRDefault="005F2D61" w14:paraId="0000001F" w14:textId="77777777">
      <w:pPr>
        <w:rPr>
          <w:sz w:val="24"/>
          <w:szCs w:val="24"/>
        </w:rPr>
      </w:pPr>
    </w:p>
    <w:p w:rsidR="005F2D61" w:rsidRDefault="00C80795" w14:paraId="00000020" w14:textId="77777777">
      <w:pPr>
        <w:tabs>
          <w:tab w:val="left" w:pos="630"/>
        </w:tabs>
        <w:rPr>
          <w:b/>
          <w:sz w:val="24"/>
          <w:szCs w:val="24"/>
        </w:rPr>
      </w:pPr>
      <w:r>
        <w:rPr>
          <w:b/>
          <w:sz w:val="24"/>
          <w:szCs w:val="24"/>
        </w:rPr>
        <w:t xml:space="preserve">6.  Describe the consequence to Federal program or policy activities if the collection is not conducted or is conducted less frequently, as well as any technical or legal obstacles to reducing burden. </w:t>
      </w:r>
    </w:p>
    <w:p w:rsidR="005F2D61" w:rsidRDefault="005F2D61" w14:paraId="00000021" w14:textId="77777777">
      <w:pPr>
        <w:tabs>
          <w:tab w:val="left" w:pos="630"/>
        </w:tabs>
        <w:rPr>
          <w:b/>
          <w:sz w:val="24"/>
          <w:szCs w:val="24"/>
        </w:rPr>
      </w:pPr>
    </w:p>
    <w:p w:rsidR="005F2D61" w:rsidRDefault="00C80795" w14:paraId="00000022" w14:textId="77777777">
      <w:pPr>
        <w:rPr>
          <w:sz w:val="24"/>
          <w:szCs w:val="24"/>
        </w:rPr>
      </w:pPr>
      <w:r>
        <w:rPr>
          <w:sz w:val="24"/>
          <w:szCs w:val="24"/>
        </w:rPr>
        <w:t xml:space="preserve">Not collecting this information or collecting this information less frequently would impede contracting officers from performing their administrative functions in an efficient and effective manner. </w:t>
      </w:r>
    </w:p>
    <w:p w:rsidR="005F2D61" w:rsidRDefault="005F2D61" w14:paraId="00000023" w14:textId="77777777">
      <w:pPr>
        <w:rPr>
          <w:sz w:val="24"/>
          <w:szCs w:val="24"/>
        </w:rPr>
      </w:pPr>
    </w:p>
    <w:p w:rsidR="005F2D61" w:rsidRDefault="00C80795" w14:paraId="00000024" w14:textId="77777777">
      <w:pPr>
        <w:pBdr>
          <w:top w:val="nil"/>
          <w:left w:val="nil"/>
          <w:bottom w:val="nil"/>
          <w:right w:val="nil"/>
          <w:between w:val="nil"/>
        </w:pBdr>
        <w:rPr>
          <w:rFonts w:ascii="Arial" w:hAnsi="Arial" w:eastAsia="Arial" w:cs="Arial"/>
          <w:color w:val="000000"/>
          <w:sz w:val="24"/>
          <w:szCs w:val="24"/>
        </w:rPr>
      </w:pPr>
      <w:r>
        <w:rPr>
          <w:b/>
          <w:color w:val="000000"/>
          <w:sz w:val="24"/>
          <w:szCs w:val="24"/>
        </w:rPr>
        <w:t xml:space="preserve">7.  Explain any special circumstances. </w:t>
      </w:r>
    </w:p>
    <w:p w:rsidR="005F2D61" w:rsidRDefault="005F2D61" w14:paraId="00000025" w14:textId="77777777">
      <w:pPr>
        <w:rPr>
          <w:sz w:val="24"/>
          <w:szCs w:val="24"/>
        </w:rPr>
      </w:pPr>
    </w:p>
    <w:p w:rsidR="005F2D61" w:rsidRDefault="00C80795" w14:paraId="00000026" w14:textId="77777777">
      <w:pPr>
        <w:rPr>
          <w:sz w:val="24"/>
          <w:szCs w:val="24"/>
        </w:rPr>
      </w:pPr>
      <w:r>
        <w:rPr>
          <w:sz w:val="24"/>
          <w:szCs w:val="24"/>
        </w:rPr>
        <w:t>No special circumstances exist.  Collection is consistent with the guidelines in 5 CFR 1320.6.</w:t>
      </w:r>
    </w:p>
    <w:p w:rsidR="005F2D61" w:rsidRDefault="005F2D61" w14:paraId="00000027" w14:textId="77777777">
      <w:pPr>
        <w:rPr>
          <w:b/>
          <w:sz w:val="24"/>
          <w:szCs w:val="24"/>
        </w:rPr>
      </w:pPr>
    </w:p>
    <w:p w:rsidR="005F2D61" w:rsidRDefault="00C80795" w14:paraId="00000028" w14:textId="77777777">
      <w:pPr>
        <w:rPr>
          <w:sz w:val="24"/>
          <w:szCs w:val="24"/>
        </w:rPr>
      </w:pPr>
      <w:r>
        <w:rPr>
          <w:b/>
          <w:sz w:val="24"/>
          <w:szCs w:val="24"/>
        </w:rPr>
        <w:t xml:space="preserve">8.  Describe efforts to consult with persons outside the agency. </w:t>
      </w:r>
    </w:p>
    <w:p w:rsidR="005F2D61" w:rsidRDefault="005F2D61" w14:paraId="00000029" w14:textId="77777777">
      <w:pPr>
        <w:rPr>
          <w:b/>
          <w:sz w:val="24"/>
          <w:szCs w:val="24"/>
        </w:rPr>
      </w:pPr>
    </w:p>
    <w:p w:rsidR="005F2D61" w:rsidRDefault="00C80795" w14:paraId="0000002A" w14:textId="77777777">
      <w:pPr>
        <w:rPr>
          <w:sz w:val="24"/>
          <w:szCs w:val="24"/>
        </w:rPr>
      </w:pPr>
      <w:r>
        <w:rPr>
          <w:color w:val="0E101A"/>
          <w:sz w:val="24"/>
          <w:szCs w:val="24"/>
        </w:rPr>
        <w:t xml:space="preserve">A 60-day notice will be published in the </w:t>
      </w:r>
      <w:r>
        <w:rPr>
          <w:i/>
          <w:color w:val="0E101A"/>
          <w:sz w:val="24"/>
          <w:szCs w:val="24"/>
        </w:rPr>
        <w:t>Federal Register</w:t>
      </w:r>
      <w:r>
        <w:rPr>
          <w:color w:val="0E101A"/>
          <w:sz w:val="24"/>
          <w:szCs w:val="24"/>
        </w:rPr>
        <w:t xml:space="preserve"> to provide for comments. Additionally, a second 30-day notice will be published in the </w:t>
      </w:r>
      <w:r>
        <w:rPr>
          <w:i/>
          <w:color w:val="0E101A"/>
          <w:sz w:val="24"/>
          <w:szCs w:val="24"/>
        </w:rPr>
        <w:t>Federal Register</w:t>
      </w:r>
      <w:r>
        <w:rPr>
          <w:color w:val="0E101A"/>
          <w:sz w:val="24"/>
          <w:szCs w:val="24"/>
        </w:rPr>
        <w:t xml:space="preserve"> to provide for additional comments.</w:t>
      </w:r>
    </w:p>
    <w:p w:rsidR="005F2D61" w:rsidRDefault="005F2D61" w14:paraId="0000002B" w14:textId="77777777">
      <w:pPr>
        <w:rPr>
          <w:sz w:val="24"/>
          <w:szCs w:val="24"/>
        </w:rPr>
      </w:pPr>
    </w:p>
    <w:p w:rsidR="005F2D61" w:rsidRDefault="00C80795" w14:paraId="0000002C" w14:textId="77777777">
      <w:pPr>
        <w:rPr>
          <w:sz w:val="24"/>
          <w:szCs w:val="24"/>
        </w:rPr>
      </w:pPr>
      <w:r>
        <w:rPr>
          <w:b/>
          <w:sz w:val="24"/>
          <w:szCs w:val="24"/>
        </w:rPr>
        <w:t>9.  Explain any decision to provide any payment or gift to respondents, other than remuneration of contractors or grantees.</w:t>
      </w:r>
      <w:r>
        <w:rPr>
          <w:sz w:val="24"/>
          <w:szCs w:val="24"/>
        </w:rPr>
        <w:t xml:space="preserve">  </w:t>
      </w:r>
    </w:p>
    <w:p w:rsidR="005F2D61" w:rsidRDefault="005F2D61" w14:paraId="0000002D" w14:textId="77777777">
      <w:pPr>
        <w:rPr>
          <w:sz w:val="24"/>
          <w:szCs w:val="24"/>
        </w:rPr>
      </w:pPr>
    </w:p>
    <w:p w:rsidR="005F2D61" w:rsidRDefault="00C80795" w14:paraId="0000002E" w14:textId="77777777">
      <w:pPr>
        <w:rPr>
          <w:sz w:val="24"/>
          <w:szCs w:val="24"/>
        </w:rPr>
      </w:pPr>
      <w:r>
        <w:rPr>
          <w:sz w:val="24"/>
          <w:szCs w:val="24"/>
        </w:rPr>
        <w:t>There will be no payment or gift to respondents, other than remuneration of contractors.</w:t>
      </w:r>
    </w:p>
    <w:p w:rsidR="005F2D61" w:rsidRDefault="005F2D61" w14:paraId="0000002F" w14:textId="77777777">
      <w:pPr>
        <w:rPr>
          <w:sz w:val="24"/>
          <w:szCs w:val="24"/>
        </w:rPr>
      </w:pPr>
    </w:p>
    <w:p w:rsidR="005F2D61" w:rsidRDefault="00C80795" w14:paraId="00000030" w14:textId="77777777">
      <w:pPr>
        <w:tabs>
          <w:tab w:val="left" w:pos="270"/>
        </w:tabs>
        <w:rPr>
          <w:sz w:val="24"/>
          <w:szCs w:val="24"/>
        </w:rPr>
      </w:pPr>
      <w:r>
        <w:rPr>
          <w:b/>
          <w:sz w:val="24"/>
          <w:szCs w:val="24"/>
        </w:rPr>
        <w:t>10.  Describe any assurance of confidentiality provided to respondents and the basis for assurance in statute, regulation, or agency policy.</w:t>
      </w:r>
      <w:r>
        <w:rPr>
          <w:sz w:val="24"/>
          <w:szCs w:val="24"/>
        </w:rPr>
        <w:t xml:space="preserve">  </w:t>
      </w:r>
    </w:p>
    <w:p w:rsidR="005F2D61" w:rsidRDefault="005F2D61" w14:paraId="00000031" w14:textId="77777777">
      <w:pPr>
        <w:rPr>
          <w:sz w:val="24"/>
          <w:szCs w:val="24"/>
        </w:rPr>
      </w:pPr>
    </w:p>
    <w:p w:rsidR="005F2D61" w:rsidRDefault="00C80795" w14:paraId="00000032" w14:textId="77777777">
      <w:pPr>
        <w:tabs>
          <w:tab w:val="left" w:pos="270"/>
        </w:tabs>
        <w:rPr>
          <w:sz w:val="24"/>
          <w:szCs w:val="24"/>
        </w:rPr>
      </w:pPr>
      <w:r>
        <w:rPr>
          <w:sz w:val="24"/>
          <w:szCs w:val="24"/>
        </w:rPr>
        <w:t>This information is disclosed only to the extent consistent with prudent business practices, current regulations, and in accordance with the requirements of the Freedom of Information Act.</w:t>
      </w:r>
    </w:p>
    <w:p w:rsidR="005F2D61" w:rsidRDefault="005F2D61" w14:paraId="00000033" w14:textId="77777777">
      <w:pPr>
        <w:rPr>
          <w:sz w:val="24"/>
          <w:szCs w:val="24"/>
        </w:rPr>
      </w:pPr>
    </w:p>
    <w:p w:rsidR="005F2D61" w:rsidRDefault="005F2D61" w14:paraId="00000034" w14:textId="77777777">
      <w:pPr>
        <w:rPr>
          <w:b/>
          <w:sz w:val="24"/>
          <w:szCs w:val="24"/>
        </w:rPr>
      </w:pPr>
    </w:p>
    <w:p w:rsidR="005F2D61" w:rsidRDefault="005F2D61" w14:paraId="00000035" w14:textId="77777777">
      <w:pPr>
        <w:rPr>
          <w:b/>
          <w:sz w:val="24"/>
          <w:szCs w:val="24"/>
        </w:rPr>
      </w:pPr>
    </w:p>
    <w:p w:rsidR="005F2D61" w:rsidRDefault="005F2D61" w14:paraId="00000036" w14:textId="77777777">
      <w:pPr>
        <w:rPr>
          <w:b/>
          <w:sz w:val="24"/>
          <w:szCs w:val="24"/>
        </w:rPr>
      </w:pPr>
    </w:p>
    <w:p w:rsidR="005F2D61" w:rsidRDefault="00C80795" w14:paraId="00000037" w14:textId="77777777">
      <w:pPr>
        <w:rPr>
          <w:b/>
          <w:sz w:val="24"/>
          <w:szCs w:val="24"/>
        </w:rPr>
      </w:pPr>
      <w:r>
        <w:rPr>
          <w:b/>
          <w:sz w:val="24"/>
          <w:szCs w:val="24"/>
        </w:rPr>
        <w:lastRenderedPageBreak/>
        <w:t xml:space="preserve">11.  Provide additional justification for any questions of a sensitive nature, such as sexual behavior and attitudes, religious beliefs, and other matters that are commonly considered private. </w:t>
      </w:r>
    </w:p>
    <w:p w:rsidR="005F2D61" w:rsidRDefault="005F2D61" w14:paraId="00000038" w14:textId="77777777">
      <w:pPr>
        <w:rPr>
          <w:sz w:val="24"/>
          <w:szCs w:val="24"/>
        </w:rPr>
      </w:pPr>
    </w:p>
    <w:p w:rsidR="005F2D61" w:rsidRDefault="00C80795" w14:paraId="00000039" w14:textId="77777777">
      <w:pPr>
        <w:rPr>
          <w:sz w:val="24"/>
          <w:szCs w:val="24"/>
        </w:rPr>
      </w:pPr>
      <w:r>
        <w:rPr>
          <w:sz w:val="24"/>
          <w:szCs w:val="24"/>
        </w:rPr>
        <w:t xml:space="preserve">No sensitive questions are involved. </w:t>
      </w:r>
    </w:p>
    <w:p w:rsidR="005F2D61" w:rsidRDefault="005F2D61" w14:paraId="0000003A" w14:textId="77777777">
      <w:pPr>
        <w:rPr>
          <w:sz w:val="24"/>
          <w:szCs w:val="24"/>
        </w:rPr>
      </w:pPr>
    </w:p>
    <w:p w:rsidR="005F2D61" w:rsidRDefault="00C80795" w14:paraId="0000003B" w14:textId="77777777">
      <w:pPr>
        <w:rPr>
          <w:b/>
          <w:sz w:val="24"/>
          <w:szCs w:val="24"/>
        </w:rPr>
      </w:pPr>
      <w:r>
        <w:rPr>
          <w:b/>
          <w:sz w:val="24"/>
          <w:szCs w:val="24"/>
        </w:rPr>
        <w:t xml:space="preserve">12.  Provide estimates of the hour burden of the collection of information.  </w:t>
      </w:r>
    </w:p>
    <w:p w:rsidR="005F2D61" w:rsidRDefault="005F2D61" w14:paraId="0000003C" w14:textId="77777777">
      <w:pPr>
        <w:rPr>
          <w:sz w:val="24"/>
          <w:szCs w:val="24"/>
        </w:rPr>
      </w:pPr>
    </w:p>
    <w:p w:rsidR="005F2D61" w:rsidRDefault="00C80795" w14:paraId="0000003D" w14:textId="77777777">
      <w:pPr>
        <w:rPr>
          <w:sz w:val="24"/>
          <w:szCs w:val="24"/>
        </w:rPr>
      </w:pPr>
      <w:r>
        <w:rPr>
          <w:sz w:val="24"/>
          <w:szCs w:val="24"/>
        </w:rPr>
        <w:t>Public burden for this collection of information through GSAR 552.270-33 is estimated based on the time to comply with the representation; reviewing instructions, searching existing data sources, gathering and maintaining the data needed, and completing the information.</w:t>
      </w:r>
    </w:p>
    <w:p w:rsidR="005F2D61" w:rsidRDefault="005F2D61" w14:paraId="0000003E" w14:textId="77777777">
      <w:pPr>
        <w:rPr>
          <w:sz w:val="24"/>
          <w:szCs w:val="24"/>
        </w:rPr>
      </w:pPr>
    </w:p>
    <w:p w:rsidR="005F2D61" w:rsidRDefault="00C80795" w14:paraId="0000003F" w14:textId="77777777">
      <w:pPr>
        <w:rPr>
          <w:rFonts w:ascii="Courier New" w:hAnsi="Courier New" w:eastAsia="Courier New" w:cs="Courier New"/>
          <w:color w:val="333333"/>
          <w:sz w:val="24"/>
          <w:szCs w:val="24"/>
        </w:rPr>
      </w:pPr>
      <w:r>
        <w:rPr>
          <w:sz w:val="24"/>
          <w:szCs w:val="24"/>
        </w:rPr>
        <w:t>GSA estimates that approximately 542 lessors will need to complete GSAR 552.270-33 each year.</w:t>
      </w:r>
      <w:r>
        <w:rPr>
          <w:sz w:val="24"/>
          <w:szCs w:val="24"/>
        </w:rPr>
        <w:br/>
      </w:r>
    </w:p>
    <w:tbl>
      <w:tblPr>
        <w:tblStyle w:val="a"/>
        <w:tblW w:w="89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950"/>
        <w:gridCol w:w="2430"/>
        <w:gridCol w:w="2610"/>
      </w:tblGrid>
      <w:tr w:rsidR="005F2D61" w:rsidTr="004F38FA" w14:paraId="1B905DBD" w14:textId="77777777">
        <w:trPr>
          <w:trHeight w:val="202"/>
        </w:trPr>
        <w:tc>
          <w:tcPr>
            <w:tcW w:w="3950" w:type="dxa"/>
            <w:shd w:val="clear" w:color="auto" w:fill="auto"/>
            <w:tcMar>
              <w:top w:w="100" w:type="dxa"/>
              <w:left w:w="100" w:type="dxa"/>
              <w:bottom w:w="100" w:type="dxa"/>
              <w:right w:w="100" w:type="dxa"/>
            </w:tcMar>
          </w:tcPr>
          <w:p w:rsidR="005F2D61" w:rsidRDefault="00C80795" w14:paraId="00000040" w14:textId="77777777">
            <w:pPr>
              <w:widowControl w:val="0"/>
              <w:jc w:val="right"/>
              <w:rPr>
                <w:color w:val="333333"/>
              </w:rPr>
            </w:pPr>
            <w:r>
              <w:rPr>
                <w:color w:val="333333"/>
              </w:rPr>
              <w:t>New Procurements (6 percent HS)</w:t>
            </w:r>
          </w:p>
        </w:tc>
        <w:tc>
          <w:tcPr>
            <w:tcW w:w="2430" w:type="dxa"/>
            <w:shd w:val="clear" w:color="auto" w:fill="auto"/>
            <w:tcMar>
              <w:top w:w="100" w:type="dxa"/>
              <w:left w:w="100" w:type="dxa"/>
              <w:bottom w:w="100" w:type="dxa"/>
              <w:right w:w="100" w:type="dxa"/>
            </w:tcMar>
          </w:tcPr>
          <w:p w:rsidR="005F2D61" w:rsidRDefault="00C80795" w14:paraId="00000041" w14:textId="77777777">
            <w:pPr>
              <w:widowControl w:val="0"/>
              <w:jc w:val="center"/>
              <w:rPr>
                <w:color w:val="333333"/>
              </w:rPr>
            </w:pPr>
            <w:r>
              <w:rPr>
                <w:color w:val="333333"/>
              </w:rPr>
              <w:t>76</w:t>
            </w:r>
          </w:p>
        </w:tc>
        <w:tc>
          <w:tcPr>
            <w:tcW w:w="2610" w:type="dxa"/>
            <w:shd w:val="clear" w:color="auto" w:fill="auto"/>
            <w:tcMar>
              <w:top w:w="100" w:type="dxa"/>
              <w:left w:w="100" w:type="dxa"/>
              <w:bottom w:w="100" w:type="dxa"/>
              <w:right w:w="100" w:type="dxa"/>
            </w:tcMar>
          </w:tcPr>
          <w:p w:rsidR="005F2D61" w:rsidRDefault="00C80795" w14:paraId="00000042" w14:textId="77777777">
            <w:pPr>
              <w:widowControl w:val="0"/>
              <w:jc w:val="center"/>
              <w:rPr>
                <w:color w:val="333333"/>
              </w:rPr>
            </w:pPr>
            <w:r>
              <w:rPr>
                <w:color w:val="333333"/>
              </w:rPr>
              <w:t>12</w:t>
            </w:r>
          </w:p>
        </w:tc>
      </w:tr>
      <w:tr w:rsidR="005F2D61" w:rsidTr="004F38FA" w14:paraId="0C68E46B" w14:textId="77777777">
        <w:trPr>
          <w:trHeight w:val="202"/>
        </w:trPr>
        <w:tc>
          <w:tcPr>
            <w:tcW w:w="3950" w:type="dxa"/>
            <w:shd w:val="clear" w:color="auto" w:fill="auto"/>
            <w:tcMar>
              <w:top w:w="100" w:type="dxa"/>
              <w:left w:w="100" w:type="dxa"/>
              <w:bottom w:w="100" w:type="dxa"/>
              <w:right w:w="100" w:type="dxa"/>
            </w:tcMar>
          </w:tcPr>
          <w:p w:rsidR="005F2D61" w:rsidRDefault="00C80795" w14:paraId="00000043" w14:textId="77777777">
            <w:pPr>
              <w:widowControl w:val="0"/>
              <w:rPr>
                <w:color w:val="333333"/>
              </w:rPr>
            </w:pPr>
            <w:r>
              <w:rPr>
                <w:color w:val="333333"/>
              </w:rPr>
              <w:t>New Offers (x3)</w:t>
            </w:r>
          </w:p>
        </w:tc>
        <w:tc>
          <w:tcPr>
            <w:tcW w:w="2430" w:type="dxa"/>
            <w:shd w:val="clear" w:color="auto" w:fill="auto"/>
            <w:tcMar>
              <w:top w:w="100" w:type="dxa"/>
              <w:left w:w="100" w:type="dxa"/>
              <w:bottom w:w="100" w:type="dxa"/>
              <w:right w:w="100" w:type="dxa"/>
            </w:tcMar>
          </w:tcPr>
          <w:p w:rsidR="005F2D61" w:rsidRDefault="00C80795" w14:paraId="00000044" w14:textId="77777777">
            <w:pPr>
              <w:widowControl w:val="0"/>
              <w:jc w:val="center"/>
              <w:rPr>
                <w:color w:val="333333"/>
              </w:rPr>
            </w:pPr>
            <w:r>
              <w:rPr>
                <w:color w:val="333333"/>
              </w:rPr>
              <w:t>228</w:t>
            </w:r>
          </w:p>
        </w:tc>
        <w:tc>
          <w:tcPr>
            <w:tcW w:w="2610" w:type="dxa"/>
            <w:shd w:val="clear" w:color="auto" w:fill="auto"/>
            <w:tcMar>
              <w:top w:w="100" w:type="dxa"/>
              <w:left w:w="100" w:type="dxa"/>
              <w:bottom w:w="100" w:type="dxa"/>
              <w:right w:w="100" w:type="dxa"/>
            </w:tcMar>
          </w:tcPr>
          <w:p w:rsidR="005F2D61" w:rsidRDefault="00C80795" w14:paraId="00000045" w14:textId="77777777">
            <w:pPr>
              <w:widowControl w:val="0"/>
              <w:jc w:val="center"/>
              <w:rPr>
                <w:color w:val="333333"/>
              </w:rPr>
            </w:pPr>
            <w:r>
              <w:rPr>
                <w:color w:val="333333"/>
              </w:rPr>
              <w:t>36</w:t>
            </w:r>
          </w:p>
        </w:tc>
      </w:tr>
      <w:tr w:rsidR="005F2D61" w:rsidTr="004F38FA" w14:paraId="2F0F9EA9" w14:textId="77777777">
        <w:trPr>
          <w:trHeight w:val="202"/>
        </w:trPr>
        <w:tc>
          <w:tcPr>
            <w:tcW w:w="3950" w:type="dxa"/>
            <w:shd w:val="clear" w:color="auto" w:fill="auto"/>
            <w:tcMar>
              <w:top w:w="100" w:type="dxa"/>
              <w:left w:w="100" w:type="dxa"/>
              <w:bottom w:w="100" w:type="dxa"/>
              <w:right w:w="100" w:type="dxa"/>
            </w:tcMar>
          </w:tcPr>
          <w:p w:rsidR="005F2D61" w:rsidRDefault="00C80795" w14:paraId="00000046" w14:textId="77777777">
            <w:pPr>
              <w:widowControl w:val="0"/>
              <w:jc w:val="right"/>
              <w:rPr>
                <w:color w:val="333333"/>
              </w:rPr>
            </w:pPr>
            <w:r>
              <w:rPr>
                <w:color w:val="333333"/>
              </w:rPr>
              <w:t>Total New Responses</w:t>
            </w:r>
          </w:p>
        </w:tc>
        <w:tc>
          <w:tcPr>
            <w:tcW w:w="2430" w:type="dxa"/>
            <w:shd w:val="clear" w:color="auto" w:fill="auto"/>
            <w:tcMar>
              <w:top w:w="100" w:type="dxa"/>
              <w:left w:w="100" w:type="dxa"/>
              <w:bottom w:w="100" w:type="dxa"/>
              <w:right w:w="100" w:type="dxa"/>
            </w:tcMar>
          </w:tcPr>
          <w:p w:rsidR="005F2D61" w:rsidRDefault="00C80795" w14:paraId="00000047" w14:textId="77777777">
            <w:pPr>
              <w:widowControl w:val="0"/>
              <w:jc w:val="center"/>
              <w:rPr>
                <w:color w:val="333333"/>
              </w:rPr>
            </w:pPr>
            <w:r>
              <w:rPr>
                <w:color w:val="333333"/>
              </w:rPr>
              <w:t>228</w:t>
            </w:r>
          </w:p>
        </w:tc>
        <w:tc>
          <w:tcPr>
            <w:tcW w:w="2610" w:type="dxa"/>
            <w:shd w:val="clear" w:color="auto" w:fill="auto"/>
            <w:tcMar>
              <w:top w:w="100" w:type="dxa"/>
              <w:left w:w="100" w:type="dxa"/>
              <w:bottom w:w="100" w:type="dxa"/>
              <w:right w:w="100" w:type="dxa"/>
            </w:tcMar>
          </w:tcPr>
          <w:p w:rsidR="005F2D61" w:rsidRDefault="00C80795" w14:paraId="00000048" w14:textId="77777777">
            <w:pPr>
              <w:widowControl w:val="0"/>
              <w:jc w:val="center"/>
              <w:rPr>
                <w:color w:val="333333"/>
              </w:rPr>
            </w:pPr>
            <w:r>
              <w:rPr>
                <w:color w:val="333333"/>
              </w:rPr>
              <w:t>36</w:t>
            </w:r>
          </w:p>
        </w:tc>
      </w:tr>
      <w:tr w:rsidR="005F2D61" w:rsidTr="004F38FA" w14:paraId="05467F4E" w14:textId="77777777">
        <w:trPr>
          <w:trHeight w:val="202"/>
        </w:trPr>
        <w:tc>
          <w:tcPr>
            <w:tcW w:w="3950" w:type="dxa"/>
            <w:shd w:val="clear" w:color="auto" w:fill="auto"/>
            <w:tcMar>
              <w:top w:w="100" w:type="dxa"/>
              <w:left w:w="100" w:type="dxa"/>
              <w:bottom w:w="100" w:type="dxa"/>
              <w:right w:w="100" w:type="dxa"/>
            </w:tcMar>
          </w:tcPr>
          <w:p w:rsidR="005F2D61" w:rsidRDefault="00C80795" w14:paraId="00000049" w14:textId="77777777">
            <w:pPr>
              <w:widowControl w:val="0"/>
              <w:rPr>
                <w:color w:val="333333"/>
              </w:rPr>
            </w:pPr>
            <w:r>
              <w:rPr>
                <w:color w:val="333333"/>
              </w:rPr>
              <w:t>Renewals (17 percent HS)</w:t>
            </w:r>
          </w:p>
        </w:tc>
        <w:tc>
          <w:tcPr>
            <w:tcW w:w="2430" w:type="dxa"/>
            <w:shd w:val="clear" w:color="auto" w:fill="auto"/>
            <w:tcMar>
              <w:top w:w="100" w:type="dxa"/>
              <w:left w:w="100" w:type="dxa"/>
              <w:bottom w:w="100" w:type="dxa"/>
              <w:right w:w="100" w:type="dxa"/>
            </w:tcMar>
          </w:tcPr>
          <w:p w:rsidR="005F2D61" w:rsidRDefault="00C80795" w14:paraId="0000004A" w14:textId="77777777">
            <w:pPr>
              <w:widowControl w:val="0"/>
              <w:jc w:val="center"/>
              <w:rPr>
                <w:color w:val="333333"/>
              </w:rPr>
            </w:pPr>
            <w:r>
              <w:rPr>
                <w:color w:val="333333"/>
              </w:rPr>
              <w:t>31</w:t>
            </w:r>
          </w:p>
        </w:tc>
        <w:tc>
          <w:tcPr>
            <w:tcW w:w="2610" w:type="dxa"/>
            <w:shd w:val="clear" w:color="auto" w:fill="auto"/>
            <w:tcMar>
              <w:top w:w="100" w:type="dxa"/>
              <w:left w:w="100" w:type="dxa"/>
              <w:bottom w:w="100" w:type="dxa"/>
              <w:right w:w="100" w:type="dxa"/>
            </w:tcMar>
          </w:tcPr>
          <w:p w:rsidR="005F2D61" w:rsidRDefault="00C80795" w14:paraId="0000004B" w14:textId="77777777">
            <w:pPr>
              <w:widowControl w:val="0"/>
              <w:jc w:val="center"/>
              <w:rPr>
                <w:color w:val="333333"/>
              </w:rPr>
            </w:pPr>
            <w:r>
              <w:rPr>
                <w:color w:val="333333"/>
              </w:rPr>
              <w:t>35</w:t>
            </w:r>
          </w:p>
        </w:tc>
      </w:tr>
      <w:tr w:rsidR="005F2D61" w:rsidTr="004F38FA" w14:paraId="7C8E98DE" w14:textId="77777777">
        <w:trPr>
          <w:trHeight w:val="202"/>
        </w:trPr>
        <w:tc>
          <w:tcPr>
            <w:tcW w:w="3950" w:type="dxa"/>
            <w:shd w:val="clear" w:color="auto" w:fill="auto"/>
            <w:tcMar>
              <w:top w:w="100" w:type="dxa"/>
              <w:left w:w="100" w:type="dxa"/>
              <w:bottom w:w="100" w:type="dxa"/>
              <w:right w:w="100" w:type="dxa"/>
            </w:tcMar>
          </w:tcPr>
          <w:p w:rsidR="005F2D61" w:rsidRDefault="00C80795" w14:paraId="0000004C" w14:textId="77777777">
            <w:pPr>
              <w:widowControl w:val="0"/>
              <w:rPr>
                <w:color w:val="333333"/>
              </w:rPr>
            </w:pPr>
            <w:r>
              <w:rPr>
                <w:color w:val="333333"/>
              </w:rPr>
              <w:t>Extensions (17 percent HS)</w:t>
            </w:r>
          </w:p>
        </w:tc>
        <w:tc>
          <w:tcPr>
            <w:tcW w:w="2430" w:type="dxa"/>
            <w:shd w:val="clear" w:color="auto" w:fill="auto"/>
            <w:tcMar>
              <w:top w:w="100" w:type="dxa"/>
              <w:left w:w="100" w:type="dxa"/>
              <w:bottom w:w="100" w:type="dxa"/>
              <w:right w:w="100" w:type="dxa"/>
            </w:tcMar>
          </w:tcPr>
          <w:p w:rsidR="005F2D61" w:rsidRDefault="00C80795" w14:paraId="0000004D" w14:textId="77777777">
            <w:pPr>
              <w:widowControl w:val="0"/>
              <w:jc w:val="center"/>
              <w:rPr>
                <w:color w:val="333333"/>
              </w:rPr>
            </w:pPr>
            <w:r>
              <w:rPr>
                <w:color w:val="333333"/>
              </w:rPr>
              <w:t>106</w:t>
            </w:r>
          </w:p>
        </w:tc>
        <w:tc>
          <w:tcPr>
            <w:tcW w:w="2610" w:type="dxa"/>
            <w:shd w:val="clear" w:color="auto" w:fill="auto"/>
            <w:tcMar>
              <w:top w:w="100" w:type="dxa"/>
              <w:left w:w="100" w:type="dxa"/>
              <w:bottom w:w="100" w:type="dxa"/>
              <w:right w:w="100" w:type="dxa"/>
            </w:tcMar>
          </w:tcPr>
          <w:p w:rsidR="005F2D61" w:rsidRDefault="00C80795" w14:paraId="0000004E" w14:textId="77777777">
            <w:pPr>
              <w:widowControl w:val="0"/>
              <w:jc w:val="center"/>
              <w:rPr>
                <w:color w:val="333333"/>
              </w:rPr>
            </w:pPr>
            <w:r>
              <w:rPr>
                <w:color w:val="333333"/>
              </w:rPr>
              <w:t>35</w:t>
            </w:r>
          </w:p>
        </w:tc>
      </w:tr>
      <w:tr w:rsidR="005F2D61" w:rsidTr="004F38FA" w14:paraId="058B6C12" w14:textId="77777777">
        <w:trPr>
          <w:trHeight w:val="202"/>
        </w:trPr>
        <w:tc>
          <w:tcPr>
            <w:tcW w:w="3950" w:type="dxa"/>
            <w:shd w:val="clear" w:color="auto" w:fill="auto"/>
            <w:tcMar>
              <w:top w:w="100" w:type="dxa"/>
              <w:left w:w="100" w:type="dxa"/>
              <w:bottom w:w="100" w:type="dxa"/>
              <w:right w:w="100" w:type="dxa"/>
            </w:tcMar>
          </w:tcPr>
          <w:p w:rsidR="005F2D61" w:rsidRDefault="00C80795" w14:paraId="0000004F" w14:textId="77777777">
            <w:pPr>
              <w:widowControl w:val="0"/>
              <w:rPr>
                <w:color w:val="333333"/>
              </w:rPr>
            </w:pPr>
            <w:r>
              <w:rPr>
                <w:color w:val="333333"/>
              </w:rPr>
              <w:t xml:space="preserve">Novations (5 percent Leases) </w:t>
            </w:r>
          </w:p>
        </w:tc>
        <w:tc>
          <w:tcPr>
            <w:tcW w:w="2430" w:type="dxa"/>
            <w:shd w:val="clear" w:color="auto" w:fill="auto"/>
            <w:tcMar>
              <w:top w:w="100" w:type="dxa"/>
              <w:left w:w="100" w:type="dxa"/>
              <w:bottom w:w="100" w:type="dxa"/>
              <w:right w:w="100" w:type="dxa"/>
            </w:tcMar>
          </w:tcPr>
          <w:p w:rsidR="005F2D61" w:rsidRDefault="00C80795" w14:paraId="00000050" w14:textId="77777777">
            <w:pPr>
              <w:widowControl w:val="0"/>
              <w:jc w:val="center"/>
              <w:rPr>
                <w:color w:val="333333"/>
              </w:rPr>
            </w:pPr>
            <w:r>
              <w:rPr>
                <w:color w:val="333333"/>
              </w:rPr>
              <w:t>380</w:t>
            </w:r>
          </w:p>
        </w:tc>
        <w:tc>
          <w:tcPr>
            <w:tcW w:w="2610" w:type="dxa"/>
            <w:shd w:val="clear" w:color="auto" w:fill="auto"/>
            <w:tcMar>
              <w:top w:w="100" w:type="dxa"/>
              <w:left w:w="100" w:type="dxa"/>
              <w:bottom w:w="100" w:type="dxa"/>
              <w:right w:w="100" w:type="dxa"/>
            </w:tcMar>
          </w:tcPr>
          <w:p w:rsidR="005F2D61" w:rsidRDefault="00C80795" w14:paraId="00000051" w14:textId="77777777">
            <w:pPr>
              <w:widowControl w:val="0"/>
              <w:jc w:val="center"/>
              <w:rPr>
                <w:color w:val="333333"/>
              </w:rPr>
            </w:pPr>
            <w:r>
              <w:rPr>
                <w:color w:val="333333"/>
              </w:rPr>
              <w:t xml:space="preserve">65 </w:t>
            </w:r>
          </w:p>
        </w:tc>
      </w:tr>
      <w:tr w:rsidR="005F2D61" w:rsidTr="004F38FA" w14:paraId="50BDA5E9" w14:textId="77777777">
        <w:trPr>
          <w:trHeight w:val="202"/>
        </w:trPr>
        <w:tc>
          <w:tcPr>
            <w:tcW w:w="3950" w:type="dxa"/>
            <w:shd w:val="clear" w:color="auto" w:fill="auto"/>
            <w:tcMar>
              <w:top w:w="100" w:type="dxa"/>
              <w:left w:w="100" w:type="dxa"/>
              <w:bottom w:w="100" w:type="dxa"/>
              <w:right w:w="100" w:type="dxa"/>
            </w:tcMar>
          </w:tcPr>
          <w:p w:rsidR="005F2D61" w:rsidRDefault="00C80795" w14:paraId="00000052" w14:textId="77777777">
            <w:pPr>
              <w:widowControl w:val="0"/>
              <w:rPr>
                <w:color w:val="333333"/>
              </w:rPr>
            </w:pPr>
            <w:r>
              <w:rPr>
                <w:color w:val="333333"/>
              </w:rPr>
              <w:t>High-Security Space Novations (16 percent)</w:t>
            </w:r>
          </w:p>
        </w:tc>
        <w:tc>
          <w:tcPr>
            <w:tcW w:w="2430" w:type="dxa"/>
            <w:shd w:val="clear" w:color="auto" w:fill="auto"/>
            <w:tcMar>
              <w:top w:w="100" w:type="dxa"/>
              <w:left w:w="100" w:type="dxa"/>
              <w:bottom w:w="100" w:type="dxa"/>
              <w:right w:w="100" w:type="dxa"/>
            </w:tcMar>
          </w:tcPr>
          <w:p w:rsidR="005F2D61" w:rsidRDefault="00C80795" w14:paraId="00000053" w14:textId="77777777">
            <w:pPr>
              <w:widowControl w:val="0"/>
              <w:jc w:val="center"/>
              <w:rPr>
                <w:color w:val="333333"/>
              </w:rPr>
            </w:pPr>
            <w:r>
              <w:rPr>
                <w:color w:val="333333"/>
              </w:rPr>
              <w:t>61</w:t>
            </w:r>
          </w:p>
        </w:tc>
        <w:tc>
          <w:tcPr>
            <w:tcW w:w="2610" w:type="dxa"/>
            <w:shd w:val="clear" w:color="auto" w:fill="auto"/>
            <w:tcMar>
              <w:top w:w="100" w:type="dxa"/>
              <w:left w:w="100" w:type="dxa"/>
              <w:bottom w:w="100" w:type="dxa"/>
              <w:right w:w="100" w:type="dxa"/>
            </w:tcMar>
          </w:tcPr>
          <w:p w:rsidR="005F2D61" w:rsidRDefault="00C80795" w14:paraId="00000054" w14:textId="77777777">
            <w:pPr>
              <w:widowControl w:val="0"/>
              <w:jc w:val="center"/>
              <w:rPr>
                <w:color w:val="333333"/>
              </w:rPr>
            </w:pPr>
            <w:r>
              <w:rPr>
                <w:color w:val="333333"/>
              </w:rPr>
              <w:t>10</w:t>
            </w:r>
          </w:p>
        </w:tc>
      </w:tr>
      <w:tr w:rsidR="005F2D61" w:rsidTr="004F38FA" w14:paraId="1692BE67" w14:textId="77777777">
        <w:trPr>
          <w:trHeight w:val="202"/>
        </w:trPr>
        <w:tc>
          <w:tcPr>
            <w:tcW w:w="3950" w:type="dxa"/>
            <w:shd w:val="clear" w:color="auto" w:fill="auto"/>
            <w:tcMar>
              <w:top w:w="100" w:type="dxa"/>
              <w:left w:w="100" w:type="dxa"/>
              <w:bottom w:w="100" w:type="dxa"/>
              <w:right w:w="100" w:type="dxa"/>
            </w:tcMar>
          </w:tcPr>
          <w:p w:rsidR="005F2D61" w:rsidRDefault="00C80795" w14:paraId="00000055" w14:textId="77777777">
            <w:pPr>
              <w:widowControl w:val="0"/>
              <w:jc w:val="right"/>
              <w:rPr>
                <w:color w:val="333333"/>
              </w:rPr>
            </w:pPr>
            <w:r>
              <w:rPr>
                <w:color w:val="333333"/>
              </w:rPr>
              <w:t>Total HS Novations</w:t>
            </w:r>
          </w:p>
        </w:tc>
        <w:tc>
          <w:tcPr>
            <w:tcW w:w="2430" w:type="dxa"/>
            <w:shd w:val="clear" w:color="auto" w:fill="auto"/>
            <w:tcMar>
              <w:top w:w="100" w:type="dxa"/>
              <w:left w:w="100" w:type="dxa"/>
              <w:bottom w:w="100" w:type="dxa"/>
              <w:right w:w="100" w:type="dxa"/>
            </w:tcMar>
          </w:tcPr>
          <w:p w:rsidR="005F2D61" w:rsidRDefault="00C80795" w14:paraId="00000056" w14:textId="77777777">
            <w:pPr>
              <w:widowControl w:val="0"/>
              <w:jc w:val="center"/>
              <w:rPr>
                <w:color w:val="333333"/>
              </w:rPr>
            </w:pPr>
            <w:r>
              <w:rPr>
                <w:color w:val="333333"/>
              </w:rPr>
              <w:t>61</w:t>
            </w:r>
          </w:p>
        </w:tc>
        <w:tc>
          <w:tcPr>
            <w:tcW w:w="2610" w:type="dxa"/>
            <w:shd w:val="clear" w:color="auto" w:fill="auto"/>
            <w:tcMar>
              <w:top w:w="100" w:type="dxa"/>
              <w:left w:w="100" w:type="dxa"/>
              <w:bottom w:w="100" w:type="dxa"/>
              <w:right w:w="100" w:type="dxa"/>
            </w:tcMar>
          </w:tcPr>
          <w:p w:rsidR="005F2D61" w:rsidRDefault="00C80795" w14:paraId="00000057" w14:textId="77777777">
            <w:pPr>
              <w:widowControl w:val="0"/>
              <w:jc w:val="center"/>
              <w:rPr>
                <w:color w:val="333333"/>
              </w:rPr>
            </w:pPr>
            <w:r>
              <w:rPr>
                <w:color w:val="333333"/>
              </w:rPr>
              <w:t>10</w:t>
            </w:r>
          </w:p>
        </w:tc>
      </w:tr>
      <w:tr w:rsidR="005F2D61" w:rsidTr="004F38FA" w14:paraId="169F3855" w14:textId="77777777">
        <w:trPr>
          <w:trHeight w:val="202"/>
        </w:trPr>
        <w:tc>
          <w:tcPr>
            <w:tcW w:w="3950" w:type="dxa"/>
            <w:shd w:val="clear" w:color="auto" w:fill="D9D9D9"/>
            <w:tcMar>
              <w:top w:w="100" w:type="dxa"/>
              <w:left w:w="100" w:type="dxa"/>
              <w:bottom w:w="100" w:type="dxa"/>
              <w:right w:w="100" w:type="dxa"/>
            </w:tcMar>
          </w:tcPr>
          <w:p w:rsidR="005F2D61" w:rsidRDefault="00C80795" w14:paraId="00000058" w14:textId="77777777">
            <w:pPr>
              <w:widowControl w:val="0"/>
              <w:jc w:val="right"/>
              <w:rPr>
                <w:b/>
                <w:color w:val="333333"/>
              </w:rPr>
            </w:pPr>
            <w:r>
              <w:rPr>
                <w:b/>
                <w:color w:val="333333"/>
              </w:rPr>
              <w:t xml:space="preserve">New HS Lease Baseline </w:t>
            </w:r>
          </w:p>
        </w:tc>
        <w:tc>
          <w:tcPr>
            <w:tcW w:w="2430" w:type="dxa"/>
            <w:shd w:val="clear" w:color="auto" w:fill="D9D9D9"/>
            <w:tcMar>
              <w:top w:w="100" w:type="dxa"/>
              <w:left w:w="100" w:type="dxa"/>
              <w:bottom w:w="100" w:type="dxa"/>
              <w:right w:w="100" w:type="dxa"/>
            </w:tcMar>
          </w:tcPr>
          <w:p w:rsidR="005F2D61" w:rsidRDefault="00C80795" w14:paraId="00000059" w14:textId="77777777">
            <w:pPr>
              <w:widowControl w:val="0"/>
              <w:jc w:val="center"/>
              <w:rPr>
                <w:b/>
                <w:color w:val="333333"/>
              </w:rPr>
            </w:pPr>
            <w:r>
              <w:rPr>
                <w:b/>
                <w:color w:val="333333"/>
              </w:rPr>
              <w:t>426 (228+31+106+61)</w:t>
            </w:r>
          </w:p>
        </w:tc>
        <w:tc>
          <w:tcPr>
            <w:tcW w:w="2610" w:type="dxa"/>
            <w:shd w:val="clear" w:color="auto" w:fill="D9D9D9"/>
            <w:tcMar>
              <w:top w:w="100" w:type="dxa"/>
              <w:left w:w="100" w:type="dxa"/>
              <w:bottom w:w="100" w:type="dxa"/>
              <w:right w:w="100" w:type="dxa"/>
            </w:tcMar>
          </w:tcPr>
          <w:p w:rsidR="005F2D61" w:rsidRDefault="00C80795" w14:paraId="0000005A" w14:textId="77777777">
            <w:pPr>
              <w:widowControl w:val="0"/>
              <w:jc w:val="center"/>
              <w:rPr>
                <w:b/>
                <w:color w:val="333333"/>
              </w:rPr>
            </w:pPr>
            <w:r>
              <w:rPr>
                <w:b/>
                <w:color w:val="333333"/>
              </w:rPr>
              <w:t>116 (36+35+35+10)</w:t>
            </w:r>
          </w:p>
        </w:tc>
      </w:tr>
      <w:tr w:rsidR="005F2D61" w:rsidTr="004F38FA" w14:paraId="7540D038" w14:textId="77777777">
        <w:trPr>
          <w:trHeight w:val="396"/>
        </w:trPr>
        <w:tc>
          <w:tcPr>
            <w:tcW w:w="3950" w:type="dxa"/>
            <w:shd w:val="clear" w:color="auto" w:fill="D9D9D9"/>
            <w:tcMar>
              <w:top w:w="100" w:type="dxa"/>
              <w:left w:w="100" w:type="dxa"/>
              <w:bottom w:w="100" w:type="dxa"/>
              <w:right w:w="100" w:type="dxa"/>
            </w:tcMar>
          </w:tcPr>
          <w:p w:rsidR="005F2D61" w:rsidRDefault="00C80795" w14:paraId="0000005B" w14:textId="77777777">
            <w:pPr>
              <w:widowControl w:val="0"/>
              <w:jc w:val="right"/>
              <w:rPr>
                <w:b/>
                <w:color w:val="333333"/>
              </w:rPr>
            </w:pPr>
            <w:r>
              <w:rPr>
                <w:b/>
                <w:color w:val="333333"/>
              </w:rPr>
              <w:t>Combined New HS Lease Baseline</w:t>
            </w:r>
          </w:p>
        </w:tc>
        <w:tc>
          <w:tcPr>
            <w:tcW w:w="5040" w:type="dxa"/>
            <w:gridSpan w:val="2"/>
            <w:shd w:val="clear" w:color="auto" w:fill="D9D9D9"/>
            <w:tcMar>
              <w:top w:w="100" w:type="dxa"/>
              <w:left w:w="100" w:type="dxa"/>
              <w:bottom w:w="100" w:type="dxa"/>
              <w:right w:w="100" w:type="dxa"/>
            </w:tcMar>
          </w:tcPr>
          <w:p w:rsidR="005F2D61" w:rsidRDefault="00C80795" w14:paraId="0000005C" w14:textId="77777777">
            <w:pPr>
              <w:widowControl w:val="0"/>
              <w:jc w:val="center"/>
              <w:rPr>
                <w:b/>
                <w:color w:val="333333"/>
              </w:rPr>
            </w:pPr>
            <w:r>
              <w:rPr>
                <w:b/>
                <w:color w:val="333333"/>
              </w:rPr>
              <w:t>542 (426 + 116)</w:t>
            </w:r>
          </w:p>
        </w:tc>
      </w:tr>
    </w:tbl>
    <w:p w:rsidR="005F2D61" w:rsidRDefault="005F2D61" w14:paraId="0000005E" w14:textId="77777777">
      <w:pPr>
        <w:rPr>
          <w:sz w:val="24"/>
          <w:szCs w:val="24"/>
        </w:rPr>
      </w:pPr>
    </w:p>
    <w:p w:rsidR="005F2D61" w:rsidRDefault="00C80795" w14:paraId="0000005F" w14:textId="77777777">
      <w:pPr>
        <w:rPr>
          <w:sz w:val="24"/>
          <w:szCs w:val="24"/>
        </w:rPr>
      </w:pPr>
      <w:r>
        <w:rPr>
          <w:sz w:val="24"/>
          <w:szCs w:val="24"/>
        </w:rPr>
        <w:t>Given the detail required for the baseline ownership information disclosure, an estimate of 2 hours for initial disclosure and 15 minutes (0.25 hours) for annual updates was assumed for the baseline response burden.  It is assumed that 10% of the new lessors (54) will respond affirmatively to the baseline representation and will be required to report additional information on the owner.  Given the detail required for the additional ownership information disclosure, an estimate of 10 hours for additional initial disclosure was assumed.</w:t>
      </w:r>
    </w:p>
    <w:p w:rsidR="005F2D61" w:rsidRDefault="005F2D61" w14:paraId="00000060" w14:textId="77777777">
      <w:pPr>
        <w:rPr>
          <w:sz w:val="24"/>
          <w:szCs w:val="24"/>
          <w:highlight w:val="yellow"/>
        </w:rPr>
      </w:pPr>
    </w:p>
    <w:p w:rsidR="005F2D61" w:rsidRDefault="00C80795" w14:paraId="00000061" w14:textId="77777777">
      <w:pPr>
        <w:rPr>
          <w:sz w:val="24"/>
          <w:szCs w:val="24"/>
          <w:u w:val="single"/>
        </w:rPr>
      </w:pPr>
      <w:r>
        <w:rPr>
          <w:sz w:val="24"/>
          <w:szCs w:val="24"/>
          <w:u w:val="single"/>
        </w:rPr>
        <w:t>1. Initial Proposal Disclosure</w:t>
      </w:r>
    </w:p>
    <w:p w:rsidR="005F2D61" w:rsidRDefault="005F2D61" w14:paraId="00000062" w14:textId="77777777">
      <w:pPr>
        <w:rPr>
          <w:sz w:val="24"/>
          <w:szCs w:val="24"/>
          <w:u w:val="single"/>
        </w:rPr>
      </w:pPr>
    </w:p>
    <w:p w:rsidR="005F2D61" w:rsidRDefault="00C80795" w14:paraId="00000063" w14:textId="77777777">
      <w:pPr>
        <w:rPr>
          <w:sz w:val="24"/>
          <w:szCs w:val="24"/>
          <w:u w:val="single"/>
        </w:rPr>
      </w:pPr>
      <w:r>
        <w:rPr>
          <w:sz w:val="24"/>
          <w:szCs w:val="24"/>
          <w:u w:val="single"/>
        </w:rPr>
        <w:t>Baseline Representation</w:t>
      </w:r>
    </w:p>
    <w:p w:rsidR="005F2D61" w:rsidRDefault="00C80795" w14:paraId="00000064" w14:textId="77777777">
      <w:pPr>
        <w:tabs>
          <w:tab w:val="right" w:pos="7200"/>
        </w:tabs>
        <w:rPr>
          <w:sz w:val="24"/>
          <w:szCs w:val="24"/>
        </w:rPr>
      </w:pPr>
      <w:r>
        <w:rPr>
          <w:sz w:val="24"/>
          <w:szCs w:val="24"/>
        </w:rPr>
        <w:t>Estimated annual responses</w:t>
      </w:r>
      <w:r>
        <w:rPr>
          <w:sz w:val="24"/>
          <w:szCs w:val="24"/>
        </w:rPr>
        <w:tab/>
        <w:t>542</w:t>
      </w:r>
    </w:p>
    <w:p w:rsidR="005F2D61" w:rsidRDefault="00C80795" w14:paraId="00000065" w14:textId="77777777">
      <w:pPr>
        <w:tabs>
          <w:tab w:val="right" w:pos="7200"/>
        </w:tabs>
        <w:rPr>
          <w:sz w:val="24"/>
          <w:szCs w:val="24"/>
        </w:rPr>
      </w:pPr>
      <w:r>
        <w:rPr>
          <w:sz w:val="24"/>
          <w:szCs w:val="24"/>
        </w:rPr>
        <w:t>Estimated review time per response</w:t>
      </w:r>
      <w:r>
        <w:rPr>
          <w:sz w:val="24"/>
          <w:szCs w:val="24"/>
        </w:rPr>
        <w:tab/>
      </w:r>
      <w:r>
        <w:rPr>
          <w:sz w:val="24"/>
          <w:szCs w:val="24"/>
          <w:u w:val="single"/>
        </w:rPr>
        <w:t>x 2</w:t>
      </w:r>
    </w:p>
    <w:p w:rsidR="005F2D61" w:rsidRDefault="00C80795" w14:paraId="00000066" w14:textId="77777777">
      <w:pPr>
        <w:tabs>
          <w:tab w:val="right" w:pos="7200"/>
        </w:tabs>
        <w:rPr>
          <w:sz w:val="24"/>
          <w:szCs w:val="24"/>
        </w:rPr>
      </w:pPr>
      <w:r>
        <w:rPr>
          <w:sz w:val="24"/>
          <w:szCs w:val="24"/>
        </w:rPr>
        <w:t>Total Review Time</w:t>
      </w:r>
      <w:r>
        <w:rPr>
          <w:sz w:val="24"/>
          <w:szCs w:val="24"/>
        </w:rPr>
        <w:tab/>
        <w:t>1,084</w:t>
      </w:r>
    </w:p>
    <w:p w:rsidR="005F2D61" w:rsidRDefault="005F2D61" w14:paraId="00000067" w14:textId="77777777">
      <w:pPr>
        <w:tabs>
          <w:tab w:val="right" w:pos="7200"/>
        </w:tabs>
        <w:rPr>
          <w:sz w:val="24"/>
          <w:szCs w:val="24"/>
        </w:rPr>
      </w:pPr>
    </w:p>
    <w:p w:rsidR="005F2D61" w:rsidRDefault="00C80795" w14:paraId="00000068" w14:textId="77777777">
      <w:pPr>
        <w:rPr>
          <w:sz w:val="24"/>
          <w:szCs w:val="24"/>
          <w:u w:val="single"/>
        </w:rPr>
      </w:pPr>
      <w:r>
        <w:rPr>
          <w:sz w:val="24"/>
          <w:szCs w:val="24"/>
          <w:u w:val="single"/>
        </w:rPr>
        <w:t>Additional Representation</w:t>
      </w:r>
    </w:p>
    <w:p w:rsidR="005F2D61" w:rsidRDefault="00C80795" w14:paraId="00000069" w14:textId="77777777">
      <w:pPr>
        <w:tabs>
          <w:tab w:val="right" w:pos="7200"/>
        </w:tabs>
        <w:rPr>
          <w:sz w:val="24"/>
          <w:szCs w:val="24"/>
        </w:rPr>
      </w:pPr>
      <w:r>
        <w:rPr>
          <w:sz w:val="24"/>
          <w:szCs w:val="24"/>
        </w:rPr>
        <w:t>Estimated annual responses</w:t>
      </w:r>
      <w:r>
        <w:rPr>
          <w:sz w:val="24"/>
          <w:szCs w:val="24"/>
        </w:rPr>
        <w:tab/>
        <w:t>54</w:t>
      </w:r>
    </w:p>
    <w:p w:rsidR="005F2D61" w:rsidRDefault="00C80795" w14:paraId="0000006A" w14:textId="77777777">
      <w:pPr>
        <w:tabs>
          <w:tab w:val="right" w:pos="7200"/>
        </w:tabs>
        <w:rPr>
          <w:sz w:val="24"/>
          <w:szCs w:val="24"/>
        </w:rPr>
      </w:pPr>
      <w:r>
        <w:rPr>
          <w:sz w:val="24"/>
          <w:szCs w:val="24"/>
        </w:rPr>
        <w:t>Estimated review time per response</w:t>
      </w:r>
      <w:r>
        <w:rPr>
          <w:sz w:val="24"/>
          <w:szCs w:val="24"/>
        </w:rPr>
        <w:tab/>
      </w:r>
      <w:r>
        <w:rPr>
          <w:sz w:val="24"/>
          <w:szCs w:val="24"/>
          <w:u w:val="single"/>
        </w:rPr>
        <w:t>x 10</w:t>
      </w:r>
    </w:p>
    <w:p w:rsidR="005F2D61" w:rsidRDefault="00C80795" w14:paraId="0000006B" w14:textId="77777777">
      <w:pPr>
        <w:tabs>
          <w:tab w:val="right" w:pos="7200"/>
        </w:tabs>
        <w:rPr>
          <w:sz w:val="24"/>
          <w:szCs w:val="24"/>
        </w:rPr>
      </w:pPr>
      <w:r>
        <w:rPr>
          <w:sz w:val="24"/>
          <w:szCs w:val="24"/>
        </w:rPr>
        <w:t>Total Review Time</w:t>
      </w:r>
      <w:r>
        <w:rPr>
          <w:sz w:val="24"/>
          <w:szCs w:val="24"/>
        </w:rPr>
        <w:tab/>
        <w:t>540</w:t>
      </w:r>
    </w:p>
    <w:p w:rsidR="005F2D61" w:rsidRDefault="005F2D61" w14:paraId="0000006C" w14:textId="77777777">
      <w:pPr>
        <w:tabs>
          <w:tab w:val="right" w:pos="7200"/>
        </w:tabs>
        <w:rPr>
          <w:sz w:val="24"/>
          <w:szCs w:val="24"/>
        </w:rPr>
      </w:pPr>
    </w:p>
    <w:p w:rsidR="005F2D61" w:rsidRDefault="00C80795" w14:paraId="0000006D" w14:textId="77777777">
      <w:pPr>
        <w:tabs>
          <w:tab w:val="right" w:pos="7200"/>
        </w:tabs>
        <w:rPr>
          <w:sz w:val="24"/>
          <w:szCs w:val="24"/>
        </w:rPr>
      </w:pPr>
      <w:r>
        <w:rPr>
          <w:sz w:val="24"/>
          <w:szCs w:val="24"/>
        </w:rPr>
        <w:t>Total Initial Response Burden Hours</w:t>
      </w:r>
      <w:r>
        <w:rPr>
          <w:sz w:val="24"/>
          <w:szCs w:val="24"/>
        </w:rPr>
        <w:tab/>
        <w:t>1,624</w:t>
      </w:r>
    </w:p>
    <w:p w:rsidR="005F2D61" w:rsidRDefault="005F2D61" w14:paraId="0000006E" w14:textId="77777777">
      <w:pPr>
        <w:tabs>
          <w:tab w:val="right" w:pos="7200"/>
        </w:tabs>
        <w:rPr>
          <w:sz w:val="24"/>
          <w:szCs w:val="24"/>
        </w:rPr>
      </w:pPr>
    </w:p>
    <w:p w:rsidR="005F2D61" w:rsidRDefault="00C80795" w14:paraId="0000006F" w14:textId="77777777">
      <w:pPr>
        <w:tabs>
          <w:tab w:val="right" w:pos="7200"/>
        </w:tabs>
        <w:rPr>
          <w:sz w:val="24"/>
          <w:szCs w:val="24"/>
          <w:u w:val="single"/>
        </w:rPr>
      </w:pPr>
      <w:r>
        <w:rPr>
          <w:sz w:val="24"/>
          <w:szCs w:val="24"/>
        </w:rPr>
        <w:t>Cost per hour*</w:t>
      </w:r>
      <w:r>
        <w:rPr>
          <w:sz w:val="24"/>
          <w:szCs w:val="24"/>
        </w:rPr>
        <w:tab/>
      </w:r>
      <w:r>
        <w:rPr>
          <w:sz w:val="24"/>
          <w:szCs w:val="24"/>
          <w:u w:val="single"/>
        </w:rPr>
        <w:t>x $57.33</w:t>
      </w:r>
    </w:p>
    <w:p w:rsidR="005F2D61" w:rsidRDefault="00C80795" w14:paraId="00000070" w14:textId="77777777">
      <w:pPr>
        <w:tabs>
          <w:tab w:val="right" w:pos="7200"/>
        </w:tabs>
        <w:rPr>
          <w:sz w:val="24"/>
          <w:szCs w:val="24"/>
        </w:rPr>
      </w:pPr>
      <w:r>
        <w:rPr>
          <w:sz w:val="24"/>
          <w:szCs w:val="24"/>
        </w:rPr>
        <w:t>Estimated Cost Burden to the Public</w:t>
      </w:r>
      <w:r>
        <w:rPr>
          <w:sz w:val="24"/>
          <w:szCs w:val="24"/>
        </w:rPr>
        <w:tab/>
        <w:t>$93,104</w:t>
      </w:r>
    </w:p>
    <w:p w:rsidR="005F2D61" w:rsidRDefault="005F2D61" w14:paraId="00000071" w14:textId="77777777">
      <w:pPr>
        <w:rPr>
          <w:sz w:val="24"/>
          <w:szCs w:val="24"/>
        </w:rPr>
      </w:pPr>
    </w:p>
    <w:p w:rsidR="005F2D61" w:rsidRDefault="00C80795" w14:paraId="00000072" w14:textId="77777777">
      <w:pPr>
        <w:rPr>
          <w:sz w:val="24"/>
          <w:szCs w:val="24"/>
          <w:u w:val="single"/>
        </w:rPr>
      </w:pPr>
      <w:r>
        <w:rPr>
          <w:sz w:val="24"/>
          <w:szCs w:val="24"/>
          <w:u w:val="single"/>
        </w:rPr>
        <w:t>2. Annual Updates</w:t>
      </w:r>
    </w:p>
    <w:p w:rsidR="005F2D61" w:rsidRDefault="005F2D61" w14:paraId="00000073" w14:textId="77777777">
      <w:pPr>
        <w:rPr>
          <w:sz w:val="24"/>
          <w:szCs w:val="24"/>
          <w:u w:val="single"/>
        </w:rPr>
      </w:pPr>
    </w:p>
    <w:p w:rsidR="005F2D61" w:rsidRDefault="00C80795" w14:paraId="00000074" w14:textId="77777777">
      <w:pPr>
        <w:tabs>
          <w:tab w:val="right" w:pos="7200"/>
        </w:tabs>
        <w:rPr>
          <w:sz w:val="24"/>
          <w:szCs w:val="24"/>
        </w:rPr>
      </w:pPr>
      <w:r>
        <w:rPr>
          <w:sz w:val="24"/>
          <w:szCs w:val="24"/>
        </w:rPr>
        <w:t>Estimated responses per year</w:t>
      </w:r>
      <w:r>
        <w:rPr>
          <w:sz w:val="24"/>
          <w:szCs w:val="24"/>
        </w:rPr>
        <w:tab/>
        <w:t>542</w:t>
      </w:r>
    </w:p>
    <w:p w:rsidR="005F2D61" w:rsidRDefault="00C80795" w14:paraId="00000075" w14:textId="77777777">
      <w:pPr>
        <w:tabs>
          <w:tab w:val="right" w:pos="7200"/>
        </w:tabs>
        <w:rPr>
          <w:sz w:val="24"/>
          <w:szCs w:val="24"/>
        </w:rPr>
      </w:pPr>
      <w:r>
        <w:rPr>
          <w:sz w:val="24"/>
          <w:szCs w:val="24"/>
        </w:rPr>
        <w:t>Estimated hours per response</w:t>
      </w:r>
      <w:r>
        <w:rPr>
          <w:sz w:val="24"/>
          <w:szCs w:val="24"/>
        </w:rPr>
        <w:tab/>
      </w:r>
      <w:r>
        <w:rPr>
          <w:sz w:val="24"/>
          <w:szCs w:val="24"/>
          <w:u w:val="single"/>
        </w:rPr>
        <w:t>x 0.25</w:t>
      </w:r>
    </w:p>
    <w:p w:rsidR="005F2D61" w:rsidRDefault="00C80795" w14:paraId="00000076" w14:textId="77777777">
      <w:pPr>
        <w:tabs>
          <w:tab w:val="right" w:pos="7200"/>
        </w:tabs>
        <w:rPr>
          <w:sz w:val="24"/>
          <w:szCs w:val="24"/>
        </w:rPr>
      </w:pPr>
      <w:r>
        <w:rPr>
          <w:sz w:val="24"/>
          <w:szCs w:val="24"/>
        </w:rPr>
        <w:t>Total Response Burden Hours</w:t>
      </w:r>
      <w:r>
        <w:rPr>
          <w:sz w:val="24"/>
          <w:szCs w:val="24"/>
        </w:rPr>
        <w:tab/>
        <w:t>136</w:t>
      </w:r>
    </w:p>
    <w:p w:rsidR="005F2D61" w:rsidRDefault="005F2D61" w14:paraId="00000077" w14:textId="77777777">
      <w:pPr>
        <w:tabs>
          <w:tab w:val="right" w:pos="7200"/>
        </w:tabs>
        <w:rPr>
          <w:sz w:val="24"/>
          <w:szCs w:val="24"/>
        </w:rPr>
      </w:pPr>
    </w:p>
    <w:p w:rsidR="005F2D61" w:rsidRDefault="00C80795" w14:paraId="00000078" w14:textId="77777777">
      <w:pPr>
        <w:tabs>
          <w:tab w:val="right" w:pos="7200"/>
        </w:tabs>
        <w:rPr>
          <w:sz w:val="24"/>
          <w:szCs w:val="24"/>
          <w:u w:val="single"/>
        </w:rPr>
      </w:pPr>
      <w:r>
        <w:rPr>
          <w:sz w:val="24"/>
          <w:szCs w:val="24"/>
        </w:rPr>
        <w:t>Cost per hour*</w:t>
      </w:r>
      <w:r>
        <w:rPr>
          <w:sz w:val="24"/>
          <w:szCs w:val="24"/>
        </w:rPr>
        <w:tab/>
      </w:r>
      <w:r>
        <w:rPr>
          <w:sz w:val="24"/>
          <w:szCs w:val="24"/>
          <w:u w:val="single"/>
        </w:rPr>
        <w:t>x $57.33</w:t>
      </w:r>
    </w:p>
    <w:p w:rsidR="005F2D61" w:rsidRDefault="00C80795" w14:paraId="00000079" w14:textId="77777777">
      <w:pPr>
        <w:tabs>
          <w:tab w:val="right" w:pos="7200"/>
        </w:tabs>
        <w:rPr>
          <w:sz w:val="24"/>
          <w:szCs w:val="24"/>
        </w:rPr>
      </w:pPr>
      <w:r>
        <w:rPr>
          <w:sz w:val="24"/>
          <w:szCs w:val="24"/>
        </w:rPr>
        <w:t>Estimated Cost Burden to the Public</w:t>
      </w:r>
      <w:r>
        <w:rPr>
          <w:sz w:val="24"/>
          <w:szCs w:val="24"/>
        </w:rPr>
        <w:tab/>
        <w:t>$7,797</w:t>
      </w:r>
    </w:p>
    <w:p w:rsidR="005F2D61" w:rsidRDefault="005F2D61" w14:paraId="0000007A" w14:textId="77777777">
      <w:pPr>
        <w:rPr>
          <w:sz w:val="24"/>
          <w:szCs w:val="24"/>
        </w:rPr>
      </w:pPr>
    </w:p>
    <w:p w:rsidR="005F2D61" w:rsidRDefault="00C80795" w14:paraId="0000007B" w14:textId="77777777">
      <w:pPr>
        <w:rPr>
          <w:sz w:val="24"/>
          <w:szCs w:val="24"/>
        </w:rPr>
      </w:pPr>
      <w:r>
        <w:rPr>
          <w:sz w:val="24"/>
          <w:szCs w:val="24"/>
        </w:rPr>
        <w:t>*The estimated cost of $57.33 per hour is based on the task being accomplished by mid-level personnel equivalent to a GS-12, Step 5 salary (Base Pay and Rest of US Locality Pay) (Salary Table 2021-GS, Effective January 2021), with fringe of 36.25% (OMB Memo M-08-13).</w:t>
      </w:r>
    </w:p>
    <w:p w:rsidR="005F2D61" w:rsidRDefault="005F2D61" w14:paraId="0000007C" w14:textId="77777777">
      <w:pPr>
        <w:rPr>
          <w:sz w:val="24"/>
          <w:szCs w:val="24"/>
        </w:rPr>
      </w:pPr>
    </w:p>
    <w:p w:rsidR="005F2D61" w:rsidRDefault="00C80795" w14:paraId="0000007D" w14:textId="77777777">
      <w:pPr>
        <w:rPr>
          <w:b/>
          <w:sz w:val="24"/>
          <w:szCs w:val="24"/>
        </w:rPr>
      </w:pPr>
      <w:r>
        <w:rPr>
          <w:b/>
          <w:sz w:val="24"/>
          <w:szCs w:val="24"/>
        </w:rPr>
        <w:t xml:space="preserve">13.  Provide an estimate for the total annual cost burden to respondents or record keepers resulting from the collection of information.  </w:t>
      </w:r>
    </w:p>
    <w:p w:rsidR="005F2D61" w:rsidRDefault="005F2D61" w14:paraId="0000007E" w14:textId="77777777">
      <w:pPr>
        <w:rPr>
          <w:sz w:val="24"/>
          <w:szCs w:val="24"/>
        </w:rPr>
      </w:pPr>
    </w:p>
    <w:p w:rsidR="005F2D61" w:rsidRDefault="00C80795" w14:paraId="0000007F" w14:textId="77777777">
      <w:pPr>
        <w:rPr>
          <w:sz w:val="24"/>
          <w:szCs w:val="24"/>
        </w:rPr>
      </w:pPr>
      <w:r>
        <w:rPr>
          <w:sz w:val="24"/>
          <w:szCs w:val="24"/>
        </w:rPr>
        <w:t>GSA does not estimate any annual cost burdens other than the burdens described in items 12 and 14.</w:t>
      </w:r>
    </w:p>
    <w:p w:rsidR="005F2D61" w:rsidRDefault="005F2D61" w14:paraId="00000080" w14:textId="77777777">
      <w:pPr>
        <w:rPr>
          <w:sz w:val="24"/>
          <w:szCs w:val="24"/>
        </w:rPr>
      </w:pPr>
    </w:p>
    <w:p w:rsidR="005F2D61" w:rsidRDefault="00C80795" w14:paraId="00000081" w14:textId="77777777">
      <w:pPr>
        <w:rPr>
          <w:b/>
          <w:sz w:val="24"/>
          <w:szCs w:val="24"/>
        </w:rPr>
      </w:pPr>
      <w:r>
        <w:rPr>
          <w:b/>
          <w:sz w:val="24"/>
          <w:szCs w:val="24"/>
        </w:rPr>
        <w:t xml:space="preserve">14.  Provide estimates of annualized costs to the Federal Government. </w:t>
      </w:r>
    </w:p>
    <w:p w:rsidR="005F2D61" w:rsidRDefault="005F2D61" w14:paraId="00000082" w14:textId="77777777">
      <w:pPr>
        <w:rPr>
          <w:sz w:val="24"/>
          <w:szCs w:val="24"/>
        </w:rPr>
      </w:pPr>
    </w:p>
    <w:p w:rsidR="005F2D61" w:rsidRDefault="00C80795" w14:paraId="00000083" w14:textId="77777777">
      <w:pPr>
        <w:rPr>
          <w:sz w:val="24"/>
          <w:szCs w:val="24"/>
        </w:rPr>
      </w:pPr>
      <w:r>
        <w:rPr>
          <w:sz w:val="24"/>
          <w:szCs w:val="24"/>
        </w:rPr>
        <w:t xml:space="preserve">Government burden for this information collection is estimated based on the time required to review and evaluate the disclosure information for high-security lease proposals. Given the detail required for the baseline information disclosure contained in these proposals, an estimate of 6 minutes (0.10 hours) for a non-affirmative response was assumed as the review burden. It is assumed that 10% of the new lessors (54) will respond affirmatively to the representation. Given the detail contained in an affirmative response, an estimate of 5 hours per representation was assumed for review and to provide notification to Federal tenants (as applicable). For review of annual updates, the review time is assumed to be negligible. </w:t>
      </w:r>
    </w:p>
    <w:p w:rsidR="005F2D61" w:rsidRDefault="005F2D61" w14:paraId="00000084" w14:textId="77777777">
      <w:pPr>
        <w:rPr>
          <w:sz w:val="24"/>
          <w:szCs w:val="24"/>
        </w:rPr>
      </w:pPr>
    </w:p>
    <w:p w:rsidR="005F2D61" w:rsidRDefault="00C80795" w14:paraId="00000085" w14:textId="77777777">
      <w:pPr>
        <w:rPr>
          <w:sz w:val="24"/>
          <w:szCs w:val="24"/>
          <w:u w:val="single"/>
        </w:rPr>
      </w:pPr>
      <w:r>
        <w:rPr>
          <w:sz w:val="24"/>
          <w:szCs w:val="24"/>
          <w:u w:val="single"/>
        </w:rPr>
        <w:t>Baseline Disclosure</w:t>
      </w:r>
    </w:p>
    <w:p w:rsidR="005F2D61" w:rsidRDefault="005F2D61" w14:paraId="00000086" w14:textId="77777777">
      <w:pPr>
        <w:rPr>
          <w:sz w:val="24"/>
          <w:szCs w:val="24"/>
        </w:rPr>
      </w:pPr>
    </w:p>
    <w:p w:rsidR="005F2D61" w:rsidRDefault="00C80795" w14:paraId="00000087" w14:textId="77777777">
      <w:pPr>
        <w:tabs>
          <w:tab w:val="right" w:pos="7200"/>
        </w:tabs>
        <w:rPr>
          <w:sz w:val="24"/>
          <w:szCs w:val="24"/>
        </w:rPr>
      </w:pPr>
      <w:r>
        <w:rPr>
          <w:sz w:val="24"/>
          <w:szCs w:val="24"/>
        </w:rPr>
        <w:t>Estimated annual responses</w:t>
      </w:r>
      <w:r>
        <w:rPr>
          <w:sz w:val="24"/>
          <w:szCs w:val="24"/>
        </w:rPr>
        <w:tab/>
        <w:t>542</w:t>
      </w:r>
    </w:p>
    <w:p w:rsidR="005F2D61" w:rsidRDefault="00C80795" w14:paraId="00000088" w14:textId="77777777">
      <w:pPr>
        <w:tabs>
          <w:tab w:val="right" w:pos="7200"/>
        </w:tabs>
        <w:rPr>
          <w:sz w:val="24"/>
          <w:szCs w:val="24"/>
        </w:rPr>
      </w:pPr>
      <w:r>
        <w:rPr>
          <w:sz w:val="24"/>
          <w:szCs w:val="24"/>
        </w:rPr>
        <w:t>Estimated review time per response</w:t>
      </w:r>
      <w:r>
        <w:rPr>
          <w:sz w:val="24"/>
          <w:szCs w:val="24"/>
        </w:rPr>
        <w:tab/>
      </w:r>
      <w:r>
        <w:rPr>
          <w:sz w:val="24"/>
          <w:szCs w:val="24"/>
          <w:u w:val="single"/>
        </w:rPr>
        <w:t>x  .10</w:t>
      </w:r>
    </w:p>
    <w:p w:rsidR="005F2D61" w:rsidRDefault="00C80795" w14:paraId="00000089" w14:textId="77777777">
      <w:pPr>
        <w:tabs>
          <w:tab w:val="right" w:pos="7200"/>
        </w:tabs>
        <w:rPr>
          <w:sz w:val="24"/>
          <w:szCs w:val="24"/>
        </w:rPr>
      </w:pPr>
      <w:r>
        <w:rPr>
          <w:sz w:val="24"/>
          <w:szCs w:val="24"/>
        </w:rPr>
        <w:t>Total Review Time</w:t>
      </w:r>
      <w:r>
        <w:rPr>
          <w:sz w:val="24"/>
          <w:szCs w:val="24"/>
        </w:rPr>
        <w:tab/>
        <w:t>54</w:t>
      </w:r>
    </w:p>
    <w:p w:rsidR="005F2D61" w:rsidRDefault="005F2D61" w14:paraId="0000008A" w14:textId="77777777">
      <w:pPr>
        <w:tabs>
          <w:tab w:val="right" w:pos="7200"/>
        </w:tabs>
        <w:rPr>
          <w:sz w:val="24"/>
          <w:szCs w:val="24"/>
        </w:rPr>
      </w:pPr>
    </w:p>
    <w:p w:rsidR="005F2D61" w:rsidRDefault="00C80795" w14:paraId="0000008B" w14:textId="77777777">
      <w:pPr>
        <w:rPr>
          <w:sz w:val="24"/>
          <w:szCs w:val="24"/>
          <w:u w:val="single"/>
        </w:rPr>
      </w:pPr>
      <w:r>
        <w:rPr>
          <w:sz w:val="24"/>
          <w:szCs w:val="24"/>
          <w:u w:val="single"/>
        </w:rPr>
        <w:t>Additional Disclosure</w:t>
      </w:r>
    </w:p>
    <w:p w:rsidR="005F2D61" w:rsidRDefault="00C80795" w14:paraId="0000008C" w14:textId="77777777">
      <w:pPr>
        <w:tabs>
          <w:tab w:val="right" w:pos="7200"/>
        </w:tabs>
        <w:rPr>
          <w:sz w:val="24"/>
          <w:szCs w:val="24"/>
        </w:rPr>
      </w:pPr>
      <w:r>
        <w:rPr>
          <w:sz w:val="24"/>
          <w:szCs w:val="24"/>
        </w:rPr>
        <w:t>Estimated annual responses</w:t>
      </w:r>
      <w:r>
        <w:rPr>
          <w:sz w:val="24"/>
          <w:szCs w:val="24"/>
        </w:rPr>
        <w:tab/>
        <w:t>54</w:t>
      </w:r>
    </w:p>
    <w:p w:rsidR="005F2D61" w:rsidRDefault="00C80795" w14:paraId="0000008D" w14:textId="77777777">
      <w:pPr>
        <w:tabs>
          <w:tab w:val="right" w:pos="7200"/>
        </w:tabs>
        <w:rPr>
          <w:sz w:val="24"/>
          <w:szCs w:val="24"/>
        </w:rPr>
      </w:pPr>
      <w:r>
        <w:rPr>
          <w:sz w:val="24"/>
          <w:szCs w:val="24"/>
        </w:rPr>
        <w:t>Estimated review time per response</w:t>
      </w:r>
      <w:r>
        <w:rPr>
          <w:sz w:val="24"/>
          <w:szCs w:val="24"/>
        </w:rPr>
        <w:tab/>
      </w:r>
      <w:r>
        <w:rPr>
          <w:sz w:val="24"/>
          <w:szCs w:val="24"/>
          <w:u w:val="single"/>
        </w:rPr>
        <w:t>x     5</w:t>
      </w:r>
    </w:p>
    <w:p w:rsidR="005F2D61" w:rsidRDefault="00C80795" w14:paraId="0000008E" w14:textId="77777777">
      <w:pPr>
        <w:tabs>
          <w:tab w:val="right" w:pos="7200"/>
        </w:tabs>
        <w:rPr>
          <w:sz w:val="24"/>
          <w:szCs w:val="24"/>
        </w:rPr>
      </w:pPr>
      <w:r>
        <w:rPr>
          <w:sz w:val="24"/>
          <w:szCs w:val="24"/>
        </w:rPr>
        <w:t>Total Review Time</w:t>
      </w:r>
      <w:r>
        <w:rPr>
          <w:sz w:val="24"/>
          <w:szCs w:val="24"/>
        </w:rPr>
        <w:tab/>
        <w:t>270</w:t>
      </w:r>
    </w:p>
    <w:p w:rsidR="005F2D61" w:rsidRDefault="005F2D61" w14:paraId="0000008F" w14:textId="77777777">
      <w:pPr>
        <w:tabs>
          <w:tab w:val="right" w:pos="7200"/>
        </w:tabs>
        <w:rPr>
          <w:sz w:val="24"/>
          <w:szCs w:val="24"/>
        </w:rPr>
      </w:pPr>
    </w:p>
    <w:p w:rsidR="005F2D61" w:rsidRDefault="00C80795" w14:paraId="00000090" w14:textId="77777777">
      <w:pPr>
        <w:tabs>
          <w:tab w:val="right" w:pos="7200"/>
        </w:tabs>
        <w:rPr>
          <w:sz w:val="24"/>
          <w:szCs w:val="24"/>
        </w:rPr>
      </w:pPr>
      <w:r>
        <w:rPr>
          <w:sz w:val="24"/>
          <w:szCs w:val="24"/>
        </w:rPr>
        <w:t>Total Disclosure Review Burden Hours</w:t>
      </w:r>
      <w:r>
        <w:rPr>
          <w:sz w:val="24"/>
          <w:szCs w:val="24"/>
        </w:rPr>
        <w:tab/>
        <w:t>324</w:t>
      </w:r>
    </w:p>
    <w:p w:rsidR="005F2D61" w:rsidRDefault="005F2D61" w14:paraId="00000091" w14:textId="77777777">
      <w:pPr>
        <w:tabs>
          <w:tab w:val="right" w:pos="7200"/>
        </w:tabs>
        <w:rPr>
          <w:sz w:val="24"/>
          <w:szCs w:val="24"/>
        </w:rPr>
      </w:pPr>
    </w:p>
    <w:p w:rsidR="005F2D61" w:rsidRDefault="00C80795" w14:paraId="00000092" w14:textId="77777777">
      <w:pPr>
        <w:tabs>
          <w:tab w:val="right" w:pos="7200"/>
        </w:tabs>
        <w:rPr>
          <w:sz w:val="24"/>
          <w:szCs w:val="24"/>
          <w:u w:val="single"/>
        </w:rPr>
      </w:pPr>
      <w:r>
        <w:rPr>
          <w:sz w:val="24"/>
          <w:szCs w:val="24"/>
        </w:rPr>
        <w:t>Cost per hour*</w:t>
      </w:r>
      <w:r>
        <w:rPr>
          <w:sz w:val="24"/>
          <w:szCs w:val="24"/>
        </w:rPr>
        <w:tab/>
      </w:r>
      <w:r>
        <w:rPr>
          <w:sz w:val="24"/>
          <w:szCs w:val="24"/>
          <w:u w:val="single"/>
        </w:rPr>
        <w:t>x $57.33</w:t>
      </w:r>
    </w:p>
    <w:p w:rsidR="005F2D61" w:rsidRDefault="00C80795" w14:paraId="00000093" w14:textId="77777777">
      <w:pPr>
        <w:tabs>
          <w:tab w:val="right" w:pos="7200"/>
        </w:tabs>
        <w:rPr>
          <w:sz w:val="24"/>
          <w:szCs w:val="24"/>
        </w:rPr>
      </w:pPr>
      <w:r>
        <w:rPr>
          <w:sz w:val="24"/>
          <w:szCs w:val="24"/>
        </w:rPr>
        <w:t>Total Annual Government Cost</w:t>
      </w:r>
      <w:r>
        <w:rPr>
          <w:sz w:val="24"/>
          <w:szCs w:val="24"/>
        </w:rPr>
        <w:tab/>
        <w:t>$18,575</w:t>
      </w:r>
    </w:p>
    <w:p w:rsidR="005F2D61" w:rsidRDefault="005F2D61" w14:paraId="00000094" w14:textId="77777777">
      <w:pPr>
        <w:rPr>
          <w:sz w:val="24"/>
          <w:szCs w:val="24"/>
          <w:highlight w:val="yellow"/>
        </w:rPr>
      </w:pPr>
    </w:p>
    <w:p w:rsidR="005F2D61" w:rsidRDefault="00C80795" w14:paraId="00000095" w14:textId="77777777">
      <w:pPr>
        <w:rPr>
          <w:sz w:val="24"/>
          <w:szCs w:val="24"/>
        </w:rPr>
      </w:pPr>
      <w:r>
        <w:rPr>
          <w:sz w:val="24"/>
          <w:szCs w:val="24"/>
        </w:rPr>
        <w:t>*The estimated cost of $57.33 per hour is based on the task being accomplished by mid-level personnel equivalent to a GS-12, Step 5 salary (Base Pay and Rest of US Locality Pay) (Salary Table 2021-GS, Effective January 2021), with fringe of 36.25% (OMB Memo M-08-13).</w:t>
      </w:r>
    </w:p>
    <w:p w:rsidR="005F2D61" w:rsidRDefault="005F2D61" w14:paraId="00000096" w14:textId="77777777">
      <w:pPr>
        <w:rPr>
          <w:sz w:val="24"/>
          <w:szCs w:val="24"/>
        </w:rPr>
      </w:pPr>
    </w:p>
    <w:p w:rsidR="005F2D61" w:rsidRDefault="00C80795" w14:paraId="00000097" w14:textId="77777777">
      <w:pPr>
        <w:rPr>
          <w:b/>
          <w:sz w:val="24"/>
          <w:szCs w:val="24"/>
        </w:rPr>
      </w:pPr>
      <w:r>
        <w:rPr>
          <w:b/>
          <w:sz w:val="24"/>
          <w:szCs w:val="24"/>
        </w:rPr>
        <w:t>15.  Explain the reasons for any program changes or adjustments reported.</w:t>
      </w:r>
    </w:p>
    <w:p w:rsidR="005F2D61" w:rsidRDefault="005F2D61" w14:paraId="00000098" w14:textId="77777777">
      <w:pPr>
        <w:rPr>
          <w:sz w:val="24"/>
          <w:szCs w:val="24"/>
        </w:rPr>
      </w:pPr>
    </w:p>
    <w:p w:rsidR="005F2D61" w:rsidRDefault="00433973" w14:paraId="00000099" w14:textId="2F25A189">
      <w:pPr>
        <w:rPr>
          <w:sz w:val="24"/>
          <w:szCs w:val="24"/>
        </w:rPr>
      </w:pPr>
      <w:r>
        <w:rPr>
          <w:sz w:val="24"/>
          <w:szCs w:val="24"/>
        </w:rPr>
        <w:t>This is a new information collection</w:t>
      </w:r>
      <w:r w:rsidR="00C80795">
        <w:rPr>
          <w:sz w:val="24"/>
          <w:szCs w:val="24"/>
        </w:rPr>
        <w:t>.</w:t>
      </w:r>
    </w:p>
    <w:p w:rsidR="005F2D61" w:rsidRDefault="005F2D61" w14:paraId="0000009A" w14:textId="77777777">
      <w:pPr>
        <w:rPr>
          <w:sz w:val="24"/>
          <w:szCs w:val="24"/>
        </w:rPr>
      </w:pPr>
    </w:p>
    <w:p w:rsidR="005F2D61" w:rsidRDefault="00C80795" w14:paraId="0000009B" w14:textId="77777777">
      <w:pPr>
        <w:rPr>
          <w:b/>
          <w:sz w:val="24"/>
          <w:szCs w:val="24"/>
        </w:rPr>
      </w:pPr>
      <w:r>
        <w:rPr>
          <w:b/>
          <w:sz w:val="24"/>
          <w:szCs w:val="24"/>
        </w:rPr>
        <w:t xml:space="preserve">16.  For collections of information whose results will be published, outline plans for tabulation and publication. </w:t>
      </w:r>
    </w:p>
    <w:p w:rsidR="005F2D61" w:rsidRDefault="005F2D61" w14:paraId="0000009C" w14:textId="77777777">
      <w:pPr>
        <w:tabs>
          <w:tab w:val="center" w:pos="0"/>
        </w:tabs>
        <w:rPr>
          <w:sz w:val="24"/>
          <w:szCs w:val="24"/>
        </w:rPr>
      </w:pPr>
    </w:p>
    <w:p w:rsidR="005F2D61" w:rsidRDefault="00C80795" w14:paraId="0000009D" w14:textId="77777777">
      <w:pPr>
        <w:tabs>
          <w:tab w:val="center" w:pos="0"/>
        </w:tabs>
        <w:rPr>
          <w:sz w:val="24"/>
          <w:szCs w:val="24"/>
        </w:rPr>
      </w:pPr>
      <w:r>
        <w:rPr>
          <w:sz w:val="24"/>
          <w:szCs w:val="24"/>
        </w:rPr>
        <w:t xml:space="preserve">Results of this collection will not be tabulated or published. Information collected will be used for internal administration of contracts. </w:t>
      </w:r>
    </w:p>
    <w:p w:rsidR="005F2D61" w:rsidRDefault="005F2D61" w14:paraId="0000009E" w14:textId="77777777">
      <w:pPr>
        <w:tabs>
          <w:tab w:val="center" w:pos="0"/>
        </w:tabs>
        <w:rPr>
          <w:sz w:val="24"/>
          <w:szCs w:val="24"/>
        </w:rPr>
      </w:pPr>
    </w:p>
    <w:p w:rsidR="005F2D61" w:rsidRDefault="00C80795" w14:paraId="0000009F" w14:textId="77777777">
      <w:pPr>
        <w:tabs>
          <w:tab w:val="center" w:pos="0"/>
        </w:tabs>
        <w:rPr>
          <w:b/>
          <w:sz w:val="24"/>
          <w:szCs w:val="24"/>
        </w:rPr>
      </w:pPr>
      <w:r>
        <w:rPr>
          <w:b/>
          <w:sz w:val="24"/>
          <w:szCs w:val="24"/>
        </w:rPr>
        <w:t>17.  If seeking approval to not display the expiration date for OMB approval of the information collection, explain the reasons that display would be inappropriate.</w:t>
      </w:r>
    </w:p>
    <w:p w:rsidR="005F2D61" w:rsidRDefault="005F2D61" w14:paraId="000000A0" w14:textId="77777777">
      <w:pPr>
        <w:tabs>
          <w:tab w:val="center" w:pos="0"/>
        </w:tabs>
        <w:rPr>
          <w:sz w:val="24"/>
          <w:szCs w:val="24"/>
        </w:rPr>
      </w:pPr>
    </w:p>
    <w:p w:rsidR="005F2D61" w:rsidRDefault="00C80795" w14:paraId="000000A1" w14:textId="77777777">
      <w:pPr>
        <w:tabs>
          <w:tab w:val="center" w:pos="0"/>
        </w:tabs>
        <w:rPr>
          <w:sz w:val="24"/>
          <w:szCs w:val="24"/>
        </w:rPr>
      </w:pPr>
      <w:r>
        <w:rPr>
          <w:sz w:val="24"/>
          <w:szCs w:val="24"/>
        </w:rPr>
        <w:t>GSA is not seeking such approval.</w:t>
      </w:r>
    </w:p>
    <w:p w:rsidR="005F2D61" w:rsidRDefault="005F2D61" w14:paraId="000000A2" w14:textId="77777777">
      <w:pPr>
        <w:tabs>
          <w:tab w:val="center" w:pos="0"/>
        </w:tabs>
        <w:rPr>
          <w:sz w:val="24"/>
          <w:szCs w:val="24"/>
        </w:rPr>
      </w:pPr>
    </w:p>
    <w:p w:rsidR="005F2D61" w:rsidRDefault="00C80795" w14:paraId="000000A3" w14:textId="77777777">
      <w:pPr>
        <w:tabs>
          <w:tab w:val="center" w:pos="0"/>
        </w:tabs>
        <w:rPr>
          <w:b/>
          <w:sz w:val="24"/>
          <w:szCs w:val="24"/>
        </w:rPr>
      </w:pPr>
      <w:r>
        <w:rPr>
          <w:b/>
          <w:sz w:val="24"/>
          <w:szCs w:val="24"/>
        </w:rPr>
        <w:t xml:space="preserve">18.  Explain each exception to the certification statement identified in the “Certification for Paperwork Reduction Act Submissions”.  </w:t>
      </w:r>
    </w:p>
    <w:p w:rsidR="005F2D61" w:rsidRDefault="005F2D61" w14:paraId="000000A4" w14:textId="77777777">
      <w:pPr>
        <w:tabs>
          <w:tab w:val="center" w:pos="0"/>
        </w:tabs>
        <w:rPr>
          <w:sz w:val="24"/>
          <w:szCs w:val="24"/>
        </w:rPr>
      </w:pPr>
    </w:p>
    <w:p w:rsidR="005F2D61" w:rsidRDefault="00C80795" w14:paraId="000000A5" w14:textId="77777777">
      <w:pPr>
        <w:tabs>
          <w:tab w:val="center" w:pos="0"/>
        </w:tabs>
        <w:rPr>
          <w:sz w:val="24"/>
          <w:szCs w:val="24"/>
        </w:rPr>
      </w:pPr>
      <w:r>
        <w:rPr>
          <w:sz w:val="24"/>
          <w:szCs w:val="24"/>
        </w:rPr>
        <w:t>There are no exceptions to the certification accompanying this Paperwork Reduction Act submission.</w:t>
      </w:r>
    </w:p>
    <w:p w:rsidR="005F2D61" w:rsidRDefault="005F2D61" w14:paraId="000000A6" w14:textId="77777777">
      <w:pPr>
        <w:rPr>
          <w:sz w:val="24"/>
          <w:szCs w:val="24"/>
        </w:rPr>
      </w:pPr>
    </w:p>
    <w:p w:rsidR="005F2D61" w:rsidRDefault="00C80795" w14:paraId="000000A7" w14:textId="77777777">
      <w:pPr>
        <w:numPr>
          <w:ilvl w:val="0"/>
          <w:numId w:val="1"/>
        </w:numPr>
        <w:tabs>
          <w:tab w:val="left" w:pos="360"/>
        </w:tabs>
        <w:rPr>
          <w:b/>
          <w:sz w:val="24"/>
          <w:szCs w:val="24"/>
        </w:rPr>
      </w:pPr>
      <w:r>
        <w:rPr>
          <w:b/>
          <w:sz w:val="24"/>
          <w:szCs w:val="24"/>
        </w:rPr>
        <w:t>Collections of Information Employing Statistical Methods.</w:t>
      </w:r>
    </w:p>
    <w:p w:rsidR="005F2D61" w:rsidRDefault="005F2D61" w14:paraId="000000A8" w14:textId="77777777">
      <w:pPr>
        <w:rPr>
          <w:sz w:val="24"/>
          <w:szCs w:val="24"/>
        </w:rPr>
      </w:pPr>
    </w:p>
    <w:p w:rsidR="005F2D61" w:rsidRDefault="00C80795" w14:paraId="000000A9" w14:textId="77777777">
      <w:pPr>
        <w:rPr>
          <w:color w:val="000000"/>
          <w:sz w:val="24"/>
          <w:szCs w:val="24"/>
        </w:rPr>
      </w:pPr>
      <w:r>
        <w:rPr>
          <w:sz w:val="24"/>
          <w:szCs w:val="24"/>
        </w:rPr>
        <w:t>Statistical methods are not used in this information collection.</w:t>
      </w:r>
    </w:p>
    <w:p w:rsidR="005F2D61" w:rsidRDefault="005F2D61" w14:paraId="000000AA" w14:textId="77777777">
      <w:pPr>
        <w:rPr>
          <w:sz w:val="24"/>
          <w:szCs w:val="24"/>
        </w:rPr>
      </w:pPr>
    </w:p>
    <w:sectPr w:rsidR="005F2D61">
      <w:headerReference w:type="default" r:id="rId7"/>
      <w:foot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CBF3" w14:textId="77777777" w:rsidR="00C80795" w:rsidRDefault="00C80795">
      <w:r>
        <w:separator/>
      </w:r>
    </w:p>
  </w:endnote>
  <w:endnote w:type="continuationSeparator" w:id="0">
    <w:p w14:paraId="79D89102" w14:textId="77777777" w:rsidR="00C80795" w:rsidRDefault="00C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5F2D61" w:rsidRDefault="005F2D61">
    <w:pPr>
      <w:tabs>
        <w:tab w:val="right" w:pos="10080"/>
      </w:tabs>
      <w:ind w:left="-720" w:right="-720"/>
      <w:rPr>
        <w:b/>
      </w:rPr>
    </w:pPr>
  </w:p>
  <w:p w14:paraId="000000AF" w14:textId="7DA92BD3" w:rsidR="005F2D61" w:rsidRDefault="00C80795">
    <w:pPr>
      <w:tabs>
        <w:tab w:val="right" w:pos="9360"/>
        <w:tab w:val="right" w:pos="10080"/>
      </w:tabs>
      <w:spacing w:after="720"/>
      <w:ind w:left="-720" w:right="-720"/>
      <w:jc w:val="center"/>
    </w:pPr>
    <w:r>
      <w:rPr>
        <w:b/>
      </w:rPr>
      <w:t xml:space="preserve">Page </w:t>
    </w:r>
    <w:r>
      <w:fldChar w:fldCharType="begin"/>
    </w:r>
    <w:r>
      <w:instrText>PAGE</w:instrText>
    </w:r>
    <w:r>
      <w:fldChar w:fldCharType="separate"/>
    </w:r>
    <w:r w:rsidR="004F38FA">
      <w:rPr>
        <w:noProof/>
      </w:rPr>
      <w:t>1</w:t>
    </w:r>
    <w:r>
      <w:fldChar w:fldCharType="end"/>
    </w:r>
    <w:r>
      <w:rPr>
        <w:b/>
      </w:rPr>
      <w:t xml:space="preserve"> of </w:t>
    </w:r>
    <w:r>
      <w:fldChar w:fldCharType="begin"/>
    </w:r>
    <w:r>
      <w:instrText>NUMPAGES</w:instrText>
    </w:r>
    <w:r>
      <w:fldChar w:fldCharType="separate"/>
    </w:r>
    <w:r w:rsidR="004F38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F303" w14:textId="77777777" w:rsidR="00C80795" w:rsidRDefault="00C80795">
      <w:r>
        <w:separator/>
      </w:r>
    </w:p>
  </w:footnote>
  <w:footnote w:type="continuationSeparator" w:id="0">
    <w:p w14:paraId="1B6DA3DB" w14:textId="77777777" w:rsidR="00C80795" w:rsidRDefault="00C8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5F2D61" w:rsidRDefault="00C80795">
    <w:pPr>
      <w:tabs>
        <w:tab w:val="right" w:pos="10080"/>
      </w:tabs>
      <w:spacing w:before="720"/>
      <w:ind w:left="-720" w:right="-720"/>
    </w:pPr>
    <w:r>
      <w:rPr>
        <w:b/>
      </w:rPr>
      <w:t>Information Collection 3090-XXXX</w:t>
    </w:r>
    <w:r>
      <w:rPr>
        <w:b/>
      </w:rPr>
      <w:tab/>
      <w:t>Tab G - Supporting Statement</w:t>
    </w:r>
  </w:p>
  <w:p w14:paraId="000000AC" w14:textId="77777777" w:rsidR="005F2D61" w:rsidRDefault="00C80795">
    <w:pPr>
      <w:tabs>
        <w:tab w:val="right" w:pos="10080"/>
      </w:tabs>
      <w:ind w:left="-720" w:right="-720"/>
      <w:rPr>
        <w:b/>
      </w:rPr>
    </w:pPr>
    <w:r>
      <w:rPr>
        <w:b/>
      </w:rPr>
      <w:t>ICR for Secure Federal LEASEs Act</w:t>
    </w:r>
  </w:p>
  <w:p w14:paraId="000000AD" w14:textId="77777777" w:rsidR="005F2D61" w:rsidRDefault="005F2D61">
    <w:pPr>
      <w:pBdr>
        <w:top w:val="nil"/>
        <w:left w:val="nil"/>
        <w:bottom w:val="nil"/>
        <w:right w:val="nil"/>
        <w:between w:val="nil"/>
      </w:pBdr>
      <w:tabs>
        <w:tab w:val="right" w:pos="10080"/>
      </w:tabs>
      <w:ind w:left="-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D83"/>
    <w:multiLevelType w:val="multilevel"/>
    <w:tmpl w:val="29921064"/>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61"/>
    <w:rsid w:val="00433973"/>
    <w:rsid w:val="004F38FA"/>
    <w:rsid w:val="005F2D61"/>
    <w:rsid w:val="00C8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FC83"/>
  <w15:docId w15:val="{3E4F6C85-4F85-4FB6-BC99-8CE9C45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4"/>
      <w:szCs w:val="24"/>
      <w:u w:val="single"/>
    </w:rPr>
  </w:style>
  <w:style w:type="paragraph" w:styleId="Heading2">
    <w:name w:val="heading 2"/>
    <w:basedOn w:val="Normal"/>
    <w:next w:val="Normal"/>
    <w:uiPriority w:val="9"/>
    <w:unhideWhenUsed/>
    <w:qFormat/>
    <w:pPr>
      <w:keepNext/>
      <w:outlineLvl w:val="1"/>
    </w:pPr>
    <w:rPr>
      <w:b/>
      <w:sz w:val="24"/>
      <w:szCs w:val="24"/>
    </w:rPr>
  </w:style>
  <w:style w:type="paragraph" w:styleId="Heading3">
    <w:name w:val="heading 3"/>
    <w:basedOn w:val="Normal"/>
    <w:next w:val="Normal"/>
    <w:uiPriority w:val="9"/>
    <w:semiHidden/>
    <w:unhideWhenUsed/>
    <w:qFormat/>
    <w:pPr>
      <w:keepNext/>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3</cp:revision>
  <dcterms:created xsi:type="dcterms:W3CDTF">2021-06-25T16:16:00Z</dcterms:created>
  <dcterms:modified xsi:type="dcterms:W3CDTF">2021-06-25T18:54:00Z</dcterms:modified>
</cp:coreProperties>
</file>