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763AEC69" w14:textId="77777777">
      <w:pPr>
        <w:jc w:val="center"/>
      </w:pPr>
    </w:p>
    <w:p w:rsidR="00933321" w:rsidRDefault="00933321" w14:paraId="4D8C744D" w14:textId="77777777">
      <w:pPr>
        <w:jc w:val="center"/>
      </w:pPr>
    </w:p>
    <w:p w:rsidR="00933321" w:rsidRDefault="00933321" w14:paraId="20568711" w14:textId="77777777">
      <w:pPr>
        <w:jc w:val="center"/>
      </w:pPr>
      <w:r>
        <w:t>OMB SUPPORTING STATEMENT</w:t>
      </w:r>
    </w:p>
    <w:p w:rsidR="00933321" w:rsidRDefault="00933321" w14:paraId="32884987" w14:textId="77777777"/>
    <w:p w:rsidR="00933321" w:rsidP="003D7075" w:rsidRDefault="00A735EB" w14:paraId="31799C48" w14:textId="1B923D40">
      <w:r w:rsidRPr="00A735EB">
        <w:rPr>
          <w:snapToGrid w:val="0"/>
          <w:sz w:val="22"/>
          <w:szCs w:val="22"/>
        </w:rPr>
        <w:t>SF 28</w:t>
      </w:r>
      <w:r w:rsidR="003D7075">
        <w:rPr>
          <w:snapToGrid w:val="0"/>
          <w:sz w:val="22"/>
          <w:szCs w:val="22"/>
        </w:rPr>
        <w:t>17</w:t>
      </w:r>
      <w:r w:rsidRPr="00A735EB">
        <w:rPr>
          <w:snapToGrid w:val="0"/>
          <w:sz w:val="22"/>
          <w:szCs w:val="22"/>
        </w:rPr>
        <w:tab/>
      </w:r>
      <w:r w:rsidR="003D7075">
        <w:rPr>
          <w:i/>
          <w:iCs/>
          <w:snapToGrid w:val="0"/>
          <w:sz w:val="22"/>
          <w:szCs w:val="22"/>
        </w:rPr>
        <w:t>Life Insurance Election</w:t>
      </w:r>
    </w:p>
    <w:p w:rsidR="00933321" w:rsidRDefault="00933321" w14:paraId="216D40A3" w14:textId="77777777"/>
    <w:p w:rsidR="00933321" w:rsidRDefault="00933321" w14:paraId="775575D1" w14:textId="77777777">
      <w:pPr>
        <w:numPr>
          <w:ilvl w:val="0"/>
          <w:numId w:val="1"/>
        </w:numPr>
      </w:pPr>
      <w:r>
        <w:t>Justification</w:t>
      </w:r>
    </w:p>
    <w:p w:rsidR="00933321" w:rsidRDefault="00933321" w14:paraId="2495D381" w14:textId="77777777"/>
    <w:p w:rsidRPr="00741061" w:rsidR="00EB14B8" w:rsidP="00EB14B8" w:rsidRDefault="00EB14B8" w14:paraId="22DFCA04"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14:paraId="7E55C03C" w14:textId="77777777">
      <w:pPr>
        <w:ind w:left="720"/>
      </w:pPr>
    </w:p>
    <w:p w:rsidR="00933321" w:rsidP="002C512F" w:rsidRDefault="001E0E4C" w14:paraId="79D62AAB" w14:textId="73F1AAF7">
      <w:pPr>
        <w:ind w:left="720"/>
      </w:pPr>
      <w:r>
        <w:t xml:space="preserve">Chapter 87 of title 5, United States code, authorizes the Office of Personnel Management (OPM) to administer the Federal Employees’ Group Life Insurance Program, and to issue regulations to carry out the provisions of the FEGLI law.  The law and regulations specify that at the time an individual is hired, he or she is automatically enrolled in </w:t>
      </w:r>
      <w:r w:rsidR="00FF3883">
        <w:br/>
      </w:r>
      <w:r>
        <w:t xml:space="preserve">Basic </w:t>
      </w:r>
      <w:r w:rsidR="009B110F">
        <w:t>insurance and</w:t>
      </w:r>
      <w:r>
        <w:t xml:space="preserve"> </w:t>
      </w:r>
      <w:proofErr w:type="gramStart"/>
      <w:r>
        <w:t>has the opportunity to</w:t>
      </w:r>
      <w:proofErr w:type="gramEnd"/>
      <w:r>
        <w:t xml:space="preserve"> elect optional insurance. In addition, there are other circumstances and opportunities to enroll or change one’s enrollment.  Standard Form 2817 – Life Insurance Election – is the form that eligible individuals use to enroll or change enrollment status under the FEGLI Program.</w:t>
      </w:r>
    </w:p>
    <w:p w:rsidR="00933321" w:rsidRDefault="00933321" w14:paraId="282FD284" w14:textId="77777777">
      <w:pPr>
        <w:ind w:left="360"/>
      </w:pPr>
    </w:p>
    <w:p w:rsidRPr="00741061" w:rsidR="00EB14B8" w:rsidP="00EB14B8" w:rsidRDefault="00EB14B8" w14:paraId="4DABD71D"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14:paraId="5468401C" w14:textId="77777777">
      <w:pPr>
        <w:ind w:left="720"/>
      </w:pPr>
    </w:p>
    <w:p w:rsidRPr="00EA7EBB" w:rsidR="00933321" w:rsidP="00EB14B8" w:rsidRDefault="00C87392" w14:paraId="3E706470" w14:textId="375A083A">
      <w:pPr>
        <w:ind w:left="720"/>
        <w:rPr>
          <w:szCs w:val="24"/>
        </w:rPr>
      </w:pPr>
      <w:r>
        <w:t xml:space="preserve">The SF 2817 is used by Federal employees and assignees (those who have acquired control of an employee/annuitant’s coverage through an assignment or “transfer” of the ownership of the life insurance).  Clearance of this form for use by active Federal employees is not required according to the Paperwork Reduction Act (P.L. 98-615).  Therefore, only the use of this form by assignees, </w:t>
      </w:r>
      <w:r w:rsidR="00B759E8">
        <w:t>(</w:t>
      </w:r>
      <w:r>
        <w:t>i.e.</w:t>
      </w:r>
      <w:r w:rsidR="00B759E8">
        <w:t>,</w:t>
      </w:r>
      <w:r>
        <w:t xml:space="preserve"> members of the public</w:t>
      </w:r>
      <w:r w:rsidR="00B759E8">
        <w:t>)</w:t>
      </w:r>
      <w:r>
        <w:t>, is subject to the Paperwork Reduction Act.</w:t>
      </w:r>
      <w:r w:rsidRPr="00EA7EBB" w:rsidR="00C44F4E">
        <w:rPr>
          <w:szCs w:val="24"/>
        </w:rPr>
        <w:t xml:space="preserve"> </w:t>
      </w:r>
      <w:r w:rsidRPr="00EA7EBB" w:rsidR="00597C15">
        <w:rPr>
          <w:szCs w:val="24"/>
        </w:rPr>
        <w:t>The Privacy Act Statement (PAS) is current due to a systematic review by our Privacy Officer</w:t>
      </w:r>
      <w:r w:rsidRPr="00EA7EBB" w:rsidR="00C44F4E">
        <w:rPr>
          <w:szCs w:val="24"/>
        </w:rPr>
        <w:t xml:space="preserve">. The Public Burden Statement meets the requirements of 5 </w:t>
      </w:r>
      <w:smartTag w:uri="urn:schemas-microsoft-com:office:smarttags" w:element="stockticker">
        <w:r w:rsidR="00C44F4E" w:rsidRPr="00EA7EBB">
          <w:rPr>
            <w:szCs w:val="24"/>
          </w:rPr>
          <w:t>CFR</w:t>
        </w:r>
      </w:smartTag>
      <w:r w:rsidRPr="00EA7EBB" w:rsidR="00C44F4E">
        <w:rPr>
          <w:szCs w:val="24"/>
        </w:rPr>
        <w:t xml:space="preserve"> 1320.8(b)(3).</w:t>
      </w:r>
      <w:r w:rsidRPr="00EA7EBB" w:rsidR="00597C15">
        <w:rPr>
          <w:szCs w:val="24"/>
        </w:rPr>
        <w:t xml:space="preserve"> This Information Collection Request (ICR) has been revised </w:t>
      </w:r>
      <w:r w:rsidRPr="00EA7EBB" w:rsidR="00B253F3">
        <w:rPr>
          <w:szCs w:val="24"/>
        </w:rPr>
        <w:t xml:space="preserve">to update </w:t>
      </w:r>
      <w:r w:rsidRPr="00EA7EBB" w:rsidR="00E07C7E">
        <w:rPr>
          <w:szCs w:val="24"/>
        </w:rPr>
        <w:t xml:space="preserve">the display of the </w:t>
      </w:r>
      <w:r w:rsidRPr="00EA7EBB" w:rsidR="00597C15">
        <w:rPr>
          <w:szCs w:val="24"/>
        </w:rPr>
        <w:t xml:space="preserve">OMB </w:t>
      </w:r>
      <w:r w:rsidRPr="00EA7EBB" w:rsidR="00E07C7E">
        <w:rPr>
          <w:szCs w:val="24"/>
        </w:rPr>
        <w:t>control number</w:t>
      </w:r>
      <w:r w:rsidR="006601F5">
        <w:rPr>
          <w:szCs w:val="24"/>
        </w:rPr>
        <w:t xml:space="preserve"> and there are editorial changes to the instructions and form</w:t>
      </w:r>
      <w:r w:rsidR="0055611D">
        <w:rPr>
          <w:szCs w:val="24"/>
        </w:rPr>
        <w:t>.</w:t>
      </w:r>
    </w:p>
    <w:p w:rsidR="007D1502" w:rsidP="007D1502" w:rsidRDefault="007D1502" w14:paraId="78C9F699" w14:textId="77777777">
      <w:pPr>
        <w:ind w:left="360"/>
      </w:pPr>
    </w:p>
    <w:p w:rsidRPr="00741061" w:rsidR="00EB14B8" w:rsidP="00EB14B8" w:rsidRDefault="00EB14B8" w14:paraId="77064A9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14:paraId="476831D6" w14:textId="77777777">
      <w:pPr>
        <w:ind w:left="720"/>
      </w:pPr>
    </w:p>
    <w:p w:rsidRPr="00391701" w:rsidR="00933321" w:rsidP="00EB14B8" w:rsidRDefault="003237E1" w14:paraId="034CB464" w14:textId="22BAAF90">
      <w:pPr>
        <w:ind w:left="720"/>
        <w:rPr>
          <w:szCs w:val="24"/>
        </w:rPr>
      </w:pPr>
      <w:r>
        <w:t xml:space="preserve">We continue to explore new and innovative methods of information technology to collect the information from employees, although that is not the audience for this request.  </w:t>
      </w:r>
      <w:r w:rsidR="00FF3883">
        <w:br/>
      </w:r>
      <w:r>
        <w:t xml:space="preserve">While agencies have begun the use of information technology to process life insurance elections, it is not currently available to allow non-Federal employee assignees to utilize this same technology. As a result, we do not believe the process would be any less burdensome than it currently is.  Completion of the SF 2817 is a voluntary action by the </w:t>
      </w:r>
      <w:r>
        <w:lastRenderedPageBreak/>
        <w:t>respondent, and the information collected can only be obtained from the respondent.</w:t>
      </w:r>
      <w:r w:rsidRPr="00391701" w:rsidR="00391701">
        <w:rPr>
          <w:szCs w:val="24"/>
        </w:rPr>
        <w:t xml:space="preserve">  </w:t>
      </w:r>
      <w:r w:rsidRPr="00391701" w:rsidR="001D210A">
        <w:rPr>
          <w:szCs w:val="24"/>
        </w:rPr>
        <w:t>Th</w:t>
      </w:r>
      <w:r w:rsidR="00391701">
        <w:rPr>
          <w:szCs w:val="24"/>
        </w:rPr>
        <w:t>is</w:t>
      </w:r>
      <w:r w:rsidRPr="00391701" w:rsidR="001D210A">
        <w:rPr>
          <w:szCs w:val="24"/>
        </w:rPr>
        <w:t xml:space="preserve"> form is available in PDF fillable format on our website at </w:t>
      </w:r>
      <w:hyperlink w:history="1" r:id="rId5">
        <w:r w:rsidRPr="00391701" w:rsidR="001D210A">
          <w:rPr>
            <w:rStyle w:val="Hyperlink"/>
            <w:szCs w:val="24"/>
          </w:rPr>
          <w:t>www.opm.gov/forms</w:t>
        </w:r>
      </w:hyperlink>
      <w:r w:rsidRPr="00391701" w:rsidR="001D210A">
        <w:rPr>
          <w:szCs w:val="24"/>
        </w:rPr>
        <w:t xml:space="preserve"> </w:t>
      </w:r>
      <w:r w:rsidRPr="00391701" w:rsidR="005F46F0">
        <w:rPr>
          <w:szCs w:val="24"/>
        </w:rPr>
        <w:t>and meets the GPEA requirements.</w:t>
      </w:r>
    </w:p>
    <w:p w:rsidR="00933321" w:rsidRDefault="00933321" w14:paraId="30B1050B" w14:textId="77777777">
      <w:pPr>
        <w:ind w:left="360"/>
      </w:pPr>
    </w:p>
    <w:p w:rsidRPr="00741061" w:rsidR="009B7453" w:rsidP="009B7453" w:rsidRDefault="00EB14B8" w14:paraId="121B50F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14:paraId="3CFECA29" w14:textId="77777777">
      <w:pPr>
        <w:ind w:left="720"/>
      </w:pPr>
    </w:p>
    <w:p w:rsidR="00933321" w:rsidP="009B7453" w:rsidRDefault="001C61D7" w14:paraId="159E4EFA" w14:textId="66367D9D">
      <w:pPr>
        <w:ind w:left="720"/>
      </w:pPr>
      <w:r w:rsidRPr="001C61D7">
        <w:t>Every effort is made to identify and avoid duplication, and its occurrence is unlikely.  Respondents (i.e., assignees) are never required to complete the form. The form is only completed when the assignee voluntarily chooses to reduce the insured’s life insurance coverage.</w:t>
      </w:r>
    </w:p>
    <w:p w:rsidR="00933321" w:rsidRDefault="00933321" w14:paraId="75489C9E" w14:textId="77777777"/>
    <w:p w:rsidRPr="00741061" w:rsidR="009B7453" w:rsidP="009B7453" w:rsidRDefault="009B7453" w14:paraId="7DAD4465" w14:textId="3222072E">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w:t>
      </w:r>
      <w:r w:rsidR="004444EB">
        <w:br/>
      </w:r>
      <w:r w:rsidRPr="00741061">
        <w:t>(Item 5 of OMB Form 83-I), describe any methods used to minimize.</w:t>
      </w:r>
    </w:p>
    <w:p w:rsidR="009B7453" w:rsidP="009B7453" w:rsidRDefault="009B7453" w14:paraId="7B25BF37" w14:textId="77777777">
      <w:pPr>
        <w:ind w:left="720"/>
      </w:pPr>
      <w:r w:rsidRPr="00741061">
        <w:tab/>
      </w:r>
    </w:p>
    <w:p w:rsidR="00933321" w:rsidP="009B7453" w:rsidRDefault="004444EB" w14:paraId="722589CD" w14:textId="3462173B">
      <w:pPr>
        <w:ind w:left="720"/>
      </w:pPr>
      <w:r>
        <w:t>This information collection request has no impact on small businesses and organizations.</w:t>
      </w:r>
    </w:p>
    <w:p w:rsidR="00933321" w:rsidRDefault="00933321" w14:paraId="2524822C" w14:textId="77777777"/>
    <w:p w:rsidRPr="00741061" w:rsidR="009B7453" w:rsidP="009B7453" w:rsidRDefault="009B7453" w14:paraId="04A29FD7" w14:textId="77777777">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rsidRDefault="009B7453" w14:paraId="6DDAA404" w14:textId="77777777">
      <w:pPr>
        <w:ind w:left="720"/>
      </w:pPr>
    </w:p>
    <w:p w:rsidRPr="00376AEB" w:rsidR="00376AEB" w:rsidP="00376AEB" w:rsidRDefault="00376AEB" w14:paraId="30272593" w14:textId="77777777">
      <w:pPr>
        <w:ind w:left="720"/>
      </w:pPr>
      <w:r w:rsidRPr="00376AEB">
        <w:t xml:space="preserve">If this information is not collected, respondents (assignees) cannot reduce the insured's’ current level of FEGLI coverage. The only way to reduce the burden would be to restrict the assignee’s ability to make changes to the enrollment.  This would require a statutory and regulatory change. </w:t>
      </w:r>
    </w:p>
    <w:p w:rsidRPr="00376AEB" w:rsidR="00376AEB" w:rsidP="00376AEB" w:rsidRDefault="00376AEB" w14:paraId="68D94B0C" w14:textId="77777777">
      <w:pPr>
        <w:ind w:left="720"/>
      </w:pPr>
    </w:p>
    <w:p w:rsidRPr="00376AEB" w:rsidR="00376AEB" w:rsidP="00376AEB" w:rsidRDefault="00376AEB" w14:paraId="7320F29C" w14:textId="6EEDF8FB">
      <w:pPr>
        <w:ind w:left="720"/>
      </w:pPr>
      <w:r w:rsidRPr="00376AEB">
        <w:t xml:space="preserve">This information collection is voluntary. Respondents aren’t required to report information-it is their choice to do so. However, in declining to provide information, </w:t>
      </w:r>
      <w:r w:rsidR="00FF3883">
        <w:br/>
      </w:r>
      <w:r w:rsidRPr="00376AEB">
        <w:t>the FEGLI enrollment may not be what they want. Respondents may report information more often than quarterly-it depends on their individual circumstances.  There is no way to predict or control how often changes are requested.</w:t>
      </w:r>
    </w:p>
    <w:p w:rsidRPr="00376AEB" w:rsidR="00376AEB" w:rsidP="00376AEB" w:rsidRDefault="00376AEB" w14:paraId="5208300D" w14:textId="77777777">
      <w:pPr>
        <w:ind w:left="720"/>
      </w:pPr>
    </w:p>
    <w:p w:rsidRPr="00376AEB" w:rsidR="00376AEB" w:rsidP="00376AEB" w:rsidRDefault="00376AEB" w14:paraId="1F28336C" w14:textId="50AB297D">
      <w:pPr>
        <w:ind w:left="720"/>
      </w:pPr>
      <w:r w:rsidRPr="00376AEB">
        <w:t xml:space="preserve">Respondents complete the SF 2817, which includes the original and two carbon </w:t>
      </w:r>
      <w:r w:rsidR="00FF3883">
        <w:br/>
      </w:r>
      <w:r w:rsidRPr="00376AEB">
        <w:t xml:space="preserve">(or locally downloaded and printed) copies. The [carbon] copies are necessary to document the Official Personnel Folder (OPF) or case file, to notify the respective </w:t>
      </w:r>
      <w:r w:rsidR="00FF3883">
        <w:br/>
      </w:r>
      <w:r w:rsidRPr="00376AEB">
        <w:t>payroll office, and to provide the respondent a copy certified by the agency.</w:t>
      </w:r>
    </w:p>
    <w:p w:rsidRPr="00376AEB" w:rsidR="00376AEB" w:rsidP="00376AEB" w:rsidRDefault="00376AEB" w14:paraId="644981C3" w14:textId="77777777">
      <w:pPr>
        <w:ind w:left="720"/>
      </w:pPr>
    </w:p>
    <w:p w:rsidR="00933321" w:rsidP="00376AEB" w:rsidRDefault="00376AEB" w14:paraId="77D30E08" w14:textId="7303F346">
      <w:pPr>
        <w:ind w:left="720"/>
      </w:pPr>
      <w:r w:rsidRPr="00376AEB">
        <w:t>This collection is consistent with the guidelines of 5 CFR 1320.6.</w:t>
      </w:r>
    </w:p>
    <w:p w:rsidR="00933321" w:rsidRDefault="00933321" w14:paraId="76CE4E5A" w14:textId="77777777"/>
    <w:p w:rsidR="00BF2C23" w:rsidP="00BF2C23" w:rsidRDefault="00E54E94" w14:paraId="63A0BFDD"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BF2C23" w:rsidP="00BF2C23" w:rsidRDefault="00BF2C23" w14:paraId="28ED7427" w14:textId="77777777">
      <w:pPr>
        <w:pStyle w:val="ListParagraph"/>
        <w:numPr>
          <w:ilvl w:val="0"/>
          <w:numId w:val="3"/>
        </w:numPr>
        <w:shd w:val="pct25" w:color="auto" w:fill="auto"/>
        <w:tabs>
          <w:tab w:val="left" w:pos="-720"/>
        </w:tabs>
        <w:suppressAutoHyphens/>
      </w:pPr>
      <w:r>
        <w:t>requiring respondents to report information to the agency more often than quarterly;</w:t>
      </w:r>
    </w:p>
    <w:p w:rsidR="00BF2C23" w:rsidP="00BF2C23" w:rsidRDefault="00BF2C23" w14:paraId="388DC11A"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BF2C23" w:rsidP="00BF2C23" w:rsidRDefault="00BF2C23" w14:paraId="3135E07B"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BF2C23" w:rsidP="00BF2C23" w:rsidRDefault="00BF2C23" w14:paraId="7AF1A6F2" w14:textId="77777777">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BF2C23" w:rsidP="00BF2C23" w:rsidRDefault="00BF2C23" w14:paraId="239E9112" w14:textId="77777777">
      <w:pPr>
        <w:pStyle w:val="ListParagraph"/>
        <w:numPr>
          <w:ilvl w:val="0"/>
          <w:numId w:val="3"/>
        </w:numPr>
        <w:shd w:val="pct25" w:color="auto" w:fill="auto"/>
        <w:tabs>
          <w:tab w:val="left" w:pos="-720"/>
        </w:tabs>
        <w:suppressAutoHyphens/>
      </w:pPr>
      <w:r>
        <w:lastRenderedPageBreak/>
        <w:t xml:space="preserve">in connection with a statistical survey, that is not designed to produce valid and reliable results that can be generalized to the universe of study; </w:t>
      </w:r>
    </w:p>
    <w:p w:rsidR="00BF2C23" w:rsidP="00BF2C23" w:rsidRDefault="00BF2C23" w14:paraId="15301C75"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BF2C23" w:rsidP="00BF2C23" w:rsidRDefault="00BF2C23" w14:paraId="71C081D4" w14:textId="77777777">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Pr="00741061" w:rsidR="00E54E94" w:rsidP="00BF2C23" w:rsidRDefault="00BF2C23" w14:paraId="01418D3E"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P="00E54E94" w:rsidRDefault="00E54E94" w14:paraId="4AD4344D" w14:textId="77777777">
      <w:pPr>
        <w:ind w:left="720"/>
      </w:pPr>
    </w:p>
    <w:p w:rsidR="00933321" w:rsidP="00E54E94" w:rsidRDefault="00BF2C23" w14:paraId="49E75154" w14:textId="77777777">
      <w:pPr>
        <w:ind w:left="720"/>
      </w:pPr>
      <w:r>
        <w:t>There are no special circumstances involved in the collection of this information.</w:t>
      </w:r>
    </w:p>
    <w:p w:rsidR="00933321" w:rsidRDefault="00933321" w14:paraId="4A27E346" w14:textId="77777777"/>
    <w:p w:rsidRPr="00741061" w:rsidR="00E54E94" w:rsidP="00E54E94" w:rsidRDefault="00E54E94" w14:paraId="7746D383"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009D48D9">
        <w:t xml:space="preserve">the </w:t>
      </w:r>
      <w:r w:rsidRPr="00741061">
        <w:t>publication in the Federal Register of the agency’s notice soliciting comments on the information collection prior to submission to OMB</w:t>
      </w:r>
      <w:r w:rsidR="00D63221">
        <w:t>.</w:t>
      </w:r>
    </w:p>
    <w:p w:rsidR="00E54E94" w:rsidP="00E54E94" w:rsidRDefault="00E54E94" w14:paraId="732D35AF" w14:textId="77777777">
      <w:pPr>
        <w:ind w:left="720"/>
      </w:pPr>
    </w:p>
    <w:p w:rsidR="007C4884" w:rsidP="006B3052" w:rsidRDefault="00BF2C23" w14:paraId="705B22ED" w14:textId="1C10E6A2">
      <w:pPr>
        <w:autoSpaceDE w:val="0"/>
        <w:autoSpaceDN w:val="0"/>
        <w:adjustRightInd w:val="0"/>
        <w:ind w:left="720" w:right="720"/>
      </w:pPr>
      <w:r>
        <w:t xml:space="preserve">On </w:t>
      </w:r>
      <w:r w:rsidR="006B3052">
        <w:t>February</w:t>
      </w:r>
      <w:r w:rsidR="00982855">
        <w:t xml:space="preserve"> </w:t>
      </w:r>
      <w:r w:rsidR="00375FE9">
        <w:t>24</w:t>
      </w:r>
      <w:r>
        <w:t>, 20</w:t>
      </w:r>
      <w:r w:rsidR="00982855">
        <w:t>2</w:t>
      </w:r>
      <w:r w:rsidR="006B3052">
        <w:t>1</w:t>
      </w:r>
      <w:r>
        <w:t>, a 60 Day Federal Register Notice was published at 8</w:t>
      </w:r>
      <w:r w:rsidR="00375FE9">
        <w:t>6</w:t>
      </w:r>
      <w:r>
        <w:t xml:space="preserve"> FR </w:t>
      </w:r>
      <w:r w:rsidR="00375FE9">
        <w:t>11340</w:t>
      </w:r>
      <w:r>
        <w:t xml:space="preserve">. </w:t>
      </w:r>
      <w:r w:rsidR="00375FE9">
        <w:t>N</w:t>
      </w:r>
      <w:r w:rsidR="006B3052">
        <w:t>o</w:t>
      </w:r>
      <w:r w:rsidR="00145FB9">
        <w:t xml:space="preserve"> </w:t>
      </w:r>
      <w:r>
        <w:t>comment</w:t>
      </w:r>
      <w:r w:rsidR="006B3052">
        <w:t>s</w:t>
      </w:r>
      <w:r>
        <w:t xml:space="preserve"> </w:t>
      </w:r>
      <w:r w:rsidR="00982855">
        <w:t>w</w:t>
      </w:r>
      <w:r w:rsidR="006B3052">
        <w:t>ere received.</w:t>
      </w:r>
    </w:p>
    <w:p w:rsidR="00E54E94" w:rsidP="00E54E94" w:rsidRDefault="00E54E94" w14:paraId="21721938" w14:textId="77777777">
      <w:pPr>
        <w:ind w:left="720"/>
      </w:pPr>
    </w:p>
    <w:p w:rsidRPr="00741061" w:rsidR="00E54E94" w:rsidP="00E54E94" w:rsidRDefault="00E54E94" w14:paraId="313E3BBB"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14:paraId="3B864C3A" w14:textId="77777777">
      <w:pPr>
        <w:tabs>
          <w:tab w:val="left" w:pos="-720"/>
        </w:tabs>
        <w:suppressAutoHyphens/>
        <w:ind w:right="-288"/>
      </w:pPr>
    </w:p>
    <w:p w:rsidRPr="00741061" w:rsidR="00E54E94" w:rsidP="00E54E94" w:rsidRDefault="00E54E94" w14:paraId="2A271800" w14:textId="77777777">
      <w:pPr>
        <w:tabs>
          <w:tab w:val="left" w:pos="-720"/>
        </w:tabs>
        <w:suppressAutoHyphens/>
        <w:ind w:left="720" w:right="-576"/>
      </w:pPr>
      <w:r w:rsidRPr="00741061">
        <w:t>No gifts or payments of any kind have been provided to any individuals who are connected to this collection.</w:t>
      </w:r>
    </w:p>
    <w:p w:rsidR="00E54E94" w:rsidP="00E54E94" w:rsidRDefault="00E54E94" w14:paraId="38D0840E" w14:textId="77777777">
      <w:pPr>
        <w:ind w:left="720" w:right="-288"/>
      </w:pPr>
    </w:p>
    <w:p w:rsidRPr="00741061" w:rsidR="00E54E94" w:rsidP="00E54E94" w:rsidRDefault="00E54E94" w14:paraId="3266CE93"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14:paraId="2D0FADCD" w14:textId="77777777">
      <w:pPr>
        <w:ind w:left="720" w:right="-288"/>
      </w:pPr>
    </w:p>
    <w:p w:rsidR="00E54E94" w:rsidP="00E54E94" w:rsidRDefault="00E54E94" w14:paraId="4D8B677D" w14:textId="51637321">
      <w:pPr>
        <w:ind w:left="720" w:right="-288"/>
      </w:pPr>
      <w:r>
        <w:t xml:space="preserve">This information collection is protected by the Privacy Act of 1974 and OPM regulations </w:t>
      </w:r>
      <w:r w:rsidR="00FF3883">
        <w:br/>
      </w:r>
      <w:r>
        <w:t xml:space="preserve">(5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P="00E54E94" w:rsidRDefault="00933321" w14:paraId="780E1454" w14:textId="77777777">
      <w:pPr>
        <w:ind w:left="720"/>
      </w:pPr>
    </w:p>
    <w:p w:rsidR="00E54E94" w:rsidP="00E54E94" w:rsidRDefault="00E54E94" w14:paraId="4F2EC643" w14:textId="77777777"/>
    <w:p w:rsidRPr="00741061" w:rsidR="00E54E94" w:rsidP="00E54E94" w:rsidRDefault="00E54E94" w14:paraId="5078D9F9" w14:textId="77777777">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14:paraId="474EF2EF" w14:textId="77777777"/>
    <w:p w:rsidR="00933321" w:rsidP="00E54E94" w:rsidRDefault="00AF04CE" w14:paraId="3ACA8D9F" w14:textId="4CAB9835">
      <w:pPr>
        <w:spacing w:before="240"/>
        <w:ind w:left="720"/>
      </w:pPr>
      <w:r>
        <w:t>This information collection does not include questions of a sensitive nature, such as sexual behavior and attitudes, religious beliefs, and other matters that are commonly considered private.</w:t>
      </w:r>
    </w:p>
    <w:p w:rsidR="00A10BE7" w:rsidP="00E54E94" w:rsidRDefault="00A10BE7" w14:paraId="07A7DB97" w14:textId="77777777">
      <w:pPr>
        <w:spacing w:before="240"/>
        <w:ind w:left="720"/>
      </w:pPr>
    </w:p>
    <w:p w:rsidRPr="00741061" w:rsidR="00E54E94" w:rsidP="00D63221" w:rsidRDefault="00E54E94" w14:paraId="4D9FE6A1" w14:textId="77777777">
      <w:pPr>
        <w:pStyle w:val="ListParagraph"/>
        <w:shd w:val="pct25" w:color="auto" w:fill="FFFFFF"/>
        <w:tabs>
          <w:tab w:val="left" w:pos="-720"/>
        </w:tabs>
        <w:suppressAutoHyphens/>
        <w:ind w:left="288"/>
      </w:pPr>
      <w:r w:rsidRPr="00741061">
        <w:t>12. Provide estimates of the hour burden of the collection of information.  The statement</w:t>
      </w:r>
      <w:r w:rsidR="00D63221">
        <w:br/>
        <w:t xml:space="preserve">     </w:t>
      </w:r>
      <w:r w:rsidRPr="00741061">
        <w:t xml:space="preserve"> should:</w:t>
      </w:r>
    </w:p>
    <w:p w:rsidRPr="00741061" w:rsidR="00E54E94" w:rsidP="00E54E94" w:rsidRDefault="00E54E94" w14:paraId="0A5F7FDD" w14:textId="77777777">
      <w:pPr>
        <w:pStyle w:val="ListParagraph"/>
        <w:tabs>
          <w:tab w:val="left" w:pos="-720"/>
        </w:tabs>
        <w:suppressAutoHyphens/>
      </w:pPr>
    </w:p>
    <w:p w:rsidR="00A10BE7" w:rsidP="00D63221" w:rsidRDefault="00D63221" w14:paraId="0CB8FECE" w14:textId="77777777">
      <w:pPr>
        <w:pStyle w:val="ListParagraph"/>
        <w:shd w:val="pct25" w:color="auto" w:fill="auto"/>
        <w:tabs>
          <w:tab w:val="left" w:pos="-720"/>
        </w:tabs>
        <w:suppressAutoHyphens/>
        <w:ind w:left="1440" w:hanging="720"/>
      </w:pPr>
      <w:r>
        <w:t xml:space="preserve">a. </w:t>
      </w:r>
      <w:r>
        <w:tab/>
      </w:r>
      <w:r w:rsidRPr="00741061" w:rsidR="00E54E94">
        <w:t>Indicate the number of respondents, frequency of response, annual hour burden,</w:t>
      </w:r>
      <w:r>
        <w:br/>
      </w:r>
      <w:r w:rsidRPr="00741061" w:rsidR="00E54E94">
        <w:t>and</w:t>
      </w:r>
      <w:r>
        <w:t xml:space="preserve"> </w:t>
      </w:r>
      <w:r w:rsidRPr="00741061" w:rsidR="00E54E94">
        <w:t>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D63221" w:rsidRDefault="00A10BE7" w14:paraId="3013DD2F" w14:textId="77777777">
      <w:pPr>
        <w:pStyle w:val="ListParagraph"/>
        <w:shd w:val="pct25" w:color="auto" w:fill="auto"/>
        <w:tabs>
          <w:tab w:val="left" w:pos="-720"/>
        </w:tabs>
        <w:suppressAutoHyphens/>
        <w:ind w:left="1440" w:hanging="720"/>
      </w:pPr>
      <w:r w:rsidRPr="00741061">
        <w:t xml:space="preserve">b.  </w:t>
      </w:r>
      <w:r w:rsidR="00D63221">
        <w:tab/>
      </w:r>
      <w:r w:rsidRPr="00741061">
        <w:t>If this request for approval covers more than one form, provide separate hour</w:t>
      </w:r>
      <w:r w:rsidR="00D63221">
        <w:br/>
      </w:r>
      <w:r w:rsidRPr="00741061">
        <w:t>burden estimates for each form and aggregate the hour burdens in Item 13 of OMB Form 83-I.</w:t>
      </w:r>
      <w:r>
        <w:t xml:space="preserve"> </w:t>
      </w:r>
    </w:p>
    <w:p w:rsidRPr="00741061" w:rsidR="00A10BE7" w:rsidP="00D63221" w:rsidRDefault="00A10BE7" w14:paraId="05191E55" w14:textId="77777777">
      <w:pPr>
        <w:pStyle w:val="ListParagraph"/>
        <w:shd w:val="pct25" w:color="auto" w:fill="auto"/>
        <w:tabs>
          <w:tab w:val="left" w:pos="-720"/>
        </w:tabs>
        <w:suppressAutoHyphens/>
        <w:ind w:left="1440" w:hanging="720"/>
      </w:pPr>
      <w:r>
        <w:t xml:space="preserve">c. </w:t>
      </w:r>
      <w:r w:rsidR="00D63221">
        <w:tab/>
      </w:r>
      <w:r w:rsidRPr="00741061">
        <w:t>Provide estimates of annualized cost to respondents for the hour burdens for</w:t>
      </w:r>
      <w:r w:rsidR="00D63221">
        <w:br/>
      </w:r>
      <w:r w:rsidRPr="00741061">
        <w:t>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10BE7" w:rsidP="00E54E94" w:rsidRDefault="00A10BE7" w14:paraId="2FAD5695" w14:textId="77777777">
      <w:pPr>
        <w:pStyle w:val="ListParagraph"/>
        <w:shd w:val="pct25" w:color="auto" w:fill="auto"/>
        <w:tabs>
          <w:tab w:val="left" w:pos="-720"/>
        </w:tabs>
        <w:suppressAutoHyphens/>
      </w:pPr>
    </w:p>
    <w:p w:rsidR="00075D60" w:rsidP="00075D60" w:rsidRDefault="00075D60" w14:paraId="7DB1AE08" w14:textId="77777777">
      <w:pPr>
        <w:pStyle w:val="ListParagraph"/>
        <w:tabs>
          <w:tab w:val="left" w:pos="-720"/>
        </w:tabs>
        <w:suppressAutoHyphens/>
        <w:ind w:right="720"/>
        <w:rPr>
          <w:snapToGrid w:val="0"/>
          <w:sz w:val="22"/>
          <w:szCs w:val="22"/>
        </w:rPr>
      </w:pPr>
    </w:p>
    <w:p w:rsidR="00565A31" w:rsidP="00565A31" w:rsidRDefault="00B759E8" w14:paraId="408A3215" w14:textId="3401AB04">
      <w:pPr>
        <w:pStyle w:val="ListParagraph"/>
        <w:tabs>
          <w:tab w:val="left" w:pos="-720"/>
        </w:tabs>
        <w:suppressAutoHyphens/>
        <w:ind w:left="288"/>
      </w:pPr>
      <w:r>
        <w:tab/>
      </w:r>
      <w:r w:rsidR="00565A31">
        <w:t xml:space="preserve">We estimate that 150 SF 2817 forms will be processed each year from assignees.  </w:t>
      </w:r>
      <w:r w:rsidR="00FF3883">
        <w:br/>
        <w:t xml:space="preserve">        </w:t>
      </w:r>
      <w:r w:rsidR="00565A31">
        <w:t>It is</w:t>
      </w:r>
      <w:r w:rsidR="00FF3883">
        <w:t xml:space="preserve"> </w:t>
      </w:r>
      <w:r w:rsidR="00565A31">
        <w:t xml:space="preserve">almost always in an assignee’s best interests to keep the insured’s life insurance </w:t>
      </w:r>
      <w:r w:rsidR="00FF3883">
        <w:t xml:space="preserve">    </w:t>
      </w:r>
      <w:r w:rsidR="00FF3883">
        <w:br/>
        <w:t xml:space="preserve">        </w:t>
      </w:r>
      <w:r w:rsidR="00565A31">
        <w:t>coverage</w:t>
      </w:r>
      <w:r w:rsidR="00FF3883">
        <w:t xml:space="preserve"> </w:t>
      </w:r>
      <w:r w:rsidR="00565A31">
        <w:t>at its current level.  It is rarely beneficial for an assignee to reduce or cancel</w:t>
      </w:r>
      <w:r w:rsidR="00FF3883">
        <w:br/>
        <w:t xml:space="preserve">      </w:t>
      </w:r>
      <w:r w:rsidR="00565A31">
        <w:t xml:space="preserve"> </w:t>
      </w:r>
      <w:r w:rsidR="00FF3883">
        <w:t xml:space="preserve"> </w:t>
      </w:r>
      <w:r w:rsidR="00565A31">
        <w:t>such</w:t>
      </w:r>
      <w:r w:rsidR="00FF3883">
        <w:t xml:space="preserve"> </w:t>
      </w:r>
      <w:r w:rsidR="00565A31">
        <w:t>coverage-the only instance in which the assignee would use the form since new or</w:t>
      </w:r>
      <w:r w:rsidR="00FF3883">
        <w:br/>
        <w:t xml:space="preserve">        </w:t>
      </w:r>
      <w:r w:rsidR="00565A31">
        <w:t>increased coverage cannot be elected by the assignee.  We estimate the SF 2817 requires</w:t>
      </w:r>
      <w:r w:rsidR="00FF3883">
        <w:br/>
        <w:t xml:space="preserve">        </w:t>
      </w:r>
      <w:r w:rsidR="00565A31">
        <w:t>approximately 15 minutes for a respondent to read the instructions and complete.</w:t>
      </w:r>
      <w:r w:rsidR="00FF3883">
        <w:br/>
        <w:t xml:space="preserve">        </w:t>
      </w:r>
      <w:r w:rsidR="00565A31">
        <w:t>Therefore, the estimated annual burden is 38 hours.</w:t>
      </w:r>
      <w:r w:rsidR="00565A31">
        <w:br/>
      </w:r>
    </w:p>
    <w:tbl>
      <w:tblPr>
        <w:tblStyle w:val="TableGrid"/>
        <w:tblW w:w="0" w:type="auto"/>
        <w:tblInd w:w="720" w:type="dxa"/>
        <w:tblLook w:val="04A0" w:firstRow="1" w:lastRow="0" w:firstColumn="1" w:lastColumn="0" w:noHBand="0" w:noVBand="1"/>
      </w:tblPr>
      <w:tblGrid>
        <w:gridCol w:w="1234"/>
        <w:gridCol w:w="937"/>
        <w:gridCol w:w="1230"/>
        <w:gridCol w:w="1159"/>
        <w:gridCol w:w="1048"/>
        <w:gridCol w:w="907"/>
        <w:gridCol w:w="956"/>
        <w:gridCol w:w="1159"/>
      </w:tblGrid>
      <w:tr w:rsidR="00565A31" w:rsidTr="00DD139A" w14:paraId="1C6B97AD" w14:textId="77777777">
        <w:tc>
          <w:tcPr>
            <w:tcW w:w="1326" w:type="dxa"/>
            <w:shd w:val="clear" w:color="auto" w:fill="D9D9D9" w:themeFill="background1" w:themeFillShade="D9"/>
          </w:tcPr>
          <w:p w:rsidRPr="008869F8" w:rsidR="00565A31" w:rsidP="00DD139A" w:rsidRDefault="00565A31" w14:paraId="10B02341" w14:textId="77777777">
            <w:pPr>
              <w:spacing w:before="240"/>
              <w:rPr>
                <w:rFonts w:ascii="Arial" w:hAnsi="Arial" w:cs="Arial"/>
                <w:b/>
                <w:sz w:val="16"/>
                <w:szCs w:val="16"/>
              </w:rPr>
            </w:pPr>
            <w:r w:rsidRPr="008869F8">
              <w:rPr>
                <w:rFonts w:ascii="Arial" w:hAnsi="Arial" w:cs="Arial"/>
                <w:b/>
                <w:sz w:val="16"/>
                <w:szCs w:val="16"/>
              </w:rPr>
              <w:t>Form Name</w:t>
            </w:r>
          </w:p>
        </w:tc>
        <w:tc>
          <w:tcPr>
            <w:tcW w:w="971" w:type="dxa"/>
            <w:shd w:val="clear" w:color="auto" w:fill="D9D9D9" w:themeFill="background1" w:themeFillShade="D9"/>
          </w:tcPr>
          <w:p w:rsidRPr="008869F8" w:rsidR="00565A31" w:rsidP="00DD139A" w:rsidRDefault="00565A31" w14:paraId="50451D00" w14:textId="7777777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Pr="008869F8" w:rsidR="00565A31" w:rsidP="00DD139A" w:rsidRDefault="00565A31" w14:paraId="06765F2C" w14:textId="77777777">
            <w:pPr>
              <w:spacing w:before="240"/>
              <w:rPr>
                <w:rFonts w:ascii="Arial" w:hAnsi="Arial" w:cs="Arial"/>
                <w:b/>
                <w:sz w:val="16"/>
                <w:szCs w:val="16"/>
              </w:rPr>
            </w:pPr>
            <w:r w:rsidRPr="008869F8">
              <w:rPr>
                <w:rFonts w:ascii="Arial" w:hAnsi="Arial" w:cs="Arial"/>
                <w:b/>
                <w:sz w:val="16"/>
                <w:szCs w:val="16"/>
              </w:rPr>
              <w:t>No. of Respondents</w:t>
            </w:r>
          </w:p>
        </w:tc>
        <w:tc>
          <w:tcPr>
            <w:tcW w:w="1164" w:type="dxa"/>
            <w:shd w:val="clear" w:color="auto" w:fill="D9D9D9" w:themeFill="background1" w:themeFillShade="D9"/>
          </w:tcPr>
          <w:p w:rsidRPr="008869F8" w:rsidR="00565A31" w:rsidP="00DD139A" w:rsidRDefault="00565A31" w14:paraId="062DCA1E"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068" w:type="dxa"/>
            <w:shd w:val="clear" w:color="auto" w:fill="D9D9D9" w:themeFill="background1" w:themeFillShade="D9"/>
          </w:tcPr>
          <w:p w:rsidRPr="008869F8" w:rsidR="00565A31" w:rsidP="00DD139A" w:rsidRDefault="00565A31" w14:paraId="25AF9E0B"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945" w:type="dxa"/>
            <w:shd w:val="clear" w:color="auto" w:fill="D9D9D9" w:themeFill="background1" w:themeFillShade="D9"/>
          </w:tcPr>
          <w:p w:rsidRPr="008869F8" w:rsidR="00565A31" w:rsidP="00DD139A" w:rsidRDefault="00565A31" w14:paraId="5D4EC7DD" w14:textId="77777777">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988" w:type="dxa"/>
            <w:shd w:val="clear" w:color="auto" w:fill="D9D9D9" w:themeFill="background1" w:themeFillShade="D9"/>
          </w:tcPr>
          <w:p w:rsidRPr="008869F8" w:rsidR="00565A31" w:rsidP="00DD139A" w:rsidRDefault="00565A31" w14:paraId="32564825" w14:textId="77777777">
            <w:pPr>
              <w:spacing w:before="240"/>
              <w:rPr>
                <w:rFonts w:ascii="Arial" w:hAnsi="Arial" w:cs="Arial"/>
                <w:b/>
                <w:sz w:val="16"/>
                <w:szCs w:val="16"/>
              </w:rPr>
            </w:pPr>
            <w:r w:rsidRPr="008869F8">
              <w:rPr>
                <w:rFonts w:ascii="Arial" w:hAnsi="Arial" w:cs="Arial"/>
                <w:b/>
                <w:sz w:val="16"/>
                <w:szCs w:val="16"/>
              </w:rPr>
              <w:t>Average Hourly Wage</w:t>
            </w:r>
            <w:r>
              <w:rPr>
                <w:rFonts w:ascii="Arial" w:hAnsi="Arial" w:cs="Arial"/>
                <w:b/>
                <w:sz w:val="16"/>
                <w:szCs w:val="16"/>
              </w:rPr>
              <w:t xml:space="preserve"> Rate</w:t>
            </w:r>
          </w:p>
        </w:tc>
        <w:tc>
          <w:tcPr>
            <w:tcW w:w="1164" w:type="dxa"/>
            <w:shd w:val="clear" w:color="auto" w:fill="D9D9D9" w:themeFill="background1" w:themeFillShade="D9"/>
          </w:tcPr>
          <w:p w:rsidRPr="008869F8" w:rsidR="00565A31" w:rsidP="00DD139A" w:rsidRDefault="00565A31" w14:paraId="331A8BA2" w14:textId="77777777">
            <w:pPr>
              <w:spacing w:before="240"/>
              <w:rPr>
                <w:rFonts w:ascii="Arial" w:hAnsi="Arial" w:cs="Arial"/>
                <w:b/>
                <w:sz w:val="16"/>
                <w:szCs w:val="16"/>
              </w:rPr>
            </w:pPr>
            <w:r w:rsidRPr="008869F8">
              <w:rPr>
                <w:rFonts w:ascii="Arial" w:hAnsi="Arial" w:cs="Arial"/>
                <w:b/>
                <w:sz w:val="16"/>
                <w:szCs w:val="16"/>
              </w:rPr>
              <w:t>Total Annual Respondent</w:t>
            </w:r>
            <w:r>
              <w:rPr>
                <w:rFonts w:ascii="Arial" w:hAnsi="Arial" w:cs="Arial"/>
                <w:b/>
                <w:sz w:val="16"/>
                <w:szCs w:val="16"/>
              </w:rPr>
              <w:t xml:space="preserve"> Cost</w:t>
            </w:r>
          </w:p>
        </w:tc>
      </w:tr>
      <w:tr w:rsidR="00565A31" w:rsidTr="00DD139A" w14:paraId="65C6673E" w14:textId="77777777">
        <w:tc>
          <w:tcPr>
            <w:tcW w:w="1326" w:type="dxa"/>
          </w:tcPr>
          <w:p w:rsidRPr="008869F8" w:rsidR="00565A31" w:rsidP="00DD139A" w:rsidRDefault="00565A31" w14:paraId="66A688CF" w14:textId="77777777">
            <w:pPr>
              <w:spacing w:before="240"/>
              <w:rPr>
                <w:sz w:val="18"/>
                <w:szCs w:val="18"/>
              </w:rPr>
            </w:pPr>
            <w:r>
              <w:rPr>
                <w:sz w:val="18"/>
                <w:szCs w:val="18"/>
              </w:rPr>
              <w:t>Life Insurance Election Form</w:t>
            </w:r>
          </w:p>
        </w:tc>
        <w:tc>
          <w:tcPr>
            <w:tcW w:w="971" w:type="dxa"/>
          </w:tcPr>
          <w:p w:rsidRPr="008869F8" w:rsidR="00565A31" w:rsidP="00DD139A" w:rsidRDefault="00565A31" w14:paraId="1DDB598C" w14:textId="77777777">
            <w:pPr>
              <w:spacing w:before="240"/>
              <w:rPr>
                <w:sz w:val="18"/>
                <w:szCs w:val="18"/>
              </w:rPr>
            </w:pPr>
            <w:r>
              <w:rPr>
                <w:sz w:val="18"/>
                <w:szCs w:val="18"/>
              </w:rPr>
              <w:t>SF 2817</w:t>
            </w:r>
          </w:p>
        </w:tc>
        <w:tc>
          <w:tcPr>
            <w:tcW w:w="1230" w:type="dxa"/>
          </w:tcPr>
          <w:p w:rsidRPr="008869F8" w:rsidR="00565A31" w:rsidP="00DD139A" w:rsidRDefault="00565A31" w14:paraId="03071C5D" w14:textId="77777777">
            <w:pPr>
              <w:spacing w:before="240"/>
              <w:jc w:val="right"/>
              <w:rPr>
                <w:sz w:val="18"/>
                <w:szCs w:val="18"/>
              </w:rPr>
            </w:pPr>
            <w:r>
              <w:rPr>
                <w:sz w:val="18"/>
                <w:szCs w:val="18"/>
              </w:rPr>
              <w:t>150</w:t>
            </w:r>
          </w:p>
        </w:tc>
        <w:tc>
          <w:tcPr>
            <w:tcW w:w="1164" w:type="dxa"/>
          </w:tcPr>
          <w:p w:rsidRPr="008869F8" w:rsidR="00565A31" w:rsidP="00DD139A" w:rsidRDefault="00565A31" w14:paraId="42D7E0B8" w14:textId="77777777">
            <w:pPr>
              <w:spacing w:before="240"/>
              <w:jc w:val="right"/>
              <w:rPr>
                <w:sz w:val="18"/>
                <w:szCs w:val="18"/>
              </w:rPr>
            </w:pPr>
            <w:r>
              <w:rPr>
                <w:sz w:val="18"/>
                <w:szCs w:val="18"/>
              </w:rPr>
              <w:t>1</w:t>
            </w:r>
          </w:p>
        </w:tc>
        <w:tc>
          <w:tcPr>
            <w:tcW w:w="1068" w:type="dxa"/>
          </w:tcPr>
          <w:p w:rsidRPr="008869F8" w:rsidR="00565A31" w:rsidP="00DD139A" w:rsidRDefault="00565A31" w14:paraId="6ED4D0E1" w14:textId="77777777">
            <w:pPr>
              <w:spacing w:before="240"/>
              <w:jc w:val="right"/>
              <w:rPr>
                <w:sz w:val="18"/>
                <w:szCs w:val="18"/>
              </w:rPr>
            </w:pPr>
            <w:r>
              <w:rPr>
                <w:sz w:val="18"/>
                <w:szCs w:val="18"/>
              </w:rPr>
              <w:t>15 minutes</w:t>
            </w:r>
          </w:p>
        </w:tc>
        <w:tc>
          <w:tcPr>
            <w:tcW w:w="945" w:type="dxa"/>
          </w:tcPr>
          <w:p w:rsidRPr="008869F8" w:rsidR="00565A31" w:rsidP="00DD139A" w:rsidRDefault="00565A31" w14:paraId="755E3701" w14:textId="77777777">
            <w:pPr>
              <w:spacing w:before="240"/>
              <w:jc w:val="right"/>
              <w:rPr>
                <w:sz w:val="18"/>
                <w:szCs w:val="18"/>
              </w:rPr>
            </w:pPr>
            <w:r>
              <w:rPr>
                <w:sz w:val="18"/>
                <w:szCs w:val="18"/>
              </w:rPr>
              <w:t>37.50</w:t>
            </w:r>
          </w:p>
        </w:tc>
        <w:tc>
          <w:tcPr>
            <w:tcW w:w="988" w:type="dxa"/>
          </w:tcPr>
          <w:p w:rsidRPr="008869F8" w:rsidR="00565A31" w:rsidP="00DD139A" w:rsidRDefault="00565A31" w14:paraId="3A711787" w14:textId="792151B2">
            <w:pPr>
              <w:spacing w:before="240"/>
              <w:jc w:val="center"/>
              <w:rPr>
                <w:sz w:val="18"/>
                <w:szCs w:val="18"/>
              </w:rPr>
            </w:pPr>
            <w:r>
              <w:rPr>
                <w:sz w:val="18"/>
                <w:szCs w:val="18"/>
              </w:rPr>
              <w:t>$</w:t>
            </w:r>
            <w:r w:rsidR="000340F6">
              <w:rPr>
                <w:sz w:val="18"/>
                <w:szCs w:val="18"/>
              </w:rPr>
              <w:t>5.38</w:t>
            </w:r>
          </w:p>
        </w:tc>
        <w:tc>
          <w:tcPr>
            <w:tcW w:w="1164" w:type="dxa"/>
          </w:tcPr>
          <w:p w:rsidRPr="008869F8" w:rsidR="00565A31" w:rsidP="00DD139A" w:rsidRDefault="00565A31" w14:paraId="1FA05AC1" w14:textId="7C773AD0">
            <w:pPr>
              <w:spacing w:before="240"/>
              <w:jc w:val="center"/>
              <w:rPr>
                <w:sz w:val="18"/>
                <w:szCs w:val="18"/>
              </w:rPr>
            </w:pPr>
            <w:r>
              <w:rPr>
                <w:sz w:val="18"/>
                <w:szCs w:val="18"/>
              </w:rPr>
              <w:t>$</w:t>
            </w:r>
            <w:r w:rsidR="000340F6">
              <w:rPr>
                <w:sz w:val="18"/>
                <w:szCs w:val="18"/>
              </w:rPr>
              <w:t>1,008.75</w:t>
            </w:r>
          </w:p>
        </w:tc>
      </w:tr>
    </w:tbl>
    <w:p w:rsidR="00484F89" w:rsidP="00A10BE7" w:rsidRDefault="00484F89" w14:paraId="50F8DC67" w14:textId="7720FB55">
      <w:pPr>
        <w:spacing w:before="240"/>
        <w:ind w:left="720"/>
      </w:pPr>
      <w:r>
        <w:t>The Total Annual Respondent Cost is $</w:t>
      </w:r>
      <w:r w:rsidR="000340F6">
        <w:t>1,008.75</w:t>
      </w:r>
      <w:r>
        <w:t>.</w:t>
      </w:r>
    </w:p>
    <w:p w:rsidR="00AD2666" w:rsidP="00DA60A6" w:rsidRDefault="00AD2666" w14:paraId="762C2C6A" w14:textId="77777777">
      <w:pPr>
        <w:spacing w:before="240"/>
        <w:ind w:left="288"/>
      </w:pPr>
    </w:p>
    <w:p w:rsidRPr="00741061" w:rsidR="00A10BE7" w:rsidP="00D63221" w:rsidRDefault="00A10BE7" w14:paraId="17B0C5E9" w14:textId="77777777">
      <w:pPr>
        <w:pStyle w:val="ListParagraph"/>
        <w:shd w:val="pct25" w:color="auto" w:fill="auto"/>
        <w:tabs>
          <w:tab w:val="left" w:pos="-720"/>
        </w:tabs>
        <w:suppressAutoHyphens/>
        <w:ind w:left="288"/>
      </w:pPr>
      <w:r w:rsidRPr="00741061">
        <w:t xml:space="preserve">13.   Provide an estimate of the total annual cost burden to respondents or </w:t>
      </w:r>
      <w:r w:rsidRPr="00741061" w:rsidR="00FC7E12">
        <w:t>record-keepers</w:t>
      </w:r>
      <w:r w:rsidR="00D63221">
        <w:br/>
        <w:t xml:space="preserve">       </w:t>
      </w:r>
      <w:r w:rsidRPr="00741061">
        <w:t xml:space="preserve"> resulting from the collection of information.  (Do not include the cost of any hour burden</w:t>
      </w:r>
      <w:r w:rsidR="00D63221">
        <w:br/>
        <w:t xml:space="preserve">       </w:t>
      </w:r>
      <w:r w:rsidRPr="00741061">
        <w:t xml:space="preserve"> shown in Items 12 and 14.)</w:t>
      </w:r>
    </w:p>
    <w:p w:rsidRPr="00741061" w:rsidR="00A10BE7" w:rsidP="00A10BE7" w:rsidRDefault="00A10BE7" w14:paraId="73A54898" w14:textId="77777777">
      <w:pPr>
        <w:pStyle w:val="ListParagraph"/>
        <w:shd w:val="pct25" w:color="auto" w:fill="auto"/>
        <w:tabs>
          <w:tab w:val="left" w:pos="-720"/>
        </w:tabs>
        <w:suppressAutoHyphens/>
      </w:pPr>
    </w:p>
    <w:p w:rsidRPr="00741061" w:rsidR="00A10BE7" w:rsidP="00A10BE7" w:rsidRDefault="00A10BE7" w14:paraId="26DEDDF7" w14:textId="77777777">
      <w:pPr>
        <w:pStyle w:val="ListParagraph"/>
        <w:shd w:val="pct25" w:color="auto" w:fill="auto"/>
        <w:tabs>
          <w:tab w:val="left" w:pos="-720"/>
          <w:tab w:val="left" w:pos="810"/>
        </w:tabs>
        <w:suppressAutoHyphens/>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w:t>
      </w:r>
      <w:r w:rsidRPr="00741061">
        <w:lastRenderedPageBreak/>
        <w:t>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10BE7" w:rsidP="00A10BE7" w:rsidRDefault="00A10BE7" w14:paraId="4EF61230" w14:textId="77777777">
      <w:pPr>
        <w:pStyle w:val="ListParagraph"/>
        <w:shd w:val="pct25" w:color="auto" w:fill="FFFFFF"/>
        <w:tabs>
          <w:tab w:val="left" w:pos="-720"/>
        </w:tabs>
        <w:suppressAutoHyphens/>
      </w:pPr>
    </w:p>
    <w:p w:rsidRPr="00741061" w:rsidR="00A10BE7" w:rsidP="00A10BE7" w:rsidRDefault="00A10BE7" w14:paraId="5124A3E3" w14:textId="7777777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14:paraId="05B01D40" w14:textId="77777777">
      <w:pPr>
        <w:pStyle w:val="ListParagraph"/>
        <w:shd w:val="pct25" w:color="auto" w:fill="FFFFFF"/>
        <w:tabs>
          <w:tab w:val="left" w:pos="-720"/>
        </w:tabs>
        <w:suppressAutoHyphens/>
      </w:pPr>
    </w:p>
    <w:p w:rsidRPr="00741061" w:rsidR="00A10BE7" w:rsidP="00A10BE7" w:rsidRDefault="00A10BE7" w14:paraId="505ED54C" w14:textId="77777777">
      <w:pPr>
        <w:pStyle w:val="ListParagraph"/>
        <w:shd w:val="pct25" w:color="auto" w:fill="FFFFFF"/>
        <w:tabs>
          <w:tab w:val="left" w:pos="-720"/>
        </w:tabs>
        <w:suppressAutoHyphens/>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P="00A10BE7" w:rsidRDefault="00933321" w14:paraId="6129B586" w14:textId="77777777">
      <w:pPr>
        <w:spacing w:before="240"/>
        <w:ind w:left="720"/>
      </w:pPr>
      <w:r>
        <w:t>There is no change in the respondent burden.</w:t>
      </w:r>
    </w:p>
    <w:p w:rsidR="00A10BE7" w:rsidP="0019732A" w:rsidRDefault="00A10BE7" w14:paraId="1825CB9F" w14:textId="77777777">
      <w:pPr>
        <w:spacing w:before="240"/>
        <w:ind w:left="288"/>
      </w:pPr>
    </w:p>
    <w:p w:rsidR="0019732A" w:rsidP="007662C9" w:rsidRDefault="0024797F" w14:paraId="7D01427D" w14:textId="77777777">
      <w:pPr>
        <w:spacing w:before="240"/>
        <w:ind w:left="288"/>
        <w:jc w:val="both"/>
      </w:pPr>
      <w:r w:rsidRPr="00F6791D">
        <w:rPr>
          <w:highlight w:val="lightGray"/>
        </w:rPr>
        <w:t>14.  Provide estimates of annualized cost to the Federal Government. Also, provide a</w:t>
      </w:r>
      <w:r>
        <w:rPr>
          <w:highlight w:val="lightGray"/>
        </w:rPr>
        <w:br/>
        <w:t xml:space="preserve">      </w:t>
      </w:r>
      <w:r w:rsidRPr="00F6791D">
        <w:rPr>
          <w:highlight w:val="lightGray"/>
        </w:rPr>
        <w:t xml:space="preserve"> description of the method used to estimate cost, which should include quantification of</w:t>
      </w:r>
      <w:r>
        <w:rPr>
          <w:highlight w:val="lightGray"/>
        </w:rPr>
        <w:br/>
        <w:t xml:space="preserve">      </w:t>
      </w:r>
      <w:r w:rsidRPr="00F6791D">
        <w:rPr>
          <w:highlight w:val="lightGray"/>
        </w:rPr>
        <w:t xml:space="preserve"> hours, operational expenses (such as equipment, overhead, printing and support staff),</w:t>
      </w:r>
      <w:r>
        <w:rPr>
          <w:highlight w:val="lightGray"/>
        </w:rPr>
        <w:br/>
        <w:t xml:space="preserve">      </w:t>
      </w:r>
      <w:r w:rsidRPr="00F6791D">
        <w:rPr>
          <w:highlight w:val="lightGray"/>
        </w:rPr>
        <w:t xml:space="preserve"> and any other expense that would have been incurred without this collection of</w:t>
      </w:r>
      <w:r>
        <w:rPr>
          <w:highlight w:val="lightGray"/>
        </w:rPr>
        <w:br/>
        <w:t xml:space="preserve">      </w:t>
      </w:r>
      <w:r w:rsidRPr="00F6791D">
        <w:rPr>
          <w:highlight w:val="lightGray"/>
        </w:rPr>
        <w:t xml:space="preserve"> information. You may also aggregate cost estimates for Items 12, 13, and 14 in a single</w:t>
      </w:r>
      <w:r>
        <w:rPr>
          <w:highlight w:val="lightGray"/>
        </w:rPr>
        <w:br/>
        <w:t xml:space="preserve">      </w:t>
      </w:r>
      <w:r w:rsidRPr="00F6791D">
        <w:rPr>
          <w:highlight w:val="lightGray"/>
        </w:rPr>
        <w:t xml:space="preserve"> table.</w:t>
      </w:r>
    </w:p>
    <w:p w:rsidR="0019732A" w:rsidP="0019732A" w:rsidRDefault="00B828E5" w14:paraId="3460AA4D" w14:textId="78826B1C">
      <w:pPr>
        <w:spacing w:before="240"/>
        <w:ind w:left="288"/>
      </w:pPr>
      <w:r>
        <w:t xml:space="preserve">        </w:t>
      </w:r>
      <w:r w:rsidR="00C10717">
        <w:t xml:space="preserve">The annualized cost to the </w:t>
      </w:r>
      <w:r w:rsidR="006645C6">
        <w:t>Federal government is $11,689</w:t>
      </w:r>
      <w:r w:rsidR="00C10717">
        <w:t>.</w:t>
      </w:r>
      <w:r w:rsidR="006645C6">
        <w:t xml:space="preserve"> This cost was determined by</w:t>
      </w:r>
      <w:r w:rsidR="006645C6">
        <w:br/>
        <w:t xml:space="preserve">        employee salary hours devoted to the program, forms cost, and overhead.</w:t>
      </w:r>
    </w:p>
    <w:p w:rsidR="0024797F" w:rsidP="0019732A" w:rsidRDefault="0024797F" w14:paraId="7B720D3B" w14:textId="77777777">
      <w:pPr>
        <w:spacing w:before="240"/>
        <w:ind w:left="288"/>
      </w:pPr>
    </w:p>
    <w:p w:rsidRPr="00741061" w:rsidR="00A10BE7" w:rsidP="00D63221" w:rsidRDefault="00A10BE7" w14:paraId="617298A7" w14:textId="77777777">
      <w:pPr>
        <w:pStyle w:val="ListParagraph"/>
        <w:shd w:val="pct25" w:color="auto" w:fill="auto"/>
        <w:tabs>
          <w:tab w:val="left" w:pos="-720"/>
        </w:tabs>
        <w:suppressAutoHyphens/>
        <w:ind w:left="288"/>
      </w:pPr>
      <w:r w:rsidRPr="00741061">
        <w:t>15.  Explain the reasons for any program changes or adjustments reported in Items 13 or 14 of</w:t>
      </w:r>
      <w:r w:rsidR="00D63221">
        <w:br/>
        <w:t xml:space="preserve">      </w:t>
      </w:r>
      <w:r w:rsidRPr="00741061">
        <w:t xml:space="preserve"> the OMB Form 83-I.  Changes in hour burden, i.e., program changes or adjustments made</w:t>
      </w:r>
      <w:r w:rsidR="00D63221">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rsidR="00D63221">
        <w:br/>
        <w:t xml:space="preserve">      </w:t>
      </w:r>
      <w:r w:rsidRPr="00741061">
        <w:t xml:space="preserve"> result of deliberate Federal government action.  All new collections and any subsequent</w:t>
      </w:r>
      <w:r w:rsidR="00D63221">
        <w:br/>
        <w:t xml:space="preserve">      </w:t>
      </w:r>
      <w:r w:rsidRPr="00741061">
        <w:t xml:space="preserve"> revisions of existing collections (e.g., the addition or deletion of questions) are recorded</w:t>
      </w:r>
      <w:r w:rsidR="00D63221">
        <w:br/>
        <w:t xml:space="preserve">      </w:t>
      </w:r>
      <w:r w:rsidRPr="00741061">
        <w:t xml:space="preserve"> as program changes.  An adjustment is a change that is not the result of a deliberate</w:t>
      </w:r>
      <w:r w:rsidR="00D63221">
        <w:br/>
        <w:t xml:space="preserve">       </w:t>
      </w:r>
      <w:r w:rsidRPr="00741061">
        <w:t>Federal government action.  These changes that result from new estimates or actions not</w:t>
      </w:r>
      <w:r w:rsidR="00D63221">
        <w:br/>
        <w:t xml:space="preserve">      </w:t>
      </w:r>
      <w:r w:rsidRPr="00741061">
        <w:t xml:space="preserve"> controllable by the Federal government are recorded as adjustments. </w:t>
      </w:r>
    </w:p>
    <w:p w:rsidRPr="00741061" w:rsidR="00A10BE7" w:rsidP="00A10BE7" w:rsidRDefault="00A10BE7" w14:paraId="04572134" w14:textId="77777777">
      <w:pPr>
        <w:pStyle w:val="ListParagraph"/>
        <w:tabs>
          <w:tab w:val="left" w:pos="-720"/>
        </w:tabs>
        <w:suppressAutoHyphens/>
      </w:pPr>
    </w:p>
    <w:p w:rsidR="00A10BE7" w:rsidP="00A10BE7" w:rsidRDefault="00A534B0" w14:paraId="1DA175E6" w14:textId="1AF308AC">
      <w:pPr>
        <w:pStyle w:val="ListParagraph"/>
        <w:tabs>
          <w:tab w:val="left" w:pos="-720"/>
        </w:tabs>
        <w:suppressAutoHyphens/>
      </w:pPr>
      <w:r>
        <w:t xml:space="preserve">This Information Collection Request (ICR) has been revised </w:t>
      </w:r>
      <w:r w:rsidR="00EF3FFA">
        <w:t>to update</w:t>
      </w:r>
      <w:r>
        <w:t xml:space="preserve"> the display of the OMB control number</w:t>
      </w:r>
      <w:r w:rsidR="006F0AFF">
        <w:t xml:space="preserve"> and there are editorial changes to the instructions and form</w:t>
      </w:r>
      <w:r>
        <w:t>.</w:t>
      </w:r>
    </w:p>
    <w:p w:rsidR="00A534B0" w:rsidP="00A10BE7" w:rsidRDefault="00A534B0" w14:paraId="63BA09E0" w14:textId="7319CF62">
      <w:pPr>
        <w:pStyle w:val="ListParagraph"/>
        <w:tabs>
          <w:tab w:val="left" w:pos="-720"/>
        </w:tabs>
        <w:suppressAutoHyphens/>
      </w:pPr>
    </w:p>
    <w:p w:rsidR="00A534B0" w:rsidP="00A10BE7" w:rsidRDefault="00A534B0" w14:paraId="4035C9DA" w14:textId="4082FBBB">
      <w:pPr>
        <w:pStyle w:val="ListParagraph"/>
        <w:tabs>
          <w:tab w:val="left" w:pos="-720"/>
        </w:tabs>
        <w:suppressAutoHyphens/>
      </w:pPr>
      <w:r>
        <w:t>There is no change in the hour or cost burden.</w:t>
      </w:r>
    </w:p>
    <w:p w:rsidRPr="00741061" w:rsidR="00A10BE7" w:rsidP="00A10BE7" w:rsidRDefault="00A10BE7" w14:paraId="5634C043" w14:textId="77777777">
      <w:pPr>
        <w:pStyle w:val="ListParagraph"/>
        <w:tabs>
          <w:tab w:val="left" w:pos="-720"/>
        </w:tabs>
        <w:suppressAutoHyphens/>
      </w:pPr>
    </w:p>
    <w:p w:rsidRPr="00741061" w:rsidR="00A10BE7" w:rsidP="000E6451" w:rsidRDefault="00A10BE7" w14:paraId="40C09DA9" w14:textId="77777777">
      <w:pPr>
        <w:pStyle w:val="ListParagraph"/>
        <w:shd w:val="pct25" w:color="auto" w:fill="auto"/>
        <w:tabs>
          <w:tab w:val="left" w:pos="-720"/>
        </w:tabs>
        <w:suppressAutoHyphens/>
        <w:ind w:left="288"/>
      </w:pPr>
      <w:r w:rsidRPr="00741061">
        <w:t xml:space="preserve">16.  For collections of information whose results will be published, outline plans for </w:t>
      </w:r>
      <w:r w:rsidR="000E6451">
        <w:br/>
        <w:t xml:space="preserve">       </w:t>
      </w:r>
      <w:r w:rsidRPr="00741061">
        <w:t>tabulation and publication.  Address any complex analytical techniques that will be used.</w:t>
      </w:r>
      <w:r w:rsidR="000E6451">
        <w:br/>
      </w:r>
      <w:r w:rsidR="000E6451">
        <w:lastRenderedPageBreak/>
        <w:t xml:space="preserve">     </w:t>
      </w:r>
      <w:r w:rsidRPr="00741061">
        <w:t xml:space="preserve">  Provide the time schedule for the entire project, including beginning and ending dates of</w:t>
      </w:r>
      <w:r w:rsidR="000E6451">
        <w:br/>
        <w:t xml:space="preserve">      </w:t>
      </w:r>
      <w:r w:rsidRPr="00741061">
        <w:t xml:space="preserve"> the collection of information, completion of report, publication dates, and other actions. </w:t>
      </w:r>
    </w:p>
    <w:p w:rsidRPr="00741061" w:rsidR="00A10BE7" w:rsidP="00A10BE7" w:rsidRDefault="00A10BE7" w14:paraId="386D35A3" w14:textId="77777777">
      <w:pPr>
        <w:pStyle w:val="ListParagraph"/>
      </w:pPr>
    </w:p>
    <w:p w:rsidR="00A10BE7" w:rsidP="00A10BE7" w:rsidRDefault="00A10BE7" w14:paraId="50AF6E81" w14:textId="77777777">
      <w:pPr>
        <w:pStyle w:val="ListParagraph"/>
      </w:pPr>
      <w:r w:rsidRPr="00741061">
        <w:t>No information collected from the form will be published.</w:t>
      </w:r>
    </w:p>
    <w:p w:rsidRPr="00741061" w:rsidR="0097112F" w:rsidP="00A10BE7" w:rsidRDefault="0097112F" w14:paraId="752F1EDB" w14:textId="77777777">
      <w:pPr>
        <w:pStyle w:val="ListParagraph"/>
      </w:pPr>
    </w:p>
    <w:p w:rsidRPr="00741061" w:rsidR="00A10BE7" w:rsidP="000E6451" w:rsidRDefault="00A10BE7" w14:paraId="2BBFA927" w14:textId="77777777">
      <w:pPr>
        <w:pStyle w:val="ListParagraph"/>
        <w:shd w:val="pct25" w:color="auto" w:fill="auto"/>
        <w:tabs>
          <w:tab w:val="left" w:pos="-720"/>
        </w:tabs>
        <w:suppressAutoHyphens/>
        <w:ind w:left="288"/>
      </w:pPr>
      <w:r w:rsidRPr="00741061">
        <w:t>17.  If seeking approval to not display the expiration date for OMB approval of the</w:t>
      </w:r>
      <w:r w:rsidR="000E6451">
        <w:br/>
        <w:t xml:space="preserve">      </w:t>
      </w:r>
      <w:r w:rsidRPr="00741061">
        <w:t xml:space="preserve"> information collection, explain reasons that display would be inappropriate.</w:t>
      </w:r>
    </w:p>
    <w:p w:rsidR="00A10BE7" w:rsidP="00A10BE7" w:rsidRDefault="00952FF9" w14:paraId="72C8FEBA" w14:textId="77777777">
      <w:pPr>
        <w:spacing w:before="240"/>
        <w:ind w:left="720"/>
      </w:pPr>
      <w:r w:rsidRPr="008A0DCF">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A10BE7" w:rsidP="00A10BE7" w:rsidRDefault="00A10BE7" w14:paraId="23E1234D" w14:textId="77777777">
      <w:pPr>
        <w:pStyle w:val="ListParagraph"/>
        <w:tabs>
          <w:tab w:val="left" w:pos="-720"/>
        </w:tabs>
        <w:suppressAutoHyphens/>
      </w:pPr>
    </w:p>
    <w:p w:rsidRPr="00741061" w:rsidR="00A10BE7" w:rsidP="000E6451" w:rsidRDefault="00A10BE7" w14:paraId="0F141306" w14:textId="77777777">
      <w:pPr>
        <w:pStyle w:val="ListParagraph"/>
        <w:shd w:val="pct25" w:color="auto" w:fill="auto"/>
        <w:tabs>
          <w:tab w:val="left" w:pos="-720"/>
        </w:tabs>
        <w:suppressAutoHyphens/>
        <w:ind w:left="288"/>
      </w:pPr>
      <w:r w:rsidRPr="00741061">
        <w:t>18.  Explain each exception to the certification statement identified in Item 19 “Certification</w:t>
      </w:r>
      <w:r w:rsidR="000E6451">
        <w:br/>
        <w:t xml:space="preserve">      </w:t>
      </w:r>
      <w:r w:rsidRPr="00741061">
        <w:t xml:space="preserve"> for Paperwork Reduction Act Submissions,” of OMB Form 83-I.</w:t>
      </w:r>
    </w:p>
    <w:p w:rsidRPr="00741061" w:rsidR="00A10BE7" w:rsidP="00A10BE7" w:rsidRDefault="00A10BE7" w14:paraId="102A7CB0" w14:textId="77777777">
      <w:pPr>
        <w:pStyle w:val="ListParagraph"/>
      </w:pPr>
    </w:p>
    <w:p w:rsidR="00A10BE7" w:rsidP="00A10BE7" w:rsidRDefault="00A10BE7" w14:paraId="48FE258F" w14:textId="77777777">
      <w:pPr>
        <w:spacing w:before="240"/>
        <w:ind w:left="720"/>
      </w:pPr>
      <w:r>
        <w:t>There are no exceptions to the certification statement.</w:t>
      </w:r>
    </w:p>
    <w:p w:rsidR="00A10BE7" w:rsidP="00A10BE7" w:rsidRDefault="00A10BE7" w14:paraId="58F3AC93" w14:textId="7777777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110A8"/>
    <w:rsid w:val="00026879"/>
    <w:rsid w:val="000340F6"/>
    <w:rsid w:val="00075D60"/>
    <w:rsid w:val="000E6451"/>
    <w:rsid w:val="00145FB9"/>
    <w:rsid w:val="001465AD"/>
    <w:rsid w:val="001617C9"/>
    <w:rsid w:val="001678EC"/>
    <w:rsid w:val="0019732A"/>
    <w:rsid w:val="001C61D7"/>
    <w:rsid w:val="001C647E"/>
    <w:rsid w:val="001D210A"/>
    <w:rsid w:val="001E0E4C"/>
    <w:rsid w:val="0024281C"/>
    <w:rsid w:val="0024797F"/>
    <w:rsid w:val="00262A13"/>
    <w:rsid w:val="002678EE"/>
    <w:rsid w:val="002A0DC7"/>
    <w:rsid w:val="002A25A7"/>
    <w:rsid w:val="002C1F76"/>
    <w:rsid w:val="002C512F"/>
    <w:rsid w:val="002C52D2"/>
    <w:rsid w:val="003016AB"/>
    <w:rsid w:val="003237E1"/>
    <w:rsid w:val="00332AC9"/>
    <w:rsid w:val="00335148"/>
    <w:rsid w:val="003509AA"/>
    <w:rsid w:val="00364C47"/>
    <w:rsid w:val="00375FE9"/>
    <w:rsid w:val="00376AEB"/>
    <w:rsid w:val="00391701"/>
    <w:rsid w:val="003D7075"/>
    <w:rsid w:val="003E4432"/>
    <w:rsid w:val="003F0958"/>
    <w:rsid w:val="00433131"/>
    <w:rsid w:val="004444EB"/>
    <w:rsid w:val="00461DF9"/>
    <w:rsid w:val="00484448"/>
    <w:rsid w:val="00484F89"/>
    <w:rsid w:val="004A3A02"/>
    <w:rsid w:val="00513374"/>
    <w:rsid w:val="005429E2"/>
    <w:rsid w:val="00552126"/>
    <w:rsid w:val="0055611D"/>
    <w:rsid w:val="00565A31"/>
    <w:rsid w:val="00597C15"/>
    <w:rsid w:val="005F154A"/>
    <w:rsid w:val="005F46F0"/>
    <w:rsid w:val="00605EFB"/>
    <w:rsid w:val="00642970"/>
    <w:rsid w:val="006601F5"/>
    <w:rsid w:val="006645C6"/>
    <w:rsid w:val="00665692"/>
    <w:rsid w:val="006659A7"/>
    <w:rsid w:val="006B3052"/>
    <w:rsid w:val="006F0AFF"/>
    <w:rsid w:val="0072069A"/>
    <w:rsid w:val="00723DAF"/>
    <w:rsid w:val="00724C87"/>
    <w:rsid w:val="007323C2"/>
    <w:rsid w:val="00751706"/>
    <w:rsid w:val="007662C9"/>
    <w:rsid w:val="007678A9"/>
    <w:rsid w:val="00785DBB"/>
    <w:rsid w:val="007C4884"/>
    <w:rsid w:val="007D1502"/>
    <w:rsid w:val="007E0CA7"/>
    <w:rsid w:val="007E75AA"/>
    <w:rsid w:val="0080222A"/>
    <w:rsid w:val="00845BCA"/>
    <w:rsid w:val="00883500"/>
    <w:rsid w:val="008869F8"/>
    <w:rsid w:val="008C32FE"/>
    <w:rsid w:val="00904B66"/>
    <w:rsid w:val="00905A7E"/>
    <w:rsid w:val="00933321"/>
    <w:rsid w:val="00952FF9"/>
    <w:rsid w:val="00960368"/>
    <w:rsid w:val="0097112F"/>
    <w:rsid w:val="00982855"/>
    <w:rsid w:val="00984F62"/>
    <w:rsid w:val="00993A7C"/>
    <w:rsid w:val="009A43A0"/>
    <w:rsid w:val="009B110F"/>
    <w:rsid w:val="009B7453"/>
    <w:rsid w:val="009D48D9"/>
    <w:rsid w:val="009E5D0D"/>
    <w:rsid w:val="00A10BE7"/>
    <w:rsid w:val="00A15E2B"/>
    <w:rsid w:val="00A534B0"/>
    <w:rsid w:val="00A70FA6"/>
    <w:rsid w:val="00A735EB"/>
    <w:rsid w:val="00A75656"/>
    <w:rsid w:val="00AB648D"/>
    <w:rsid w:val="00AD2666"/>
    <w:rsid w:val="00AF04CE"/>
    <w:rsid w:val="00AF2421"/>
    <w:rsid w:val="00B253F3"/>
    <w:rsid w:val="00B27D87"/>
    <w:rsid w:val="00B759E8"/>
    <w:rsid w:val="00B828E5"/>
    <w:rsid w:val="00B92EDF"/>
    <w:rsid w:val="00BA1768"/>
    <w:rsid w:val="00BE2F13"/>
    <w:rsid w:val="00BE4504"/>
    <w:rsid w:val="00BF0E82"/>
    <w:rsid w:val="00BF2C23"/>
    <w:rsid w:val="00C10717"/>
    <w:rsid w:val="00C34D5B"/>
    <w:rsid w:val="00C44F4E"/>
    <w:rsid w:val="00C701A8"/>
    <w:rsid w:val="00C87392"/>
    <w:rsid w:val="00C96557"/>
    <w:rsid w:val="00CE01DD"/>
    <w:rsid w:val="00D63221"/>
    <w:rsid w:val="00D93A16"/>
    <w:rsid w:val="00DA60A6"/>
    <w:rsid w:val="00DC5B75"/>
    <w:rsid w:val="00E07C7E"/>
    <w:rsid w:val="00E14B0F"/>
    <w:rsid w:val="00E54E94"/>
    <w:rsid w:val="00E704B7"/>
    <w:rsid w:val="00EA7EBB"/>
    <w:rsid w:val="00EB14B8"/>
    <w:rsid w:val="00EE35E7"/>
    <w:rsid w:val="00EF3FFA"/>
    <w:rsid w:val="00EF5963"/>
    <w:rsid w:val="00F03B3A"/>
    <w:rsid w:val="00F30321"/>
    <w:rsid w:val="00F508CC"/>
    <w:rsid w:val="00F60B26"/>
    <w:rsid w:val="00F9149F"/>
    <w:rsid w:val="00FA102C"/>
    <w:rsid w:val="00FA6DEC"/>
    <w:rsid w:val="00FB23E4"/>
    <w:rsid w:val="00FC7E12"/>
    <w:rsid w:val="00FF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67E594C"/>
  <w15:docId w15:val="{BDE51206-20F9-479D-AD3E-AFBD70D5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character" w:styleId="Hyperlink">
    <w:name w:val="Hyperlink"/>
    <w:basedOn w:val="DefaultParagraphFont"/>
    <w:uiPriority w:val="99"/>
    <w:unhideWhenUsed/>
    <w:rsid w:val="001D210A"/>
    <w:rPr>
      <w:color w:val="0000FF" w:themeColor="hyperlink"/>
      <w:u w:val="single"/>
    </w:rPr>
  </w:style>
  <w:style w:type="character" w:styleId="UnresolvedMention">
    <w:name w:val="Unresolved Mention"/>
    <w:basedOn w:val="DefaultParagraphFont"/>
    <w:uiPriority w:val="99"/>
    <w:semiHidden/>
    <w:unhideWhenUsed/>
    <w:rsid w:val="001D210A"/>
    <w:rPr>
      <w:color w:val="605E5C"/>
      <w:shd w:val="clear" w:color="auto" w:fill="E1DFDD"/>
    </w:rPr>
  </w:style>
  <w:style w:type="paragraph" w:styleId="BalloonText">
    <w:name w:val="Balloon Text"/>
    <w:basedOn w:val="Normal"/>
    <w:link w:val="BalloonTextChar"/>
    <w:uiPriority w:val="99"/>
    <w:semiHidden/>
    <w:unhideWhenUsed/>
    <w:rsid w:val="00A735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m.gov/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2528</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3</cp:revision>
  <cp:lastPrinted>2021-04-13T13:36:00Z</cp:lastPrinted>
  <dcterms:created xsi:type="dcterms:W3CDTF">2021-06-16T13:34:00Z</dcterms:created>
  <dcterms:modified xsi:type="dcterms:W3CDTF">2021-06-16T13:41:00Z</dcterms:modified>
</cp:coreProperties>
</file>