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08" w:rsidP="003C0232" w:rsidRDefault="00411E08" w14:paraId="785C5029" w14:textId="77777777">
      <w:pPr>
        <w:pStyle w:val="PlainText"/>
        <w:jc w:val="center"/>
        <w:rPr>
          <w:rFonts w:ascii="Times New Roman" w:hAnsi="Times New Roman" w:cs="Times New Roman"/>
          <w:sz w:val="24"/>
          <w:szCs w:val="24"/>
        </w:rPr>
      </w:pPr>
    </w:p>
    <w:p w:rsidRPr="00D4158F" w:rsidR="00052711" w:rsidP="003C0232" w:rsidRDefault="00C04518" w14:paraId="087C3E2B" w14:textId="4B4A401A">
      <w:pPr>
        <w:pStyle w:val="PlainText"/>
        <w:jc w:val="center"/>
        <w:rPr>
          <w:rFonts w:ascii="Times New Roman" w:hAnsi="Times New Roman" w:cs="Times New Roman"/>
          <w:b/>
          <w:sz w:val="24"/>
          <w:szCs w:val="24"/>
          <w:u w:val="single"/>
        </w:rPr>
      </w:pPr>
      <w:r w:rsidRPr="00D4158F">
        <w:rPr>
          <w:rFonts w:ascii="Times New Roman" w:hAnsi="Times New Roman" w:cs="Times New Roman"/>
          <w:b/>
          <w:sz w:val="24"/>
          <w:szCs w:val="24"/>
          <w:u w:val="single"/>
        </w:rPr>
        <w:t>20</w:t>
      </w:r>
      <w:r w:rsidR="00161F0F">
        <w:rPr>
          <w:rFonts w:ascii="Times New Roman" w:hAnsi="Times New Roman" w:cs="Times New Roman"/>
          <w:b/>
          <w:sz w:val="24"/>
          <w:szCs w:val="24"/>
          <w:u w:val="single"/>
        </w:rPr>
        <w:t>21</w:t>
      </w:r>
      <w:r w:rsidRPr="00D4158F">
        <w:rPr>
          <w:rFonts w:ascii="Times New Roman" w:hAnsi="Times New Roman" w:cs="Times New Roman"/>
          <w:b/>
          <w:sz w:val="24"/>
          <w:szCs w:val="24"/>
          <w:u w:val="single"/>
        </w:rPr>
        <w:t xml:space="preserve"> </w:t>
      </w:r>
      <w:r w:rsidRPr="00D4158F" w:rsidR="00052711">
        <w:rPr>
          <w:rFonts w:ascii="Times New Roman" w:hAnsi="Times New Roman" w:cs="Times New Roman"/>
          <w:b/>
          <w:sz w:val="24"/>
          <w:szCs w:val="24"/>
          <w:u w:val="single"/>
        </w:rPr>
        <w:t>SUPPORTING STATEMENT</w:t>
      </w:r>
    </w:p>
    <w:p w:rsidRPr="004D3481" w:rsidR="00052711" w:rsidP="003C0232" w:rsidRDefault="00052711" w14:paraId="2169A21C" w14:textId="77777777">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Sugar Imported for Export as Refined Sugar, as a Sugar-Containing Product, or Used in the Production of Certain Polyhydric Alcohols</w:t>
      </w:r>
    </w:p>
    <w:p w:rsidRPr="004D3481" w:rsidR="00052711" w:rsidP="003C0232" w:rsidRDefault="00052711" w14:paraId="6C7CBF45" w14:textId="77777777">
      <w:pPr>
        <w:pStyle w:val="PlainText"/>
        <w:rPr>
          <w:rFonts w:ascii="Times New Roman" w:hAnsi="Times New Roman" w:cs="Times New Roman"/>
          <w:sz w:val="24"/>
          <w:szCs w:val="24"/>
        </w:rPr>
      </w:pPr>
    </w:p>
    <w:p w:rsidRPr="00E83C20" w:rsidR="00052711" w:rsidP="003C0232" w:rsidRDefault="00052711" w14:paraId="08C2B5A0"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D3481" w:rsidR="00052711" w:rsidP="003C0232" w:rsidRDefault="00052711" w14:paraId="30BE82D5" w14:textId="77777777">
      <w:pPr>
        <w:pStyle w:val="PlainText"/>
        <w:rPr>
          <w:rFonts w:ascii="Times New Roman" w:hAnsi="Times New Roman" w:cs="Times New Roman"/>
          <w:sz w:val="24"/>
          <w:szCs w:val="24"/>
        </w:rPr>
      </w:pPr>
    </w:p>
    <w:p w:rsidRPr="004D3481" w:rsidR="00052711" w:rsidP="003C0232" w:rsidRDefault="00052711" w14:paraId="17ADF8B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w:t>
      </w:r>
      <w:r>
        <w:t>r</w:t>
      </w:r>
      <w:r w:rsidRPr="004D3481">
        <w:t xml:space="preserve">egulation at 7 </w:t>
      </w:r>
      <w:r w:rsidR="00666C00">
        <w:t xml:space="preserve">CFR part 1530 </w:t>
      </w:r>
      <w:r w:rsidRPr="004D3481">
        <w:t>authorizes the Foreign Agricultural Service</w:t>
      </w:r>
      <w:r>
        <w:t xml:space="preserve"> (FAS) </w:t>
      </w:r>
      <w:r w:rsidRPr="004D3481">
        <w:t xml:space="preserve">to issue import licenses to enter raw cane sugar exempt from the tariff-rate quota (TRQ) for raw cane sugar imports and related requirements on the condition that an equivalent quantity of refined sugar be: (1) exported as refined sugar; (2) exported as an ingredient in </w:t>
      </w:r>
      <w:r w:rsidR="00A712E7">
        <w:t>sugar-</w:t>
      </w:r>
      <w:r w:rsidR="00D93598">
        <w:t xml:space="preserve">containing </w:t>
      </w:r>
      <w:r w:rsidRPr="004D3481" w:rsidR="00D93598">
        <w:t>products</w:t>
      </w:r>
      <w:r w:rsidRPr="004D3481">
        <w:t xml:space="preserve">; or (3) used in production of certain polyhydric alcohols.  The information requirements set forth in the </w:t>
      </w:r>
      <w:r>
        <w:t>re</w:t>
      </w:r>
      <w:r w:rsidRPr="004D3481">
        <w:t xml:space="preserve">gulation are necessary to enable FAS to administer the licensing </w:t>
      </w:r>
      <w:r>
        <w:t>p</w:t>
      </w:r>
      <w:r w:rsidRPr="004D3481">
        <w:t xml:space="preserve">rogram in full compliance with the </w:t>
      </w:r>
      <w:r>
        <w:t>r</w:t>
      </w:r>
      <w:r w:rsidRPr="004D3481">
        <w:t xml:space="preserve">egulation and to ensure that licensed imports do not enter the commercial sugar market in circumvention of the TRQ for raw cane sugar.  This </w:t>
      </w:r>
      <w:r>
        <w:t>r</w:t>
      </w:r>
      <w:r w:rsidRPr="004D3481">
        <w:t xml:space="preserve">egulation, which amended the previous </w:t>
      </w:r>
      <w:r>
        <w:t>r</w:t>
      </w:r>
      <w:r w:rsidRPr="004D3481">
        <w:t xml:space="preserve">egulation, became effective February 12, 1999. </w:t>
      </w:r>
      <w:r w:rsidR="00340F48">
        <w:t>(Attachment 1)</w:t>
      </w:r>
    </w:p>
    <w:p w:rsidRPr="004D3481" w:rsidR="00052711" w:rsidP="003C0232" w:rsidRDefault="00052711" w14:paraId="082AC445" w14:textId="77777777">
      <w:pPr>
        <w:pStyle w:val="PlainText"/>
        <w:rPr>
          <w:rFonts w:ascii="Times New Roman" w:hAnsi="Times New Roman" w:cs="Times New Roman"/>
          <w:sz w:val="24"/>
          <w:szCs w:val="24"/>
        </w:rPr>
      </w:pPr>
    </w:p>
    <w:p w:rsidRPr="004D3481" w:rsidR="00052711" w:rsidP="003C0232" w:rsidRDefault="00052711" w14:paraId="6BB84B5A" w14:textId="77777777">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Legal Authority</w:t>
      </w:r>
      <w:r>
        <w:rPr>
          <w:rFonts w:ascii="Times New Roman" w:hAnsi="Times New Roman" w:cs="Times New Roman"/>
          <w:i/>
          <w:sz w:val="24"/>
          <w:szCs w:val="24"/>
          <w:u w:val="single"/>
        </w:rPr>
        <w:t>:</w:t>
      </w:r>
      <w:r w:rsidRPr="00344992">
        <w:rPr>
          <w:rFonts w:ascii="Times New Roman" w:hAnsi="Times New Roman" w:cs="Times New Roman"/>
          <w:i/>
          <w:sz w:val="24"/>
          <w:szCs w:val="24"/>
        </w:rPr>
        <w:t xml:space="preserve"> </w:t>
      </w:r>
      <w:r w:rsidR="00D23139">
        <w:rPr>
          <w:rFonts w:ascii="Times New Roman" w:hAnsi="Times New Roman" w:cs="Times New Roman"/>
          <w:i/>
          <w:sz w:val="24"/>
          <w:szCs w:val="24"/>
        </w:rPr>
        <w:t xml:space="preserve"> </w:t>
      </w:r>
      <w:r w:rsidRPr="004D3481">
        <w:rPr>
          <w:rFonts w:ascii="Times New Roman" w:hAnsi="Times New Roman" w:cs="Times New Roman"/>
          <w:i/>
          <w:sz w:val="24"/>
          <w:szCs w:val="24"/>
        </w:rPr>
        <w:t>Presidential Proclamation 6763 amended the Harmonized Tariff Schedule of the United States (HTS) to add Additional U.S. Note 6 to chapter 17 which states:</w:t>
      </w:r>
    </w:p>
    <w:p w:rsidRPr="004D3481" w:rsidR="00052711" w:rsidP="003C0232" w:rsidRDefault="00052711" w14:paraId="182FB60E" w14:textId="77777777">
      <w:pPr>
        <w:pStyle w:val="PlainText"/>
        <w:rPr>
          <w:rFonts w:ascii="Times New Roman" w:hAnsi="Times New Roman" w:cs="Times New Roman"/>
          <w:sz w:val="24"/>
          <w:szCs w:val="24"/>
        </w:rPr>
      </w:pPr>
    </w:p>
    <w:p w:rsidRPr="004D3481" w:rsidR="00052711" w:rsidP="00344992" w:rsidRDefault="00052711" w14:paraId="79680263" w14:textId="36CC46AA">
      <w:pPr>
        <w:pStyle w:val="PlainText"/>
        <w:ind w:left="432"/>
        <w:rPr>
          <w:rFonts w:ascii="Times New Roman" w:hAnsi="Times New Roman" w:cs="Times New Roman"/>
          <w:sz w:val="24"/>
          <w:szCs w:val="24"/>
        </w:rPr>
      </w:pPr>
      <w:r w:rsidRPr="004D3481">
        <w:rPr>
          <w:rFonts w:ascii="Times New Roman" w:hAnsi="Times New Roman" w:cs="Times New Roman"/>
          <w:sz w:val="24"/>
          <w:szCs w:val="24"/>
        </w:rPr>
        <w:t>Raw cane sugar classifiable in subheading</w:t>
      </w:r>
      <w:r w:rsidR="00CF518E">
        <w:rPr>
          <w:rFonts w:ascii="Times New Roman" w:hAnsi="Times New Roman" w:cs="Times New Roman"/>
          <w:sz w:val="24"/>
          <w:szCs w:val="24"/>
        </w:rPr>
        <w:t>s</w:t>
      </w:r>
      <w:r w:rsidRPr="004D3481">
        <w:rPr>
          <w:rFonts w:ascii="Times New Roman" w:hAnsi="Times New Roman" w:cs="Times New Roman"/>
          <w:sz w:val="24"/>
          <w:szCs w:val="24"/>
        </w:rPr>
        <w:t xml:space="preserve"> 1701.1</w:t>
      </w:r>
      <w:r w:rsidR="00CF518E">
        <w:rPr>
          <w:rFonts w:ascii="Times New Roman" w:hAnsi="Times New Roman" w:cs="Times New Roman"/>
          <w:sz w:val="24"/>
          <w:szCs w:val="24"/>
        </w:rPr>
        <w:t>3</w:t>
      </w:r>
      <w:r w:rsidRPr="004D3481">
        <w:rPr>
          <w:rFonts w:ascii="Times New Roman" w:hAnsi="Times New Roman" w:cs="Times New Roman"/>
          <w:sz w:val="24"/>
          <w:szCs w:val="24"/>
        </w:rPr>
        <w:t>.20</w:t>
      </w:r>
      <w:r w:rsidR="00CF518E">
        <w:rPr>
          <w:rFonts w:ascii="Times New Roman" w:hAnsi="Times New Roman" w:cs="Times New Roman"/>
          <w:sz w:val="24"/>
          <w:szCs w:val="24"/>
        </w:rPr>
        <w:t xml:space="preserve"> and 1701.14.</w:t>
      </w:r>
      <w:r w:rsidR="00FB3F1C">
        <w:rPr>
          <w:rFonts w:ascii="Times New Roman" w:hAnsi="Times New Roman" w:cs="Times New Roman"/>
          <w:sz w:val="24"/>
          <w:szCs w:val="24"/>
        </w:rPr>
        <w:t>2</w:t>
      </w:r>
      <w:r w:rsidR="00CF518E">
        <w:rPr>
          <w:rFonts w:ascii="Times New Roman" w:hAnsi="Times New Roman" w:cs="Times New Roman"/>
          <w:sz w:val="24"/>
          <w:szCs w:val="24"/>
        </w:rPr>
        <w:t>0</w:t>
      </w:r>
      <w:r w:rsidRPr="004D3481">
        <w:rPr>
          <w:rFonts w:ascii="Times New Roman" w:hAnsi="Times New Roman" w:cs="Times New Roman"/>
          <w:sz w:val="24"/>
          <w:szCs w:val="24"/>
        </w:rPr>
        <w:t xml:space="preserve"> shall be entered only to be used for the production (other than by distillation) of polyhydric alcohols, except polyhydric alcohols as a substitute for sugar in human food consumption, or to be refined and re-exported in refined form or in sugar-containing products, or to be substituted for domestically produced raw cane sugar that has been or will be exported.</w:t>
      </w:r>
      <w:r w:rsidRPr="00CF518E" w:rsidR="00CF518E">
        <w:t xml:space="preserve"> </w:t>
      </w:r>
      <w:r w:rsidRPr="00CF518E" w:rsidR="00CF518E">
        <w:rPr>
          <w:rFonts w:ascii="Times New Roman" w:hAnsi="Times New Roman" w:cs="Times New Roman"/>
          <w:sz w:val="24"/>
          <w:szCs w:val="24"/>
        </w:rPr>
        <w:t>(</w:t>
      </w:r>
      <w:r w:rsidR="00027B4B">
        <w:rPr>
          <w:rFonts w:ascii="Times New Roman" w:hAnsi="Times New Roman" w:cs="Times New Roman"/>
          <w:sz w:val="24"/>
          <w:szCs w:val="24"/>
        </w:rPr>
        <w:t xml:space="preserve">See pages 2, 4, and 5 of </w:t>
      </w:r>
      <w:r w:rsidRPr="00CF518E" w:rsidR="00CF518E">
        <w:rPr>
          <w:rFonts w:ascii="Times New Roman" w:hAnsi="Times New Roman" w:cs="Times New Roman"/>
          <w:sz w:val="24"/>
          <w:szCs w:val="24"/>
        </w:rPr>
        <w:t>Attachment 2</w:t>
      </w:r>
      <w:r w:rsidR="00027B4B">
        <w:rPr>
          <w:rFonts w:ascii="Times New Roman" w:hAnsi="Times New Roman" w:cs="Times New Roman"/>
          <w:sz w:val="24"/>
          <w:szCs w:val="24"/>
        </w:rPr>
        <w:t>.</w:t>
      </w:r>
      <w:r w:rsidRPr="00CF518E" w:rsidR="00CF518E">
        <w:rPr>
          <w:rFonts w:ascii="Times New Roman" w:hAnsi="Times New Roman" w:cs="Times New Roman"/>
          <w:sz w:val="24"/>
          <w:szCs w:val="24"/>
        </w:rPr>
        <w:t>)</w:t>
      </w:r>
      <w:r w:rsidRPr="004D3481">
        <w:rPr>
          <w:rFonts w:ascii="Times New Roman" w:hAnsi="Times New Roman" w:cs="Times New Roman"/>
          <w:sz w:val="24"/>
          <w:szCs w:val="24"/>
        </w:rPr>
        <w:t xml:space="preserve">  The Secretary of Agriculture may issue licenses for such entries and may promulgate such regulations (including any terms, conditions, certifications, bonds, civil penalties, or other limitations) as appropriate to </w:t>
      </w:r>
      <w:r w:rsidR="00450AD4">
        <w:rPr>
          <w:rFonts w:ascii="Times New Roman" w:hAnsi="Times New Roman" w:cs="Times New Roman"/>
          <w:sz w:val="24"/>
          <w:szCs w:val="24"/>
        </w:rPr>
        <w:t>e</w:t>
      </w:r>
      <w:r w:rsidRPr="004D3481">
        <w:rPr>
          <w:rFonts w:ascii="Times New Roman" w:hAnsi="Times New Roman" w:cs="Times New Roman"/>
          <w:sz w:val="24"/>
          <w:szCs w:val="24"/>
        </w:rPr>
        <w:t>nsure that sugar entered under subheading</w:t>
      </w:r>
      <w:r w:rsidR="00CF518E">
        <w:rPr>
          <w:rFonts w:ascii="Times New Roman" w:hAnsi="Times New Roman" w:cs="Times New Roman"/>
          <w:sz w:val="24"/>
          <w:szCs w:val="24"/>
        </w:rPr>
        <w:t>s</w:t>
      </w:r>
      <w:r w:rsidRPr="004D3481">
        <w:rPr>
          <w:rFonts w:ascii="Times New Roman" w:hAnsi="Times New Roman" w:cs="Times New Roman"/>
          <w:sz w:val="24"/>
          <w:szCs w:val="24"/>
        </w:rPr>
        <w:t xml:space="preserve"> </w:t>
      </w:r>
      <w:r w:rsidRPr="00CF518E" w:rsidR="00CF518E">
        <w:rPr>
          <w:rFonts w:ascii="Times New Roman" w:hAnsi="Times New Roman" w:cs="Times New Roman"/>
          <w:sz w:val="24"/>
          <w:szCs w:val="24"/>
        </w:rPr>
        <w:t>1701.13.20 and 1701.14.</w:t>
      </w:r>
      <w:r w:rsidR="00FB3F1C">
        <w:rPr>
          <w:rFonts w:ascii="Times New Roman" w:hAnsi="Times New Roman" w:cs="Times New Roman"/>
          <w:sz w:val="24"/>
          <w:szCs w:val="24"/>
        </w:rPr>
        <w:t>2</w:t>
      </w:r>
      <w:r w:rsidRPr="00CF518E" w:rsidR="00CF518E">
        <w:rPr>
          <w:rFonts w:ascii="Times New Roman" w:hAnsi="Times New Roman" w:cs="Times New Roman"/>
          <w:sz w:val="24"/>
          <w:szCs w:val="24"/>
        </w:rPr>
        <w:t>0</w:t>
      </w:r>
      <w:r w:rsidR="00CF518E">
        <w:rPr>
          <w:rFonts w:ascii="Times New Roman" w:hAnsi="Times New Roman" w:cs="Times New Roman"/>
          <w:sz w:val="24"/>
          <w:szCs w:val="24"/>
        </w:rPr>
        <w:t xml:space="preserve"> </w:t>
      </w:r>
      <w:r w:rsidRPr="004D3481">
        <w:rPr>
          <w:rFonts w:ascii="Times New Roman" w:hAnsi="Times New Roman" w:cs="Times New Roman"/>
          <w:sz w:val="24"/>
          <w:szCs w:val="24"/>
        </w:rPr>
        <w:t>is used only for such purposes.</w:t>
      </w:r>
      <w:r w:rsidR="00961896">
        <w:rPr>
          <w:rFonts w:ascii="Times New Roman" w:hAnsi="Times New Roman" w:cs="Times New Roman"/>
          <w:sz w:val="24"/>
          <w:szCs w:val="24"/>
        </w:rPr>
        <w:t xml:space="preserve"> </w:t>
      </w:r>
      <w:r w:rsidRPr="00961896" w:rsidR="00961896">
        <w:rPr>
          <w:rFonts w:ascii="Times New Roman" w:hAnsi="Times New Roman" w:cs="Times New Roman"/>
          <w:sz w:val="24"/>
          <w:szCs w:val="24"/>
        </w:rPr>
        <w:t>(</w:t>
      </w:r>
      <w:r w:rsidR="00D042A5">
        <w:rPr>
          <w:rFonts w:ascii="Times New Roman" w:hAnsi="Times New Roman" w:cs="Times New Roman"/>
          <w:sz w:val="24"/>
          <w:szCs w:val="24"/>
        </w:rPr>
        <w:t xml:space="preserve">See page 4 of Presidential Proclamation 6763 in </w:t>
      </w:r>
      <w:r w:rsidRPr="00961896" w:rsidR="00961896">
        <w:rPr>
          <w:rFonts w:ascii="Times New Roman" w:hAnsi="Times New Roman" w:cs="Times New Roman"/>
          <w:sz w:val="24"/>
          <w:szCs w:val="24"/>
        </w:rPr>
        <w:t xml:space="preserve">Attachment </w:t>
      </w:r>
      <w:r w:rsidR="00CF518E">
        <w:rPr>
          <w:rFonts w:ascii="Times New Roman" w:hAnsi="Times New Roman" w:cs="Times New Roman"/>
          <w:sz w:val="24"/>
          <w:szCs w:val="24"/>
        </w:rPr>
        <w:t>3</w:t>
      </w:r>
      <w:r w:rsidR="00D042A5">
        <w:rPr>
          <w:rFonts w:ascii="Times New Roman" w:hAnsi="Times New Roman" w:cs="Times New Roman"/>
          <w:sz w:val="24"/>
          <w:szCs w:val="24"/>
        </w:rPr>
        <w:t>.</w:t>
      </w:r>
      <w:r w:rsidRPr="00961896" w:rsidR="00961896">
        <w:rPr>
          <w:rFonts w:ascii="Times New Roman" w:hAnsi="Times New Roman" w:cs="Times New Roman"/>
          <w:sz w:val="24"/>
          <w:szCs w:val="24"/>
        </w:rPr>
        <w:t>)</w:t>
      </w:r>
    </w:p>
    <w:p w:rsidRPr="004D3481" w:rsidR="00052711" w:rsidP="003C0232" w:rsidRDefault="00052711" w14:paraId="26307EDC" w14:textId="77777777">
      <w:pPr>
        <w:pStyle w:val="PlainText"/>
        <w:rPr>
          <w:rFonts w:ascii="Times New Roman" w:hAnsi="Times New Roman" w:cs="Times New Roman"/>
          <w:sz w:val="24"/>
          <w:szCs w:val="24"/>
        </w:rPr>
      </w:pPr>
    </w:p>
    <w:p w:rsidRPr="00E83C20" w:rsidR="00052711" w:rsidP="003C0232" w:rsidRDefault="00052711" w14:paraId="2D7F912B"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2.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Indicate how, by whom and for what purpose the information is to be used.  Except for a new collection, indicate the actual use the agency had made of the information received from the current collection.</w:t>
      </w:r>
    </w:p>
    <w:p w:rsidRPr="004D3481" w:rsidR="00052711" w:rsidP="003C0232" w:rsidRDefault="00052711" w14:paraId="11F0F0E5" w14:textId="77777777">
      <w:pPr>
        <w:pStyle w:val="PlainText"/>
        <w:rPr>
          <w:rFonts w:ascii="Times New Roman" w:hAnsi="Times New Roman" w:cs="Times New Roman"/>
          <w:sz w:val="24"/>
          <w:szCs w:val="24"/>
        </w:rPr>
      </w:pPr>
    </w:p>
    <w:p w:rsidRPr="004D3481" w:rsidR="00052711" w:rsidP="003C0232" w:rsidRDefault="00052711" w14:paraId="63564599" w14:textId="6D36382A">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 Import Licensing Program</w:t>
      </w:r>
      <w:r w:rsidRPr="004D3481">
        <w:rPr>
          <w:rFonts w:ascii="Times New Roman" w:hAnsi="Times New Roman" w:cs="Times New Roman"/>
          <w:sz w:val="24"/>
          <w:szCs w:val="24"/>
        </w:rPr>
        <w:t xml:space="preserve"> is intended to: (1) assist U.S. sugar manufacturers, refiners, and processors in making U.S. products price competitive on the world market and (2) facilitate the use of domestic refining capacity.</w:t>
      </w:r>
    </w:p>
    <w:p w:rsidRPr="004D3481" w:rsidR="00052711" w:rsidP="003C0232" w:rsidRDefault="00052711" w14:paraId="7FB8F890" w14:textId="77777777">
      <w:pPr>
        <w:pStyle w:val="PlainText"/>
        <w:rPr>
          <w:rFonts w:ascii="Times New Roman" w:hAnsi="Times New Roman" w:cs="Times New Roman"/>
          <w:sz w:val="24"/>
          <w:szCs w:val="24"/>
        </w:rPr>
      </w:pPr>
    </w:p>
    <w:p w:rsidRPr="004D3481" w:rsidR="00052711" w:rsidP="003C0232" w:rsidRDefault="00052711" w14:paraId="7624A16C"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Sugar-Containing Products Re-Export Program</w:t>
      </w:r>
      <w:r w:rsidRPr="004D3481">
        <w:rPr>
          <w:rFonts w:ascii="Times New Roman" w:hAnsi="Times New Roman" w:cs="Times New Roman"/>
          <w:sz w:val="24"/>
          <w:szCs w:val="24"/>
        </w:rPr>
        <w:t xml:space="preserve"> is designed to put U.S. manufacturers of sugar-containing products on a level playing field in the world market.  U.S. participants in the sugar-containing products re-export </w:t>
      </w:r>
      <w:r>
        <w:rPr>
          <w:rFonts w:ascii="Times New Roman" w:hAnsi="Times New Roman" w:cs="Times New Roman"/>
          <w:sz w:val="24"/>
          <w:szCs w:val="24"/>
        </w:rPr>
        <w:t>p</w:t>
      </w:r>
      <w:r w:rsidRPr="004D3481">
        <w:rPr>
          <w:rFonts w:ascii="Times New Roman" w:hAnsi="Times New Roman" w:cs="Times New Roman"/>
          <w:sz w:val="24"/>
          <w:szCs w:val="24"/>
        </w:rPr>
        <w:t>rogram may buy world-priced sugar from any of the refiner participants or their agents for use in products to be exported into the world market.</w:t>
      </w:r>
    </w:p>
    <w:p w:rsidRPr="004D3481" w:rsidR="00052711" w:rsidP="003C0232" w:rsidRDefault="00052711" w14:paraId="7651A8D6" w14:textId="77777777">
      <w:pPr>
        <w:pStyle w:val="PlainText"/>
        <w:rPr>
          <w:rFonts w:ascii="Times New Roman" w:hAnsi="Times New Roman" w:cs="Times New Roman"/>
          <w:sz w:val="24"/>
          <w:szCs w:val="24"/>
        </w:rPr>
      </w:pPr>
    </w:p>
    <w:p w:rsidRPr="004D3481" w:rsidR="00052711" w:rsidP="003C0232" w:rsidRDefault="00052711" w14:paraId="35C71CA5"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Refined Sugar Re-Export Program</w:t>
      </w:r>
      <w:r w:rsidRPr="004D3481">
        <w:rPr>
          <w:rFonts w:ascii="Times New Roman" w:hAnsi="Times New Roman" w:cs="Times New Roman"/>
          <w:sz w:val="24"/>
          <w:szCs w:val="24"/>
        </w:rPr>
        <w:t xml:space="preserve"> is designed to facilitate use of domestic refining capacity to export refined sugar to the world market.  The Program establishes licenses for sugar refiners, which may import raw sugar, refine it, and export it to the world market.  The Program operates </w:t>
      </w:r>
      <w:r w:rsidRPr="004D3481">
        <w:rPr>
          <w:rFonts w:ascii="Times New Roman" w:hAnsi="Times New Roman" w:cs="Times New Roman"/>
          <w:sz w:val="24"/>
          <w:szCs w:val="24"/>
        </w:rPr>
        <w:lastRenderedPageBreak/>
        <w:t>to mitigate the imposition of sugar import restrictions, which reduce the quantity of raw sugar allowed to enter the U.S. domestic market.</w:t>
      </w:r>
    </w:p>
    <w:p w:rsidRPr="004D3481" w:rsidR="00052711" w:rsidP="003C0232" w:rsidRDefault="00052711" w14:paraId="32A2A602" w14:textId="77777777">
      <w:pPr>
        <w:pStyle w:val="PlainText"/>
        <w:rPr>
          <w:rFonts w:ascii="Times New Roman" w:hAnsi="Times New Roman" w:cs="Times New Roman"/>
          <w:sz w:val="24"/>
          <w:szCs w:val="24"/>
        </w:rPr>
      </w:pPr>
    </w:p>
    <w:p w:rsidRPr="004D3481" w:rsidR="00052711" w:rsidP="003C0232" w:rsidRDefault="00052711" w14:paraId="24C759D1"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Polyhydric Alcohol Program</w:t>
      </w:r>
      <w:r w:rsidRPr="004D3481">
        <w:rPr>
          <w:rFonts w:ascii="Times New Roman" w:hAnsi="Times New Roman" w:cs="Times New Roman"/>
          <w:sz w:val="24"/>
          <w:szCs w:val="24"/>
        </w:rPr>
        <w:t xml:space="preserve"> functions to provide world-priced sugar to U.S. manufacturers of polyhydric alcohols.  Participating U.S. manufacturers purchase world-priced sugar from licensed refiners or their agents for use in the production of polyhydric alcohols, except polyhydric alcohols substituting for sugar in human food consumption.</w:t>
      </w:r>
    </w:p>
    <w:p w:rsidRPr="004D3481" w:rsidR="00052711" w:rsidP="003C0232" w:rsidRDefault="00052711" w14:paraId="0ECD7E85" w14:textId="77777777">
      <w:pPr>
        <w:pStyle w:val="PlainText"/>
        <w:rPr>
          <w:rFonts w:ascii="Times New Roman" w:hAnsi="Times New Roman" w:cs="Times New Roman"/>
          <w:sz w:val="24"/>
          <w:szCs w:val="24"/>
        </w:rPr>
      </w:pPr>
    </w:p>
    <w:p w:rsidRPr="004D3481" w:rsidR="00052711" w:rsidP="003C0232" w:rsidRDefault="00052711" w14:paraId="7C7B74C0"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This information collection fulfills four functions</w:t>
      </w:r>
      <w:r>
        <w:rPr>
          <w:rFonts w:ascii="Times New Roman" w:hAnsi="Times New Roman" w:cs="Times New Roman"/>
          <w:sz w:val="24"/>
          <w:szCs w:val="24"/>
        </w:rPr>
        <w:t xml:space="preserve">: </w:t>
      </w:r>
      <w:r w:rsidR="002B05E1">
        <w:rPr>
          <w:rFonts w:ascii="Times New Roman" w:hAnsi="Times New Roman" w:cs="Times New Roman"/>
          <w:sz w:val="24"/>
          <w:szCs w:val="24"/>
        </w:rPr>
        <w:t xml:space="preserve"> </w:t>
      </w:r>
      <w:r>
        <w:rPr>
          <w:rFonts w:ascii="Times New Roman" w:hAnsi="Times New Roman" w:cs="Times New Roman"/>
          <w:sz w:val="24"/>
          <w:szCs w:val="24"/>
        </w:rPr>
        <w:t>(1)</w:t>
      </w:r>
      <w:r w:rsidRPr="004D3481">
        <w:rPr>
          <w:rFonts w:ascii="Times New Roman" w:hAnsi="Times New Roman" w:cs="Times New Roman"/>
          <w:sz w:val="24"/>
          <w:szCs w:val="24"/>
        </w:rPr>
        <w:t xml:space="preserve"> it allows FAS to determine whether applicants for the </w:t>
      </w:r>
      <w:r w:rsidR="002B05E1">
        <w:rPr>
          <w:rFonts w:ascii="Times New Roman" w:hAnsi="Times New Roman" w:cs="Times New Roman"/>
          <w:sz w:val="24"/>
          <w:szCs w:val="24"/>
        </w:rPr>
        <w:t>P</w:t>
      </w:r>
      <w:r w:rsidRPr="004D3481">
        <w:rPr>
          <w:rFonts w:ascii="Times New Roman" w:hAnsi="Times New Roman" w:cs="Times New Roman"/>
          <w:sz w:val="24"/>
          <w:szCs w:val="24"/>
        </w:rPr>
        <w:t xml:space="preserve">rogram meet the </w:t>
      </w:r>
      <w:r>
        <w:rPr>
          <w:rFonts w:ascii="Times New Roman" w:hAnsi="Times New Roman" w:cs="Times New Roman"/>
          <w:sz w:val="24"/>
          <w:szCs w:val="24"/>
        </w:rPr>
        <w:t>r</w:t>
      </w:r>
      <w:r w:rsidRPr="004D3481">
        <w:rPr>
          <w:rFonts w:ascii="Times New Roman" w:hAnsi="Times New Roman" w:cs="Times New Roman"/>
          <w:sz w:val="24"/>
          <w:szCs w:val="24"/>
        </w:rPr>
        <w:t>egulation's eligibility cri</w:t>
      </w:r>
      <w:r>
        <w:rPr>
          <w:rFonts w:ascii="Times New Roman" w:hAnsi="Times New Roman" w:cs="Times New Roman"/>
          <w:sz w:val="24"/>
          <w:szCs w:val="24"/>
        </w:rPr>
        <w:t>teria; (2)</w:t>
      </w:r>
      <w:r w:rsidRPr="004D3481">
        <w:rPr>
          <w:rFonts w:ascii="Times New Roman" w:hAnsi="Times New Roman" w:cs="Times New Roman"/>
          <w:sz w:val="24"/>
          <w:szCs w:val="24"/>
        </w:rPr>
        <w:t xml:space="preserve"> the information permits FAS to monitor sugar imports, transfers, exports, and use to confirm that transactions are conducted and completed within the requirements of the </w:t>
      </w:r>
      <w:r>
        <w:rPr>
          <w:rFonts w:ascii="Times New Roman" w:hAnsi="Times New Roman" w:cs="Times New Roman"/>
          <w:sz w:val="24"/>
          <w:szCs w:val="24"/>
        </w:rPr>
        <w:t>regulation</w:t>
      </w:r>
      <w:r w:rsidR="002B05E1">
        <w:rPr>
          <w:rFonts w:ascii="Times New Roman" w:hAnsi="Times New Roman" w:cs="Times New Roman"/>
          <w:sz w:val="24"/>
          <w:szCs w:val="24"/>
        </w:rPr>
        <w:t>;</w:t>
      </w:r>
      <w:r>
        <w:rPr>
          <w:rFonts w:ascii="Times New Roman" w:hAnsi="Times New Roman" w:cs="Times New Roman"/>
          <w:sz w:val="24"/>
          <w:szCs w:val="24"/>
        </w:rPr>
        <w:t xml:space="preserve"> (3) </w:t>
      </w:r>
      <w:r w:rsidRPr="004D3481">
        <w:rPr>
          <w:rFonts w:ascii="Times New Roman" w:hAnsi="Times New Roman" w:cs="Times New Roman"/>
          <w:sz w:val="24"/>
          <w:szCs w:val="24"/>
        </w:rPr>
        <w:t xml:space="preserve">the information serves as a means to audit participants' compliance with the </w:t>
      </w:r>
      <w:r>
        <w:rPr>
          <w:rFonts w:ascii="Times New Roman" w:hAnsi="Times New Roman" w:cs="Times New Roman"/>
          <w:sz w:val="24"/>
          <w:szCs w:val="24"/>
        </w:rPr>
        <w:t>regulation; and (4)</w:t>
      </w:r>
      <w:r w:rsidRPr="004D3481">
        <w:rPr>
          <w:rFonts w:ascii="Times New Roman" w:hAnsi="Times New Roman" w:cs="Times New Roman"/>
          <w:sz w:val="24"/>
          <w:szCs w:val="24"/>
        </w:rPr>
        <w:t xml:space="preserve"> the information prevents world-priced sugar from entering the higher-priced domestic commercial sugar market.  In general, licensees are regularly required to report specific information on sugar entries, transfers, transactions, sales, and use within specific time limits.  The Licensing Authority needs the information collected to manage, plan, evaluate, and account for </w:t>
      </w:r>
      <w:r w:rsidR="002B05E1">
        <w:rPr>
          <w:rFonts w:ascii="Times New Roman" w:hAnsi="Times New Roman" w:cs="Times New Roman"/>
          <w:sz w:val="24"/>
          <w:szCs w:val="24"/>
        </w:rPr>
        <w:t>P</w:t>
      </w:r>
      <w:r w:rsidRPr="004D3481">
        <w:rPr>
          <w:rFonts w:ascii="Times New Roman" w:hAnsi="Times New Roman" w:cs="Times New Roman"/>
          <w:sz w:val="24"/>
          <w:szCs w:val="24"/>
        </w:rPr>
        <w:t>rogram activities.</w:t>
      </w:r>
    </w:p>
    <w:p w:rsidRPr="004D3481" w:rsidR="00052711" w:rsidP="003C0232" w:rsidRDefault="00052711" w14:paraId="273AF20C" w14:textId="77777777">
      <w:pPr>
        <w:pStyle w:val="PlainText"/>
        <w:rPr>
          <w:rFonts w:ascii="Times New Roman" w:hAnsi="Times New Roman" w:cs="Times New Roman"/>
          <w:sz w:val="24"/>
          <w:szCs w:val="24"/>
        </w:rPr>
      </w:pPr>
    </w:p>
    <w:p w:rsidRPr="00344992" w:rsidR="00052711" w:rsidP="003C0232" w:rsidRDefault="00052711" w14:paraId="1B64796C" w14:textId="77777777">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Application</w:t>
      </w:r>
      <w:r w:rsidRPr="004D3481">
        <w:rPr>
          <w:rFonts w:ascii="Times New Roman" w:hAnsi="Times New Roman" w:cs="Times New Roman"/>
          <w:sz w:val="24"/>
          <w:szCs w:val="24"/>
        </w:rPr>
        <w:t>:</w:t>
      </w:r>
      <w:r>
        <w:rPr>
          <w:rFonts w:ascii="Times New Roman" w:hAnsi="Times New Roman" w:cs="Times New Roman"/>
          <w:sz w:val="24"/>
          <w:szCs w:val="24"/>
        </w:rPr>
        <w:t xml:space="preserve">  </w:t>
      </w:r>
      <w:r w:rsidRPr="00344992">
        <w:rPr>
          <w:rFonts w:ascii="Times New Roman" w:hAnsi="Times New Roman" w:cs="Times New Roman"/>
          <w:i/>
          <w:sz w:val="24"/>
          <w:szCs w:val="24"/>
        </w:rPr>
        <w:t>License applicants must submit information required under §1530.104 and §1530.110.  There are no mandatory application forms.  Applications on company letterhead must contain the following information:</w:t>
      </w:r>
    </w:p>
    <w:p w:rsidRPr="004D3481" w:rsidR="00052711" w:rsidP="003C0232" w:rsidRDefault="00052711" w14:paraId="7892ED83" w14:textId="77777777">
      <w:pPr>
        <w:pStyle w:val="PlainText"/>
        <w:rPr>
          <w:rFonts w:ascii="Times New Roman" w:hAnsi="Times New Roman" w:cs="Times New Roman"/>
          <w:sz w:val="24"/>
          <w:szCs w:val="24"/>
        </w:rPr>
      </w:pPr>
    </w:p>
    <w:p w:rsidRPr="004D3481" w:rsidR="00052711" w:rsidP="003C0232" w:rsidRDefault="00052711" w14:paraId="37AEAD28"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(1) Date of letter; (2) address of manufacturing facility(ies); (3) name and address of parent company and subsidiaries (if any); (4) description and sugar percentage of products to be exported; (5) kind and polarity of sugar to be used in the manufacturing process; (6) description of the manufacturing process in which the re-exported sugar will be used; (7) identity of companies that co-pack products or companies for whom an applicant is a co-packer of products; (8) identity of agent (if any) who will purchase sugar or export products for an applicant; (9) identity of the company that will prepare the paper work required for the </w:t>
      </w:r>
      <w:r w:rsidR="00885286">
        <w:rPr>
          <w:rFonts w:ascii="Times New Roman" w:hAnsi="Times New Roman" w:cs="Times New Roman"/>
          <w:sz w:val="24"/>
          <w:szCs w:val="24"/>
        </w:rPr>
        <w:t>P</w:t>
      </w:r>
      <w:r w:rsidRPr="004D3481">
        <w:rPr>
          <w:rFonts w:ascii="Times New Roman" w:hAnsi="Times New Roman" w:cs="Times New Roman"/>
          <w:sz w:val="24"/>
          <w:szCs w:val="24"/>
        </w:rPr>
        <w:t xml:space="preserve">rogram; (10) identity of a bonding agency or bank (if applicable) that will provide a bond or letter or credit in favor of the U.S. Government; (11) list of intended export destinations; (12) certification that the company will export an amount of sugar equal to that transfer from the refiner within the prescribed time limits; and (13) certification that the company will not request drawback from U.S. Customs and Border Protection for products exported under the </w:t>
      </w:r>
      <w:r w:rsidR="00A068CE">
        <w:rPr>
          <w:rFonts w:ascii="Times New Roman" w:hAnsi="Times New Roman" w:cs="Times New Roman"/>
          <w:sz w:val="24"/>
          <w:szCs w:val="24"/>
        </w:rPr>
        <w:t>P</w:t>
      </w:r>
      <w:r w:rsidRPr="004D3481">
        <w:rPr>
          <w:rFonts w:ascii="Times New Roman" w:hAnsi="Times New Roman" w:cs="Times New Roman"/>
          <w:sz w:val="24"/>
          <w:szCs w:val="24"/>
        </w:rPr>
        <w:t>rogram.</w:t>
      </w:r>
    </w:p>
    <w:p w:rsidRPr="004D3481" w:rsidR="00052711" w:rsidP="003C0232" w:rsidRDefault="00052711" w14:paraId="4335A708" w14:textId="77777777">
      <w:pPr>
        <w:pStyle w:val="PlainText"/>
        <w:rPr>
          <w:rFonts w:ascii="Times New Roman" w:hAnsi="Times New Roman" w:cs="Times New Roman"/>
          <w:sz w:val="24"/>
          <w:szCs w:val="24"/>
        </w:rPr>
      </w:pPr>
    </w:p>
    <w:p w:rsidRPr="004D3481" w:rsidR="00052711" w:rsidP="003C0232" w:rsidRDefault="00052711" w14:paraId="7C55AD07" w14:textId="77777777">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Terms and conditions for obtaining a license:</w:t>
      </w:r>
      <w:r w:rsidRPr="00344992">
        <w:rPr>
          <w:rFonts w:ascii="Times New Roman" w:hAnsi="Times New Roman" w:cs="Times New Roman"/>
          <w:i/>
          <w:sz w:val="24"/>
          <w:szCs w:val="24"/>
        </w:rPr>
        <w:t xml:space="preserve">  </w:t>
      </w:r>
      <w:r w:rsidRPr="00344992">
        <w:rPr>
          <w:rFonts w:ascii="Times New Roman" w:hAnsi="Times New Roman" w:cs="Times New Roman"/>
          <w:sz w:val="24"/>
          <w:szCs w:val="24"/>
        </w:rPr>
        <w:t>(</w:t>
      </w:r>
      <w:r w:rsidRPr="004D3481">
        <w:rPr>
          <w:rFonts w:ascii="Times New Roman" w:hAnsi="Times New Roman" w:cs="Times New Roman"/>
          <w:sz w:val="24"/>
          <w:szCs w:val="24"/>
        </w:rPr>
        <w:t xml:space="preserve">1) </w:t>
      </w:r>
      <w:r>
        <w:rPr>
          <w:rFonts w:ascii="Times New Roman" w:hAnsi="Times New Roman" w:cs="Times New Roman"/>
          <w:sz w:val="24"/>
          <w:szCs w:val="24"/>
        </w:rPr>
        <w:t>o</w:t>
      </w:r>
      <w:r w:rsidRPr="004D3481">
        <w:rPr>
          <w:rFonts w:ascii="Times New Roman" w:hAnsi="Times New Roman" w:cs="Times New Roman"/>
          <w:sz w:val="24"/>
          <w:szCs w:val="24"/>
        </w:rPr>
        <w:t>wnership and/or operation of a facility(ies) in the United Stat</w:t>
      </w:r>
      <w:r>
        <w:rPr>
          <w:rFonts w:ascii="Times New Roman" w:hAnsi="Times New Roman" w:cs="Times New Roman"/>
          <w:sz w:val="24"/>
          <w:szCs w:val="24"/>
        </w:rPr>
        <w:t xml:space="preserve">es, as required under §1530.103; </w:t>
      </w:r>
      <w:r w:rsidRPr="004D3481">
        <w:rPr>
          <w:rFonts w:ascii="Times New Roman" w:hAnsi="Times New Roman" w:cs="Times New Roman"/>
          <w:sz w:val="24"/>
          <w:szCs w:val="24"/>
        </w:rPr>
        <w:t xml:space="preserve">(2) </w:t>
      </w:r>
      <w:r>
        <w:rPr>
          <w:rFonts w:ascii="Times New Roman" w:hAnsi="Times New Roman" w:cs="Times New Roman"/>
          <w:sz w:val="24"/>
          <w:szCs w:val="24"/>
        </w:rPr>
        <w:t>f</w:t>
      </w:r>
      <w:r w:rsidRPr="004D3481">
        <w:rPr>
          <w:rFonts w:ascii="Times New Roman" w:hAnsi="Times New Roman" w:cs="Times New Roman"/>
          <w:sz w:val="24"/>
          <w:szCs w:val="24"/>
        </w:rPr>
        <w:t xml:space="preserve">iling an application for a license, including a proposal for a documentation agreement, as required under §1530.104 and §1530.110.  The Licensing Authority evaluates the proposal and once agreement is reached with the applicant, the applicant submits a notarized documentation agreement identifying documents to be maintained by the licensee to substantiate </w:t>
      </w:r>
      <w:r>
        <w:rPr>
          <w:rFonts w:ascii="Times New Roman" w:hAnsi="Times New Roman" w:cs="Times New Roman"/>
          <w:sz w:val="24"/>
          <w:szCs w:val="24"/>
        </w:rPr>
        <w:t>p</w:t>
      </w:r>
      <w:r w:rsidRPr="004D3481">
        <w:rPr>
          <w:rFonts w:ascii="Times New Roman" w:hAnsi="Times New Roman" w:cs="Times New Roman"/>
          <w:sz w:val="24"/>
          <w:szCs w:val="24"/>
        </w:rPr>
        <w:t>rogram activity, and certifies that charges and credits made pursuant to</w:t>
      </w:r>
      <w:r>
        <w:rPr>
          <w:rFonts w:ascii="Times New Roman" w:hAnsi="Times New Roman" w:cs="Times New Roman"/>
          <w:sz w:val="24"/>
          <w:szCs w:val="24"/>
        </w:rPr>
        <w:t xml:space="preserve"> §1530.106 will be kept on file; </w:t>
      </w:r>
      <w:r w:rsidRPr="004D3481">
        <w:rPr>
          <w:rFonts w:ascii="Times New Roman" w:hAnsi="Times New Roman" w:cs="Times New Roman"/>
          <w:sz w:val="24"/>
          <w:szCs w:val="24"/>
        </w:rPr>
        <w:t xml:space="preserve">(3) </w:t>
      </w:r>
      <w:r>
        <w:rPr>
          <w:rFonts w:ascii="Times New Roman" w:hAnsi="Times New Roman" w:cs="Times New Roman"/>
          <w:sz w:val="24"/>
          <w:szCs w:val="24"/>
        </w:rPr>
        <w:t>b</w:t>
      </w:r>
      <w:r w:rsidRPr="004D3481">
        <w:rPr>
          <w:rFonts w:ascii="Times New Roman" w:hAnsi="Times New Roman" w:cs="Times New Roman"/>
          <w:sz w:val="24"/>
          <w:szCs w:val="24"/>
        </w:rPr>
        <w:t xml:space="preserve">onds posted under the previous </w:t>
      </w:r>
      <w:r>
        <w:rPr>
          <w:rFonts w:ascii="Times New Roman" w:hAnsi="Times New Roman" w:cs="Times New Roman"/>
          <w:sz w:val="24"/>
          <w:szCs w:val="24"/>
        </w:rPr>
        <w:t>r</w:t>
      </w:r>
      <w:r w:rsidRPr="004D3481">
        <w:rPr>
          <w:rFonts w:ascii="Times New Roman" w:hAnsi="Times New Roman" w:cs="Times New Roman"/>
          <w:sz w:val="24"/>
          <w:szCs w:val="24"/>
        </w:rPr>
        <w:t>egulation must be updated, as required under §1530.107.  Letters of credit are an acceptable alte</w:t>
      </w:r>
      <w:r>
        <w:rPr>
          <w:rFonts w:ascii="Times New Roman" w:hAnsi="Times New Roman" w:cs="Times New Roman"/>
          <w:sz w:val="24"/>
          <w:szCs w:val="24"/>
        </w:rPr>
        <w:t>rnative</w:t>
      </w:r>
      <w:r w:rsidR="0068456C">
        <w:rPr>
          <w:rFonts w:ascii="Times New Roman" w:hAnsi="Times New Roman" w:cs="Times New Roman"/>
          <w:sz w:val="24"/>
          <w:szCs w:val="24"/>
        </w:rPr>
        <w:t xml:space="preserve"> to bonds.</w:t>
      </w:r>
      <w:r>
        <w:rPr>
          <w:rFonts w:ascii="Times New Roman" w:hAnsi="Times New Roman" w:cs="Times New Roman"/>
          <w:sz w:val="24"/>
          <w:szCs w:val="24"/>
        </w:rPr>
        <w:t xml:space="preserve"> </w:t>
      </w:r>
      <w:r w:rsidRPr="004D3481">
        <w:rPr>
          <w:rFonts w:ascii="Times New Roman" w:hAnsi="Times New Roman" w:cs="Times New Roman"/>
          <w:sz w:val="24"/>
          <w:szCs w:val="24"/>
        </w:rPr>
        <w:t xml:space="preserve">(4) </w:t>
      </w:r>
      <w:r>
        <w:rPr>
          <w:rFonts w:ascii="Times New Roman" w:hAnsi="Times New Roman" w:cs="Times New Roman"/>
          <w:sz w:val="24"/>
          <w:szCs w:val="24"/>
        </w:rPr>
        <w:t>n</w:t>
      </w:r>
      <w:r w:rsidRPr="004D3481">
        <w:rPr>
          <w:rFonts w:ascii="Times New Roman" w:hAnsi="Times New Roman" w:cs="Times New Roman"/>
          <w:sz w:val="24"/>
          <w:szCs w:val="24"/>
        </w:rPr>
        <w:t xml:space="preserve">o person may hold more than one license.  Licenses are issued to:  (1) refiners to import raw sugar and transfer or export refined sugar and (2) manufacturers and producers to receive transfers from refiners and export sugar-containing products or produce polyhydric alcohols.  All </w:t>
      </w:r>
      <w:r w:rsidR="0068456C">
        <w:rPr>
          <w:rFonts w:ascii="Times New Roman" w:hAnsi="Times New Roman" w:cs="Times New Roman"/>
          <w:sz w:val="24"/>
          <w:szCs w:val="24"/>
        </w:rPr>
        <w:t>P</w:t>
      </w:r>
      <w:r w:rsidRPr="004D3481">
        <w:rPr>
          <w:rFonts w:ascii="Times New Roman" w:hAnsi="Times New Roman" w:cs="Times New Roman"/>
          <w:sz w:val="24"/>
          <w:szCs w:val="24"/>
        </w:rPr>
        <w:t xml:space="preserve">rogram participants must submit information required by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w:t>
      </w:r>
      <w:r w:rsidR="0068456C">
        <w:rPr>
          <w:rFonts w:ascii="Times New Roman" w:hAnsi="Times New Roman" w:cs="Times New Roman"/>
          <w:sz w:val="24"/>
          <w:szCs w:val="24"/>
        </w:rPr>
        <w:t xml:space="preserve"> </w:t>
      </w:r>
      <w:r w:rsidRPr="004D3481">
        <w:rPr>
          <w:rFonts w:ascii="Times New Roman" w:hAnsi="Times New Roman" w:cs="Times New Roman"/>
          <w:sz w:val="24"/>
          <w:szCs w:val="24"/>
        </w:rPr>
        <w:t xml:space="preserve">The licensee shall maintain the documentation established in the documentation agreement for five years from the date of such </w:t>
      </w:r>
      <w:r w:rsidR="002C2E1A">
        <w:rPr>
          <w:rFonts w:ascii="Times New Roman" w:hAnsi="Times New Roman" w:cs="Times New Roman"/>
          <w:sz w:val="24"/>
          <w:szCs w:val="24"/>
        </w:rPr>
        <w:t>P</w:t>
      </w:r>
      <w:r w:rsidRPr="004D3481">
        <w:rPr>
          <w:rFonts w:ascii="Times New Roman" w:hAnsi="Times New Roman" w:cs="Times New Roman"/>
          <w:sz w:val="24"/>
          <w:szCs w:val="24"/>
        </w:rPr>
        <w:t>rogram transaction.</w:t>
      </w:r>
    </w:p>
    <w:p w:rsidRPr="004D3481" w:rsidR="00052711" w:rsidP="003C0232" w:rsidRDefault="00052711" w14:paraId="7DDBDE8C" w14:textId="77777777">
      <w:pPr>
        <w:pStyle w:val="PlainText"/>
        <w:rPr>
          <w:rFonts w:ascii="Times New Roman" w:hAnsi="Times New Roman" w:cs="Times New Roman"/>
          <w:sz w:val="24"/>
          <w:szCs w:val="24"/>
        </w:rPr>
      </w:pPr>
    </w:p>
    <w:p w:rsidRPr="00344992" w:rsidR="00052711" w:rsidP="003C0232" w:rsidRDefault="00052711" w14:paraId="76F5AE8C" w14:textId="77777777">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lastRenderedPageBreak/>
        <w:t xml:space="preserve">Submission of regular reports regarding licensing activity as required under §1530.109: </w:t>
      </w:r>
    </w:p>
    <w:p w:rsidRPr="004D3481" w:rsidR="00052711" w:rsidP="003C0232" w:rsidRDefault="00052711" w14:paraId="4A361D48" w14:textId="77777777">
      <w:pPr>
        <w:pStyle w:val="PlainText"/>
        <w:rPr>
          <w:rFonts w:ascii="Times New Roman" w:hAnsi="Times New Roman" w:cs="Times New Roman"/>
          <w:sz w:val="24"/>
          <w:szCs w:val="24"/>
        </w:rPr>
      </w:pPr>
    </w:p>
    <w:p w:rsidRPr="004D3481" w:rsidR="00052711" w:rsidP="003C0232" w:rsidRDefault="00052711" w14:paraId="190E26B4"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Reports are submitted on exports, imports, transfers, or license use (charges and credits against license balances).  A licensee may submit reports as often as monthly for charges and credit against a license balance.  At minimum, a licensee must submit at least a quarterly report not later than 90 days after the earliest transaction (unless there have been no transactions).  Licensees are to update data as necessary to maintain accurate information in previously submitted reports.</w:t>
      </w:r>
    </w:p>
    <w:p w:rsidRPr="004D3481" w:rsidR="00052711" w:rsidP="003C0232" w:rsidRDefault="00052711" w14:paraId="4EEF8F2C" w14:textId="77777777">
      <w:pPr>
        <w:pStyle w:val="PlainText"/>
        <w:rPr>
          <w:rFonts w:ascii="Times New Roman" w:hAnsi="Times New Roman" w:cs="Times New Roman"/>
          <w:sz w:val="24"/>
          <w:szCs w:val="24"/>
        </w:rPr>
      </w:pPr>
    </w:p>
    <w:p w:rsidRPr="00344992" w:rsidR="00052711" w:rsidP="003C0232" w:rsidRDefault="00052711" w14:paraId="57546546" w14:textId="77777777">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 xml:space="preserve">Each report must include the following for all </w:t>
      </w:r>
      <w:r w:rsidR="00D22C4D">
        <w:rPr>
          <w:rFonts w:ascii="Times New Roman" w:hAnsi="Times New Roman" w:cs="Times New Roman"/>
          <w:i/>
          <w:sz w:val="24"/>
          <w:szCs w:val="24"/>
          <w:u w:val="single"/>
        </w:rPr>
        <w:t>P</w:t>
      </w:r>
      <w:r w:rsidRPr="00344992">
        <w:rPr>
          <w:rFonts w:ascii="Times New Roman" w:hAnsi="Times New Roman" w:cs="Times New Roman"/>
          <w:i/>
          <w:sz w:val="24"/>
          <w:szCs w:val="24"/>
          <w:u w:val="single"/>
        </w:rPr>
        <w:t>rogram transactions:</w:t>
      </w:r>
    </w:p>
    <w:p w:rsidRPr="004D3481" w:rsidR="00052711" w:rsidP="003C0232" w:rsidRDefault="00052711" w14:paraId="5BBE038C" w14:textId="77777777">
      <w:pPr>
        <w:pStyle w:val="PlainText"/>
        <w:rPr>
          <w:rFonts w:ascii="Times New Roman" w:hAnsi="Times New Roman" w:cs="Times New Roman"/>
          <w:sz w:val="24"/>
          <w:szCs w:val="24"/>
        </w:rPr>
      </w:pPr>
    </w:p>
    <w:p w:rsidRPr="004D3481" w:rsidR="00052711" w:rsidP="003C0232" w:rsidRDefault="00052711" w14:paraId="239AF8E3"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(1) A unique number, assigned by the licensee, for the transaction; (2) date of the entry, transfer (only a refiner reports transfers to the Licensing Authority), export, or use; (3) quantity of sugar entered, transferred, exported as refined sugar, or used in the production of certain polyhydric alcohols; (4) the licensee's number or if a transfer is being reported, the licensee's number as well as the transfer recipient's license number; (5) country of origin (entry of raw sugar) or final destination (refined exports), using the country code designated in the HTS; and (6) initial and final polarization and final weight (when available) for entries of raw sugar.</w:t>
      </w:r>
    </w:p>
    <w:p w:rsidRPr="004D3481" w:rsidR="00052711" w:rsidP="003C0232" w:rsidRDefault="00052711" w14:paraId="0B4AECF1" w14:textId="77777777">
      <w:pPr>
        <w:pStyle w:val="PlainText"/>
        <w:ind w:left="360"/>
        <w:rPr>
          <w:rFonts w:ascii="Times New Roman" w:hAnsi="Times New Roman" w:cs="Times New Roman"/>
          <w:sz w:val="24"/>
          <w:szCs w:val="24"/>
        </w:rPr>
      </w:pPr>
    </w:p>
    <w:p w:rsidRPr="00344992" w:rsidR="00052711" w:rsidP="003C0232" w:rsidRDefault="00052711" w14:paraId="5470902C" w14:textId="77777777">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Submission of information pertaining to bonds and/or letters of credit as required under</w:t>
      </w:r>
    </w:p>
    <w:p w:rsidRPr="004D3481" w:rsidR="00052711" w:rsidP="003C0232" w:rsidRDefault="00052711" w14:paraId="7D57D1C8" w14:textId="77777777">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§1530.107</w:t>
      </w:r>
      <w:r w:rsidRPr="004D3481">
        <w:rPr>
          <w:rFonts w:ascii="Times New Roman" w:hAnsi="Times New Roman" w:cs="Times New Roman"/>
          <w:sz w:val="24"/>
          <w:szCs w:val="24"/>
        </w:rPr>
        <w:t>:</w:t>
      </w:r>
    </w:p>
    <w:p w:rsidRPr="004D3481" w:rsidR="00052711" w:rsidP="003C0232" w:rsidRDefault="00052711" w14:paraId="2D17D1C7" w14:textId="77777777">
      <w:pPr>
        <w:pStyle w:val="PlainText"/>
        <w:rPr>
          <w:rFonts w:ascii="Times New Roman" w:hAnsi="Times New Roman" w:cs="Times New Roman"/>
          <w:sz w:val="24"/>
          <w:szCs w:val="24"/>
        </w:rPr>
      </w:pPr>
    </w:p>
    <w:p w:rsidRPr="004D3481" w:rsidR="00052711" w:rsidP="003C0232" w:rsidRDefault="00052711" w14:paraId="05D79D55"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licensee may charge </w:t>
      </w:r>
      <w:r w:rsidR="002A2924">
        <w:rPr>
          <w:rFonts w:ascii="Times New Roman" w:hAnsi="Times New Roman" w:cs="Times New Roman"/>
          <w:sz w:val="24"/>
          <w:szCs w:val="24"/>
        </w:rPr>
        <w:t>P</w:t>
      </w:r>
      <w:r w:rsidRPr="004D3481">
        <w:rPr>
          <w:rFonts w:ascii="Times New Roman" w:hAnsi="Times New Roman" w:cs="Times New Roman"/>
          <w:sz w:val="24"/>
          <w:szCs w:val="24"/>
        </w:rPr>
        <w:t>rogram sugar in anticipation of transfer, export, or production, if the licensee established a performance bond or a letter of credit (L/C) with USDA which meets the following criteria:  (1) A bond or L/C may cover entries made during the time period stated in a bond or for a specified entry (single entry bond).  (2) The obligation under bond or L/C shall be effective no later than the date of entry or date of transfer.  (3) The amount of bond or L/C shall be equal to 20 cents/pound of sugar to be entered.  (4) If the licensee fails to credit a license within the given time period, a specified payment shall be made to the U.S. Treasury.</w:t>
      </w:r>
    </w:p>
    <w:p w:rsidRPr="004D3481" w:rsidR="00052711" w:rsidP="003C0232" w:rsidRDefault="00052711" w14:paraId="3BBB77C8" w14:textId="77777777">
      <w:pPr>
        <w:pStyle w:val="PlainText"/>
        <w:rPr>
          <w:rFonts w:ascii="Times New Roman" w:hAnsi="Times New Roman" w:cs="Times New Roman"/>
          <w:sz w:val="24"/>
          <w:szCs w:val="24"/>
        </w:rPr>
      </w:pPr>
    </w:p>
    <w:p w:rsidRPr="00FC718B" w:rsidR="00052711" w:rsidP="003C0232" w:rsidRDefault="00052711" w14:paraId="21EF0C73" w14:textId="77777777">
      <w:pPr>
        <w:pStyle w:val="PlainText"/>
        <w:rPr>
          <w:rFonts w:ascii="Times New Roman" w:hAnsi="Times New Roman" w:cs="Times New Roman"/>
          <w:b/>
          <w:sz w:val="24"/>
          <w:szCs w:val="24"/>
        </w:rPr>
      </w:pPr>
      <w:r w:rsidRPr="00FC718B">
        <w:rPr>
          <w:rFonts w:ascii="Times New Roman" w:hAnsi="Times New Roman" w:cs="Times New Roman"/>
          <w:b/>
          <w:sz w:val="24"/>
          <w:szCs w:val="24"/>
        </w:rPr>
        <w:t>PRACTICAL UTILITY OF THIS COLLECTION IN DETERMINING COMPLIANCE WITH THE PROGRAM</w:t>
      </w:r>
    </w:p>
    <w:p w:rsidRPr="004D3481" w:rsidR="00052711" w:rsidP="003C0232" w:rsidRDefault="00052711" w14:paraId="6ABD549E" w14:textId="77777777">
      <w:pPr>
        <w:pStyle w:val="PlainText"/>
        <w:rPr>
          <w:rFonts w:ascii="Times New Roman" w:hAnsi="Times New Roman" w:cs="Times New Roman"/>
          <w:sz w:val="24"/>
          <w:szCs w:val="24"/>
        </w:rPr>
      </w:pPr>
    </w:p>
    <w:p w:rsidRPr="004D3481" w:rsidR="00052711" w:rsidP="003C0232" w:rsidRDefault="00052711" w14:paraId="7C641E1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To set the stage for this discussion, it may be instructive to review elements of U.S. sugar policy.  The United States limits imports of raw and refined sugar through tariff-rate quotas.    </w:t>
      </w:r>
    </w:p>
    <w:p w:rsidRPr="004D3481" w:rsidR="00052711" w:rsidP="003C0232" w:rsidRDefault="00052711" w14:paraId="27E4543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Pr="004D3481" w:rsidR="00052711" w:rsidP="003C0232" w:rsidRDefault="00052711" w14:paraId="7D80A55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This situation poses a challenge to U.S. exporters of sugar and sugar-containing products, which must compete with less expensive foreign products.  To address this price discrepancy, the </w:t>
      </w:r>
      <w:r w:rsidR="00AF6CDE">
        <w:t>P</w:t>
      </w:r>
      <w:r w:rsidRPr="004D3481">
        <w:t>rogram was developed to provide U.S. exporters with access to world-priced sugar, thereby making them more competitive in international markets.</w:t>
      </w:r>
    </w:p>
    <w:p w:rsidRPr="004D3481" w:rsidR="00052711" w:rsidP="003C0232" w:rsidRDefault="00052711" w14:paraId="4B54CEA1" w14:textId="77777777">
      <w:pPr>
        <w:pStyle w:val="PlainText"/>
        <w:rPr>
          <w:rFonts w:ascii="Times New Roman" w:hAnsi="Times New Roman" w:cs="Times New Roman"/>
          <w:sz w:val="24"/>
          <w:szCs w:val="24"/>
        </w:rPr>
      </w:pPr>
    </w:p>
    <w:p w:rsidR="00945FE4" w:rsidP="00945FE4" w:rsidRDefault="00052711" w14:paraId="0F87DB6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information collection serves to verify that imported world-priced sugar is actually exported and not diverted onto the domestic market, thereby undermining the objectives of U.S. sugar policies.  This collection enables USDA to monitor participants in an effort to ensure compliance with </w:t>
      </w:r>
      <w:r w:rsidR="006D54F7">
        <w:t>P</w:t>
      </w:r>
      <w:r w:rsidRPr="004D3481">
        <w:t xml:space="preserve">rogram parameters.  </w:t>
      </w:r>
    </w:p>
    <w:p w:rsidR="005B4A4C" w:rsidP="00945FE4" w:rsidRDefault="005B4A4C" w14:paraId="69F9650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Pr="00E83C20" w:rsidR="00052711" w:rsidP="003C0232" w:rsidRDefault="00052711" w14:paraId="1FA65AA6"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3.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00C04518">
        <w:rPr>
          <w:rFonts w:ascii="Times New Roman" w:hAnsi="Times New Roman" w:cs="Times New Roman"/>
          <w:b/>
          <w:sz w:val="24"/>
          <w:szCs w:val="24"/>
        </w:rPr>
        <w:lastRenderedPageBreak/>
        <w:t>the basis for the decision for adopting this means of collection.  Also describe any consideration of using information technology to reduce burden.</w:t>
      </w:r>
    </w:p>
    <w:p w:rsidRPr="004D3481" w:rsidR="00052711" w:rsidP="003C0232" w:rsidRDefault="00052711" w14:paraId="4BF04B40" w14:textId="77777777">
      <w:pPr>
        <w:pStyle w:val="PlainText"/>
        <w:rPr>
          <w:rFonts w:ascii="Times New Roman" w:hAnsi="Times New Roman" w:cs="Times New Roman"/>
          <w:sz w:val="24"/>
          <w:szCs w:val="24"/>
        </w:rPr>
      </w:pPr>
    </w:p>
    <w:p w:rsidRPr="004248E5" w:rsidR="00052711" w:rsidP="004248E5" w:rsidRDefault="00052711" w14:paraId="5C83B1E3" w14:textId="77777777">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Integrated Data Base</w:t>
      </w:r>
      <w:r>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4248E5">
        <w:rPr>
          <w:rFonts w:ascii="Times New Roman" w:hAnsi="Times New Roman" w:cs="Times New Roman"/>
          <w:sz w:val="24"/>
          <w:szCs w:val="24"/>
        </w:rPr>
        <w:t xml:space="preserve"> Beginning in 2005, a web-based software system called </w:t>
      </w:r>
      <w:r w:rsidR="006A72CA">
        <w:rPr>
          <w:rFonts w:ascii="Times New Roman" w:hAnsi="Times New Roman" w:cs="Times New Roman"/>
          <w:sz w:val="24"/>
          <w:szCs w:val="24"/>
        </w:rPr>
        <w:t xml:space="preserve">the </w:t>
      </w:r>
      <w:r w:rsidRPr="006A72CA" w:rsidR="006A72CA">
        <w:rPr>
          <w:rFonts w:ascii="Times New Roman" w:hAnsi="Times New Roman" w:cs="Times New Roman"/>
          <w:sz w:val="24"/>
          <w:szCs w:val="24"/>
        </w:rPr>
        <w:t>Sugars Users Group Accounting and Reporting System</w:t>
      </w:r>
      <w:r w:rsidR="006A72CA">
        <w:rPr>
          <w:rFonts w:ascii="Times New Roman" w:hAnsi="Times New Roman" w:cs="Times New Roman"/>
          <w:sz w:val="24"/>
          <w:szCs w:val="24"/>
        </w:rPr>
        <w:t xml:space="preserve"> (</w:t>
      </w:r>
      <w:r w:rsidRPr="004248E5">
        <w:rPr>
          <w:rFonts w:ascii="Times New Roman" w:hAnsi="Times New Roman" w:cs="Times New Roman"/>
          <w:sz w:val="24"/>
          <w:szCs w:val="24"/>
        </w:rPr>
        <w:t>SUGARS</w:t>
      </w:r>
      <w:r w:rsidR="006A72CA">
        <w:rPr>
          <w:rFonts w:ascii="Times New Roman" w:hAnsi="Times New Roman" w:cs="Times New Roman"/>
          <w:sz w:val="24"/>
          <w:szCs w:val="24"/>
        </w:rPr>
        <w:t>)</w:t>
      </w:r>
      <w:r w:rsidRPr="004248E5">
        <w:rPr>
          <w:rFonts w:ascii="Times New Roman" w:hAnsi="Times New Roman" w:cs="Times New Roman"/>
          <w:sz w:val="24"/>
          <w:szCs w:val="24"/>
        </w:rPr>
        <w:t xml:space="preserve"> </w:t>
      </w:r>
      <w:r>
        <w:rPr>
          <w:rFonts w:ascii="Times New Roman" w:hAnsi="Times New Roman" w:cs="Times New Roman"/>
          <w:sz w:val="24"/>
          <w:szCs w:val="24"/>
        </w:rPr>
        <w:t>(</w:t>
      </w:r>
      <w:hyperlink w:history="1" r:id="rId8">
        <w:r w:rsidRPr="00C074C9">
          <w:rPr>
            <w:rStyle w:val="Hyperlink"/>
            <w:rFonts w:ascii="Times New Roman" w:hAnsi="Times New Roman"/>
            <w:sz w:val="24"/>
            <w:szCs w:val="24"/>
          </w:rPr>
          <w:t>http://www.fas.usda.gov/sugars/fassugarshome.aspx</w:t>
        </w:r>
      </w:hyperlink>
      <w:r>
        <w:rPr>
          <w:rFonts w:ascii="Times New Roman" w:hAnsi="Times New Roman" w:cs="Times New Roman"/>
          <w:sz w:val="24"/>
          <w:szCs w:val="24"/>
        </w:rPr>
        <w:t xml:space="preserve">) </w:t>
      </w:r>
      <w:r w:rsidRPr="004248E5">
        <w:rPr>
          <w:rFonts w:ascii="Times New Roman" w:hAnsi="Times New Roman" w:cs="Times New Roman"/>
          <w:sz w:val="24"/>
          <w:szCs w:val="24"/>
        </w:rPr>
        <w:t xml:space="preserve">was adopted to allow participants to submit reports through the Internet and to manage more accurately license balances.  </w:t>
      </w:r>
    </w:p>
    <w:p w:rsidRPr="004248E5" w:rsidR="00052711" w:rsidP="003C0232" w:rsidRDefault="00052711" w14:paraId="434C30EC" w14:textId="77777777">
      <w:pPr>
        <w:pStyle w:val="PlainText"/>
        <w:rPr>
          <w:rFonts w:ascii="Times New Roman" w:hAnsi="Times New Roman" w:cs="Times New Roman"/>
          <w:sz w:val="24"/>
          <w:szCs w:val="24"/>
        </w:rPr>
      </w:pPr>
    </w:p>
    <w:p w:rsidRPr="00344992" w:rsidR="00052711" w:rsidP="003C0232" w:rsidRDefault="00052711" w14:paraId="5CFDB74F" w14:textId="77777777">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Objectives of the Electronic Program:</w:t>
      </w:r>
    </w:p>
    <w:p w:rsidRPr="004D3481" w:rsidR="00052711" w:rsidP="003C0232" w:rsidRDefault="00052711" w14:paraId="0C6E28EB" w14:textId="77777777">
      <w:pPr>
        <w:pStyle w:val="PlainText"/>
        <w:rPr>
          <w:rFonts w:ascii="Times New Roman" w:hAnsi="Times New Roman" w:cs="Times New Roman"/>
          <w:sz w:val="24"/>
          <w:szCs w:val="24"/>
        </w:rPr>
      </w:pPr>
    </w:p>
    <w:p w:rsidR="00052711" w:rsidP="003C0232" w:rsidRDefault="00052711" w14:paraId="79248354"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1.  The system provides more efficient reporting options for </w:t>
      </w:r>
      <w:r w:rsidR="003435E7">
        <w:t>P</w:t>
      </w:r>
      <w:r w:rsidRPr="004D3481">
        <w:t>rogram participants by allowing participants to upload data in an ASCII format.  There will be no change in the amount or type of information currently required.</w:t>
      </w:r>
    </w:p>
    <w:p w:rsidRPr="004D3481" w:rsidR="00052711" w:rsidP="003C0232" w:rsidRDefault="00052711" w14:paraId="08CF240E"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Pr="004D3481" w:rsidR="00052711" w:rsidP="003C0232" w:rsidRDefault="00052711" w14:paraId="0DA6EE5A"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2.  The SUGARS software links data for manufacturers of sugar-containing products, companies making inedible polyhydric alcohol, and sugar refiners.  The semi-automatic on-line system offers interim feedback to participants about their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balances following a submission.  While FAS continues to verify each submission, the ability to receive rapid feedback enables companies to know their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status and </w:t>
      </w:r>
      <w:r w:rsidR="003435E7">
        <w:rPr>
          <w:rFonts w:ascii="Times New Roman" w:hAnsi="Times New Roman" w:cs="Times New Roman"/>
          <w:sz w:val="24"/>
          <w:szCs w:val="24"/>
        </w:rPr>
        <w:t xml:space="preserve">to </w:t>
      </w:r>
      <w:r w:rsidRPr="004D3481">
        <w:rPr>
          <w:rFonts w:ascii="Times New Roman" w:hAnsi="Times New Roman" w:cs="Times New Roman"/>
          <w:sz w:val="24"/>
          <w:szCs w:val="24"/>
        </w:rPr>
        <w:t xml:space="preserve">make more informed and timely decisions about their purchases of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sugar from licensed refiners.  </w:t>
      </w:r>
    </w:p>
    <w:p w:rsidRPr="004D3481" w:rsidR="00052711" w:rsidP="003C0232" w:rsidRDefault="00052711" w14:paraId="5812AE30" w14:textId="77777777">
      <w:pPr>
        <w:pStyle w:val="PlainText"/>
        <w:rPr>
          <w:rFonts w:ascii="Times New Roman" w:hAnsi="Times New Roman" w:cs="Times New Roman"/>
          <w:sz w:val="24"/>
          <w:szCs w:val="24"/>
        </w:rPr>
      </w:pPr>
    </w:p>
    <w:p w:rsidRPr="004D3481" w:rsidR="00052711" w:rsidP="003C0232" w:rsidRDefault="00052711" w14:paraId="5FB149D1"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3. </w:t>
      </w:r>
      <w:r w:rsidR="00734DC7">
        <w:rPr>
          <w:rFonts w:ascii="Times New Roman" w:hAnsi="Times New Roman" w:cs="Times New Roman"/>
          <w:sz w:val="24"/>
          <w:szCs w:val="24"/>
        </w:rPr>
        <w:t>Managing the refined sugar re-export</w:t>
      </w:r>
      <w:r w:rsidR="002C2E1A">
        <w:rPr>
          <w:rFonts w:ascii="Times New Roman" w:hAnsi="Times New Roman" w:cs="Times New Roman"/>
          <w:sz w:val="24"/>
          <w:szCs w:val="24"/>
        </w:rPr>
        <w:t xml:space="preserve"> licensing</w:t>
      </w:r>
      <w:r w:rsidR="00734DC7">
        <w:rPr>
          <w:rFonts w:ascii="Times New Roman" w:hAnsi="Times New Roman" w:cs="Times New Roman"/>
          <w:sz w:val="24"/>
          <w:szCs w:val="24"/>
        </w:rPr>
        <w:t xml:space="preserve"> </w:t>
      </w:r>
      <w:r w:rsidR="002C2E1A">
        <w:rPr>
          <w:rFonts w:ascii="Times New Roman" w:hAnsi="Times New Roman" w:cs="Times New Roman"/>
          <w:sz w:val="24"/>
          <w:szCs w:val="24"/>
        </w:rPr>
        <w:t>P</w:t>
      </w:r>
      <w:r w:rsidR="00734DC7">
        <w:rPr>
          <w:rFonts w:ascii="Times New Roman" w:hAnsi="Times New Roman" w:cs="Times New Roman"/>
          <w:sz w:val="24"/>
          <w:szCs w:val="24"/>
        </w:rPr>
        <w:t>rogram</w:t>
      </w:r>
      <w:r w:rsidRPr="004D3481">
        <w:rPr>
          <w:rFonts w:ascii="Times New Roman" w:hAnsi="Times New Roman" w:cs="Times New Roman"/>
          <w:sz w:val="24"/>
          <w:szCs w:val="24"/>
        </w:rPr>
        <w:t xml:space="preserve"> </w:t>
      </w:r>
      <w:r w:rsidR="00734DC7">
        <w:rPr>
          <w:rFonts w:ascii="Times New Roman" w:hAnsi="Times New Roman" w:cs="Times New Roman"/>
          <w:sz w:val="24"/>
          <w:szCs w:val="24"/>
        </w:rPr>
        <w:t xml:space="preserve">no longer requires a program assistant and an import control specialist. </w:t>
      </w:r>
      <w:r w:rsidRPr="004D3481">
        <w:rPr>
          <w:rFonts w:ascii="Times New Roman" w:hAnsi="Times New Roman" w:cs="Times New Roman"/>
          <w:sz w:val="24"/>
          <w:szCs w:val="24"/>
        </w:rPr>
        <w:t xml:space="preserve"> By reducing human error, the database notifies FAS staff when a participant has exceeded their bonded or license limit.  </w:t>
      </w:r>
    </w:p>
    <w:p w:rsidRPr="004D3481" w:rsidR="00052711" w:rsidP="003C0232" w:rsidRDefault="00052711" w14:paraId="2F69C3B9" w14:textId="77777777">
      <w:pPr>
        <w:pStyle w:val="PlainText"/>
        <w:rPr>
          <w:rFonts w:ascii="Times New Roman" w:hAnsi="Times New Roman" w:cs="Times New Roman"/>
          <w:sz w:val="24"/>
          <w:szCs w:val="24"/>
        </w:rPr>
      </w:pPr>
    </w:p>
    <w:p w:rsidR="00052711" w:rsidP="003C0232" w:rsidRDefault="00052711" w14:paraId="07866029" w14:textId="77777777">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sidRPr="004D3481">
        <w:rPr>
          <w:sz w:val="24"/>
        </w:rPr>
        <w:t>4. The system prevents participants from entering export data for destinations for which they have not been approved in their documentation agreements.  This measure requires companies to first modify their documentation agreements to secure additional export destinations.</w:t>
      </w:r>
      <w:r w:rsidR="003F0070">
        <w:rPr>
          <w:sz w:val="24"/>
        </w:rPr>
        <w:t xml:space="preserve"> </w:t>
      </w:r>
    </w:p>
    <w:p w:rsidR="000654B2" w:rsidP="003C0232" w:rsidRDefault="000654B2" w14:paraId="4923B11A" w14:textId="77777777">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p>
    <w:p w:rsidRPr="004D3481" w:rsidR="000654B2" w:rsidP="003C0232" w:rsidRDefault="000654B2" w14:paraId="794E12BA" w14:textId="77777777">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Pr>
          <w:sz w:val="24"/>
        </w:rPr>
        <w:t>5. FAS continues to incrementally improve the SUGARS database</w:t>
      </w:r>
      <w:r w:rsidR="002D5BBD">
        <w:rPr>
          <w:sz w:val="24"/>
        </w:rPr>
        <w:t xml:space="preserve"> and has proposed specific measures to streamline operations</w:t>
      </w:r>
      <w:r>
        <w:rPr>
          <w:sz w:val="24"/>
        </w:rPr>
        <w:t xml:space="preserve">.  </w:t>
      </w:r>
      <w:r w:rsidR="003435E7">
        <w:rPr>
          <w:sz w:val="24"/>
        </w:rPr>
        <w:t xml:space="preserve">An archiving feature </w:t>
      </w:r>
      <w:r w:rsidR="005F3932">
        <w:rPr>
          <w:sz w:val="24"/>
        </w:rPr>
        <w:t xml:space="preserve">introduced </w:t>
      </w:r>
      <w:r w:rsidR="003435E7">
        <w:rPr>
          <w:sz w:val="24"/>
        </w:rPr>
        <w:t xml:space="preserve">in April 2015 has proven helpful for various reasons, including </w:t>
      </w:r>
      <w:r w:rsidR="005F3932">
        <w:rPr>
          <w:sz w:val="24"/>
        </w:rPr>
        <w:t>significantly more accurate tracking of submissions as required by the Paper</w:t>
      </w:r>
      <w:r w:rsidR="00C36FF0">
        <w:rPr>
          <w:sz w:val="24"/>
        </w:rPr>
        <w:t>w</w:t>
      </w:r>
      <w:r w:rsidR="005F3932">
        <w:rPr>
          <w:sz w:val="24"/>
        </w:rPr>
        <w:t>ork Reduction Act (PRA)</w:t>
      </w:r>
      <w:r w:rsidR="003435E7">
        <w:rPr>
          <w:sz w:val="24"/>
        </w:rPr>
        <w:t xml:space="preserve">.  </w:t>
      </w:r>
    </w:p>
    <w:p w:rsidRPr="004D3481" w:rsidR="00052711" w:rsidP="003C0232" w:rsidRDefault="00052711" w14:paraId="43315312" w14:textId="77777777">
      <w:pPr>
        <w:pStyle w:val="PlainText"/>
        <w:rPr>
          <w:rFonts w:ascii="Times New Roman" w:hAnsi="Times New Roman" w:cs="Times New Roman"/>
          <w:sz w:val="24"/>
          <w:szCs w:val="24"/>
        </w:rPr>
      </w:pPr>
    </w:p>
    <w:p w:rsidRPr="00E83C20" w:rsidR="00052711" w:rsidP="003C0232" w:rsidRDefault="00052711" w14:paraId="564CA9C9"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4.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Pr="004D3481" w:rsidR="00052711" w:rsidP="003C0232" w:rsidRDefault="00052711" w14:paraId="561A7276" w14:textId="77777777">
      <w:pPr>
        <w:pStyle w:val="PlainText"/>
        <w:rPr>
          <w:rFonts w:ascii="Times New Roman" w:hAnsi="Times New Roman" w:cs="Times New Roman"/>
          <w:sz w:val="24"/>
          <w:szCs w:val="24"/>
        </w:rPr>
      </w:pPr>
    </w:p>
    <w:p w:rsidRPr="004D3481" w:rsidR="00052711" w:rsidP="003C0232" w:rsidRDefault="00052711" w14:paraId="4FA60F07"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The information collection does not duplicate information or data available elsewhere.</w:t>
      </w:r>
    </w:p>
    <w:p w:rsidRPr="004D3481" w:rsidR="00052711" w:rsidP="003C0232" w:rsidRDefault="00052711" w14:paraId="309B6A8B" w14:textId="77777777">
      <w:pPr>
        <w:pStyle w:val="PlainText"/>
        <w:rPr>
          <w:rFonts w:ascii="Times New Roman" w:hAnsi="Times New Roman" w:cs="Times New Roman"/>
          <w:sz w:val="24"/>
          <w:szCs w:val="24"/>
        </w:rPr>
      </w:pPr>
    </w:p>
    <w:p w:rsidRPr="00E83C20" w:rsidR="00052711" w:rsidP="003C0232" w:rsidRDefault="00052711" w14:paraId="555318A8"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5.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If the collection of information impacts small businesses or other small entities (Item 5 of OMB Form 83-I), describe any methods used to minimize burden.</w:t>
      </w:r>
    </w:p>
    <w:p w:rsidRPr="004D3481" w:rsidR="00052711" w:rsidP="003C0232" w:rsidRDefault="00052711" w14:paraId="6FE5CDC7" w14:textId="17806B09">
      <w:pPr>
        <w:pStyle w:val="PlainText"/>
        <w:rPr>
          <w:rFonts w:ascii="Times New Roman" w:hAnsi="Times New Roman" w:cs="Times New Roman"/>
          <w:sz w:val="24"/>
          <w:szCs w:val="24"/>
        </w:rPr>
      </w:pPr>
    </w:p>
    <w:p w:rsidRPr="004D3481" w:rsidR="00A05710" w:rsidP="003C0232" w:rsidRDefault="007A5D85" w14:paraId="5E1448F2" w14:textId="3D2BBDB1">
      <w:pPr>
        <w:pStyle w:val="PlainText"/>
        <w:rPr>
          <w:rFonts w:ascii="Times New Roman" w:hAnsi="Times New Roman" w:cs="Times New Roman"/>
          <w:sz w:val="24"/>
          <w:szCs w:val="24"/>
        </w:rPr>
      </w:pPr>
      <w:r>
        <w:rPr>
          <w:rFonts w:ascii="Times New Roman" w:hAnsi="Times New Roman" w:cs="Times New Roman"/>
          <w:sz w:val="24"/>
          <w:szCs w:val="24"/>
        </w:rPr>
        <w:t xml:space="preserve">The method used to obtain information has been minimized to ensure all respondents, including small business, will not be burdened.  Of the </w:t>
      </w:r>
      <w:r w:rsidR="00844A2B">
        <w:rPr>
          <w:rFonts w:ascii="Times New Roman" w:hAnsi="Times New Roman" w:cs="Times New Roman"/>
          <w:sz w:val="24"/>
          <w:szCs w:val="24"/>
        </w:rPr>
        <w:t>3</w:t>
      </w:r>
      <w:r w:rsidR="0084312C">
        <w:rPr>
          <w:rFonts w:ascii="Times New Roman" w:hAnsi="Times New Roman" w:cs="Times New Roman"/>
          <w:sz w:val="24"/>
          <w:szCs w:val="24"/>
        </w:rPr>
        <w:t>3</w:t>
      </w:r>
      <w:r w:rsidR="009223F3">
        <w:rPr>
          <w:rFonts w:ascii="Times New Roman" w:hAnsi="Times New Roman" w:cs="Times New Roman"/>
          <w:sz w:val="24"/>
          <w:szCs w:val="24"/>
        </w:rPr>
        <w:t>3</w:t>
      </w:r>
      <w:r w:rsidR="00844A2B">
        <w:rPr>
          <w:rFonts w:ascii="Times New Roman" w:hAnsi="Times New Roman" w:cs="Times New Roman"/>
          <w:sz w:val="24"/>
          <w:szCs w:val="24"/>
        </w:rPr>
        <w:t xml:space="preserve"> respon</w:t>
      </w:r>
      <w:r>
        <w:rPr>
          <w:rFonts w:ascii="Times New Roman" w:hAnsi="Times New Roman" w:cs="Times New Roman"/>
          <w:sz w:val="24"/>
          <w:szCs w:val="24"/>
        </w:rPr>
        <w:t>dents, the agency estimates 4</w:t>
      </w:r>
      <w:r w:rsidR="0084312C">
        <w:rPr>
          <w:rFonts w:ascii="Times New Roman" w:hAnsi="Times New Roman" w:cs="Times New Roman"/>
          <w:sz w:val="24"/>
          <w:szCs w:val="24"/>
        </w:rPr>
        <w:t>5</w:t>
      </w:r>
      <w:r>
        <w:rPr>
          <w:rFonts w:ascii="Times New Roman" w:hAnsi="Times New Roman" w:cs="Times New Roman"/>
          <w:sz w:val="24"/>
          <w:szCs w:val="24"/>
        </w:rPr>
        <w:t xml:space="preserve"> percent are small business</w:t>
      </w:r>
      <w:r w:rsidR="00450AD4">
        <w:rPr>
          <w:rFonts w:ascii="Times New Roman" w:hAnsi="Times New Roman" w:cs="Times New Roman"/>
          <w:sz w:val="24"/>
          <w:szCs w:val="24"/>
        </w:rPr>
        <w:t>es</w:t>
      </w:r>
      <w:r>
        <w:rPr>
          <w:rFonts w:ascii="Times New Roman" w:hAnsi="Times New Roman" w:cs="Times New Roman"/>
          <w:sz w:val="24"/>
          <w:szCs w:val="24"/>
        </w:rPr>
        <w:t>.</w:t>
      </w:r>
    </w:p>
    <w:p w:rsidRPr="004D3481" w:rsidR="00052711" w:rsidP="003C0232" w:rsidRDefault="00052711" w14:paraId="4B3F5D48" w14:textId="77777777">
      <w:pPr>
        <w:pStyle w:val="PlainText"/>
        <w:rPr>
          <w:rFonts w:ascii="Times New Roman" w:hAnsi="Times New Roman" w:cs="Times New Roman"/>
          <w:sz w:val="24"/>
          <w:szCs w:val="24"/>
        </w:rPr>
      </w:pPr>
    </w:p>
    <w:p w:rsidRPr="00E83C20" w:rsidR="00052711" w:rsidP="003C0232" w:rsidRDefault="00052711" w14:paraId="58EA662D"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6.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4D3481" w:rsidR="00052711" w:rsidP="003C0232" w:rsidRDefault="00052711" w14:paraId="335EB014" w14:textId="77777777">
      <w:pPr>
        <w:pStyle w:val="PlainText"/>
        <w:rPr>
          <w:rFonts w:ascii="Times New Roman" w:hAnsi="Times New Roman" w:cs="Times New Roman"/>
          <w:sz w:val="24"/>
          <w:szCs w:val="24"/>
        </w:rPr>
      </w:pPr>
    </w:p>
    <w:p w:rsidR="00052711" w:rsidP="003C0232" w:rsidRDefault="00052711" w14:paraId="5295C00A"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stipulates the frequency of data collection and reporting.  Less frequent reporting or no reporting would impede administration of the </w:t>
      </w:r>
      <w:r w:rsidR="005F3932">
        <w:rPr>
          <w:rFonts w:ascii="Times New Roman" w:hAnsi="Times New Roman" w:cs="Times New Roman"/>
          <w:sz w:val="24"/>
          <w:szCs w:val="24"/>
        </w:rPr>
        <w:t xml:space="preserve">refined </w:t>
      </w:r>
      <w:r w:rsidRPr="004D3481">
        <w:rPr>
          <w:rFonts w:ascii="Times New Roman" w:hAnsi="Times New Roman" w:cs="Times New Roman"/>
          <w:sz w:val="24"/>
          <w:szCs w:val="24"/>
        </w:rPr>
        <w:t xml:space="preserve">sugar </w:t>
      </w:r>
      <w:r w:rsidR="005F3932">
        <w:rPr>
          <w:rFonts w:ascii="Times New Roman" w:hAnsi="Times New Roman" w:cs="Times New Roman"/>
          <w:sz w:val="24"/>
          <w:szCs w:val="24"/>
        </w:rPr>
        <w:t xml:space="preserve">re-export </w:t>
      </w:r>
      <w:r w:rsidRPr="004D3481">
        <w:rPr>
          <w:rFonts w:ascii="Times New Roman" w:hAnsi="Times New Roman" w:cs="Times New Roman"/>
          <w:sz w:val="24"/>
          <w:szCs w:val="24"/>
        </w:rPr>
        <w:t xml:space="preserve">licensing </w:t>
      </w:r>
      <w:r w:rsidR="005F3932">
        <w:rPr>
          <w:rFonts w:ascii="Times New Roman" w:hAnsi="Times New Roman" w:cs="Times New Roman"/>
          <w:sz w:val="24"/>
          <w:szCs w:val="24"/>
        </w:rPr>
        <w:t>P</w:t>
      </w:r>
      <w:r w:rsidRPr="004D3481">
        <w:rPr>
          <w:rFonts w:ascii="Times New Roman" w:hAnsi="Times New Roman" w:cs="Times New Roman"/>
          <w:sz w:val="24"/>
          <w:szCs w:val="24"/>
        </w:rPr>
        <w:t>rogram.</w:t>
      </w:r>
    </w:p>
    <w:p w:rsidR="00945FE4" w:rsidP="003C0232" w:rsidRDefault="00945FE4" w14:paraId="55F51221" w14:textId="77777777">
      <w:pPr>
        <w:pStyle w:val="PlainText"/>
        <w:rPr>
          <w:rFonts w:ascii="Times New Roman" w:hAnsi="Times New Roman" w:cs="Times New Roman"/>
          <w:sz w:val="24"/>
          <w:szCs w:val="24"/>
        </w:rPr>
      </w:pPr>
    </w:p>
    <w:p w:rsidR="00C04518" w:rsidP="00C04518" w:rsidRDefault="00052711" w14:paraId="35C5554E"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7.  </w:t>
      </w:r>
      <w:r w:rsidRPr="00C04518" w:rsidR="00C04518">
        <w:rPr>
          <w:b/>
        </w:rPr>
        <w:t xml:space="preserve"> </w:t>
      </w:r>
      <w:r w:rsidR="00C04518">
        <w:rPr>
          <w:rFonts w:ascii="Times New Roman" w:hAnsi="Times New Roman" w:cs="Times New Roman"/>
          <w:b/>
          <w:sz w:val="24"/>
          <w:szCs w:val="24"/>
        </w:rPr>
        <w:t>Explain any special circumstance that would cause an information collection to be conducted in a manner:</w:t>
      </w:r>
    </w:p>
    <w:p w:rsidR="00C04518" w:rsidP="00C04518" w:rsidRDefault="00C04518" w14:paraId="6E665897" w14:textId="77777777">
      <w:pPr>
        <w:pStyle w:val="PlainText"/>
        <w:rPr>
          <w:rFonts w:ascii="Times New Roman" w:hAnsi="Times New Roman" w:cs="Times New Roman"/>
          <w:b/>
          <w:sz w:val="24"/>
          <w:szCs w:val="24"/>
        </w:rPr>
      </w:pPr>
    </w:p>
    <w:p w:rsidR="00C83327" w:rsidP="00C83327" w:rsidRDefault="00C04518" w14:paraId="67618F17" w14:textId="77777777">
      <w:pPr>
        <w:pStyle w:val="PlainText"/>
        <w:numPr>
          <w:ilvl w:val="0"/>
          <w:numId w:val="1"/>
        </w:numPr>
        <w:rPr>
          <w:rFonts w:ascii="Times New Roman" w:hAnsi="Times New Roman" w:cs="Times New Roman"/>
          <w:sz w:val="24"/>
          <w:szCs w:val="24"/>
        </w:rPr>
      </w:pPr>
      <w:r>
        <w:rPr>
          <w:rFonts w:ascii="Times New Roman" w:hAnsi="Times New Roman" w:cs="Times New Roman"/>
          <w:b/>
          <w:sz w:val="24"/>
          <w:szCs w:val="24"/>
        </w:rPr>
        <w:t>requiring respondents to report information to the agency more often than quarterly;</w:t>
      </w:r>
      <w:r w:rsidRPr="00C83327" w:rsidR="00C83327">
        <w:rPr>
          <w:rFonts w:ascii="Times New Roman" w:hAnsi="Times New Roman" w:cs="Times New Roman"/>
          <w:sz w:val="24"/>
          <w:szCs w:val="24"/>
        </w:rPr>
        <w:t xml:space="preserve"> </w:t>
      </w:r>
    </w:p>
    <w:p w:rsidR="00C83327" w:rsidP="00C83327" w:rsidRDefault="00C83327" w14:paraId="24BB5779" w14:textId="77777777">
      <w:pPr>
        <w:pStyle w:val="PlainText"/>
        <w:ind w:left="720"/>
        <w:rPr>
          <w:rFonts w:ascii="Times New Roman" w:hAnsi="Times New Roman" w:cs="Times New Roman"/>
          <w:sz w:val="24"/>
          <w:szCs w:val="24"/>
        </w:rPr>
      </w:pPr>
    </w:p>
    <w:p w:rsidRPr="004D3481" w:rsidR="00C83327" w:rsidP="00C83327" w:rsidRDefault="00C83327" w14:paraId="421788EF" w14:textId="77777777">
      <w:pPr>
        <w:pStyle w:val="PlainText"/>
        <w:ind w:left="720"/>
        <w:rPr>
          <w:rFonts w:ascii="Times New Roman" w:hAnsi="Times New Roman" w:cs="Times New Roman"/>
          <w:sz w:val="24"/>
          <w:szCs w:val="24"/>
        </w:rPr>
      </w:pPr>
      <w:r>
        <w:rPr>
          <w:rFonts w:ascii="Times New Roman" w:hAnsi="Times New Roman" w:cs="Times New Roman"/>
          <w:sz w:val="24"/>
          <w:szCs w:val="24"/>
        </w:rPr>
        <w:t>U</w:t>
      </w:r>
      <w:r w:rsidRPr="004D3481">
        <w:rPr>
          <w:rFonts w:ascii="Times New Roman" w:hAnsi="Times New Roman" w:cs="Times New Roman"/>
          <w:sz w:val="24"/>
          <w:szCs w:val="24"/>
        </w:rPr>
        <w:t>nder Section 1530.105:</w:t>
      </w:r>
      <w:r>
        <w:rPr>
          <w:rFonts w:ascii="Times New Roman" w:hAnsi="Times New Roman" w:cs="Times New Roman"/>
          <w:sz w:val="24"/>
          <w:szCs w:val="24"/>
        </w:rPr>
        <w:t xml:space="preserve">  </w:t>
      </w:r>
      <w:r w:rsidRPr="004D3481">
        <w:rPr>
          <w:rFonts w:ascii="Times New Roman" w:hAnsi="Times New Roman" w:cs="Times New Roman"/>
          <w:sz w:val="24"/>
          <w:szCs w:val="24"/>
        </w:rPr>
        <w:t>(1)  Refiners have 90 days to export or transfer an equivalent amount of sugar if entry results in a positive license balance, and manufacturers and producers have 18 months to export or use an equivalent amount of sugar charged against a license.</w:t>
      </w:r>
      <w:r>
        <w:rPr>
          <w:rFonts w:ascii="Times New Roman" w:hAnsi="Times New Roman" w:cs="Times New Roman"/>
          <w:sz w:val="24"/>
          <w:szCs w:val="24"/>
        </w:rPr>
        <w:t xml:space="preserve">  </w:t>
      </w:r>
      <w:r w:rsidRPr="004D3481">
        <w:rPr>
          <w:rFonts w:ascii="Times New Roman" w:hAnsi="Times New Roman" w:cs="Times New Roman"/>
          <w:sz w:val="24"/>
          <w:szCs w:val="24"/>
        </w:rPr>
        <w:t>(2)  Licensees have 90 days to report transactions.  The 90-day reporting requirement is necessary to maintain timely information on license balances.</w:t>
      </w:r>
    </w:p>
    <w:p w:rsidR="00C04518" w:rsidP="00C83327" w:rsidRDefault="00C04518" w14:paraId="1BED19B6" w14:textId="77777777">
      <w:pPr>
        <w:pStyle w:val="PlainText"/>
        <w:ind w:left="720"/>
        <w:rPr>
          <w:rFonts w:ascii="Times New Roman" w:hAnsi="Times New Roman" w:cs="Times New Roman"/>
          <w:b/>
          <w:sz w:val="24"/>
          <w:szCs w:val="24"/>
        </w:rPr>
      </w:pPr>
    </w:p>
    <w:p w:rsidR="00C04518" w:rsidP="00C04518" w:rsidRDefault="00C04518" w14:paraId="72000945"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prepare a written response to a collection of information in fewer than 30 days after receipt of it;</w:t>
      </w:r>
    </w:p>
    <w:p w:rsidR="00C83327" w:rsidP="00C83327" w:rsidRDefault="00C83327" w14:paraId="06709814" w14:textId="77777777">
      <w:pPr>
        <w:pStyle w:val="PlainText"/>
        <w:ind w:left="720"/>
        <w:rPr>
          <w:rFonts w:ascii="Times New Roman" w:hAnsi="Times New Roman" w:cs="Times New Roman"/>
          <w:b/>
          <w:sz w:val="24"/>
          <w:szCs w:val="24"/>
        </w:rPr>
      </w:pPr>
    </w:p>
    <w:p w:rsidRPr="00C83327" w:rsidR="00C83327" w:rsidP="00C83327" w:rsidRDefault="00C83327" w14:paraId="2886DC0F" w14:textId="77777777">
      <w:pPr>
        <w:pStyle w:val="PlainText"/>
        <w:ind w:left="720"/>
        <w:rPr>
          <w:rFonts w:ascii="Times New Roman" w:hAnsi="Times New Roman" w:cs="Times New Roman"/>
          <w:sz w:val="24"/>
          <w:szCs w:val="24"/>
        </w:rPr>
      </w:pPr>
      <w:r w:rsidRPr="00C83327">
        <w:rPr>
          <w:rFonts w:ascii="Times New Roman" w:hAnsi="Times New Roman" w:cs="Times New Roman"/>
          <w:sz w:val="24"/>
          <w:szCs w:val="24"/>
        </w:rPr>
        <w:t>Not applicable</w:t>
      </w:r>
    </w:p>
    <w:p w:rsidR="00C83327" w:rsidP="00C83327" w:rsidRDefault="00C83327" w14:paraId="58B4E60B" w14:textId="77777777">
      <w:pPr>
        <w:pStyle w:val="PlainText"/>
        <w:ind w:left="720"/>
        <w:rPr>
          <w:rFonts w:ascii="Times New Roman" w:hAnsi="Times New Roman" w:cs="Times New Roman"/>
          <w:b/>
          <w:sz w:val="24"/>
          <w:szCs w:val="24"/>
        </w:rPr>
      </w:pPr>
    </w:p>
    <w:p w:rsidRPr="00C83327" w:rsidR="00C04518" w:rsidP="00C04518" w:rsidRDefault="00C04518" w14:paraId="2EEA0F7C"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submit more than an original and two copies of any document;</w:t>
      </w:r>
    </w:p>
    <w:p w:rsidR="00C83327" w:rsidP="00C83327" w:rsidRDefault="00C83327" w14:paraId="6460D991" w14:textId="77777777">
      <w:pPr>
        <w:pStyle w:val="PlainText"/>
        <w:rPr>
          <w:rFonts w:ascii="Times New Roman" w:hAnsi="Times New Roman" w:cs="Times New Roman"/>
          <w:sz w:val="24"/>
          <w:szCs w:val="24"/>
        </w:rPr>
      </w:pPr>
    </w:p>
    <w:p w:rsidR="00C83327" w:rsidP="00C83327" w:rsidRDefault="00C83327" w14:paraId="7287817D" w14:textId="77777777">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p>
    <w:p w:rsidR="00C83327" w:rsidP="00C83327" w:rsidRDefault="00C83327" w14:paraId="537F953D" w14:textId="77777777">
      <w:pPr>
        <w:pStyle w:val="PlainText"/>
        <w:ind w:left="720"/>
        <w:rPr>
          <w:rFonts w:ascii="Times New Roman" w:hAnsi="Times New Roman" w:cs="Times New Roman"/>
          <w:b/>
          <w:sz w:val="24"/>
          <w:szCs w:val="24"/>
        </w:rPr>
      </w:pPr>
    </w:p>
    <w:p w:rsidR="00C04518" w:rsidP="00C04518" w:rsidRDefault="00C04518" w14:paraId="608D36AD"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retain records, other than health, medical or government contract, grant-in-aid, or tax records for more than three years;</w:t>
      </w:r>
    </w:p>
    <w:p w:rsidR="00C83327" w:rsidP="00C83327" w:rsidRDefault="00C83327" w14:paraId="24776BCF" w14:textId="77777777">
      <w:pPr>
        <w:pStyle w:val="PlainText"/>
        <w:ind w:left="720"/>
        <w:rPr>
          <w:rFonts w:ascii="Times New Roman" w:hAnsi="Times New Roman" w:cs="Times New Roman"/>
          <w:sz w:val="24"/>
          <w:szCs w:val="24"/>
        </w:rPr>
      </w:pPr>
    </w:p>
    <w:p w:rsidR="00C83327" w:rsidP="00C83327" w:rsidRDefault="00C83327" w14:paraId="146F9954" w14:textId="77777777">
      <w:pPr>
        <w:pStyle w:val="PlainText"/>
        <w:ind w:left="720"/>
        <w:rPr>
          <w:rFonts w:ascii="Times New Roman" w:hAnsi="Times New Roman" w:cs="Times New Roman"/>
          <w:sz w:val="24"/>
          <w:szCs w:val="24"/>
        </w:rPr>
      </w:pPr>
      <w:r w:rsidRPr="004D3481">
        <w:rPr>
          <w:rFonts w:ascii="Times New Roman" w:hAnsi="Times New Roman" w:cs="Times New Roman"/>
          <w:sz w:val="24"/>
          <w:szCs w:val="24"/>
        </w:rPr>
        <w:t>Under Section 1530.110(c):</w:t>
      </w:r>
      <w:r>
        <w:rPr>
          <w:rFonts w:ascii="Times New Roman" w:hAnsi="Times New Roman" w:cs="Times New Roman"/>
          <w:sz w:val="24"/>
          <w:szCs w:val="24"/>
        </w:rPr>
        <w:t xml:space="preserve">  </w:t>
      </w:r>
      <w:r w:rsidRPr="004D3481">
        <w:rPr>
          <w:rFonts w:ascii="Times New Roman" w:hAnsi="Times New Roman" w:cs="Times New Roman"/>
          <w:sz w:val="24"/>
          <w:szCs w:val="24"/>
        </w:rPr>
        <w:t xml:space="preserve">Licensees are to maintain the documentation established in the documentation agreement for five years from the date of </w:t>
      </w:r>
      <w:r>
        <w:rPr>
          <w:rFonts w:ascii="Times New Roman" w:hAnsi="Times New Roman" w:cs="Times New Roman"/>
          <w:sz w:val="24"/>
          <w:szCs w:val="24"/>
        </w:rPr>
        <w:t>each P</w:t>
      </w:r>
      <w:r w:rsidRPr="004D3481">
        <w:rPr>
          <w:rFonts w:ascii="Times New Roman" w:hAnsi="Times New Roman" w:cs="Times New Roman"/>
          <w:sz w:val="24"/>
          <w:szCs w:val="24"/>
        </w:rPr>
        <w:t>rogram transaction.  Past investigations regarding the sugar</w:t>
      </w:r>
      <w:r>
        <w:rPr>
          <w:rFonts w:ascii="Times New Roman" w:hAnsi="Times New Roman" w:cs="Times New Roman"/>
          <w:sz w:val="24"/>
          <w:szCs w:val="24"/>
        </w:rPr>
        <w:t xml:space="preserve"> </w:t>
      </w:r>
      <w:r w:rsidRPr="003D6D1B">
        <w:rPr>
          <w:rFonts w:ascii="Times New Roman" w:hAnsi="Times New Roman" w:cs="Times New Roman"/>
          <w:sz w:val="24"/>
          <w:szCs w:val="24"/>
        </w:rPr>
        <w:t>re-export</w:t>
      </w:r>
      <w:r w:rsidRPr="004D3481">
        <w:rPr>
          <w:rFonts w:ascii="Times New Roman" w:hAnsi="Times New Roman" w:cs="Times New Roman"/>
          <w:sz w:val="24"/>
          <w:szCs w:val="24"/>
        </w:rPr>
        <w:t xml:space="preserve"> licensing </w:t>
      </w:r>
      <w:r>
        <w:rPr>
          <w:rFonts w:ascii="Times New Roman" w:hAnsi="Times New Roman" w:cs="Times New Roman"/>
          <w:sz w:val="24"/>
          <w:szCs w:val="24"/>
        </w:rPr>
        <w:t>P</w:t>
      </w:r>
      <w:r w:rsidRPr="004D3481">
        <w:rPr>
          <w:rFonts w:ascii="Times New Roman" w:hAnsi="Times New Roman" w:cs="Times New Roman"/>
          <w:sz w:val="24"/>
          <w:szCs w:val="24"/>
        </w:rPr>
        <w:t xml:space="preserve">rogram have revealed that the Office of the Inspector General needs </w:t>
      </w:r>
      <w:r>
        <w:rPr>
          <w:rFonts w:ascii="Times New Roman" w:hAnsi="Times New Roman" w:cs="Times New Roman"/>
          <w:sz w:val="24"/>
          <w:szCs w:val="24"/>
        </w:rPr>
        <w:t>five</w:t>
      </w:r>
      <w:r w:rsidRPr="004D3481">
        <w:rPr>
          <w:rFonts w:ascii="Times New Roman" w:hAnsi="Times New Roman" w:cs="Times New Roman"/>
          <w:sz w:val="24"/>
          <w:szCs w:val="24"/>
        </w:rPr>
        <w:t xml:space="preserve"> years of data to substantiate compliance or non-compliance with the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p>
    <w:p w:rsidR="00C83327" w:rsidP="00C83327" w:rsidRDefault="00C83327" w14:paraId="1859D6AD" w14:textId="77777777">
      <w:pPr>
        <w:pStyle w:val="PlainText"/>
        <w:ind w:left="720"/>
        <w:rPr>
          <w:rFonts w:ascii="Times New Roman" w:hAnsi="Times New Roman" w:cs="Times New Roman"/>
          <w:b/>
          <w:sz w:val="24"/>
          <w:szCs w:val="24"/>
        </w:rPr>
      </w:pPr>
    </w:p>
    <w:p w:rsidR="00C04518" w:rsidP="00C04518" w:rsidRDefault="00C04518" w14:paraId="498D764D"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in connection with a survey that is not designed to produce valid and reliable results that can be generalized to the universe of the study;</w:t>
      </w:r>
    </w:p>
    <w:p w:rsidR="00C83327" w:rsidP="00C83327" w:rsidRDefault="00C83327" w14:paraId="53003E70" w14:textId="77777777">
      <w:pPr>
        <w:pStyle w:val="PlainText"/>
        <w:ind w:left="720"/>
        <w:rPr>
          <w:rFonts w:ascii="Times New Roman" w:hAnsi="Times New Roman" w:cs="Times New Roman"/>
          <w:sz w:val="24"/>
          <w:szCs w:val="24"/>
        </w:rPr>
      </w:pPr>
    </w:p>
    <w:p w:rsidR="00C83327" w:rsidP="00C83327" w:rsidRDefault="00C83327" w14:paraId="4B68400E" w14:textId="77777777">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p>
    <w:p w:rsidRPr="00C83327" w:rsidR="00C83327" w:rsidP="00C83327" w:rsidRDefault="00C83327" w14:paraId="796E2C1A" w14:textId="77777777">
      <w:pPr>
        <w:pStyle w:val="PlainText"/>
        <w:ind w:left="720"/>
        <w:rPr>
          <w:rFonts w:ascii="Times New Roman" w:hAnsi="Times New Roman" w:cs="Times New Roman"/>
          <w:sz w:val="24"/>
          <w:szCs w:val="24"/>
        </w:rPr>
      </w:pPr>
    </w:p>
    <w:p w:rsidR="00C04518" w:rsidP="00C04518" w:rsidRDefault="00C04518" w14:paraId="129EEB8B"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the use of statistical data classification that has not been reviewed and approved by OMB;</w:t>
      </w:r>
    </w:p>
    <w:p w:rsidR="00C83327" w:rsidP="00C83327" w:rsidRDefault="00C83327" w14:paraId="75BEDDFA" w14:textId="77777777">
      <w:pPr>
        <w:pStyle w:val="PlainText"/>
        <w:ind w:left="720"/>
        <w:rPr>
          <w:rFonts w:ascii="Times New Roman" w:hAnsi="Times New Roman" w:cs="Times New Roman"/>
          <w:b/>
          <w:sz w:val="24"/>
          <w:szCs w:val="24"/>
        </w:rPr>
      </w:pPr>
    </w:p>
    <w:p w:rsidR="00C83327" w:rsidP="00C83327" w:rsidRDefault="00C83327" w14:paraId="3656BFA6" w14:textId="77777777">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p>
    <w:p w:rsidRPr="00C83327" w:rsidR="00C83327" w:rsidP="00C83327" w:rsidRDefault="00C83327" w14:paraId="390318A6" w14:textId="77777777">
      <w:pPr>
        <w:pStyle w:val="PlainText"/>
        <w:ind w:left="720"/>
        <w:rPr>
          <w:rFonts w:ascii="Times New Roman" w:hAnsi="Times New Roman" w:cs="Times New Roman"/>
          <w:sz w:val="24"/>
          <w:szCs w:val="24"/>
        </w:rPr>
      </w:pPr>
    </w:p>
    <w:p w:rsidR="00C04518" w:rsidP="00C04518" w:rsidRDefault="00C04518" w14:paraId="46D56DDF"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83327" w:rsidP="00C83327" w:rsidRDefault="00C83327" w14:paraId="04E4EE7D" w14:textId="77777777">
      <w:pPr>
        <w:pStyle w:val="PlainText"/>
        <w:rPr>
          <w:rFonts w:ascii="Times New Roman" w:hAnsi="Times New Roman" w:cs="Times New Roman"/>
          <w:b/>
          <w:sz w:val="24"/>
          <w:szCs w:val="24"/>
        </w:rPr>
      </w:pPr>
    </w:p>
    <w:p w:rsidR="00C83327" w:rsidP="00C83327" w:rsidRDefault="00C83327" w14:paraId="5D9DE928" w14:textId="2B86BAE3">
      <w:pPr>
        <w:pStyle w:val="PlainText"/>
        <w:ind w:firstLine="720"/>
        <w:rPr>
          <w:rFonts w:ascii="Times New Roman" w:hAnsi="Times New Roman" w:cs="Times New Roman"/>
          <w:sz w:val="24"/>
          <w:szCs w:val="24"/>
        </w:rPr>
      </w:pPr>
      <w:r>
        <w:rPr>
          <w:rFonts w:ascii="Times New Roman" w:hAnsi="Times New Roman" w:cs="Times New Roman"/>
          <w:sz w:val="24"/>
          <w:szCs w:val="24"/>
        </w:rPr>
        <w:lastRenderedPageBreak/>
        <w:t>Not applicable. FOIA rules govern this material.</w:t>
      </w:r>
    </w:p>
    <w:p w:rsidRPr="00C83327" w:rsidR="00450AD4" w:rsidP="00C83327" w:rsidRDefault="00450AD4" w14:paraId="6ABC734C" w14:textId="77777777">
      <w:pPr>
        <w:pStyle w:val="PlainText"/>
        <w:ind w:firstLine="720"/>
        <w:rPr>
          <w:rFonts w:ascii="Times New Roman" w:hAnsi="Times New Roman" w:cs="Times New Roman"/>
          <w:sz w:val="24"/>
          <w:szCs w:val="24"/>
        </w:rPr>
      </w:pPr>
    </w:p>
    <w:p w:rsidR="00052711" w:rsidP="006A3CB7" w:rsidRDefault="00C04518" w14:paraId="0E0682C5"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83327" w:rsidP="00C83327" w:rsidRDefault="00C83327" w14:paraId="2AD36DE0" w14:textId="77777777">
      <w:pPr>
        <w:pStyle w:val="PlainText"/>
        <w:rPr>
          <w:rFonts w:ascii="Times New Roman" w:hAnsi="Times New Roman" w:cs="Times New Roman"/>
          <w:b/>
          <w:sz w:val="24"/>
          <w:szCs w:val="24"/>
        </w:rPr>
      </w:pPr>
    </w:p>
    <w:p w:rsidRPr="004D3481" w:rsidR="00052711" w:rsidP="00C83327" w:rsidRDefault="00C83327" w14:paraId="0C2AE798" w14:textId="77777777">
      <w:pPr>
        <w:pStyle w:val="PlainText"/>
        <w:ind w:left="720"/>
        <w:rPr>
          <w:rFonts w:ascii="Times New Roman" w:hAnsi="Times New Roman" w:cs="Times New Roman"/>
          <w:sz w:val="24"/>
          <w:szCs w:val="24"/>
        </w:rPr>
      </w:pPr>
      <w:r>
        <w:rPr>
          <w:rFonts w:ascii="Times New Roman" w:hAnsi="Times New Roman" w:cs="Times New Roman"/>
          <w:sz w:val="24"/>
          <w:szCs w:val="24"/>
        </w:rPr>
        <w:t>FOIA rules govern this material.  There are no other special circumstances.  This information is conducted in a manner consistent with guidelines established in 5 CFR 1320.5.</w:t>
      </w:r>
    </w:p>
    <w:p w:rsidRPr="004D3481" w:rsidR="00666C00" w:rsidP="003C0232" w:rsidRDefault="00666C00" w14:paraId="6503750E" w14:textId="77777777">
      <w:pPr>
        <w:pStyle w:val="PlainText"/>
        <w:rPr>
          <w:rFonts w:ascii="Times New Roman" w:hAnsi="Times New Roman" w:cs="Times New Roman"/>
          <w:sz w:val="24"/>
          <w:szCs w:val="24"/>
        </w:rPr>
      </w:pPr>
    </w:p>
    <w:p w:rsidR="00C04518" w:rsidP="00C04518" w:rsidRDefault="00052711" w14:paraId="50AE74D3" w14:textId="77777777">
      <w:pPr>
        <w:rPr>
          <w:b/>
        </w:rPr>
      </w:pPr>
      <w:r w:rsidRPr="00E83C20">
        <w:rPr>
          <w:b/>
        </w:rPr>
        <w:t xml:space="preserve">8.  </w:t>
      </w:r>
      <w:r w:rsidRPr="00C04518" w:rsidR="00C04518">
        <w:rPr>
          <w:b/>
        </w:rPr>
        <w:t xml:space="preserve"> </w:t>
      </w:r>
      <w:r w:rsidR="00C04518">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4518" w:rsidP="00C04518" w:rsidRDefault="00C04518" w14:paraId="4FC49B38" w14:textId="77777777">
      <w:pPr>
        <w:rPr>
          <w:b/>
        </w:rPr>
      </w:pPr>
    </w:p>
    <w:p w:rsidR="00C04518" w:rsidP="00C04518" w:rsidRDefault="00C04518" w14:paraId="448381A5" w14:textId="77777777">
      <w:pPr>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4518" w:rsidP="00C04518" w:rsidRDefault="00C04518" w14:paraId="041169AB" w14:textId="77777777">
      <w:pPr>
        <w:rPr>
          <w:b/>
        </w:rPr>
      </w:pPr>
    </w:p>
    <w:p w:rsidRPr="001A1700" w:rsidR="00C04518" w:rsidP="00C04518" w:rsidRDefault="00C04518" w14:paraId="2B0F669E" w14:textId="77777777">
      <w:pPr>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83C20" w:rsidR="00052711" w:rsidP="003C0232" w:rsidRDefault="00052711" w14:paraId="08E0764C" w14:textId="77777777">
      <w:pPr>
        <w:pStyle w:val="PlainText"/>
        <w:rPr>
          <w:rFonts w:ascii="Times New Roman" w:hAnsi="Times New Roman" w:cs="Times New Roman"/>
          <w:b/>
          <w:sz w:val="24"/>
          <w:szCs w:val="24"/>
        </w:rPr>
      </w:pPr>
    </w:p>
    <w:p w:rsidR="00052711" w:rsidP="003C0232" w:rsidRDefault="00052711" w14:paraId="2626EC3F" w14:textId="60E620EE">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4D3481">
        <w:rPr>
          <w:rFonts w:ascii="Times New Roman" w:hAnsi="Times New Roman" w:cs="Times New Roman"/>
          <w:i/>
          <w:sz w:val="24"/>
          <w:szCs w:val="24"/>
        </w:rPr>
        <w:t>Federal Register</w:t>
      </w:r>
      <w:r w:rsidRPr="004D3481">
        <w:rPr>
          <w:rFonts w:ascii="Times New Roman" w:hAnsi="Times New Roman" w:cs="Times New Roman"/>
          <w:sz w:val="24"/>
          <w:szCs w:val="24"/>
        </w:rPr>
        <w:t xml:space="preserve"> notice was published on </w:t>
      </w:r>
      <w:r w:rsidR="00161F0F">
        <w:rPr>
          <w:rFonts w:ascii="Times New Roman" w:hAnsi="Times New Roman" w:cs="Times New Roman"/>
          <w:sz w:val="24"/>
          <w:szCs w:val="24"/>
        </w:rPr>
        <w:t xml:space="preserve">June 30, 2021 </w:t>
      </w:r>
      <w:r w:rsidRPr="004D3481">
        <w:rPr>
          <w:rFonts w:ascii="Times New Roman" w:hAnsi="Times New Roman" w:cs="Times New Roman"/>
          <w:sz w:val="24"/>
          <w:szCs w:val="24"/>
        </w:rPr>
        <w:t>(</w:t>
      </w:r>
      <w:r w:rsidR="00260778">
        <w:rPr>
          <w:rFonts w:ascii="Times New Roman" w:hAnsi="Times New Roman" w:cs="Times New Roman"/>
          <w:sz w:val="24"/>
          <w:szCs w:val="24"/>
        </w:rPr>
        <w:t>8</w:t>
      </w:r>
      <w:r w:rsidR="00161F0F">
        <w:rPr>
          <w:rFonts w:ascii="Times New Roman" w:hAnsi="Times New Roman" w:cs="Times New Roman"/>
          <w:sz w:val="24"/>
          <w:szCs w:val="24"/>
        </w:rPr>
        <w:t>6</w:t>
      </w:r>
      <w:r w:rsidR="00260778">
        <w:rPr>
          <w:rFonts w:ascii="Times New Roman" w:hAnsi="Times New Roman" w:cs="Times New Roman"/>
          <w:sz w:val="24"/>
          <w:szCs w:val="24"/>
        </w:rPr>
        <w:t xml:space="preserve"> </w:t>
      </w:r>
      <w:r w:rsidRPr="004D3481">
        <w:rPr>
          <w:rFonts w:ascii="Times New Roman" w:hAnsi="Times New Roman" w:cs="Times New Roman"/>
          <w:sz w:val="24"/>
          <w:szCs w:val="24"/>
        </w:rPr>
        <w:t xml:space="preserve">FR </w:t>
      </w:r>
      <w:r w:rsidR="00161F0F">
        <w:rPr>
          <w:rFonts w:ascii="Times New Roman" w:hAnsi="Times New Roman" w:cs="Times New Roman"/>
          <w:sz w:val="24"/>
          <w:szCs w:val="24"/>
        </w:rPr>
        <w:t>34715</w:t>
      </w:r>
      <w:r w:rsidR="00260778">
        <w:rPr>
          <w:rFonts w:ascii="Times New Roman" w:hAnsi="Times New Roman" w:cs="Times New Roman"/>
          <w:sz w:val="24"/>
          <w:szCs w:val="24"/>
        </w:rPr>
        <w:t>-</w:t>
      </w:r>
      <w:r w:rsidR="009223F3">
        <w:rPr>
          <w:rFonts w:ascii="Times New Roman" w:hAnsi="Times New Roman" w:cs="Times New Roman"/>
          <w:sz w:val="24"/>
          <w:szCs w:val="24"/>
        </w:rPr>
        <w:t>34716</w:t>
      </w:r>
      <w:r w:rsidRPr="004D3481">
        <w:rPr>
          <w:rFonts w:ascii="Times New Roman" w:hAnsi="Times New Roman" w:cs="Times New Roman"/>
          <w:sz w:val="24"/>
          <w:szCs w:val="24"/>
        </w:rPr>
        <w:t xml:space="preserve">).  No comments were received regarding the </w:t>
      </w:r>
      <w:r w:rsidR="00644C7D">
        <w:rPr>
          <w:rFonts w:ascii="Times New Roman" w:hAnsi="Times New Roman" w:cs="Times New Roman"/>
          <w:sz w:val="24"/>
          <w:szCs w:val="24"/>
        </w:rPr>
        <w:t>P</w:t>
      </w:r>
      <w:r w:rsidRPr="004D3481">
        <w:rPr>
          <w:rFonts w:ascii="Times New Roman" w:hAnsi="Times New Roman" w:cs="Times New Roman"/>
          <w:sz w:val="24"/>
          <w:szCs w:val="24"/>
        </w:rPr>
        <w:t>rogram.</w:t>
      </w:r>
      <w:r w:rsidR="00484F2A">
        <w:rPr>
          <w:rFonts w:ascii="Times New Roman" w:hAnsi="Times New Roman" w:cs="Times New Roman"/>
          <w:sz w:val="24"/>
          <w:szCs w:val="24"/>
        </w:rPr>
        <w:t xml:space="preserve">  (Attachment </w:t>
      </w:r>
      <w:r w:rsidR="00A05710">
        <w:rPr>
          <w:rFonts w:ascii="Times New Roman" w:hAnsi="Times New Roman" w:cs="Times New Roman"/>
          <w:sz w:val="24"/>
          <w:szCs w:val="24"/>
        </w:rPr>
        <w:t>4</w:t>
      </w:r>
      <w:r w:rsidR="00484F2A">
        <w:rPr>
          <w:rFonts w:ascii="Times New Roman" w:hAnsi="Times New Roman" w:cs="Times New Roman"/>
          <w:sz w:val="24"/>
          <w:szCs w:val="24"/>
        </w:rPr>
        <w:t>)</w:t>
      </w:r>
    </w:p>
    <w:p w:rsidR="00FA7213" w:rsidP="003C0232" w:rsidRDefault="00FA7213" w14:paraId="3E41EDED" w14:textId="77777777">
      <w:pPr>
        <w:pStyle w:val="PlainText"/>
        <w:rPr>
          <w:rFonts w:ascii="Times New Roman" w:hAnsi="Times New Roman" w:cs="Times New Roman"/>
          <w:sz w:val="24"/>
          <w:szCs w:val="24"/>
        </w:rPr>
      </w:pPr>
    </w:p>
    <w:p w:rsidR="00FA7213" w:rsidP="003C0232" w:rsidRDefault="00FA7213" w14:paraId="02516A0E" w14:textId="495144F9">
      <w:pPr>
        <w:pStyle w:val="PlainText"/>
        <w:rPr>
          <w:rFonts w:ascii="Times New Roman" w:hAnsi="Times New Roman" w:cs="Times New Roman"/>
          <w:sz w:val="24"/>
          <w:szCs w:val="24"/>
        </w:rPr>
      </w:pPr>
      <w:r>
        <w:rPr>
          <w:rFonts w:ascii="Times New Roman" w:hAnsi="Times New Roman" w:cs="Times New Roman"/>
          <w:sz w:val="24"/>
          <w:szCs w:val="24"/>
        </w:rPr>
        <w:t>Consultations with the following individuals were made regarding this collection</w:t>
      </w:r>
      <w:r w:rsidR="00450AD4">
        <w:rPr>
          <w:rFonts w:ascii="Times New Roman" w:hAnsi="Times New Roman" w:cs="Times New Roman"/>
          <w:sz w:val="24"/>
          <w:szCs w:val="24"/>
        </w:rPr>
        <w:t xml:space="preserve">. </w:t>
      </w:r>
      <w:r w:rsidR="00983ABF">
        <w:rPr>
          <w:rFonts w:ascii="Times New Roman" w:hAnsi="Times New Roman" w:cs="Times New Roman"/>
          <w:sz w:val="24"/>
          <w:szCs w:val="24"/>
        </w:rPr>
        <w:t>The individuals concurred that the FAS estimates for the burden hours for the collection were reasonable.</w:t>
      </w:r>
      <w:r w:rsidR="00450AD4">
        <w:rPr>
          <w:rFonts w:ascii="Times New Roman" w:hAnsi="Times New Roman" w:cs="Times New Roman"/>
          <w:sz w:val="24"/>
          <w:szCs w:val="24"/>
        </w:rPr>
        <w:t xml:space="preserve"> </w:t>
      </w:r>
    </w:p>
    <w:p w:rsidR="00FA7213" w:rsidP="00983ABF" w:rsidRDefault="00FA7213" w14:paraId="085E3D1B" w14:textId="77777777">
      <w:pPr>
        <w:pStyle w:val="PlainText"/>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296"/>
        <w:gridCol w:w="1160"/>
        <w:gridCol w:w="2892"/>
        <w:gridCol w:w="1487"/>
      </w:tblGrid>
      <w:tr w:rsidRPr="00450AD4" w:rsidR="00983ABF" w:rsidTr="00983ABF" w14:paraId="3EA2469F" w14:textId="77777777">
        <w:trPr>
          <w:jc w:val="center"/>
        </w:trPr>
        <w:tc>
          <w:tcPr>
            <w:tcW w:w="1296" w:type="dxa"/>
          </w:tcPr>
          <w:p w:rsidRPr="00450AD4" w:rsidR="00983ABF" w:rsidP="00983ABF" w:rsidRDefault="00983ABF" w14:paraId="46D01643" w14:textId="77777777">
            <w:pPr>
              <w:rPr>
                <w:rFonts w:cs="Times New Roman"/>
                <w:sz w:val="20"/>
                <w:szCs w:val="20"/>
              </w:rPr>
            </w:pPr>
            <w:r w:rsidRPr="00450AD4">
              <w:rPr>
                <w:rFonts w:cs="Times New Roman"/>
                <w:sz w:val="20"/>
                <w:szCs w:val="20"/>
              </w:rPr>
              <w:t>Company</w:t>
            </w:r>
          </w:p>
        </w:tc>
        <w:tc>
          <w:tcPr>
            <w:tcW w:w="1160" w:type="dxa"/>
          </w:tcPr>
          <w:p w:rsidRPr="00450AD4" w:rsidR="00983ABF" w:rsidP="00983ABF" w:rsidRDefault="00983ABF" w14:paraId="37F2E1E1" w14:textId="77777777">
            <w:pPr>
              <w:rPr>
                <w:rFonts w:cs="Times New Roman"/>
                <w:sz w:val="20"/>
                <w:szCs w:val="20"/>
              </w:rPr>
            </w:pPr>
            <w:r w:rsidRPr="00450AD4">
              <w:rPr>
                <w:rFonts w:cs="Times New Roman"/>
                <w:sz w:val="20"/>
                <w:szCs w:val="20"/>
              </w:rPr>
              <w:t>Contact</w:t>
            </w:r>
          </w:p>
        </w:tc>
        <w:tc>
          <w:tcPr>
            <w:tcW w:w="2892" w:type="dxa"/>
          </w:tcPr>
          <w:p w:rsidRPr="00450AD4" w:rsidR="00983ABF" w:rsidP="00983ABF" w:rsidRDefault="00983ABF" w14:paraId="7BD050E6" w14:textId="77777777">
            <w:pPr>
              <w:rPr>
                <w:rFonts w:cs="Times New Roman"/>
                <w:sz w:val="20"/>
                <w:szCs w:val="20"/>
              </w:rPr>
            </w:pPr>
            <w:r w:rsidRPr="00450AD4">
              <w:rPr>
                <w:rFonts w:cs="Times New Roman"/>
                <w:sz w:val="20"/>
                <w:szCs w:val="20"/>
              </w:rPr>
              <w:t>E-mail</w:t>
            </w:r>
          </w:p>
        </w:tc>
        <w:tc>
          <w:tcPr>
            <w:tcW w:w="1487" w:type="dxa"/>
          </w:tcPr>
          <w:p w:rsidRPr="00450AD4" w:rsidR="00983ABF" w:rsidP="00983ABF" w:rsidRDefault="00983ABF" w14:paraId="01BC716F" w14:textId="77777777">
            <w:pPr>
              <w:rPr>
                <w:rFonts w:cs="Times New Roman"/>
                <w:sz w:val="20"/>
                <w:szCs w:val="20"/>
              </w:rPr>
            </w:pPr>
            <w:r w:rsidRPr="00450AD4">
              <w:rPr>
                <w:rFonts w:cs="Times New Roman"/>
                <w:sz w:val="20"/>
                <w:szCs w:val="20"/>
              </w:rPr>
              <w:t>Phone Number</w:t>
            </w:r>
          </w:p>
        </w:tc>
      </w:tr>
      <w:tr w:rsidRPr="00450AD4" w:rsidR="00983ABF" w:rsidTr="00983ABF" w14:paraId="71865426" w14:textId="77777777">
        <w:trPr>
          <w:jc w:val="center"/>
        </w:trPr>
        <w:tc>
          <w:tcPr>
            <w:tcW w:w="1296" w:type="dxa"/>
          </w:tcPr>
          <w:p w:rsidRPr="00450AD4" w:rsidR="00983ABF" w:rsidP="00983ABF" w:rsidRDefault="00983ABF" w14:paraId="727C0D49" w14:textId="77777777">
            <w:pPr>
              <w:rPr>
                <w:rFonts w:cs="Times New Roman"/>
                <w:sz w:val="20"/>
                <w:szCs w:val="20"/>
              </w:rPr>
            </w:pPr>
            <w:r w:rsidRPr="00450AD4">
              <w:rPr>
                <w:rFonts w:cs="Times New Roman"/>
                <w:sz w:val="20"/>
                <w:szCs w:val="20"/>
              </w:rPr>
              <w:t>Covestro LLC</w:t>
            </w:r>
          </w:p>
        </w:tc>
        <w:tc>
          <w:tcPr>
            <w:tcW w:w="1160" w:type="dxa"/>
          </w:tcPr>
          <w:p w:rsidRPr="00450AD4" w:rsidR="00983ABF" w:rsidP="00983ABF" w:rsidRDefault="00983ABF" w14:paraId="1C16AD52" w14:textId="77777777">
            <w:pPr>
              <w:rPr>
                <w:rFonts w:cs="Times New Roman"/>
                <w:sz w:val="20"/>
                <w:szCs w:val="20"/>
              </w:rPr>
            </w:pPr>
            <w:r w:rsidRPr="00450AD4">
              <w:rPr>
                <w:rFonts w:cs="Times New Roman"/>
                <w:sz w:val="20"/>
                <w:szCs w:val="20"/>
              </w:rPr>
              <w:t>Jerry Erhart</w:t>
            </w:r>
          </w:p>
        </w:tc>
        <w:tc>
          <w:tcPr>
            <w:tcW w:w="2892" w:type="dxa"/>
          </w:tcPr>
          <w:p w:rsidRPr="00450AD4" w:rsidR="00983ABF" w:rsidP="00983ABF" w:rsidRDefault="00983ABF" w14:paraId="2D03E9BF" w14:textId="77777777">
            <w:pPr>
              <w:rPr>
                <w:rFonts w:cs="Times New Roman"/>
                <w:sz w:val="20"/>
                <w:szCs w:val="20"/>
              </w:rPr>
            </w:pPr>
            <w:r w:rsidRPr="00450AD4">
              <w:rPr>
                <w:rFonts w:cs="Times New Roman"/>
                <w:sz w:val="20"/>
                <w:szCs w:val="20"/>
              </w:rPr>
              <w:t>gerard.erhart@Covestro.com</w:t>
            </w:r>
          </w:p>
        </w:tc>
        <w:tc>
          <w:tcPr>
            <w:tcW w:w="1487" w:type="dxa"/>
          </w:tcPr>
          <w:p w:rsidRPr="00450AD4" w:rsidR="00983ABF" w:rsidP="00983ABF" w:rsidRDefault="00983ABF" w14:paraId="0A2B1EC1" w14:textId="77777777">
            <w:pPr>
              <w:rPr>
                <w:rFonts w:cs="Times New Roman"/>
                <w:sz w:val="20"/>
                <w:szCs w:val="20"/>
              </w:rPr>
            </w:pPr>
            <w:r w:rsidRPr="00450AD4">
              <w:rPr>
                <w:rFonts w:cs="Times New Roman"/>
                <w:sz w:val="20"/>
                <w:szCs w:val="20"/>
              </w:rPr>
              <w:t>412-413-2408</w:t>
            </w:r>
          </w:p>
        </w:tc>
      </w:tr>
      <w:tr w:rsidRPr="00450AD4" w:rsidR="00983ABF" w:rsidTr="00983ABF" w14:paraId="6FEE1D5F" w14:textId="77777777">
        <w:trPr>
          <w:jc w:val="center"/>
        </w:trPr>
        <w:tc>
          <w:tcPr>
            <w:tcW w:w="1296" w:type="dxa"/>
          </w:tcPr>
          <w:p w:rsidRPr="00450AD4" w:rsidR="00983ABF" w:rsidP="00983ABF" w:rsidRDefault="00983ABF" w14:paraId="495735A2" w14:textId="77777777">
            <w:pPr>
              <w:rPr>
                <w:rFonts w:cs="Times New Roman"/>
                <w:sz w:val="20"/>
                <w:szCs w:val="20"/>
              </w:rPr>
            </w:pPr>
            <w:r w:rsidRPr="00450AD4">
              <w:rPr>
                <w:rFonts w:cs="Times New Roman"/>
                <w:sz w:val="20"/>
                <w:szCs w:val="20"/>
              </w:rPr>
              <w:t>Hershey Foods, Inc.</w:t>
            </w:r>
          </w:p>
        </w:tc>
        <w:tc>
          <w:tcPr>
            <w:tcW w:w="1160" w:type="dxa"/>
          </w:tcPr>
          <w:p w:rsidRPr="00450AD4" w:rsidR="00983ABF" w:rsidP="00983ABF" w:rsidRDefault="00983ABF" w14:paraId="31B15D32" w14:textId="77777777">
            <w:pPr>
              <w:rPr>
                <w:rFonts w:cs="Times New Roman"/>
                <w:sz w:val="20"/>
                <w:szCs w:val="20"/>
              </w:rPr>
            </w:pPr>
            <w:r w:rsidRPr="00450AD4">
              <w:rPr>
                <w:rFonts w:cs="Times New Roman"/>
                <w:sz w:val="20"/>
                <w:szCs w:val="20"/>
              </w:rPr>
              <w:t>Brian Clark</w:t>
            </w:r>
          </w:p>
        </w:tc>
        <w:tc>
          <w:tcPr>
            <w:tcW w:w="2892" w:type="dxa"/>
          </w:tcPr>
          <w:p w:rsidRPr="00450AD4" w:rsidR="00983ABF" w:rsidP="00983ABF" w:rsidRDefault="00983ABF" w14:paraId="7C511CBB" w14:textId="77777777">
            <w:pPr>
              <w:rPr>
                <w:rFonts w:cs="Times New Roman"/>
                <w:sz w:val="20"/>
                <w:szCs w:val="20"/>
              </w:rPr>
            </w:pPr>
            <w:r w:rsidRPr="00450AD4">
              <w:rPr>
                <w:rFonts w:cs="Times New Roman"/>
                <w:sz w:val="20"/>
                <w:szCs w:val="20"/>
              </w:rPr>
              <w:t>bpclark@hersheys.com</w:t>
            </w:r>
          </w:p>
        </w:tc>
        <w:tc>
          <w:tcPr>
            <w:tcW w:w="1487" w:type="dxa"/>
          </w:tcPr>
          <w:p w:rsidRPr="00450AD4" w:rsidR="00983ABF" w:rsidP="00983ABF" w:rsidRDefault="00983ABF" w14:paraId="4EC81C68" w14:textId="77777777">
            <w:pPr>
              <w:rPr>
                <w:rFonts w:cs="Times New Roman"/>
                <w:sz w:val="20"/>
                <w:szCs w:val="20"/>
              </w:rPr>
            </w:pPr>
            <w:r w:rsidRPr="00450AD4">
              <w:rPr>
                <w:rFonts w:cs="Times New Roman"/>
                <w:sz w:val="20"/>
                <w:szCs w:val="20"/>
              </w:rPr>
              <w:t>717-374-7799</w:t>
            </w:r>
          </w:p>
        </w:tc>
      </w:tr>
      <w:tr w:rsidRPr="00450AD4" w:rsidR="00983ABF" w:rsidTr="00983ABF" w14:paraId="4A9C92B3" w14:textId="77777777">
        <w:trPr>
          <w:jc w:val="center"/>
        </w:trPr>
        <w:tc>
          <w:tcPr>
            <w:tcW w:w="1296" w:type="dxa"/>
          </w:tcPr>
          <w:p w:rsidRPr="00450AD4" w:rsidR="00983ABF" w:rsidP="00983ABF" w:rsidRDefault="00983ABF" w14:paraId="1CE9A978" w14:textId="77777777">
            <w:pPr>
              <w:rPr>
                <w:rFonts w:cs="Times New Roman"/>
                <w:sz w:val="20"/>
                <w:szCs w:val="20"/>
              </w:rPr>
            </w:pPr>
            <w:r w:rsidRPr="00450AD4">
              <w:rPr>
                <w:rFonts w:cs="Times New Roman"/>
                <w:sz w:val="20"/>
                <w:szCs w:val="20"/>
              </w:rPr>
              <w:t>L &amp; S Sweeteners</w:t>
            </w:r>
          </w:p>
        </w:tc>
        <w:tc>
          <w:tcPr>
            <w:tcW w:w="1160" w:type="dxa"/>
          </w:tcPr>
          <w:p w:rsidRPr="00450AD4" w:rsidR="00983ABF" w:rsidP="00983ABF" w:rsidRDefault="00983ABF" w14:paraId="4B17200F" w14:textId="77777777">
            <w:pPr>
              <w:rPr>
                <w:rFonts w:cs="Times New Roman"/>
                <w:sz w:val="20"/>
                <w:szCs w:val="20"/>
              </w:rPr>
            </w:pPr>
            <w:r w:rsidRPr="00450AD4">
              <w:rPr>
                <w:rFonts w:cs="Times New Roman"/>
                <w:sz w:val="20"/>
                <w:szCs w:val="20"/>
              </w:rPr>
              <w:t>Kim Madara</w:t>
            </w:r>
          </w:p>
        </w:tc>
        <w:tc>
          <w:tcPr>
            <w:tcW w:w="2892" w:type="dxa"/>
          </w:tcPr>
          <w:p w:rsidRPr="00450AD4" w:rsidR="00983ABF" w:rsidP="00983ABF" w:rsidRDefault="00983ABF" w14:paraId="5135B385" w14:textId="77777777">
            <w:pPr>
              <w:rPr>
                <w:rFonts w:cs="Times New Roman"/>
                <w:sz w:val="20"/>
                <w:szCs w:val="20"/>
              </w:rPr>
            </w:pPr>
            <w:r w:rsidRPr="00450AD4">
              <w:rPr>
                <w:rFonts w:cs="Times New Roman"/>
                <w:sz w:val="20"/>
                <w:szCs w:val="20"/>
              </w:rPr>
              <w:t>kmadara@goldenbarrel.com</w:t>
            </w:r>
          </w:p>
        </w:tc>
        <w:tc>
          <w:tcPr>
            <w:tcW w:w="1487" w:type="dxa"/>
          </w:tcPr>
          <w:p w:rsidRPr="00450AD4" w:rsidR="00983ABF" w:rsidP="00983ABF" w:rsidRDefault="00983ABF" w14:paraId="1434C784" w14:textId="77777777">
            <w:pPr>
              <w:rPr>
                <w:rFonts w:cs="Times New Roman"/>
                <w:sz w:val="20"/>
                <w:szCs w:val="20"/>
              </w:rPr>
            </w:pPr>
            <w:r w:rsidRPr="00450AD4">
              <w:rPr>
                <w:rFonts w:cs="Times New Roman"/>
                <w:sz w:val="20"/>
                <w:szCs w:val="20"/>
              </w:rPr>
              <w:t>717-656-3486</w:t>
            </w:r>
          </w:p>
        </w:tc>
      </w:tr>
      <w:tr w:rsidRPr="00450AD4" w:rsidR="00983ABF" w:rsidTr="00983ABF" w14:paraId="46F88C1E" w14:textId="77777777">
        <w:trPr>
          <w:jc w:val="center"/>
        </w:trPr>
        <w:tc>
          <w:tcPr>
            <w:tcW w:w="1296" w:type="dxa"/>
          </w:tcPr>
          <w:p w:rsidRPr="00450AD4" w:rsidR="00983ABF" w:rsidP="00983ABF" w:rsidRDefault="00983ABF" w14:paraId="73B4B6B7" w14:textId="77777777">
            <w:pPr>
              <w:rPr>
                <w:rFonts w:cs="Times New Roman"/>
                <w:sz w:val="20"/>
                <w:szCs w:val="20"/>
              </w:rPr>
            </w:pPr>
            <w:r w:rsidRPr="00450AD4">
              <w:rPr>
                <w:rFonts w:cs="Times New Roman"/>
                <w:sz w:val="20"/>
                <w:szCs w:val="20"/>
              </w:rPr>
              <w:t>CSC Sugar</w:t>
            </w:r>
          </w:p>
        </w:tc>
        <w:tc>
          <w:tcPr>
            <w:tcW w:w="1160" w:type="dxa"/>
          </w:tcPr>
          <w:p w:rsidRPr="00450AD4" w:rsidR="00983ABF" w:rsidP="00983ABF" w:rsidRDefault="00983ABF" w14:paraId="76D27493" w14:textId="77777777">
            <w:pPr>
              <w:rPr>
                <w:rFonts w:cs="Times New Roman"/>
                <w:sz w:val="20"/>
                <w:szCs w:val="20"/>
              </w:rPr>
            </w:pPr>
            <w:r w:rsidRPr="00450AD4">
              <w:rPr>
                <w:rFonts w:cs="Times New Roman"/>
                <w:sz w:val="20"/>
                <w:szCs w:val="20"/>
              </w:rPr>
              <w:t>Chris Bergin</w:t>
            </w:r>
          </w:p>
        </w:tc>
        <w:tc>
          <w:tcPr>
            <w:tcW w:w="2892" w:type="dxa"/>
          </w:tcPr>
          <w:p w:rsidRPr="00450AD4" w:rsidR="00983ABF" w:rsidP="00983ABF" w:rsidRDefault="00983ABF" w14:paraId="02CF3367" w14:textId="77777777">
            <w:pPr>
              <w:rPr>
                <w:rFonts w:cs="Times New Roman"/>
                <w:sz w:val="20"/>
                <w:szCs w:val="20"/>
              </w:rPr>
            </w:pPr>
            <w:r w:rsidRPr="00450AD4">
              <w:rPr>
                <w:rFonts w:cs="Times New Roman"/>
                <w:sz w:val="20"/>
                <w:szCs w:val="20"/>
              </w:rPr>
              <w:t>cbergin@cscsugar.com</w:t>
            </w:r>
          </w:p>
        </w:tc>
        <w:tc>
          <w:tcPr>
            <w:tcW w:w="1487" w:type="dxa"/>
          </w:tcPr>
          <w:p w:rsidRPr="00450AD4" w:rsidR="00983ABF" w:rsidP="00983ABF" w:rsidRDefault="00983ABF" w14:paraId="61F39D9B" w14:textId="77777777">
            <w:pPr>
              <w:rPr>
                <w:rFonts w:cs="Times New Roman"/>
                <w:sz w:val="20"/>
                <w:szCs w:val="20"/>
              </w:rPr>
            </w:pPr>
            <w:r w:rsidRPr="00450AD4">
              <w:rPr>
                <w:rFonts w:cs="Times New Roman"/>
                <w:sz w:val="20"/>
                <w:szCs w:val="20"/>
              </w:rPr>
              <w:t>215-278-4079</w:t>
            </w:r>
          </w:p>
        </w:tc>
      </w:tr>
      <w:tr w:rsidRPr="00450AD4" w:rsidR="00983ABF" w:rsidTr="00983ABF" w14:paraId="0158A76F" w14:textId="77777777">
        <w:trPr>
          <w:jc w:val="center"/>
        </w:trPr>
        <w:tc>
          <w:tcPr>
            <w:tcW w:w="1296" w:type="dxa"/>
          </w:tcPr>
          <w:p w:rsidRPr="00450AD4" w:rsidR="00983ABF" w:rsidP="00983ABF" w:rsidRDefault="00983ABF" w14:paraId="48242993" w14:textId="77777777">
            <w:pPr>
              <w:rPr>
                <w:rFonts w:cs="Times New Roman"/>
                <w:sz w:val="20"/>
                <w:szCs w:val="20"/>
              </w:rPr>
            </w:pPr>
            <w:bookmarkStart w:name="_Hlk80709029" w:id="0"/>
            <w:r w:rsidRPr="00450AD4">
              <w:rPr>
                <w:rFonts w:cs="Times New Roman"/>
                <w:sz w:val="20"/>
                <w:szCs w:val="20"/>
              </w:rPr>
              <w:t>Mars Wrigley Confections and Quaker Oats</w:t>
            </w:r>
          </w:p>
        </w:tc>
        <w:tc>
          <w:tcPr>
            <w:tcW w:w="1160" w:type="dxa"/>
          </w:tcPr>
          <w:p w:rsidRPr="00450AD4" w:rsidR="00983ABF" w:rsidP="00983ABF" w:rsidRDefault="00983ABF" w14:paraId="2E5BBB9A" w14:textId="77777777">
            <w:pPr>
              <w:rPr>
                <w:rFonts w:cs="Times New Roman"/>
                <w:sz w:val="20"/>
                <w:szCs w:val="20"/>
              </w:rPr>
            </w:pPr>
            <w:r w:rsidRPr="00450AD4">
              <w:rPr>
                <w:rFonts w:cs="Times New Roman"/>
                <w:sz w:val="20"/>
                <w:szCs w:val="20"/>
              </w:rPr>
              <w:t>Andrea Reuland, agent</w:t>
            </w:r>
          </w:p>
        </w:tc>
        <w:tc>
          <w:tcPr>
            <w:tcW w:w="2892" w:type="dxa"/>
          </w:tcPr>
          <w:p w:rsidRPr="00450AD4" w:rsidR="00983ABF" w:rsidP="00983ABF" w:rsidRDefault="00983ABF" w14:paraId="1038DC90" w14:textId="77777777">
            <w:pPr>
              <w:rPr>
                <w:rFonts w:cs="Times New Roman"/>
                <w:sz w:val="20"/>
                <w:szCs w:val="20"/>
              </w:rPr>
            </w:pPr>
            <w:r w:rsidRPr="00450AD4">
              <w:rPr>
                <w:rFonts w:cs="Times New Roman"/>
                <w:sz w:val="20"/>
                <w:szCs w:val="20"/>
              </w:rPr>
              <w:t>reuland@foresightcsi.com</w:t>
            </w:r>
          </w:p>
        </w:tc>
        <w:tc>
          <w:tcPr>
            <w:tcW w:w="1487" w:type="dxa"/>
          </w:tcPr>
          <w:p w:rsidRPr="00450AD4" w:rsidR="00983ABF" w:rsidP="00983ABF" w:rsidRDefault="00983ABF" w14:paraId="70723D14" w14:textId="77777777">
            <w:pPr>
              <w:rPr>
                <w:rFonts w:cs="Times New Roman"/>
                <w:sz w:val="20"/>
                <w:szCs w:val="20"/>
              </w:rPr>
            </w:pPr>
            <w:r w:rsidRPr="00450AD4">
              <w:rPr>
                <w:rFonts w:cs="Times New Roman"/>
                <w:sz w:val="20"/>
                <w:szCs w:val="20"/>
              </w:rPr>
              <w:t>630-254-0196</w:t>
            </w:r>
          </w:p>
        </w:tc>
      </w:tr>
      <w:bookmarkEnd w:id="0"/>
      <w:tr w:rsidRPr="00450AD4" w:rsidR="00983ABF" w:rsidTr="00983ABF" w14:paraId="227666D0" w14:textId="77777777">
        <w:trPr>
          <w:jc w:val="center"/>
        </w:trPr>
        <w:tc>
          <w:tcPr>
            <w:tcW w:w="1296" w:type="dxa"/>
          </w:tcPr>
          <w:p w:rsidRPr="00450AD4" w:rsidR="00983ABF" w:rsidP="00983ABF" w:rsidRDefault="00983ABF" w14:paraId="411C024C" w14:textId="77777777">
            <w:pPr>
              <w:rPr>
                <w:rFonts w:cs="Times New Roman"/>
                <w:sz w:val="20"/>
                <w:szCs w:val="20"/>
              </w:rPr>
            </w:pPr>
            <w:r w:rsidRPr="00450AD4">
              <w:rPr>
                <w:rFonts w:cs="Times New Roman"/>
                <w:sz w:val="20"/>
                <w:szCs w:val="20"/>
              </w:rPr>
              <w:t>Rich Products Corporation</w:t>
            </w:r>
          </w:p>
        </w:tc>
        <w:tc>
          <w:tcPr>
            <w:tcW w:w="1160" w:type="dxa"/>
          </w:tcPr>
          <w:p w:rsidRPr="00450AD4" w:rsidR="00983ABF" w:rsidP="00983ABF" w:rsidRDefault="00983ABF" w14:paraId="6A91078F" w14:textId="77777777">
            <w:pPr>
              <w:rPr>
                <w:rFonts w:cs="Times New Roman"/>
                <w:sz w:val="20"/>
                <w:szCs w:val="20"/>
              </w:rPr>
            </w:pPr>
            <w:r w:rsidRPr="00450AD4">
              <w:rPr>
                <w:rFonts w:cs="Times New Roman"/>
                <w:sz w:val="20"/>
                <w:szCs w:val="20"/>
              </w:rPr>
              <w:t>Elliott Tubbs, Jr., agent</w:t>
            </w:r>
          </w:p>
        </w:tc>
        <w:tc>
          <w:tcPr>
            <w:tcW w:w="2892" w:type="dxa"/>
          </w:tcPr>
          <w:p w:rsidRPr="00450AD4" w:rsidR="00983ABF" w:rsidP="00983ABF" w:rsidRDefault="00983ABF" w14:paraId="58DBD81B" w14:textId="77777777">
            <w:pPr>
              <w:rPr>
                <w:rFonts w:cs="Times New Roman"/>
                <w:sz w:val="20"/>
                <w:szCs w:val="20"/>
              </w:rPr>
            </w:pPr>
            <w:r w:rsidRPr="00450AD4">
              <w:rPr>
                <w:rFonts w:cs="Times New Roman"/>
                <w:sz w:val="20"/>
                <w:szCs w:val="20"/>
              </w:rPr>
              <w:t>Union4245@aol.com</w:t>
            </w:r>
          </w:p>
        </w:tc>
        <w:tc>
          <w:tcPr>
            <w:tcW w:w="1487" w:type="dxa"/>
          </w:tcPr>
          <w:p w:rsidRPr="00450AD4" w:rsidR="00983ABF" w:rsidP="00983ABF" w:rsidRDefault="00983ABF" w14:paraId="04FE77E0" w14:textId="77777777">
            <w:pPr>
              <w:rPr>
                <w:rFonts w:cs="Times New Roman"/>
                <w:sz w:val="20"/>
                <w:szCs w:val="20"/>
              </w:rPr>
            </w:pPr>
            <w:r w:rsidRPr="00450AD4">
              <w:rPr>
                <w:rFonts w:cs="Times New Roman"/>
                <w:sz w:val="20"/>
                <w:szCs w:val="20"/>
              </w:rPr>
              <w:t>716-812-6640</w:t>
            </w:r>
          </w:p>
        </w:tc>
      </w:tr>
      <w:tr w:rsidRPr="00450AD4" w:rsidR="00983ABF" w:rsidTr="00983ABF" w14:paraId="2EC97662" w14:textId="77777777">
        <w:trPr>
          <w:jc w:val="center"/>
        </w:trPr>
        <w:tc>
          <w:tcPr>
            <w:tcW w:w="1296" w:type="dxa"/>
          </w:tcPr>
          <w:p w:rsidRPr="00450AD4" w:rsidR="00983ABF" w:rsidP="00983ABF" w:rsidRDefault="00983ABF" w14:paraId="33530085" w14:textId="77777777">
            <w:pPr>
              <w:rPr>
                <w:rFonts w:cs="Times New Roman"/>
                <w:sz w:val="20"/>
                <w:szCs w:val="20"/>
              </w:rPr>
            </w:pPr>
            <w:r w:rsidRPr="00450AD4">
              <w:rPr>
                <w:rFonts w:cs="Times New Roman"/>
                <w:sz w:val="20"/>
                <w:szCs w:val="20"/>
              </w:rPr>
              <w:lastRenderedPageBreak/>
              <w:t>Con Agra Grocery Products</w:t>
            </w:r>
          </w:p>
        </w:tc>
        <w:tc>
          <w:tcPr>
            <w:tcW w:w="1160" w:type="dxa"/>
          </w:tcPr>
          <w:p w:rsidRPr="00450AD4" w:rsidR="00983ABF" w:rsidP="00983ABF" w:rsidRDefault="00983ABF" w14:paraId="1247C8AF" w14:textId="77777777">
            <w:pPr>
              <w:rPr>
                <w:rFonts w:cs="Times New Roman"/>
                <w:sz w:val="20"/>
                <w:szCs w:val="20"/>
              </w:rPr>
            </w:pPr>
            <w:r w:rsidRPr="00450AD4">
              <w:rPr>
                <w:rFonts w:cs="Times New Roman"/>
                <w:sz w:val="20"/>
                <w:szCs w:val="20"/>
              </w:rPr>
              <w:t>Jonathan Iberg</w:t>
            </w:r>
          </w:p>
        </w:tc>
        <w:tc>
          <w:tcPr>
            <w:tcW w:w="2892" w:type="dxa"/>
          </w:tcPr>
          <w:p w:rsidRPr="00450AD4" w:rsidR="00983ABF" w:rsidP="00983ABF" w:rsidRDefault="00983ABF" w14:paraId="66EA974C" w14:textId="77777777">
            <w:pPr>
              <w:rPr>
                <w:rFonts w:cs="Times New Roman"/>
                <w:sz w:val="20"/>
                <w:szCs w:val="20"/>
              </w:rPr>
            </w:pPr>
            <w:r w:rsidRPr="00450AD4">
              <w:rPr>
                <w:rFonts w:cs="Times New Roman"/>
                <w:sz w:val="20"/>
                <w:szCs w:val="20"/>
              </w:rPr>
              <w:t>Jonathan.iberg@conagra.com</w:t>
            </w:r>
          </w:p>
        </w:tc>
        <w:tc>
          <w:tcPr>
            <w:tcW w:w="1487" w:type="dxa"/>
          </w:tcPr>
          <w:p w:rsidRPr="00450AD4" w:rsidR="00983ABF" w:rsidP="00983ABF" w:rsidRDefault="00983ABF" w14:paraId="50BB2184" w14:textId="77777777">
            <w:pPr>
              <w:rPr>
                <w:rFonts w:cs="Times New Roman"/>
                <w:sz w:val="20"/>
                <w:szCs w:val="20"/>
              </w:rPr>
            </w:pPr>
            <w:r w:rsidRPr="00450AD4">
              <w:rPr>
                <w:rFonts w:cs="Times New Roman"/>
                <w:sz w:val="20"/>
                <w:szCs w:val="20"/>
              </w:rPr>
              <w:t>402-240-2890</w:t>
            </w:r>
          </w:p>
        </w:tc>
      </w:tr>
    </w:tbl>
    <w:p w:rsidRPr="004D3481" w:rsidR="006A5E4D" w:rsidP="003C0232" w:rsidRDefault="006A5E4D" w14:paraId="27A9D8E0" w14:textId="77777777">
      <w:pPr>
        <w:pStyle w:val="PlainText"/>
        <w:rPr>
          <w:rFonts w:ascii="Times New Roman" w:hAnsi="Times New Roman" w:cs="Times New Roman"/>
          <w:sz w:val="24"/>
          <w:szCs w:val="24"/>
        </w:rPr>
      </w:pPr>
    </w:p>
    <w:p w:rsidRPr="00E83C20" w:rsidR="00052711" w:rsidP="003C0232" w:rsidRDefault="00052711" w14:paraId="210CFC94"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9.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Explain any decision to provide any payment or gift to respondents, other than remuneration of contractors or grantees.</w:t>
      </w:r>
    </w:p>
    <w:p w:rsidRPr="004D3481" w:rsidR="00052711" w:rsidP="003C0232" w:rsidRDefault="00052711" w14:paraId="0A4285B6" w14:textId="77777777">
      <w:pPr>
        <w:pStyle w:val="PlainText"/>
        <w:rPr>
          <w:rFonts w:ascii="Times New Roman" w:hAnsi="Times New Roman" w:cs="Times New Roman"/>
          <w:sz w:val="24"/>
          <w:szCs w:val="24"/>
        </w:rPr>
      </w:pPr>
    </w:p>
    <w:p w:rsidR="00052711" w:rsidP="003C0232" w:rsidRDefault="00052711" w14:paraId="35103AF9"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Respondents do not receive any payment or gifts for participation in the </w:t>
      </w:r>
      <w:r w:rsidR="00260778">
        <w:rPr>
          <w:rFonts w:ascii="Times New Roman" w:hAnsi="Times New Roman" w:cs="Times New Roman"/>
          <w:sz w:val="24"/>
          <w:szCs w:val="24"/>
        </w:rPr>
        <w:t>P</w:t>
      </w:r>
      <w:r w:rsidRPr="004D3481">
        <w:rPr>
          <w:rFonts w:ascii="Times New Roman" w:hAnsi="Times New Roman" w:cs="Times New Roman"/>
          <w:sz w:val="24"/>
          <w:szCs w:val="24"/>
        </w:rPr>
        <w:t>rogram.</w:t>
      </w:r>
    </w:p>
    <w:p w:rsidRPr="004D3481" w:rsidR="00260778" w:rsidP="003C0232" w:rsidRDefault="00260778" w14:paraId="4AB325DB" w14:textId="77777777">
      <w:pPr>
        <w:pStyle w:val="PlainText"/>
        <w:rPr>
          <w:rFonts w:ascii="Times New Roman" w:hAnsi="Times New Roman" w:cs="Times New Roman"/>
          <w:sz w:val="24"/>
          <w:szCs w:val="24"/>
        </w:rPr>
      </w:pPr>
    </w:p>
    <w:p w:rsidRPr="00E83C20" w:rsidR="00052711" w:rsidP="003F0070" w:rsidRDefault="00052711" w14:paraId="55C01803" w14:textId="77777777">
      <w:pPr>
        <w:rPr>
          <w:b/>
        </w:rPr>
      </w:pPr>
      <w:r w:rsidRPr="00E83C20">
        <w:rPr>
          <w:b/>
        </w:rPr>
        <w:t xml:space="preserve">10.  </w:t>
      </w:r>
      <w:r w:rsidRPr="00C04518" w:rsidR="00C04518">
        <w:rPr>
          <w:b/>
        </w:rPr>
        <w:t xml:space="preserve"> </w:t>
      </w:r>
      <w:r w:rsidR="00C04518">
        <w:rPr>
          <w:b/>
        </w:rPr>
        <w:t>Describe any assurance of confidentiality provided to respondents and the basis for the assurance in statute, regulations or agency policy.</w:t>
      </w:r>
    </w:p>
    <w:p w:rsidRPr="00E83C20" w:rsidR="00052711" w:rsidP="003C0232" w:rsidRDefault="00052711" w14:paraId="45661E54" w14:textId="77777777">
      <w:pPr>
        <w:pStyle w:val="PlainText"/>
        <w:rPr>
          <w:rFonts w:ascii="Times New Roman" w:hAnsi="Times New Roman" w:cs="Times New Roman"/>
          <w:b/>
          <w:sz w:val="24"/>
          <w:szCs w:val="24"/>
        </w:rPr>
      </w:pPr>
    </w:p>
    <w:p w:rsidR="00052711" w:rsidP="003C0232" w:rsidRDefault="00052711" w14:paraId="79A6644A" w14:textId="77777777">
      <w:pPr>
        <w:pStyle w:val="PlainText"/>
        <w:rPr>
          <w:rFonts w:ascii="Times New Roman" w:hAnsi="Times New Roman" w:cs="Times New Roman"/>
          <w:color w:val="000000"/>
          <w:sz w:val="24"/>
          <w:szCs w:val="24"/>
        </w:rPr>
      </w:pPr>
      <w:r w:rsidRPr="007F71C7">
        <w:rPr>
          <w:rFonts w:ascii="Times New Roman" w:hAnsi="Times New Roman" w:cs="Times New Roman"/>
          <w:color w:val="000000"/>
          <w:sz w:val="24"/>
          <w:szCs w:val="24"/>
        </w:rPr>
        <w:t xml:space="preserve">No additional assurance of confidentiality is provided with this information collection. </w:t>
      </w:r>
      <w:r w:rsidR="00260778">
        <w:rPr>
          <w:rFonts w:ascii="Times New Roman" w:hAnsi="Times New Roman" w:cs="Times New Roman"/>
          <w:color w:val="000000"/>
          <w:sz w:val="24"/>
          <w:szCs w:val="24"/>
        </w:rPr>
        <w:t xml:space="preserve"> </w:t>
      </w:r>
      <w:r w:rsidRPr="007F71C7">
        <w:rPr>
          <w:rFonts w:ascii="Times New Roman" w:hAnsi="Times New Roman" w:cs="Times New Roman"/>
          <w:color w:val="000000"/>
          <w:sz w:val="24"/>
          <w:szCs w:val="24"/>
        </w:rPr>
        <w:t>Any and all information obtained in this collection shall not be disclosed except in accordance with 5 U.S.C.552a</w:t>
      </w:r>
      <w:r>
        <w:rPr>
          <w:rFonts w:ascii="Times New Roman" w:hAnsi="Times New Roman" w:cs="Times New Roman"/>
          <w:color w:val="000000"/>
          <w:sz w:val="24"/>
          <w:szCs w:val="24"/>
        </w:rPr>
        <w:t>.</w:t>
      </w:r>
    </w:p>
    <w:p w:rsidRPr="007F71C7" w:rsidR="00052711" w:rsidP="003C0232" w:rsidRDefault="00052711" w14:paraId="7F625AAC" w14:textId="77777777">
      <w:pPr>
        <w:pStyle w:val="PlainText"/>
        <w:rPr>
          <w:rFonts w:ascii="Times New Roman" w:hAnsi="Times New Roman" w:cs="Times New Roman"/>
          <w:sz w:val="24"/>
          <w:szCs w:val="24"/>
        </w:rPr>
      </w:pPr>
    </w:p>
    <w:p w:rsidRPr="00E83C20" w:rsidR="00052711" w:rsidP="003C0232" w:rsidRDefault="00052711" w14:paraId="7B3D78FC"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11.  </w:t>
      </w:r>
      <w:r w:rsidRPr="00C04518" w:rsidR="00C04518">
        <w:rPr>
          <w:rFonts w:ascii="Times New Roman" w:hAnsi="Times New Roman"/>
          <w:b/>
          <w:bCs/>
          <w:sz w:val="24"/>
        </w:rPr>
        <w:t xml:space="preserve"> </w:t>
      </w:r>
      <w:r w:rsidR="00C04518">
        <w:rPr>
          <w:rFonts w:ascii="Times New Roman" w:hAnsi="Times New Roman"/>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83C20" w:rsidR="00052711" w:rsidP="003C0232" w:rsidRDefault="00052711" w14:paraId="0057492C" w14:textId="77777777">
      <w:pPr>
        <w:pStyle w:val="PlainText"/>
        <w:rPr>
          <w:rFonts w:ascii="Times New Roman" w:hAnsi="Times New Roman" w:cs="Times New Roman"/>
          <w:b/>
          <w:sz w:val="24"/>
          <w:szCs w:val="24"/>
        </w:rPr>
      </w:pPr>
    </w:p>
    <w:p w:rsidR="00052711" w:rsidP="003C0232" w:rsidRDefault="00052711" w14:paraId="2F9EC692"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information requested under the </w:t>
      </w:r>
      <w:r>
        <w:rPr>
          <w:rFonts w:ascii="Times New Roman" w:hAnsi="Times New Roman" w:cs="Times New Roman"/>
          <w:sz w:val="24"/>
          <w:szCs w:val="24"/>
        </w:rPr>
        <w:t>r</w:t>
      </w:r>
      <w:r w:rsidRPr="004D3481">
        <w:rPr>
          <w:rFonts w:ascii="Times New Roman" w:hAnsi="Times New Roman" w:cs="Times New Roman"/>
          <w:sz w:val="24"/>
          <w:szCs w:val="24"/>
        </w:rPr>
        <w:t>egulation is not of a sensitive nature.</w:t>
      </w:r>
    </w:p>
    <w:p w:rsidR="00A05710" w:rsidP="003C0232" w:rsidRDefault="00A05710" w14:paraId="7934A19C" w14:textId="77777777">
      <w:pPr>
        <w:pStyle w:val="PlainText"/>
        <w:rPr>
          <w:rFonts w:ascii="Times New Roman" w:hAnsi="Times New Roman" w:cs="Times New Roman"/>
          <w:sz w:val="24"/>
          <w:szCs w:val="24"/>
        </w:rPr>
      </w:pPr>
    </w:p>
    <w:p w:rsidR="00C04518" w:rsidP="00C04518" w:rsidRDefault="00052711" w14:paraId="7328CC57" w14:textId="77777777">
      <w:pPr>
        <w:rPr>
          <w:b/>
          <w:bCs/>
        </w:rPr>
      </w:pPr>
      <w:r w:rsidRPr="004D3481">
        <w:rPr>
          <w:b/>
        </w:rPr>
        <w:t xml:space="preserve">12.  </w:t>
      </w:r>
      <w:r w:rsidRPr="00C04518" w:rsidR="00C04518">
        <w:rPr>
          <w:b/>
          <w:bCs/>
        </w:rPr>
        <w:t xml:space="preserve"> </w:t>
      </w:r>
      <w:r w:rsidR="00C04518">
        <w:rPr>
          <w:b/>
          <w:bCs/>
        </w:rPr>
        <w:t>Provide estimates of the hour burden of the collection of information.  The statement should:</w:t>
      </w:r>
    </w:p>
    <w:p w:rsidR="00C04518" w:rsidP="00C04518" w:rsidRDefault="00C04518" w14:paraId="7F340A61" w14:textId="77777777">
      <w:pPr>
        <w:rPr>
          <w:b/>
          <w:bCs/>
        </w:rPr>
      </w:pPr>
    </w:p>
    <w:p w:rsidRPr="00065F46" w:rsidR="00C04518" w:rsidP="00C04518" w:rsidRDefault="00C04518" w14:paraId="0A7F3748" w14:textId="77777777">
      <w:pPr>
        <w:pStyle w:val="ListParagraph"/>
        <w:numPr>
          <w:ilvl w:val="0"/>
          <w:numId w:val="2"/>
        </w:numPr>
        <w:rPr>
          <w:b/>
          <w:bCs/>
        </w:rPr>
      </w:pPr>
      <w:r w:rsidRPr="00065F46">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4518" w:rsidP="00C04518" w:rsidRDefault="00C04518" w14:paraId="4D788B5D" w14:textId="77777777">
      <w:pPr>
        <w:rPr>
          <w:b/>
          <w:bCs/>
        </w:rPr>
      </w:pPr>
    </w:p>
    <w:p w:rsidRPr="00065F46" w:rsidR="00C04518" w:rsidP="00C04518" w:rsidRDefault="00C04518" w14:paraId="24875032" w14:textId="77777777">
      <w:pPr>
        <w:pStyle w:val="ListParagraph"/>
        <w:numPr>
          <w:ilvl w:val="0"/>
          <w:numId w:val="2"/>
        </w:numPr>
        <w:rPr>
          <w:b/>
          <w:bCs/>
        </w:rPr>
      </w:pPr>
      <w:r w:rsidRPr="00065F46">
        <w:rPr>
          <w:b/>
          <w:bCs/>
        </w:rPr>
        <w:t>If this request for approval covers more than one form, provide separate hour burden estimates for each form and aggregate the hour burdens in Item 13 of OMB Form 83–1.</w:t>
      </w:r>
    </w:p>
    <w:p w:rsidR="00C04518" w:rsidP="00C04518" w:rsidRDefault="00C04518" w14:paraId="761C46BB" w14:textId="77777777">
      <w:pPr>
        <w:rPr>
          <w:b/>
          <w:bCs/>
        </w:rPr>
      </w:pPr>
    </w:p>
    <w:p w:rsidR="00C04518" w:rsidP="00C04518" w:rsidRDefault="00C04518" w14:paraId="35D27975" w14:textId="77777777">
      <w:pPr>
        <w:pStyle w:val="ListParagraph"/>
        <w:numPr>
          <w:ilvl w:val="0"/>
          <w:numId w:val="2"/>
        </w:numPr>
      </w:pPr>
      <w:r w:rsidRPr="00065F46">
        <w:rPr>
          <w:b/>
          <w:bCs/>
        </w:rPr>
        <w:t>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Item 14.</w:t>
      </w:r>
    </w:p>
    <w:p w:rsidR="00052711" w:rsidP="003C0232" w:rsidRDefault="00052711" w14:paraId="668A4B5A" w14:textId="4DCFEABC">
      <w:pPr>
        <w:pStyle w:val="PlainText"/>
        <w:rPr>
          <w:rFonts w:ascii="Times New Roman" w:hAnsi="Times New Roman" w:cs="Times New Roman"/>
          <w:b/>
          <w:sz w:val="24"/>
          <w:szCs w:val="24"/>
        </w:rPr>
      </w:pPr>
    </w:p>
    <w:p w:rsidRPr="004D3481" w:rsidR="00983ABF" w:rsidP="003C0232" w:rsidRDefault="00983ABF" w14:paraId="3C6D05D0" w14:textId="77777777">
      <w:pPr>
        <w:pStyle w:val="PlainText"/>
        <w:rPr>
          <w:rFonts w:ascii="Times New Roman" w:hAnsi="Times New Roman" w:cs="Times New Roman"/>
          <w:b/>
          <w:sz w:val="24"/>
          <w:szCs w:val="24"/>
        </w:rPr>
      </w:pPr>
    </w:p>
    <w:p w:rsidR="00052711" w:rsidRDefault="00052711" w14:paraId="6279B155" w14:textId="77777777">
      <w:pPr>
        <w:ind w:left="144"/>
        <w:rPr>
          <w:rFonts w:ascii="Arial (W1)" w:hAnsi="Arial (W1)"/>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8"/>
        <w:gridCol w:w="1440"/>
        <w:gridCol w:w="1260"/>
        <w:gridCol w:w="1237"/>
        <w:gridCol w:w="1080"/>
        <w:gridCol w:w="1170"/>
      </w:tblGrid>
      <w:tr w:rsidRPr="00487318" w:rsidR="003140FA" w:rsidTr="00983ABF" w14:paraId="10293181" w14:textId="77777777">
        <w:trPr>
          <w:jc w:val="center"/>
        </w:trPr>
        <w:tc>
          <w:tcPr>
            <w:tcW w:w="1548" w:type="dxa"/>
          </w:tcPr>
          <w:p w:rsidRPr="00487318" w:rsidR="003140FA" w:rsidP="00E83C20" w:rsidRDefault="003140FA" w14:paraId="5979A084" w14:textId="77777777">
            <w:pPr>
              <w:rPr>
                <w:rFonts w:ascii="Arial (W1)" w:hAnsi="Arial (W1)"/>
              </w:rPr>
            </w:pPr>
          </w:p>
        </w:tc>
        <w:tc>
          <w:tcPr>
            <w:tcW w:w="1440" w:type="dxa"/>
          </w:tcPr>
          <w:p w:rsidRPr="00065E2D" w:rsidR="003140FA" w:rsidP="00E83C20" w:rsidRDefault="003140FA" w14:paraId="2A0FD700" w14:textId="77777777">
            <w:pPr>
              <w:jc w:val="center"/>
            </w:pPr>
            <w:r w:rsidRPr="00065E2D">
              <w:rPr>
                <w:sz w:val="22"/>
                <w:szCs w:val="22"/>
              </w:rPr>
              <w:t>A</w:t>
            </w:r>
          </w:p>
        </w:tc>
        <w:tc>
          <w:tcPr>
            <w:tcW w:w="1260" w:type="dxa"/>
          </w:tcPr>
          <w:p w:rsidRPr="00065E2D" w:rsidR="003140FA" w:rsidP="00E83C20" w:rsidRDefault="003140FA" w14:paraId="3CB7D5D2" w14:textId="77777777">
            <w:pPr>
              <w:jc w:val="center"/>
            </w:pPr>
            <w:r w:rsidRPr="00065E2D">
              <w:rPr>
                <w:sz w:val="22"/>
                <w:szCs w:val="22"/>
              </w:rPr>
              <w:t>B</w:t>
            </w:r>
          </w:p>
        </w:tc>
        <w:tc>
          <w:tcPr>
            <w:tcW w:w="1237" w:type="dxa"/>
          </w:tcPr>
          <w:p w:rsidRPr="00065E2D" w:rsidR="003140FA" w:rsidP="00E83C20" w:rsidRDefault="003140FA" w14:paraId="7392A351" w14:textId="77777777">
            <w:pPr>
              <w:jc w:val="center"/>
            </w:pPr>
            <w:r w:rsidRPr="00065E2D">
              <w:rPr>
                <w:sz w:val="22"/>
                <w:szCs w:val="22"/>
              </w:rPr>
              <w:t>C</w:t>
            </w:r>
          </w:p>
        </w:tc>
        <w:tc>
          <w:tcPr>
            <w:tcW w:w="1080" w:type="dxa"/>
          </w:tcPr>
          <w:p w:rsidRPr="00065E2D" w:rsidR="003140FA" w:rsidP="00E83C20" w:rsidRDefault="003140FA" w14:paraId="5B9045F2" w14:textId="77777777">
            <w:pPr>
              <w:jc w:val="center"/>
            </w:pPr>
            <w:r w:rsidRPr="00065E2D">
              <w:rPr>
                <w:sz w:val="22"/>
                <w:szCs w:val="22"/>
              </w:rPr>
              <w:t>D</w:t>
            </w:r>
          </w:p>
        </w:tc>
        <w:tc>
          <w:tcPr>
            <w:tcW w:w="1170" w:type="dxa"/>
          </w:tcPr>
          <w:p w:rsidRPr="00065E2D" w:rsidR="003140FA" w:rsidP="00E83C20" w:rsidRDefault="003140FA" w14:paraId="48D847EE" w14:textId="77777777">
            <w:pPr>
              <w:jc w:val="center"/>
            </w:pPr>
            <w:r w:rsidRPr="00065E2D">
              <w:t>E</w:t>
            </w:r>
          </w:p>
        </w:tc>
      </w:tr>
      <w:tr w:rsidRPr="00487318" w:rsidR="003140FA" w:rsidTr="00983ABF" w14:paraId="1F60E4D0" w14:textId="77777777">
        <w:trPr>
          <w:jc w:val="center"/>
        </w:trPr>
        <w:tc>
          <w:tcPr>
            <w:tcW w:w="1548" w:type="dxa"/>
            <w:vAlign w:val="bottom"/>
          </w:tcPr>
          <w:p w:rsidRPr="00065E2D" w:rsidR="003140FA" w:rsidP="00065E2D" w:rsidRDefault="003140FA" w14:paraId="175CCD40" w14:textId="77777777">
            <w:pPr>
              <w:jc w:val="center"/>
              <w:rPr>
                <w:b/>
              </w:rPr>
            </w:pPr>
            <w:r w:rsidRPr="00065E2D">
              <w:rPr>
                <w:b/>
                <w:sz w:val="22"/>
                <w:szCs w:val="22"/>
              </w:rPr>
              <w:t>Activity</w:t>
            </w:r>
          </w:p>
        </w:tc>
        <w:tc>
          <w:tcPr>
            <w:tcW w:w="1440" w:type="dxa"/>
            <w:vAlign w:val="bottom"/>
          </w:tcPr>
          <w:p w:rsidRPr="00065E2D" w:rsidR="003140FA" w:rsidP="00065E2D" w:rsidRDefault="003140FA" w14:paraId="5E3ACA3E" w14:textId="77777777">
            <w:pPr>
              <w:jc w:val="center"/>
              <w:rPr>
                <w:b/>
              </w:rPr>
            </w:pPr>
            <w:r w:rsidRPr="00065E2D">
              <w:rPr>
                <w:b/>
                <w:sz w:val="22"/>
                <w:szCs w:val="22"/>
              </w:rPr>
              <w:t>Respondents</w:t>
            </w:r>
          </w:p>
        </w:tc>
        <w:tc>
          <w:tcPr>
            <w:tcW w:w="1260" w:type="dxa"/>
            <w:vAlign w:val="bottom"/>
          </w:tcPr>
          <w:p w:rsidRPr="00065E2D" w:rsidR="003140FA" w:rsidP="00065E2D" w:rsidRDefault="003140FA" w14:paraId="106D9CFE" w14:textId="77777777">
            <w:pPr>
              <w:jc w:val="center"/>
              <w:rPr>
                <w:b/>
              </w:rPr>
            </w:pPr>
            <w:r w:rsidRPr="00065E2D">
              <w:rPr>
                <w:b/>
                <w:sz w:val="22"/>
                <w:szCs w:val="22"/>
              </w:rPr>
              <w:t>Responses</w:t>
            </w:r>
          </w:p>
        </w:tc>
        <w:tc>
          <w:tcPr>
            <w:tcW w:w="1237" w:type="dxa"/>
            <w:vAlign w:val="bottom"/>
          </w:tcPr>
          <w:p w:rsidRPr="00065E2D" w:rsidR="003140FA" w:rsidP="00065E2D" w:rsidRDefault="003140FA" w14:paraId="582C8866" w14:textId="77777777">
            <w:pPr>
              <w:jc w:val="center"/>
              <w:rPr>
                <w:b/>
              </w:rPr>
            </w:pPr>
            <w:r w:rsidRPr="00065E2D">
              <w:rPr>
                <w:b/>
                <w:sz w:val="22"/>
                <w:szCs w:val="22"/>
              </w:rPr>
              <w:t>Total Annual Responses</w:t>
            </w:r>
          </w:p>
          <w:p w:rsidRPr="00065E2D" w:rsidR="003140FA" w:rsidP="00065E2D" w:rsidRDefault="003140FA" w14:paraId="3F799FE0" w14:textId="77777777">
            <w:pPr>
              <w:jc w:val="center"/>
              <w:rPr>
                <w:b/>
              </w:rPr>
            </w:pPr>
            <w:r w:rsidRPr="00065E2D">
              <w:rPr>
                <w:b/>
                <w:sz w:val="22"/>
                <w:szCs w:val="22"/>
              </w:rPr>
              <w:t>(A*B)</w:t>
            </w:r>
          </w:p>
        </w:tc>
        <w:tc>
          <w:tcPr>
            <w:tcW w:w="1080" w:type="dxa"/>
            <w:vAlign w:val="bottom"/>
          </w:tcPr>
          <w:p w:rsidRPr="00065E2D" w:rsidR="003140FA" w:rsidP="00065E2D" w:rsidRDefault="003140FA" w14:paraId="37F720A7" w14:textId="77777777">
            <w:pPr>
              <w:jc w:val="center"/>
              <w:rPr>
                <w:b/>
              </w:rPr>
            </w:pPr>
            <w:r w:rsidRPr="00065E2D">
              <w:rPr>
                <w:b/>
                <w:sz w:val="22"/>
                <w:szCs w:val="22"/>
              </w:rPr>
              <w:t>Average Hours Needed for Activity</w:t>
            </w:r>
          </w:p>
        </w:tc>
        <w:tc>
          <w:tcPr>
            <w:tcW w:w="1170" w:type="dxa"/>
            <w:vAlign w:val="bottom"/>
          </w:tcPr>
          <w:p w:rsidRPr="00065E2D" w:rsidR="003140FA" w:rsidP="00065E2D" w:rsidRDefault="003140FA" w14:paraId="1EAC7D10" w14:textId="77777777">
            <w:pPr>
              <w:jc w:val="center"/>
              <w:rPr>
                <w:b/>
                <w:sz w:val="20"/>
                <w:szCs w:val="20"/>
              </w:rPr>
            </w:pPr>
            <w:r w:rsidRPr="00065E2D">
              <w:rPr>
                <w:b/>
                <w:sz w:val="20"/>
                <w:szCs w:val="20"/>
              </w:rPr>
              <w:t xml:space="preserve">Total </w:t>
            </w:r>
            <w:r>
              <w:rPr>
                <w:b/>
                <w:sz w:val="20"/>
                <w:szCs w:val="20"/>
              </w:rPr>
              <w:t xml:space="preserve">Annual Burden </w:t>
            </w:r>
            <w:r w:rsidRPr="00065E2D">
              <w:rPr>
                <w:b/>
                <w:sz w:val="20"/>
                <w:szCs w:val="20"/>
              </w:rPr>
              <w:t>Hours</w:t>
            </w:r>
          </w:p>
        </w:tc>
      </w:tr>
      <w:tr w:rsidRPr="00487318" w:rsidR="003140FA" w:rsidTr="00983ABF" w14:paraId="1DEFD909" w14:textId="77777777">
        <w:trPr>
          <w:jc w:val="center"/>
        </w:trPr>
        <w:tc>
          <w:tcPr>
            <w:tcW w:w="1548" w:type="dxa"/>
          </w:tcPr>
          <w:p w:rsidRPr="00065E2D" w:rsidR="003140FA" w:rsidP="00E83C20" w:rsidRDefault="003140FA" w14:paraId="6336D3DB" w14:textId="77777777">
            <w:r w:rsidRPr="00065E2D">
              <w:rPr>
                <w:sz w:val="22"/>
                <w:szCs w:val="22"/>
              </w:rPr>
              <w:t>Applications</w:t>
            </w:r>
          </w:p>
        </w:tc>
        <w:tc>
          <w:tcPr>
            <w:tcW w:w="1440" w:type="dxa"/>
          </w:tcPr>
          <w:p w:rsidRPr="000C67D2" w:rsidR="003140FA" w:rsidP="00E83C20" w:rsidRDefault="00C1161C" w14:paraId="496A5FA9" w14:textId="3A15FC31">
            <w:pPr>
              <w:jc w:val="right"/>
              <w:rPr>
                <w:sz w:val="20"/>
                <w:szCs w:val="20"/>
              </w:rPr>
            </w:pPr>
            <w:r>
              <w:rPr>
                <w:sz w:val="20"/>
                <w:szCs w:val="20"/>
              </w:rPr>
              <w:t>5</w:t>
            </w:r>
          </w:p>
        </w:tc>
        <w:tc>
          <w:tcPr>
            <w:tcW w:w="1260" w:type="dxa"/>
          </w:tcPr>
          <w:p w:rsidRPr="000C67D2" w:rsidR="003140FA" w:rsidP="00E83C20" w:rsidRDefault="003140FA" w14:paraId="10E4ADD7" w14:textId="77777777">
            <w:pPr>
              <w:jc w:val="right"/>
              <w:rPr>
                <w:sz w:val="20"/>
                <w:szCs w:val="20"/>
              </w:rPr>
            </w:pPr>
            <w:r w:rsidRPr="000C67D2">
              <w:rPr>
                <w:sz w:val="20"/>
                <w:szCs w:val="20"/>
              </w:rPr>
              <w:t>1</w:t>
            </w:r>
          </w:p>
        </w:tc>
        <w:tc>
          <w:tcPr>
            <w:tcW w:w="1237" w:type="dxa"/>
          </w:tcPr>
          <w:p w:rsidRPr="000C67D2" w:rsidR="003140FA" w:rsidP="00B73A26" w:rsidRDefault="00AE2D0B" w14:paraId="2FEDC39C" w14:textId="20EEECCC">
            <w:pPr>
              <w:jc w:val="right"/>
              <w:rPr>
                <w:sz w:val="20"/>
                <w:szCs w:val="20"/>
              </w:rPr>
            </w:pPr>
            <w:r>
              <w:rPr>
                <w:sz w:val="20"/>
                <w:szCs w:val="20"/>
              </w:rPr>
              <w:t>5</w:t>
            </w:r>
          </w:p>
        </w:tc>
        <w:tc>
          <w:tcPr>
            <w:tcW w:w="1080" w:type="dxa"/>
          </w:tcPr>
          <w:p w:rsidRPr="000C67D2" w:rsidR="003140FA" w:rsidP="00E83C20" w:rsidRDefault="003140FA" w14:paraId="4F75FB7B" w14:textId="77777777">
            <w:pPr>
              <w:jc w:val="right"/>
              <w:rPr>
                <w:sz w:val="20"/>
                <w:szCs w:val="20"/>
              </w:rPr>
            </w:pPr>
            <w:r w:rsidRPr="000C67D2">
              <w:rPr>
                <w:sz w:val="20"/>
                <w:szCs w:val="20"/>
              </w:rPr>
              <w:t>20</w:t>
            </w:r>
          </w:p>
        </w:tc>
        <w:tc>
          <w:tcPr>
            <w:tcW w:w="1170" w:type="dxa"/>
          </w:tcPr>
          <w:p w:rsidRPr="000C67D2" w:rsidR="003140FA" w:rsidP="00E83C20" w:rsidRDefault="00C1161C" w14:paraId="7C3D8648" w14:textId="7878C3EE">
            <w:pPr>
              <w:jc w:val="right"/>
              <w:rPr>
                <w:sz w:val="20"/>
                <w:szCs w:val="20"/>
              </w:rPr>
            </w:pPr>
            <w:r>
              <w:rPr>
                <w:sz w:val="20"/>
                <w:szCs w:val="20"/>
              </w:rPr>
              <w:t>100</w:t>
            </w:r>
          </w:p>
        </w:tc>
      </w:tr>
      <w:tr w:rsidRPr="00487318" w:rsidR="003140FA" w:rsidTr="00983ABF" w14:paraId="5929742D" w14:textId="77777777">
        <w:trPr>
          <w:jc w:val="center"/>
        </w:trPr>
        <w:tc>
          <w:tcPr>
            <w:tcW w:w="1548" w:type="dxa"/>
          </w:tcPr>
          <w:p w:rsidRPr="00065E2D" w:rsidR="003140FA" w:rsidP="00065E2D" w:rsidRDefault="003140FA" w14:paraId="1565F2AF" w14:textId="77777777">
            <w:r w:rsidRPr="00065E2D">
              <w:rPr>
                <w:sz w:val="22"/>
                <w:szCs w:val="22"/>
              </w:rPr>
              <w:t xml:space="preserve">Reporting </w:t>
            </w:r>
          </w:p>
        </w:tc>
        <w:tc>
          <w:tcPr>
            <w:tcW w:w="1440" w:type="dxa"/>
          </w:tcPr>
          <w:p w:rsidRPr="000C67D2" w:rsidR="003140FA" w:rsidP="002D7A93" w:rsidRDefault="003140FA" w14:paraId="031BD0D6" w14:textId="77777777">
            <w:pPr>
              <w:jc w:val="right"/>
              <w:rPr>
                <w:sz w:val="20"/>
                <w:szCs w:val="20"/>
              </w:rPr>
            </w:pPr>
            <w:r w:rsidRPr="000C67D2">
              <w:rPr>
                <w:sz w:val="20"/>
                <w:szCs w:val="20"/>
              </w:rPr>
              <w:t>146</w:t>
            </w:r>
          </w:p>
        </w:tc>
        <w:tc>
          <w:tcPr>
            <w:tcW w:w="1260" w:type="dxa"/>
          </w:tcPr>
          <w:p w:rsidRPr="000C67D2" w:rsidR="003140FA" w:rsidP="00E83C20" w:rsidRDefault="003140FA" w14:paraId="5D274A21" w14:textId="74602EC5">
            <w:pPr>
              <w:jc w:val="right"/>
              <w:rPr>
                <w:sz w:val="20"/>
                <w:szCs w:val="20"/>
              </w:rPr>
            </w:pPr>
            <w:r w:rsidRPr="000C67D2">
              <w:rPr>
                <w:sz w:val="20"/>
                <w:szCs w:val="20"/>
              </w:rPr>
              <w:t>8.</w:t>
            </w:r>
            <w:r>
              <w:rPr>
                <w:sz w:val="20"/>
                <w:szCs w:val="20"/>
              </w:rPr>
              <w:t>9</w:t>
            </w:r>
          </w:p>
        </w:tc>
        <w:tc>
          <w:tcPr>
            <w:tcW w:w="1237" w:type="dxa"/>
          </w:tcPr>
          <w:p w:rsidRPr="000C67D2" w:rsidR="003140FA" w:rsidP="002D7A93" w:rsidRDefault="003140FA" w14:paraId="4753AA28" w14:textId="4BF57471">
            <w:pPr>
              <w:jc w:val="right"/>
              <w:rPr>
                <w:sz w:val="20"/>
                <w:szCs w:val="20"/>
              </w:rPr>
            </w:pPr>
            <w:r w:rsidRPr="000C67D2">
              <w:rPr>
                <w:sz w:val="20"/>
                <w:szCs w:val="20"/>
              </w:rPr>
              <w:t>1,2</w:t>
            </w:r>
            <w:r>
              <w:rPr>
                <w:sz w:val="20"/>
                <w:szCs w:val="20"/>
              </w:rPr>
              <w:t>99</w:t>
            </w:r>
          </w:p>
        </w:tc>
        <w:tc>
          <w:tcPr>
            <w:tcW w:w="1080" w:type="dxa"/>
          </w:tcPr>
          <w:p w:rsidRPr="000C67D2" w:rsidR="003140FA" w:rsidP="007C4BE7" w:rsidRDefault="003140FA" w14:paraId="6FB3AD06" w14:textId="77777777">
            <w:pPr>
              <w:jc w:val="right"/>
              <w:rPr>
                <w:sz w:val="20"/>
                <w:szCs w:val="20"/>
              </w:rPr>
            </w:pPr>
            <w:r w:rsidRPr="000C67D2">
              <w:rPr>
                <w:sz w:val="20"/>
                <w:szCs w:val="20"/>
              </w:rPr>
              <w:t>0.</w:t>
            </w:r>
            <w:r>
              <w:rPr>
                <w:sz w:val="20"/>
                <w:szCs w:val="20"/>
              </w:rPr>
              <w:t>2</w:t>
            </w:r>
            <w:r w:rsidRPr="000C67D2">
              <w:rPr>
                <w:sz w:val="20"/>
                <w:szCs w:val="20"/>
              </w:rPr>
              <w:t>1</w:t>
            </w:r>
          </w:p>
        </w:tc>
        <w:tc>
          <w:tcPr>
            <w:tcW w:w="1170" w:type="dxa"/>
          </w:tcPr>
          <w:p w:rsidRPr="000C67D2" w:rsidR="003140FA" w:rsidP="00E83C20" w:rsidRDefault="003140FA" w14:paraId="5B01BFFB" w14:textId="4C018363">
            <w:pPr>
              <w:jc w:val="right"/>
              <w:rPr>
                <w:sz w:val="20"/>
                <w:szCs w:val="20"/>
              </w:rPr>
            </w:pPr>
            <w:r>
              <w:rPr>
                <w:sz w:val="20"/>
                <w:szCs w:val="20"/>
              </w:rPr>
              <w:t>27</w:t>
            </w:r>
            <w:r w:rsidR="00C1161C">
              <w:rPr>
                <w:sz w:val="20"/>
                <w:szCs w:val="20"/>
              </w:rPr>
              <w:t>3</w:t>
            </w:r>
          </w:p>
        </w:tc>
      </w:tr>
      <w:tr w:rsidRPr="00487318" w:rsidR="003140FA" w:rsidTr="00983ABF" w14:paraId="13046497" w14:textId="77777777">
        <w:trPr>
          <w:jc w:val="center"/>
        </w:trPr>
        <w:tc>
          <w:tcPr>
            <w:tcW w:w="1548" w:type="dxa"/>
          </w:tcPr>
          <w:p w:rsidRPr="00065E2D" w:rsidR="003140FA" w:rsidP="00E83C20" w:rsidRDefault="003140FA" w14:paraId="265AC69B" w14:textId="55A0CFB7">
            <w:r>
              <w:rPr>
                <w:sz w:val="22"/>
                <w:szCs w:val="22"/>
              </w:rPr>
              <w:t>Recordkeeping</w:t>
            </w:r>
          </w:p>
        </w:tc>
        <w:tc>
          <w:tcPr>
            <w:tcW w:w="1440" w:type="dxa"/>
          </w:tcPr>
          <w:p w:rsidRPr="000C67D2" w:rsidR="003140FA" w:rsidP="002D7A93" w:rsidRDefault="003140FA" w14:paraId="0381DD23" w14:textId="77777777">
            <w:pPr>
              <w:jc w:val="right"/>
              <w:rPr>
                <w:sz w:val="20"/>
                <w:szCs w:val="20"/>
              </w:rPr>
            </w:pPr>
            <w:r w:rsidRPr="000C67D2">
              <w:rPr>
                <w:sz w:val="20"/>
                <w:szCs w:val="20"/>
              </w:rPr>
              <w:t>146</w:t>
            </w:r>
          </w:p>
        </w:tc>
        <w:tc>
          <w:tcPr>
            <w:tcW w:w="1260" w:type="dxa"/>
          </w:tcPr>
          <w:p w:rsidRPr="000C67D2" w:rsidR="003140FA" w:rsidP="00E83C20" w:rsidRDefault="003140FA" w14:paraId="280D3D5E" w14:textId="77777777">
            <w:pPr>
              <w:jc w:val="right"/>
              <w:rPr>
                <w:sz w:val="20"/>
                <w:szCs w:val="20"/>
              </w:rPr>
            </w:pPr>
            <w:r w:rsidRPr="000C67D2">
              <w:rPr>
                <w:sz w:val="20"/>
                <w:szCs w:val="20"/>
              </w:rPr>
              <w:t>1</w:t>
            </w:r>
          </w:p>
        </w:tc>
        <w:tc>
          <w:tcPr>
            <w:tcW w:w="1237" w:type="dxa"/>
          </w:tcPr>
          <w:p w:rsidRPr="000C67D2" w:rsidR="003140FA" w:rsidP="00987991" w:rsidRDefault="003140FA" w14:paraId="1EF7F4B9" w14:textId="77777777">
            <w:pPr>
              <w:jc w:val="right"/>
              <w:rPr>
                <w:sz w:val="20"/>
                <w:szCs w:val="20"/>
              </w:rPr>
            </w:pPr>
            <w:r w:rsidRPr="000C67D2">
              <w:rPr>
                <w:sz w:val="20"/>
                <w:szCs w:val="20"/>
              </w:rPr>
              <w:t>146</w:t>
            </w:r>
          </w:p>
        </w:tc>
        <w:tc>
          <w:tcPr>
            <w:tcW w:w="1080" w:type="dxa"/>
          </w:tcPr>
          <w:p w:rsidRPr="000C67D2" w:rsidR="003140FA" w:rsidP="00C15FB4" w:rsidRDefault="003140FA" w14:paraId="2974322D" w14:textId="77777777">
            <w:pPr>
              <w:jc w:val="right"/>
              <w:rPr>
                <w:sz w:val="20"/>
                <w:szCs w:val="20"/>
              </w:rPr>
            </w:pPr>
            <w:r w:rsidRPr="000C67D2">
              <w:rPr>
                <w:sz w:val="20"/>
                <w:szCs w:val="20"/>
              </w:rPr>
              <w:t>0.0</w:t>
            </w:r>
            <w:r>
              <w:rPr>
                <w:sz w:val="20"/>
                <w:szCs w:val="20"/>
              </w:rPr>
              <w:t>7</w:t>
            </w:r>
          </w:p>
        </w:tc>
        <w:tc>
          <w:tcPr>
            <w:tcW w:w="1170" w:type="dxa"/>
          </w:tcPr>
          <w:p w:rsidRPr="000C67D2" w:rsidR="003140FA" w:rsidP="00227A53" w:rsidRDefault="003140FA" w14:paraId="69B5C16F" w14:textId="711A459A">
            <w:pPr>
              <w:jc w:val="right"/>
              <w:rPr>
                <w:sz w:val="20"/>
                <w:szCs w:val="20"/>
              </w:rPr>
            </w:pPr>
            <w:r>
              <w:rPr>
                <w:sz w:val="20"/>
                <w:szCs w:val="20"/>
              </w:rPr>
              <w:t>10</w:t>
            </w:r>
          </w:p>
        </w:tc>
      </w:tr>
      <w:tr w:rsidRPr="00487318" w:rsidR="003140FA" w:rsidTr="00983ABF" w14:paraId="06A749C0" w14:textId="77777777">
        <w:trPr>
          <w:jc w:val="center"/>
        </w:trPr>
        <w:tc>
          <w:tcPr>
            <w:tcW w:w="1548" w:type="dxa"/>
          </w:tcPr>
          <w:p w:rsidRPr="00065E2D" w:rsidR="003140FA" w:rsidP="00E83C20" w:rsidRDefault="003140FA" w14:paraId="2A939E11" w14:textId="77777777">
            <w:r w:rsidRPr="00065E2D">
              <w:rPr>
                <w:sz w:val="22"/>
                <w:szCs w:val="22"/>
              </w:rPr>
              <w:t xml:space="preserve">Bonds </w:t>
            </w:r>
          </w:p>
        </w:tc>
        <w:tc>
          <w:tcPr>
            <w:tcW w:w="1440" w:type="dxa"/>
          </w:tcPr>
          <w:p w:rsidRPr="000C67D2" w:rsidR="003140FA" w:rsidP="00B73A26" w:rsidRDefault="003140FA" w14:paraId="7C23C844" w14:textId="77777777">
            <w:pPr>
              <w:jc w:val="right"/>
              <w:rPr>
                <w:sz w:val="20"/>
                <w:szCs w:val="20"/>
              </w:rPr>
            </w:pPr>
            <w:r w:rsidRPr="000C67D2">
              <w:rPr>
                <w:sz w:val="20"/>
                <w:szCs w:val="20"/>
              </w:rPr>
              <w:t>19</w:t>
            </w:r>
          </w:p>
        </w:tc>
        <w:tc>
          <w:tcPr>
            <w:tcW w:w="1260" w:type="dxa"/>
          </w:tcPr>
          <w:p w:rsidRPr="000C67D2" w:rsidR="003140FA" w:rsidP="00E83C20" w:rsidRDefault="003140FA" w14:paraId="03C6CD98" w14:textId="77777777">
            <w:pPr>
              <w:jc w:val="right"/>
              <w:rPr>
                <w:sz w:val="20"/>
                <w:szCs w:val="20"/>
              </w:rPr>
            </w:pPr>
            <w:r w:rsidRPr="000C67D2">
              <w:rPr>
                <w:sz w:val="20"/>
                <w:szCs w:val="20"/>
              </w:rPr>
              <w:t>1</w:t>
            </w:r>
          </w:p>
        </w:tc>
        <w:tc>
          <w:tcPr>
            <w:tcW w:w="1237" w:type="dxa"/>
          </w:tcPr>
          <w:p w:rsidRPr="000C67D2" w:rsidR="003140FA" w:rsidP="00987991" w:rsidRDefault="003140FA" w14:paraId="7CCA017A" w14:textId="77777777">
            <w:pPr>
              <w:jc w:val="right"/>
              <w:rPr>
                <w:sz w:val="20"/>
                <w:szCs w:val="20"/>
              </w:rPr>
            </w:pPr>
            <w:r w:rsidRPr="000C67D2">
              <w:rPr>
                <w:sz w:val="20"/>
                <w:szCs w:val="20"/>
              </w:rPr>
              <w:t>19</w:t>
            </w:r>
          </w:p>
        </w:tc>
        <w:tc>
          <w:tcPr>
            <w:tcW w:w="1080" w:type="dxa"/>
          </w:tcPr>
          <w:p w:rsidRPr="000C67D2" w:rsidR="003140FA" w:rsidP="007C4BE7" w:rsidRDefault="003140FA" w14:paraId="6CA7AD8A" w14:textId="77777777">
            <w:pPr>
              <w:jc w:val="right"/>
              <w:rPr>
                <w:sz w:val="20"/>
                <w:szCs w:val="20"/>
              </w:rPr>
            </w:pPr>
            <w:r w:rsidRPr="000C67D2">
              <w:rPr>
                <w:sz w:val="20"/>
                <w:szCs w:val="20"/>
              </w:rPr>
              <w:t>1</w:t>
            </w:r>
          </w:p>
        </w:tc>
        <w:tc>
          <w:tcPr>
            <w:tcW w:w="1170" w:type="dxa"/>
          </w:tcPr>
          <w:p w:rsidRPr="000C67D2" w:rsidR="003140FA" w:rsidP="00987991" w:rsidRDefault="003140FA" w14:paraId="77B969A9" w14:textId="77777777">
            <w:pPr>
              <w:jc w:val="right"/>
              <w:rPr>
                <w:sz w:val="20"/>
                <w:szCs w:val="20"/>
              </w:rPr>
            </w:pPr>
            <w:r w:rsidRPr="000C67D2">
              <w:rPr>
                <w:sz w:val="20"/>
                <w:szCs w:val="20"/>
              </w:rPr>
              <w:t>19</w:t>
            </w:r>
          </w:p>
        </w:tc>
      </w:tr>
      <w:tr w:rsidRPr="00487318" w:rsidR="003140FA" w:rsidTr="00983ABF" w14:paraId="1D8D86A1" w14:textId="77777777">
        <w:trPr>
          <w:jc w:val="center"/>
        </w:trPr>
        <w:tc>
          <w:tcPr>
            <w:tcW w:w="1548" w:type="dxa"/>
          </w:tcPr>
          <w:p w:rsidRPr="00065E2D" w:rsidR="003140FA" w:rsidP="00E83C20" w:rsidRDefault="003140FA" w14:paraId="5AC4F9E1" w14:textId="77777777">
            <w:r w:rsidRPr="00065E2D">
              <w:rPr>
                <w:sz w:val="22"/>
                <w:szCs w:val="22"/>
              </w:rPr>
              <w:t>Waiver</w:t>
            </w:r>
            <w:r>
              <w:rPr>
                <w:sz w:val="22"/>
                <w:szCs w:val="22"/>
              </w:rPr>
              <w:t>s</w:t>
            </w:r>
          </w:p>
        </w:tc>
        <w:tc>
          <w:tcPr>
            <w:tcW w:w="1440" w:type="dxa"/>
          </w:tcPr>
          <w:p w:rsidRPr="000C67D2" w:rsidR="003140FA" w:rsidP="00E83C20" w:rsidRDefault="003140FA" w14:paraId="51B3103E" w14:textId="488EEAA1">
            <w:pPr>
              <w:jc w:val="right"/>
              <w:rPr>
                <w:sz w:val="20"/>
                <w:szCs w:val="20"/>
              </w:rPr>
            </w:pPr>
            <w:r>
              <w:rPr>
                <w:sz w:val="20"/>
                <w:szCs w:val="20"/>
              </w:rPr>
              <w:t>17</w:t>
            </w:r>
          </w:p>
        </w:tc>
        <w:tc>
          <w:tcPr>
            <w:tcW w:w="1260" w:type="dxa"/>
          </w:tcPr>
          <w:p w:rsidRPr="000C67D2" w:rsidR="003140FA" w:rsidP="00E83C20" w:rsidRDefault="003140FA" w14:paraId="5D82FCC1" w14:textId="77777777">
            <w:pPr>
              <w:jc w:val="right"/>
              <w:rPr>
                <w:sz w:val="20"/>
                <w:szCs w:val="20"/>
              </w:rPr>
            </w:pPr>
            <w:r w:rsidRPr="000C67D2">
              <w:rPr>
                <w:sz w:val="20"/>
                <w:szCs w:val="20"/>
              </w:rPr>
              <w:t>1</w:t>
            </w:r>
          </w:p>
        </w:tc>
        <w:tc>
          <w:tcPr>
            <w:tcW w:w="1237" w:type="dxa"/>
          </w:tcPr>
          <w:p w:rsidRPr="000C67D2" w:rsidR="003140FA" w:rsidP="00E83C20" w:rsidRDefault="003140FA" w14:paraId="052756FA" w14:textId="3C5549C8">
            <w:pPr>
              <w:jc w:val="right"/>
              <w:rPr>
                <w:sz w:val="20"/>
                <w:szCs w:val="20"/>
              </w:rPr>
            </w:pPr>
            <w:r>
              <w:rPr>
                <w:sz w:val="20"/>
                <w:szCs w:val="20"/>
              </w:rPr>
              <w:t>17</w:t>
            </w:r>
          </w:p>
        </w:tc>
        <w:tc>
          <w:tcPr>
            <w:tcW w:w="1080" w:type="dxa"/>
          </w:tcPr>
          <w:p w:rsidRPr="000C67D2" w:rsidR="003140FA" w:rsidP="00E83C20" w:rsidRDefault="003140FA" w14:paraId="514066A6" w14:textId="077A1045">
            <w:pPr>
              <w:jc w:val="right"/>
              <w:rPr>
                <w:sz w:val="20"/>
                <w:szCs w:val="20"/>
              </w:rPr>
            </w:pPr>
            <w:r>
              <w:rPr>
                <w:sz w:val="20"/>
                <w:szCs w:val="20"/>
              </w:rPr>
              <w:t>1.5</w:t>
            </w:r>
          </w:p>
        </w:tc>
        <w:tc>
          <w:tcPr>
            <w:tcW w:w="1170" w:type="dxa"/>
          </w:tcPr>
          <w:p w:rsidRPr="000C67D2" w:rsidR="003140FA" w:rsidP="00E83C20" w:rsidRDefault="003140FA" w14:paraId="2EAEC021" w14:textId="17ED2094">
            <w:pPr>
              <w:jc w:val="right"/>
              <w:rPr>
                <w:sz w:val="20"/>
                <w:szCs w:val="20"/>
              </w:rPr>
            </w:pPr>
            <w:r>
              <w:rPr>
                <w:sz w:val="20"/>
                <w:szCs w:val="20"/>
              </w:rPr>
              <w:t>2</w:t>
            </w:r>
            <w:r w:rsidR="00C1161C">
              <w:rPr>
                <w:sz w:val="20"/>
                <w:szCs w:val="20"/>
              </w:rPr>
              <w:t>6</w:t>
            </w:r>
          </w:p>
        </w:tc>
      </w:tr>
      <w:tr w:rsidRPr="00487318" w:rsidR="003140FA" w:rsidTr="00983ABF" w14:paraId="51623252" w14:textId="77777777">
        <w:trPr>
          <w:jc w:val="center"/>
        </w:trPr>
        <w:tc>
          <w:tcPr>
            <w:tcW w:w="1548" w:type="dxa"/>
          </w:tcPr>
          <w:p w:rsidRPr="00065E2D" w:rsidR="003140FA" w:rsidP="00E83C20" w:rsidRDefault="003140FA" w14:paraId="59729F09" w14:textId="77777777">
            <w:r w:rsidRPr="00065E2D">
              <w:rPr>
                <w:sz w:val="22"/>
                <w:szCs w:val="22"/>
              </w:rPr>
              <w:t>TOTAL</w:t>
            </w:r>
          </w:p>
        </w:tc>
        <w:tc>
          <w:tcPr>
            <w:tcW w:w="1440" w:type="dxa"/>
          </w:tcPr>
          <w:p w:rsidRPr="000C67D2" w:rsidR="003140FA" w:rsidP="000762DE" w:rsidRDefault="00C1161C" w14:paraId="1D4C003A" w14:textId="620C4A1E">
            <w:pPr>
              <w:jc w:val="right"/>
              <w:rPr>
                <w:sz w:val="20"/>
                <w:szCs w:val="20"/>
              </w:rPr>
            </w:pPr>
            <w:r w:rsidRPr="00C1161C">
              <w:rPr>
                <w:sz w:val="20"/>
                <w:szCs w:val="20"/>
              </w:rPr>
              <w:t xml:space="preserve">333 </w:t>
            </w:r>
          </w:p>
        </w:tc>
        <w:tc>
          <w:tcPr>
            <w:tcW w:w="1260" w:type="dxa"/>
          </w:tcPr>
          <w:p w:rsidRPr="000C67D2" w:rsidR="003140FA" w:rsidP="00E83C20" w:rsidRDefault="003140FA" w14:paraId="07B17063" w14:textId="77777777">
            <w:pPr>
              <w:jc w:val="right"/>
              <w:rPr>
                <w:sz w:val="20"/>
                <w:szCs w:val="20"/>
              </w:rPr>
            </w:pPr>
            <w:r w:rsidRPr="000C67D2">
              <w:rPr>
                <w:sz w:val="20"/>
                <w:szCs w:val="20"/>
              </w:rPr>
              <w:t>N.A.</w:t>
            </w:r>
          </w:p>
        </w:tc>
        <w:tc>
          <w:tcPr>
            <w:tcW w:w="1237" w:type="dxa"/>
          </w:tcPr>
          <w:p w:rsidRPr="000C67D2" w:rsidR="003140FA" w:rsidP="00987991" w:rsidRDefault="003140FA" w14:paraId="3D314C19" w14:textId="0C845CE9">
            <w:pPr>
              <w:jc w:val="right"/>
              <w:rPr>
                <w:sz w:val="20"/>
                <w:szCs w:val="20"/>
              </w:rPr>
            </w:pPr>
            <w:r w:rsidRPr="000C67D2">
              <w:rPr>
                <w:sz w:val="20"/>
                <w:szCs w:val="20"/>
              </w:rPr>
              <w:t>1,4</w:t>
            </w:r>
            <w:r>
              <w:rPr>
                <w:sz w:val="20"/>
                <w:szCs w:val="20"/>
              </w:rPr>
              <w:t>8</w:t>
            </w:r>
            <w:r w:rsidR="00C1161C">
              <w:rPr>
                <w:sz w:val="20"/>
                <w:szCs w:val="20"/>
              </w:rPr>
              <w:t>6</w:t>
            </w:r>
          </w:p>
        </w:tc>
        <w:tc>
          <w:tcPr>
            <w:tcW w:w="1080" w:type="dxa"/>
          </w:tcPr>
          <w:p w:rsidRPr="000C67D2" w:rsidR="003140FA" w:rsidP="00E83C20" w:rsidRDefault="003140FA" w14:paraId="27413586" w14:textId="77777777">
            <w:pPr>
              <w:jc w:val="right"/>
              <w:rPr>
                <w:sz w:val="20"/>
                <w:szCs w:val="20"/>
              </w:rPr>
            </w:pPr>
            <w:r w:rsidRPr="000C67D2">
              <w:rPr>
                <w:sz w:val="20"/>
                <w:szCs w:val="20"/>
              </w:rPr>
              <w:t>N.A.</w:t>
            </w:r>
          </w:p>
        </w:tc>
        <w:tc>
          <w:tcPr>
            <w:tcW w:w="1170" w:type="dxa"/>
          </w:tcPr>
          <w:p w:rsidRPr="000C67D2" w:rsidR="003140FA" w:rsidP="00C15FB4" w:rsidRDefault="00C1161C" w14:paraId="0BAF1260" w14:textId="4CECFB5C">
            <w:pPr>
              <w:jc w:val="right"/>
              <w:rPr>
                <w:sz w:val="20"/>
                <w:szCs w:val="20"/>
              </w:rPr>
            </w:pPr>
            <w:r w:rsidRPr="00C1161C">
              <w:rPr>
                <w:sz w:val="20"/>
                <w:szCs w:val="20"/>
              </w:rPr>
              <w:t xml:space="preserve">428 </w:t>
            </w:r>
          </w:p>
        </w:tc>
      </w:tr>
      <w:tr w:rsidRPr="00487318" w:rsidR="003140FA" w:rsidTr="00983ABF" w14:paraId="5FA75B3A" w14:textId="77777777">
        <w:trPr>
          <w:jc w:val="center"/>
        </w:trPr>
        <w:tc>
          <w:tcPr>
            <w:tcW w:w="7735" w:type="dxa"/>
            <w:gridSpan w:val="6"/>
          </w:tcPr>
          <w:p w:rsidRPr="00065E2D" w:rsidR="003140FA" w:rsidP="00E83C20" w:rsidRDefault="003140FA" w14:paraId="3F315ABE" w14:textId="77777777">
            <w:r w:rsidRPr="00065E2D">
              <w:rPr>
                <w:sz w:val="22"/>
                <w:szCs w:val="22"/>
              </w:rPr>
              <w:t>N.A. = Not Applicable.</w:t>
            </w:r>
          </w:p>
        </w:tc>
      </w:tr>
      <w:tr w:rsidRPr="00487318" w:rsidR="003140FA" w:rsidTr="00983ABF" w14:paraId="6906854C" w14:textId="77777777">
        <w:trPr>
          <w:jc w:val="center"/>
        </w:trPr>
        <w:tc>
          <w:tcPr>
            <w:tcW w:w="7735" w:type="dxa"/>
            <w:gridSpan w:val="6"/>
          </w:tcPr>
          <w:p w:rsidR="003140FA" w:rsidP="00814A2E" w:rsidRDefault="003140FA" w14:paraId="3263AFB7" w14:textId="35DD7B22">
            <w:r>
              <w:rPr>
                <w:sz w:val="22"/>
                <w:szCs w:val="22"/>
              </w:rPr>
              <w:t>Total Annual Responses =</w:t>
            </w:r>
            <w:r w:rsidRPr="000C67D2">
              <w:rPr>
                <w:sz w:val="20"/>
                <w:szCs w:val="20"/>
              </w:rPr>
              <w:t>1,4</w:t>
            </w:r>
            <w:r>
              <w:rPr>
                <w:sz w:val="20"/>
                <w:szCs w:val="20"/>
              </w:rPr>
              <w:t>8</w:t>
            </w:r>
            <w:r w:rsidR="008F7338">
              <w:rPr>
                <w:sz w:val="20"/>
                <w:szCs w:val="20"/>
              </w:rPr>
              <w:t>6</w:t>
            </w:r>
            <w:r w:rsidR="000239A7">
              <w:rPr>
                <w:sz w:val="20"/>
                <w:szCs w:val="20"/>
              </w:rPr>
              <w:t xml:space="preserve"> and </w:t>
            </w:r>
            <w:r w:rsidR="008F7338">
              <w:rPr>
                <w:sz w:val="20"/>
                <w:szCs w:val="20"/>
              </w:rPr>
              <w:t>42</w:t>
            </w:r>
            <w:r w:rsidR="000239A7">
              <w:rPr>
                <w:sz w:val="20"/>
                <w:szCs w:val="20"/>
              </w:rPr>
              <w:t>8 hours</w:t>
            </w:r>
          </w:p>
          <w:p w:rsidRPr="00814A2E" w:rsidR="003140FA" w:rsidP="00814A2E" w:rsidRDefault="003140FA" w14:paraId="3558CBAF" w14:textId="77777777">
            <w:pPr>
              <w:rPr>
                <w:i/>
                <w:sz w:val="20"/>
                <w:szCs w:val="20"/>
              </w:rPr>
            </w:pPr>
            <w:r>
              <w:rPr>
                <w:i/>
                <w:sz w:val="20"/>
                <w:szCs w:val="20"/>
              </w:rPr>
              <w:t>*</w:t>
            </w:r>
            <w:r w:rsidRPr="00814A2E">
              <w:rPr>
                <w:i/>
                <w:sz w:val="20"/>
                <w:szCs w:val="20"/>
              </w:rPr>
              <w:t>(both include Recordkeeping)</w:t>
            </w:r>
          </w:p>
        </w:tc>
      </w:tr>
    </w:tbl>
    <w:p w:rsidR="00052711" w:rsidP="00704BBE" w:rsidRDefault="00052711" w14:paraId="3A349B7D" w14:textId="77777777">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p>
    <w:p w:rsidR="00FA7213" w:rsidP="00704BBE" w:rsidRDefault="00FA7213" w14:paraId="0F3DCCF3" w14:textId="77777777">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FB4CE6" w:rsidP="007F2C22" w:rsidRDefault="00FB4CE6" w14:paraId="3A92468B" w14:textId="77777777">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Pr="00172688" w:rsidR="00FA7213" w:rsidP="00FA7213" w:rsidRDefault="00FA7213" w14:paraId="18A904CF" w14:textId="7BBB2D31">
      <w:pPr>
        <w:rPr>
          <w:szCs w:val="20"/>
        </w:rPr>
      </w:pPr>
      <w:r w:rsidRPr="00172688">
        <w:rPr>
          <w:szCs w:val="20"/>
        </w:rPr>
        <w:t>Based on data from the Bureau of Labor Statistics</w:t>
      </w:r>
      <w:r>
        <w:rPr>
          <w:szCs w:val="20"/>
        </w:rPr>
        <w:t xml:space="preserve"> for </w:t>
      </w:r>
      <w:r w:rsidR="000239A7">
        <w:rPr>
          <w:szCs w:val="20"/>
        </w:rPr>
        <w:t xml:space="preserve">professional and management services, </w:t>
      </w:r>
      <w:r w:rsidRPr="00172688">
        <w:rPr>
          <w:szCs w:val="20"/>
        </w:rPr>
        <w:t>a reasonable estimate of $</w:t>
      </w:r>
      <w:r w:rsidR="000239A7">
        <w:rPr>
          <w:szCs w:val="20"/>
        </w:rPr>
        <w:t xml:space="preserve">44.96 </w:t>
      </w:r>
      <w:r w:rsidRPr="00172688">
        <w:rPr>
          <w:szCs w:val="20"/>
        </w:rPr>
        <w:t xml:space="preserve">per hour has been used as the average cost for respondents' </w:t>
      </w:r>
      <w:r>
        <w:rPr>
          <w:szCs w:val="20"/>
        </w:rPr>
        <w:t>program</w:t>
      </w:r>
      <w:r w:rsidRPr="00172688">
        <w:rPr>
          <w:szCs w:val="20"/>
        </w:rPr>
        <w:t xml:space="preserve"> participation.  The total annual</w:t>
      </w:r>
      <w:r>
        <w:rPr>
          <w:szCs w:val="20"/>
        </w:rPr>
        <w:t xml:space="preserve"> estimated</w:t>
      </w:r>
      <w:r w:rsidRPr="00172688">
        <w:rPr>
          <w:szCs w:val="20"/>
        </w:rPr>
        <w:t xml:space="preserve"> burden in dollars is</w:t>
      </w:r>
      <w:r>
        <w:rPr>
          <w:szCs w:val="20"/>
        </w:rPr>
        <w:t xml:space="preserve"> </w:t>
      </w:r>
      <w:r w:rsidRPr="00A94115">
        <w:rPr>
          <w:szCs w:val="20"/>
        </w:rPr>
        <w:t>$</w:t>
      </w:r>
      <w:r w:rsidR="000239A7">
        <w:rPr>
          <w:szCs w:val="20"/>
        </w:rPr>
        <w:t>1</w:t>
      </w:r>
      <w:r w:rsidR="00894BCD">
        <w:rPr>
          <w:szCs w:val="20"/>
        </w:rPr>
        <w:t>9</w:t>
      </w:r>
      <w:r w:rsidR="000239A7">
        <w:rPr>
          <w:szCs w:val="20"/>
        </w:rPr>
        <w:t>,</w:t>
      </w:r>
      <w:r w:rsidR="007153A8">
        <w:rPr>
          <w:szCs w:val="20"/>
        </w:rPr>
        <w:t>2</w:t>
      </w:r>
      <w:r w:rsidR="009223F3">
        <w:rPr>
          <w:szCs w:val="20"/>
        </w:rPr>
        <w:t>21</w:t>
      </w:r>
      <w:r>
        <w:rPr>
          <w:szCs w:val="20"/>
        </w:rPr>
        <w:t xml:space="preserve">. </w:t>
      </w:r>
      <w:r w:rsidRPr="00172688">
        <w:rPr>
          <w:szCs w:val="20"/>
        </w:rPr>
        <w:t xml:space="preserve"> </w:t>
      </w:r>
    </w:p>
    <w:p w:rsidR="00FA7213" w:rsidP="007F2C22" w:rsidRDefault="00FA7213" w14:paraId="272A4986" w14:textId="77777777">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C04518" w:rsidP="00C04518" w:rsidRDefault="00052711" w14:paraId="1C5368BB" w14:textId="77777777">
      <w:pPr>
        <w:rPr>
          <w:b/>
          <w:bCs/>
        </w:rPr>
      </w:pPr>
      <w:r w:rsidRPr="007F2C22">
        <w:rPr>
          <w:b/>
        </w:rPr>
        <w:t xml:space="preserve">13.  </w:t>
      </w:r>
      <w:r w:rsidRPr="00C04518" w:rsidR="00C04518">
        <w:rPr>
          <w:b/>
          <w:bCs/>
        </w:rPr>
        <w:t xml:space="preserve"> </w:t>
      </w:r>
      <w:r w:rsidR="00C04518">
        <w:rPr>
          <w:b/>
          <w:bCs/>
        </w:rPr>
        <w:t>Provide an estimate of the total annual cost burden to respondents or recordkeepers resulting from the collection of information.  (Do not include the cost of any hour burden shown in Items 12 and 14).</w:t>
      </w:r>
    </w:p>
    <w:p w:rsidR="00C04518" w:rsidP="00C04518" w:rsidRDefault="00C04518" w14:paraId="46E5999C" w14:textId="77777777">
      <w:pPr>
        <w:rPr>
          <w:b/>
          <w:bCs/>
        </w:rPr>
      </w:pPr>
    </w:p>
    <w:p w:rsidRPr="00065F46" w:rsidR="00C04518" w:rsidP="00C04518" w:rsidRDefault="00C04518" w14:paraId="7142E10B" w14:textId="77777777">
      <w:pPr>
        <w:pStyle w:val="ListParagraph"/>
        <w:numPr>
          <w:ilvl w:val="0"/>
          <w:numId w:val="3"/>
        </w:numPr>
        <w:rPr>
          <w:b/>
          <w:bCs/>
        </w:rPr>
      </w:pPr>
      <w:r w:rsidRPr="00065F46">
        <w:rPr>
          <w:b/>
          <w:bCs/>
        </w:rPr>
        <w:t>The cost estimate should be split into two components: (a) a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the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collection information such as purchasing computers and software; monitoring, sampling, drilling and testing equipment; and record storage facilities.</w:t>
      </w:r>
    </w:p>
    <w:p w:rsidR="00C04518" w:rsidP="00C04518" w:rsidRDefault="00C04518" w14:paraId="2DC04800" w14:textId="77777777">
      <w:pPr>
        <w:rPr>
          <w:b/>
          <w:bCs/>
        </w:rPr>
      </w:pPr>
    </w:p>
    <w:p w:rsidR="00C04518" w:rsidP="00C04518" w:rsidRDefault="00C04518" w14:paraId="4496FC25" w14:textId="77777777">
      <w:pPr>
        <w:pStyle w:val="ListParagraph"/>
        <w:numPr>
          <w:ilvl w:val="0"/>
          <w:numId w:val="3"/>
        </w:numPr>
        <w:rPr>
          <w:b/>
          <w:bCs/>
        </w:rPr>
      </w:pPr>
      <w:r w:rsidRPr="00065F46">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65F46" w:rsidR="00C04518" w:rsidP="00C04518" w:rsidRDefault="00C04518" w14:paraId="6F53F09A" w14:textId="77777777">
      <w:pPr>
        <w:pStyle w:val="ListParagraph"/>
        <w:rPr>
          <w:b/>
          <w:bCs/>
        </w:rPr>
      </w:pPr>
    </w:p>
    <w:p w:rsidR="00C04518" w:rsidP="00C04518" w:rsidRDefault="00C04518" w14:paraId="024249FF" w14:textId="77777777">
      <w:pPr>
        <w:pStyle w:val="ListParagraph"/>
        <w:numPr>
          <w:ilvl w:val="0"/>
          <w:numId w:val="3"/>
        </w:numPr>
      </w:pPr>
      <w:r w:rsidRPr="00065F46">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w:t>
      </w:r>
      <w:r w:rsidRPr="00EC5CAB">
        <w:rPr>
          <w:b/>
          <w:bCs/>
        </w:rPr>
        <w:t xml:space="preserve"> (4) as part of customary and usual business or private practices.</w:t>
      </w:r>
    </w:p>
    <w:p w:rsidRPr="007F2C22" w:rsidR="00052711" w:rsidP="007F2C22" w:rsidRDefault="00052711" w14:paraId="441D6D77" w14:textId="77777777">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052711" w:rsidP="00344992" w:rsidRDefault="00052711" w14:paraId="37FD400E"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lastRenderedPageBreak/>
        <w:t>No capital startup costs are necessary.</w:t>
      </w:r>
    </w:p>
    <w:p w:rsidRPr="004D3481" w:rsidR="00052711" w:rsidP="00344992" w:rsidRDefault="00052711" w14:paraId="098F310E" w14:textId="77777777">
      <w:pPr>
        <w:pStyle w:val="PlainText"/>
        <w:rPr>
          <w:rFonts w:ascii="Times New Roman" w:hAnsi="Times New Roman" w:cs="Times New Roman"/>
          <w:sz w:val="24"/>
          <w:szCs w:val="24"/>
        </w:rPr>
      </w:pPr>
    </w:p>
    <w:p w:rsidRPr="00D4158F" w:rsidR="00052711" w:rsidP="00344992" w:rsidRDefault="00052711" w14:paraId="5559A300"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14</w:t>
      </w:r>
      <w:r w:rsidRPr="00D4158F">
        <w:rPr>
          <w:rFonts w:ascii="Times New Roman" w:hAnsi="Times New Roman" w:cs="Times New Roman"/>
          <w:b/>
          <w:sz w:val="24"/>
          <w:szCs w:val="24"/>
        </w:rPr>
        <w:t xml:space="preserve">.  </w:t>
      </w:r>
      <w:r w:rsidRPr="00D4158F" w:rsidR="00C04518">
        <w:rPr>
          <w:rFonts w:ascii="Times New Roman" w:hAnsi="Times New Roman" w:cs="Times New Roman"/>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4D3481" w:rsidR="00052711" w:rsidP="00704BBE" w:rsidRDefault="00052711" w14:paraId="6ACF2AB0" w14:textId="77777777">
      <w:pPr>
        <w:pStyle w:val="PlainText"/>
        <w:rPr>
          <w:rFonts w:ascii="Times New Roman" w:hAnsi="Times New Roman" w:cs="Times New Roman"/>
          <w:sz w:val="24"/>
          <w:szCs w:val="24"/>
        </w:rPr>
      </w:pPr>
    </w:p>
    <w:p w:rsidRPr="004D3481" w:rsidR="00052711" w:rsidP="00704BBE" w:rsidRDefault="00052711" w14:paraId="28A58D29" w14:textId="53380D0B">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Government officials are responsible for administering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Their annual salary (based on </w:t>
      </w:r>
      <w:r>
        <w:rPr>
          <w:rFonts w:ascii="Times New Roman" w:hAnsi="Times New Roman" w:cs="Times New Roman"/>
          <w:sz w:val="24"/>
          <w:szCs w:val="24"/>
        </w:rPr>
        <w:t>GS-13/</w:t>
      </w:r>
      <w:r w:rsidRPr="004D3481">
        <w:rPr>
          <w:rFonts w:ascii="Times New Roman" w:hAnsi="Times New Roman" w:cs="Times New Roman"/>
          <w:sz w:val="24"/>
          <w:szCs w:val="24"/>
        </w:rPr>
        <w:t xml:space="preserve">step 5) and estimated percentage of work hours devoted to the </w:t>
      </w:r>
      <w:r>
        <w:rPr>
          <w:rFonts w:ascii="Times New Roman" w:hAnsi="Times New Roman" w:cs="Times New Roman"/>
          <w:sz w:val="24"/>
          <w:szCs w:val="24"/>
        </w:rPr>
        <w:t>p</w:t>
      </w:r>
      <w:r w:rsidRPr="004D3481">
        <w:rPr>
          <w:rFonts w:ascii="Times New Roman" w:hAnsi="Times New Roman" w:cs="Times New Roman"/>
          <w:sz w:val="24"/>
          <w:szCs w:val="24"/>
        </w:rPr>
        <w:t>rogram result in an estimated FY 20</w:t>
      </w:r>
      <w:r w:rsidR="006A5E4D">
        <w:rPr>
          <w:rFonts w:ascii="Times New Roman" w:hAnsi="Times New Roman" w:cs="Times New Roman"/>
          <w:sz w:val="24"/>
          <w:szCs w:val="24"/>
        </w:rPr>
        <w:t>20</w:t>
      </w:r>
      <w:r w:rsidRPr="004D3481">
        <w:rPr>
          <w:rFonts w:ascii="Times New Roman" w:hAnsi="Times New Roman" w:cs="Times New Roman"/>
          <w:sz w:val="24"/>
          <w:szCs w:val="24"/>
        </w:rPr>
        <w:t xml:space="preserve"> cost of </w:t>
      </w:r>
      <w:r w:rsidRPr="006A5E4D" w:rsidR="006A5E4D">
        <w:rPr>
          <w:rFonts w:ascii="Times New Roman" w:hAnsi="Times New Roman" w:cs="Times New Roman"/>
          <w:sz w:val="24"/>
          <w:szCs w:val="24"/>
        </w:rPr>
        <w:t>$114,338</w:t>
      </w:r>
      <w:r w:rsidRPr="004D3481">
        <w:rPr>
          <w:rFonts w:ascii="Times New Roman" w:hAnsi="Times New Roman" w:cs="Times New Roman"/>
          <w:sz w:val="24"/>
          <w:szCs w:val="24"/>
        </w:rPr>
        <w:t xml:space="preserve">.  </w:t>
      </w:r>
      <w:r w:rsidR="00484F2A">
        <w:rPr>
          <w:rFonts w:ascii="Times New Roman" w:hAnsi="Times New Roman" w:cs="Times New Roman"/>
          <w:sz w:val="24"/>
          <w:szCs w:val="24"/>
        </w:rPr>
        <w:t xml:space="preserve">(Attachment </w:t>
      </w:r>
      <w:r w:rsidR="00A05710">
        <w:rPr>
          <w:rFonts w:ascii="Times New Roman" w:hAnsi="Times New Roman" w:cs="Times New Roman"/>
          <w:sz w:val="24"/>
          <w:szCs w:val="24"/>
        </w:rPr>
        <w:t>5</w:t>
      </w:r>
      <w:r w:rsidR="00484F2A">
        <w:rPr>
          <w:rFonts w:ascii="Times New Roman" w:hAnsi="Times New Roman" w:cs="Times New Roman"/>
          <w:sz w:val="24"/>
          <w:szCs w:val="24"/>
        </w:rPr>
        <w:t>)</w:t>
      </w:r>
    </w:p>
    <w:p w:rsidRPr="004D3481" w:rsidR="00052711" w:rsidP="00704BBE" w:rsidRDefault="00052711" w14:paraId="72253509" w14:textId="77777777">
      <w:pPr>
        <w:pStyle w:val="PlainText"/>
        <w:rPr>
          <w:rFonts w:ascii="Times New Roman" w:hAnsi="Times New Roman" w:cs="Times New Roman"/>
          <w:sz w:val="24"/>
          <w:szCs w:val="24"/>
        </w:rPr>
      </w:pPr>
    </w:p>
    <w:p w:rsidRPr="001A1700" w:rsidR="00C04518" w:rsidP="00C04518" w:rsidRDefault="00052711" w14:paraId="18707DA1" w14:textId="77777777">
      <w:pPr>
        <w:pStyle w:val="PlainText"/>
        <w:rPr>
          <w:rFonts w:ascii="Times New Roman" w:hAnsi="Times New Roman" w:cs="Times New Roman"/>
          <w:sz w:val="24"/>
          <w:szCs w:val="24"/>
        </w:rPr>
      </w:pPr>
      <w:r w:rsidRPr="00E83C20">
        <w:rPr>
          <w:rFonts w:ascii="Times New Roman" w:hAnsi="Times New Roman" w:cs="Times New Roman"/>
          <w:b/>
          <w:sz w:val="24"/>
          <w:szCs w:val="24"/>
        </w:rPr>
        <w:t xml:space="preserve">15.  </w:t>
      </w:r>
      <w:r w:rsidRPr="00C04518" w:rsidR="00C04518">
        <w:rPr>
          <w:b/>
          <w:bCs/>
        </w:rPr>
        <w:t xml:space="preserve"> </w:t>
      </w:r>
      <w:r w:rsidR="00C04518">
        <w:rPr>
          <w:rFonts w:ascii="Times New Roman" w:hAnsi="Times New Roman"/>
          <w:b/>
          <w:bCs/>
          <w:sz w:val="24"/>
        </w:rPr>
        <w:t>Explain the reasons for any program changes or adjustments reported in Items 13 or 14 of the OMB Form 83–I.</w:t>
      </w:r>
    </w:p>
    <w:p w:rsidRPr="00E83C20" w:rsidR="00052711" w:rsidP="00704BBE" w:rsidRDefault="00052711" w14:paraId="2E903792" w14:textId="77777777">
      <w:pPr>
        <w:pStyle w:val="PlainText"/>
        <w:rPr>
          <w:rFonts w:ascii="Times New Roman" w:hAnsi="Times New Roman" w:cs="Times New Roman"/>
          <w:b/>
          <w:sz w:val="24"/>
          <w:szCs w:val="24"/>
        </w:rPr>
      </w:pPr>
    </w:p>
    <w:p w:rsidR="00666C00" w:rsidP="008A69F2" w:rsidRDefault="00666C00" w14:paraId="6DB0AAB6" w14:textId="413B0D02">
      <w:r w:rsidRPr="000C22AD">
        <w:t xml:space="preserve">The number of responses </w:t>
      </w:r>
      <w:r w:rsidRPr="000C22AD" w:rsidR="00A34372">
        <w:t xml:space="preserve">increased slightly </w:t>
      </w:r>
      <w:r w:rsidRPr="000C22AD">
        <w:t xml:space="preserve">from </w:t>
      </w:r>
      <w:r w:rsidRPr="000C22AD" w:rsidR="004A2A78">
        <w:t>1,</w:t>
      </w:r>
      <w:r w:rsidRPr="000C22AD" w:rsidR="00A34372">
        <w:t>449</w:t>
      </w:r>
      <w:r w:rsidRPr="000C22AD" w:rsidR="000239A7">
        <w:t xml:space="preserve"> to 1,48</w:t>
      </w:r>
      <w:r w:rsidRPr="000C22AD" w:rsidR="007153A8">
        <w:t>6</w:t>
      </w:r>
      <w:r w:rsidRPr="000C22AD" w:rsidR="0023667D">
        <w:t>,</w:t>
      </w:r>
      <w:r w:rsidRPr="000C22AD">
        <w:t xml:space="preserve"> a </w:t>
      </w:r>
      <w:r w:rsidRPr="000C22AD" w:rsidR="00CB03EE">
        <w:t>gain of</w:t>
      </w:r>
      <w:r w:rsidRPr="000C22AD" w:rsidR="004A04CB">
        <w:t xml:space="preserve"> </w:t>
      </w:r>
      <w:r w:rsidRPr="000C22AD" w:rsidR="00D93598">
        <w:t>3</w:t>
      </w:r>
      <w:r w:rsidRPr="000C22AD" w:rsidR="007153A8">
        <w:t>7</w:t>
      </w:r>
      <w:r w:rsidRPr="000C22AD" w:rsidR="008A69F2">
        <w:t>.</w:t>
      </w:r>
      <w:r w:rsidRPr="000C22AD" w:rsidR="0023667D">
        <w:t xml:space="preserve"> </w:t>
      </w:r>
      <w:r w:rsidRPr="000C22AD" w:rsidR="008A69F2">
        <w:t xml:space="preserve"> Certain companies have increased their exporting through third-party exporters to sell their products overseas.  Use of this business strategy, included in the regulation, has contributed to generating slightly more responses</w:t>
      </w:r>
      <w:r w:rsidRPr="000C22AD" w:rsidR="00450DE8">
        <w:t xml:space="preserve">, which has also increased the number of respondents from </w:t>
      </w:r>
      <w:r w:rsidRPr="000C22AD" w:rsidR="00C1161C">
        <w:t>325</w:t>
      </w:r>
      <w:r w:rsidRPr="000C22AD" w:rsidR="00450DE8">
        <w:t xml:space="preserve"> to 3</w:t>
      </w:r>
      <w:r w:rsidRPr="000C22AD" w:rsidR="00CF7797">
        <w:t>33</w:t>
      </w:r>
      <w:r w:rsidRPr="000C22AD" w:rsidR="00450DE8">
        <w:t>, a</w:t>
      </w:r>
      <w:r w:rsidRPr="000C22AD" w:rsidR="007153A8">
        <w:t xml:space="preserve">n increase of </w:t>
      </w:r>
      <w:r w:rsidRPr="000C22AD" w:rsidR="00C1161C">
        <w:t>8</w:t>
      </w:r>
      <w:r w:rsidRPr="000C22AD" w:rsidR="007E60F4">
        <w:t xml:space="preserve">.  </w:t>
      </w:r>
      <w:r w:rsidRPr="000C22AD" w:rsidR="000C22AD">
        <w:t xml:space="preserve">Increased requests for waivers also contributed to the increase in responses.  </w:t>
      </w:r>
      <w:r w:rsidRPr="000C22AD" w:rsidR="008A69F2">
        <w:t>T</w:t>
      </w:r>
      <w:r w:rsidRPr="000C22AD">
        <w:t>he</w:t>
      </w:r>
      <w:r w:rsidRPr="000C22AD" w:rsidR="00D93598">
        <w:t xml:space="preserve"> </w:t>
      </w:r>
      <w:r w:rsidR="000C22AD">
        <w:t xml:space="preserve">increase in responses led to </w:t>
      </w:r>
      <w:r w:rsidR="00212AD3">
        <w:t xml:space="preserve">an increase in </w:t>
      </w:r>
      <w:r w:rsidRPr="000C22AD" w:rsidR="00D93598">
        <w:t>estimated</w:t>
      </w:r>
      <w:r w:rsidRPr="000C22AD">
        <w:t xml:space="preserve"> burden hours</w:t>
      </w:r>
      <w:r w:rsidRPr="000C22AD" w:rsidR="0023667D">
        <w:t xml:space="preserve"> </w:t>
      </w:r>
      <w:r w:rsidR="00212AD3">
        <w:t xml:space="preserve">from </w:t>
      </w:r>
      <w:r w:rsidRPr="000C22AD">
        <w:t>41</w:t>
      </w:r>
      <w:r w:rsidRPr="000C22AD" w:rsidR="00C1161C">
        <w:t>4</w:t>
      </w:r>
      <w:r w:rsidRPr="000C22AD" w:rsidR="0023667D">
        <w:t xml:space="preserve"> to</w:t>
      </w:r>
      <w:r w:rsidRPr="000C22AD" w:rsidR="001C586F">
        <w:t xml:space="preserve"> </w:t>
      </w:r>
      <w:r w:rsidRPr="000C22AD" w:rsidR="00454E2A">
        <w:t>4</w:t>
      </w:r>
      <w:r w:rsidRPr="000C22AD" w:rsidR="00C1161C">
        <w:t>28</w:t>
      </w:r>
      <w:r w:rsidR="00212AD3">
        <w:t>.</w:t>
      </w:r>
      <w:r w:rsidR="00894BCD">
        <w:t xml:space="preserve"> </w:t>
      </w:r>
    </w:p>
    <w:p w:rsidRPr="004D3481" w:rsidR="004A04CB" w:rsidP="00704BBE" w:rsidRDefault="004A04CB" w14:paraId="2D91FDAE" w14:textId="77777777">
      <w:pPr>
        <w:pStyle w:val="PlainText"/>
        <w:rPr>
          <w:rFonts w:ascii="Times New Roman" w:hAnsi="Times New Roman" w:cs="Times New Roman"/>
          <w:sz w:val="24"/>
          <w:szCs w:val="24"/>
        </w:rPr>
      </w:pPr>
    </w:p>
    <w:p w:rsidRPr="00E83C20" w:rsidR="00052711" w:rsidP="00704BBE" w:rsidRDefault="00052711" w14:paraId="54BDD5E6"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16.  </w:t>
      </w:r>
      <w:r w:rsidRPr="00C04518" w:rsidR="00C04518">
        <w:rPr>
          <w:rFonts w:ascii="Times New Roman" w:hAnsi="Times New Roman"/>
          <w:b/>
          <w:bCs/>
          <w:sz w:val="24"/>
        </w:rPr>
        <w:t xml:space="preserve"> </w:t>
      </w:r>
      <w:r w:rsidR="00C04518">
        <w:rPr>
          <w:rFonts w:ascii="Times New Roman" w:hAnsi="Times New Roman"/>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D3481" w:rsidR="00052711" w:rsidP="00704BBE" w:rsidRDefault="00052711" w14:paraId="11C3C2A8" w14:textId="77777777">
      <w:pPr>
        <w:pStyle w:val="PlainText"/>
        <w:rPr>
          <w:rFonts w:ascii="Times New Roman" w:hAnsi="Times New Roman" w:cs="Times New Roman"/>
          <w:sz w:val="24"/>
          <w:szCs w:val="24"/>
        </w:rPr>
      </w:pPr>
    </w:p>
    <w:p w:rsidR="00052711" w:rsidP="00704BBE" w:rsidRDefault="002C33B7" w14:paraId="1E0F624D" w14:textId="77777777">
      <w:pPr>
        <w:pStyle w:val="PlainText"/>
        <w:rPr>
          <w:rFonts w:ascii="Times New Roman" w:hAnsi="Times New Roman" w:cs="Times New Roman"/>
          <w:sz w:val="24"/>
          <w:szCs w:val="24"/>
        </w:rPr>
      </w:pPr>
      <w:r w:rsidRPr="002C33B7">
        <w:rPr>
          <w:rFonts w:ascii="Times New Roman" w:hAnsi="Times New Roman" w:cs="Times New Roman"/>
          <w:sz w:val="24"/>
          <w:szCs w:val="24"/>
        </w:rPr>
        <w:t>This collection of information will not be published.</w:t>
      </w:r>
    </w:p>
    <w:p w:rsidR="001D6C17" w:rsidP="00704BBE" w:rsidRDefault="001D6C17" w14:paraId="4F3AF173" w14:textId="77777777">
      <w:pPr>
        <w:pStyle w:val="PlainText"/>
        <w:rPr>
          <w:rFonts w:ascii="Times New Roman" w:hAnsi="Times New Roman" w:cs="Times New Roman"/>
          <w:sz w:val="24"/>
          <w:szCs w:val="24"/>
        </w:rPr>
      </w:pPr>
    </w:p>
    <w:p w:rsidRPr="00D4158F" w:rsidR="00052711" w:rsidP="00704BBE" w:rsidRDefault="00052711" w14:paraId="234D9B93" w14:textId="77777777">
      <w:pPr>
        <w:pStyle w:val="PlainText"/>
        <w:rPr>
          <w:rFonts w:ascii="Times New Roman" w:hAnsi="Times New Roman" w:cs="Times New Roman"/>
          <w:b/>
          <w:sz w:val="24"/>
          <w:szCs w:val="24"/>
        </w:rPr>
      </w:pPr>
      <w:r w:rsidRPr="00D4158F">
        <w:rPr>
          <w:rFonts w:ascii="Times New Roman" w:hAnsi="Times New Roman" w:cs="Times New Roman"/>
          <w:b/>
          <w:sz w:val="24"/>
          <w:szCs w:val="24"/>
        </w:rPr>
        <w:t xml:space="preserve">17.  </w:t>
      </w:r>
      <w:r w:rsidRPr="00D4158F" w:rsidR="00C04518">
        <w:rPr>
          <w:rFonts w:ascii="Times New Roman" w:hAnsi="Times New Roman" w:cs="Times New Roman"/>
          <w:b/>
          <w:bCs/>
          <w:sz w:val="24"/>
          <w:szCs w:val="24"/>
        </w:rPr>
        <w:t xml:space="preserve"> If seeking approval to not display the expiration date for OMB approval of the information collection, explain the reasons that display would be inappropriate.</w:t>
      </w:r>
    </w:p>
    <w:p w:rsidRPr="00D4158F" w:rsidR="00052711" w:rsidP="00704BBE" w:rsidRDefault="00052711" w14:paraId="73562539" w14:textId="77777777">
      <w:pPr>
        <w:pStyle w:val="PlainText"/>
        <w:rPr>
          <w:rFonts w:ascii="Times New Roman" w:hAnsi="Times New Roman" w:cs="Times New Roman"/>
          <w:sz w:val="24"/>
          <w:szCs w:val="24"/>
        </w:rPr>
      </w:pPr>
    </w:p>
    <w:p w:rsidR="00052711" w:rsidP="00704BBE" w:rsidRDefault="00565D80" w14:paraId="4ADEFF35" w14:textId="77777777">
      <w:pPr>
        <w:pStyle w:val="PlainText"/>
        <w:rPr>
          <w:rFonts w:ascii="Times New Roman" w:hAnsi="Times New Roman" w:cs="Times New Roman"/>
          <w:sz w:val="24"/>
          <w:szCs w:val="24"/>
        </w:rPr>
      </w:pPr>
      <w:r>
        <w:rPr>
          <w:rFonts w:ascii="Times New Roman" w:hAnsi="Times New Roman" w:cs="Times New Roman"/>
          <w:sz w:val="24"/>
          <w:szCs w:val="24"/>
        </w:rPr>
        <w:t>There are no forms in this collection.</w:t>
      </w:r>
    </w:p>
    <w:p w:rsidRPr="004D3481" w:rsidR="00052711" w:rsidP="00704BBE" w:rsidRDefault="00052711" w14:paraId="67F165B3" w14:textId="77777777">
      <w:pPr>
        <w:pStyle w:val="PlainText"/>
        <w:rPr>
          <w:rFonts w:ascii="Times New Roman" w:hAnsi="Times New Roman" w:cs="Times New Roman"/>
          <w:sz w:val="24"/>
          <w:szCs w:val="24"/>
        </w:rPr>
      </w:pPr>
    </w:p>
    <w:p w:rsidR="00C04518" w:rsidP="00C04518" w:rsidRDefault="00052711" w14:paraId="32D76EE0" w14:textId="77777777">
      <w:pPr>
        <w:rPr>
          <w:b/>
          <w:bCs/>
        </w:rPr>
      </w:pPr>
      <w:r w:rsidRPr="00E83C20">
        <w:rPr>
          <w:b/>
        </w:rPr>
        <w:t xml:space="preserve">18.  </w:t>
      </w:r>
      <w:r w:rsidRPr="00C04518" w:rsidR="00C04518">
        <w:rPr>
          <w:b/>
          <w:bCs/>
        </w:rPr>
        <w:t xml:space="preserve"> </w:t>
      </w:r>
      <w:r w:rsidR="00C04518">
        <w:rPr>
          <w:b/>
          <w:bCs/>
        </w:rPr>
        <w:t>Explain each exception to the certification statement identified in Item 19, “Certification for Paperwork Reduction Act Submissions” of OMB Form 83–1.</w:t>
      </w:r>
    </w:p>
    <w:p w:rsidRPr="004D3481" w:rsidR="00052711" w:rsidP="00704BBE" w:rsidRDefault="00052711" w14:paraId="0DC561F7"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There are no exceptions.</w:t>
      </w:r>
    </w:p>
    <w:p w:rsidRPr="004D3481" w:rsidR="00052711" w:rsidP="00704BBE" w:rsidRDefault="00052711" w14:paraId="684C0B5B" w14:textId="77777777">
      <w:pPr>
        <w:pStyle w:val="PlainText"/>
        <w:rPr>
          <w:rFonts w:ascii="Times New Roman" w:hAnsi="Times New Roman" w:cs="Times New Roman"/>
          <w:sz w:val="24"/>
          <w:szCs w:val="24"/>
        </w:rPr>
      </w:pPr>
    </w:p>
    <w:p w:rsidRPr="00CB15D7" w:rsidR="00052711" w:rsidP="00704BBE" w:rsidRDefault="00052711" w14:paraId="485C9EF7" w14:textId="77777777">
      <w:pPr>
        <w:pStyle w:val="PlainText"/>
        <w:rPr>
          <w:rFonts w:ascii="Times New Roman" w:hAnsi="Times New Roman" w:cs="Times New Roman"/>
          <w:b/>
          <w:sz w:val="24"/>
          <w:szCs w:val="24"/>
        </w:rPr>
      </w:pPr>
      <w:r w:rsidRPr="00CB15D7">
        <w:rPr>
          <w:rFonts w:ascii="Times New Roman" w:hAnsi="Times New Roman" w:cs="Times New Roman"/>
          <w:b/>
          <w:sz w:val="24"/>
          <w:szCs w:val="24"/>
        </w:rPr>
        <w:t>B.  COLLECTION OF INFORMATION EMPLOYING STATISTICAL METHODS</w:t>
      </w:r>
    </w:p>
    <w:p w:rsidRPr="004D3481" w:rsidR="00052711" w:rsidP="00704BBE" w:rsidRDefault="00052711" w14:paraId="244B3BB4" w14:textId="77777777">
      <w:pPr>
        <w:pStyle w:val="PlainText"/>
        <w:rPr>
          <w:rFonts w:ascii="Times New Roman" w:hAnsi="Times New Roman" w:cs="Times New Roman"/>
          <w:sz w:val="24"/>
          <w:szCs w:val="24"/>
        </w:rPr>
      </w:pPr>
    </w:p>
    <w:p w:rsidR="00052711" w:rsidP="00704BBE" w:rsidRDefault="00052711" w14:paraId="753E374A" w14:textId="77777777">
      <w:r w:rsidRPr="004D3481">
        <w:t>The collection of data does not employ statistical methods.</w:t>
      </w:r>
    </w:p>
    <w:sectPr w:rsidR="00052711" w:rsidSect="00A05710">
      <w:headerReference w:type="default" r:id="rId9"/>
      <w:footerReference w:type="default" r:id="rId10"/>
      <w:pgSz w:w="12240" w:h="15840"/>
      <w:pgMar w:top="72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0DB2D" w14:textId="77777777" w:rsidR="00052711" w:rsidRDefault="00052711" w:rsidP="00E83C20">
      <w:r>
        <w:separator/>
      </w:r>
    </w:p>
  </w:endnote>
  <w:endnote w:type="continuationSeparator" w:id="0">
    <w:p w14:paraId="76AC09D7" w14:textId="77777777" w:rsidR="00052711" w:rsidRDefault="00052711" w:rsidP="00E8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6321"/>
      <w:docPartObj>
        <w:docPartGallery w:val="Page Numbers (Bottom of Page)"/>
        <w:docPartUnique/>
      </w:docPartObj>
    </w:sdtPr>
    <w:sdtEndPr>
      <w:rPr>
        <w:noProof/>
      </w:rPr>
    </w:sdtEndPr>
    <w:sdtContent>
      <w:p w14:paraId="4ED9D673" w14:textId="77777777" w:rsidR="008E6210" w:rsidRDefault="008E6210">
        <w:pPr>
          <w:pStyle w:val="Footer"/>
          <w:jc w:val="center"/>
        </w:pPr>
        <w:r>
          <w:fldChar w:fldCharType="begin"/>
        </w:r>
        <w:r>
          <w:instrText xml:space="preserve"> PAGE   \* MERGEFORMAT </w:instrText>
        </w:r>
        <w:r>
          <w:fldChar w:fldCharType="separate"/>
        </w:r>
        <w:r w:rsidR="00FA7213">
          <w:rPr>
            <w:noProof/>
          </w:rPr>
          <w:t>7</w:t>
        </w:r>
        <w:r>
          <w:rPr>
            <w:noProof/>
          </w:rPr>
          <w:fldChar w:fldCharType="end"/>
        </w:r>
      </w:p>
    </w:sdtContent>
  </w:sdt>
  <w:p w14:paraId="1604C89B" w14:textId="77777777" w:rsidR="008E6210" w:rsidRDefault="008E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BF5FC" w14:textId="77777777" w:rsidR="00052711" w:rsidRDefault="00052711" w:rsidP="00E83C20">
      <w:r>
        <w:separator/>
      </w:r>
    </w:p>
  </w:footnote>
  <w:footnote w:type="continuationSeparator" w:id="0">
    <w:p w14:paraId="3D3DE139" w14:textId="77777777" w:rsidR="00052711" w:rsidRDefault="00052711" w:rsidP="00E8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DB62D" w14:textId="77777777" w:rsidR="00027CFC" w:rsidRDefault="00411E08" w:rsidP="00027CFC">
    <w:pPr>
      <w:pStyle w:val="Header"/>
      <w:jc w:val="right"/>
    </w:pPr>
    <w:r>
      <w:t xml:space="preserve">Paperwork Reduction Act Submission </w:t>
    </w:r>
    <w:r w:rsidR="00027CFC">
      <w:t xml:space="preserve">OMB </w:t>
    </w:r>
    <w:r>
      <w:t>##</w:t>
    </w:r>
    <w:r w:rsidR="00027CFC">
      <w:t xml:space="preserve"> 0551-0015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5647F"/>
    <w:multiLevelType w:val="hybridMultilevel"/>
    <w:tmpl w:val="29B0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23FA3"/>
    <w:multiLevelType w:val="hybridMultilevel"/>
    <w:tmpl w:val="BA1C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F02B8"/>
    <w:multiLevelType w:val="hybridMultilevel"/>
    <w:tmpl w:val="9114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47FEE"/>
    <w:multiLevelType w:val="hybridMultilevel"/>
    <w:tmpl w:val="9F3A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32"/>
    <w:rsid w:val="00013CE7"/>
    <w:rsid w:val="0002383C"/>
    <w:rsid w:val="000239A7"/>
    <w:rsid w:val="000270A2"/>
    <w:rsid w:val="00027B4B"/>
    <w:rsid w:val="00027CFC"/>
    <w:rsid w:val="00052711"/>
    <w:rsid w:val="00053563"/>
    <w:rsid w:val="00056234"/>
    <w:rsid w:val="000654B2"/>
    <w:rsid w:val="00065E2D"/>
    <w:rsid w:val="000762DE"/>
    <w:rsid w:val="000A37E4"/>
    <w:rsid w:val="000B65D2"/>
    <w:rsid w:val="000C22AD"/>
    <w:rsid w:val="000C67D2"/>
    <w:rsid w:val="000D735D"/>
    <w:rsid w:val="000E19EA"/>
    <w:rsid w:val="000E1FFD"/>
    <w:rsid w:val="00126D94"/>
    <w:rsid w:val="00150EFB"/>
    <w:rsid w:val="001546CA"/>
    <w:rsid w:val="00161F0F"/>
    <w:rsid w:val="00183E22"/>
    <w:rsid w:val="001B3C64"/>
    <w:rsid w:val="001C586F"/>
    <w:rsid w:val="001D0727"/>
    <w:rsid w:val="001D2031"/>
    <w:rsid w:val="001D6C17"/>
    <w:rsid w:val="00212AD3"/>
    <w:rsid w:val="00227A53"/>
    <w:rsid w:val="0023667D"/>
    <w:rsid w:val="0023765D"/>
    <w:rsid w:val="002453E4"/>
    <w:rsid w:val="00260778"/>
    <w:rsid w:val="00265415"/>
    <w:rsid w:val="00290506"/>
    <w:rsid w:val="002A2924"/>
    <w:rsid w:val="002B05E1"/>
    <w:rsid w:val="002C1768"/>
    <w:rsid w:val="002C2E1A"/>
    <w:rsid w:val="002C2F78"/>
    <w:rsid w:val="002C33B7"/>
    <w:rsid w:val="002D5BBD"/>
    <w:rsid w:val="002D7A93"/>
    <w:rsid w:val="002F196D"/>
    <w:rsid w:val="002F3556"/>
    <w:rsid w:val="003104AB"/>
    <w:rsid w:val="003140FA"/>
    <w:rsid w:val="003330E7"/>
    <w:rsid w:val="0033667B"/>
    <w:rsid w:val="00340F48"/>
    <w:rsid w:val="003435E7"/>
    <w:rsid w:val="00344992"/>
    <w:rsid w:val="00365AD2"/>
    <w:rsid w:val="003A4846"/>
    <w:rsid w:val="003C0232"/>
    <w:rsid w:val="003C35EA"/>
    <w:rsid w:val="003D3D8F"/>
    <w:rsid w:val="003D6D1B"/>
    <w:rsid w:val="003F0070"/>
    <w:rsid w:val="00405537"/>
    <w:rsid w:val="00411E08"/>
    <w:rsid w:val="004248E5"/>
    <w:rsid w:val="00442034"/>
    <w:rsid w:val="00450AD4"/>
    <w:rsid w:val="00450DE8"/>
    <w:rsid w:val="00454E2A"/>
    <w:rsid w:val="004732F5"/>
    <w:rsid w:val="00473D59"/>
    <w:rsid w:val="004820FC"/>
    <w:rsid w:val="00484F2A"/>
    <w:rsid w:val="00487318"/>
    <w:rsid w:val="004A04CB"/>
    <w:rsid w:val="004A2A78"/>
    <w:rsid w:val="004A7129"/>
    <w:rsid w:val="004D3481"/>
    <w:rsid w:val="004E2D9F"/>
    <w:rsid w:val="005165E2"/>
    <w:rsid w:val="0053686B"/>
    <w:rsid w:val="00537FE5"/>
    <w:rsid w:val="00542F4A"/>
    <w:rsid w:val="00565D80"/>
    <w:rsid w:val="0057320A"/>
    <w:rsid w:val="00583116"/>
    <w:rsid w:val="005877AD"/>
    <w:rsid w:val="005B4A4C"/>
    <w:rsid w:val="005F3932"/>
    <w:rsid w:val="00644C7D"/>
    <w:rsid w:val="00651803"/>
    <w:rsid w:val="00666C00"/>
    <w:rsid w:val="0068456C"/>
    <w:rsid w:val="00694B7D"/>
    <w:rsid w:val="006A3CB7"/>
    <w:rsid w:val="006A5E4D"/>
    <w:rsid w:val="006A72CA"/>
    <w:rsid w:val="006D54F7"/>
    <w:rsid w:val="00704BBE"/>
    <w:rsid w:val="007153A8"/>
    <w:rsid w:val="00734DC7"/>
    <w:rsid w:val="00744249"/>
    <w:rsid w:val="007443EA"/>
    <w:rsid w:val="00792A5C"/>
    <w:rsid w:val="007A01D1"/>
    <w:rsid w:val="007A225F"/>
    <w:rsid w:val="007A5D85"/>
    <w:rsid w:val="007C4BE7"/>
    <w:rsid w:val="007D0EF4"/>
    <w:rsid w:val="007E60F4"/>
    <w:rsid w:val="007F2C22"/>
    <w:rsid w:val="007F71C7"/>
    <w:rsid w:val="0080047D"/>
    <w:rsid w:val="00814A2E"/>
    <w:rsid w:val="008410C8"/>
    <w:rsid w:val="0084312C"/>
    <w:rsid w:val="00844A2B"/>
    <w:rsid w:val="008502F4"/>
    <w:rsid w:val="00851201"/>
    <w:rsid w:val="008677CE"/>
    <w:rsid w:val="0087519C"/>
    <w:rsid w:val="00885286"/>
    <w:rsid w:val="00892602"/>
    <w:rsid w:val="00892BA6"/>
    <w:rsid w:val="00894BCD"/>
    <w:rsid w:val="008A41B4"/>
    <w:rsid w:val="008A69F2"/>
    <w:rsid w:val="008E6210"/>
    <w:rsid w:val="008F7338"/>
    <w:rsid w:val="009223F3"/>
    <w:rsid w:val="00945FE4"/>
    <w:rsid w:val="00952AAF"/>
    <w:rsid w:val="00953B66"/>
    <w:rsid w:val="00955F1F"/>
    <w:rsid w:val="00961896"/>
    <w:rsid w:val="00966FAC"/>
    <w:rsid w:val="00983ABF"/>
    <w:rsid w:val="00987991"/>
    <w:rsid w:val="0099471D"/>
    <w:rsid w:val="009B6E69"/>
    <w:rsid w:val="009C327F"/>
    <w:rsid w:val="009D3756"/>
    <w:rsid w:val="00A05710"/>
    <w:rsid w:val="00A06496"/>
    <w:rsid w:val="00A068CE"/>
    <w:rsid w:val="00A121A1"/>
    <w:rsid w:val="00A34372"/>
    <w:rsid w:val="00A41941"/>
    <w:rsid w:val="00A65C50"/>
    <w:rsid w:val="00A712E7"/>
    <w:rsid w:val="00A977C8"/>
    <w:rsid w:val="00AB49ED"/>
    <w:rsid w:val="00AB5D87"/>
    <w:rsid w:val="00AD309C"/>
    <w:rsid w:val="00AE2D0B"/>
    <w:rsid w:val="00AE5702"/>
    <w:rsid w:val="00AF6CDE"/>
    <w:rsid w:val="00B7335F"/>
    <w:rsid w:val="00B73A26"/>
    <w:rsid w:val="00BC44C5"/>
    <w:rsid w:val="00BF650E"/>
    <w:rsid w:val="00C04518"/>
    <w:rsid w:val="00C05F31"/>
    <w:rsid w:val="00C074C9"/>
    <w:rsid w:val="00C1161C"/>
    <w:rsid w:val="00C14715"/>
    <w:rsid w:val="00C15FB4"/>
    <w:rsid w:val="00C16ED2"/>
    <w:rsid w:val="00C22FF5"/>
    <w:rsid w:val="00C36FF0"/>
    <w:rsid w:val="00C40ABD"/>
    <w:rsid w:val="00C532D4"/>
    <w:rsid w:val="00C82F66"/>
    <w:rsid w:val="00C83327"/>
    <w:rsid w:val="00C90D0A"/>
    <w:rsid w:val="00CB03EE"/>
    <w:rsid w:val="00CB15D7"/>
    <w:rsid w:val="00CF2E2E"/>
    <w:rsid w:val="00CF518E"/>
    <w:rsid w:val="00CF7797"/>
    <w:rsid w:val="00D042A5"/>
    <w:rsid w:val="00D22C4D"/>
    <w:rsid w:val="00D23139"/>
    <w:rsid w:val="00D4158F"/>
    <w:rsid w:val="00D5449E"/>
    <w:rsid w:val="00D93598"/>
    <w:rsid w:val="00D96F29"/>
    <w:rsid w:val="00DA77B9"/>
    <w:rsid w:val="00DC4A99"/>
    <w:rsid w:val="00DF3A1C"/>
    <w:rsid w:val="00E57519"/>
    <w:rsid w:val="00E83C20"/>
    <w:rsid w:val="00EF755C"/>
    <w:rsid w:val="00F026C4"/>
    <w:rsid w:val="00F208F7"/>
    <w:rsid w:val="00F515A3"/>
    <w:rsid w:val="00F52C7F"/>
    <w:rsid w:val="00F62099"/>
    <w:rsid w:val="00F959D7"/>
    <w:rsid w:val="00FA3131"/>
    <w:rsid w:val="00FA7213"/>
    <w:rsid w:val="00FB2B3B"/>
    <w:rsid w:val="00FB3F1C"/>
    <w:rsid w:val="00FB4CE6"/>
    <w:rsid w:val="00FB71E4"/>
    <w:rsid w:val="00FC1FEE"/>
    <w:rsid w:val="00FC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DF972"/>
  <w15:docId w15:val="{B9B78135-CB9B-425D-A500-8C6F6315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32"/>
    <w:rPr>
      <w:rFonts w:ascii="Times New Roman" w:eastAsia="Times New Roman" w:hAnsi="Times New Roman"/>
      <w:sz w:val="24"/>
      <w:szCs w:val="24"/>
    </w:rPr>
  </w:style>
  <w:style w:type="paragraph" w:styleId="Heading2">
    <w:name w:val="heading 2"/>
    <w:basedOn w:val="Normal"/>
    <w:link w:val="Heading2Char"/>
    <w:uiPriority w:val="99"/>
    <w:qFormat/>
    <w:locked/>
    <w:rsid w:val="00C0451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023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C0232"/>
    <w:rPr>
      <w:rFonts w:ascii="Courier New" w:hAnsi="Courier New" w:cs="Courier New"/>
      <w:sz w:val="20"/>
      <w:szCs w:val="20"/>
    </w:rPr>
  </w:style>
  <w:style w:type="paragraph" w:customStyle="1" w:styleId="1Paragraph">
    <w:name w:val="1Paragraph"/>
    <w:uiPriority w:val="99"/>
    <w:rsid w:val="003C0232"/>
    <w:pPr>
      <w:widowControl w:val="0"/>
      <w:tabs>
        <w:tab w:val="left" w:pos="720"/>
      </w:tabs>
      <w:autoSpaceDE w:val="0"/>
      <w:autoSpaceDN w:val="0"/>
      <w:adjustRightInd w:val="0"/>
      <w:ind w:left="720" w:hanging="720"/>
    </w:pPr>
    <w:rPr>
      <w:rFonts w:ascii="Times New Roman" w:eastAsia="Times New Roman" w:hAnsi="Times New Roman"/>
      <w:sz w:val="20"/>
      <w:szCs w:val="24"/>
    </w:rPr>
  </w:style>
  <w:style w:type="paragraph" w:styleId="Header">
    <w:name w:val="header"/>
    <w:basedOn w:val="Normal"/>
    <w:link w:val="HeaderChar"/>
    <w:uiPriority w:val="99"/>
    <w:semiHidden/>
    <w:rsid w:val="00E83C20"/>
    <w:pPr>
      <w:tabs>
        <w:tab w:val="center" w:pos="4680"/>
        <w:tab w:val="right" w:pos="9360"/>
      </w:tabs>
    </w:pPr>
  </w:style>
  <w:style w:type="character" w:customStyle="1" w:styleId="HeaderChar">
    <w:name w:val="Header Char"/>
    <w:basedOn w:val="DefaultParagraphFont"/>
    <w:link w:val="Header"/>
    <w:uiPriority w:val="99"/>
    <w:semiHidden/>
    <w:locked/>
    <w:rsid w:val="00E83C20"/>
    <w:rPr>
      <w:rFonts w:ascii="Times New Roman" w:hAnsi="Times New Roman" w:cs="Times New Roman"/>
      <w:sz w:val="24"/>
      <w:szCs w:val="24"/>
    </w:rPr>
  </w:style>
  <w:style w:type="paragraph" w:styleId="Footer">
    <w:name w:val="footer"/>
    <w:basedOn w:val="Normal"/>
    <w:link w:val="FooterChar"/>
    <w:uiPriority w:val="99"/>
    <w:rsid w:val="00E83C20"/>
    <w:pPr>
      <w:tabs>
        <w:tab w:val="center" w:pos="4680"/>
        <w:tab w:val="right" w:pos="9360"/>
      </w:tabs>
    </w:pPr>
  </w:style>
  <w:style w:type="character" w:customStyle="1" w:styleId="FooterChar">
    <w:name w:val="Footer Char"/>
    <w:basedOn w:val="DefaultParagraphFont"/>
    <w:link w:val="Footer"/>
    <w:uiPriority w:val="99"/>
    <w:locked/>
    <w:rsid w:val="00E83C20"/>
    <w:rPr>
      <w:rFonts w:ascii="Times New Roman" w:hAnsi="Times New Roman" w:cs="Times New Roman"/>
      <w:sz w:val="24"/>
      <w:szCs w:val="24"/>
    </w:rPr>
  </w:style>
  <w:style w:type="character" w:styleId="Hyperlink">
    <w:name w:val="Hyperlink"/>
    <w:basedOn w:val="DefaultParagraphFont"/>
    <w:uiPriority w:val="99"/>
    <w:rsid w:val="00265415"/>
    <w:rPr>
      <w:rFonts w:cs="Times New Roman"/>
      <w:color w:val="0000FF"/>
      <w:u w:val="single"/>
    </w:rPr>
  </w:style>
  <w:style w:type="paragraph" w:styleId="BalloonText">
    <w:name w:val="Balloon Text"/>
    <w:basedOn w:val="Normal"/>
    <w:link w:val="BalloonTextChar"/>
    <w:uiPriority w:val="99"/>
    <w:semiHidden/>
    <w:unhideWhenUsed/>
    <w:rsid w:val="000654B2"/>
    <w:rPr>
      <w:rFonts w:ascii="Tahoma" w:hAnsi="Tahoma" w:cs="Tahoma"/>
      <w:sz w:val="16"/>
      <w:szCs w:val="16"/>
    </w:rPr>
  </w:style>
  <w:style w:type="character" w:customStyle="1" w:styleId="BalloonTextChar">
    <w:name w:val="Balloon Text Char"/>
    <w:basedOn w:val="DefaultParagraphFont"/>
    <w:link w:val="BalloonText"/>
    <w:uiPriority w:val="99"/>
    <w:semiHidden/>
    <w:rsid w:val="000654B2"/>
    <w:rPr>
      <w:rFonts w:ascii="Tahoma" w:eastAsia="Times New Roman" w:hAnsi="Tahoma" w:cs="Tahoma"/>
      <w:sz w:val="16"/>
      <w:szCs w:val="16"/>
    </w:rPr>
  </w:style>
  <w:style w:type="character" w:customStyle="1" w:styleId="Heading2Char">
    <w:name w:val="Heading 2 Char"/>
    <w:basedOn w:val="DefaultParagraphFont"/>
    <w:link w:val="Heading2"/>
    <w:uiPriority w:val="99"/>
    <w:rsid w:val="00C04518"/>
    <w:rPr>
      <w:rFonts w:ascii="Times New Roman" w:eastAsia="Times New Roman" w:hAnsi="Times New Roman"/>
      <w:b/>
      <w:bCs/>
      <w:sz w:val="36"/>
      <w:szCs w:val="36"/>
    </w:rPr>
  </w:style>
  <w:style w:type="paragraph" w:styleId="ListParagraph">
    <w:name w:val="List Paragraph"/>
    <w:basedOn w:val="Normal"/>
    <w:uiPriority w:val="99"/>
    <w:qFormat/>
    <w:rsid w:val="00C04518"/>
    <w:pPr>
      <w:ind w:left="720"/>
      <w:contextualSpacing/>
    </w:pPr>
  </w:style>
  <w:style w:type="character" w:styleId="CommentReference">
    <w:name w:val="annotation reference"/>
    <w:basedOn w:val="DefaultParagraphFont"/>
    <w:uiPriority w:val="99"/>
    <w:semiHidden/>
    <w:unhideWhenUsed/>
    <w:rsid w:val="00DC4A99"/>
    <w:rPr>
      <w:sz w:val="16"/>
      <w:szCs w:val="16"/>
    </w:rPr>
  </w:style>
  <w:style w:type="paragraph" w:styleId="CommentText">
    <w:name w:val="annotation text"/>
    <w:basedOn w:val="Normal"/>
    <w:link w:val="CommentTextChar"/>
    <w:uiPriority w:val="99"/>
    <w:semiHidden/>
    <w:unhideWhenUsed/>
    <w:rsid w:val="00DC4A99"/>
    <w:rPr>
      <w:sz w:val="20"/>
      <w:szCs w:val="20"/>
    </w:rPr>
  </w:style>
  <w:style w:type="character" w:customStyle="1" w:styleId="CommentTextChar">
    <w:name w:val="Comment Text Char"/>
    <w:basedOn w:val="DefaultParagraphFont"/>
    <w:link w:val="CommentText"/>
    <w:uiPriority w:val="99"/>
    <w:semiHidden/>
    <w:rsid w:val="00DC4A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4A99"/>
    <w:rPr>
      <w:b/>
      <w:bCs/>
    </w:rPr>
  </w:style>
  <w:style w:type="character" w:customStyle="1" w:styleId="CommentSubjectChar">
    <w:name w:val="Comment Subject Char"/>
    <w:basedOn w:val="CommentTextChar"/>
    <w:link w:val="CommentSubject"/>
    <w:uiPriority w:val="99"/>
    <w:semiHidden/>
    <w:rsid w:val="00DC4A99"/>
    <w:rPr>
      <w:rFonts w:ascii="Times New Roman" w:eastAsia="Times New Roman" w:hAnsi="Times New Roman"/>
      <w:b/>
      <w:bCs/>
      <w:sz w:val="20"/>
      <w:szCs w:val="20"/>
    </w:rPr>
  </w:style>
  <w:style w:type="table" w:styleId="TableGrid">
    <w:name w:val="Table Grid"/>
    <w:basedOn w:val="TableNormal"/>
    <w:uiPriority w:val="39"/>
    <w:locked/>
    <w:rsid w:val="00450AD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usda.gov/sugars/fassugars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F272-E25D-4CFF-9913-C94E488A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3819</Words>
  <Characters>21902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Thompsont</dc:creator>
  <cp:lastModifiedBy>Croushorn, Ron - FAS, Washington, DC</cp:lastModifiedBy>
  <cp:revision>3</cp:revision>
  <cp:lastPrinted>2018-06-22T15:24:00Z</cp:lastPrinted>
  <dcterms:created xsi:type="dcterms:W3CDTF">2021-08-25T13:04:00Z</dcterms:created>
  <dcterms:modified xsi:type="dcterms:W3CDTF">2021-08-25T14:51:00Z</dcterms:modified>
</cp:coreProperties>
</file>