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5D9C" w:rsidP="008B1B66" w:rsidRDefault="00E05D9C" w14:paraId="1C141AC2" w14:textId="337F67E0">
      <w:pPr>
        <w:jc w:val="center"/>
      </w:pPr>
      <w:r>
        <w:t>U</w:t>
      </w:r>
      <w:r w:rsidR="0038665D">
        <w:t>.</w:t>
      </w:r>
      <w:r>
        <w:t>S</w:t>
      </w:r>
      <w:r w:rsidR="0038665D">
        <w:t>.</w:t>
      </w:r>
      <w:r>
        <w:t xml:space="preserve"> Food and Drug Administration</w:t>
      </w:r>
    </w:p>
    <w:p w:rsidR="008B1B66" w:rsidP="008B1B66" w:rsidRDefault="007D3E7A" w14:paraId="3C2A378B" w14:textId="3861D423">
      <w:pPr>
        <w:jc w:val="center"/>
      </w:pPr>
      <w:r w:rsidRPr="00282605">
        <w:t>Survey on the Occurrence of Foodborne Illness Risks Factors in Selected Institutional Foodservice and Retail Food Stores Facility Types</w:t>
      </w:r>
      <w:r w:rsidRPr="00136A70" w:rsidDel="007D3E7A">
        <w:t xml:space="preserve"> </w:t>
      </w:r>
    </w:p>
    <w:p w:rsidRPr="009A1674" w:rsidR="007D3E7A" w:rsidP="008B1B66" w:rsidRDefault="007D3E7A" w14:paraId="3AA1A00B" w14:textId="77777777">
      <w:pPr>
        <w:jc w:val="center"/>
      </w:pPr>
    </w:p>
    <w:p w:rsidR="008B1B66" w:rsidP="008B1B66" w:rsidRDefault="002F24EA" w14:paraId="6585A9F3" w14:textId="34AF4345">
      <w:pPr>
        <w:jc w:val="center"/>
      </w:pPr>
      <w:r>
        <w:t xml:space="preserve">OMB Control No. </w:t>
      </w:r>
      <w:r w:rsidRPr="009A1674" w:rsidR="008B1B66">
        <w:t>0910-</w:t>
      </w:r>
      <w:r w:rsidR="008B1B66">
        <w:t>07</w:t>
      </w:r>
      <w:r w:rsidR="007D3E7A">
        <w:t>99</w:t>
      </w:r>
    </w:p>
    <w:p w:rsidRPr="009A1674" w:rsidR="00B23769" w:rsidP="00B23769" w:rsidRDefault="00B23769" w14:paraId="53D5B4F4" w14:textId="77777777">
      <w:pPr>
        <w:jc w:val="center"/>
      </w:pPr>
    </w:p>
    <w:p w:rsidR="00AF59D3" w:rsidP="00AF59D3" w:rsidRDefault="00AF59D3" w14:paraId="5891AFE0" w14:textId="6E83B27D">
      <w:pPr>
        <w:rPr>
          <w:b/>
          <w:color w:val="000000" w:themeColor="text1"/>
        </w:rPr>
      </w:pPr>
      <w:r>
        <w:t>SUPPORTING STATEMENT</w:t>
      </w:r>
      <w:r>
        <w:rPr>
          <w:b/>
        </w:rPr>
        <w:t xml:space="preserve"> </w:t>
      </w:r>
      <w:proofErr w:type="gramStart"/>
      <w:r>
        <w:rPr>
          <w:b/>
        </w:rPr>
        <w:t>Part</w:t>
      </w:r>
      <w:proofErr w:type="gramEnd"/>
      <w:r>
        <w:rPr>
          <w:b/>
        </w:rPr>
        <w:t xml:space="preserve"> A: Justification</w:t>
      </w:r>
    </w:p>
    <w:p w:rsidR="00810FF1" w:rsidP="00B23769" w:rsidRDefault="00810FF1" w14:paraId="3948D627" w14:textId="77777777">
      <w:pPr>
        <w:jc w:val="center"/>
        <w:rPr>
          <w:b/>
        </w:rPr>
      </w:pPr>
    </w:p>
    <w:p w:rsidR="008B1B66" w:rsidP="008B1B66" w:rsidRDefault="00810FF1" w14:paraId="22D35E7E" w14:textId="4D6359EC">
      <w:pPr>
        <w:rPr>
          <w:b/>
          <w:bCs/>
        </w:rPr>
      </w:pPr>
      <w:r>
        <w:rPr>
          <w:b/>
        </w:rPr>
        <w:t xml:space="preserve">Terms of Clearance: </w:t>
      </w:r>
      <w:r w:rsidRPr="002F24EA" w:rsidR="000654A9">
        <w:rPr>
          <w:bCs/>
        </w:rPr>
        <w:t>None.</w:t>
      </w:r>
      <w:r w:rsidR="000654A9">
        <w:rPr>
          <w:b/>
        </w:rPr>
        <w:t xml:space="preserve"> </w:t>
      </w:r>
    </w:p>
    <w:p w:rsidR="008B30AB" w:rsidP="008B30AB" w:rsidRDefault="00EB7538" w14:paraId="307D8495"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Pr="00D276DD" w:rsidR="007D3E7A" w:rsidP="007D3E7A" w:rsidRDefault="002D3497" w14:paraId="5A5408B7" w14:textId="2A3988B9">
      <w:pPr>
        <w:ind w:left="720"/>
      </w:pPr>
      <w:bookmarkStart w:name="_Hlk78965206" w:id="0"/>
      <w:r>
        <w:rPr>
          <w:rFonts w:eastAsia="Calibri"/>
        </w:rPr>
        <w:t xml:space="preserve">This information collection supports Food and Drug Administration (FDA, </w:t>
      </w:r>
      <w:proofErr w:type="gramStart"/>
      <w:r>
        <w:rPr>
          <w:rFonts w:eastAsia="Calibri"/>
        </w:rPr>
        <w:t>us</w:t>
      </w:r>
      <w:proofErr w:type="gramEnd"/>
      <w:r>
        <w:rPr>
          <w:rFonts w:eastAsia="Calibri"/>
        </w:rPr>
        <w:t xml:space="preserve"> or we)</w:t>
      </w:r>
      <w:r w:rsidR="002D3A11">
        <w:rPr>
          <w:rFonts w:eastAsia="Calibri"/>
        </w:rPr>
        <w:t xml:space="preserve"> food safe</w:t>
      </w:r>
      <w:r w:rsidR="00111A27">
        <w:rPr>
          <w:rFonts w:eastAsia="Calibri"/>
        </w:rPr>
        <w:t>t</w:t>
      </w:r>
      <w:r w:rsidR="002D3A11">
        <w:rPr>
          <w:rFonts w:eastAsia="Calibri"/>
        </w:rPr>
        <w:t>y programs</w:t>
      </w:r>
      <w:bookmarkEnd w:id="0"/>
      <w:r w:rsidR="002D3A11">
        <w:rPr>
          <w:rFonts w:eastAsia="Calibri"/>
        </w:rPr>
        <w:t>.</w:t>
      </w:r>
      <w:r>
        <w:rPr>
          <w:rFonts w:eastAsia="Calibri"/>
        </w:rPr>
        <w:t xml:space="preserve"> </w:t>
      </w:r>
      <w:r w:rsidRPr="00B4134F" w:rsidR="007D3E7A">
        <w:t xml:space="preserve">The statutory basis for FDA conducting this survey </w:t>
      </w:r>
      <w:r w:rsidRPr="00B4134F" w:rsidR="002E1759">
        <w:t>comes from section 311 of</w:t>
      </w:r>
      <w:r w:rsidRPr="00B4134F" w:rsidR="007D3E7A">
        <w:t xml:space="preserve"> </w:t>
      </w:r>
      <w:r w:rsidRPr="00AB47AB" w:rsidR="007D3E7A">
        <w:t xml:space="preserve">the Public Health Service </w:t>
      </w:r>
      <w:r w:rsidRPr="00B84702" w:rsidR="007D3E7A">
        <w:t xml:space="preserve">(PHS) </w:t>
      </w:r>
      <w:r w:rsidRPr="004A5667" w:rsidR="007D3E7A">
        <w:t>Act</w:t>
      </w:r>
      <w:r w:rsidRPr="00BD4521" w:rsidR="007D3E7A">
        <w:t xml:space="preserve"> [42 USC 243</w:t>
      </w:r>
      <w:r w:rsidRPr="00863244" w:rsidR="007D3E7A">
        <w:t>]</w:t>
      </w:r>
      <w:r w:rsidRPr="00863244" w:rsidR="00B74370">
        <w:t>,</w:t>
      </w:r>
      <w:r w:rsidRPr="00863244" w:rsidR="007D3E7A">
        <w:t xml:space="preserve"> which </w:t>
      </w:r>
      <w:r w:rsidRPr="00863244" w:rsidR="00B74370">
        <w:t>authorizes</w:t>
      </w:r>
      <w:r w:rsidRPr="00863244" w:rsidR="007D3E7A">
        <w:t xml:space="preserve"> FDA </w:t>
      </w:r>
      <w:r w:rsidRPr="00863244" w:rsidR="00167790">
        <w:t xml:space="preserve">to cooperate with </w:t>
      </w:r>
      <w:r w:rsidRPr="00BD4521" w:rsidR="007D3E7A">
        <w:t xml:space="preserve">state and local governments </w:t>
      </w:r>
      <w:r w:rsidRPr="00863244" w:rsidR="00281911">
        <w:t>in</w:t>
      </w:r>
      <w:r w:rsidRPr="00863244" w:rsidR="007D3E7A">
        <w:t xml:space="preserve"> the prevention and suppression of communicable diseases.  </w:t>
      </w:r>
      <w:r w:rsidR="008451B1">
        <w:t>Action</w:t>
      </w:r>
      <w:r w:rsidR="001816ED">
        <w:t>s</w:t>
      </w:r>
      <w:r w:rsidR="008451B1">
        <w:t xml:space="preserve"> for food protection </w:t>
      </w:r>
      <w:r w:rsidR="002A53F0">
        <w:t xml:space="preserve">under provisions of the Act is </w:t>
      </w:r>
      <w:r w:rsidR="008451B1">
        <w:t>d</w:t>
      </w:r>
      <w:r w:rsidR="00936A28">
        <w:t>elegat</w:t>
      </w:r>
      <w:r w:rsidR="008451B1">
        <w:t>ed</w:t>
      </w:r>
      <w:r w:rsidR="00936A28">
        <w:t xml:space="preserve"> </w:t>
      </w:r>
      <w:r w:rsidRPr="009367B2" w:rsidR="007D3E7A">
        <w:t>to the Commissioner of Food and Drugs (21 CFR 5.10(a)(2) and (4)).  Additionally, the Federal Food, Drug, and Cosmetic Act [21 USC 301 et seq] and the Economy Act [31 USC 1535]</w:t>
      </w:r>
      <w:r w:rsidR="00AC4C54">
        <w:t xml:space="preserve"> authorizes</w:t>
      </w:r>
      <w:r w:rsidRPr="00AC4C54" w:rsidR="007D3E7A">
        <w:t xml:space="preserve">   FDA to </w:t>
      </w:r>
      <w:proofErr w:type="gramStart"/>
      <w:r w:rsidRPr="00AC4C54" w:rsidR="007D3E7A">
        <w:t>provide assistance to</w:t>
      </w:r>
      <w:proofErr w:type="gramEnd"/>
      <w:r w:rsidRPr="00AC4C54" w:rsidR="007D3E7A">
        <w:t xml:space="preserve"> other federal, state, and local government bodies</w:t>
      </w:r>
      <w:r w:rsidR="00111A27">
        <w:t xml:space="preserve"> in these efforts</w:t>
      </w:r>
      <w:r w:rsidRPr="00AC4C54" w:rsidR="007D3E7A">
        <w:t>.</w:t>
      </w:r>
      <w:r w:rsidRPr="00D276DD" w:rsidR="007D3E7A">
        <w:t xml:space="preserve"> </w:t>
      </w:r>
    </w:p>
    <w:p w:rsidRPr="00115FED" w:rsidR="007D3E7A" w:rsidP="007D3E7A" w:rsidRDefault="007D3E7A" w14:paraId="644DEB70" w14:textId="3C1AC682">
      <w:pPr>
        <w:pStyle w:val="Title"/>
        <w:tabs>
          <w:tab w:val="left" w:pos="360"/>
          <w:tab w:val="left" w:pos="1775"/>
          <w:tab w:val="right" w:leader="dot" w:pos="8640"/>
        </w:tabs>
        <w:ind w:left="720"/>
        <w:jc w:val="left"/>
        <w:rPr>
          <w:rFonts w:ascii="Times New Roman" w:hAnsi="Times New Roman"/>
          <w:b w:val="0"/>
          <w:sz w:val="24"/>
          <w:szCs w:val="24"/>
        </w:rPr>
      </w:pPr>
      <w:r w:rsidRPr="00115FED">
        <w:rPr>
          <w:rFonts w:ascii="Times New Roman" w:hAnsi="Times New Roman"/>
          <w:b w:val="0"/>
          <w:sz w:val="24"/>
          <w:szCs w:val="24"/>
        </w:rPr>
        <w:t>Th</w:t>
      </w:r>
      <w:r>
        <w:rPr>
          <w:rFonts w:ascii="Times New Roman" w:hAnsi="Times New Roman"/>
          <w:b w:val="0"/>
          <w:sz w:val="24"/>
          <w:szCs w:val="24"/>
        </w:rPr>
        <w:t>is</w:t>
      </w:r>
      <w:r w:rsidRPr="00115FED">
        <w:rPr>
          <w:rFonts w:ascii="Times New Roman" w:hAnsi="Times New Roman"/>
          <w:b w:val="0"/>
          <w:sz w:val="24"/>
          <w:szCs w:val="24"/>
        </w:rPr>
        <w:t xml:space="preserve"> </w:t>
      </w:r>
      <w:r>
        <w:rPr>
          <w:rFonts w:ascii="Times New Roman" w:hAnsi="Times New Roman"/>
          <w:b w:val="0"/>
          <w:sz w:val="24"/>
          <w:szCs w:val="24"/>
        </w:rPr>
        <w:t>study</w:t>
      </w:r>
      <w:r w:rsidRPr="00115FED">
        <w:rPr>
          <w:rFonts w:ascii="Times New Roman" w:hAnsi="Times New Roman"/>
          <w:b w:val="0"/>
          <w:sz w:val="24"/>
          <w:szCs w:val="24"/>
        </w:rPr>
        <w:t xml:space="preserve"> provide</w:t>
      </w:r>
      <w:r>
        <w:rPr>
          <w:rFonts w:ascii="Times New Roman" w:hAnsi="Times New Roman"/>
          <w:b w:val="0"/>
          <w:sz w:val="24"/>
          <w:szCs w:val="24"/>
        </w:rPr>
        <w:t>s</w:t>
      </w:r>
      <w:r w:rsidRPr="00115FED">
        <w:rPr>
          <w:rFonts w:ascii="Times New Roman" w:hAnsi="Times New Roman"/>
          <w:b w:val="0"/>
          <w:sz w:val="24"/>
          <w:szCs w:val="24"/>
        </w:rPr>
        <w:t xml:space="preserve"> FDA </w:t>
      </w:r>
      <w:r>
        <w:rPr>
          <w:rFonts w:ascii="Times New Roman" w:hAnsi="Times New Roman"/>
          <w:b w:val="0"/>
          <w:sz w:val="24"/>
          <w:szCs w:val="24"/>
        </w:rPr>
        <w:t xml:space="preserve">with </w:t>
      </w:r>
      <w:r w:rsidRPr="00115FED">
        <w:rPr>
          <w:rFonts w:ascii="Times New Roman" w:hAnsi="Times New Roman"/>
          <w:b w:val="0"/>
          <w:sz w:val="24"/>
          <w:szCs w:val="24"/>
        </w:rPr>
        <w:t xml:space="preserve">a solid foundation for developing </w:t>
      </w:r>
      <w:r>
        <w:rPr>
          <w:rFonts w:ascii="Times New Roman" w:hAnsi="Times New Roman"/>
          <w:b w:val="0"/>
          <w:sz w:val="24"/>
          <w:szCs w:val="24"/>
        </w:rPr>
        <w:t xml:space="preserve">and maintaining </w:t>
      </w:r>
      <w:r w:rsidRPr="00115FED">
        <w:rPr>
          <w:rFonts w:ascii="Times New Roman" w:hAnsi="Times New Roman"/>
          <w:b w:val="0"/>
          <w:sz w:val="24"/>
          <w:szCs w:val="24"/>
        </w:rPr>
        <w:t>a national retail food program model that can be used by federal, state, local, and tribal agencies to:</w:t>
      </w:r>
    </w:p>
    <w:p w:rsidRPr="00115FED" w:rsidR="007D3E7A" w:rsidP="007D3E7A" w:rsidRDefault="007D3E7A" w14:paraId="1C4E111D" w14:textId="77777777">
      <w:pPr>
        <w:pStyle w:val="Title"/>
        <w:tabs>
          <w:tab w:val="left" w:pos="360"/>
          <w:tab w:val="left" w:pos="1775"/>
          <w:tab w:val="right" w:leader="dot" w:pos="8640"/>
        </w:tabs>
        <w:ind w:left="720"/>
        <w:jc w:val="left"/>
        <w:rPr>
          <w:rFonts w:ascii="Times New Roman" w:hAnsi="Times New Roman"/>
          <w:b w:val="0"/>
          <w:sz w:val="24"/>
          <w:szCs w:val="24"/>
        </w:rPr>
      </w:pPr>
    </w:p>
    <w:p w:rsidRPr="00115FED" w:rsidR="007D3E7A" w:rsidP="007D3E7A" w:rsidRDefault="007D3E7A" w14:paraId="79F34ED0" w14:textId="77777777">
      <w:pPr>
        <w:pStyle w:val="Title"/>
        <w:numPr>
          <w:ilvl w:val="0"/>
          <w:numId w:val="44"/>
        </w:numPr>
        <w:tabs>
          <w:tab w:val="left" w:pos="360"/>
          <w:tab w:val="left" w:pos="1775"/>
          <w:tab w:val="right" w:leader="dot" w:pos="8640"/>
        </w:tabs>
        <w:jc w:val="left"/>
        <w:rPr>
          <w:rFonts w:ascii="Times New Roman" w:hAnsi="Times New Roman"/>
          <w:b w:val="0"/>
          <w:sz w:val="24"/>
          <w:szCs w:val="24"/>
        </w:rPr>
      </w:pPr>
      <w:r w:rsidRPr="00115FED">
        <w:rPr>
          <w:rFonts w:ascii="Times New Roman" w:hAnsi="Times New Roman"/>
          <w:b w:val="0"/>
          <w:sz w:val="24"/>
          <w:szCs w:val="24"/>
        </w:rPr>
        <w:t>Identify essential food safety program performance measurements</w:t>
      </w:r>
      <w:r>
        <w:rPr>
          <w:rFonts w:ascii="Times New Roman" w:hAnsi="Times New Roman"/>
          <w:b w:val="0"/>
          <w:sz w:val="24"/>
          <w:szCs w:val="24"/>
        </w:rPr>
        <w:t>.</w:t>
      </w:r>
    </w:p>
    <w:p w:rsidRPr="00115FED" w:rsidR="007D3E7A" w:rsidP="007D3E7A" w:rsidRDefault="007D3E7A" w14:paraId="06237422" w14:textId="77777777">
      <w:pPr>
        <w:pStyle w:val="Title"/>
        <w:numPr>
          <w:ilvl w:val="0"/>
          <w:numId w:val="44"/>
        </w:numPr>
        <w:tabs>
          <w:tab w:val="left" w:pos="360"/>
          <w:tab w:val="left" w:pos="1775"/>
          <w:tab w:val="right" w:leader="dot" w:pos="8640"/>
        </w:tabs>
        <w:jc w:val="left"/>
        <w:rPr>
          <w:rFonts w:ascii="Times New Roman" w:hAnsi="Times New Roman"/>
          <w:b w:val="0"/>
          <w:sz w:val="24"/>
          <w:szCs w:val="24"/>
        </w:rPr>
      </w:pPr>
      <w:r w:rsidRPr="00115FED">
        <w:rPr>
          <w:rFonts w:ascii="Times New Roman" w:hAnsi="Times New Roman"/>
          <w:b w:val="0"/>
          <w:sz w:val="24"/>
          <w:szCs w:val="24"/>
        </w:rPr>
        <w:t>Assess strengths and gaps in the design, structure, and delivery of program services</w:t>
      </w:r>
      <w:r>
        <w:rPr>
          <w:rFonts w:ascii="Times New Roman" w:hAnsi="Times New Roman"/>
          <w:b w:val="0"/>
          <w:sz w:val="24"/>
          <w:szCs w:val="24"/>
        </w:rPr>
        <w:t>.</w:t>
      </w:r>
    </w:p>
    <w:p w:rsidRPr="00115FED" w:rsidR="007D3E7A" w:rsidP="007D3E7A" w:rsidRDefault="007D3E7A" w14:paraId="192AE57D" w14:textId="77777777">
      <w:pPr>
        <w:pStyle w:val="Title"/>
        <w:numPr>
          <w:ilvl w:val="0"/>
          <w:numId w:val="44"/>
        </w:numPr>
        <w:tabs>
          <w:tab w:val="left" w:pos="360"/>
          <w:tab w:val="left" w:pos="1775"/>
          <w:tab w:val="right" w:leader="dot" w:pos="8640"/>
        </w:tabs>
        <w:jc w:val="left"/>
        <w:rPr>
          <w:rFonts w:ascii="Times New Roman" w:hAnsi="Times New Roman"/>
          <w:b w:val="0"/>
          <w:sz w:val="24"/>
          <w:szCs w:val="24"/>
        </w:rPr>
      </w:pPr>
      <w:r w:rsidRPr="00115FED">
        <w:rPr>
          <w:rFonts w:ascii="Times New Roman" w:hAnsi="Times New Roman"/>
          <w:b w:val="0"/>
          <w:sz w:val="24"/>
          <w:szCs w:val="24"/>
        </w:rPr>
        <w:t>Establish program priorities and intervention strategies focused on reducing the occurrence of foodborne illness risk factors</w:t>
      </w:r>
      <w:r>
        <w:rPr>
          <w:rFonts w:ascii="Times New Roman" w:hAnsi="Times New Roman"/>
          <w:b w:val="0"/>
          <w:sz w:val="24"/>
          <w:szCs w:val="24"/>
        </w:rPr>
        <w:t>.</w:t>
      </w:r>
    </w:p>
    <w:p w:rsidR="007D3E7A" w:rsidP="007D3E7A" w:rsidRDefault="007D3E7A" w14:paraId="1DB2BB89" w14:textId="642B7241">
      <w:pPr>
        <w:pStyle w:val="Title"/>
        <w:numPr>
          <w:ilvl w:val="0"/>
          <w:numId w:val="44"/>
        </w:numPr>
        <w:tabs>
          <w:tab w:val="left" w:pos="360"/>
          <w:tab w:val="left" w:pos="1775"/>
          <w:tab w:val="right" w:leader="dot" w:pos="8640"/>
        </w:tabs>
        <w:jc w:val="left"/>
        <w:rPr>
          <w:rFonts w:ascii="Times New Roman" w:hAnsi="Times New Roman"/>
          <w:b w:val="0"/>
          <w:sz w:val="24"/>
          <w:szCs w:val="24"/>
        </w:rPr>
      </w:pPr>
      <w:r w:rsidRPr="00275EA9">
        <w:rPr>
          <w:rFonts w:ascii="Times New Roman" w:hAnsi="Times New Roman"/>
          <w:b w:val="0"/>
          <w:sz w:val="24"/>
          <w:szCs w:val="24"/>
        </w:rPr>
        <w:t>Create a mechanism that justifies program resources and allocates them to program areas that will provide the most significant public health benefits.</w:t>
      </w:r>
    </w:p>
    <w:p w:rsidR="002D3497" w:rsidP="002D3497" w:rsidRDefault="002D3497" w14:paraId="71CB04BF" w14:textId="4F82BB9C">
      <w:pPr>
        <w:pStyle w:val="Title"/>
        <w:tabs>
          <w:tab w:val="left" w:pos="360"/>
          <w:tab w:val="left" w:pos="1775"/>
          <w:tab w:val="right" w:leader="dot" w:pos="8640"/>
        </w:tabs>
        <w:ind w:left="1080"/>
        <w:jc w:val="left"/>
        <w:rPr>
          <w:rFonts w:ascii="Times New Roman" w:hAnsi="Times New Roman"/>
          <w:b w:val="0"/>
          <w:sz w:val="24"/>
          <w:szCs w:val="24"/>
        </w:rPr>
      </w:pPr>
    </w:p>
    <w:p w:rsidRPr="00275EA9" w:rsidR="00115612" w:rsidP="00B0779C" w:rsidRDefault="000031E1" w14:paraId="2BCDAC71" w14:textId="478EB671">
      <w:pPr>
        <w:ind w:left="720"/>
        <w:rPr>
          <w:b/>
        </w:rPr>
      </w:pPr>
      <w:r>
        <w:t xml:space="preserve">We therefore request extension of OMB approval for </w:t>
      </w:r>
      <w:r w:rsidR="00115612">
        <w:t xml:space="preserve">the </w:t>
      </w:r>
      <w:r w:rsidRPr="00282605" w:rsidR="00115612">
        <w:t>Occurrence of Foodborne Illness Risks Factors in Selected Institutional Foodservice and Retail Food Stores Facility Types</w:t>
      </w:r>
      <w:r w:rsidRPr="00136A70" w:rsidDel="007D3E7A" w:rsidR="00115612">
        <w:t xml:space="preserve"> </w:t>
      </w:r>
      <w:r w:rsidR="00041DEC">
        <w:t>Survey</w:t>
      </w:r>
      <w:r w:rsidR="00690CB2">
        <w:t xml:space="preserve">, form FDA 3967 and </w:t>
      </w:r>
      <w:r w:rsidR="005E1D51">
        <w:rPr>
          <w:rFonts w:eastAsia="Calibri"/>
        </w:rPr>
        <w:t>the associated forms as discussed in this supporting statement</w:t>
      </w:r>
      <w:r w:rsidR="00041DEC">
        <w:t>.</w:t>
      </w:r>
    </w:p>
    <w:p w:rsidRPr="002746DB" w:rsidR="008B30AB" w:rsidP="000654A9" w:rsidRDefault="00EB7538" w14:paraId="24AC4E02" w14:textId="1E0A193A">
      <w:pPr>
        <w:numPr>
          <w:ilvl w:val="0"/>
          <w:numId w:val="1"/>
        </w:numPr>
        <w:spacing w:before="100" w:beforeAutospacing="1" w:after="100" w:afterAutospacing="1"/>
        <w:rPr>
          <w:u w:val="single"/>
        </w:rPr>
      </w:pPr>
      <w:r w:rsidRPr="002F24EA">
        <w:rPr>
          <w:u w:val="single"/>
        </w:rPr>
        <w:t>P</w:t>
      </w:r>
      <w:r w:rsidRPr="002746DB">
        <w:rPr>
          <w:u w:val="single"/>
        </w:rPr>
        <w:t xml:space="preserve">urpose and Use of the Information Collection </w:t>
      </w:r>
    </w:p>
    <w:p w:rsidR="008B1B66" w:rsidP="008B1B66" w:rsidRDefault="008B1B66" w14:paraId="01395AED" w14:textId="77777777">
      <w:pPr>
        <w:pStyle w:val="Title"/>
        <w:tabs>
          <w:tab w:val="left" w:pos="360"/>
          <w:tab w:val="right" w:leader="dot" w:pos="8640"/>
        </w:tabs>
        <w:ind w:left="720"/>
        <w:jc w:val="left"/>
        <w:rPr>
          <w:rFonts w:ascii="Times New Roman" w:hAnsi="Times New Roman"/>
          <w:b w:val="0"/>
          <w:sz w:val="24"/>
          <w:szCs w:val="24"/>
        </w:rPr>
      </w:pPr>
      <w:r>
        <w:rPr>
          <w:rFonts w:ascii="Times New Roman" w:hAnsi="Times New Roman"/>
          <w:b w:val="0"/>
          <w:sz w:val="24"/>
          <w:szCs w:val="24"/>
        </w:rPr>
        <w:t>Information will be gathered from state/local governments and businesses in the private sector to:</w:t>
      </w:r>
    </w:p>
    <w:p w:rsidR="008B1B66" w:rsidP="008B1B66" w:rsidRDefault="008B1B66" w14:paraId="1061F26B" w14:textId="77777777">
      <w:pPr>
        <w:pStyle w:val="Title"/>
        <w:tabs>
          <w:tab w:val="left" w:pos="360"/>
          <w:tab w:val="right" w:leader="dot" w:pos="8640"/>
        </w:tabs>
        <w:ind w:left="720"/>
        <w:jc w:val="left"/>
        <w:rPr>
          <w:rFonts w:ascii="Times New Roman" w:hAnsi="Times New Roman"/>
          <w:b w:val="0"/>
          <w:sz w:val="24"/>
          <w:szCs w:val="24"/>
        </w:rPr>
      </w:pPr>
    </w:p>
    <w:p w:rsidR="008B1B66" w:rsidP="008B1B66" w:rsidRDefault="008B1B66" w14:paraId="189DAED1" w14:textId="77777777">
      <w:pPr>
        <w:numPr>
          <w:ilvl w:val="0"/>
          <w:numId w:val="34"/>
        </w:numPr>
      </w:pPr>
      <w:r w:rsidRPr="00AE5E46">
        <w:t xml:space="preserve">Assist the FDA with developing retail food safety initiatives and policies focused on the control of foodborne illness risk factors – preparation practices and employee behaviors </w:t>
      </w:r>
      <w:proofErr w:type="gramStart"/>
      <w:r w:rsidRPr="00AE5E46">
        <w:t>most commonly reported</w:t>
      </w:r>
      <w:proofErr w:type="gramEnd"/>
      <w:r w:rsidRPr="00AE5E46">
        <w:t xml:space="preserve"> to the Centers for Disease Control </w:t>
      </w:r>
      <w:r w:rsidRPr="00AE5E46">
        <w:lastRenderedPageBreak/>
        <w:t>and Prevention (CDC) as contributing factors to foodborne illness outbreaks at the retail level. (</w:t>
      </w:r>
      <w:proofErr w:type="gramStart"/>
      <w:r w:rsidRPr="00AE5E46">
        <w:t>i.e.</w:t>
      </w:r>
      <w:proofErr w:type="gramEnd"/>
      <w:r w:rsidRPr="00AE5E46">
        <w:t xml:space="preserve"> Food from Unsafe Sources, Poor Personal Hygiene, Inadequate Cooking, Improper Holding/Time and Temperature, and Contaminated Equipment/</w:t>
      </w:r>
      <w:r>
        <w:t>Protection from Contamination</w:t>
      </w:r>
      <w:r w:rsidRPr="00AE5E46">
        <w:t>).</w:t>
      </w:r>
    </w:p>
    <w:p w:rsidR="008B1B66" w:rsidP="008B1B66" w:rsidRDefault="008B1B66" w14:paraId="744852E4" w14:textId="77777777">
      <w:pPr>
        <w:numPr>
          <w:ilvl w:val="0"/>
          <w:numId w:val="34"/>
        </w:numPr>
      </w:pPr>
      <w:r w:rsidRPr="00AE5E46">
        <w:t>Identify retail food safety work plan priorities and allocate resources to enhance retail food safety nationwide.</w:t>
      </w:r>
    </w:p>
    <w:p w:rsidRPr="00AE5E46" w:rsidR="008B1B66" w:rsidP="008B1B66" w:rsidRDefault="008B1B66" w14:paraId="15A0D78D" w14:textId="77777777">
      <w:pPr>
        <w:numPr>
          <w:ilvl w:val="0"/>
          <w:numId w:val="34"/>
        </w:numPr>
      </w:pPr>
      <w:r w:rsidRPr="00AE5E46">
        <w:t>Track changes in the occurrence of foodborne illness risk factors in retail and foodservice establishments over time.</w:t>
      </w:r>
    </w:p>
    <w:p w:rsidRPr="00AE5E46" w:rsidR="008B1B66" w:rsidP="008B1B66" w:rsidRDefault="008B1B66" w14:paraId="5679E881" w14:textId="77777777">
      <w:pPr>
        <w:numPr>
          <w:ilvl w:val="0"/>
          <w:numId w:val="34"/>
        </w:numPr>
      </w:pPr>
      <w:r w:rsidRPr="00AE5E46">
        <w:t xml:space="preserve">Inform recommendations to the retail and foodservice industry and state, local, tribal, and territorial regulatory professionals on reducing the occurrence of foodborne illness risk factors. </w:t>
      </w:r>
    </w:p>
    <w:p w:rsidRPr="004C6979" w:rsidR="002746DB" w:rsidP="00EB7538" w:rsidRDefault="00EB7538" w14:paraId="01BDAEA3"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7D5134" w:rsidP="007D5134" w:rsidRDefault="007D5134" w14:paraId="30973AB4" w14:textId="77777777">
      <w:pPr>
        <w:autoSpaceDE w:val="0"/>
        <w:autoSpaceDN w:val="0"/>
        <w:adjustRightInd w:val="0"/>
        <w:ind w:left="720"/>
      </w:pPr>
      <w:r>
        <w:t xml:space="preserve">This survey involves collection of information related to the behaviors and practices of food employees.  </w:t>
      </w:r>
      <w:proofErr w:type="gramStart"/>
      <w:r>
        <w:t>In order to</w:t>
      </w:r>
      <w:proofErr w:type="gramEnd"/>
      <w:r>
        <w:t xml:space="preserve"> accurately document food employee behavior, the FDA data collectors must be physically located in the establishments during hours of operation.  </w:t>
      </w:r>
    </w:p>
    <w:p w:rsidR="00016089" w:rsidP="007D5134" w:rsidRDefault="007D5134" w14:paraId="34B3E8E7" w14:textId="7C3EE324">
      <w:pPr>
        <w:autoSpaceDE w:val="0"/>
        <w:autoSpaceDN w:val="0"/>
        <w:adjustRightInd w:val="0"/>
        <w:ind w:left="720"/>
      </w:pPr>
      <w:r>
        <w:t xml:space="preserve">Data is gathered through interviewing, actual observations, and record reviews.  Data will be </w:t>
      </w:r>
      <w:r w:rsidRPr="00231A52">
        <w:t>entered into a web-based data platform f</w:t>
      </w:r>
      <w:r>
        <w:t xml:space="preserve">rom secured computers.  </w:t>
      </w:r>
      <w:r w:rsidRPr="006948F2">
        <w:t>The interface will support the manual entering of data, as well as the ability to upload a fillable</w:t>
      </w:r>
      <w:r>
        <w:t xml:space="preserve"> and fileable</w:t>
      </w:r>
      <w:r w:rsidRPr="006948F2">
        <w:t xml:space="preserve"> PDF</w:t>
      </w:r>
      <w:r>
        <w:t>, should the need arise</w:t>
      </w:r>
      <w:r w:rsidRPr="006948F2">
        <w:t>.</w:t>
      </w:r>
      <w:r>
        <w:t xml:space="preserve"> The PDF is not signable by the data collector. </w:t>
      </w:r>
    </w:p>
    <w:p w:rsidR="00016089" w:rsidP="00016089" w:rsidRDefault="00016089" w14:paraId="74FAB3C4" w14:textId="77777777">
      <w:pPr>
        <w:autoSpaceDE w:val="0"/>
        <w:autoSpaceDN w:val="0"/>
        <w:adjustRightInd w:val="0"/>
        <w:ind w:left="720"/>
      </w:pPr>
    </w:p>
    <w:p w:rsidR="007D3E7A" w:rsidP="007D3E7A" w:rsidRDefault="00016089" w14:paraId="1A1C29B1" w14:textId="7FCB4140">
      <w:pPr>
        <w:autoSpaceDE w:val="0"/>
        <w:autoSpaceDN w:val="0"/>
        <w:adjustRightInd w:val="0"/>
        <w:ind w:left="720"/>
      </w:pPr>
      <w:r>
        <w:t>FDA will minimize burden by conducting the data collection during normal hours of operation and in a manner that is customary with routine inspections performed by the establishments’ normal regulatory authorities.</w:t>
      </w:r>
    </w:p>
    <w:p w:rsidRPr="002746DB" w:rsidR="002746DB" w:rsidP="00EB7538" w:rsidRDefault="00EB7538" w14:paraId="457822D3"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8947BD" w:rsidP="005133FA" w:rsidRDefault="005133FA" w14:paraId="1E9AB56F" w14:textId="3E4ACDC6">
      <w:pPr>
        <w:ind w:left="720"/>
      </w:pPr>
      <w:r>
        <w:t xml:space="preserve">There are no other </w:t>
      </w:r>
      <w:r w:rsidRPr="000B1ADF">
        <w:t xml:space="preserve">nationally representative estimates of the </w:t>
      </w:r>
      <w:r>
        <w:t>occurrence</w:t>
      </w:r>
      <w:r w:rsidRPr="000B1ADF">
        <w:t xml:space="preserve"> of foodborne illness risk factors</w:t>
      </w:r>
      <w:r>
        <w:t xml:space="preserve"> in retail and foodservice establishments.  Some State and local regulatory authorities have conducted risk factor surveys within their jurisdictions; however, these studies do not provide a nationally representative sample. Thus, no comparable data have been collected by other Federal, State, or local regulatory agencies or industry. </w:t>
      </w:r>
    </w:p>
    <w:p w:rsidR="002F24EA" w:rsidP="005133FA" w:rsidRDefault="002F24EA" w14:paraId="1B9A6E8E" w14:textId="77777777">
      <w:pPr>
        <w:ind w:left="720"/>
      </w:pPr>
    </w:p>
    <w:p w:rsidR="005133FA" w:rsidP="00122FBE" w:rsidRDefault="005133FA" w14:paraId="5074A5F7" w14:textId="5FD46A8A">
      <w:pPr>
        <w:ind w:left="720"/>
      </w:pPr>
      <w:r>
        <w:t xml:space="preserve">FDA </w:t>
      </w:r>
      <w:r w:rsidR="00950689">
        <w:t>partners with</w:t>
      </w:r>
      <w:r w:rsidR="00E34461">
        <w:t xml:space="preserve"> the CDC</w:t>
      </w:r>
      <w:r>
        <w:t xml:space="preserve"> </w:t>
      </w:r>
      <w:r w:rsidR="00161963">
        <w:t xml:space="preserve">to </w:t>
      </w:r>
      <w:r>
        <w:t xml:space="preserve">compare various </w:t>
      </w:r>
      <w:r w:rsidRPr="00764E65">
        <w:t>retail food studies and surveillance systems</w:t>
      </w:r>
      <w:r w:rsidR="00CA7CD3">
        <w:t xml:space="preserve">. CDC and FDA will conduct joint annual reviews of the data collected through our various data collections systems.  These reviews will be used to determine if changes are needed to future information collections to ensure the data collected are optimal to meet our collective needs and missions to reduce foodborne illness. </w:t>
      </w:r>
      <w:r>
        <w:tab/>
      </w:r>
    </w:p>
    <w:p w:rsidRPr="004C6979" w:rsidR="002746DB" w:rsidP="00EB7538" w:rsidRDefault="00EB7538" w14:paraId="4CF9F291" w14:textId="77777777">
      <w:pPr>
        <w:numPr>
          <w:ilvl w:val="0"/>
          <w:numId w:val="1"/>
        </w:numPr>
        <w:spacing w:before="100" w:beforeAutospacing="1" w:after="100" w:afterAutospacing="1"/>
        <w:rPr>
          <w:u w:val="single"/>
        </w:rPr>
      </w:pPr>
      <w:r w:rsidRPr="004C6979">
        <w:rPr>
          <w:u w:val="single"/>
        </w:rPr>
        <w:t>Impact on Small Businesses or Other Small Entities</w:t>
      </w:r>
    </w:p>
    <w:p w:rsidR="005133FA" w:rsidP="005151B2" w:rsidRDefault="005151B2" w14:paraId="43BE18CA" w14:textId="2F8F9789">
      <w:pPr>
        <w:pStyle w:val="NoSpacing"/>
        <w:ind w:left="720"/>
      </w:pPr>
      <w:r>
        <w:t xml:space="preserve">Of the </w:t>
      </w:r>
      <w:r w:rsidR="00E5598A">
        <w:t>400</w:t>
      </w:r>
      <w:r>
        <w:t xml:space="preserve"> respondents in this survey, 200 will be from small businesses.  FDA will minimize burden by conducting the data collections during normal hours of operation and in a manner that is customary with routine inspections performed by the industry </w:t>
      </w:r>
      <w:r>
        <w:lastRenderedPageBreak/>
        <w:t>operator’s respective regulatory authority.  The information being requested has been held to the absolute minimum required for the intended use of the data.</w:t>
      </w:r>
    </w:p>
    <w:p w:rsidRPr="004C6979" w:rsidR="00CD77C3" w:rsidP="00EB7538" w:rsidRDefault="00EB7538" w14:paraId="6EC9D02D"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Pr="00B65A6E" w:rsidR="005133FA" w:rsidP="005133FA" w:rsidRDefault="005133FA" w14:paraId="3545DE8C" w14:textId="77777777">
      <w:pPr>
        <w:pStyle w:val="Title"/>
        <w:tabs>
          <w:tab w:val="left" w:pos="720"/>
          <w:tab w:val="right" w:leader="dot" w:pos="8640"/>
        </w:tabs>
        <w:ind w:left="720"/>
        <w:jc w:val="left"/>
        <w:rPr>
          <w:rFonts w:ascii="Times New Roman" w:hAnsi="Times New Roman"/>
          <w:b w:val="0"/>
          <w:sz w:val="24"/>
          <w:szCs w:val="24"/>
        </w:rPr>
      </w:pPr>
      <w:r>
        <w:rPr>
          <w:rFonts w:ascii="Times New Roman" w:hAnsi="Times New Roman"/>
          <w:b w:val="0"/>
          <w:sz w:val="24"/>
          <w:szCs w:val="24"/>
        </w:rPr>
        <w:t>A d</w:t>
      </w:r>
      <w:r w:rsidRPr="00B65A6E">
        <w:rPr>
          <w:rFonts w:ascii="Times New Roman" w:hAnsi="Times New Roman"/>
          <w:b w:val="0"/>
          <w:sz w:val="24"/>
          <w:szCs w:val="24"/>
        </w:rPr>
        <w:t>ata collection</w:t>
      </w:r>
      <w:r>
        <w:rPr>
          <w:rFonts w:ascii="Times New Roman" w:hAnsi="Times New Roman"/>
          <w:b w:val="0"/>
          <w:sz w:val="24"/>
          <w:szCs w:val="24"/>
        </w:rPr>
        <w:t xml:space="preserve"> was performed in </w:t>
      </w:r>
      <w:r w:rsidR="005151B2">
        <w:rPr>
          <w:rFonts w:ascii="Times New Roman" w:hAnsi="Times New Roman"/>
          <w:b w:val="0"/>
          <w:sz w:val="24"/>
          <w:szCs w:val="24"/>
        </w:rPr>
        <w:t>2015-201</w:t>
      </w:r>
      <w:r w:rsidR="006017C3">
        <w:rPr>
          <w:rFonts w:ascii="Times New Roman" w:hAnsi="Times New Roman"/>
          <w:b w:val="0"/>
          <w:sz w:val="24"/>
          <w:szCs w:val="24"/>
        </w:rPr>
        <w:t>6</w:t>
      </w:r>
      <w:r w:rsidRPr="00B65A6E">
        <w:rPr>
          <w:rFonts w:ascii="Times New Roman" w:hAnsi="Times New Roman"/>
          <w:b w:val="0"/>
          <w:sz w:val="24"/>
          <w:szCs w:val="24"/>
        </w:rPr>
        <w:t xml:space="preserve"> </w:t>
      </w:r>
      <w:r w:rsidRPr="008738D4">
        <w:rPr>
          <w:rFonts w:ascii="Times New Roman" w:hAnsi="Times New Roman"/>
          <w:b w:val="0"/>
          <w:sz w:val="24"/>
          <w:szCs w:val="24"/>
        </w:rPr>
        <w:t>to es</w:t>
      </w:r>
      <w:r>
        <w:rPr>
          <w:rFonts w:ascii="Times New Roman" w:hAnsi="Times New Roman"/>
          <w:b w:val="0"/>
          <w:sz w:val="24"/>
          <w:szCs w:val="24"/>
        </w:rPr>
        <w:t>tablish a baseline measurement</w:t>
      </w:r>
      <w:r w:rsidRPr="00B65A6E">
        <w:rPr>
          <w:rFonts w:ascii="Times New Roman" w:hAnsi="Times New Roman"/>
          <w:b w:val="0"/>
          <w:sz w:val="24"/>
          <w:szCs w:val="24"/>
        </w:rPr>
        <w:t xml:space="preserve">. </w:t>
      </w:r>
      <w:r>
        <w:rPr>
          <w:rFonts w:ascii="Times New Roman" w:hAnsi="Times New Roman"/>
          <w:b w:val="0"/>
          <w:sz w:val="24"/>
          <w:szCs w:val="24"/>
        </w:rPr>
        <w:t xml:space="preserve"> A </w:t>
      </w:r>
      <w:r w:rsidRPr="00B65A6E">
        <w:rPr>
          <w:rFonts w:ascii="Times New Roman" w:hAnsi="Times New Roman"/>
          <w:b w:val="0"/>
          <w:sz w:val="24"/>
          <w:szCs w:val="24"/>
        </w:rPr>
        <w:t xml:space="preserve">minimum </w:t>
      </w:r>
      <w:r>
        <w:rPr>
          <w:rFonts w:ascii="Times New Roman" w:hAnsi="Times New Roman"/>
          <w:b w:val="0"/>
          <w:sz w:val="24"/>
          <w:szCs w:val="24"/>
        </w:rPr>
        <w:t xml:space="preserve">of </w:t>
      </w:r>
      <w:r w:rsidRPr="00B65A6E">
        <w:rPr>
          <w:rFonts w:ascii="Times New Roman" w:hAnsi="Times New Roman"/>
          <w:b w:val="0"/>
          <w:sz w:val="24"/>
          <w:szCs w:val="24"/>
        </w:rPr>
        <w:t xml:space="preserve">three data points </w:t>
      </w:r>
      <w:proofErr w:type="gramStart"/>
      <w:r>
        <w:rPr>
          <w:rFonts w:ascii="Times New Roman" w:hAnsi="Times New Roman"/>
          <w:b w:val="0"/>
          <w:sz w:val="24"/>
          <w:szCs w:val="24"/>
        </w:rPr>
        <w:t>are</w:t>
      </w:r>
      <w:proofErr w:type="gramEnd"/>
      <w:r>
        <w:rPr>
          <w:rFonts w:ascii="Times New Roman" w:hAnsi="Times New Roman"/>
          <w:b w:val="0"/>
          <w:sz w:val="24"/>
          <w:szCs w:val="24"/>
        </w:rPr>
        <w:t xml:space="preserve"> </w:t>
      </w:r>
      <w:r w:rsidRPr="00B65A6E">
        <w:rPr>
          <w:rFonts w:ascii="Times New Roman" w:hAnsi="Times New Roman"/>
          <w:b w:val="0"/>
          <w:sz w:val="24"/>
          <w:szCs w:val="24"/>
        </w:rPr>
        <w:t>needed to determine statistically significant trends in improvement or regression over time</w:t>
      </w:r>
      <w:r>
        <w:rPr>
          <w:rFonts w:ascii="Times New Roman" w:hAnsi="Times New Roman"/>
          <w:b w:val="0"/>
          <w:sz w:val="24"/>
          <w:szCs w:val="24"/>
        </w:rPr>
        <w:t xml:space="preserve">; thus, </w:t>
      </w:r>
      <w:r w:rsidRPr="00E63BC5">
        <w:rPr>
          <w:rFonts w:ascii="Times New Roman" w:hAnsi="Times New Roman"/>
          <w:b w:val="0"/>
          <w:sz w:val="24"/>
          <w:szCs w:val="24"/>
        </w:rPr>
        <w:t xml:space="preserve">FDA </w:t>
      </w:r>
      <w:r w:rsidR="00C86A5F">
        <w:rPr>
          <w:rFonts w:ascii="Times New Roman" w:hAnsi="Times New Roman"/>
          <w:b w:val="0"/>
          <w:sz w:val="24"/>
          <w:szCs w:val="24"/>
        </w:rPr>
        <w:t>began</w:t>
      </w:r>
      <w:r w:rsidRPr="00E63BC5">
        <w:rPr>
          <w:rFonts w:ascii="Times New Roman" w:hAnsi="Times New Roman"/>
          <w:b w:val="0"/>
          <w:sz w:val="24"/>
          <w:szCs w:val="24"/>
        </w:rPr>
        <w:t xml:space="preserve"> follow-up data collections </w:t>
      </w:r>
      <w:r w:rsidR="00793E89">
        <w:rPr>
          <w:rFonts w:ascii="Times New Roman" w:hAnsi="Times New Roman"/>
          <w:b w:val="0"/>
          <w:sz w:val="24"/>
          <w:szCs w:val="24"/>
        </w:rPr>
        <w:t xml:space="preserve">from October 1, </w:t>
      </w:r>
      <w:r w:rsidR="005151B2">
        <w:rPr>
          <w:rFonts w:ascii="Times New Roman" w:hAnsi="Times New Roman"/>
          <w:b w:val="0"/>
          <w:sz w:val="24"/>
          <w:szCs w:val="24"/>
        </w:rPr>
        <w:t>2019</w:t>
      </w:r>
      <w:r w:rsidR="00793E89">
        <w:rPr>
          <w:rFonts w:ascii="Times New Roman" w:hAnsi="Times New Roman"/>
          <w:b w:val="0"/>
          <w:sz w:val="24"/>
          <w:szCs w:val="24"/>
        </w:rPr>
        <w:t xml:space="preserve"> through </w:t>
      </w:r>
      <w:r w:rsidR="00C86A5F">
        <w:rPr>
          <w:rFonts w:ascii="Times New Roman" w:hAnsi="Times New Roman"/>
          <w:b w:val="0"/>
          <w:sz w:val="24"/>
          <w:szCs w:val="24"/>
        </w:rPr>
        <w:t>March</w:t>
      </w:r>
      <w:r w:rsidR="00793E89">
        <w:rPr>
          <w:rFonts w:ascii="Times New Roman" w:hAnsi="Times New Roman"/>
          <w:b w:val="0"/>
          <w:sz w:val="24"/>
          <w:szCs w:val="24"/>
        </w:rPr>
        <w:t>,</w:t>
      </w:r>
      <w:r w:rsidR="005562FB">
        <w:rPr>
          <w:rFonts w:ascii="Times New Roman" w:hAnsi="Times New Roman"/>
          <w:b w:val="0"/>
          <w:sz w:val="24"/>
          <w:szCs w:val="24"/>
        </w:rPr>
        <w:t xml:space="preserve"> </w:t>
      </w:r>
      <w:r w:rsidR="005151B2">
        <w:rPr>
          <w:rFonts w:ascii="Times New Roman" w:hAnsi="Times New Roman"/>
          <w:b w:val="0"/>
          <w:sz w:val="24"/>
          <w:szCs w:val="24"/>
        </w:rPr>
        <w:t xml:space="preserve">2020 </w:t>
      </w:r>
      <w:r w:rsidR="00C86A5F">
        <w:rPr>
          <w:rFonts w:ascii="Times New Roman" w:hAnsi="Times New Roman"/>
          <w:b w:val="0"/>
          <w:sz w:val="24"/>
          <w:szCs w:val="24"/>
        </w:rPr>
        <w:t>which was halted due to COVID-19.  We intend to complete the second data collection</w:t>
      </w:r>
      <w:r w:rsidR="000D08F4">
        <w:rPr>
          <w:rFonts w:ascii="Times New Roman" w:hAnsi="Times New Roman"/>
          <w:b w:val="0"/>
          <w:sz w:val="24"/>
          <w:szCs w:val="24"/>
        </w:rPr>
        <w:t xml:space="preserve"> when it is safe to do so</w:t>
      </w:r>
      <w:r w:rsidR="00C86A5F">
        <w:rPr>
          <w:rFonts w:ascii="Times New Roman" w:hAnsi="Times New Roman"/>
          <w:b w:val="0"/>
          <w:sz w:val="24"/>
          <w:szCs w:val="24"/>
        </w:rPr>
        <w:t xml:space="preserve"> </w:t>
      </w:r>
      <w:r w:rsidRPr="00E63BC5">
        <w:rPr>
          <w:rFonts w:ascii="Times New Roman" w:hAnsi="Times New Roman"/>
          <w:b w:val="0"/>
          <w:sz w:val="24"/>
          <w:szCs w:val="24"/>
        </w:rPr>
        <w:t xml:space="preserve">and </w:t>
      </w:r>
      <w:r w:rsidR="009C5A02">
        <w:rPr>
          <w:rFonts w:ascii="Times New Roman" w:hAnsi="Times New Roman"/>
          <w:b w:val="0"/>
          <w:sz w:val="24"/>
          <w:szCs w:val="24"/>
        </w:rPr>
        <w:t xml:space="preserve">will </w:t>
      </w:r>
      <w:proofErr w:type="gramStart"/>
      <w:r w:rsidR="009C5A02">
        <w:rPr>
          <w:rFonts w:ascii="Times New Roman" w:hAnsi="Times New Roman"/>
          <w:b w:val="0"/>
          <w:sz w:val="24"/>
          <w:szCs w:val="24"/>
        </w:rPr>
        <w:t>continue</w:t>
      </w:r>
      <w:r w:rsidR="00C86A5F">
        <w:rPr>
          <w:rFonts w:ascii="Times New Roman" w:hAnsi="Times New Roman"/>
          <w:b w:val="0"/>
          <w:sz w:val="24"/>
          <w:szCs w:val="24"/>
        </w:rPr>
        <w:t xml:space="preserve"> on</w:t>
      </w:r>
      <w:proofErr w:type="gramEnd"/>
      <w:r w:rsidR="00C86A5F">
        <w:rPr>
          <w:rFonts w:ascii="Times New Roman" w:hAnsi="Times New Roman"/>
          <w:b w:val="0"/>
          <w:sz w:val="24"/>
          <w:szCs w:val="24"/>
        </w:rPr>
        <w:t xml:space="preserve"> to a third data collection</w:t>
      </w:r>
      <w:r w:rsidR="009C5A02">
        <w:rPr>
          <w:rFonts w:ascii="Times New Roman" w:hAnsi="Times New Roman"/>
          <w:b w:val="0"/>
          <w:sz w:val="24"/>
          <w:szCs w:val="24"/>
        </w:rPr>
        <w:t xml:space="preserve"> in </w:t>
      </w:r>
      <w:r w:rsidR="005151B2">
        <w:rPr>
          <w:rFonts w:ascii="Times New Roman" w:hAnsi="Times New Roman"/>
          <w:b w:val="0"/>
          <w:sz w:val="24"/>
          <w:szCs w:val="24"/>
        </w:rPr>
        <w:t xml:space="preserve">2023-2024 </w:t>
      </w:r>
      <w:r w:rsidRPr="00E63BC5">
        <w:rPr>
          <w:rFonts w:ascii="Times New Roman" w:hAnsi="Times New Roman"/>
          <w:b w:val="0"/>
          <w:sz w:val="24"/>
          <w:szCs w:val="24"/>
        </w:rPr>
        <w:t>(</w:t>
      </w:r>
      <w:r w:rsidR="00C86A5F">
        <w:rPr>
          <w:rFonts w:ascii="Times New Roman" w:hAnsi="Times New Roman"/>
          <w:b w:val="0"/>
          <w:sz w:val="24"/>
          <w:szCs w:val="24"/>
        </w:rPr>
        <w:t xml:space="preserve">the subject of this ICR </w:t>
      </w:r>
      <w:r w:rsidR="00F63644">
        <w:rPr>
          <w:rFonts w:ascii="Times New Roman" w:hAnsi="Times New Roman"/>
          <w:b w:val="0"/>
          <w:sz w:val="24"/>
          <w:szCs w:val="24"/>
        </w:rPr>
        <w:t>extension</w:t>
      </w:r>
      <w:r w:rsidR="00C86A5F">
        <w:rPr>
          <w:rFonts w:ascii="Times New Roman" w:hAnsi="Times New Roman"/>
          <w:b w:val="0"/>
          <w:sz w:val="24"/>
          <w:szCs w:val="24"/>
        </w:rPr>
        <w:t>)</w:t>
      </w:r>
      <w:r w:rsidRPr="00E63BC5">
        <w:rPr>
          <w:rFonts w:ascii="Times New Roman" w:hAnsi="Times New Roman"/>
          <w:b w:val="0"/>
          <w:sz w:val="24"/>
          <w:szCs w:val="24"/>
        </w:rPr>
        <w:t>.</w:t>
      </w:r>
      <w:r>
        <w:rPr>
          <w:rFonts w:ascii="Times New Roman" w:hAnsi="Times New Roman"/>
          <w:b w:val="0"/>
          <w:sz w:val="24"/>
          <w:szCs w:val="24"/>
        </w:rPr>
        <w:t xml:space="preserve">  </w:t>
      </w:r>
      <w:r w:rsidRPr="00B65A6E">
        <w:rPr>
          <w:rFonts w:ascii="Times New Roman" w:hAnsi="Times New Roman"/>
          <w:b w:val="0"/>
          <w:sz w:val="24"/>
          <w:szCs w:val="24"/>
        </w:rPr>
        <w:t>If the</w:t>
      </w:r>
      <w:r>
        <w:rPr>
          <w:rFonts w:ascii="Times New Roman" w:hAnsi="Times New Roman"/>
          <w:b w:val="0"/>
          <w:sz w:val="24"/>
          <w:szCs w:val="24"/>
        </w:rPr>
        <w:t xml:space="preserve"> data</w:t>
      </w:r>
      <w:r w:rsidRPr="00B65A6E">
        <w:rPr>
          <w:rFonts w:ascii="Times New Roman" w:hAnsi="Times New Roman"/>
          <w:b w:val="0"/>
          <w:sz w:val="24"/>
          <w:szCs w:val="24"/>
        </w:rPr>
        <w:t xml:space="preserve"> collection</w:t>
      </w:r>
      <w:r>
        <w:rPr>
          <w:rFonts w:ascii="Times New Roman" w:hAnsi="Times New Roman"/>
          <w:b w:val="0"/>
          <w:sz w:val="24"/>
          <w:szCs w:val="24"/>
        </w:rPr>
        <w:t>s</w:t>
      </w:r>
      <w:r w:rsidRPr="00B65A6E">
        <w:rPr>
          <w:rFonts w:ascii="Times New Roman" w:hAnsi="Times New Roman"/>
          <w:b w:val="0"/>
          <w:sz w:val="24"/>
          <w:szCs w:val="24"/>
        </w:rPr>
        <w:t xml:space="preserve"> </w:t>
      </w:r>
      <w:r>
        <w:rPr>
          <w:rFonts w:ascii="Times New Roman" w:hAnsi="Times New Roman"/>
          <w:b w:val="0"/>
          <w:sz w:val="24"/>
          <w:szCs w:val="24"/>
        </w:rPr>
        <w:t xml:space="preserve">are </w:t>
      </w:r>
      <w:r w:rsidRPr="00B65A6E">
        <w:rPr>
          <w:rFonts w:ascii="Times New Roman" w:hAnsi="Times New Roman"/>
          <w:b w:val="0"/>
          <w:sz w:val="24"/>
          <w:szCs w:val="24"/>
        </w:rPr>
        <w:t>conducted less frequently</w:t>
      </w:r>
      <w:r>
        <w:rPr>
          <w:rFonts w:ascii="Times New Roman" w:hAnsi="Times New Roman"/>
          <w:b w:val="0"/>
          <w:sz w:val="24"/>
          <w:szCs w:val="24"/>
        </w:rPr>
        <w:t xml:space="preserve"> or not at all</w:t>
      </w:r>
      <w:r w:rsidRPr="00B65A6E">
        <w:rPr>
          <w:rFonts w:ascii="Times New Roman" w:hAnsi="Times New Roman"/>
          <w:b w:val="0"/>
          <w:sz w:val="24"/>
          <w:szCs w:val="24"/>
        </w:rPr>
        <w:t xml:space="preserve">, the data will have less statistical power and the Agency will be unable to measure trends of improvement or regression in foodborne illness risk factor occurrence over time. </w:t>
      </w:r>
      <w:r>
        <w:rPr>
          <w:rFonts w:ascii="Times New Roman" w:hAnsi="Times New Roman"/>
          <w:b w:val="0"/>
          <w:sz w:val="24"/>
          <w:szCs w:val="24"/>
        </w:rPr>
        <w:t xml:space="preserve"> </w:t>
      </w:r>
      <w:r w:rsidRPr="00B65A6E">
        <w:rPr>
          <w:rFonts w:ascii="Times New Roman" w:hAnsi="Times New Roman"/>
          <w:b w:val="0"/>
          <w:sz w:val="24"/>
          <w:szCs w:val="24"/>
        </w:rPr>
        <w:t>This lack of information will impede FDA’s ability to</w:t>
      </w:r>
      <w:r>
        <w:rPr>
          <w:rFonts w:ascii="Times New Roman" w:hAnsi="Times New Roman"/>
          <w:b w:val="0"/>
          <w:sz w:val="24"/>
          <w:szCs w:val="24"/>
        </w:rPr>
        <w:t xml:space="preserve"> </w:t>
      </w:r>
      <w:r w:rsidRPr="00B65A6E">
        <w:rPr>
          <w:rFonts w:ascii="Times New Roman" w:hAnsi="Times New Roman"/>
          <w:b w:val="0"/>
          <w:sz w:val="24"/>
          <w:szCs w:val="24"/>
        </w:rPr>
        <w:t>formulate Agency retail food safety policies, initiatives, and work plan priorities based on sound science</w:t>
      </w:r>
      <w:r>
        <w:rPr>
          <w:rFonts w:ascii="Times New Roman" w:hAnsi="Times New Roman"/>
          <w:b w:val="0"/>
          <w:sz w:val="24"/>
          <w:szCs w:val="24"/>
        </w:rPr>
        <w:t xml:space="preserve">.  In addition, the lack of information will </w:t>
      </w:r>
      <w:r w:rsidRPr="00B65A6E">
        <w:rPr>
          <w:rFonts w:ascii="Times New Roman" w:hAnsi="Times New Roman"/>
          <w:b w:val="0"/>
          <w:sz w:val="24"/>
          <w:szCs w:val="24"/>
        </w:rPr>
        <w:t xml:space="preserve">hamper </w:t>
      </w:r>
      <w:r>
        <w:rPr>
          <w:rFonts w:ascii="Times New Roman" w:hAnsi="Times New Roman"/>
          <w:b w:val="0"/>
          <w:sz w:val="24"/>
          <w:szCs w:val="24"/>
        </w:rPr>
        <w:t>FDA’s ability to allocate resources in a strategic and efficient manner based on the specific needs of our stakeholders.  Lastly, without this information, FDA will be unable to recommend</w:t>
      </w:r>
      <w:r w:rsidRPr="00B65A6E">
        <w:rPr>
          <w:rFonts w:ascii="Times New Roman" w:hAnsi="Times New Roman"/>
          <w:b w:val="0"/>
          <w:sz w:val="24"/>
          <w:szCs w:val="24"/>
        </w:rPr>
        <w:t xml:space="preserve"> targeted intervention strategies to assist </w:t>
      </w:r>
      <w:r w:rsidRPr="00B65A6E" w:rsidR="00EE6269">
        <w:rPr>
          <w:rFonts w:ascii="Times New Roman" w:hAnsi="Times New Roman"/>
          <w:b w:val="0"/>
          <w:sz w:val="24"/>
          <w:szCs w:val="24"/>
        </w:rPr>
        <w:t xml:space="preserve">the retail </w:t>
      </w:r>
      <w:r w:rsidR="00EE6269">
        <w:rPr>
          <w:rFonts w:ascii="Times New Roman" w:hAnsi="Times New Roman"/>
          <w:b w:val="0"/>
          <w:sz w:val="24"/>
          <w:szCs w:val="24"/>
        </w:rPr>
        <w:t xml:space="preserve">food </w:t>
      </w:r>
      <w:r w:rsidRPr="00B65A6E" w:rsidR="00EE6269">
        <w:rPr>
          <w:rFonts w:ascii="Times New Roman" w:hAnsi="Times New Roman"/>
          <w:b w:val="0"/>
          <w:sz w:val="24"/>
          <w:szCs w:val="24"/>
        </w:rPr>
        <w:t xml:space="preserve">and </w:t>
      </w:r>
      <w:r w:rsidR="00EE6269">
        <w:rPr>
          <w:rFonts w:ascii="Times New Roman" w:hAnsi="Times New Roman"/>
          <w:b w:val="0"/>
          <w:sz w:val="24"/>
          <w:szCs w:val="24"/>
        </w:rPr>
        <w:t xml:space="preserve">institutional </w:t>
      </w:r>
      <w:r w:rsidRPr="00B65A6E" w:rsidR="00EE6269">
        <w:rPr>
          <w:rFonts w:ascii="Times New Roman" w:hAnsi="Times New Roman"/>
          <w:b w:val="0"/>
          <w:sz w:val="24"/>
          <w:szCs w:val="24"/>
        </w:rPr>
        <w:t>foodservice industry</w:t>
      </w:r>
      <w:r w:rsidRPr="00B65A6E">
        <w:rPr>
          <w:rFonts w:ascii="Times New Roman" w:hAnsi="Times New Roman"/>
          <w:b w:val="0"/>
          <w:sz w:val="24"/>
          <w:szCs w:val="24"/>
        </w:rPr>
        <w:t xml:space="preserve"> and </w:t>
      </w:r>
      <w:r w:rsidR="00F03A91">
        <w:rPr>
          <w:rFonts w:ascii="Times New Roman" w:hAnsi="Times New Roman"/>
          <w:b w:val="0"/>
          <w:sz w:val="24"/>
          <w:szCs w:val="24"/>
        </w:rPr>
        <w:t>s</w:t>
      </w:r>
      <w:r w:rsidRPr="00B65A6E">
        <w:rPr>
          <w:rFonts w:ascii="Times New Roman" w:hAnsi="Times New Roman"/>
          <w:b w:val="0"/>
          <w:sz w:val="24"/>
          <w:szCs w:val="24"/>
        </w:rPr>
        <w:t>tate, local, and tribal regulators with reducing foodborne illness risk factors.</w:t>
      </w:r>
      <w:r>
        <w:rPr>
          <w:rFonts w:ascii="Times New Roman" w:hAnsi="Times New Roman"/>
          <w:b w:val="0"/>
          <w:sz w:val="24"/>
          <w:szCs w:val="24"/>
        </w:rPr>
        <w:t xml:space="preserve"> </w:t>
      </w:r>
      <w:r w:rsidRPr="00B65A6E">
        <w:rPr>
          <w:rFonts w:ascii="Times New Roman" w:hAnsi="Times New Roman"/>
          <w:b w:val="0"/>
          <w:sz w:val="24"/>
          <w:szCs w:val="24"/>
        </w:rPr>
        <w:t xml:space="preserve"> The study is part of the Agency’s mission critical work to reduce foodborne illnesses.  </w:t>
      </w:r>
      <w:r w:rsidRPr="00DF3481">
        <w:rPr>
          <w:rFonts w:ascii="Times New Roman" w:hAnsi="Times New Roman"/>
          <w:b w:val="0"/>
          <w:sz w:val="24"/>
          <w:szCs w:val="24"/>
        </w:rPr>
        <w:t xml:space="preserve">There are no legal </w:t>
      </w:r>
      <w:r>
        <w:rPr>
          <w:rFonts w:ascii="Times New Roman" w:hAnsi="Times New Roman"/>
          <w:b w:val="0"/>
          <w:sz w:val="24"/>
          <w:szCs w:val="24"/>
        </w:rPr>
        <w:t>obstacles to reduce the burden.</w:t>
      </w:r>
      <w:r w:rsidRPr="006E475B">
        <w:t xml:space="preserve"> </w:t>
      </w:r>
      <w:r w:rsidRPr="006E475B">
        <w:rPr>
          <w:rFonts w:ascii="Times New Roman" w:hAnsi="Times New Roman"/>
          <w:b w:val="0"/>
          <w:sz w:val="24"/>
          <w:szCs w:val="24"/>
        </w:rPr>
        <w:t>Respondents will only respond once during each data collection period.</w:t>
      </w:r>
    </w:p>
    <w:p w:rsidRPr="004C6979" w:rsidR="00CD77C3" w:rsidP="00EB7538" w:rsidRDefault="00EB7538" w14:paraId="54777F91"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5133FA" w:rsidP="005133FA" w:rsidRDefault="005133FA" w14:paraId="0765CE4C" w14:textId="77777777">
      <w:pPr>
        <w:ind w:left="720"/>
      </w:pPr>
      <w:r>
        <w:t>There are no special circumstances for this collection of information.</w:t>
      </w:r>
    </w:p>
    <w:p w:rsidR="00CD77C3" w:rsidP="00EB7538" w:rsidRDefault="00EB7538" w14:paraId="67A7ED4F" w14:textId="77777777">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Pr="00CA5A59" w:rsidR="00E63BC5" w:rsidP="00705086" w:rsidRDefault="00E63BC5" w14:paraId="3047D647" w14:textId="77777777">
      <w:pPr>
        <w:ind w:left="720"/>
      </w:pPr>
      <w:r>
        <w:t xml:space="preserve">In accordance with 5 CFR 1320.8(d), FDA published a </w:t>
      </w:r>
      <w:proofErr w:type="gramStart"/>
      <w:r>
        <w:t>60 day</w:t>
      </w:r>
      <w:proofErr w:type="gramEnd"/>
      <w:r>
        <w:t xml:space="preserve"> notice for public comment in the FEDERAL REGISTER </w:t>
      </w:r>
      <w:r w:rsidR="00986F68">
        <w:t xml:space="preserve">February 18, 2021 (86 FR 10087). </w:t>
      </w:r>
      <w:r w:rsidRPr="000C3A0E">
        <w:t xml:space="preserve">FDA received </w:t>
      </w:r>
      <w:r w:rsidRPr="00CA5A59" w:rsidR="00C232D3">
        <w:t>one</w:t>
      </w:r>
      <w:r w:rsidR="000D08F4">
        <w:t xml:space="preserve"> </w:t>
      </w:r>
      <w:r w:rsidRPr="00CA5A59">
        <w:t>comment.</w:t>
      </w:r>
    </w:p>
    <w:p w:rsidRPr="00CA5A59" w:rsidR="000D08F4" w:rsidP="005C540A" w:rsidRDefault="00EE6269" w14:paraId="4EF42ED2" w14:textId="77777777">
      <w:pPr>
        <w:spacing w:before="100" w:beforeAutospacing="1" w:after="100" w:afterAutospacing="1"/>
        <w:ind w:left="720"/>
      </w:pPr>
      <w:r w:rsidRPr="00CA5A59">
        <w:rPr>
          <w:i/>
        </w:rPr>
        <w:t>(Comment 1)</w:t>
      </w:r>
      <w:r w:rsidRPr="00CA5A59" w:rsidR="006426A5">
        <w:t xml:space="preserve"> </w:t>
      </w:r>
      <w:bookmarkStart w:name="_Hlk73046762" w:id="1"/>
      <w:r w:rsidRPr="00CA5A59" w:rsidR="000D08F4">
        <w:t>An interested citizen submitted the following comments:</w:t>
      </w:r>
    </w:p>
    <w:p w:rsidRPr="00CA5A59" w:rsidR="000D08F4" w:rsidP="00CF5F93" w:rsidRDefault="000D08F4" w14:paraId="08B4FDA4" w14:textId="77777777">
      <w:pPr>
        <w:numPr>
          <w:ilvl w:val="0"/>
          <w:numId w:val="81"/>
        </w:numPr>
        <w:spacing w:before="100" w:beforeAutospacing="1" w:after="100" w:afterAutospacing="1"/>
        <w:rPr>
          <w:iCs/>
        </w:rPr>
      </w:pPr>
      <w:r w:rsidRPr="00CA5A59">
        <w:rPr>
          <w:iCs/>
        </w:rPr>
        <w:t xml:space="preserve">The previous </w:t>
      </w:r>
      <w:proofErr w:type="gramStart"/>
      <w:r w:rsidRPr="00CA5A59">
        <w:rPr>
          <w:iCs/>
        </w:rPr>
        <w:t>10 year</w:t>
      </w:r>
      <w:proofErr w:type="gramEnd"/>
      <w:r w:rsidRPr="00CA5A59">
        <w:rPr>
          <w:iCs/>
        </w:rPr>
        <w:t xml:space="preserve"> study conducted by FDA did not mention negative trends in the ‘other’ category which included information </w:t>
      </w:r>
      <w:r w:rsidRPr="00CA5A59" w:rsidR="003801DB">
        <w:rPr>
          <w:iCs/>
        </w:rPr>
        <w:t>about contamination risk factors as they relate to food or color additives, poisonous or toxic materials, or storage of poisonous or toxic materials for retail sale</w:t>
      </w:r>
      <w:r w:rsidRPr="00CA5A59">
        <w:rPr>
          <w:iCs/>
        </w:rPr>
        <w:t>.</w:t>
      </w:r>
      <w:r w:rsidRPr="00CA5A59" w:rsidR="003801DB">
        <w:rPr>
          <w:iCs/>
        </w:rPr>
        <w:t xml:space="preserve">  This negative trend should be reported.</w:t>
      </w:r>
    </w:p>
    <w:p w:rsidRPr="00CA5A59" w:rsidR="000D08F4" w:rsidP="00CF5F93" w:rsidRDefault="000D08F4" w14:paraId="22733DC5" w14:textId="77777777">
      <w:pPr>
        <w:numPr>
          <w:ilvl w:val="0"/>
          <w:numId w:val="81"/>
        </w:numPr>
        <w:spacing w:before="100" w:beforeAutospacing="1" w:after="100" w:afterAutospacing="1"/>
        <w:rPr>
          <w:iCs/>
        </w:rPr>
      </w:pPr>
      <w:r w:rsidRPr="00CA5A59">
        <w:rPr>
          <w:iCs/>
        </w:rPr>
        <w:t>The 2013-20</w:t>
      </w:r>
      <w:r w:rsidRPr="00CA5A59" w:rsidR="003801DB">
        <w:rPr>
          <w:iCs/>
        </w:rPr>
        <w:t>14</w:t>
      </w:r>
      <w:r w:rsidRPr="00CA5A59">
        <w:rPr>
          <w:iCs/>
        </w:rPr>
        <w:t xml:space="preserve"> report on restaurants the ‘other’ </w:t>
      </w:r>
      <w:r w:rsidRPr="00CA5A59" w:rsidR="003801DB">
        <w:rPr>
          <w:iCs/>
        </w:rPr>
        <w:t>contamination risk factor did not appear in the report.  This should remain the same as the previous 10-year study for comparison purposes.</w:t>
      </w:r>
    </w:p>
    <w:p w:rsidRPr="00CA5A59" w:rsidR="003801DB" w:rsidP="00CA5A59" w:rsidRDefault="003801DB" w14:paraId="3A156318" w14:textId="77777777">
      <w:pPr>
        <w:numPr>
          <w:ilvl w:val="0"/>
          <w:numId w:val="81"/>
        </w:numPr>
        <w:spacing w:before="100" w:beforeAutospacing="1" w:after="100" w:afterAutospacing="1"/>
        <w:rPr>
          <w:iCs/>
        </w:rPr>
      </w:pPr>
      <w:r w:rsidRPr="00CA5A59">
        <w:rPr>
          <w:iCs/>
        </w:rPr>
        <w:t>The FDA should keep chemicals as a risk factor for future research on the occurrence of foodborne illness risk factors</w:t>
      </w:r>
    </w:p>
    <w:p w:rsidRPr="00CA5A59" w:rsidR="003801DB" w:rsidP="005C540A" w:rsidRDefault="004A7EC2" w14:paraId="61874FDB" w14:textId="77777777">
      <w:pPr>
        <w:spacing w:before="100" w:beforeAutospacing="1" w:after="100" w:afterAutospacing="1"/>
        <w:ind w:left="720"/>
      </w:pPr>
      <w:r w:rsidRPr="00CA5A59">
        <w:rPr>
          <w:i/>
        </w:rPr>
        <w:lastRenderedPageBreak/>
        <w:t>(Response 1)</w:t>
      </w:r>
      <w:r w:rsidRPr="00CA5A59">
        <w:t xml:space="preserve"> </w:t>
      </w:r>
      <w:r w:rsidRPr="00CA5A59" w:rsidR="003801DB">
        <w:t>The FDA acknowledges the submission of the question from a concerned citizen and provides the following response:</w:t>
      </w:r>
    </w:p>
    <w:bookmarkEnd w:id="1"/>
    <w:p w:rsidRPr="00175AE7" w:rsidR="00175AE7" w:rsidP="00175AE7" w:rsidRDefault="00175AE7" w14:paraId="1F0F70FB" w14:textId="77777777">
      <w:pPr>
        <w:numPr>
          <w:ilvl w:val="0"/>
          <w:numId w:val="83"/>
        </w:numPr>
        <w:spacing w:before="100" w:beforeAutospacing="1" w:after="100" w:afterAutospacing="1"/>
      </w:pPr>
      <w:r w:rsidRPr="00175AE7">
        <w:t xml:space="preserve">FDA acknowledges the commenter’s concern on a perceived lack of reporting on trends within the previous 10-year study.   </w:t>
      </w:r>
    </w:p>
    <w:p w:rsidR="00175AE7" w:rsidP="00175AE7" w:rsidRDefault="00175AE7" w14:paraId="2E6E20A8" w14:textId="77777777">
      <w:pPr>
        <w:numPr>
          <w:ilvl w:val="0"/>
          <w:numId w:val="83"/>
        </w:numPr>
        <w:rPr>
          <w:sz w:val="22"/>
          <w:szCs w:val="22"/>
        </w:rPr>
      </w:pPr>
      <w:r w:rsidRPr="00175AE7">
        <w:t xml:space="preserve">The FDA report on the results of the 2013-2014 data collection was the first report with the new study design of the 10-year study.  One of the significant design changes from the 1998-2008 Study is the reduction of the number of data items from 42 to 10.  The focus on the 10 primary data items provides the opportunity to obtain enough observations of food safety practices and procedures to report statistically significant study conclusions and correlations.  </w:t>
      </w:r>
      <w:r w:rsidRPr="00175AE7">
        <w:br/>
      </w:r>
      <w:proofErr w:type="gramStart"/>
      <w:r w:rsidRPr="00175AE7">
        <w:t>In an effort to</w:t>
      </w:r>
      <w:proofErr w:type="gramEnd"/>
      <w:r w:rsidRPr="00175AE7">
        <w:t xml:space="preserve"> focus messaging on the most prevalent food safety practices and behaviors found out of compliance, in secondary data items (items 11-19) were not reported at that time.  FDA focused the report on the primary 10 data items which directly correspond with the foodborne illness risk factors included in the study.  The new study design includes “Other Areas of Interest” that support the primary data items or track an area that is not likely to have a </w:t>
      </w:r>
      <w:proofErr w:type="gramStart"/>
      <w:r w:rsidRPr="00175AE7">
        <w:t>sufficient enough</w:t>
      </w:r>
      <w:proofErr w:type="gramEnd"/>
      <w:r w:rsidRPr="00175AE7">
        <w:t xml:space="preserve"> number of observations for statistical purposes but is an important food safety practice within the retail segment of the industry – such as Item 18, which addresses the concern of the commenter.  Item 18 Toxic materials are identified, used, and stored properly as outlined in the marking instructions (Attachment B). The current data collection continues to collect information on the provisions within the food code that address the safe storage, handling, and use of toxic and poisonous substances. If significant findings occur FDA is committed to reporting those findings. From the 2015 data collection forward the FDA will be publishing a topline summary report to include information on data items 11-18.  These reports can be accessed at </w:t>
      </w:r>
      <w:hyperlink r:id="rId12">
        <w:r w:rsidRPr="00175AE7">
          <w:rPr>
            <w:rStyle w:val="Hyperlink"/>
          </w:rPr>
          <w:t>www.fda.gov/retailfoodriskfactorstudy</w:t>
        </w:r>
      </w:hyperlink>
      <w:r w:rsidRPr="00175AE7">
        <w:t xml:space="preserve">. </w:t>
      </w:r>
    </w:p>
    <w:p w:rsidRPr="00175AE7" w:rsidR="00175AE7" w:rsidP="00175AE7" w:rsidRDefault="00175AE7" w14:paraId="51E78DD8" w14:textId="77777777">
      <w:pPr>
        <w:numPr>
          <w:ilvl w:val="0"/>
          <w:numId w:val="83"/>
        </w:numPr>
        <w:rPr>
          <w:sz w:val="22"/>
          <w:szCs w:val="22"/>
        </w:rPr>
      </w:pPr>
      <w:r w:rsidRPr="00175AE7">
        <w:t xml:space="preserve">While not listed as one of the five main foodborne illness risk factors in the current study design, FDA recognizes the importance of controlling chemicals and toxic substances in food service facilities to prevent injury and illness.  The information gathered in Data Item 18 as described above helps FDA keep a pulse on risky behaviors surrounding toxic or poisonous materials in retail facilities.  The purpose of this 10-year study is primarily to collect information on the five foodborne illness risk factors and study to elucidate relationships between the foodborne illness risk factors and food safety management systems, and certified food protection managers.  </w:t>
      </w:r>
    </w:p>
    <w:p w:rsidRPr="000734EF" w:rsidR="00E63BC5" w:rsidP="00175AE7" w:rsidRDefault="00E63BC5" w14:paraId="3B3975E1" w14:textId="0E90103C">
      <w:pPr>
        <w:tabs>
          <w:tab w:val="left" w:pos="2856"/>
        </w:tabs>
        <w:spacing w:before="100" w:beforeAutospacing="1" w:after="100" w:afterAutospacing="1"/>
        <w:ind w:left="720"/>
        <w:rPr>
          <w:i/>
          <w:u w:val="single"/>
        </w:rPr>
      </w:pPr>
      <w:r w:rsidRPr="000734EF">
        <w:rPr>
          <w:i/>
          <w:u w:val="single"/>
        </w:rPr>
        <w:t xml:space="preserve">Efforts to Consult with Representatives from Industry on the Proposed Information Collection  </w:t>
      </w:r>
    </w:p>
    <w:p w:rsidR="00E63BC5" w:rsidP="00E63BC5" w:rsidRDefault="00E63BC5" w14:paraId="266C0D7C" w14:textId="77777777">
      <w:pPr>
        <w:autoSpaceDE w:val="0"/>
        <w:autoSpaceDN w:val="0"/>
        <w:adjustRightInd w:val="0"/>
        <w:ind w:left="720"/>
      </w:pPr>
      <w:r>
        <w:t xml:space="preserve">The current 10-year study builds on the design of a previous 10-year risk factor study that included three separate data collections.  At the completion of each of the three previous data collections in 1998, 2003, and 2008, results were shared via presentations to small groups and established committees made up of retail food and restaurant industry leaders.  Feedback was obtained on the study design and the reporting of the results.  This feedback helped to inform the process of designing the current 10-year study.  </w:t>
      </w:r>
    </w:p>
    <w:p w:rsidR="00E63BC5" w:rsidP="00E63BC5" w:rsidRDefault="00E63BC5" w14:paraId="1A4E123C" w14:textId="77777777">
      <w:pPr>
        <w:autoSpaceDE w:val="0"/>
        <w:autoSpaceDN w:val="0"/>
        <w:adjustRightInd w:val="0"/>
        <w:ind w:left="720"/>
      </w:pPr>
    </w:p>
    <w:p w:rsidR="00E63BC5" w:rsidP="00E63BC5" w:rsidRDefault="00E63BC5" w14:paraId="401E4683" w14:textId="77777777">
      <w:pPr>
        <w:autoSpaceDE w:val="0"/>
        <w:autoSpaceDN w:val="0"/>
        <w:adjustRightInd w:val="0"/>
        <w:ind w:left="720"/>
      </w:pPr>
      <w:r>
        <w:lastRenderedPageBreak/>
        <w:t>FDA seeks input from industry stakeholder groups, among others, for enhancing the effectiveness of the nation’s food safety system.  FDA has established a partnership with food safety leaders from the foodservice industry and separate partnership with leaders from the retail food store industry.  These partnerships provide an opportunity for FDA personnel to meet with industry leaders three times a year to discuss ways to best achieve our food safety objectives.  During these meetings, FDA provides the partnership members with regular updates on the Risk Factor Study and seeks suggestions for improving the study design and for optimizing access to the food establishments.  For example, the industry partnership groups provided recommendations for improving the introductory letter describing the purpose and burden of the study.  In addition, industry partnership groups provided recommendations for phrasing some of the interview questions so they are asked in a manner that will be clear to the person in charge. They also suggested that the wording of the data items be phrased as positive statements (</w:t>
      </w:r>
      <w:proofErr w:type="gramStart"/>
      <w:r>
        <w:t>i.e.</w:t>
      </w:r>
      <w:proofErr w:type="gramEnd"/>
      <w:r>
        <w:t xml:space="preserve"> the desired behavior) versus negative statements (i.e. undesired behavior or violations).  </w:t>
      </w:r>
    </w:p>
    <w:p w:rsidR="00E63BC5" w:rsidP="00E63BC5" w:rsidRDefault="00E63BC5" w14:paraId="6483EAB3" w14:textId="77777777">
      <w:pPr>
        <w:autoSpaceDE w:val="0"/>
        <w:autoSpaceDN w:val="0"/>
        <w:adjustRightInd w:val="0"/>
        <w:ind w:left="720"/>
      </w:pPr>
    </w:p>
    <w:p w:rsidR="00E63BC5" w:rsidP="00E63BC5" w:rsidRDefault="00E63BC5" w14:paraId="20DA0E33" w14:textId="02D59241">
      <w:pPr>
        <w:autoSpaceDE w:val="0"/>
        <w:autoSpaceDN w:val="0"/>
        <w:adjustRightInd w:val="0"/>
        <w:ind w:left="720"/>
      </w:pPr>
      <w:r>
        <w:t xml:space="preserve">In addition, key industry </w:t>
      </w:r>
      <w:r w:rsidR="002548F7">
        <w:t>committees are continually informed on the progress of the study and key results from each of the data collection periods.</w:t>
      </w:r>
      <w:r>
        <w:t xml:space="preserve">  These groups include the National Restaurant Association's Quality Assurance Executive Study Group, the National Council of Chain Restaurants' Food Safety Task Force, and the FMI Food Protection Committee.  </w:t>
      </w:r>
    </w:p>
    <w:p w:rsidR="00E63BC5" w:rsidP="00E63BC5" w:rsidRDefault="00E63BC5" w14:paraId="685F70C6" w14:textId="77777777">
      <w:pPr>
        <w:ind w:left="720"/>
        <w:rPr>
          <w:i/>
          <w:u w:val="single"/>
        </w:rPr>
      </w:pPr>
      <w:r>
        <w:rPr>
          <w:i/>
          <w:u w:val="single"/>
        </w:rPr>
        <w:t xml:space="preserve">Efforts to Consult with Representatives of Other Federal Programs on the Proposed Information Collection  </w:t>
      </w:r>
    </w:p>
    <w:p w:rsidR="00E63BC5" w:rsidP="00E63BC5" w:rsidRDefault="00E63BC5" w14:paraId="30764940" w14:textId="77777777">
      <w:pPr>
        <w:ind w:left="720"/>
      </w:pPr>
    </w:p>
    <w:p w:rsidR="00E63BC5" w:rsidP="00E63BC5" w:rsidRDefault="00E63BC5" w14:paraId="44E4F69D" w14:textId="77777777">
      <w:pPr>
        <w:autoSpaceDE w:val="0"/>
        <w:autoSpaceDN w:val="0"/>
        <w:adjustRightInd w:val="0"/>
        <w:ind w:left="720"/>
      </w:pPr>
      <w:r>
        <w:t>The results of the FDA Retail Risk Factor Study have impact on the following Federal agencies:  USDA-FNS and the CDC.  Specifically:</w:t>
      </w:r>
    </w:p>
    <w:p w:rsidR="00E63BC5" w:rsidP="00E63BC5" w:rsidRDefault="00E63BC5" w14:paraId="1ED5C120" w14:textId="77777777">
      <w:pPr>
        <w:autoSpaceDE w:val="0"/>
        <w:autoSpaceDN w:val="0"/>
        <w:adjustRightInd w:val="0"/>
        <w:ind w:left="720"/>
      </w:pPr>
      <w:r>
        <w:t xml:space="preserve">   </w:t>
      </w:r>
    </w:p>
    <w:p w:rsidR="00E63BC5" w:rsidP="00E63BC5" w:rsidRDefault="00E63BC5" w14:paraId="095EA52C" w14:textId="77777777">
      <w:pPr>
        <w:numPr>
          <w:ilvl w:val="0"/>
          <w:numId w:val="47"/>
        </w:numPr>
        <w:autoSpaceDE w:val="0"/>
        <w:autoSpaceDN w:val="0"/>
        <w:adjustRightInd w:val="0"/>
        <w:ind w:left="1100" w:hanging="380"/>
      </w:pPr>
      <w:r>
        <w:t xml:space="preserve">The USDA Food and Nutrition Service has used the results of the previous studies to call attention to key food safety practices in school cafeterias and direct research funds to institutions that can provide operators with appropriate educational materials. </w:t>
      </w:r>
    </w:p>
    <w:p w:rsidR="00E63BC5" w:rsidP="00E63BC5" w:rsidRDefault="00E63BC5" w14:paraId="0EF33379" w14:textId="77777777">
      <w:pPr>
        <w:numPr>
          <w:ilvl w:val="0"/>
          <w:numId w:val="47"/>
        </w:numPr>
        <w:autoSpaceDE w:val="0"/>
        <w:autoSpaceDN w:val="0"/>
        <w:adjustRightInd w:val="0"/>
        <w:ind w:left="1100" w:hanging="380"/>
      </w:pPr>
      <w:r>
        <w:t xml:space="preserve">CDC conducts and funds research that seeks a better understanding of the prevalence and prevention of the transmission of disease via food, including several studies as part of its EHS-Net program that targets foodservice operations.  FDA has kept and will continue to keep key CDC staff informed of the plans for and results of the Risk Factor Study so that areas in which our concurrent studies reinforce or run counter to one another can be analyzed and appropriate prevention-based messages developed. </w:t>
      </w:r>
    </w:p>
    <w:p w:rsidR="00E63BC5" w:rsidP="00E63BC5" w:rsidRDefault="00E63BC5" w14:paraId="230A5C0F" w14:textId="77777777"/>
    <w:p w:rsidR="00E63BC5" w:rsidP="00E63BC5" w:rsidRDefault="00E63BC5" w14:paraId="5F7A80A4" w14:textId="11D1035F">
      <w:pPr>
        <w:ind w:left="720"/>
      </w:pPr>
      <w:r>
        <w:t>While FDA's data collections are not targeting establishments operating on Federal installations, any Federal agency that has responsibility for the oversight of foodservice or retail food store operations could derive benefit from the results of this Retail Risk Factor Study.  Organizations such as the Indian Health Service, the National Park Service, the Bureau of Prisons, and the branches of the Department of Defense can gain insight into which foodborne illness risk factors present the greatest challenge for control and the potential value of certain intervention strategies.</w:t>
      </w:r>
    </w:p>
    <w:p w:rsidR="005C7311" w:rsidP="00E63BC5" w:rsidRDefault="005C7311" w14:paraId="1A7B0C16" w14:textId="77777777">
      <w:pPr>
        <w:ind w:left="720"/>
      </w:pPr>
    </w:p>
    <w:p w:rsidRPr="004C6979" w:rsidR="00CD77C3" w:rsidP="00E00EA0" w:rsidRDefault="00EB7538" w14:paraId="79A60192" w14:textId="77777777">
      <w:pPr>
        <w:numPr>
          <w:ilvl w:val="0"/>
          <w:numId w:val="1"/>
        </w:numPr>
        <w:spacing w:before="100" w:beforeAutospacing="1" w:after="100" w:afterAutospacing="1"/>
        <w:rPr>
          <w:u w:val="single"/>
        </w:rPr>
      </w:pPr>
      <w:r w:rsidRPr="004C6979">
        <w:rPr>
          <w:u w:val="single"/>
        </w:rPr>
        <w:lastRenderedPageBreak/>
        <w:t>Explanation of Any Payment or Gift to Respondents</w:t>
      </w:r>
    </w:p>
    <w:p w:rsidR="00E63BC5" w:rsidP="00A8062C" w:rsidRDefault="00E63BC5" w14:paraId="709730C0" w14:textId="77777777">
      <w:pPr>
        <w:ind w:firstLine="720"/>
      </w:pPr>
      <w:r>
        <w:t>There will be no payments to the respondents.</w:t>
      </w:r>
    </w:p>
    <w:p w:rsidRPr="004C6979" w:rsidR="00CD77C3" w:rsidP="009C5A02" w:rsidRDefault="00EB7538" w14:paraId="7336398C" w14:textId="77777777">
      <w:pPr>
        <w:numPr>
          <w:ilvl w:val="0"/>
          <w:numId w:val="1"/>
        </w:numPr>
        <w:spacing w:before="100" w:beforeAutospacing="1" w:after="100" w:afterAutospacing="1"/>
        <w:rPr>
          <w:u w:val="single"/>
        </w:rPr>
      </w:pPr>
      <w:r w:rsidRPr="004C6979">
        <w:rPr>
          <w:u w:val="single"/>
        </w:rPr>
        <w:t>Assurance of Confidentiality Provided to Respondents</w:t>
      </w:r>
    </w:p>
    <w:p w:rsidR="00E24A36" w:rsidP="00E24A36" w:rsidRDefault="00E24A36" w14:paraId="3E72BF75" w14:textId="7FF2026B">
      <w:pPr>
        <w:pStyle w:val="ListParagraph"/>
        <w:tabs>
          <w:tab w:val="left" w:pos="8370"/>
        </w:tabs>
      </w:pPr>
      <w:r w:rsidRPr="001409FA">
        <w:t>We have consulted with the FDA Privacy Office and confirmed this ICR does not collect personally identifiable infor</w:t>
      </w:r>
      <w:r w:rsidRPr="00B8196E">
        <w:t xml:space="preserve">mation (PII) or information of a personal nature. This information collection supports </w:t>
      </w:r>
      <w:r w:rsidRPr="00B8196E">
        <w:rPr>
          <w:color w:val="000000" w:themeColor="text1"/>
        </w:rPr>
        <w:t>“</w:t>
      </w:r>
      <w:r>
        <w:rPr>
          <w:color w:val="000000" w:themeColor="text1"/>
        </w:rPr>
        <w:t>Survey on the Occurrence of Foodborne Illness Risks in Selected Institutional Foodservice and Retail Stores Facility Types</w:t>
      </w:r>
      <w:r w:rsidRPr="00B8196E">
        <w:rPr>
          <w:color w:val="000000" w:themeColor="text1"/>
        </w:rPr>
        <w:t>”</w:t>
      </w:r>
      <w:r w:rsidRPr="00B8196E">
        <w:t xml:space="preserve"> and does not require the collection of PII.</w:t>
      </w:r>
    </w:p>
    <w:p w:rsidRPr="001409FA" w:rsidR="00E24A36" w:rsidP="00E24A36" w:rsidRDefault="00E24A36" w14:paraId="5327B635" w14:textId="77777777">
      <w:pPr>
        <w:pStyle w:val="ListParagraph"/>
        <w:tabs>
          <w:tab w:val="left" w:pos="8370"/>
        </w:tabs>
      </w:pPr>
    </w:p>
    <w:p w:rsidRPr="00B8196E" w:rsidR="00E24A36" w:rsidP="00E24A36" w:rsidRDefault="00E24A36" w14:paraId="3585ECC4" w14:textId="77777777">
      <w:pPr>
        <w:pStyle w:val="ListParagraph"/>
      </w:pPr>
      <w:r w:rsidRPr="001409FA">
        <w:t xml:space="preserve">FDA further determined that this collection is not subject to the Privacy Act of 1974 and the </w:t>
      </w:r>
      <w:proofErr w:type="gramStart"/>
      <w:r w:rsidRPr="001409FA">
        <w:t>particular notice</w:t>
      </w:r>
      <w:proofErr w:type="gramEnd"/>
      <w:r w:rsidRPr="00B8196E">
        <w:t xml:space="preserve"> and other requirements of the Act do not apply. Specifically, FDA (including vendors or service providers acting on behalf of FDA) does not use name or any other personal identifier to retrieve records from the information collected.</w:t>
      </w:r>
    </w:p>
    <w:p w:rsidRPr="00B8196E" w:rsidR="00E24A36" w:rsidP="00E24A36" w:rsidRDefault="00E24A36" w14:paraId="6DD8E90D" w14:textId="77777777">
      <w:pPr>
        <w:pStyle w:val="ListParagraph"/>
      </w:pPr>
    </w:p>
    <w:p w:rsidRPr="001409FA" w:rsidR="00E24A36" w:rsidP="00E24A36" w:rsidRDefault="00E24A36" w14:paraId="35718D5C" w14:textId="77777777">
      <w:pPr>
        <w:pStyle w:val="ListParagraph"/>
        <w:tabs>
          <w:tab w:val="left" w:pos="8370"/>
        </w:tabs>
      </w:pPr>
      <w:r w:rsidRPr="00B8196E">
        <w:t>Under the Freedom of Information Act (FOIA) (5 U.S.C. 552), the public has broad access to government documents. However, FOIA provides certain exemptions from mandatory public disclosure of government records (5 U.S.C. 552(b</w:t>
      </w:r>
      <w:proofErr w:type="gramStart"/>
      <w:r w:rsidRPr="00B8196E">
        <w:t>)(</w:t>
      </w:r>
      <w:proofErr w:type="gramEnd"/>
      <w:r w:rsidRPr="00B8196E">
        <w:t xml:space="preserve">1-9)).  FDA will make the fullest possible disclosure of records to the public, consistent with the rights of individuals to privacy, the property rights of persons in trade and confidential commercial or financial information. </w:t>
      </w:r>
    </w:p>
    <w:p w:rsidRPr="004C6979" w:rsidR="004C6979" w:rsidP="009C5A02" w:rsidRDefault="00EB7538" w14:paraId="66DDA389" w14:textId="77777777">
      <w:pPr>
        <w:numPr>
          <w:ilvl w:val="0"/>
          <w:numId w:val="1"/>
        </w:numPr>
        <w:spacing w:before="100" w:beforeAutospacing="1" w:after="100" w:afterAutospacing="1"/>
        <w:rPr>
          <w:u w:val="single"/>
        </w:rPr>
      </w:pPr>
      <w:r w:rsidRPr="004C6979">
        <w:rPr>
          <w:u w:val="single"/>
        </w:rPr>
        <w:t>Justification for Sensitive Questions</w:t>
      </w:r>
    </w:p>
    <w:p w:rsidR="006840FC" w:rsidP="009C5A02" w:rsidRDefault="006840FC" w14:paraId="5FD7B082" w14:textId="77777777">
      <w:pPr>
        <w:spacing w:before="100" w:beforeAutospacing="1" w:after="100" w:afterAutospacing="1"/>
        <w:ind w:left="360" w:firstLine="360"/>
      </w:pPr>
      <w:r>
        <w:t>There are no sensitive questions.</w:t>
      </w:r>
    </w:p>
    <w:p w:rsidRPr="004C6979" w:rsidR="004C6979" w:rsidP="00EB7538" w:rsidRDefault="00EB7538" w14:paraId="709B6116" w14:textId="77777777">
      <w:pPr>
        <w:numPr>
          <w:ilvl w:val="0"/>
          <w:numId w:val="1"/>
        </w:numPr>
        <w:spacing w:before="100" w:beforeAutospacing="1" w:after="100" w:afterAutospacing="1"/>
        <w:rPr>
          <w:u w:val="single"/>
        </w:rPr>
      </w:pPr>
      <w:r w:rsidRPr="004C6979">
        <w:rPr>
          <w:u w:val="single"/>
        </w:rPr>
        <w:t>Estimates of Annualized Burden Hours and Costs</w:t>
      </w:r>
    </w:p>
    <w:p w:rsidR="004C6979" w:rsidP="00AC6A99" w:rsidRDefault="008B0E29" w14:paraId="61AB08C4" w14:textId="77777777">
      <w:pPr>
        <w:ind w:left="720"/>
      </w:pPr>
      <w:r>
        <w:rPr>
          <w:u w:val="single"/>
        </w:rPr>
        <w:t xml:space="preserve">12 a. </w:t>
      </w:r>
      <w:r w:rsidR="00411D11">
        <w:rPr>
          <w:u w:val="single"/>
        </w:rPr>
        <w:t xml:space="preserve">Annualized </w:t>
      </w:r>
      <w:r w:rsidR="004C6979">
        <w:rPr>
          <w:u w:val="single"/>
        </w:rPr>
        <w:t>Hour Burden Estimate</w:t>
      </w:r>
    </w:p>
    <w:p w:rsidR="004C6979" w:rsidP="004C6979" w:rsidRDefault="004C6979" w14:paraId="797C2C94" w14:textId="77777777"/>
    <w:p w:rsidR="006426A5" w:rsidP="006426A5" w:rsidRDefault="006426A5" w14:paraId="2BC720C1" w14:textId="6A8860FD">
      <w:pPr>
        <w:ind w:left="720"/>
        <w:rPr>
          <w:bCs/>
          <w:szCs w:val="20"/>
        </w:rPr>
      </w:pPr>
      <w:bookmarkStart w:name="_Hlk79071387" w:id="2"/>
      <w:r w:rsidRPr="00CA0582">
        <w:rPr>
          <w:bCs/>
          <w:szCs w:val="20"/>
        </w:rPr>
        <w:t xml:space="preserve">The burden for </w:t>
      </w:r>
      <w:r w:rsidR="008A1DF7">
        <w:rPr>
          <w:bCs/>
          <w:szCs w:val="20"/>
        </w:rPr>
        <w:t xml:space="preserve">the </w:t>
      </w:r>
      <w:r w:rsidR="008260EC">
        <w:rPr>
          <w:bCs/>
          <w:szCs w:val="20"/>
        </w:rPr>
        <w:t>2023</w:t>
      </w:r>
      <w:r w:rsidR="008A1DF7">
        <w:rPr>
          <w:bCs/>
          <w:szCs w:val="20"/>
        </w:rPr>
        <w:t>-202</w:t>
      </w:r>
      <w:r w:rsidR="008260EC">
        <w:rPr>
          <w:bCs/>
          <w:szCs w:val="20"/>
        </w:rPr>
        <w:t>4</w:t>
      </w:r>
      <w:r w:rsidR="008A1DF7">
        <w:rPr>
          <w:bCs/>
          <w:szCs w:val="20"/>
        </w:rPr>
        <w:t xml:space="preserve"> </w:t>
      </w:r>
      <w:r w:rsidRPr="00CA0582">
        <w:rPr>
          <w:bCs/>
          <w:szCs w:val="20"/>
        </w:rPr>
        <w:t>collection is as follows. For each data</w:t>
      </w:r>
      <w:r>
        <w:rPr>
          <w:bCs/>
          <w:szCs w:val="20"/>
        </w:rPr>
        <w:t xml:space="preserve"> </w:t>
      </w:r>
      <w:r w:rsidRPr="00CA0582">
        <w:rPr>
          <w:bCs/>
          <w:szCs w:val="20"/>
        </w:rPr>
        <w:t>collection, the respondents include:</w:t>
      </w:r>
      <w:r>
        <w:rPr>
          <w:bCs/>
          <w:szCs w:val="20"/>
        </w:rPr>
        <w:t xml:space="preserve"> </w:t>
      </w:r>
      <w:r w:rsidRPr="00CA0582">
        <w:rPr>
          <w:bCs/>
          <w:szCs w:val="20"/>
        </w:rPr>
        <w:t>(1) The person in charge of the selected</w:t>
      </w:r>
      <w:r>
        <w:rPr>
          <w:bCs/>
          <w:szCs w:val="20"/>
        </w:rPr>
        <w:t xml:space="preserve"> </w:t>
      </w:r>
      <w:r w:rsidRPr="00CA0582">
        <w:rPr>
          <w:bCs/>
          <w:szCs w:val="20"/>
        </w:rPr>
        <w:t xml:space="preserve">facility; and (2) the program </w:t>
      </w:r>
      <w:bookmarkEnd w:id="2"/>
      <w:r w:rsidRPr="00CA0582">
        <w:rPr>
          <w:bCs/>
          <w:szCs w:val="20"/>
        </w:rPr>
        <w:t>director (or</w:t>
      </w:r>
      <w:r>
        <w:rPr>
          <w:bCs/>
          <w:szCs w:val="20"/>
        </w:rPr>
        <w:t xml:space="preserve"> </w:t>
      </w:r>
      <w:r w:rsidRPr="00CA0582">
        <w:rPr>
          <w:bCs/>
          <w:szCs w:val="20"/>
        </w:rPr>
        <w:t>designated individual) of the respective</w:t>
      </w:r>
      <w:r>
        <w:rPr>
          <w:bCs/>
          <w:szCs w:val="20"/>
        </w:rPr>
        <w:t xml:space="preserve"> </w:t>
      </w:r>
      <w:r w:rsidRPr="00CA0582">
        <w:rPr>
          <w:bCs/>
          <w:szCs w:val="20"/>
        </w:rPr>
        <w:t>regulatory authority.</w:t>
      </w:r>
      <w:r>
        <w:rPr>
          <w:bCs/>
          <w:szCs w:val="20"/>
        </w:rPr>
        <w:t xml:space="preserve">  </w:t>
      </w:r>
      <w:proofErr w:type="gramStart"/>
      <w:r w:rsidRPr="00CA0582">
        <w:rPr>
          <w:bCs/>
          <w:szCs w:val="20"/>
        </w:rPr>
        <w:t>In order to</w:t>
      </w:r>
      <w:proofErr w:type="gramEnd"/>
      <w:r w:rsidRPr="00CA0582">
        <w:rPr>
          <w:bCs/>
          <w:szCs w:val="20"/>
        </w:rPr>
        <w:t xml:space="preserve"> provide</w:t>
      </w:r>
      <w:r>
        <w:rPr>
          <w:bCs/>
          <w:szCs w:val="20"/>
        </w:rPr>
        <w:t xml:space="preserve"> </w:t>
      </w:r>
      <w:r w:rsidRPr="00CA0582">
        <w:rPr>
          <w:bCs/>
          <w:szCs w:val="20"/>
        </w:rPr>
        <w:t>the sufficient number of observations</w:t>
      </w:r>
      <w:r>
        <w:rPr>
          <w:bCs/>
          <w:szCs w:val="20"/>
        </w:rPr>
        <w:t xml:space="preserve"> </w:t>
      </w:r>
      <w:r w:rsidRPr="00CA0582">
        <w:rPr>
          <w:bCs/>
          <w:szCs w:val="20"/>
        </w:rPr>
        <w:t>needed to conduct a statistically</w:t>
      </w:r>
      <w:r>
        <w:rPr>
          <w:bCs/>
          <w:szCs w:val="20"/>
        </w:rPr>
        <w:t xml:space="preserve"> </w:t>
      </w:r>
      <w:r w:rsidRPr="00CA0582">
        <w:rPr>
          <w:bCs/>
          <w:szCs w:val="20"/>
        </w:rPr>
        <w:t>significant analysis of the data, FDA has</w:t>
      </w:r>
      <w:r>
        <w:rPr>
          <w:bCs/>
          <w:szCs w:val="20"/>
        </w:rPr>
        <w:t xml:space="preserve"> </w:t>
      </w:r>
      <w:r w:rsidRPr="00CA0582">
        <w:rPr>
          <w:bCs/>
          <w:szCs w:val="20"/>
        </w:rPr>
        <w:t>determined that 400 data collections</w:t>
      </w:r>
      <w:r>
        <w:rPr>
          <w:bCs/>
          <w:szCs w:val="20"/>
        </w:rPr>
        <w:t xml:space="preserve"> </w:t>
      </w:r>
      <w:r w:rsidRPr="00CA0582">
        <w:rPr>
          <w:bCs/>
          <w:szCs w:val="20"/>
        </w:rPr>
        <w:t xml:space="preserve">will be required </w:t>
      </w:r>
      <w:r w:rsidR="001E7931">
        <w:rPr>
          <w:bCs/>
          <w:szCs w:val="20"/>
        </w:rPr>
        <w:t xml:space="preserve">retail food store </w:t>
      </w:r>
      <w:r w:rsidRPr="00CA0582">
        <w:rPr>
          <w:bCs/>
          <w:szCs w:val="20"/>
        </w:rPr>
        <w:t>facility type. Therefore, the total</w:t>
      </w:r>
      <w:r>
        <w:rPr>
          <w:bCs/>
          <w:szCs w:val="20"/>
        </w:rPr>
        <w:t xml:space="preserve"> </w:t>
      </w:r>
      <w:r w:rsidRPr="00CA0582">
        <w:rPr>
          <w:bCs/>
          <w:szCs w:val="20"/>
        </w:rPr>
        <w:t xml:space="preserve">number of responses will be </w:t>
      </w:r>
      <w:r w:rsidR="00976549">
        <w:rPr>
          <w:bCs/>
          <w:szCs w:val="20"/>
        </w:rPr>
        <w:t>400.</w:t>
      </w:r>
    </w:p>
    <w:p w:rsidR="006426A5" w:rsidP="006426A5" w:rsidRDefault="006426A5" w14:paraId="114050AD" w14:textId="77777777">
      <w:pPr>
        <w:ind w:left="720"/>
        <w:rPr>
          <w:bCs/>
          <w:szCs w:val="20"/>
        </w:rPr>
      </w:pPr>
    </w:p>
    <w:p w:rsidR="006426A5" w:rsidP="006426A5" w:rsidRDefault="006426A5" w14:paraId="6B63B80A" w14:textId="16C19411">
      <w:pPr>
        <w:ind w:left="720"/>
        <w:rPr>
          <w:bCs/>
          <w:szCs w:val="20"/>
        </w:rPr>
      </w:pPr>
      <w:r w:rsidRPr="00BB0EA0">
        <w:rPr>
          <w:bCs/>
          <w:szCs w:val="20"/>
        </w:rPr>
        <w:t>The burden associated with the</w:t>
      </w:r>
      <w:r>
        <w:rPr>
          <w:bCs/>
          <w:szCs w:val="20"/>
        </w:rPr>
        <w:t xml:space="preserve"> </w:t>
      </w:r>
      <w:r w:rsidRPr="00BB0EA0">
        <w:rPr>
          <w:bCs/>
          <w:szCs w:val="20"/>
        </w:rPr>
        <w:t>completion of Sections 1 and 3 of</w:t>
      </w:r>
      <w:r w:rsidR="00E24931">
        <w:rPr>
          <w:bCs/>
          <w:szCs w:val="20"/>
        </w:rPr>
        <w:t xml:space="preserve"> F</w:t>
      </w:r>
      <w:r w:rsidRPr="00BB0EA0">
        <w:rPr>
          <w:bCs/>
          <w:szCs w:val="20"/>
        </w:rPr>
        <w:t>orm</w:t>
      </w:r>
      <w:r w:rsidR="00E24931">
        <w:rPr>
          <w:bCs/>
          <w:szCs w:val="20"/>
        </w:rPr>
        <w:t xml:space="preserve"> FDA 3967</w:t>
      </w:r>
      <w:r w:rsidRPr="00BB0EA0">
        <w:rPr>
          <w:bCs/>
          <w:szCs w:val="20"/>
        </w:rPr>
        <w:t xml:space="preserve"> is specific to the persons in charge</w:t>
      </w:r>
      <w:r>
        <w:rPr>
          <w:bCs/>
          <w:szCs w:val="20"/>
        </w:rPr>
        <w:t xml:space="preserve"> </w:t>
      </w:r>
      <w:r w:rsidRPr="00BB0EA0">
        <w:rPr>
          <w:bCs/>
          <w:szCs w:val="20"/>
        </w:rPr>
        <w:t>of the selected facilities. It includes the</w:t>
      </w:r>
      <w:r>
        <w:rPr>
          <w:bCs/>
          <w:szCs w:val="20"/>
        </w:rPr>
        <w:t xml:space="preserve"> </w:t>
      </w:r>
      <w:r w:rsidRPr="00BB0EA0">
        <w:rPr>
          <w:bCs/>
          <w:szCs w:val="20"/>
        </w:rPr>
        <w:t>time it will take the persons in charge</w:t>
      </w:r>
      <w:r>
        <w:rPr>
          <w:bCs/>
          <w:szCs w:val="20"/>
        </w:rPr>
        <w:t xml:space="preserve"> </w:t>
      </w:r>
      <w:r w:rsidRPr="00BB0EA0">
        <w:rPr>
          <w:bCs/>
          <w:szCs w:val="20"/>
        </w:rPr>
        <w:t>to accompany the data collectors during</w:t>
      </w:r>
      <w:r>
        <w:rPr>
          <w:bCs/>
          <w:szCs w:val="20"/>
        </w:rPr>
        <w:t xml:space="preserve"> </w:t>
      </w:r>
      <w:r w:rsidRPr="00BB0EA0">
        <w:rPr>
          <w:bCs/>
          <w:szCs w:val="20"/>
        </w:rPr>
        <w:t>the site visit and answer the data</w:t>
      </w:r>
      <w:r>
        <w:rPr>
          <w:bCs/>
          <w:szCs w:val="20"/>
        </w:rPr>
        <w:t xml:space="preserve"> </w:t>
      </w:r>
      <w:r w:rsidRPr="00BB0EA0">
        <w:rPr>
          <w:bCs/>
          <w:szCs w:val="20"/>
        </w:rPr>
        <w:t>collectors’ questions. The burden</w:t>
      </w:r>
      <w:r>
        <w:rPr>
          <w:bCs/>
          <w:szCs w:val="20"/>
        </w:rPr>
        <w:t xml:space="preserve"> </w:t>
      </w:r>
      <w:r w:rsidRPr="00BB0EA0">
        <w:rPr>
          <w:bCs/>
          <w:szCs w:val="20"/>
        </w:rPr>
        <w:t>related to the completion of Section 2 of</w:t>
      </w:r>
      <w:r>
        <w:rPr>
          <w:bCs/>
          <w:szCs w:val="20"/>
        </w:rPr>
        <w:t xml:space="preserve"> </w:t>
      </w:r>
      <w:r w:rsidR="00E24931">
        <w:rPr>
          <w:bCs/>
          <w:szCs w:val="20"/>
        </w:rPr>
        <w:t>F</w:t>
      </w:r>
      <w:r w:rsidRPr="00BB0EA0">
        <w:rPr>
          <w:bCs/>
          <w:szCs w:val="20"/>
        </w:rPr>
        <w:t>orm</w:t>
      </w:r>
      <w:r w:rsidR="00E24931">
        <w:rPr>
          <w:bCs/>
          <w:szCs w:val="20"/>
        </w:rPr>
        <w:t xml:space="preserve"> FDA 3967</w:t>
      </w:r>
      <w:r w:rsidRPr="00BB0EA0">
        <w:rPr>
          <w:bCs/>
          <w:szCs w:val="20"/>
        </w:rPr>
        <w:t xml:space="preserve"> is specific to the program</w:t>
      </w:r>
      <w:r>
        <w:rPr>
          <w:bCs/>
          <w:szCs w:val="20"/>
        </w:rPr>
        <w:t xml:space="preserve"> </w:t>
      </w:r>
      <w:r w:rsidRPr="00BB0EA0">
        <w:rPr>
          <w:bCs/>
          <w:szCs w:val="20"/>
        </w:rPr>
        <w:t>directors (or designated individuals) of</w:t>
      </w:r>
      <w:r>
        <w:rPr>
          <w:bCs/>
          <w:szCs w:val="20"/>
        </w:rPr>
        <w:t xml:space="preserve"> </w:t>
      </w:r>
      <w:r w:rsidRPr="00BB0EA0">
        <w:rPr>
          <w:bCs/>
          <w:szCs w:val="20"/>
        </w:rPr>
        <w:t>the respective regulatory authorities. It</w:t>
      </w:r>
      <w:r>
        <w:rPr>
          <w:bCs/>
          <w:szCs w:val="20"/>
        </w:rPr>
        <w:t xml:space="preserve"> </w:t>
      </w:r>
      <w:r w:rsidRPr="00BB0EA0">
        <w:rPr>
          <w:bCs/>
          <w:szCs w:val="20"/>
        </w:rPr>
        <w:t>includes</w:t>
      </w:r>
      <w:r>
        <w:rPr>
          <w:bCs/>
          <w:szCs w:val="20"/>
        </w:rPr>
        <w:t xml:space="preserve"> the time it will take to answer </w:t>
      </w:r>
      <w:r w:rsidRPr="00BB0EA0">
        <w:rPr>
          <w:bCs/>
          <w:szCs w:val="20"/>
        </w:rPr>
        <w:t>the data collectors’ questions and is the</w:t>
      </w:r>
      <w:r>
        <w:rPr>
          <w:bCs/>
          <w:szCs w:val="20"/>
        </w:rPr>
        <w:t xml:space="preserve"> </w:t>
      </w:r>
      <w:r w:rsidRPr="00BB0EA0">
        <w:rPr>
          <w:bCs/>
          <w:szCs w:val="20"/>
        </w:rPr>
        <w:t>same regardless of the facility type.</w:t>
      </w:r>
    </w:p>
    <w:p w:rsidR="006426A5" w:rsidP="006426A5" w:rsidRDefault="006426A5" w14:paraId="6B984480" w14:textId="77777777">
      <w:pPr>
        <w:ind w:left="720"/>
        <w:rPr>
          <w:bCs/>
          <w:szCs w:val="20"/>
        </w:rPr>
      </w:pPr>
    </w:p>
    <w:p w:rsidR="006426A5" w:rsidP="000C3A0E" w:rsidRDefault="006426A5" w14:paraId="4B88DFDB" w14:textId="51CFE4E7">
      <w:pPr>
        <w:ind w:left="720"/>
        <w:rPr>
          <w:bCs/>
          <w:szCs w:val="20"/>
        </w:rPr>
      </w:pPr>
      <w:r w:rsidRPr="000C3A0E">
        <w:rPr>
          <w:bCs/>
          <w:szCs w:val="20"/>
        </w:rPr>
        <w:t xml:space="preserve">To calculate the estimate of the hours per response, FDA uses the average data collection duration for similar facility types during FDA’s </w:t>
      </w:r>
      <w:r w:rsidRPr="00CA5A59" w:rsidR="008845E7">
        <w:rPr>
          <w:bCs/>
          <w:szCs w:val="20"/>
        </w:rPr>
        <w:t>2015-2016</w:t>
      </w:r>
      <w:r w:rsidRPr="000C3A0E" w:rsidR="008845E7">
        <w:rPr>
          <w:bCs/>
          <w:szCs w:val="20"/>
        </w:rPr>
        <w:t xml:space="preserve"> </w:t>
      </w:r>
      <w:r w:rsidRPr="000C3A0E">
        <w:rPr>
          <w:bCs/>
          <w:szCs w:val="20"/>
        </w:rPr>
        <w:t>Risk Factor Study (Ref. 3)</w:t>
      </w:r>
      <w:r w:rsidRPr="00BB0EA0">
        <w:rPr>
          <w:bCs/>
          <w:szCs w:val="20"/>
        </w:rPr>
        <w:t xml:space="preserve"> plus an extra 30</w:t>
      </w:r>
      <w:r>
        <w:rPr>
          <w:bCs/>
          <w:szCs w:val="20"/>
        </w:rPr>
        <w:t xml:space="preserve"> </w:t>
      </w:r>
      <w:r w:rsidRPr="00BB0EA0">
        <w:rPr>
          <w:bCs/>
          <w:szCs w:val="20"/>
        </w:rPr>
        <w:t>minutes (0.5 hours) for the information</w:t>
      </w:r>
      <w:r>
        <w:rPr>
          <w:bCs/>
          <w:szCs w:val="20"/>
        </w:rPr>
        <w:t xml:space="preserve"> </w:t>
      </w:r>
      <w:r w:rsidRPr="00BB0EA0">
        <w:rPr>
          <w:bCs/>
          <w:szCs w:val="20"/>
        </w:rPr>
        <w:t>collection related to Section 3, Part B of</w:t>
      </w:r>
      <w:r>
        <w:rPr>
          <w:bCs/>
          <w:szCs w:val="20"/>
        </w:rPr>
        <w:t xml:space="preserve"> </w:t>
      </w:r>
      <w:r w:rsidRPr="00BB0EA0">
        <w:rPr>
          <w:bCs/>
          <w:szCs w:val="20"/>
        </w:rPr>
        <w:t>the form. FDA estimates that it will take</w:t>
      </w:r>
      <w:r>
        <w:rPr>
          <w:bCs/>
          <w:szCs w:val="20"/>
        </w:rPr>
        <w:t xml:space="preserve"> </w:t>
      </w:r>
      <w:r w:rsidRPr="00BB0EA0">
        <w:rPr>
          <w:bCs/>
          <w:szCs w:val="20"/>
        </w:rPr>
        <w:t>the persons in charge of retail food</w:t>
      </w:r>
      <w:r>
        <w:rPr>
          <w:bCs/>
          <w:szCs w:val="20"/>
        </w:rPr>
        <w:t xml:space="preserve"> </w:t>
      </w:r>
      <w:r w:rsidRPr="00BB0EA0">
        <w:rPr>
          <w:bCs/>
          <w:szCs w:val="20"/>
        </w:rPr>
        <w:t>stores 180 minutes (3</w:t>
      </w:r>
      <w:r>
        <w:rPr>
          <w:bCs/>
          <w:szCs w:val="20"/>
        </w:rPr>
        <w:t xml:space="preserve"> </w:t>
      </w:r>
      <w:r w:rsidRPr="00BB0EA0">
        <w:rPr>
          <w:bCs/>
          <w:szCs w:val="20"/>
        </w:rPr>
        <w:t>hours)</w:t>
      </w:r>
      <w:r w:rsidR="001E7931">
        <w:rPr>
          <w:bCs/>
          <w:szCs w:val="20"/>
        </w:rPr>
        <w:t xml:space="preserve"> </w:t>
      </w:r>
      <w:r w:rsidRPr="00BB0EA0">
        <w:rPr>
          <w:bCs/>
          <w:szCs w:val="20"/>
        </w:rPr>
        <w:t>to accompany the</w:t>
      </w:r>
      <w:r>
        <w:rPr>
          <w:bCs/>
          <w:szCs w:val="20"/>
        </w:rPr>
        <w:t xml:space="preserve"> </w:t>
      </w:r>
      <w:r w:rsidRPr="00BB0EA0">
        <w:rPr>
          <w:bCs/>
          <w:szCs w:val="20"/>
        </w:rPr>
        <w:t>data collectors while they complete</w:t>
      </w:r>
      <w:r>
        <w:rPr>
          <w:bCs/>
          <w:szCs w:val="20"/>
        </w:rPr>
        <w:t xml:space="preserve"> </w:t>
      </w:r>
      <w:r w:rsidRPr="00BB0EA0">
        <w:rPr>
          <w:bCs/>
          <w:szCs w:val="20"/>
        </w:rPr>
        <w:t>Sections 1 and 3 of the form. FDA</w:t>
      </w:r>
      <w:r>
        <w:rPr>
          <w:bCs/>
          <w:szCs w:val="20"/>
        </w:rPr>
        <w:t xml:space="preserve"> </w:t>
      </w:r>
      <w:r w:rsidRPr="00BB0EA0">
        <w:rPr>
          <w:bCs/>
          <w:szCs w:val="20"/>
        </w:rPr>
        <w:t>estimates that it will take the program</w:t>
      </w:r>
      <w:r>
        <w:rPr>
          <w:bCs/>
          <w:szCs w:val="20"/>
        </w:rPr>
        <w:t xml:space="preserve"> </w:t>
      </w:r>
      <w:r w:rsidRPr="00BB0EA0">
        <w:rPr>
          <w:bCs/>
          <w:szCs w:val="20"/>
        </w:rPr>
        <w:t>director (or designated individual) of</w:t>
      </w:r>
      <w:r>
        <w:rPr>
          <w:bCs/>
          <w:szCs w:val="20"/>
        </w:rPr>
        <w:t xml:space="preserve"> </w:t>
      </w:r>
      <w:r w:rsidRPr="00BB0EA0">
        <w:rPr>
          <w:bCs/>
          <w:szCs w:val="20"/>
        </w:rPr>
        <w:t>the respective regulatory authority 30</w:t>
      </w:r>
      <w:r>
        <w:rPr>
          <w:bCs/>
          <w:szCs w:val="20"/>
        </w:rPr>
        <w:t xml:space="preserve"> </w:t>
      </w:r>
      <w:r w:rsidRPr="00BB0EA0">
        <w:rPr>
          <w:bCs/>
          <w:szCs w:val="20"/>
        </w:rPr>
        <w:t>minutes (0.5 hours) to answer the</w:t>
      </w:r>
      <w:r>
        <w:rPr>
          <w:bCs/>
          <w:szCs w:val="20"/>
        </w:rPr>
        <w:t xml:space="preserve"> </w:t>
      </w:r>
      <w:r w:rsidRPr="00BB0EA0">
        <w:rPr>
          <w:bCs/>
          <w:szCs w:val="20"/>
        </w:rPr>
        <w:t>questions related to Section 2 of the</w:t>
      </w:r>
      <w:r>
        <w:rPr>
          <w:bCs/>
          <w:szCs w:val="20"/>
        </w:rPr>
        <w:t xml:space="preserve"> </w:t>
      </w:r>
      <w:r w:rsidRPr="00BB0EA0">
        <w:rPr>
          <w:bCs/>
          <w:szCs w:val="20"/>
        </w:rPr>
        <w:t xml:space="preserve">form. </w:t>
      </w:r>
    </w:p>
    <w:p w:rsidR="006426A5" w:rsidP="006426A5" w:rsidRDefault="006426A5" w14:paraId="5D00AA0D" w14:textId="77777777">
      <w:pPr>
        <w:ind w:left="720"/>
        <w:rPr>
          <w:bCs/>
          <w:szCs w:val="20"/>
        </w:rPr>
      </w:pPr>
    </w:p>
    <w:p w:rsidR="000734EF" w:rsidP="00DC4DFF" w:rsidRDefault="006426A5" w14:paraId="1A3AD927" w14:textId="72BB77EA">
      <w:pPr>
        <w:ind w:left="720"/>
        <w:rPr>
          <w:szCs w:val="20"/>
        </w:rPr>
      </w:pPr>
      <w:r w:rsidRPr="00BB0EA0">
        <w:rPr>
          <w:szCs w:val="20"/>
        </w:rPr>
        <w:t>Based on the number of entry refusals</w:t>
      </w:r>
      <w:r>
        <w:rPr>
          <w:szCs w:val="20"/>
        </w:rPr>
        <w:t xml:space="preserve"> </w:t>
      </w:r>
      <w:r w:rsidRPr="00BB0EA0">
        <w:rPr>
          <w:szCs w:val="20"/>
        </w:rPr>
        <w:t xml:space="preserve">from the </w:t>
      </w:r>
      <w:r w:rsidRPr="00BB0EA0" w:rsidR="008260EC">
        <w:rPr>
          <w:szCs w:val="20"/>
        </w:rPr>
        <w:t>201</w:t>
      </w:r>
      <w:r w:rsidR="008260EC">
        <w:rPr>
          <w:szCs w:val="20"/>
        </w:rPr>
        <w:t>5</w:t>
      </w:r>
      <w:r w:rsidRPr="00BB0EA0">
        <w:rPr>
          <w:szCs w:val="20"/>
        </w:rPr>
        <w:t>–201</w:t>
      </w:r>
      <w:r w:rsidR="008260EC">
        <w:rPr>
          <w:szCs w:val="20"/>
        </w:rPr>
        <w:t>6</w:t>
      </w:r>
      <w:r w:rsidRPr="00BB0EA0">
        <w:rPr>
          <w:szCs w:val="20"/>
        </w:rPr>
        <w:t xml:space="preserve"> Risk Factor Study</w:t>
      </w:r>
      <w:r>
        <w:rPr>
          <w:szCs w:val="20"/>
        </w:rPr>
        <w:t xml:space="preserve"> data collections </w:t>
      </w:r>
      <w:r w:rsidRPr="00BB0EA0">
        <w:rPr>
          <w:szCs w:val="20"/>
        </w:rPr>
        <w:t>in the restaurant facility types, we</w:t>
      </w:r>
      <w:r>
        <w:rPr>
          <w:szCs w:val="20"/>
        </w:rPr>
        <w:t xml:space="preserve"> </w:t>
      </w:r>
      <w:r w:rsidRPr="00BB0EA0">
        <w:rPr>
          <w:szCs w:val="20"/>
        </w:rPr>
        <w:t>estimate a refusal rate of 2 percent in the</w:t>
      </w:r>
      <w:r>
        <w:rPr>
          <w:szCs w:val="20"/>
        </w:rPr>
        <w:t xml:space="preserve"> </w:t>
      </w:r>
      <w:r w:rsidRPr="00BB0EA0">
        <w:rPr>
          <w:szCs w:val="20"/>
        </w:rPr>
        <w:t>retail food</w:t>
      </w:r>
      <w:r>
        <w:rPr>
          <w:szCs w:val="20"/>
        </w:rPr>
        <w:t xml:space="preserve"> </w:t>
      </w:r>
      <w:r w:rsidRPr="00BB0EA0">
        <w:rPr>
          <w:szCs w:val="20"/>
        </w:rPr>
        <w:t>store facility type. The estimate of the</w:t>
      </w:r>
      <w:r>
        <w:rPr>
          <w:szCs w:val="20"/>
        </w:rPr>
        <w:t xml:space="preserve"> </w:t>
      </w:r>
      <w:r w:rsidRPr="00BB0EA0">
        <w:rPr>
          <w:szCs w:val="20"/>
        </w:rPr>
        <w:t>time per non-respondent is 5 minutes</w:t>
      </w:r>
      <w:r>
        <w:rPr>
          <w:szCs w:val="20"/>
        </w:rPr>
        <w:t xml:space="preserve"> </w:t>
      </w:r>
      <w:r w:rsidRPr="00BB0EA0">
        <w:rPr>
          <w:szCs w:val="20"/>
        </w:rPr>
        <w:t>(0.08 hours) for the person in charge to</w:t>
      </w:r>
      <w:r>
        <w:rPr>
          <w:szCs w:val="20"/>
        </w:rPr>
        <w:t xml:space="preserve"> </w:t>
      </w:r>
      <w:r w:rsidRPr="00BB0EA0">
        <w:rPr>
          <w:szCs w:val="20"/>
        </w:rPr>
        <w:t>listen to the purpose of the visit and</w:t>
      </w:r>
      <w:r>
        <w:rPr>
          <w:szCs w:val="20"/>
        </w:rPr>
        <w:t xml:space="preserve"> </w:t>
      </w:r>
      <w:r w:rsidRPr="00BB0EA0">
        <w:rPr>
          <w:szCs w:val="20"/>
        </w:rPr>
        <w:t>provide a verbal refusal of entry.</w:t>
      </w:r>
    </w:p>
    <w:p w:rsidR="00B0779C" w:rsidP="00DA3E23" w:rsidRDefault="00B0779C" w14:paraId="32024FDF" w14:textId="77777777">
      <w:pPr>
        <w:ind w:left="720"/>
        <w:jc w:val="center"/>
        <w:rPr>
          <w:bCs/>
          <w:szCs w:val="20"/>
        </w:rPr>
      </w:pPr>
    </w:p>
    <w:p w:rsidRPr="00BB0EA0" w:rsidR="006426A5" w:rsidP="00DA3E23" w:rsidRDefault="006426A5" w14:paraId="5EA96450" w14:textId="33933919">
      <w:pPr>
        <w:ind w:left="720"/>
        <w:jc w:val="center"/>
        <w:rPr>
          <w:bCs/>
          <w:szCs w:val="20"/>
          <w:vertAlign w:val="superscript"/>
        </w:rPr>
      </w:pPr>
      <w:r>
        <w:rPr>
          <w:bCs/>
          <w:szCs w:val="20"/>
        </w:rPr>
        <w:t>T</w:t>
      </w:r>
      <w:r w:rsidRPr="0069173F" w:rsidR="0069173F">
        <w:rPr>
          <w:bCs/>
          <w:szCs w:val="20"/>
        </w:rPr>
        <w:t>able</w:t>
      </w:r>
      <w:r>
        <w:rPr>
          <w:bCs/>
          <w:szCs w:val="20"/>
        </w:rPr>
        <w:t xml:space="preserve"> 1</w:t>
      </w:r>
      <w:r w:rsidRPr="00BB0EA0">
        <w:rPr>
          <w:bCs/>
          <w:szCs w:val="20"/>
        </w:rPr>
        <w:t>: E</w:t>
      </w:r>
      <w:r w:rsidRPr="00BB0EA0" w:rsidR="0069173F">
        <w:rPr>
          <w:bCs/>
          <w:szCs w:val="20"/>
        </w:rPr>
        <w:t>stimated</w:t>
      </w:r>
      <w:r w:rsidRPr="00BB0EA0">
        <w:rPr>
          <w:bCs/>
          <w:szCs w:val="20"/>
        </w:rPr>
        <w:t xml:space="preserve"> A</w:t>
      </w:r>
      <w:r w:rsidRPr="00BB0EA0" w:rsidR="0069173F">
        <w:rPr>
          <w:bCs/>
          <w:szCs w:val="20"/>
        </w:rPr>
        <w:t>nnual</w:t>
      </w:r>
      <w:r w:rsidRPr="00BB0EA0">
        <w:rPr>
          <w:bCs/>
          <w:szCs w:val="20"/>
        </w:rPr>
        <w:t xml:space="preserve"> R</w:t>
      </w:r>
      <w:r w:rsidRPr="00BB0EA0" w:rsidR="0069173F">
        <w:rPr>
          <w:bCs/>
          <w:szCs w:val="20"/>
        </w:rPr>
        <w:t>eporting</w:t>
      </w:r>
      <w:r w:rsidRPr="00BB0EA0">
        <w:rPr>
          <w:bCs/>
          <w:szCs w:val="20"/>
        </w:rPr>
        <w:t xml:space="preserve"> B</w:t>
      </w:r>
      <w:r w:rsidRPr="00BB0EA0" w:rsidR="0069173F">
        <w:rPr>
          <w:bCs/>
          <w:szCs w:val="20"/>
        </w:rPr>
        <w:t>urden</w:t>
      </w:r>
    </w:p>
    <w:tbl>
      <w:tblPr>
        <w:tblW w:w="9946"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5"/>
        <w:gridCol w:w="1847"/>
        <w:gridCol w:w="1847"/>
        <w:gridCol w:w="1563"/>
        <w:gridCol w:w="1563"/>
        <w:gridCol w:w="1421"/>
      </w:tblGrid>
      <w:tr w:rsidRPr="00BB0EA0" w:rsidR="001001D8" w:rsidTr="00E52EEE" w14:paraId="52B8F66C" w14:textId="77777777">
        <w:trPr>
          <w:trHeight w:val="1019"/>
        </w:trPr>
        <w:tc>
          <w:tcPr>
            <w:tcW w:w="1705" w:type="dxa"/>
            <w:shd w:val="clear" w:color="auto" w:fill="auto"/>
          </w:tcPr>
          <w:p w:rsidRPr="00FC3AC0" w:rsidR="001001D8" w:rsidP="00DE0187" w:rsidRDefault="001001D8" w14:paraId="089760C3" w14:textId="77777777">
            <w:pPr>
              <w:rPr>
                <w:sz w:val="20"/>
                <w:szCs w:val="20"/>
              </w:rPr>
            </w:pPr>
            <w:r w:rsidRPr="00FC3AC0">
              <w:rPr>
                <w:sz w:val="20"/>
                <w:szCs w:val="20"/>
              </w:rPr>
              <w:t>Activity</w:t>
            </w:r>
          </w:p>
        </w:tc>
        <w:tc>
          <w:tcPr>
            <w:tcW w:w="1847" w:type="dxa"/>
            <w:shd w:val="clear" w:color="auto" w:fill="auto"/>
          </w:tcPr>
          <w:p w:rsidRPr="00FC3AC0" w:rsidR="001001D8" w:rsidP="00DE0187" w:rsidRDefault="001001D8" w14:paraId="3267D17D" w14:textId="77777777">
            <w:pPr>
              <w:rPr>
                <w:sz w:val="20"/>
                <w:szCs w:val="20"/>
              </w:rPr>
            </w:pPr>
            <w:r w:rsidRPr="00FC3AC0">
              <w:rPr>
                <w:sz w:val="20"/>
                <w:szCs w:val="20"/>
              </w:rPr>
              <w:t>No. of Respondents</w:t>
            </w:r>
          </w:p>
        </w:tc>
        <w:tc>
          <w:tcPr>
            <w:tcW w:w="1847" w:type="dxa"/>
            <w:shd w:val="clear" w:color="auto" w:fill="auto"/>
          </w:tcPr>
          <w:p w:rsidRPr="00FC3AC0" w:rsidR="001001D8" w:rsidP="00DE0187" w:rsidRDefault="001001D8" w14:paraId="53DC682C" w14:textId="77777777">
            <w:pPr>
              <w:rPr>
                <w:sz w:val="20"/>
                <w:szCs w:val="20"/>
              </w:rPr>
            </w:pPr>
            <w:r w:rsidRPr="00FC3AC0">
              <w:rPr>
                <w:sz w:val="20"/>
                <w:szCs w:val="20"/>
              </w:rPr>
              <w:t>No. of Responses per Respondent</w:t>
            </w:r>
          </w:p>
        </w:tc>
        <w:tc>
          <w:tcPr>
            <w:tcW w:w="1563" w:type="dxa"/>
            <w:shd w:val="clear" w:color="auto" w:fill="auto"/>
          </w:tcPr>
          <w:p w:rsidRPr="00FC3AC0" w:rsidR="001001D8" w:rsidP="00DE0187" w:rsidRDefault="001001D8" w14:paraId="49954FED" w14:textId="77777777">
            <w:pPr>
              <w:rPr>
                <w:sz w:val="20"/>
                <w:szCs w:val="20"/>
              </w:rPr>
            </w:pPr>
            <w:r w:rsidRPr="00FC3AC0">
              <w:rPr>
                <w:sz w:val="20"/>
                <w:szCs w:val="20"/>
              </w:rPr>
              <w:t>Total Annual Responses</w:t>
            </w:r>
          </w:p>
        </w:tc>
        <w:tc>
          <w:tcPr>
            <w:tcW w:w="1563" w:type="dxa"/>
            <w:shd w:val="clear" w:color="auto" w:fill="auto"/>
          </w:tcPr>
          <w:p w:rsidRPr="00FC3AC0" w:rsidR="001001D8" w:rsidP="00DE0187" w:rsidRDefault="001001D8" w14:paraId="4CA4A533" w14:textId="77777777">
            <w:pPr>
              <w:rPr>
                <w:sz w:val="20"/>
                <w:szCs w:val="20"/>
              </w:rPr>
            </w:pPr>
            <w:r w:rsidRPr="00FC3AC0">
              <w:rPr>
                <w:sz w:val="20"/>
                <w:szCs w:val="20"/>
              </w:rPr>
              <w:t>Average Burden per Response (hours)</w:t>
            </w:r>
          </w:p>
        </w:tc>
        <w:tc>
          <w:tcPr>
            <w:tcW w:w="1421" w:type="dxa"/>
            <w:shd w:val="clear" w:color="auto" w:fill="auto"/>
          </w:tcPr>
          <w:p w:rsidRPr="00FC3AC0" w:rsidR="001001D8" w:rsidP="00DE0187" w:rsidRDefault="001001D8" w14:paraId="636271E9" w14:textId="77777777">
            <w:pPr>
              <w:rPr>
                <w:sz w:val="20"/>
                <w:szCs w:val="20"/>
              </w:rPr>
            </w:pPr>
            <w:r w:rsidRPr="00FC3AC0">
              <w:rPr>
                <w:sz w:val="20"/>
                <w:szCs w:val="20"/>
              </w:rPr>
              <w:t>Total Hours</w:t>
            </w:r>
          </w:p>
        </w:tc>
      </w:tr>
      <w:tr w:rsidRPr="00BB0EA0" w:rsidR="001001D8" w:rsidTr="004E1D79" w14:paraId="4364F321" w14:textId="77777777">
        <w:trPr>
          <w:trHeight w:val="1223"/>
        </w:trPr>
        <w:tc>
          <w:tcPr>
            <w:tcW w:w="1705" w:type="dxa"/>
            <w:shd w:val="clear" w:color="auto" w:fill="auto"/>
          </w:tcPr>
          <w:p w:rsidRPr="00E52EEE" w:rsidR="001001D8" w:rsidP="008A1DF7" w:rsidRDefault="00E46F4C" w14:paraId="1CD273F7" w14:textId="66417803">
            <w:pPr>
              <w:rPr>
                <w:sz w:val="20"/>
                <w:szCs w:val="20"/>
              </w:rPr>
            </w:pPr>
            <w:r w:rsidRPr="00691087">
              <w:rPr>
                <w:sz w:val="20"/>
                <w:szCs w:val="20"/>
              </w:rPr>
              <w:t>Data Collection (Retail Food Stores)</w:t>
            </w:r>
            <w:r w:rsidR="00C3033B">
              <w:rPr>
                <w:sz w:val="20"/>
                <w:szCs w:val="20"/>
              </w:rPr>
              <w:t xml:space="preserve"> - </w:t>
            </w:r>
            <w:r w:rsidRPr="00691087">
              <w:rPr>
                <w:sz w:val="20"/>
                <w:szCs w:val="20"/>
              </w:rPr>
              <w:t>Completion of</w:t>
            </w:r>
            <w:r w:rsidR="00F66D5E">
              <w:rPr>
                <w:sz w:val="20"/>
                <w:szCs w:val="20"/>
              </w:rPr>
              <w:t xml:space="preserve"> Form FDA 3967,</w:t>
            </w:r>
            <w:r w:rsidRPr="00691087">
              <w:rPr>
                <w:sz w:val="20"/>
                <w:szCs w:val="20"/>
              </w:rPr>
              <w:t xml:space="preserve"> Sections </w:t>
            </w:r>
            <w:proofErr w:type="gramStart"/>
            <w:r w:rsidRPr="00691087">
              <w:rPr>
                <w:sz w:val="20"/>
                <w:szCs w:val="20"/>
              </w:rPr>
              <w:t>1</w:t>
            </w:r>
            <w:proofErr w:type="gramEnd"/>
            <w:r w:rsidRPr="00691087">
              <w:rPr>
                <w:sz w:val="20"/>
                <w:szCs w:val="20"/>
              </w:rPr>
              <w:t xml:space="preserve"> and 3</w:t>
            </w:r>
          </w:p>
        </w:tc>
        <w:tc>
          <w:tcPr>
            <w:tcW w:w="1847" w:type="dxa"/>
            <w:shd w:val="clear" w:color="auto" w:fill="auto"/>
          </w:tcPr>
          <w:p w:rsidRPr="00E52EEE" w:rsidR="001001D8" w:rsidP="00DE0187" w:rsidRDefault="001001D8" w14:paraId="50B77F54" w14:textId="77777777">
            <w:pPr>
              <w:jc w:val="center"/>
              <w:rPr>
                <w:sz w:val="20"/>
                <w:szCs w:val="20"/>
              </w:rPr>
            </w:pPr>
            <w:r w:rsidRPr="00E52EEE">
              <w:rPr>
                <w:sz w:val="20"/>
                <w:szCs w:val="20"/>
              </w:rPr>
              <w:t>400</w:t>
            </w:r>
          </w:p>
        </w:tc>
        <w:tc>
          <w:tcPr>
            <w:tcW w:w="1847" w:type="dxa"/>
            <w:shd w:val="clear" w:color="auto" w:fill="auto"/>
          </w:tcPr>
          <w:p w:rsidRPr="00E52EEE" w:rsidR="001001D8" w:rsidP="00DE0187" w:rsidRDefault="001001D8" w14:paraId="2A9CA6FD" w14:textId="77777777">
            <w:pPr>
              <w:jc w:val="center"/>
              <w:rPr>
                <w:sz w:val="20"/>
                <w:szCs w:val="20"/>
              </w:rPr>
            </w:pPr>
            <w:r w:rsidRPr="00E52EEE">
              <w:rPr>
                <w:sz w:val="20"/>
                <w:szCs w:val="20"/>
              </w:rPr>
              <w:t xml:space="preserve">1 </w:t>
            </w:r>
          </w:p>
        </w:tc>
        <w:tc>
          <w:tcPr>
            <w:tcW w:w="1563" w:type="dxa"/>
            <w:shd w:val="clear" w:color="auto" w:fill="auto"/>
          </w:tcPr>
          <w:p w:rsidRPr="00E52EEE" w:rsidR="001001D8" w:rsidP="00DE0187" w:rsidRDefault="001001D8" w14:paraId="56BEF9D9" w14:textId="77777777">
            <w:pPr>
              <w:jc w:val="center"/>
              <w:rPr>
                <w:sz w:val="20"/>
                <w:szCs w:val="20"/>
              </w:rPr>
            </w:pPr>
            <w:r w:rsidRPr="00E52EEE">
              <w:rPr>
                <w:sz w:val="20"/>
                <w:szCs w:val="20"/>
              </w:rPr>
              <w:t>400</w:t>
            </w:r>
          </w:p>
        </w:tc>
        <w:tc>
          <w:tcPr>
            <w:tcW w:w="1563" w:type="dxa"/>
            <w:shd w:val="clear" w:color="auto" w:fill="auto"/>
          </w:tcPr>
          <w:p w:rsidRPr="00E52EEE" w:rsidR="001001D8" w:rsidP="00473CB9" w:rsidRDefault="00E46F4C" w14:paraId="280F6D7B" w14:textId="325F5D90">
            <w:pPr>
              <w:jc w:val="center"/>
              <w:rPr>
                <w:sz w:val="20"/>
                <w:szCs w:val="20"/>
              </w:rPr>
            </w:pPr>
            <w:r>
              <w:rPr>
                <w:sz w:val="20"/>
                <w:szCs w:val="20"/>
              </w:rPr>
              <w:t>3</w:t>
            </w:r>
          </w:p>
        </w:tc>
        <w:tc>
          <w:tcPr>
            <w:tcW w:w="1421" w:type="dxa"/>
            <w:shd w:val="clear" w:color="auto" w:fill="auto"/>
          </w:tcPr>
          <w:p w:rsidRPr="00E52EEE" w:rsidR="001001D8" w:rsidP="00DE0187" w:rsidRDefault="001001D8" w14:paraId="72E7D861" w14:textId="0784A62D">
            <w:pPr>
              <w:jc w:val="center"/>
              <w:rPr>
                <w:sz w:val="20"/>
                <w:szCs w:val="20"/>
              </w:rPr>
            </w:pPr>
            <w:r w:rsidRPr="00E52EEE">
              <w:rPr>
                <w:sz w:val="20"/>
                <w:szCs w:val="20"/>
              </w:rPr>
              <w:t>1,</w:t>
            </w:r>
            <w:r w:rsidR="00E46F4C">
              <w:rPr>
                <w:sz w:val="20"/>
                <w:szCs w:val="20"/>
              </w:rPr>
              <w:t>2</w:t>
            </w:r>
            <w:r w:rsidRPr="00E52EEE">
              <w:rPr>
                <w:sz w:val="20"/>
                <w:szCs w:val="20"/>
              </w:rPr>
              <w:t>00</w:t>
            </w:r>
          </w:p>
        </w:tc>
      </w:tr>
      <w:tr w:rsidRPr="00BB0EA0" w:rsidR="001001D8" w:rsidTr="00E52EEE" w14:paraId="4437BD03" w14:textId="77777777">
        <w:trPr>
          <w:trHeight w:val="638"/>
        </w:trPr>
        <w:tc>
          <w:tcPr>
            <w:tcW w:w="1705" w:type="dxa"/>
            <w:shd w:val="clear" w:color="auto" w:fill="auto"/>
          </w:tcPr>
          <w:p w:rsidRPr="00E52EEE" w:rsidR="001001D8" w:rsidP="008A1DF7" w:rsidRDefault="00AD56F1" w14:paraId="12D0166D" w14:textId="73005D8B">
            <w:pPr>
              <w:rPr>
                <w:sz w:val="20"/>
                <w:szCs w:val="20"/>
              </w:rPr>
            </w:pPr>
            <w:r w:rsidRPr="00691087">
              <w:rPr>
                <w:sz w:val="20"/>
                <w:szCs w:val="20"/>
              </w:rPr>
              <w:t>Data Collection</w:t>
            </w:r>
            <w:r w:rsidR="00C3033B">
              <w:rPr>
                <w:sz w:val="20"/>
                <w:szCs w:val="20"/>
              </w:rPr>
              <w:t xml:space="preserve"> </w:t>
            </w:r>
            <w:r w:rsidRPr="00691087" w:rsidR="00C3033B">
              <w:rPr>
                <w:sz w:val="20"/>
                <w:szCs w:val="20"/>
              </w:rPr>
              <w:t>(Retail Food Stores)</w:t>
            </w:r>
            <w:r w:rsidR="00C3033B">
              <w:rPr>
                <w:sz w:val="20"/>
                <w:szCs w:val="20"/>
              </w:rPr>
              <w:t xml:space="preserve"> </w:t>
            </w:r>
            <w:r w:rsidRPr="00691087">
              <w:rPr>
                <w:sz w:val="20"/>
                <w:szCs w:val="20"/>
              </w:rPr>
              <w:t>-Completion of</w:t>
            </w:r>
            <w:r w:rsidR="00F66D5E">
              <w:rPr>
                <w:sz w:val="20"/>
                <w:szCs w:val="20"/>
              </w:rPr>
              <w:t xml:space="preserve"> </w:t>
            </w:r>
            <w:r w:rsidR="00F66D5E">
              <w:rPr>
                <w:sz w:val="20"/>
                <w:szCs w:val="20"/>
              </w:rPr>
              <w:t>Form FDA 3967,</w:t>
            </w:r>
            <w:r w:rsidRPr="00691087" w:rsidR="00F66D5E">
              <w:rPr>
                <w:sz w:val="20"/>
                <w:szCs w:val="20"/>
              </w:rPr>
              <w:t xml:space="preserve"> </w:t>
            </w:r>
            <w:r w:rsidRPr="00691087">
              <w:rPr>
                <w:sz w:val="20"/>
                <w:szCs w:val="20"/>
              </w:rPr>
              <w:t>Section 2</w:t>
            </w:r>
          </w:p>
        </w:tc>
        <w:tc>
          <w:tcPr>
            <w:tcW w:w="1847" w:type="dxa"/>
            <w:shd w:val="clear" w:color="auto" w:fill="auto"/>
          </w:tcPr>
          <w:p w:rsidRPr="00E52EEE" w:rsidR="001001D8" w:rsidP="00DE0187" w:rsidRDefault="001001D8" w14:paraId="53F91A7B" w14:textId="77777777">
            <w:pPr>
              <w:jc w:val="center"/>
              <w:rPr>
                <w:sz w:val="20"/>
                <w:szCs w:val="20"/>
              </w:rPr>
            </w:pPr>
            <w:r w:rsidRPr="00E52EEE">
              <w:rPr>
                <w:sz w:val="20"/>
                <w:szCs w:val="20"/>
              </w:rPr>
              <w:t>400</w:t>
            </w:r>
          </w:p>
        </w:tc>
        <w:tc>
          <w:tcPr>
            <w:tcW w:w="1847" w:type="dxa"/>
            <w:shd w:val="clear" w:color="auto" w:fill="auto"/>
          </w:tcPr>
          <w:p w:rsidRPr="00E52EEE" w:rsidR="001001D8" w:rsidP="00DE0187" w:rsidRDefault="001001D8" w14:paraId="1679B415" w14:textId="77777777">
            <w:pPr>
              <w:jc w:val="center"/>
              <w:rPr>
                <w:sz w:val="20"/>
                <w:szCs w:val="20"/>
              </w:rPr>
            </w:pPr>
            <w:r w:rsidRPr="00E52EEE">
              <w:rPr>
                <w:sz w:val="20"/>
                <w:szCs w:val="20"/>
              </w:rPr>
              <w:t>1</w:t>
            </w:r>
          </w:p>
        </w:tc>
        <w:tc>
          <w:tcPr>
            <w:tcW w:w="1563" w:type="dxa"/>
            <w:shd w:val="clear" w:color="auto" w:fill="auto"/>
          </w:tcPr>
          <w:p w:rsidRPr="00E52EEE" w:rsidR="001001D8" w:rsidP="00DE0187" w:rsidRDefault="001001D8" w14:paraId="55FE4379" w14:textId="77777777">
            <w:pPr>
              <w:jc w:val="center"/>
              <w:rPr>
                <w:sz w:val="20"/>
                <w:szCs w:val="20"/>
              </w:rPr>
            </w:pPr>
            <w:r w:rsidRPr="00E52EEE">
              <w:rPr>
                <w:sz w:val="20"/>
                <w:szCs w:val="20"/>
              </w:rPr>
              <w:t>400</w:t>
            </w:r>
          </w:p>
        </w:tc>
        <w:tc>
          <w:tcPr>
            <w:tcW w:w="1563" w:type="dxa"/>
            <w:shd w:val="clear" w:color="auto" w:fill="auto"/>
          </w:tcPr>
          <w:p w:rsidRPr="00691087" w:rsidR="00AD56F1" w:rsidP="00473CB9" w:rsidRDefault="00AD56F1" w14:paraId="74D50255" w14:textId="77777777">
            <w:pPr>
              <w:jc w:val="center"/>
              <w:rPr>
                <w:sz w:val="20"/>
                <w:szCs w:val="20"/>
              </w:rPr>
            </w:pPr>
            <w:r w:rsidRPr="00691087">
              <w:rPr>
                <w:sz w:val="20"/>
                <w:szCs w:val="20"/>
              </w:rPr>
              <w:t>0.5</w:t>
            </w:r>
          </w:p>
          <w:p w:rsidRPr="00E52EEE" w:rsidR="001001D8" w:rsidP="00473CB9" w:rsidRDefault="00AD56F1" w14:paraId="0BC1911C" w14:textId="0F9520D4">
            <w:pPr>
              <w:jc w:val="center"/>
              <w:rPr>
                <w:sz w:val="20"/>
                <w:szCs w:val="20"/>
              </w:rPr>
            </w:pPr>
            <w:r w:rsidRPr="00691087">
              <w:rPr>
                <w:sz w:val="20"/>
                <w:szCs w:val="20"/>
              </w:rPr>
              <w:t xml:space="preserve">(30 </w:t>
            </w:r>
            <w:r w:rsidRPr="00691087" w:rsidR="00D86C97">
              <w:rPr>
                <w:sz w:val="20"/>
                <w:szCs w:val="20"/>
              </w:rPr>
              <w:t>minutes)</w:t>
            </w:r>
          </w:p>
        </w:tc>
        <w:tc>
          <w:tcPr>
            <w:tcW w:w="1421" w:type="dxa"/>
            <w:shd w:val="clear" w:color="auto" w:fill="auto"/>
          </w:tcPr>
          <w:p w:rsidRPr="00E52EEE" w:rsidR="001001D8" w:rsidP="00DE0187" w:rsidRDefault="00AD56F1" w14:paraId="1BE8920D" w14:textId="61F692D5">
            <w:pPr>
              <w:jc w:val="center"/>
              <w:rPr>
                <w:sz w:val="20"/>
                <w:szCs w:val="20"/>
              </w:rPr>
            </w:pPr>
            <w:r>
              <w:rPr>
                <w:sz w:val="20"/>
                <w:szCs w:val="20"/>
              </w:rPr>
              <w:t>200</w:t>
            </w:r>
          </w:p>
        </w:tc>
      </w:tr>
      <w:tr w:rsidRPr="00BB0EA0" w:rsidR="001001D8" w:rsidTr="00E52EEE" w14:paraId="7BFAFCE9" w14:textId="77777777">
        <w:trPr>
          <w:trHeight w:val="638"/>
        </w:trPr>
        <w:tc>
          <w:tcPr>
            <w:tcW w:w="1705" w:type="dxa"/>
            <w:shd w:val="clear" w:color="auto" w:fill="auto"/>
          </w:tcPr>
          <w:p w:rsidRPr="00E52EEE" w:rsidR="001001D8" w:rsidP="008A1DF7" w:rsidRDefault="00FC3AC0" w14:paraId="295AF016" w14:textId="06977ADC">
            <w:pPr>
              <w:rPr>
                <w:sz w:val="20"/>
                <w:szCs w:val="20"/>
              </w:rPr>
            </w:pPr>
            <w:r w:rsidRPr="00691087">
              <w:rPr>
                <w:sz w:val="20"/>
                <w:szCs w:val="20"/>
              </w:rPr>
              <w:t>Data Collection-Entry Refusals</w:t>
            </w:r>
          </w:p>
        </w:tc>
        <w:tc>
          <w:tcPr>
            <w:tcW w:w="1847" w:type="dxa"/>
            <w:shd w:val="clear" w:color="auto" w:fill="auto"/>
          </w:tcPr>
          <w:p w:rsidRPr="00E52EEE" w:rsidR="001001D8" w:rsidP="00DE0187" w:rsidRDefault="00FC3AC0" w14:paraId="20B94739" w14:textId="3B1D3583">
            <w:pPr>
              <w:jc w:val="center"/>
              <w:rPr>
                <w:sz w:val="20"/>
                <w:szCs w:val="20"/>
              </w:rPr>
            </w:pPr>
            <w:r>
              <w:rPr>
                <w:sz w:val="20"/>
                <w:szCs w:val="20"/>
              </w:rPr>
              <w:t>8</w:t>
            </w:r>
          </w:p>
        </w:tc>
        <w:tc>
          <w:tcPr>
            <w:tcW w:w="1847" w:type="dxa"/>
            <w:shd w:val="clear" w:color="auto" w:fill="auto"/>
          </w:tcPr>
          <w:p w:rsidRPr="00E52EEE" w:rsidR="001001D8" w:rsidP="00DE0187" w:rsidRDefault="001001D8" w14:paraId="7EEE1744" w14:textId="77777777">
            <w:pPr>
              <w:jc w:val="center"/>
              <w:rPr>
                <w:sz w:val="20"/>
                <w:szCs w:val="20"/>
              </w:rPr>
            </w:pPr>
            <w:r w:rsidRPr="00E52EEE">
              <w:rPr>
                <w:sz w:val="20"/>
                <w:szCs w:val="20"/>
              </w:rPr>
              <w:t>1</w:t>
            </w:r>
          </w:p>
        </w:tc>
        <w:tc>
          <w:tcPr>
            <w:tcW w:w="1563" w:type="dxa"/>
            <w:shd w:val="clear" w:color="auto" w:fill="auto"/>
          </w:tcPr>
          <w:p w:rsidRPr="00E52EEE" w:rsidR="001001D8" w:rsidP="00DE0187" w:rsidRDefault="00FC3AC0" w14:paraId="0EFF8970" w14:textId="4B898D29">
            <w:pPr>
              <w:jc w:val="center"/>
              <w:rPr>
                <w:sz w:val="20"/>
                <w:szCs w:val="20"/>
              </w:rPr>
            </w:pPr>
            <w:r>
              <w:rPr>
                <w:sz w:val="20"/>
                <w:szCs w:val="20"/>
              </w:rPr>
              <w:t>8</w:t>
            </w:r>
          </w:p>
        </w:tc>
        <w:tc>
          <w:tcPr>
            <w:tcW w:w="1563" w:type="dxa"/>
            <w:shd w:val="clear" w:color="auto" w:fill="auto"/>
          </w:tcPr>
          <w:p w:rsidRPr="00691087" w:rsidR="00FC3AC0" w:rsidP="00473CB9" w:rsidRDefault="00FC3AC0" w14:paraId="3037E18F" w14:textId="77777777">
            <w:pPr>
              <w:jc w:val="center"/>
              <w:rPr>
                <w:sz w:val="20"/>
                <w:szCs w:val="20"/>
              </w:rPr>
            </w:pPr>
            <w:r w:rsidRPr="00691087">
              <w:rPr>
                <w:sz w:val="20"/>
                <w:szCs w:val="20"/>
              </w:rPr>
              <w:t>0.08</w:t>
            </w:r>
          </w:p>
          <w:p w:rsidRPr="00E52EEE" w:rsidR="001001D8" w:rsidP="00473CB9" w:rsidRDefault="00FC3AC0" w14:paraId="0D227C27" w14:textId="67190B60">
            <w:pPr>
              <w:jc w:val="center"/>
              <w:rPr>
                <w:sz w:val="20"/>
                <w:szCs w:val="20"/>
              </w:rPr>
            </w:pPr>
            <w:r w:rsidRPr="00691087">
              <w:rPr>
                <w:sz w:val="20"/>
                <w:szCs w:val="20"/>
              </w:rPr>
              <w:t xml:space="preserve">(5 </w:t>
            </w:r>
            <w:r w:rsidRPr="00691087" w:rsidR="00D86C97">
              <w:rPr>
                <w:sz w:val="20"/>
                <w:szCs w:val="20"/>
              </w:rPr>
              <w:t>minutes)</w:t>
            </w:r>
          </w:p>
        </w:tc>
        <w:tc>
          <w:tcPr>
            <w:tcW w:w="1421" w:type="dxa"/>
            <w:shd w:val="clear" w:color="auto" w:fill="auto"/>
          </w:tcPr>
          <w:p w:rsidRPr="00E52EEE" w:rsidR="001001D8" w:rsidP="00DE0187" w:rsidRDefault="00FC3AC0" w14:paraId="7F019D43" w14:textId="7815FA69">
            <w:pPr>
              <w:jc w:val="center"/>
              <w:rPr>
                <w:sz w:val="20"/>
                <w:szCs w:val="20"/>
              </w:rPr>
            </w:pPr>
            <w:r>
              <w:rPr>
                <w:sz w:val="20"/>
                <w:szCs w:val="20"/>
              </w:rPr>
              <w:t>.64</w:t>
            </w:r>
          </w:p>
        </w:tc>
      </w:tr>
      <w:tr w:rsidRPr="00BB0EA0" w:rsidR="00FC3AC0" w:rsidTr="00E52EEE" w14:paraId="7F58F243" w14:textId="77777777">
        <w:trPr>
          <w:trHeight w:val="612"/>
        </w:trPr>
        <w:tc>
          <w:tcPr>
            <w:tcW w:w="1705" w:type="dxa"/>
            <w:shd w:val="clear" w:color="auto" w:fill="auto"/>
          </w:tcPr>
          <w:p w:rsidRPr="00E52EEE" w:rsidR="00FC3AC0" w:rsidP="008A1DF7" w:rsidRDefault="00FC3AC0" w14:paraId="66C5744C" w14:textId="359E2CE8">
            <w:pPr>
              <w:rPr>
                <w:sz w:val="20"/>
                <w:szCs w:val="20"/>
              </w:rPr>
            </w:pPr>
            <w:r w:rsidRPr="00E52EEE">
              <w:rPr>
                <w:sz w:val="20"/>
                <w:szCs w:val="20"/>
              </w:rPr>
              <w:t>Total Hours</w:t>
            </w:r>
          </w:p>
        </w:tc>
        <w:tc>
          <w:tcPr>
            <w:tcW w:w="1847" w:type="dxa"/>
            <w:shd w:val="clear" w:color="auto" w:fill="auto"/>
          </w:tcPr>
          <w:p w:rsidRPr="00E52EEE" w:rsidR="00FC3AC0" w:rsidP="00DE0187" w:rsidRDefault="00FC3AC0" w14:paraId="400B78FA" w14:textId="4047CB64">
            <w:pPr>
              <w:jc w:val="center"/>
              <w:rPr>
                <w:sz w:val="20"/>
                <w:szCs w:val="20"/>
              </w:rPr>
            </w:pPr>
            <w:r w:rsidRPr="00E52EEE">
              <w:rPr>
                <w:sz w:val="20"/>
                <w:szCs w:val="20"/>
              </w:rPr>
              <w:t>-</w:t>
            </w:r>
          </w:p>
        </w:tc>
        <w:tc>
          <w:tcPr>
            <w:tcW w:w="1847" w:type="dxa"/>
            <w:shd w:val="clear" w:color="auto" w:fill="auto"/>
          </w:tcPr>
          <w:p w:rsidRPr="00E52EEE" w:rsidR="00FC3AC0" w:rsidP="00DE0187" w:rsidRDefault="00FC3AC0" w14:paraId="132CE1D8" w14:textId="045C825B">
            <w:pPr>
              <w:jc w:val="center"/>
              <w:rPr>
                <w:sz w:val="20"/>
                <w:szCs w:val="20"/>
              </w:rPr>
            </w:pPr>
            <w:r w:rsidRPr="00E52EEE">
              <w:rPr>
                <w:sz w:val="20"/>
                <w:szCs w:val="20"/>
              </w:rPr>
              <w:t>-</w:t>
            </w:r>
          </w:p>
        </w:tc>
        <w:tc>
          <w:tcPr>
            <w:tcW w:w="1563" w:type="dxa"/>
            <w:shd w:val="clear" w:color="auto" w:fill="auto"/>
          </w:tcPr>
          <w:p w:rsidRPr="00E52EEE" w:rsidR="00FC3AC0" w:rsidP="00DE0187" w:rsidRDefault="00FC3AC0" w14:paraId="3BE0D8D6" w14:textId="153D707C">
            <w:pPr>
              <w:jc w:val="center"/>
              <w:rPr>
                <w:sz w:val="20"/>
                <w:szCs w:val="20"/>
              </w:rPr>
            </w:pPr>
            <w:r w:rsidRPr="00E52EEE">
              <w:rPr>
                <w:sz w:val="20"/>
                <w:szCs w:val="20"/>
              </w:rPr>
              <w:t>-</w:t>
            </w:r>
          </w:p>
        </w:tc>
        <w:tc>
          <w:tcPr>
            <w:tcW w:w="1563" w:type="dxa"/>
            <w:shd w:val="clear" w:color="auto" w:fill="auto"/>
          </w:tcPr>
          <w:p w:rsidRPr="00E52EEE" w:rsidR="00FC3AC0" w:rsidP="00DE0187" w:rsidRDefault="00FC3AC0" w14:paraId="684FACF9" w14:textId="34966D48">
            <w:pPr>
              <w:jc w:val="center"/>
              <w:rPr>
                <w:sz w:val="20"/>
                <w:szCs w:val="20"/>
              </w:rPr>
            </w:pPr>
            <w:r w:rsidRPr="00E52EEE">
              <w:rPr>
                <w:sz w:val="20"/>
                <w:szCs w:val="20"/>
              </w:rPr>
              <w:t>-</w:t>
            </w:r>
          </w:p>
        </w:tc>
        <w:tc>
          <w:tcPr>
            <w:tcW w:w="1421" w:type="dxa"/>
            <w:shd w:val="clear" w:color="auto" w:fill="auto"/>
          </w:tcPr>
          <w:p w:rsidRPr="00E52EEE" w:rsidR="00FC3AC0" w:rsidP="00DE0187" w:rsidRDefault="00FC3AC0" w14:paraId="53ABC2B1" w14:textId="63B6E3A7">
            <w:pPr>
              <w:jc w:val="center"/>
              <w:rPr>
                <w:sz w:val="20"/>
                <w:szCs w:val="20"/>
              </w:rPr>
            </w:pPr>
            <w:r>
              <w:rPr>
                <w:sz w:val="20"/>
                <w:szCs w:val="20"/>
              </w:rPr>
              <w:t>1,400.64</w:t>
            </w:r>
          </w:p>
        </w:tc>
      </w:tr>
    </w:tbl>
    <w:p w:rsidRPr="00E52EEE" w:rsidR="006426A5" w:rsidP="006426A5" w:rsidRDefault="0069173F" w14:paraId="325B55AE" w14:textId="00670D3B">
      <w:pPr>
        <w:rPr>
          <w:bCs/>
          <w:sz w:val="18"/>
          <w:szCs w:val="18"/>
        </w:rPr>
      </w:pPr>
      <w:r w:rsidRPr="00E52EEE">
        <w:rPr>
          <w:bCs/>
          <w:sz w:val="18"/>
          <w:szCs w:val="18"/>
          <w:vertAlign w:val="superscript"/>
        </w:rPr>
        <w:t>1</w:t>
      </w:r>
      <w:r w:rsidRPr="00E52EEE" w:rsidR="003C4CAC">
        <w:rPr>
          <w:bCs/>
          <w:sz w:val="18"/>
          <w:szCs w:val="18"/>
        </w:rPr>
        <w:t>There are no capital costs of operating and maintenance costs associated with this collection of information.</w:t>
      </w:r>
    </w:p>
    <w:p w:rsidR="00C323C7" w:rsidP="006426A5" w:rsidRDefault="00C323C7" w14:paraId="74F2B971" w14:textId="77777777">
      <w:pPr>
        <w:rPr>
          <w:bCs/>
        </w:rPr>
      </w:pPr>
    </w:p>
    <w:p w:rsidRPr="0063572C" w:rsidR="006426A5" w:rsidP="006426A5" w:rsidRDefault="006426A5" w14:paraId="35A521F7" w14:textId="77777777">
      <w:pPr>
        <w:rPr>
          <w:bCs/>
        </w:rPr>
      </w:pPr>
    </w:p>
    <w:p w:rsidR="006426A5" w:rsidP="008A1DF7" w:rsidRDefault="006426A5" w14:paraId="1B14D1E1" w14:textId="77777777">
      <w:pPr>
        <w:pStyle w:val="BodyText2"/>
        <w:ind w:left="720"/>
      </w:pPr>
      <w:r w:rsidRPr="00C75CBF">
        <w:t xml:space="preserve">12b. </w:t>
      </w:r>
      <w:r w:rsidRPr="00C75CBF">
        <w:rPr>
          <w:u w:val="single"/>
        </w:rPr>
        <w:t>Annualized Cost Burden Estimate</w:t>
      </w:r>
    </w:p>
    <w:p w:rsidR="006426A5" w:rsidP="006426A5" w:rsidRDefault="006426A5" w14:paraId="08C473B7" w14:textId="77777777">
      <w:pPr>
        <w:pStyle w:val="BodyText2"/>
        <w:ind w:left="720"/>
      </w:pPr>
    </w:p>
    <w:p w:rsidR="006426A5" w:rsidP="006426A5" w:rsidRDefault="006426A5" w14:paraId="7397F830" w14:textId="77777777">
      <w:pPr>
        <w:pStyle w:val="BodyText2"/>
        <w:ind w:left="720"/>
      </w:pPr>
      <w:r w:rsidRPr="005E4AD2">
        <w:t>The cost associated with this collection is directly related to the s</w:t>
      </w:r>
      <w:r>
        <w:t>peed at which a respondent can respond to</w:t>
      </w:r>
      <w:r w:rsidRPr="005E4AD2">
        <w:t xml:space="preserve"> the survey</w:t>
      </w:r>
      <w:r>
        <w:t xml:space="preserve">.  </w:t>
      </w:r>
      <w:r w:rsidRPr="00CA5A59">
        <w:t xml:space="preserve">A study by the U.S. Bureau of Labor Statistics in </w:t>
      </w:r>
      <w:r w:rsidRPr="00CA5A59" w:rsidR="00C323C7">
        <w:t xml:space="preserve">December </w:t>
      </w:r>
      <w:r w:rsidRPr="00CA5A59" w:rsidR="00D25DB3">
        <w:t xml:space="preserve">2020 </w:t>
      </w:r>
      <w:r w:rsidRPr="00CA5A59">
        <w:t>found that managers in state/local government employees earn an average of $</w:t>
      </w:r>
      <w:r w:rsidRPr="00CA5A59" w:rsidR="00D25DB3">
        <w:t>64.02</w:t>
      </w:r>
      <w:r w:rsidRPr="00CA5A59">
        <w:t xml:space="preserve"> per hour and private industry employees earn an average of $</w:t>
      </w:r>
      <w:r w:rsidRPr="00CA5A59" w:rsidR="00D25DB3">
        <w:t>36.23</w:t>
      </w:r>
      <w:r w:rsidRPr="00CA5A59" w:rsidR="00AB4774">
        <w:t xml:space="preserve"> </w:t>
      </w:r>
      <w:r w:rsidRPr="00CA5A59">
        <w:t xml:space="preserve">per </w:t>
      </w:r>
      <w:r w:rsidRPr="00CA5A59">
        <w:lastRenderedPageBreak/>
        <w:t>hour.</w:t>
      </w:r>
      <w:r w:rsidRPr="00CA5A59">
        <w:rPr>
          <w:rStyle w:val="FootnoteReference"/>
        </w:rPr>
        <w:footnoteReference w:id="1"/>
      </w:r>
      <w:r w:rsidRPr="00CA5A59">
        <w:t xml:space="preserve"> This includes the total wages and other compensation, as well as benefits like health insurance and retirement contributions. </w:t>
      </w:r>
      <w:r w:rsidRPr="00CA5A59" w:rsidR="00AB4774">
        <w:t xml:space="preserve"> </w:t>
      </w:r>
      <w:r w:rsidRPr="00CA5A59">
        <w:t>Estimates of annualized cost burden are tabulated below:</w:t>
      </w:r>
    </w:p>
    <w:p w:rsidRPr="005E4AD2" w:rsidR="006426A5" w:rsidP="006426A5" w:rsidRDefault="006426A5" w14:paraId="281938EF"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Pr="005E4AD2" w:rsidR="006426A5" w:rsidTr="00DE0187" w14:paraId="2F3D49B3" w14:textId="77777777">
        <w:tc>
          <w:tcPr>
            <w:tcW w:w="2160" w:type="dxa"/>
            <w:shd w:val="clear" w:color="auto" w:fill="auto"/>
          </w:tcPr>
          <w:p w:rsidRPr="005E4AD2" w:rsidR="006426A5" w:rsidP="00DE0187" w:rsidRDefault="006426A5" w14:paraId="6AA9E716" w14:textId="77777777">
            <w:r w:rsidRPr="005E4AD2">
              <w:t>Type of Respondent</w:t>
            </w:r>
          </w:p>
        </w:tc>
        <w:tc>
          <w:tcPr>
            <w:tcW w:w="1800" w:type="dxa"/>
            <w:shd w:val="clear" w:color="auto" w:fill="auto"/>
          </w:tcPr>
          <w:p w:rsidRPr="005E4AD2" w:rsidR="006426A5" w:rsidP="00DE0187" w:rsidRDefault="006426A5" w14:paraId="13133506" w14:textId="77777777">
            <w:r w:rsidRPr="005E4AD2">
              <w:t>Total Burden Hours</w:t>
            </w:r>
          </w:p>
        </w:tc>
        <w:tc>
          <w:tcPr>
            <w:tcW w:w="2394" w:type="dxa"/>
            <w:shd w:val="clear" w:color="auto" w:fill="auto"/>
          </w:tcPr>
          <w:p w:rsidRPr="005E4AD2" w:rsidR="006426A5" w:rsidP="00DE0187" w:rsidRDefault="006426A5" w14:paraId="62E5EE96" w14:textId="77777777">
            <w:r w:rsidRPr="005E4AD2">
              <w:t>Hourly Wage Rate</w:t>
            </w:r>
          </w:p>
        </w:tc>
        <w:tc>
          <w:tcPr>
            <w:tcW w:w="1926" w:type="dxa"/>
            <w:shd w:val="clear" w:color="auto" w:fill="auto"/>
          </w:tcPr>
          <w:p w:rsidRPr="005E4AD2" w:rsidR="006426A5" w:rsidP="00DE0187" w:rsidRDefault="006426A5" w14:paraId="29FECE4E" w14:textId="77777777">
            <w:r w:rsidRPr="005E4AD2">
              <w:t>Total Respondent Costs</w:t>
            </w:r>
          </w:p>
        </w:tc>
      </w:tr>
      <w:tr w:rsidRPr="005E4AD2" w:rsidR="006426A5" w:rsidTr="00DE0187" w14:paraId="1F8EA2BC" w14:textId="77777777">
        <w:tc>
          <w:tcPr>
            <w:tcW w:w="2160" w:type="dxa"/>
            <w:shd w:val="clear" w:color="auto" w:fill="auto"/>
          </w:tcPr>
          <w:p w:rsidRPr="005E4AD2" w:rsidR="006426A5" w:rsidP="00DE0187" w:rsidRDefault="006426A5" w14:paraId="5D4116D1" w14:textId="3184B490">
            <w:r w:rsidRPr="00C17E84">
              <w:rPr>
                <w:rFonts w:cs="Arial"/>
                <w:bCs/>
              </w:rPr>
              <w:t>Person in charge of the selected facility</w:t>
            </w:r>
            <w:r>
              <w:rPr>
                <w:rFonts w:cs="Arial"/>
                <w:bCs/>
              </w:rPr>
              <w:t xml:space="preserve"> –retail food store facility types</w:t>
            </w:r>
          </w:p>
        </w:tc>
        <w:tc>
          <w:tcPr>
            <w:tcW w:w="1800" w:type="dxa"/>
            <w:shd w:val="clear" w:color="auto" w:fill="auto"/>
          </w:tcPr>
          <w:p w:rsidRPr="005E4AD2" w:rsidR="006426A5" w:rsidP="002F24EA" w:rsidRDefault="00EA4752" w14:paraId="25153202" w14:textId="4B0FC3EA">
            <w:pPr>
              <w:jc w:val="center"/>
            </w:pPr>
            <w:r>
              <w:t>1,200.64</w:t>
            </w:r>
          </w:p>
        </w:tc>
        <w:tc>
          <w:tcPr>
            <w:tcW w:w="2394" w:type="dxa"/>
            <w:shd w:val="clear" w:color="auto" w:fill="auto"/>
          </w:tcPr>
          <w:p w:rsidRPr="005E4AD2" w:rsidR="006426A5" w:rsidP="002F24EA" w:rsidRDefault="006426A5" w14:paraId="392C47A6" w14:textId="77777777">
            <w:pPr>
              <w:jc w:val="center"/>
            </w:pPr>
            <w:r>
              <w:t>$</w:t>
            </w:r>
            <w:r w:rsidR="00D25DB3">
              <w:t>36.23</w:t>
            </w:r>
          </w:p>
        </w:tc>
        <w:tc>
          <w:tcPr>
            <w:tcW w:w="1926" w:type="dxa"/>
            <w:shd w:val="clear" w:color="auto" w:fill="auto"/>
          </w:tcPr>
          <w:p w:rsidRPr="005E4AD2" w:rsidR="006426A5" w:rsidP="002F24EA" w:rsidRDefault="006426A5" w14:paraId="72C58BBC" w14:textId="36DBCC6A">
            <w:pPr>
              <w:jc w:val="center"/>
            </w:pPr>
            <w:r w:rsidRPr="005E4AD2">
              <w:t>$</w:t>
            </w:r>
            <w:r w:rsidR="003B17EE">
              <w:t>43,499.19</w:t>
            </w:r>
          </w:p>
        </w:tc>
      </w:tr>
      <w:tr w:rsidRPr="005E4AD2" w:rsidR="006426A5" w:rsidTr="00DE0187" w14:paraId="61EAB50F" w14:textId="77777777">
        <w:tc>
          <w:tcPr>
            <w:tcW w:w="2160" w:type="dxa"/>
            <w:shd w:val="clear" w:color="auto" w:fill="auto"/>
          </w:tcPr>
          <w:p w:rsidRPr="005E4AD2" w:rsidR="006426A5" w:rsidP="00DE0187" w:rsidRDefault="006426A5" w14:paraId="3E05CE74" w14:textId="77777777">
            <w:r w:rsidRPr="00C17E84">
              <w:rPr>
                <w:rFonts w:cs="Arial"/>
                <w:bCs/>
              </w:rPr>
              <w:t xml:space="preserve">Program director of the respective regulatory authority </w:t>
            </w:r>
          </w:p>
        </w:tc>
        <w:tc>
          <w:tcPr>
            <w:tcW w:w="1800" w:type="dxa"/>
            <w:shd w:val="clear" w:color="auto" w:fill="auto"/>
          </w:tcPr>
          <w:p w:rsidRPr="005E4AD2" w:rsidR="006426A5" w:rsidP="002F24EA" w:rsidRDefault="003B17EE" w14:paraId="7FCE0EE7" w14:textId="293DC145">
            <w:pPr>
              <w:jc w:val="center"/>
            </w:pPr>
            <w:r>
              <w:t>200</w:t>
            </w:r>
          </w:p>
        </w:tc>
        <w:tc>
          <w:tcPr>
            <w:tcW w:w="2394" w:type="dxa"/>
            <w:shd w:val="clear" w:color="auto" w:fill="auto"/>
          </w:tcPr>
          <w:p w:rsidRPr="005E4AD2" w:rsidR="006426A5" w:rsidP="002F24EA" w:rsidRDefault="006426A5" w14:paraId="1F1EC129" w14:textId="77777777">
            <w:pPr>
              <w:jc w:val="center"/>
            </w:pPr>
            <w:r>
              <w:t>$</w:t>
            </w:r>
            <w:r w:rsidR="00D25DB3">
              <w:t>64.02</w:t>
            </w:r>
          </w:p>
        </w:tc>
        <w:tc>
          <w:tcPr>
            <w:tcW w:w="1926" w:type="dxa"/>
            <w:shd w:val="clear" w:color="auto" w:fill="auto"/>
          </w:tcPr>
          <w:p w:rsidRPr="005E4AD2" w:rsidR="006426A5" w:rsidP="002F24EA" w:rsidRDefault="006426A5" w14:paraId="79E50481" w14:textId="412C47D6">
            <w:pPr>
              <w:jc w:val="center"/>
            </w:pPr>
            <w:r w:rsidRPr="005E4AD2">
              <w:t>$</w:t>
            </w:r>
            <w:r w:rsidR="00444B10">
              <w:t>12,804</w:t>
            </w:r>
            <w:r w:rsidR="00C323C7">
              <w:t>.00</w:t>
            </w:r>
          </w:p>
        </w:tc>
      </w:tr>
      <w:tr w:rsidRPr="005E4AD2" w:rsidR="006426A5" w:rsidTr="00DE0187" w14:paraId="4143CACB" w14:textId="77777777">
        <w:tc>
          <w:tcPr>
            <w:tcW w:w="6354" w:type="dxa"/>
            <w:gridSpan w:val="3"/>
            <w:shd w:val="clear" w:color="auto" w:fill="auto"/>
          </w:tcPr>
          <w:p w:rsidRPr="005E4AD2" w:rsidR="006426A5" w:rsidP="00DE0187" w:rsidRDefault="006426A5" w14:paraId="0430E562" w14:textId="77777777">
            <w:r w:rsidRPr="00C17E84">
              <w:rPr>
                <w:rFonts w:cs="Arial"/>
                <w:bCs/>
              </w:rPr>
              <w:t xml:space="preserve">Total </w:t>
            </w:r>
          </w:p>
        </w:tc>
        <w:tc>
          <w:tcPr>
            <w:tcW w:w="1926" w:type="dxa"/>
            <w:shd w:val="clear" w:color="auto" w:fill="auto"/>
          </w:tcPr>
          <w:p w:rsidRPr="005E4AD2" w:rsidR="006426A5" w:rsidP="002F24EA" w:rsidRDefault="006426A5" w14:paraId="62DC876A" w14:textId="52680E0F">
            <w:pPr>
              <w:jc w:val="center"/>
            </w:pPr>
            <w:r w:rsidRPr="005E4AD2">
              <w:t>$</w:t>
            </w:r>
            <w:r w:rsidR="0049749A">
              <w:t>56</w:t>
            </w:r>
            <w:r w:rsidR="00C668DC">
              <w:t>,</w:t>
            </w:r>
            <w:r w:rsidR="0049749A">
              <w:t>303.19</w:t>
            </w:r>
          </w:p>
        </w:tc>
      </w:tr>
    </w:tbl>
    <w:p w:rsidR="00C87AE6" w:rsidP="00116F28" w:rsidRDefault="00C87AE6" w14:paraId="557104CD" w14:textId="77777777">
      <w:pPr>
        <w:ind w:left="360"/>
        <w:rPr>
          <w:u w:val="single"/>
        </w:rPr>
      </w:pPr>
    </w:p>
    <w:p w:rsidRPr="004C6979" w:rsidR="004C6979" w:rsidP="00C323C7" w:rsidRDefault="00EB7538" w14:paraId="224F11AB" w14:textId="77777777">
      <w:pPr>
        <w:numPr>
          <w:ilvl w:val="0"/>
          <w:numId w:val="1"/>
        </w:numPr>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FE7EA5" w:rsidP="009C5A02" w:rsidRDefault="00FE7EA5" w14:paraId="4E659055" w14:textId="77777777">
      <w:pPr>
        <w:ind w:left="720"/>
      </w:pPr>
    </w:p>
    <w:p w:rsidR="004A5667" w:rsidP="00116F28" w:rsidRDefault="00113F3C" w14:paraId="2820413D" w14:textId="3D4E3BBD">
      <w:pPr>
        <w:ind w:left="720"/>
      </w:pPr>
      <w:r>
        <w:t xml:space="preserve">There are no capital, start-up, </w:t>
      </w:r>
      <w:proofErr w:type="gramStart"/>
      <w:r>
        <w:t>operating</w:t>
      </w:r>
      <w:proofErr w:type="gramEnd"/>
      <w:r>
        <w:t xml:space="preserve"> or maintenance costs associated with this information collection.</w:t>
      </w:r>
    </w:p>
    <w:p w:rsidR="00116F28" w:rsidP="00116F28" w:rsidRDefault="00116F28" w14:paraId="3861570B" w14:textId="77777777">
      <w:pPr>
        <w:ind w:left="720"/>
      </w:pPr>
    </w:p>
    <w:p w:rsidR="004C6979" w:rsidP="006426A5" w:rsidRDefault="00EB7538" w14:paraId="0955112C" w14:textId="77777777">
      <w:pPr>
        <w:numPr>
          <w:ilvl w:val="0"/>
          <w:numId w:val="1"/>
        </w:numPr>
        <w:rPr>
          <w:u w:val="single"/>
        </w:rPr>
      </w:pPr>
      <w:r w:rsidRPr="004C6979">
        <w:rPr>
          <w:u w:val="single"/>
        </w:rPr>
        <w:t>Annualized Cost to the Federal Government</w:t>
      </w:r>
    </w:p>
    <w:p w:rsidRPr="004C6979" w:rsidR="009C5A02" w:rsidP="009C5A02" w:rsidRDefault="009C5A02" w14:paraId="1F808619" w14:textId="77777777">
      <w:pPr>
        <w:ind w:left="360"/>
        <w:rPr>
          <w:u w:val="single"/>
        </w:rPr>
      </w:pPr>
    </w:p>
    <w:p w:rsidRPr="00CA5A59" w:rsidR="006426A5" w:rsidP="006426A5" w:rsidRDefault="006426A5" w14:paraId="20A54101" w14:textId="6BBC143B">
      <w:pPr>
        <w:ind w:left="720"/>
      </w:pPr>
      <w:r w:rsidRPr="00CA5A59">
        <w:t xml:space="preserve">The estimated total cost to the Federal Government for completing the </w:t>
      </w:r>
      <w:r w:rsidRPr="00CA5A59" w:rsidR="008845E7">
        <w:t>2023</w:t>
      </w:r>
      <w:r w:rsidRPr="00CA5A59" w:rsidR="001A3726">
        <w:t>-</w:t>
      </w:r>
      <w:r w:rsidRPr="00CA5A59" w:rsidR="008845E7">
        <w:t xml:space="preserve">2024 </w:t>
      </w:r>
      <w:r w:rsidRPr="00CA5A59">
        <w:t>data collection is $</w:t>
      </w:r>
      <w:r w:rsidR="00F2671B">
        <w:t>111</w:t>
      </w:r>
      <w:r w:rsidR="004903B7">
        <w:t>,</w:t>
      </w:r>
      <w:r w:rsidR="00F2671B">
        <w:t>024</w:t>
      </w:r>
      <w:r w:rsidRPr="00CA5A59" w:rsidR="00D25DB3">
        <w:t>.00</w:t>
      </w:r>
      <w:r w:rsidRPr="00CA5A59">
        <w:t>.  This value is derived as follows:</w:t>
      </w:r>
    </w:p>
    <w:p w:rsidRPr="00CA5A59" w:rsidR="006426A5" w:rsidP="006426A5" w:rsidRDefault="006426A5" w14:paraId="7EBB879F" w14:textId="77777777">
      <w:pPr>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50"/>
        <w:gridCol w:w="3325"/>
        <w:gridCol w:w="2347"/>
      </w:tblGrid>
      <w:tr w:rsidRPr="00CA5A59" w:rsidR="006426A5" w:rsidTr="00AB4774" w14:paraId="1BDCFB89" w14:textId="77777777">
        <w:tc>
          <w:tcPr>
            <w:tcW w:w="2917" w:type="dxa"/>
            <w:shd w:val="clear" w:color="auto" w:fill="auto"/>
          </w:tcPr>
          <w:p w:rsidRPr="00CA5A59" w:rsidR="006426A5" w:rsidP="00DE0187" w:rsidRDefault="006426A5" w14:paraId="7B4ECACE" w14:textId="77777777">
            <w:r w:rsidRPr="00CA5A59">
              <w:t>Description of Cost</w:t>
            </w:r>
          </w:p>
        </w:tc>
        <w:tc>
          <w:tcPr>
            <w:tcW w:w="3434" w:type="dxa"/>
            <w:shd w:val="clear" w:color="auto" w:fill="auto"/>
          </w:tcPr>
          <w:p w:rsidRPr="00CA5A59" w:rsidR="006426A5" w:rsidP="00DE0187" w:rsidRDefault="006426A5" w14:paraId="18C73E58" w14:textId="77777777">
            <w:r w:rsidRPr="00CA5A59">
              <w:t>Factor Used</w:t>
            </w:r>
          </w:p>
        </w:tc>
        <w:tc>
          <w:tcPr>
            <w:tcW w:w="2397" w:type="dxa"/>
            <w:shd w:val="clear" w:color="auto" w:fill="auto"/>
          </w:tcPr>
          <w:p w:rsidRPr="00CA5A59" w:rsidR="006426A5" w:rsidP="00DE0187" w:rsidRDefault="006426A5" w14:paraId="2EAF7309" w14:textId="77777777">
            <w:r w:rsidRPr="00CA5A59">
              <w:t>Total Cost</w:t>
            </w:r>
          </w:p>
        </w:tc>
      </w:tr>
      <w:tr w:rsidRPr="00CA5A59" w:rsidR="006426A5" w:rsidTr="00AB4774" w14:paraId="37CDBF92" w14:textId="77777777">
        <w:tc>
          <w:tcPr>
            <w:tcW w:w="2917" w:type="dxa"/>
            <w:shd w:val="clear" w:color="auto" w:fill="auto"/>
          </w:tcPr>
          <w:p w:rsidRPr="00CA5A59" w:rsidR="006426A5" w:rsidP="00DE0187" w:rsidRDefault="006426A5" w14:paraId="07AA7364" w14:textId="77777777">
            <w:r w:rsidRPr="00CA5A59">
              <w:t xml:space="preserve">Cost of FDA staff involved in study design, data collection and analysis, database maintenance, and report writing </w:t>
            </w:r>
          </w:p>
        </w:tc>
        <w:tc>
          <w:tcPr>
            <w:tcW w:w="3434" w:type="dxa"/>
            <w:shd w:val="clear" w:color="auto" w:fill="auto"/>
          </w:tcPr>
          <w:p w:rsidRPr="00CA5A59" w:rsidR="006426A5" w:rsidP="006426A5" w:rsidRDefault="00395F5B" w14:paraId="311974C8" w14:textId="00F41C4B">
            <w:r>
              <w:t>1,600</w:t>
            </w:r>
            <w:r w:rsidRPr="00CA5A59" w:rsidR="006426A5">
              <w:t xml:space="preserve"> work plan hours x $</w:t>
            </w:r>
            <w:r w:rsidRPr="00CA5A59" w:rsidR="00D25DB3">
              <w:t>41.89</w:t>
            </w:r>
            <w:r w:rsidRPr="00CA5A59" w:rsidR="006426A5">
              <w:t xml:space="preserve"> (</w:t>
            </w:r>
            <w:r w:rsidRPr="00CA5A59" w:rsidR="00D25DB3">
              <w:t>2021</w:t>
            </w:r>
            <w:r w:rsidR="00CE736E">
              <w:t xml:space="preserve"> </w:t>
            </w:r>
            <w:r w:rsidRPr="00CA5A59" w:rsidR="006426A5">
              <w:t>hourly rate of pay for GS-13, Step 4)</w:t>
            </w:r>
          </w:p>
        </w:tc>
        <w:tc>
          <w:tcPr>
            <w:tcW w:w="2397" w:type="dxa"/>
            <w:shd w:val="clear" w:color="auto" w:fill="auto"/>
          </w:tcPr>
          <w:p w:rsidRPr="00CA5A59" w:rsidR="006426A5" w:rsidP="006426A5" w:rsidRDefault="006426A5" w14:paraId="38A1F200" w14:textId="5EB0C148">
            <w:r w:rsidRPr="00CA5A59">
              <w:t>$</w:t>
            </w:r>
            <w:r w:rsidR="004029E1">
              <w:t>67,024</w:t>
            </w:r>
            <w:r w:rsidR="004B6D3B">
              <w:t>.00</w:t>
            </w:r>
          </w:p>
        </w:tc>
      </w:tr>
      <w:tr w:rsidRPr="00CA5A59" w:rsidR="009152CF" w:rsidTr="00AB4774" w14:paraId="0DACBE32" w14:textId="77777777">
        <w:tc>
          <w:tcPr>
            <w:tcW w:w="2917" w:type="dxa"/>
            <w:shd w:val="clear" w:color="auto" w:fill="auto"/>
          </w:tcPr>
          <w:p w:rsidRPr="00CA5A59" w:rsidR="009152CF" w:rsidP="009152CF" w:rsidRDefault="009152CF" w14:paraId="6B3B0826" w14:textId="77777777">
            <w:r w:rsidRPr="00CA5A59">
              <w:t>Travel expenses of FDA staff (to perform data collection inspections)</w:t>
            </w:r>
          </w:p>
        </w:tc>
        <w:tc>
          <w:tcPr>
            <w:tcW w:w="3434" w:type="dxa"/>
            <w:shd w:val="clear" w:color="auto" w:fill="auto"/>
          </w:tcPr>
          <w:p w:rsidRPr="00CA5A59" w:rsidR="009152CF" w:rsidP="009152CF" w:rsidRDefault="009152CF" w14:paraId="52B477EA" w14:textId="3DF3CE5F">
            <w:r w:rsidRPr="00CA5A59">
              <w:t xml:space="preserve">$37.50 (average) per inspection x </w:t>
            </w:r>
            <w:r w:rsidR="004029E1">
              <w:t>400</w:t>
            </w:r>
            <w:r w:rsidRPr="00CA5A59">
              <w:t xml:space="preserve"> inspections</w:t>
            </w:r>
          </w:p>
        </w:tc>
        <w:tc>
          <w:tcPr>
            <w:tcW w:w="2397" w:type="dxa"/>
            <w:shd w:val="clear" w:color="auto" w:fill="auto"/>
          </w:tcPr>
          <w:p w:rsidRPr="00CA5A59" w:rsidR="009152CF" w:rsidP="009152CF" w:rsidRDefault="009152CF" w14:paraId="70692B3D" w14:textId="4D40E130">
            <w:r w:rsidRPr="00CA5A59">
              <w:t>$</w:t>
            </w:r>
            <w:r w:rsidR="000B752A">
              <w:t>1</w:t>
            </w:r>
            <w:r w:rsidRPr="00CA5A59">
              <w:t>5,000.00</w:t>
            </w:r>
          </w:p>
        </w:tc>
      </w:tr>
      <w:tr w:rsidRPr="00CA5A59" w:rsidR="009152CF" w:rsidTr="00AB4774" w14:paraId="5C58CCA4" w14:textId="77777777">
        <w:tc>
          <w:tcPr>
            <w:tcW w:w="2917" w:type="dxa"/>
            <w:shd w:val="clear" w:color="auto" w:fill="auto"/>
          </w:tcPr>
          <w:p w:rsidRPr="00CA5A59" w:rsidR="009152CF" w:rsidP="009152CF" w:rsidRDefault="009152CF" w14:paraId="37094188" w14:textId="77777777">
            <w:r w:rsidRPr="00CA5A59">
              <w:t>Travel expenses of FDA staff (two face-to-face meetings to analyze the data and write the reports)</w:t>
            </w:r>
          </w:p>
        </w:tc>
        <w:tc>
          <w:tcPr>
            <w:tcW w:w="3434" w:type="dxa"/>
            <w:shd w:val="clear" w:color="auto" w:fill="auto"/>
          </w:tcPr>
          <w:p w:rsidRPr="00CA5A59" w:rsidR="009152CF" w:rsidP="009152CF" w:rsidRDefault="009152CF" w14:paraId="7923CF2D" w14:textId="77777777">
            <w:r w:rsidRPr="00CA5A59">
              <w:t xml:space="preserve">$24,000 per year x 1 year  </w:t>
            </w:r>
          </w:p>
        </w:tc>
        <w:tc>
          <w:tcPr>
            <w:tcW w:w="2397" w:type="dxa"/>
            <w:shd w:val="clear" w:color="auto" w:fill="auto"/>
          </w:tcPr>
          <w:p w:rsidRPr="00CA5A59" w:rsidR="009152CF" w:rsidP="009152CF" w:rsidRDefault="009152CF" w14:paraId="6DCFEA34" w14:textId="77777777">
            <w:r w:rsidRPr="00CA5A59">
              <w:t>$24,000.00</w:t>
            </w:r>
          </w:p>
        </w:tc>
      </w:tr>
      <w:tr w:rsidRPr="00CA5A59" w:rsidR="00CA5403" w:rsidTr="00AB4774" w14:paraId="09DFAB49" w14:textId="77777777">
        <w:tc>
          <w:tcPr>
            <w:tcW w:w="2917" w:type="dxa"/>
            <w:shd w:val="clear" w:color="auto" w:fill="auto"/>
          </w:tcPr>
          <w:p w:rsidRPr="00CA5A59" w:rsidR="00CA5403" w:rsidP="009152CF" w:rsidRDefault="00CA5403" w14:paraId="55AFA43E" w14:textId="77777777">
            <w:r w:rsidRPr="00CA5A59">
              <w:t xml:space="preserve">Miscellaneous (equipment, printing, etc.) </w:t>
            </w:r>
          </w:p>
        </w:tc>
        <w:tc>
          <w:tcPr>
            <w:tcW w:w="3434" w:type="dxa"/>
            <w:shd w:val="clear" w:color="auto" w:fill="auto"/>
          </w:tcPr>
          <w:p w:rsidRPr="00CA5A59" w:rsidR="00CA5403" w:rsidP="009152CF" w:rsidRDefault="00CA5403" w14:paraId="4E3CB13E" w14:textId="77777777">
            <w:r w:rsidRPr="00CA5A59">
              <w:t>$2,500 per year x 2 years</w:t>
            </w:r>
          </w:p>
        </w:tc>
        <w:tc>
          <w:tcPr>
            <w:tcW w:w="2397" w:type="dxa"/>
            <w:shd w:val="clear" w:color="auto" w:fill="auto"/>
          </w:tcPr>
          <w:p w:rsidRPr="00CA5A59" w:rsidR="00CA5403" w:rsidP="009152CF" w:rsidRDefault="00CA5403" w14:paraId="096885BF" w14:textId="77777777">
            <w:r w:rsidRPr="00CA5A59">
              <w:t>$5,000.00</w:t>
            </w:r>
          </w:p>
        </w:tc>
      </w:tr>
      <w:tr w:rsidR="00CA5403" w:rsidTr="00AB4774" w14:paraId="5D2A4AA7" w14:textId="77777777">
        <w:tc>
          <w:tcPr>
            <w:tcW w:w="2917" w:type="dxa"/>
            <w:shd w:val="clear" w:color="auto" w:fill="auto"/>
          </w:tcPr>
          <w:p w:rsidRPr="00CA5A59" w:rsidR="00CA5403" w:rsidP="009152CF" w:rsidRDefault="00CA5403" w14:paraId="64BABA27" w14:textId="77777777">
            <w:r w:rsidRPr="00CA5A59">
              <w:t>Total Cost</w:t>
            </w:r>
          </w:p>
        </w:tc>
        <w:tc>
          <w:tcPr>
            <w:tcW w:w="3434" w:type="dxa"/>
            <w:shd w:val="clear" w:color="auto" w:fill="auto"/>
          </w:tcPr>
          <w:p w:rsidRPr="00CA5A59" w:rsidR="00CA5403" w:rsidP="009152CF" w:rsidRDefault="00CA5403" w14:paraId="6A845191" w14:textId="77777777"/>
        </w:tc>
        <w:tc>
          <w:tcPr>
            <w:tcW w:w="2397" w:type="dxa"/>
            <w:shd w:val="clear" w:color="auto" w:fill="auto"/>
          </w:tcPr>
          <w:p w:rsidR="00CA5403" w:rsidP="00AB4774" w:rsidRDefault="00CA5403" w14:paraId="713A1AFD" w14:textId="4D0BBDA3">
            <w:r w:rsidRPr="00CA5A59">
              <w:t>$</w:t>
            </w:r>
            <w:r w:rsidR="004B6D3B">
              <w:t>111,024</w:t>
            </w:r>
            <w:r w:rsidRPr="00CA5A59" w:rsidR="00AB4774">
              <w:t>.00</w:t>
            </w:r>
          </w:p>
        </w:tc>
      </w:tr>
    </w:tbl>
    <w:p w:rsidR="0035056D" w:rsidP="00125B71" w:rsidRDefault="00EB7538" w14:paraId="3BE7E400" w14:textId="6FEF47EC">
      <w:pPr>
        <w:numPr>
          <w:ilvl w:val="0"/>
          <w:numId w:val="1"/>
        </w:numPr>
        <w:spacing w:before="100" w:beforeAutospacing="1" w:after="100" w:afterAutospacing="1"/>
      </w:pPr>
      <w:r w:rsidRPr="003811D3">
        <w:rPr>
          <w:u w:val="single"/>
        </w:rPr>
        <w:lastRenderedPageBreak/>
        <w:t>Explanation for Program Changes or Adjustments</w:t>
      </w:r>
      <w:bookmarkStart w:name="_Hlk79397095" w:id="3"/>
    </w:p>
    <w:p w:rsidR="00172465" w:rsidP="00172465" w:rsidRDefault="00172465" w14:paraId="529CFD4F" w14:textId="31B488EE">
      <w:pPr>
        <w:pStyle w:val="ListParagraph"/>
      </w:pPr>
      <w:r>
        <w:t>Since the last renewal</w:t>
      </w:r>
      <w:r w:rsidR="003266F0">
        <w:t>,</w:t>
      </w:r>
      <w:r>
        <w:t xml:space="preserve"> </w:t>
      </w:r>
      <w:r w:rsidR="001701E0">
        <w:t>we submitted a</w:t>
      </w:r>
      <w:r>
        <w:t xml:space="preserve"> change request</w:t>
      </w:r>
      <w:r w:rsidR="00895D35">
        <w:t xml:space="preserve"> </w:t>
      </w:r>
      <w:r w:rsidR="001701E0">
        <w:t>to OMB</w:t>
      </w:r>
      <w:r w:rsidR="00895D35">
        <w:t xml:space="preserve">, </w:t>
      </w:r>
      <w:r w:rsidR="00895D35">
        <w:t>which was approved September 13, 2019</w:t>
      </w:r>
      <w:r w:rsidR="003811D3">
        <w:t xml:space="preserve">.  </w:t>
      </w:r>
      <w:r w:rsidR="00167536">
        <w:t>This</w:t>
      </w:r>
      <w:r>
        <w:t xml:space="preserve"> </w:t>
      </w:r>
      <w:r w:rsidR="0062297C">
        <w:t xml:space="preserve">change request </w:t>
      </w:r>
      <w:r w:rsidR="00167536">
        <w:t>adjusted the information collection to reflect a decrease of 1,616 responses and 2,201 hours annually</w:t>
      </w:r>
      <w:r w:rsidR="00167536">
        <w:t>.</w:t>
      </w:r>
      <w:r>
        <w:t xml:space="preserve"> </w:t>
      </w:r>
      <w:r w:rsidR="008570BB">
        <w:t xml:space="preserve">Upon our submission, however, we note we inadvertently </w:t>
      </w:r>
      <w:r w:rsidRPr="009A3F84" w:rsidR="008570BB">
        <w:t>published the previous figures in the 60-day and 30-day notice.</w:t>
      </w:r>
      <w:r w:rsidR="003811D3">
        <w:t xml:space="preserve">  There are no adjustments or changes made to the collection. </w:t>
      </w:r>
    </w:p>
    <w:bookmarkEnd w:id="3"/>
    <w:p w:rsidR="0035056D" w:rsidP="00BE3009" w:rsidRDefault="0035056D" w14:paraId="2F00E7F4" w14:textId="40F493E2">
      <w:pPr>
        <w:pStyle w:val="ListParagraph"/>
      </w:pPr>
    </w:p>
    <w:p w:rsidRPr="00FD1CF5" w:rsidR="004C6979" w:rsidP="003E5D2F" w:rsidRDefault="00A8062C" w14:paraId="034DC8CF" w14:textId="77777777">
      <w:pPr>
        <w:pStyle w:val="BodyTextIndent"/>
        <w:numPr>
          <w:ilvl w:val="0"/>
          <w:numId w:val="1"/>
        </w:numPr>
        <w:rPr>
          <w:u w:val="single"/>
        </w:rPr>
      </w:pPr>
      <w:r w:rsidRPr="00B720A4">
        <w:t xml:space="preserve"> </w:t>
      </w:r>
      <w:r w:rsidRPr="00FD1CF5" w:rsidR="00EB7538">
        <w:rPr>
          <w:u w:val="single"/>
        </w:rPr>
        <w:t>Plans for Tabulation and Publication and Project Time Schedule</w:t>
      </w:r>
    </w:p>
    <w:p w:rsidR="00827EAC" w:rsidP="00D730BF" w:rsidRDefault="00827EAC" w14:paraId="5A1D5163" w14:textId="77777777">
      <w:pPr>
        <w:ind w:left="720"/>
      </w:pPr>
    </w:p>
    <w:p w:rsidR="00116F28" w:rsidP="006F6622" w:rsidRDefault="00827EAC" w14:paraId="693BE303" w14:textId="51EEBE10">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Pr>
          <w:bCs/>
        </w:rPr>
        <w:t xml:space="preserve">The Agency </w:t>
      </w:r>
      <w:r w:rsidRPr="00C23782">
        <w:rPr>
          <w:bCs/>
        </w:rPr>
        <w:t>anticipates disseminating the results of</w:t>
      </w:r>
      <w:r>
        <w:rPr>
          <w:bCs/>
        </w:rPr>
        <w:t xml:space="preserve"> the data collection after the data is collected, analyzed, tabulated in written reports, and cleared.  </w:t>
      </w:r>
      <w:r w:rsidRPr="00182C46">
        <w:t xml:space="preserve">Activities associated with the outcomes of this research will primarily consist of written and </w:t>
      </w:r>
      <w:r>
        <w:t xml:space="preserve">oral presentations as well as a </w:t>
      </w:r>
      <w:r w:rsidRPr="00182C46">
        <w:t>written final report</w:t>
      </w:r>
      <w:r>
        <w:t xml:space="preserve">.  </w:t>
      </w:r>
      <w:r w:rsidRPr="00182C46">
        <w:t>In addition, journal manuscripts and oral and/or poster presentations will be planned to disseminate the information to the public, including professionals, academics, and industry and consumer organizations.  Th</w:t>
      </w:r>
      <w:r>
        <w:t>is</w:t>
      </w:r>
      <w:r w:rsidRPr="00182C46">
        <w:t xml:space="preserve"> dialogue will help improve the effectiveness of the agency’s regulatory and education initiatives in promoting and protecting the public health.</w:t>
      </w:r>
      <w:r>
        <w:t xml:space="preserve">  The planned schedule for project activities is shown in the table below:       </w:t>
      </w:r>
    </w:p>
    <w:p w:rsidR="00827EAC" w:rsidP="00827EAC" w:rsidRDefault="00827EAC" w14:paraId="3EB1AF8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Pr="00CA5A59" w:rsidR="00827EAC" w:rsidP="00827EAC" w:rsidRDefault="00827EAC" w14:paraId="41A8CF79"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r>
        <w:tab/>
      </w:r>
      <w:r>
        <w:tab/>
      </w:r>
      <w:r w:rsidRPr="00CA5A59">
        <w:t xml:space="preserve">Project Schedule </w:t>
      </w:r>
    </w:p>
    <w:p w:rsidRPr="00CA5A59" w:rsidR="00827EAC" w:rsidP="00827EAC" w:rsidRDefault="00827EAC" w14:paraId="042C3C96"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20"/>
        <w:gridCol w:w="3780"/>
        <w:gridCol w:w="1530"/>
      </w:tblGrid>
      <w:tr w:rsidRPr="00CA5A59" w:rsidR="00827EAC" w:rsidTr="009B748E" w14:paraId="72556323" w14:textId="77777777">
        <w:tc>
          <w:tcPr>
            <w:tcW w:w="2520" w:type="dxa"/>
          </w:tcPr>
          <w:p w:rsidRPr="00CA5A59" w:rsidR="00827EAC" w:rsidP="009B748E" w:rsidRDefault="00827EAC" w14:paraId="301D01FD"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CA5A59">
              <w:rPr>
                <w:b/>
              </w:rPr>
              <w:t>Date</w:t>
            </w:r>
          </w:p>
        </w:tc>
        <w:tc>
          <w:tcPr>
            <w:tcW w:w="3780" w:type="dxa"/>
          </w:tcPr>
          <w:p w:rsidRPr="00CA5A59" w:rsidR="00827EAC" w:rsidP="009B748E" w:rsidRDefault="00827EAC" w14:paraId="63E202ED"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CA5A59">
              <w:rPr>
                <w:b/>
              </w:rPr>
              <w:t>Activity</w:t>
            </w:r>
          </w:p>
        </w:tc>
        <w:tc>
          <w:tcPr>
            <w:tcW w:w="1530" w:type="dxa"/>
          </w:tcPr>
          <w:p w:rsidRPr="00CA5A59" w:rsidR="00827EAC" w:rsidP="009B748E" w:rsidRDefault="00827EAC" w14:paraId="70972AE4"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CA5A59">
              <w:rPr>
                <w:b/>
              </w:rPr>
              <w:t>Audience</w:t>
            </w:r>
          </w:p>
        </w:tc>
      </w:tr>
      <w:tr w:rsidRPr="00CA5A59" w:rsidR="00827EAC" w:rsidTr="009B748E" w14:paraId="4294379E" w14:textId="77777777">
        <w:tc>
          <w:tcPr>
            <w:tcW w:w="2520" w:type="dxa"/>
          </w:tcPr>
          <w:p w:rsidRPr="00CA5A59" w:rsidR="00827EAC" w:rsidP="0078260B" w:rsidRDefault="00827EAC" w14:paraId="50C92EB9"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CA5A59">
              <w:t xml:space="preserve">October 1, </w:t>
            </w:r>
            <w:r w:rsidRPr="00CA5A59" w:rsidR="008845E7">
              <w:t>2023</w:t>
            </w:r>
          </w:p>
        </w:tc>
        <w:tc>
          <w:tcPr>
            <w:tcW w:w="3780" w:type="dxa"/>
          </w:tcPr>
          <w:p w:rsidRPr="00CA5A59" w:rsidR="00827EAC" w:rsidP="009B748E" w:rsidRDefault="00827EAC" w14:paraId="51125688" w14:textId="77777777">
            <w:r w:rsidRPr="00CA5A59">
              <w:t>D</w:t>
            </w:r>
            <w:r w:rsidRPr="00CA5A59">
              <w:rPr>
                <w:rFonts w:cs="Arial"/>
                <w:bCs/>
              </w:rPr>
              <w:t>ata collection initiated</w:t>
            </w:r>
          </w:p>
        </w:tc>
        <w:tc>
          <w:tcPr>
            <w:tcW w:w="1530" w:type="dxa"/>
          </w:tcPr>
          <w:p w:rsidRPr="00CA5A59" w:rsidR="00827EAC" w:rsidP="009B748E" w:rsidRDefault="00827EAC" w14:paraId="478E8BC1"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CA5A59">
              <w:t>Not applicable</w:t>
            </w:r>
          </w:p>
        </w:tc>
      </w:tr>
      <w:tr w:rsidRPr="00CA5A59" w:rsidR="00827EAC" w:rsidTr="009B748E" w14:paraId="7FC90637" w14:textId="77777777">
        <w:tc>
          <w:tcPr>
            <w:tcW w:w="2520" w:type="dxa"/>
          </w:tcPr>
          <w:p w:rsidRPr="00CA5A59" w:rsidR="00827EAC" w:rsidP="0078260B" w:rsidRDefault="00827EAC" w14:paraId="4B266D55"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CA5A59">
              <w:t xml:space="preserve">By </w:t>
            </w:r>
            <w:r w:rsidRPr="00CA5A59" w:rsidR="0078260B">
              <w:t xml:space="preserve">December 31, </w:t>
            </w:r>
            <w:r w:rsidRPr="00CA5A59" w:rsidR="008845E7">
              <w:t>2024</w:t>
            </w:r>
          </w:p>
        </w:tc>
        <w:tc>
          <w:tcPr>
            <w:tcW w:w="3780" w:type="dxa"/>
          </w:tcPr>
          <w:p w:rsidRPr="00CA5A59" w:rsidR="00827EAC" w:rsidP="009B748E" w:rsidRDefault="00827EAC" w14:paraId="1C3D33EB" w14:textId="77777777">
            <w:pPr>
              <w:tabs>
                <w:tab w:val="num" w:pos="2160"/>
              </w:tabs>
              <w:rPr>
                <w:rFonts w:cs="Arial"/>
                <w:bCs/>
              </w:rPr>
            </w:pPr>
            <w:r w:rsidRPr="00CA5A59">
              <w:t>D</w:t>
            </w:r>
            <w:r w:rsidRPr="00CA5A59">
              <w:rPr>
                <w:rFonts w:cs="Arial"/>
                <w:bCs/>
              </w:rPr>
              <w:t xml:space="preserve">ata collection completed </w:t>
            </w:r>
          </w:p>
        </w:tc>
        <w:tc>
          <w:tcPr>
            <w:tcW w:w="1530" w:type="dxa"/>
          </w:tcPr>
          <w:p w:rsidRPr="00CA5A59" w:rsidR="00827EAC" w:rsidP="009B748E" w:rsidRDefault="00827EAC" w14:paraId="72FD7045"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CA5A59">
              <w:t>Not applicable</w:t>
            </w:r>
          </w:p>
        </w:tc>
      </w:tr>
      <w:tr w:rsidRPr="00CA5A59" w:rsidR="00827EAC" w:rsidTr="009B748E" w14:paraId="5609DAC4" w14:textId="77777777">
        <w:tc>
          <w:tcPr>
            <w:tcW w:w="2520" w:type="dxa"/>
          </w:tcPr>
          <w:p w:rsidRPr="00CA5A59" w:rsidR="00827EAC" w:rsidP="00CA5403" w:rsidRDefault="00827EAC" w14:paraId="5E00759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CA5A59">
              <w:t xml:space="preserve">By </w:t>
            </w:r>
            <w:r w:rsidRPr="00CA5A59" w:rsidR="00CA5403">
              <w:t xml:space="preserve">October </w:t>
            </w:r>
            <w:r w:rsidRPr="00CA5A59" w:rsidR="0078260B">
              <w:t>1</w:t>
            </w:r>
            <w:r w:rsidRPr="00CA5A59">
              <w:t xml:space="preserve">, </w:t>
            </w:r>
            <w:r w:rsidRPr="00CA5A59" w:rsidR="008845E7">
              <w:t>2025</w:t>
            </w:r>
          </w:p>
        </w:tc>
        <w:tc>
          <w:tcPr>
            <w:tcW w:w="3780" w:type="dxa"/>
          </w:tcPr>
          <w:p w:rsidRPr="00CA5A59" w:rsidR="00827EAC" w:rsidP="009B748E" w:rsidRDefault="00827EAC" w14:paraId="52AD4886" w14:textId="77777777">
            <w:pPr>
              <w:tabs>
                <w:tab w:val="num" w:pos="2160"/>
              </w:tabs>
              <w:rPr>
                <w:rFonts w:cs="Arial"/>
                <w:bCs/>
              </w:rPr>
            </w:pPr>
            <w:r w:rsidRPr="00CA5A59">
              <w:rPr>
                <w:rFonts w:cs="Arial"/>
                <w:bCs/>
              </w:rPr>
              <w:t xml:space="preserve">Data analysis completed </w:t>
            </w:r>
          </w:p>
          <w:p w:rsidRPr="00CA5A59" w:rsidR="00827EAC" w:rsidP="009B748E" w:rsidRDefault="00827EAC" w14:paraId="5CC42EDE" w14:textId="77777777">
            <w:pPr>
              <w:tabs>
                <w:tab w:val="num" w:pos="2160"/>
              </w:tabs>
              <w:rPr>
                <w:rFonts w:cs="Arial"/>
                <w:bCs/>
              </w:rPr>
            </w:pPr>
          </w:p>
        </w:tc>
        <w:tc>
          <w:tcPr>
            <w:tcW w:w="1530" w:type="dxa"/>
          </w:tcPr>
          <w:p w:rsidRPr="00CA5A59" w:rsidR="00827EAC" w:rsidP="009B748E" w:rsidRDefault="00827EAC" w14:paraId="6D46F3F4"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CA5A59">
              <w:t>FDA</w:t>
            </w:r>
          </w:p>
        </w:tc>
      </w:tr>
      <w:tr w:rsidR="00827EAC" w:rsidTr="009B748E" w14:paraId="044EDDD8" w14:textId="77777777">
        <w:tc>
          <w:tcPr>
            <w:tcW w:w="2520" w:type="dxa"/>
          </w:tcPr>
          <w:p w:rsidRPr="00CA5A59" w:rsidR="00827EAC" w:rsidDel="00F47424" w:rsidP="00CA5403" w:rsidRDefault="00827EAC" w14:paraId="531A663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CA5A59">
              <w:t xml:space="preserve">By </w:t>
            </w:r>
            <w:r w:rsidRPr="00CA5A59" w:rsidR="00CA5403">
              <w:t>July 1</w:t>
            </w:r>
            <w:r w:rsidRPr="00CA5A59" w:rsidR="00F93394">
              <w:t xml:space="preserve">, </w:t>
            </w:r>
            <w:r w:rsidRPr="00CA5A59" w:rsidR="008845E7">
              <w:t>2026</w:t>
            </w:r>
          </w:p>
        </w:tc>
        <w:tc>
          <w:tcPr>
            <w:tcW w:w="3780" w:type="dxa"/>
          </w:tcPr>
          <w:p w:rsidRPr="00CA5A59" w:rsidR="00827EAC" w:rsidP="009B748E" w:rsidRDefault="00827EAC" w14:paraId="36D15EF2" w14:textId="77777777">
            <w:pPr>
              <w:tabs>
                <w:tab w:val="num" w:pos="2160"/>
              </w:tabs>
            </w:pPr>
            <w:r w:rsidRPr="00CA5A59">
              <w:rPr>
                <w:rFonts w:cs="Arial"/>
                <w:bCs/>
              </w:rPr>
              <w:t>Final report summarizing the results issued</w:t>
            </w:r>
          </w:p>
        </w:tc>
        <w:tc>
          <w:tcPr>
            <w:tcW w:w="1530" w:type="dxa"/>
          </w:tcPr>
          <w:p w:rsidR="00827EAC" w:rsidP="009B748E" w:rsidRDefault="00827EAC" w14:paraId="19343E83"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CA5A59">
              <w:t>Public</w:t>
            </w:r>
          </w:p>
        </w:tc>
      </w:tr>
    </w:tbl>
    <w:p w:rsidRPr="004C6979" w:rsidR="004C6979" w:rsidP="00C83A82" w:rsidRDefault="00EB7538" w14:paraId="60A14810" w14:textId="77777777">
      <w:pPr>
        <w:numPr>
          <w:ilvl w:val="0"/>
          <w:numId w:val="1"/>
        </w:numPr>
        <w:tabs>
          <w:tab w:val="left" w:pos="7476"/>
        </w:tabs>
        <w:spacing w:before="100" w:beforeAutospacing="1" w:after="100" w:afterAutospacing="1"/>
        <w:rPr>
          <w:u w:val="single"/>
        </w:rPr>
      </w:pPr>
      <w:r w:rsidRPr="004C6979">
        <w:rPr>
          <w:u w:val="single"/>
        </w:rPr>
        <w:t>Reason(s) Display of OMB Expiration Date is Inappropriate</w:t>
      </w:r>
    </w:p>
    <w:p w:rsidR="00FD1CF5" w:rsidP="0061510E" w:rsidRDefault="00827EAC" w14:paraId="2656682E" w14:textId="77777777">
      <w:pPr>
        <w:ind w:left="810"/>
      </w:pPr>
      <w:r>
        <w:t>We are not seeking approval to exempt display of the OMB approval date on any</w:t>
      </w:r>
      <w:r w:rsidR="0061510E">
        <w:t xml:space="preserve"> </w:t>
      </w:r>
      <w:r w:rsidR="00A8062C">
        <w:t>documents that</w:t>
      </w:r>
      <w:r>
        <w:t xml:space="preserve"> are associated with this information collection. </w:t>
      </w:r>
    </w:p>
    <w:p w:rsidR="0061510E" w:rsidP="00A8062C" w:rsidRDefault="0061510E" w14:paraId="5BE7626F" w14:textId="77777777">
      <w:pPr>
        <w:ind w:left="360"/>
        <w:rPr>
          <w:u w:val="single"/>
        </w:rPr>
      </w:pPr>
    </w:p>
    <w:p w:rsidR="00EB7538" w:rsidP="00C83A82" w:rsidRDefault="00EB7538" w14:paraId="56B81F3A" w14:textId="77777777">
      <w:pPr>
        <w:numPr>
          <w:ilvl w:val="0"/>
          <w:numId w:val="1"/>
        </w:numPr>
        <w:rPr>
          <w:u w:val="single"/>
        </w:rPr>
      </w:pPr>
      <w:r w:rsidRPr="004C6979">
        <w:rPr>
          <w:u w:val="single"/>
        </w:rPr>
        <w:t>Exceptions to Certification for Paperwork Reduction Act Submissions</w:t>
      </w:r>
    </w:p>
    <w:p w:rsidRPr="004C6979" w:rsidR="002746DB" w:rsidP="00DA3E23" w:rsidRDefault="00827EAC" w14:paraId="18EB2F78" w14:textId="716A8CBF">
      <w:pPr>
        <w:spacing w:before="100" w:beforeAutospacing="1" w:after="100" w:afterAutospacing="1"/>
        <w:ind w:left="720"/>
        <w:rPr>
          <w:b/>
        </w:rPr>
      </w:pPr>
      <w:r w:rsidRPr="00827EAC">
        <w:t>There are no exceptions to the certification.</w:t>
      </w:r>
    </w:p>
    <w:sectPr w:rsidRPr="004C6979" w:rsidR="002746DB" w:rsidSect="00EB753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607D" w14:textId="77777777" w:rsidR="00106A08" w:rsidRDefault="00106A08">
      <w:r>
        <w:separator/>
      </w:r>
    </w:p>
  </w:endnote>
  <w:endnote w:type="continuationSeparator" w:id="0">
    <w:p w14:paraId="025353DF" w14:textId="77777777" w:rsidR="00106A08" w:rsidRDefault="0010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B425" w14:textId="77777777" w:rsidR="00D44CB5" w:rsidRDefault="00D44CB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BB068" w14:textId="77777777" w:rsidR="00D44CB5" w:rsidRDefault="00D44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6AB5" w14:textId="77777777" w:rsidR="00D44CB5" w:rsidRDefault="00D44CB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24866B0" w14:textId="77777777" w:rsidR="00D44CB5" w:rsidRDefault="00D44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A5EB" w14:textId="77777777" w:rsidR="00D44CB5" w:rsidRDefault="00D4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C7A6" w14:textId="77777777" w:rsidR="00106A08" w:rsidRDefault="00106A08">
      <w:r>
        <w:separator/>
      </w:r>
    </w:p>
  </w:footnote>
  <w:footnote w:type="continuationSeparator" w:id="0">
    <w:p w14:paraId="24026D65" w14:textId="77777777" w:rsidR="00106A08" w:rsidRDefault="00106A08">
      <w:r>
        <w:continuationSeparator/>
      </w:r>
    </w:p>
  </w:footnote>
  <w:footnote w:id="1">
    <w:p w14:paraId="3F837D6C" w14:textId="77777777" w:rsidR="00D44CB5" w:rsidRDefault="00D44CB5" w:rsidP="00116F28">
      <w:pPr>
        <w:pStyle w:val="FootnoteText"/>
        <w:ind w:left="720"/>
      </w:pPr>
      <w:r>
        <w:rPr>
          <w:rStyle w:val="FootnoteReference"/>
        </w:rPr>
        <w:footnoteRef/>
      </w:r>
      <w:r>
        <w:t xml:space="preserve">United States Bureau of Labor Statistics. (December 2020). Employer Costs for Employee Compensation. Retrieved from </w:t>
      </w:r>
      <w:hyperlink r:id="rId1" w:history="1">
        <w:r w:rsidRPr="00192B41">
          <w:rPr>
            <w:rStyle w:val="Hyperlink"/>
          </w:rPr>
          <w:t>http://www.bls.gov/news.release/ecec.toc.htm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0903" w14:textId="77777777" w:rsidR="00D44CB5" w:rsidRDefault="00D44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5CDE" w14:textId="77777777" w:rsidR="00D44CB5" w:rsidRDefault="00D44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67B8" w14:textId="77777777" w:rsidR="00D44CB5" w:rsidRDefault="00D44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4795052"/>
    <w:multiLevelType w:val="hybridMultilevel"/>
    <w:tmpl w:val="602A9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51308"/>
    <w:multiLevelType w:val="hybridMultilevel"/>
    <w:tmpl w:val="90D2420C"/>
    <w:lvl w:ilvl="0" w:tplc="04090001">
      <w:start w:val="1"/>
      <w:numFmt w:val="bullet"/>
      <w:lvlText w:val=""/>
      <w:lvlJc w:val="left"/>
      <w:pPr>
        <w:tabs>
          <w:tab w:val="num" w:pos="2340"/>
        </w:tabs>
        <w:ind w:left="23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D7A0E"/>
    <w:multiLevelType w:val="hybridMultilevel"/>
    <w:tmpl w:val="A1107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C5570F"/>
    <w:multiLevelType w:val="hybridMultilevel"/>
    <w:tmpl w:val="1F4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6B64F1"/>
    <w:multiLevelType w:val="hybridMultilevel"/>
    <w:tmpl w:val="880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A2986"/>
    <w:multiLevelType w:val="hybridMultilevel"/>
    <w:tmpl w:val="AE8CD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BF72F7"/>
    <w:multiLevelType w:val="hybridMultilevel"/>
    <w:tmpl w:val="819CC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CF29FF"/>
    <w:multiLevelType w:val="hybridMultilevel"/>
    <w:tmpl w:val="4822B468"/>
    <w:lvl w:ilvl="0" w:tplc="5878527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E04E2B"/>
    <w:multiLevelType w:val="hybridMultilevel"/>
    <w:tmpl w:val="0BE4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1560ADE"/>
    <w:multiLevelType w:val="hybridMultilevel"/>
    <w:tmpl w:val="34B8C3E2"/>
    <w:lvl w:ilvl="0" w:tplc="75B4192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F40E1E"/>
    <w:multiLevelType w:val="hybridMultilevel"/>
    <w:tmpl w:val="E61EA660"/>
    <w:lvl w:ilvl="0" w:tplc="97B0B56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696BFE"/>
    <w:multiLevelType w:val="hybridMultilevel"/>
    <w:tmpl w:val="7FD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205DFF"/>
    <w:multiLevelType w:val="hybridMultilevel"/>
    <w:tmpl w:val="01D25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2ED5B0C"/>
    <w:multiLevelType w:val="hybridMultilevel"/>
    <w:tmpl w:val="4886C968"/>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5652B78"/>
    <w:multiLevelType w:val="hybridMultilevel"/>
    <w:tmpl w:val="8758C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212CBD"/>
    <w:multiLevelType w:val="hybridMultilevel"/>
    <w:tmpl w:val="80E2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770CFE"/>
    <w:multiLevelType w:val="hybridMultilevel"/>
    <w:tmpl w:val="41D04B2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387D637E"/>
    <w:multiLevelType w:val="hybridMultilevel"/>
    <w:tmpl w:val="2466B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C8038C"/>
    <w:multiLevelType w:val="hybridMultilevel"/>
    <w:tmpl w:val="819CC42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399D09AB"/>
    <w:multiLevelType w:val="multilevel"/>
    <w:tmpl w:val="E1007A3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A40530"/>
    <w:multiLevelType w:val="hybridMultilevel"/>
    <w:tmpl w:val="DB3AEFB0"/>
    <w:lvl w:ilvl="0" w:tplc="95F6A1D2">
      <w:start w:val="1"/>
      <w:numFmt w:val="bullet"/>
      <w:lvlText w:val=""/>
      <w:lvlJc w:val="left"/>
      <w:pPr>
        <w:tabs>
          <w:tab w:val="num" w:pos="1140"/>
        </w:tabs>
        <w:ind w:left="1140" w:hanging="360"/>
      </w:pPr>
      <w:rPr>
        <w:rFonts w:ascii="Wingdings" w:hAnsi="Wingdings" w:hint="default"/>
        <w:sz w:val="24"/>
      </w:rPr>
    </w:lvl>
    <w:lvl w:ilvl="1" w:tplc="5FA838D0">
      <w:start w:val="1"/>
      <w:numFmt w:val="decimal"/>
      <w:lvlText w:val="%2."/>
      <w:lvlJc w:val="left"/>
      <w:pPr>
        <w:tabs>
          <w:tab w:val="num" w:pos="1500"/>
        </w:tabs>
        <w:ind w:left="1500" w:hanging="360"/>
      </w:pPr>
      <w:rPr>
        <w:rFonts w:ascii="Times New Roman" w:eastAsia="Times New Roman" w:hAnsi="Times New Roman" w:cs="Times New Roman"/>
        <w:sz w:val="24"/>
      </w:rPr>
    </w:lvl>
    <w:lvl w:ilvl="2" w:tplc="0D4437CE">
      <w:start w:val="6"/>
      <w:numFmt w:val="decimal"/>
      <w:lvlText w:val="%3."/>
      <w:lvlJc w:val="left"/>
      <w:pPr>
        <w:tabs>
          <w:tab w:val="num" w:pos="2220"/>
        </w:tabs>
        <w:ind w:left="2220" w:hanging="360"/>
      </w:pPr>
      <w:rPr>
        <w:rFonts w:hint="default"/>
        <w:b/>
        <w:i w:val="0"/>
        <w:sz w:val="24"/>
      </w:rPr>
    </w:lvl>
    <w:lvl w:ilvl="3" w:tplc="ED9E4960">
      <w:start w:val="1"/>
      <w:numFmt w:val="bullet"/>
      <w:lvlText w:val=""/>
      <w:lvlJc w:val="left"/>
      <w:pPr>
        <w:tabs>
          <w:tab w:val="num" w:pos="2940"/>
        </w:tabs>
        <w:ind w:left="2940" w:hanging="360"/>
      </w:pPr>
      <w:rPr>
        <w:rFonts w:ascii="Wingdings" w:hAnsi="Wingdings" w:hint="default"/>
        <w:color w:val="auto"/>
        <w:sz w:val="24"/>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3E22B8"/>
    <w:multiLevelType w:val="hybridMultilevel"/>
    <w:tmpl w:val="ECC4A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E7303CD"/>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1673CD"/>
    <w:multiLevelType w:val="hybridMultilevel"/>
    <w:tmpl w:val="866C61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F2C4E54"/>
    <w:multiLevelType w:val="hybridMultilevel"/>
    <w:tmpl w:val="75829D50"/>
    <w:lvl w:ilvl="0" w:tplc="ED9E4960">
      <w:start w:val="1"/>
      <w:numFmt w:val="bullet"/>
      <w:lvlText w:val=""/>
      <w:lvlJc w:val="left"/>
      <w:pPr>
        <w:tabs>
          <w:tab w:val="num" w:pos="2340"/>
        </w:tabs>
        <w:ind w:left="234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B64AE2"/>
    <w:multiLevelType w:val="hybridMultilevel"/>
    <w:tmpl w:val="242C17F4"/>
    <w:lvl w:ilvl="0" w:tplc="6340F652">
      <w:start w:val="1"/>
      <w:numFmt w:val="bullet"/>
      <w:lvlText w:val="•"/>
      <w:lvlJc w:val="left"/>
      <w:pPr>
        <w:tabs>
          <w:tab w:val="num" w:pos="720"/>
        </w:tabs>
        <w:ind w:left="720" w:hanging="360"/>
      </w:pPr>
      <w:rPr>
        <w:rFonts w:ascii="Calibri" w:hAnsi="Calibri" w:cs="Times New Roman" w:hint="default"/>
      </w:rPr>
    </w:lvl>
    <w:lvl w:ilvl="1" w:tplc="6F1CFEC6">
      <w:start w:val="1"/>
      <w:numFmt w:val="bullet"/>
      <w:lvlText w:val="•"/>
      <w:lvlJc w:val="left"/>
      <w:pPr>
        <w:tabs>
          <w:tab w:val="num" w:pos="1440"/>
        </w:tabs>
        <w:ind w:left="1440" w:hanging="360"/>
      </w:pPr>
      <w:rPr>
        <w:rFonts w:ascii="Calibri" w:hAnsi="Calibri" w:cs="Times New Roman" w:hint="default"/>
      </w:rPr>
    </w:lvl>
    <w:lvl w:ilvl="2" w:tplc="BB3ECBCE">
      <w:start w:val="1"/>
      <w:numFmt w:val="bullet"/>
      <w:lvlText w:val="•"/>
      <w:lvlJc w:val="left"/>
      <w:pPr>
        <w:tabs>
          <w:tab w:val="num" w:pos="2160"/>
        </w:tabs>
        <w:ind w:left="2160" w:hanging="360"/>
      </w:pPr>
      <w:rPr>
        <w:rFonts w:ascii="Calibri" w:hAnsi="Calibri" w:cs="Times New Roman" w:hint="default"/>
      </w:rPr>
    </w:lvl>
    <w:lvl w:ilvl="3" w:tplc="590A38C2">
      <w:start w:val="1"/>
      <w:numFmt w:val="bullet"/>
      <w:lvlText w:val="•"/>
      <w:lvlJc w:val="left"/>
      <w:pPr>
        <w:tabs>
          <w:tab w:val="num" w:pos="2880"/>
        </w:tabs>
        <w:ind w:left="2880" w:hanging="360"/>
      </w:pPr>
      <w:rPr>
        <w:rFonts w:ascii="Calibri" w:hAnsi="Calibri" w:cs="Times New Roman" w:hint="default"/>
      </w:rPr>
    </w:lvl>
    <w:lvl w:ilvl="4" w:tplc="C0D2ABB0">
      <w:start w:val="1"/>
      <w:numFmt w:val="bullet"/>
      <w:lvlText w:val="•"/>
      <w:lvlJc w:val="left"/>
      <w:pPr>
        <w:tabs>
          <w:tab w:val="num" w:pos="3600"/>
        </w:tabs>
        <w:ind w:left="3600" w:hanging="360"/>
      </w:pPr>
      <w:rPr>
        <w:rFonts w:ascii="Calibri" w:hAnsi="Calibri" w:cs="Times New Roman" w:hint="default"/>
      </w:rPr>
    </w:lvl>
    <w:lvl w:ilvl="5" w:tplc="22741802">
      <w:start w:val="1"/>
      <w:numFmt w:val="bullet"/>
      <w:lvlText w:val="•"/>
      <w:lvlJc w:val="left"/>
      <w:pPr>
        <w:tabs>
          <w:tab w:val="num" w:pos="4320"/>
        </w:tabs>
        <w:ind w:left="4320" w:hanging="360"/>
      </w:pPr>
      <w:rPr>
        <w:rFonts w:ascii="Calibri" w:hAnsi="Calibri" w:cs="Times New Roman" w:hint="default"/>
      </w:rPr>
    </w:lvl>
    <w:lvl w:ilvl="6" w:tplc="53AC6438">
      <w:start w:val="1"/>
      <w:numFmt w:val="bullet"/>
      <w:lvlText w:val="•"/>
      <w:lvlJc w:val="left"/>
      <w:pPr>
        <w:tabs>
          <w:tab w:val="num" w:pos="5040"/>
        </w:tabs>
        <w:ind w:left="5040" w:hanging="360"/>
      </w:pPr>
      <w:rPr>
        <w:rFonts w:ascii="Calibri" w:hAnsi="Calibri" w:cs="Times New Roman" w:hint="default"/>
      </w:rPr>
    </w:lvl>
    <w:lvl w:ilvl="7" w:tplc="57723A40">
      <w:start w:val="1"/>
      <w:numFmt w:val="bullet"/>
      <w:lvlText w:val="•"/>
      <w:lvlJc w:val="left"/>
      <w:pPr>
        <w:tabs>
          <w:tab w:val="num" w:pos="5760"/>
        </w:tabs>
        <w:ind w:left="5760" w:hanging="360"/>
      </w:pPr>
      <w:rPr>
        <w:rFonts w:ascii="Calibri" w:hAnsi="Calibri" w:cs="Times New Roman" w:hint="default"/>
      </w:rPr>
    </w:lvl>
    <w:lvl w:ilvl="8" w:tplc="2A50985A">
      <w:start w:val="1"/>
      <w:numFmt w:val="bullet"/>
      <w:lvlText w:val="•"/>
      <w:lvlJc w:val="left"/>
      <w:pPr>
        <w:tabs>
          <w:tab w:val="num" w:pos="6480"/>
        </w:tabs>
        <w:ind w:left="6480" w:hanging="360"/>
      </w:pPr>
      <w:rPr>
        <w:rFonts w:ascii="Calibri" w:hAnsi="Calibri" w:cs="Times New Roman" w:hint="default"/>
      </w:rPr>
    </w:lvl>
  </w:abstractNum>
  <w:abstractNum w:abstractNumId="40" w15:restartNumberingAfterBreak="0">
    <w:nsid w:val="41A34B15"/>
    <w:multiLevelType w:val="hybridMultilevel"/>
    <w:tmpl w:val="575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56A37BB"/>
    <w:multiLevelType w:val="hybridMultilevel"/>
    <w:tmpl w:val="06E043B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5B854C8"/>
    <w:multiLevelType w:val="hybridMultilevel"/>
    <w:tmpl w:val="7122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6381E63"/>
    <w:multiLevelType w:val="hybridMultilevel"/>
    <w:tmpl w:val="94529A0A"/>
    <w:lvl w:ilvl="0" w:tplc="A2CE47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4C1E76"/>
    <w:multiLevelType w:val="hybridMultilevel"/>
    <w:tmpl w:val="AE9ABC6C"/>
    <w:lvl w:ilvl="0" w:tplc="1C58B5A6">
      <w:start w:val="1"/>
      <w:numFmt w:val="bullet"/>
      <w:lvlText w:val="•"/>
      <w:lvlJc w:val="left"/>
      <w:pPr>
        <w:tabs>
          <w:tab w:val="num" w:pos="720"/>
        </w:tabs>
        <w:ind w:left="720" w:hanging="360"/>
      </w:pPr>
      <w:rPr>
        <w:rFonts w:ascii="Arial" w:hAnsi="Arial" w:cs="Times New Roman" w:hint="default"/>
      </w:rPr>
    </w:lvl>
    <w:lvl w:ilvl="1" w:tplc="35BCE164">
      <w:start w:val="1"/>
      <w:numFmt w:val="bullet"/>
      <w:lvlText w:val="•"/>
      <w:lvlJc w:val="left"/>
      <w:pPr>
        <w:tabs>
          <w:tab w:val="num" w:pos="1440"/>
        </w:tabs>
        <w:ind w:left="1440" w:hanging="360"/>
      </w:pPr>
      <w:rPr>
        <w:rFonts w:ascii="Arial" w:hAnsi="Arial" w:cs="Times New Roman" w:hint="default"/>
      </w:rPr>
    </w:lvl>
    <w:lvl w:ilvl="2" w:tplc="6FFCA88E">
      <w:start w:val="1"/>
      <w:numFmt w:val="bullet"/>
      <w:lvlText w:val="•"/>
      <w:lvlJc w:val="left"/>
      <w:pPr>
        <w:tabs>
          <w:tab w:val="num" w:pos="2160"/>
        </w:tabs>
        <w:ind w:left="2160" w:hanging="360"/>
      </w:pPr>
      <w:rPr>
        <w:rFonts w:ascii="Arial" w:hAnsi="Arial" w:cs="Times New Roman" w:hint="default"/>
      </w:rPr>
    </w:lvl>
    <w:lvl w:ilvl="3" w:tplc="DF3ECF84">
      <w:start w:val="1"/>
      <w:numFmt w:val="bullet"/>
      <w:lvlText w:val="•"/>
      <w:lvlJc w:val="left"/>
      <w:pPr>
        <w:tabs>
          <w:tab w:val="num" w:pos="2880"/>
        </w:tabs>
        <w:ind w:left="2880" w:hanging="360"/>
      </w:pPr>
      <w:rPr>
        <w:rFonts w:ascii="Arial" w:hAnsi="Arial" w:cs="Times New Roman" w:hint="default"/>
      </w:rPr>
    </w:lvl>
    <w:lvl w:ilvl="4" w:tplc="A000CCEA">
      <w:start w:val="1"/>
      <w:numFmt w:val="bullet"/>
      <w:lvlText w:val="•"/>
      <w:lvlJc w:val="left"/>
      <w:pPr>
        <w:tabs>
          <w:tab w:val="num" w:pos="3600"/>
        </w:tabs>
        <w:ind w:left="3600" w:hanging="360"/>
      </w:pPr>
      <w:rPr>
        <w:rFonts w:ascii="Arial" w:hAnsi="Arial" w:cs="Times New Roman" w:hint="default"/>
      </w:rPr>
    </w:lvl>
    <w:lvl w:ilvl="5" w:tplc="C92E8014">
      <w:start w:val="1"/>
      <w:numFmt w:val="bullet"/>
      <w:lvlText w:val="•"/>
      <w:lvlJc w:val="left"/>
      <w:pPr>
        <w:tabs>
          <w:tab w:val="num" w:pos="4320"/>
        </w:tabs>
        <w:ind w:left="4320" w:hanging="360"/>
      </w:pPr>
      <w:rPr>
        <w:rFonts w:ascii="Arial" w:hAnsi="Arial" w:cs="Times New Roman" w:hint="default"/>
      </w:rPr>
    </w:lvl>
    <w:lvl w:ilvl="6" w:tplc="1A848316">
      <w:start w:val="1"/>
      <w:numFmt w:val="bullet"/>
      <w:lvlText w:val="•"/>
      <w:lvlJc w:val="left"/>
      <w:pPr>
        <w:tabs>
          <w:tab w:val="num" w:pos="5040"/>
        </w:tabs>
        <w:ind w:left="5040" w:hanging="360"/>
      </w:pPr>
      <w:rPr>
        <w:rFonts w:ascii="Arial" w:hAnsi="Arial" w:cs="Times New Roman" w:hint="default"/>
      </w:rPr>
    </w:lvl>
    <w:lvl w:ilvl="7" w:tplc="8A1E1DA2">
      <w:start w:val="1"/>
      <w:numFmt w:val="bullet"/>
      <w:lvlText w:val="•"/>
      <w:lvlJc w:val="left"/>
      <w:pPr>
        <w:tabs>
          <w:tab w:val="num" w:pos="5760"/>
        </w:tabs>
        <w:ind w:left="5760" w:hanging="360"/>
      </w:pPr>
      <w:rPr>
        <w:rFonts w:ascii="Arial" w:hAnsi="Arial" w:cs="Times New Roman" w:hint="default"/>
      </w:rPr>
    </w:lvl>
    <w:lvl w:ilvl="8" w:tplc="301E76C0">
      <w:start w:val="1"/>
      <w:numFmt w:val="bullet"/>
      <w:lvlText w:val="•"/>
      <w:lvlJc w:val="left"/>
      <w:pPr>
        <w:tabs>
          <w:tab w:val="num" w:pos="6480"/>
        </w:tabs>
        <w:ind w:left="6480" w:hanging="360"/>
      </w:pPr>
      <w:rPr>
        <w:rFonts w:ascii="Arial" w:hAnsi="Arial" w:cs="Times New Roman" w:hint="default"/>
      </w:rPr>
    </w:lvl>
  </w:abstractNum>
  <w:abstractNum w:abstractNumId="48" w15:restartNumberingAfterBreak="0">
    <w:nsid w:val="4A97385B"/>
    <w:multiLevelType w:val="multilevel"/>
    <w:tmpl w:val="6870F0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4B3E553A"/>
    <w:multiLevelType w:val="hybridMultilevel"/>
    <w:tmpl w:val="8E8CF9F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D84171B"/>
    <w:multiLevelType w:val="hybridMultilevel"/>
    <w:tmpl w:val="3D54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53022BB2"/>
    <w:multiLevelType w:val="hybridMultilevel"/>
    <w:tmpl w:val="063A3526"/>
    <w:lvl w:ilvl="0" w:tplc="112E9038">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8770398"/>
    <w:multiLevelType w:val="hybridMultilevel"/>
    <w:tmpl w:val="3CA4EA60"/>
    <w:lvl w:ilvl="0" w:tplc="9A82EA2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274591A"/>
    <w:multiLevelType w:val="hybridMultilevel"/>
    <w:tmpl w:val="44EE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65DF6C47"/>
    <w:multiLevelType w:val="hybridMultilevel"/>
    <w:tmpl w:val="D4FA06D2"/>
    <w:lvl w:ilvl="0" w:tplc="0E762E36">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677B1D35"/>
    <w:multiLevelType w:val="hybridMultilevel"/>
    <w:tmpl w:val="69C8B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8846D04"/>
    <w:multiLevelType w:val="hybridMultilevel"/>
    <w:tmpl w:val="EDA6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1" w15:restartNumberingAfterBreak="0">
    <w:nsid w:val="69757AD1"/>
    <w:multiLevelType w:val="hybridMultilevel"/>
    <w:tmpl w:val="819CC4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6B6D10CF"/>
    <w:multiLevelType w:val="hybridMultilevel"/>
    <w:tmpl w:val="0576F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37361D"/>
    <w:multiLevelType w:val="hybridMultilevel"/>
    <w:tmpl w:val="4886C96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71273005"/>
    <w:multiLevelType w:val="hybridMultilevel"/>
    <w:tmpl w:val="D6ECB3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5" w15:restartNumberingAfterBreak="0">
    <w:nsid w:val="71AA55A1"/>
    <w:multiLevelType w:val="hybridMultilevel"/>
    <w:tmpl w:val="06E04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78BC0603"/>
    <w:multiLevelType w:val="hybridMultilevel"/>
    <w:tmpl w:val="B752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2B2654"/>
    <w:multiLevelType w:val="hybridMultilevel"/>
    <w:tmpl w:val="3D868B60"/>
    <w:lvl w:ilvl="0" w:tplc="4FBEA6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F77326"/>
    <w:multiLevelType w:val="hybridMultilevel"/>
    <w:tmpl w:val="4740B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4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6"/>
  </w:num>
  <w:num w:numId="5">
    <w:abstractNumId w:val="20"/>
  </w:num>
  <w:num w:numId="6">
    <w:abstractNumId w:val="61"/>
  </w:num>
  <w:num w:numId="7">
    <w:abstractNumId w:val="77"/>
  </w:num>
  <w:num w:numId="8">
    <w:abstractNumId w:val="14"/>
  </w:num>
  <w:num w:numId="9">
    <w:abstractNumId w:val="62"/>
  </w:num>
  <w:num w:numId="10">
    <w:abstractNumId w:val="55"/>
  </w:num>
  <w:num w:numId="11">
    <w:abstractNumId w:val="23"/>
  </w:num>
  <w:num w:numId="12">
    <w:abstractNumId w:val="81"/>
  </w:num>
  <w:num w:numId="13">
    <w:abstractNumId w:val="52"/>
  </w:num>
  <w:num w:numId="14">
    <w:abstractNumId w:val="22"/>
  </w:num>
  <w:num w:numId="15">
    <w:abstractNumId w:val="44"/>
  </w:num>
  <w:num w:numId="16">
    <w:abstractNumId w:val="42"/>
  </w:num>
  <w:num w:numId="17">
    <w:abstractNumId w:val="76"/>
  </w:num>
  <w:num w:numId="18">
    <w:abstractNumId w:val="80"/>
  </w:num>
  <w:num w:numId="19">
    <w:abstractNumId w:val="78"/>
  </w:num>
  <w:num w:numId="20">
    <w:abstractNumId w:val="51"/>
  </w:num>
  <w:num w:numId="21">
    <w:abstractNumId w:val="41"/>
  </w:num>
  <w:num w:numId="22">
    <w:abstractNumId w:val="10"/>
  </w:num>
  <w:num w:numId="23">
    <w:abstractNumId w:val="66"/>
  </w:num>
  <w:num w:numId="24">
    <w:abstractNumId w:val="57"/>
  </w:num>
  <w:num w:numId="25">
    <w:abstractNumId w:val="33"/>
  </w:num>
  <w:num w:numId="26">
    <w:abstractNumId w:val="19"/>
  </w:num>
  <w:num w:numId="27">
    <w:abstractNumId w:val="85"/>
  </w:num>
  <w:num w:numId="28">
    <w:abstractNumId w:val="70"/>
  </w:num>
  <w:num w:numId="29">
    <w:abstractNumId w:val="18"/>
  </w:num>
  <w:num w:numId="30">
    <w:abstractNumId w:val="49"/>
  </w:num>
  <w:num w:numId="31">
    <w:abstractNumId w:val="7"/>
  </w:num>
  <w:num w:numId="32">
    <w:abstractNumId w:val="1"/>
  </w:num>
  <w:num w:numId="33">
    <w:abstractNumId w:val="54"/>
  </w:num>
  <w:num w:numId="34">
    <w:abstractNumId w:val="79"/>
  </w:num>
  <w:num w:numId="35">
    <w:abstractNumId w:val="34"/>
  </w:num>
  <w:num w:numId="36">
    <w:abstractNumId w:val="63"/>
  </w:num>
  <w:num w:numId="37">
    <w:abstractNumId w:val="26"/>
  </w:num>
  <w:num w:numId="38">
    <w:abstractNumId w:val="59"/>
  </w:num>
  <w:num w:numId="39">
    <w:abstractNumId w:val="65"/>
  </w:num>
  <w:num w:numId="40">
    <w:abstractNumId w:val="5"/>
  </w:num>
  <w:num w:numId="41">
    <w:abstractNumId w:val="8"/>
  </w:num>
  <w:num w:numId="42">
    <w:abstractNumId w:val="17"/>
  </w:num>
  <w:num w:numId="43">
    <w:abstractNumId w:val="69"/>
  </w:num>
  <w:num w:numId="44">
    <w:abstractNumId w:val="37"/>
  </w:num>
  <w:num w:numId="45">
    <w:abstractNumId w:val="29"/>
  </w:num>
  <w:num w:numId="46">
    <w:abstractNumId w:val="2"/>
  </w:num>
  <w:num w:numId="47">
    <w:abstractNumId w:val="0"/>
    <w:lvlOverride w:ilvl="0">
      <w:lvl w:ilvl="0">
        <w:numFmt w:val="bullet"/>
        <w:lvlText w:val=""/>
        <w:legacy w:legacy="1" w:legacySpace="0" w:legacyIndent="0"/>
        <w:lvlJc w:val="left"/>
        <w:pPr>
          <w:ind w:left="0" w:firstLine="0"/>
        </w:pPr>
        <w:rPr>
          <w:rFonts w:ascii="Symbol" w:hAnsi="Symbol" w:hint="default"/>
        </w:rPr>
      </w:lvl>
    </w:lvlOverride>
  </w:num>
  <w:num w:numId="48">
    <w:abstractNumId w:val="82"/>
  </w:num>
  <w:num w:numId="49">
    <w:abstractNumId w:val="28"/>
  </w:num>
  <w:num w:numId="50">
    <w:abstractNumId w:val="53"/>
  </w:num>
  <w:num w:numId="51">
    <w:abstractNumId w:val="9"/>
  </w:num>
  <w:num w:numId="52">
    <w:abstractNumId w:val="3"/>
  </w:num>
  <w:num w:numId="53">
    <w:abstractNumId w:val="45"/>
  </w:num>
  <w:num w:numId="54">
    <w:abstractNumId w:val="40"/>
  </w:num>
  <w:num w:numId="55">
    <w:abstractNumId w:val="35"/>
  </w:num>
  <w:num w:numId="56">
    <w:abstractNumId w:val="58"/>
  </w:num>
  <w:num w:numId="57">
    <w:abstractNumId w:val="36"/>
  </w:num>
  <w:num w:numId="58">
    <w:abstractNumId w:val="13"/>
  </w:num>
  <w:num w:numId="59">
    <w:abstractNumId w:val="25"/>
  </w:num>
  <w:num w:numId="60">
    <w:abstractNumId w:val="68"/>
  </w:num>
  <w:num w:numId="61">
    <w:abstractNumId w:val="6"/>
  </w:num>
  <w:num w:numId="62">
    <w:abstractNumId w:val="21"/>
  </w:num>
  <w:num w:numId="63">
    <w:abstractNumId w:val="75"/>
  </w:num>
  <w:num w:numId="64">
    <w:abstractNumId w:val="43"/>
  </w:num>
  <w:num w:numId="65">
    <w:abstractNumId w:val="24"/>
  </w:num>
  <w:num w:numId="66">
    <w:abstractNumId w:val="11"/>
  </w:num>
  <w:num w:numId="67">
    <w:abstractNumId w:val="73"/>
  </w:num>
  <w:num w:numId="68">
    <w:abstractNumId w:val="71"/>
  </w:num>
  <w:num w:numId="69">
    <w:abstractNumId w:val="50"/>
  </w:num>
  <w:num w:numId="70">
    <w:abstractNumId w:val="67"/>
  </w:num>
  <w:num w:numId="71">
    <w:abstractNumId w:val="30"/>
  </w:num>
  <w:num w:numId="72">
    <w:abstractNumId w:val="72"/>
  </w:num>
  <w:num w:numId="73">
    <w:abstractNumId w:val="32"/>
  </w:num>
  <w:num w:numId="74">
    <w:abstractNumId w:val="38"/>
  </w:num>
  <w:num w:numId="75">
    <w:abstractNumId w:val="84"/>
  </w:num>
  <w:num w:numId="76">
    <w:abstractNumId w:val="27"/>
  </w:num>
  <w:num w:numId="77">
    <w:abstractNumId w:val="64"/>
  </w:num>
  <w:num w:numId="78">
    <w:abstractNumId w:val="83"/>
  </w:num>
  <w:num w:numId="79">
    <w:abstractNumId w:val="4"/>
  </w:num>
  <w:num w:numId="80">
    <w:abstractNumId w:val="16"/>
  </w:num>
  <w:num w:numId="81">
    <w:abstractNumId w:val="15"/>
  </w:num>
  <w:num w:numId="82">
    <w:abstractNumId w:val="12"/>
  </w:num>
  <w:num w:numId="83">
    <w:abstractNumId w:val="60"/>
  </w:num>
  <w:num w:numId="84">
    <w:abstractNumId w:val="39"/>
  </w:num>
  <w:num w:numId="85">
    <w:abstractNumId w:val="46"/>
  </w:num>
  <w:num w:numId="86">
    <w:abstractNumId w:val="47"/>
  </w:num>
  <w:num w:numId="87">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31E1"/>
    <w:rsid w:val="00004528"/>
    <w:rsid w:val="00011C9A"/>
    <w:rsid w:val="00014183"/>
    <w:rsid w:val="00016089"/>
    <w:rsid w:val="00023234"/>
    <w:rsid w:val="00027424"/>
    <w:rsid w:val="00031A2C"/>
    <w:rsid w:val="00041DEC"/>
    <w:rsid w:val="00043C7F"/>
    <w:rsid w:val="000654A9"/>
    <w:rsid w:val="0006570F"/>
    <w:rsid w:val="000734EF"/>
    <w:rsid w:val="00075DE8"/>
    <w:rsid w:val="000809CD"/>
    <w:rsid w:val="00085EFD"/>
    <w:rsid w:val="00093397"/>
    <w:rsid w:val="000949AD"/>
    <w:rsid w:val="000B307D"/>
    <w:rsid w:val="000B43B5"/>
    <w:rsid w:val="000B752A"/>
    <w:rsid w:val="000C3A0E"/>
    <w:rsid w:val="000C560C"/>
    <w:rsid w:val="000D08F4"/>
    <w:rsid w:val="000D48FD"/>
    <w:rsid w:val="000E1C64"/>
    <w:rsid w:val="000F019A"/>
    <w:rsid w:val="000F4374"/>
    <w:rsid w:val="000F7119"/>
    <w:rsid w:val="001001D8"/>
    <w:rsid w:val="00100739"/>
    <w:rsid w:val="001029B7"/>
    <w:rsid w:val="00106A08"/>
    <w:rsid w:val="00107885"/>
    <w:rsid w:val="00111A27"/>
    <w:rsid w:val="001124CF"/>
    <w:rsid w:val="001129C5"/>
    <w:rsid w:val="00113F3C"/>
    <w:rsid w:val="00114FC4"/>
    <w:rsid w:val="00115612"/>
    <w:rsid w:val="00116F28"/>
    <w:rsid w:val="00122FBE"/>
    <w:rsid w:val="0012329C"/>
    <w:rsid w:val="00133F45"/>
    <w:rsid w:val="00134FA7"/>
    <w:rsid w:val="00137950"/>
    <w:rsid w:val="00152F29"/>
    <w:rsid w:val="00161963"/>
    <w:rsid w:val="00167536"/>
    <w:rsid w:val="00167790"/>
    <w:rsid w:val="001701E0"/>
    <w:rsid w:val="00171746"/>
    <w:rsid w:val="00172465"/>
    <w:rsid w:val="00175AE7"/>
    <w:rsid w:val="0017725B"/>
    <w:rsid w:val="001816ED"/>
    <w:rsid w:val="00185270"/>
    <w:rsid w:val="00193370"/>
    <w:rsid w:val="001969AC"/>
    <w:rsid w:val="001A30C2"/>
    <w:rsid w:val="001A3726"/>
    <w:rsid w:val="001A3B5A"/>
    <w:rsid w:val="001B7CE9"/>
    <w:rsid w:val="001B7CFB"/>
    <w:rsid w:val="001D4327"/>
    <w:rsid w:val="001D495A"/>
    <w:rsid w:val="001E18C2"/>
    <w:rsid w:val="001E244C"/>
    <w:rsid w:val="001E6E46"/>
    <w:rsid w:val="001E7931"/>
    <w:rsid w:val="001F1437"/>
    <w:rsid w:val="0020685B"/>
    <w:rsid w:val="0021671A"/>
    <w:rsid w:val="00221437"/>
    <w:rsid w:val="002259EF"/>
    <w:rsid w:val="00236BF6"/>
    <w:rsid w:val="00240CF9"/>
    <w:rsid w:val="00242ED1"/>
    <w:rsid w:val="00244353"/>
    <w:rsid w:val="002444BB"/>
    <w:rsid w:val="0024496B"/>
    <w:rsid w:val="00245374"/>
    <w:rsid w:val="00252897"/>
    <w:rsid w:val="00253901"/>
    <w:rsid w:val="00254069"/>
    <w:rsid w:val="002548F7"/>
    <w:rsid w:val="00266408"/>
    <w:rsid w:val="002671D4"/>
    <w:rsid w:val="00267442"/>
    <w:rsid w:val="00270748"/>
    <w:rsid w:val="002734E5"/>
    <w:rsid w:val="002746DB"/>
    <w:rsid w:val="002768D1"/>
    <w:rsid w:val="00280CAF"/>
    <w:rsid w:val="00281911"/>
    <w:rsid w:val="00282D28"/>
    <w:rsid w:val="00282F09"/>
    <w:rsid w:val="00284CC4"/>
    <w:rsid w:val="002969AB"/>
    <w:rsid w:val="00297532"/>
    <w:rsid w:val="002A0A81"/>
    <w:rsid w:val="002A1210"/>
    <w:rsid w:val="002A453B"/>
    <w:rsid w:val="002A53F0"/>
    <w:rsid w:val="002B0999"/>
    <w:rsid w:val="002B2074"/>
    <w:rsid w:val="002B44C6"/>
    <w:rsid w:val="002B485F"/>
    <w:rsid w:val="002D14D8"/>
    <w:rsid w:val="002D2735"/>
    <w:rsid w:val="002D3497"/>
    <w:rsid w:val="002D3A11"/>
    <w:rsid w:val="002D4799"/>
    <w:rsid w:val="002E1759"/>
    <w:rsid w:val="002E3FA4"/>
    <w:rsid w:val="002F24EA"/>
    <w:rsid w:val="003071DF"/>
    <w:rsid w:val="003113FF"/>
    <w:rsid w:val="00311ADE"/>
    <w:rsid w:val="003139F8"/>
    <w:rsid w:val="0032277F"/>
    <w:rsid w:val="00324CA0"/>
    <w:rsid w:val="003266F0"/>
    <w:rsid w:val="00341DA4"/>
    <w:rsid w:val="003504B1"/>
    <w:rsid w:val="00350523"/>
    <w:rsid w:val="0035056D"/>
    <w:rsid w:val="0035189D"/>
    <w:rsid w:val="00360724"/>
    <w:rsid w:val="00367341"/>
    <w:rsid w:val="003740BC"/>
    <w:rsid w:val="00375FDD"/>
    <w:rsid w:val="003801A3"/>
    <w:rsid w:val="003801DB"/>
    <w:rsid w:val="003811D3"/>
    <w:rsid w:val="0038263B"/>
    <w:rsid w:val="00383D90"/>
    <w:rsid w:val="0038665D"/>
    <w:rsid w:val="00395F5B"/>
    <w:rsid w:val="003A1215"/>
    <w:rsid w:val="003A1A27"/>
    <w:rsid w:val="003A50CC"/>
    <w:rsid w:val="003B17EE"/>
    <w:rsid w:val="003B42B3"/>
    <w:rsid w:val="003B5208"/>
    <w:rsid w:val="003B6384"/>
    <w:rsid w:val="003C2073"/>
    <w:rsid w:val="003C3D5F"/>
    <w:rsid w:val="003C4CAC"/>
    <w:rsid w:val="003C4EBB"/>
    <w:rsid w:val="003C73F7"/>
    <w:rsid w:val="003D1531"/>
    <w:rsid w:val="003D17B9"/>
    <w:rsid w:val="003D2264"/>
    <w:rsid w:val="003E4EC6"/>
    <w:rsid w:val="003E527E"/>
    <w:rsid w:val="003E553E"/>
    <w:rsid w:val="003E5D2F"/>
    <w:rsid w:val="003E7078"/>
    <w:rsid w:val="003F3DF5"/>
    <w:rsid w:val="004029E1"/>
    <w:rsid w:val="004111FA"/>
    <w:rsid w:val="00411882"/>
    <w:rsid w:val="00411D11"/>
    <w:rsid w:val="00415E23"/>
    <w:rsid w:val="0041670D"/>
    <w:rsid w:val="004215C8"/>
    <w:rsid w:val="00421A39"/>
    <w:rsid w:val="004223C0"/>
    <w:rsid w:val="00424061"/>
    <w:rsid w:val="00424FA5"/>
    <w:rsid w:val="0043455B"/>
    <w:rsid w:val="004371AB"/>
    <w:rsid w:val="00442A3C"/>
    <w:rsid w:val="00443969"/>
    <w:rsid w:val="00444B10"/>
    <w:rsid w:val="00447D74"/>
    <w:rsid w:val="00450A74"/>
    <w:rsid w:val="0045456B"/>
    <w:rsid w:val="004546BF"/>
    <w:rsid w:val="00455C70"/>
    <w:rsid w:val="004633A2"/>
    <w:rsid w:val="00464C08"/>
    <w:rsid w:val="00465350"/>
    <w:rsid w:val="004669A9"/>
    <w:rsid w:val="00470DA9"/>
    <w:rsid w:val="00472D53"/>
    <w:rsid w:val="00473CB9"/>
    <w:rsid w:val="004846BF"/>
    <w:rsid w:val="004903B7"/>
    <w:rsid w:val="004943AB"/>
    <w:rsid w:val="0049749A"/>
    <w:rsid w:val="004A5667"/>
    <w:rsid w:val="004A7EC2"/>
    <w:rsid w:val="004B6D3B"/>
    <w:rsid w:val="004C6979"/>
    <w:rsid w:val="004D3E7A"/>
    <w:rsid w:val="004E1875"/>
    <w:rsid w:val="004E1D79"/>
    <w:rsid w:val="004E45F2"/>
    <w:rsid w:val="004F0220"/>
    <w:rsid w:val="004F16D9"/>
    <w:rsid w:val="004F594B"/>
    <w:rsid w:val="004F61E1"/>
    <w:rsid w:val="0050167F"/>
    <w:rsid w:val="00502816"/>
    <w:rsid w:val="0051119E"/>
    <w:rsid w:val="00511541"/>
    <w:rsid w:val="005133FA"/>
    <w:rsid w:val="005151B2"/>
    <w:rsid w:val="0051623F"/>
    <w:rsid w:val="00544138"/>
    <w:rsid w:val="00544E0A"/>
    <w:rsid w:val="00551914"/>
    <w:rsid w:val="005562FB"/>
    <w:rsid w:val="0057096C"/>
    <w:rsid w:val="00573216"/>
    <w:rsid w:val="00581BA6"/>
    <w:rsid w:val="00584583"/>
    <w:rsid w:val="00590EEB"/>
    <w:rsid w:val="005A0A31"/>
    <w:rsid w:val="005A4099"/>
    <w:rsid w:val="005A5BB7"/>
    <w:rsid w:val="005A6330"/>
    <w:rsid w:val="005C037F"/>
    <w:rsid w:val="005C38B2"/>
    <w:rsid w:val="005C5029"/>
    <w:rsid w:val="005C540A"/>
    <w:rsid w:val="005C55C2"/>
    <w:rsid w:val="005C7311"/>
    <w:rsid w:val="005C745C"/>
    <w:rsid w:val="005D16FF"/>
    <w:rsid w:val="005D4DF5"/>
    <w:rsid w:val="005E1D51"/>
    <w:rsid w:val="005F2DDA"/>
    <w:rsid w:val="006017C3"/>
    <w:rsid w:val="00611D6B"/>
    <w:rsid w:val="0061510E"/>
    <w:rsid w:val="0062297C"/>
    <w:rsid w:val="006326EC"/>
    <w:rsid w:val="006426A5"/>
    <w:rsid w:val="00645FF9"/>
    <w:rsid w:val="0065388D"/>
    <w:rsid w:val="00660EBE"/>
    <w:rsid w:val="00663A42"/>
    <w:rsid w:val="006641C7"/>
    <w:rsid w:val="00670BE2"/>
    <w:rsid w:val="00682C46"/>
    <w:rsid w:val="00683F23"/>
    <w:rsid w:val="006840FC"/>
    <w:rsid w:val="00690CB2"/>
    <w:rsid w:val="0069173F"/>
    <w:rsid w:val="006A26C6"/>
    <w:rsid w:val="006A3631"/>
    <w:rsid w:val="006A4A00"/>
    <w:rsid w:val="006A7050"/>
    <w:rsid w:val="006A7D5D"/>
    <w:rsid w:val="006C23D5"/>
    <w:rsid w:val="006D5D57"/>
    <w:rsid w:val="006D68F8"/>
    <w:rsid w:val="006E2859"/>
    <w:rsid w:val="006E605A"/>
    <w:rsid w:val="006F2FDB"/>
    <w:rsid w:val="006F4D6D"/>
    <w:rsid w:val="006F4FBB"/>
    <w:rsid w:val="006F6622"/>
    <w:rsid w:val="006F6EA7"/>
    <w:rsid w:val="00705086"/>
    <w:rsid w:val="00713D6A"/>
    <w:rsid w:val="00731C10"/>
    <w:rsid w:val="00754497"/>
    <w:rsid w:val="007551C7"/>
    <w:rsid w:val="007708DB"/>
    <w:rsid w:val="00781867"/>
    <w:rsid w:val="0078260B"/>
    <w:rsid w:val="00783BC9"/>
    <w:rsid w:val="007845F0"/>
    <w:rsid w:val="00786C4A"/>
    <w:rsid w:val="00787C39"/>
    <w:rsid w:val="00793E89"/>
    <w:rsid w:val="00795DF3"/>
    <w:rsid w:val="007A0FF6"/>
    <w:rsid w:val="007A1ABD"/>
    <w:rsid w:val="007A373C"/>
    <w:rsid w:val="007A63D9"/>
    <w:rsid w:val="007A7892"/>
    <w:rsid w:val="007B225C"/>
    <w:rsid w:val="007C75B1"/>
    <w:rsid w:val="007D3DFC"/>
    <w:rsid w:val="007D3E7A"/>
    <w:rsid w:val="007D5134"/>
    <w:rsid w:val="007E1872"/>
    <w:rsid w:val="007E2F07"/>
    <w:rsid w:val="007F3534"/>
    <w:rsid w:val="007F3D04"/>
    <w:rsid w:val="007F7C92"/>
    <w:rsid w:val="0080776D"/>
    <w:rsid w:val="00810145"/>
    <w:rsid w:val="008108FA"/>
    <w:rsid w:val="00810FF1"/>
    <w:rsid w:val="00822336"/>
    <w:rsid w:val="00823DFA"/>
    <w:rsid w:val="008260EC"/>
    <w:rsid w:val="00827EAC"/>
    <w:rsid w:val="008364D5"/>
    <w:rsid w:val="00843752"/>
    <w:rsid w:val="0084479F"/>
    <w:rsid w:val="008449C3"/>
    <w:rsid w:val="008451B1"/>
    <w:rsid w:val="00845390"/>
    <w:rsid w:val="0085114E"/>
    <w:rsid w:val="0085475C"/>
    <w:rsid w:val="0085649A"/>
    <w:rsid w:val="008570BB"/>
    <w:rsid w:val="0085725E"/>
    <w:rsid w:val="00861A6B"/>
    <w:rsid w:val="00863244"/>
    <w:rsid w:val="008640C7"/>
    <w:rsid w:val="00866A24"/>
    <w:rsid w:val="00877825"/>
    <w:rsid w:val="008845E7"/>
    <w:rsid w:val="00885B09"/>
    <w:rsid w:val="00890C71"/>
    <w:rsid w:val="00892400"/>
    <w:rsid w:val="008947BD"/>
    <w:rsid w:val="00895D35"/>
    <w:rsid w:val="0089638A"/>
    <w:rsid w:val="008A02D5"/>
    <w:rsid w:val="008A1DF7"/>
    <w:rsid w:val="008A209D"/>
    <w:rsid w:val="008A22BB"/>
    <w:rsid w:val="008A3091"/>
    <w:rsid w:val="008B0E29"/>
    <w:rsid w:val="008B0EFA"/>
    <w:rsid w:val="008B1B66"/>
    <w:rsid w:val="008B30AB"/>
    <w:rsid w:val="008B5036"/>
    <w:rsid w:val="008C1169"/>
    <w:rsid w:val="008D29B8"/>
    <w:rsid w:val="008E2EB4"/>
    <w:rsid w:val="008E5F55"/>
    <w:rsid w:val="008E6124"/>
    <w:rsid w:val="008E7558"/>
    <w:rsid w:val="008F0DA5"/>
    <w:rsid w:val="008F3D7D"/>
    <w:rsid w:val="00905DEF"/>
    <w:rsid w:val="00913B43"/>
    <w:rsid w:val="009152CF"/>
    <w:rsid w:val="00927B71"/>
    <w:rsid w:val="00930203"/>
    <w:rsid w:val="009311D2"/>
    <w:rsid w:val="009311E6"/>
    <w:rsid w:val="00931275"/>
    <w:rsid w:val="009367B2"/>
    <w:rsid w:val="00936A28"/>
    <w:rsid w:val="00936AC7"/>
    <w:rsid w:val="009457B2"/>
    <w:rsid w:val="00950689"/>
    <w:rsid w:val="00951700"/>
    <w:rsid w:val="00953B64"/>
    <w:rsid w:val="009655BC"/>
    <w:rsid w:val="00976549"/>
    <w:rsid w:val="00984210"/>
    <w:rsid w:val="00985FBD"/>
    <w:rsid w:val="00986F68"/>
    <w:rsid w:val="00995E2D"/>
    <w:rsid w:val="009A1674"/>
    <w:rsid w:val="009A3F84"/>
    <w:rsid w:val="009B1C11"/>
    <w:rsid w:val="009B38C8"/>
    <w:rsid w:val="009B748E"/>
    <w:rsid w:val="009C131C"/>
    <w:rsid w:val="009C5A02"/>
    <w:rsid w:val="009C684F"/>
    <w:rsid w:val="009D074C"/>
    <w:rsid w:val="009D7E03"/>
    <w:rsid w:val="009E57D9"/>
    <w:rsid w:val="009F1F1D"/>
    <w:rsid w:val="009F2B4F"/>
    <w:rsid w:val="009F66B5"/>
    <w:rsid w:val="00A16221"/>
    <w:rsid w:val="00A20A7D"/>
    <w:rsid w:val="00A3137F"/>
    <w:rsid w:val="00A35D42"/>
    <w:rsid w:val="00A42DAF"/>
    <w:rsid w:val="00A4390F"/>
    <w:rsid w:val="00A46CCF"/>
    <w:rsid w:val="00A53451"/>
    <w:rsid w:val="00A56AE5"/>
    <w:rsid w:val="00A66CD2"/>
    <w:rsid w:val="00A70426"/>
    <w:rsid w:val="00A80625"/>
    <w:rsid w:val="00A8062C"/>
    <w:rsid w:val="00A82279"/>
    <w:rsid w:val="00A91E9A"/>
    <w:rsid w:val="00A9210F"/>
    <w:rsid w:val="00A93ED9"/>
    <w:rsid w:val="00A959D3"/>
    <w:rsid w:val="00A96221"/>
    <w:rsid w:val="00AB4774"/>
    <w:rsid w:val="00AB47AB"/>
    <w:rsid w:val="00AC0F48"/>
    <w:rsid w:val="00AC4C54"/>
    <w:rsid w:val="00AC6A99"/>
    <w:rsid w:val="00AC7A3B"/>
    <w:rsid w:val="00AD4510"/>
    <w:rsid w:val="00AD56F1"/>
    <w:rsid w:val="00AE3E0C"/>
    <w:rsid w:val="00AE7B7E"/>
    <w:rsid w:val="00AF0BE0"/>
    <w:rsid w:val="00AF1FF4"/>
    <w:rsid w:val="00AF2957"/>
    <w:rsid w:val="00AF59D3"/>
    <w:rsid w:val="00B0438C"/>
    <w:rsid w:val="00B055EF"/>
    <w:rsid w:val="00B0779C"/>
    <w:rsid w:val="00B23769"/>
    <w:rsid w:val="00B279A7"/>
    <w:rsid w:val="00B4134F"/>
    <w:rsid w:val="00B54C70"/>
    <w:rsid w:val="00B64EDA"/>
    <w:rsid w:val="00B720A4"/>
    <w:rsid w:val="00B74370"/>
    <w:rsid w:val="00B74D48"/>
    <w:rsid w:val="00B81808"/>
    <w:rsid w:val="00B84702"/>
    <w:rsid w:val="00B86DFA"/>
    <w:rsid w:val="00B936D0"/>
    <w:rsid w:val="00BA589F"/>
    <w:rsid w:val="00BD3A4D"/>
    <w:rsid w:val="00BD3D5B"/>
    <w:rsid w:val="00BD4521"/>
    <w:rsid w:val="00BE3009"/>
    <w:rsid w:val="00BE3600"/>
    <w:rsid w:val="00BE729F"/>
    <w:rsid w:val="00BE7FE4"/>
    <w:rsid w:val="00C01F6F"/>
    <w:rsid w:val="00C11227"/>
    <w:rsid w:val="00C149AB"/>
    <w:rsid w:val="00C14DC9"/>
    <w:rsid w:val="00C232D3"/>
    <w:rsid w:val="00C3033B"/>
    <w:rsid w:val="00C323C7"/>
    <w:rsid w:val="00C36020"/>
    <w:rsid w:val="00C40694"/>
    <w:rsid w:val="00C65490"/>
    <w:rsid w:val="00C6603A"/>
    <w:rsid w:val="00C668DC"/>
    <w:rsid w:val="00C70542"/>
    <w:rsid w:val="00C7276D"/>
    <w:rsid w:val="00C75CBF"/>
    <w:rsid w:val="00C77632"/>
    <w:rsid w:val="00C83A82"/>
    <w:rsid w:val="00C86A5F"/>
    <w:rsid w:val="00C87AE6"/>
    <w:rsid w:val="00C92850"/>
    <w:rsid w:val="00C94596"/>
    <w:rsid w:val="00C9523C"/>
    <w:rsid w:val="00CA5403"/>
    <w:rsid w:val="00CA5A59"/>
    <w:rsid w:val="00CA7CD3"/>
    <w:rsid w:val="00CB1228"/>
    <w:rsid w:val="00CB517A"/>
    <w:rsid w:val="00CB63F9"/>
    <w:rsid w:val="00CB7DCE"/>
    <w:rsid w:val="00CC2894"/>
    <w:rsid w:val="00CD0578"/>
    <w:rsid w:val="00CD77C3"/>
    <w:rsid w:val="00CE112C"/>
    <w:rsid w:val="00CE2EDF"/>
    <w:rsid w:val="00CE6F3B"/>
    <w:rsid w:val="00CE6FB6"/>
    <w:rsid w:val="00CE736E"/>
    <w:rsid w:val="00CF55D4"/>
    <w:rsid w:val="00CF5F93"/>
    <w:rsid w:val="00CF6C54"/>
    <w:rsid w:val="00D06E8E"/>
    <w:rsid w:val="00D25DB3"/>
    <w:rsid w:val="00D276DD"/>
    <w:rsid w:val="00D30E6C"/>
    <w:rsid w:val="00D32A6F"/>
    <w:rsid w:val="00D33D17"/>
    <w:rsid w:val="00D44CB5"/>
    <w:rsid w:val="00D515F1"/>
    <w:rsid w:val="00D53BF6"/>
    <w:rsid w:val="00D608DA"/>
    <w:rsid w:val="00D65CC8"/>
    <w:rsid w:val="00D71E0F"/>
    <w:rsid w:val="00D730BF"/>
    <w:rsid w:val="00D86C97"/>
    <w:rsid w:val="00D91D38"/>
    <w:rsid w:val="00DA3E23"/>
    <w:rsid w:val="00DB028A"/>
    <w:rsid w:val="00DB2918"/>
    <w:rsid w:val="00DC3788"/>
    <w:rsid w:val="00DC4D27"/>
    <w:rsid w:val="00DC4DFF"/>
    <w:rsid w:val="00DC6B10"/>
    <w:rsid w:val="00DC76C7"/>
    <w:rsid w:val="00DD09F5"/>
    <w:rsid w:val="00DD2096"/>
    <w:rsid w:val="00DD4201"/>
    <w:rsid w:val="00DD5E9F"/>
    <w:rsid w:val="00DD64F6"/>
    <w:rsid w:val="00DE0187"/>
    <w:rsid w:val="00DE346A"/>
    <w:rsid w:val="00DE5711"/>
    <w:rsid w:val="00DE7254"/>
    <w:rsid w:val="00DF263E"/>
    <w:rsid w:val="00E00EA0"/>
    <w:rsid w:val="00E00FD3"/>
    <w:rsid w:val="00E05D9C"/>
    <w:rsid w:val="00E126D9"/>
    <w:rsid w:val="00E1361F"/>
    <w:rsid w:val="00E138F1"/>
    <w:rsid w:val="00E17941"/>
    <w:rsid w:val="00E2309D"/>
    <w:rsid w:val="00E24931"/>
    <w:rsid w:val="00E24A36"/>
    <w:rsid w:val="00E2664C"/>
    <w:rsid w:val="00E26758"/>
    <w:rsid w:val="00E31373"/>
    <w:rsid w:val="00E34461"/>
    <w:rsid w:val="00E34B8D"/>
    <w:rsid w:val="00E37797"/>
    <w:rsid w:val="00E4357B"/>
    <w:rsid w:val="00E46F4C"/>
    <w:rsid w:val="00E52EEE"/>
    <w:rsid w:val="00E5598A"/>
    <w:rsid w:val="00E5598C"/>
    <w:rsid w:val="00E63BC5"/>
    <w:rsid w:val="00E63DE5"/>
    <w:rsid w:val="00E64F39"/>
    <w:rsid w:val="00E65A37"/>
    <w:rsid w:val="00E65EF7"/>
    <w:rsid w:val="00E66694"/>
    <w:rsid w:val="00E77B48"/>
    <w:rsid w:val="00E81D66"/>
    <w:rsid w:val="00E833FF"/>
    <w:rsid w:val="00E857FB"/>
    <w:rsid w:val="00E91799"/>
    <w:rsid w:val="00EA21FE"/>
    <w:rsid w:val="00EA34E3"/>
    <w:rsid w:val="00EA4752"/>
    <w:rsid w:val="00EA567F"/>
    <w:rsid w:val="00EB28A0"/>
    <w:rsid w:val="00EB3000"/>
    <w:rsid w:val="00EB6720"/>
    <w:rsid w:val="00EB7538"/>
    <w:rsid w:val="00EC7233"/>
    <w:rsid w:val="00ED5DB8"/>
    <w:rsid w:val="00ED72CF"/>
    <w:rsid w:val="00ED7537"/>
    <w:rsid w:val="00EE0E43"/>
    <w:rsid w:val="00EE6269"/>
    <w:rsid w:val="00EE6468"/>
    <w:rsid w:val="00EF4E39"/>
    <w:rsid w:val="00F03A91"/>
    <w:rsid w:val="00F1299B"/>
    <w:rsid w:val="00F15971"/>
    <w:rsid w:val="00F207A4"/>
    <w:rsid w:val="00F2671B"/>
    <w:rsid w:val="00F31960"/>
    <w:rsid w:val="00F33F16"/>
    <w:rsid w:val="00F355AC"/>
    <w:rsid w:val="00F42CFE"/>
    <w:rsid w:val="00F63644"/>
    <w:rsid w:val="00F66D5E"/>
    <w:rsid w:val="00F71A5A"/>
    <w:rsid w:val="00F769E0"/>
    <w:rsid w:val="00F90F3B"/>
    <w:rsid w:val="00F93394"/>
    <w:rsid w:val="00FA567A"/>
    <w:rsid w:val="00FA75FE"/>
    <w:rsid w:val="00FB1032"/>
    <w:rsid w:val="00FC098B"/>
    <w:rsid w:val="00FC1B22"/>
    <w:rsid w:val="00FC3AC0"/>
    <w:rsid w:val="00FC6BDE"/>
    <w:rsid w:val="00FD1CF5"/>
    <w:rsid w:val="00FD2010"/>
    <w:rsid w:val="00FD3FD9"/>
    <w:rsid w:val="00FD49F3"/>
    <w:rsid w:val="00FD5723"/>
    <w:rsid w:val="00FE60BE"/>
    <w:rsid w:val="00FE71ED"/>
    <w:rsid w:val="00FE7EA5"/>
    <w:rsid w:val="00F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7446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Title">
    <w:name w:val="Title"/>
    <w:basedOn w:val="Normal"/>
    <w:link w:val="TitleChar"/>
    <w:qFormat/>
    <w:rsid w:val="008B1B66"/>
    <w:pPr>
      <w:widowControl w:val="0"/>
      <w:jc w:val="center"/>
    </w:pPr>
    <w:rPr>
      <w:rFonts w:ascii="CG Times" w:hAnsi="CG Times"/>
      <w:b/>
      <w:snapToGrid w:val="0"/>
      <w:sz w:val="28"/>
      <w:szCs w:val="20"/>
    </w:rPr>
  </w:style>
  <w:style w:type="character" w:customStyle="1" w:styleId="TitleChar">
    <w:name w:val="Title Char"/>
    <w:link w:val="Title"/>
    <w:rsid w:val="008B1B66"/>
    <w:rPr>
      <w:rFonts w:ascii="CG Times" w:hAnsi="CG Times"/>
      <w:b/>
      <w:snapToGrid w:val="0"/>
      <w:sz w:val="28"/>
    </w:rPr>
  </w:style>
  <w:style w:type="paragraph" w:styleId="NoSpacing">
    <w:name w:val="No Spacing"/>
    <w:uiPriority w:val="1"/>
    <w:qFormat/>
    <w:rsid w:val="005133FA"/>
    <w:rPr>
      <w:sz w:val="24"/>
      <w:szCs w:val="24"/>
    </w:rPr>
  </w:style>
  <w:style w:type="character" w:styleId="CommentReference">
    <w:name w:val="annotation reference"/>
    <w:rsid w:val="00E63BC5"/>
    <w:rPr>
      <w:sz w:val="16"/>
      <w:szCs w:val="16"/>
    </w:rPr>
  </w:style>
  <w:style w:type="paragraph" w:styleId="CommentText">
    <w:name w:val="annotation text"/>
    <w:basedOn w:val="Normal"/>
    <w:link w:val="CommentTextChar"/>
    <w:rsid w:val="00E63BC5"/>
    <w:rPr>
      <w:sz w:val="20"/>
      <w:szCs w:val="20"/>
    </w:rPr>
  </w:style>
  <w:style w:type="character" w:customStyle="1" w:styleId="CommentTextChar">
    <w:name w:val="Comment Text Char"/>
    <w:basedOn w:val="DefaultParagraphFont"/>
    <w:link w:val="CommentText"/>
    <w:rsid w:val="00E63BC5"/>
  </w:style>
  <w:style w:type="paragraph" w:styleId="CommentSubject">
    <w:name w:val="annotation subject"/>
    <w:basedOn w:val="CommentText"/>
    <w:next w:val="CommentText"/>
    <w:link w:val="CommentSubjectChar"/>
    <w:rsid w:val="00E63BC5"/>
    <w:rPr>
      <w:b/>
      <w:bCs/>
    </w:rPr>
  </w:style>
  <w:style w:type="character" w:customStyle="1" w:styleId="CommentSubjectChar">
    <w:name w:val="Comment Subject Char"/>
    <w:link w:val="CommentSubject"/>
    <w:rsid w:val="00E63BC5"/>
    <w:rPr>
      <w:b/>
      <w:bCs/>
    </w:rPr>
  </w:style>
  <w:style w:type="character" w:styleId="Hyperlink">
    <w:name w:val="Hyperlink"/>
    <w:unhideWhenUsed/>
    <w:rsid w:val="006840FC"/>
    <w:rPr>
      <w:color w:val="0000FF"/>
      <w:u w:val="single"/>
    </w:rPr>
  </w:style>
  <w:style w:type="paragraph" w:styleId="FootnoteText">
    <w:name w:val="footnote text"/>
    <w:basedOn w:val="Normal"/>
    <w:link w:val="FootnoteTextChar"/>
    <w:unhideWhenUsed/>
    <w:rsid w:val="006840FC"/>
    <w:rPr>
      <w:sz w:val="20"/>
      <w:szCs w:val="20"/>
    </w:rPr>
  </w:style>
  <w:style w:type="character" w:customStyle="1" w:styleId="FootnoteTextChar">
    <w:name w:val="Footnote Text Char"/>
    <w:basedOn w:val="DefaultParagraphFont"/>
    <w:link w:val="FootnoteText"/>
    <w:rsid w:val="006840FC"/>
  </w:style>
  <w:style w:type="character" w:customStyle="1" w:styleId="BodyText2Char">
    <w:name w:val="Body Text 2 Char"/>
    <w:link w:val="BodyText2"/>
    <w:rsid w:val="006840FC"/>
    <w:rPr>
      <w:sz w:val="24"/>
    </w:rPr>
  </w:style>
  <w:style w:type="character" w:styleId="FootnoteReference">
    <w:name w:val="footnote reference"/>
    <w:unhideWhenUsed/>
    <w:rsid w:val="006840FC"/>
    <w:rPr>
      <w:vertAlign w:val="superscript"/>
    </w:rPr>
  </w:style>
  <w:style w:type="character" w:styleId="FollowedHyperlink">
    <w:name w:val="FollowedHyperlink"/>
    <w:rsid w:val="006840FC"/>
    <w:rPr>
      <w:color w:val="954F72"/>
      <w:u w:val="single"/>
    </w:rPr>
  </w:style>
  <w:style w:type="paragraph" w:styleId="Header">
    <w:name w:val="header"/>
    <w:basedOn w:val="Normal"/>
    <w:link w:val="HeaderChar"/>
    <w:rsid w:val="00116F28"/>
    <w:pPr>
      <w:tabs>
        <w:tab w:val="center" w:pos="4680"/>
        <w:tab w:val="right" w:pos="9360"/>
      </w:tabs>
    </w:pPr>
  </w:style>
  <w:style w:type="character" w:customStyle="1" w:styleId="HeaderChar">
    <w:name w:val="Header Char"/>
    <w:link w:val="Header"/>
    <w:rsid w:val="00116F28"/>
    <w:rPr>
      <w:sz w:val="24"/>
      <w:szCs w:val="24"/>
    </w:rPr>
  </w:style>
  <w:style w:type="character" w:styleId="UnresolvedMention">
    <w:name w:val="Unresolved Mention"/>
    <w:uiPriority w:val="99"/>
    <w:semiHidden/>
    <w:unhideWhenUsed/>
    <w:rsid w:val="000C3A0E"/>
    <w:rPr>
      <w:color w:val="605E5C"/>
      <w:shd w:val="clear" w:color="auto" w:fill="E1DFDD"/>
    </w:rPr>
  </w:style>
  <w:style w:type="paragraph" w:styleId="ListParagraph">
    <w:name w:val="List Paragraph"/>
    <w:basedOn w:val="Normal"/>
    <w:uiPriority w:val="34"/>
    <w:qFormat/>
    <w:rsid w:val="008947BD"/>
    <w:pPr>
      <w:ind w:left="720"/>
      <w:contextualSpacing/>
    </w:pPr>
  </w:style>
  <w:style w:type="character" w:customStyle="1" w:styleId="BodyTextIndentChar">
    <w:name w:val="Body Text Indent Char"/>
    <w:basedOn w:val="DefaultParagraphFont"/>
    <w:link w:val="BodyTextIndent"/>
    <w:rsid w:val="00783B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8266">
      <w:bodyDiv w:val="1"/>
      <w:marLeft w:val="0"/>
      <w:marRight w:val="0"/>
      <w:marTop w:val="0"/>
      <w:marBottom w:val="0"/>
      <w:divBdr>
        <w:top w:val="none" w:sz="0" w:space="0" w:color="auto"/>
        <w:left w:val="none" w:sz="0" w:space="0" w:color="auto"/>
        <w:bottom w:val="none" w:sz="0" w:space="0" w:color="auto"/>
        <w:right w:val="none" w:sz="0" w:space="0" w:color="auto"/>
      </w:divBdr>
    </w:div>
    <w:div w:id="32121371">
      <w:bodyDiv w:val="1"/>
      <w:marLeft w:val="0"/>
      <w:marRight w:val="0"/>
      <w:marTop w:val="0"/>
      <w:marBottom w:val="0"/>
      <w:divBdr>
        <w:top w:val="none" w:sz="0" w:space="0" w:color="auto"/>
        <w:left w:val="none" w:sz="0" w:space="0" w:color="auto"/>
        <w:bottom w:val="none" w:sz="0" w:space="0" w:color="auto"/>
        <w:right w:val="none" w:sz="0" w:space="0" w:color="auto"/>
      </w:divBdr>
    </w:div>
    <w:div w:id="118495188">
      <w:bodyDiv w:val="1"/>
      <w:marLeft w:val="0"/>
      <w:marRight w:val="0"/>
      <w:marTop w:val="0"/>
      <w:marBottom w:val="0"/>
      <w:divBdr>
        <w:top w:val="none" w:sz="0" w:space="0" w:color="auto"/>
        <w:left w:val="none" w:sz="0" w:space="0" w:color="auto"/>
        <w:bottom w:val="none" w:sz="0" w:space="0" w:color="auto"/>
        <w:right w:val="none" w:sz="0" w:space="0" w:color="auto"/>
      </w:divBdr>
    </w:div>
    <w:div w:id="158692721">
      <w:bodyDiv w:val="1"/>
      <w:marLeft w:val="0"/>
      <w:marRight w:val="0"/>
      <w:marTop w:val="0"/>
      <w:marBottom w:val="0"/>
      <w:divBdr>
        <w:top w:val="none" w:sz="0" w:space="0" w:color="auto"/>
        <w:left w:val="none" w:sz="0" w:space="0" w:color="auto"/>
        <w:bottom w:val="none" w:sz="0" w:space="0" w:color="auto"/>
        <w:right w:val="none" w:sz="0" w:space="0" w:color="auto"/>
      </w:divBdr>
    </w:div>
    <w:div w:id="330572239">
      <w:bodyDiv w:val="1"/>
      <w:marLeft w:val="0"/>
      <w:marRight w:val="0"/>
      <w:marTop w:val="0"/>
      <w:marBottom w:val="0"/>
      <w:divBdr>
        <w:top w:val="none" w:sz="0" w:space="0" w:color="auto"/>
        <w:left w:val="none" w:sz="0" w:space="0" w:color="auto"/>
        <w:bottom w:val="none" w:sz="0" w:space="0" w:color="auto"/>
        <w:right w:val="none" w:sz="0" w:space="0" w:color="auto"/>
      </w:divBdr>
    </w:div>
    <w:div w:id="552932866">
      <w:bodyDiv w:val="1"/>
      <w:marLeft w:val="0"/>
      <w:marRight w:val="0"/>
      <w:marTop w:val="0"/>
      <w:marBottom w:val="0"/>
      <w:divBdr>
        <w:top w:val="none" w:sz="0" w:space="0" w:color="auto"/>
        <w:left w:val="none" w:sz="0" w:space="0" w:color="auto"/>
        <w:bottom w:val="none" w:sz="0" w:space="0" w:color="auto"/>
        <w:right w:val="none" w:sz="0" w:space="0" w:color="auto"/>
      </w:divBdr>
    </w:div>
    <w:div w:id="555121934">
      <w:bodyDiv w:val="1"/>
      <w:marLeft w:val="0"/>
      <w:marRight w:val="0"/>
      <w:marTop w:val="0"/>
      <w:marBottom w:val="0"/>
      <w:divBdr>
        <w:top w:val="none" w:sz="0" w:space="0" w:color="auto"/>
        <w:left w:val="none" w:sz="0" w:space="0" w:color="auto"/>
        <w:bottom w:val="none" w:sz="0" w:space="0" w:color="auto"/>
        <w:right w:val="none" w:sz="0" w:space="0" w:color="auto"/>
      </w:divBdr>
    </w:div>
    <w:div w:id="567153456">
      <w:bodyDiv w:val="1"/>
      <w:marLeft w:val="0"/>
      <w:marRight w:val="0"/>
      <w:marTop w:val="0"/>
      <w:marBottom w:val="0"/>
      <w:divBdr>
        <w:top w:val="none" w:sz="0" w:space="0" w:color="auto"/>
        <w:left w:val="none" w:sz="0" w:space="0" w:color="auto"/>
        <w:bottom w:val="none" w:sz="0" w:space="0" w:color="auto"/>
        <w:right w:val="none" w:sz="0" w:space="0" w:color="auto"/>
      </w:divBdr>
    </w:div>
    <w:div w:id="580332807">
      <w:bodyDiv w:val="1"/>
      <w:marLeft w:val="0"/>
      <w:marRight w:val="0"/>
      <w:marTop w:val="0"/>
      <w:marBottom w:val="0"/>
      <w:divBdr>
        <w:top w:val="none" w:sz="0" w:space="0" w:color="auto"/>
        <w:left w:val="none" w:sz="0" w:space="0" w:color="auto"/>
        <w:bottom w:val="none" w:sz="0" w:space="0" w:color="auto"/>
        <w:right w:val="none" w:sz="0" w:space="0" w:color="auto"/>
      </w:divBdr>
    </w:div>
    <w:div w:id="764350992">
      <w:bodyDiv w:val="1"/>
      <w:marLeft w:val="0"/>
      <w:marRight w:val="0"/>
      <w:marTop w:val="0"/>
      <w:marBottom w:val="0"/>
      <w:divBdr>
        <w:top w:val="none" w:sz="0" w:space="0" w:color="auto"/>
        <w:left w:val="none" w:sz="0" w:space="0" w:color="auto"/>
        <w:bottom w:val="none" w:sz="0" w:space="0" w:color="auto"/>
        <w:right w:val="none" w:sz="0" w:space="0" w:color="auto"/>
      </w:divBdr>
    </w:div>
    <w:div w:id="811216985">
      <w:bodyDiv w:val="1"/>
      <w:marLeft w:val="0"/>
      <w:marRight w:val="0"/>
      <w:marTop w:val="0"/>
      <w:marBottom w:val="0"/>
      <w:divBdr>
        <w:top w:val="none" w:sz="0" w:space="0" w:color="auto"/>
        <w:left w:val="none" w:sz="0" w:space="0" w:color="auto"/>
        <w:bottom w:val="none" w:sz="0" w:space="0" w:color="auto"/>
        <w:right w:val="none" w:sz="0" w:space="0" w:color="auto"/>
      </w:divBdr>
    </w:div>
    <w:div w:id="910191689">
      <w:bodyDiv w:val="1"/>
      <w:marLeft w:val="0"/>
      <w:marRight w:val="0"/>
      <w:marTop w:val="0"/>
      <w:marBottom w:val="0"/>
      <w:divBdr>
        <w:top w:val="none" w:sz="0" w:space="0" w:color="auto"/>
        <w:left w:val="none" w:sz="0" w:space="0" w:color="auto"/>
        <w:bottom w:val="none" w:sz="0" w:space="0" w:color="auto"/>
        <w:right w:val="none" w:sz="0" w:space="0" w:color="auto"/>
      </w:divBdr>
    </w:div>
    <w:div w:id="916860059">
      <w:bodyDiv w:val="1"/>
      <w:marLeft w:val="0"/>
      <w:marRight w:val="0"/>
      <w:marTop w:val="0"/>
      <w:marBottom w:val="0"/>
      <w:divBdr>
        <w:top w:val="none" w:sz="0" w:space="0" w:color="auto"/>
        <w:left w:val="none" w:sz="0" w:space="0" w:color="auto"/>
        <w:bottom w:val="none" w:sz="0" w:space="0" w:color="auto"/>
        <w:right w:val="none" w:sz="0" w:space="0" w:color="auto"/>
      </w:divBdr>
    </w:div>
    <w:div w:id="932710788">
      <w:bodyDiv w:val="1"/>
      <w:marLeft w:val="0"/>
      <w:marRight w:val="0"/>
      <w:marTop w:val="0"/>
      <w:marBottom w:val="0"/>
      <w:divBdr>
        <w:top w:val="none" w:sz="0" w:space="0" w:color="auto"/>
        <w:left w:val="none" w:sz="0" w:space="0" w:color="auto"/>
        <w:bottom w:val="none" w:sz="0" w:space="0" w:color="auto"/>
        <w:right w:val="none" w:sz="0" w:space="0" w:color="auto"/>
      </w:divBdr>
    </w:div>
    <w:div w:id="1149517378">
      <w:bodyDiv w:val="1"/>
      <w:marLeft w:val="0"/>
      <w:marRight w:val="0"/>
      <w:marTop w:val="0"/>
      <w:marBottom w:val="0"/>
      <w:divBdr>
        <w:top w:val="none" w:sz="0" w:space="0" w:color="auto"/>
        <w:left w:val="none" w:sz="0" w:space="0" w:color="auto"/>
        <w:bottom w:val="none" w:sz="0" w:space="0" w:color="auto"/>
        <w:right w:val="none" w:sz="0" w:space="0" w:color="auto"/>
      </w:divBdr>
    </w:div>
    <w:div w:id="123758884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448042628">
      <w:bodyDiv w:val="1"/>
      <w:marLeft w:val="0"/>
      <w:marRight w:val="0"/>
      <w:marTop w:val="0"/>
      <w:marBottom w:val="0"/>
      <w:divBdr>
        <w:top w:val="none" w:sz="0" w:space="0" w:color="auto"/>
        <w:left w:val="none" w:sz="0" w:space="0" w:color="auto"/>
        <w:bottom w:val="none" w:sz="0" w:space="0" w:color="auto"/>
        <w:right w:val="none" w:sz="0" w:space="0" w:color="auto"/>
      </w:divBdr>
    </w:div>
    <w:div w:id="1561094651">
      <w:bodyDiv w:val="1"/>
      <w:marLeft w:val="0"/>
      <w:marRight w:val="0"/>
      <w:marTop w:val="0"/>
      <w:marBottom w:val="0"/>
      <w:divBdr>
        <w:top w:val="none" w:sz="0" w:space="0" w:color="auto"/>
        <w:left w:val="none" w:sz="0" w:space="0" w:color="auto"/>
        <w:bottom w:val="none" w:sz="0" w:space="0" w:color="auto"/>
        <w:right w:val="none" w:sz="0" w:space="0" w:color="auto"/>
      </w:divBdr>
    </w:div>
    <w:div w:id="158271598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0286145">
      <w:bodyDiv w:val="1"/>
      <w:marLeft w:val="0"/>
      <w:marRight w:val="0"/>
      <w:marTop w:val="0"/>
      <w:marBottom w:val="0"/>
      <w:divBdr>
        <w:top w:val="none" w:sz="0" w:space="0" w:color="auto"/>
        <w:left w:val="none" w:sz="0" w:space="0" w:color="auto"/>
        <w:bottom w:val="none" w:sz="0" w:space="0" w:color="auto"/>
        <w:right w:val="none" w:sz="0" w:space="0" w:color="auto"/>
      </w:divBdr>
    </w:div>
    <w:div w:id="1917084143">
      <w:bodyDiv w:val="1"/>
      <w:marLeft w:val="0"/>
      <w:marRight w:val="0"/>
      <w:marTop w:val="0"/>
      <w:marBottom w:val="0"/>
      <w:divBdr>
        <w:top w:val="none" w:sz="0" w:space="0" w:color="auto"/>
        <w:left w:val="none" w:sz="0" w:space="0" w:color="auto"/>
        <w:bottom w:val="none" w:sz="0" w:space="0" w:color="auto"/>
        <w:right w:val="none" w:sz="0" w:space="0" w:color="auto"/>
      </w:divBdr>
    </w:div>
    <w:div w:id="1977295139">
      <w:bodyDiv w:val="1"/>
      <w:marLeft w:val="0"/>
      <w:marRight w:val="0"/>
      <w:marTop w:val="0"/>
      <w:marBottom w:val="0"/>
      <w:divBdr>
        <w:top w:val="none" w:sz="0" w:space="0" w:color="auto"/>
        <w:left w:val="none" w:sz="0" w:space="0" w:color="auto"/>
        <w:bottom w:val="none" w:sz="0" w:space="0" w:color="auto"/>
        <w:right w:val="none" w:sz="0" w:space="0" w:color="auto"/>
      </w:divBdr>
    </w:div>
    <w:div w:id="20199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da.gov/retailfoodriskfactorstud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ec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0811C07D50B4EA2492363DE5CCF6C" ma:contentTypeVersion="7" ma:contentTypeDescription="Create a new document." ma:contentTypeScope="" ma:versionID="d6a2308844096fb246f0ed3feb90291f">
  <xsd:schema xmlns:xsd="http://www.w3.org/2001/XMLSchema" xmlns:xs="http://www.w3.org/2001/XMLSchema" xmlns:p="http://schemas.microsoft.com/office/2006/metadata/properties" xmlns:ns2="8c1ffb27-5ce7-4711-b723-669af0edbd55" xmlns:ns3="fb24f324-195d-4c46-a312-805ac902c4ce" targetNamespace="http://schemas.microsoft.com/office/2006/metadata/properties" ma:root="true" ma:fieldsID="0b7b8afd64ed1abdc8fdbb634cec6b68" ns2:_="" ns3:_="">
    <xsd:import namespace="8c1ffb27-5ce7-4711-b723-669af0edbd55"/>
    <xsd:import namespace="fb24f324-195d-4c46-a312-805ac902c4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inal_x002d_Internal_x002d_Wo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fb27-5ce7-4711-b723-669af0edb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nal_x002d_Internal_x002d_Working" ma:index="12" nillable="true" ma:displayName="Final - Internal - Working" ma:format="Dropdown" ma:internalName="Final_x002d_Internal_x002d_Working">
      <xsd:simpleType>
        <xsd:restriction base="dms:Choice">
          <xsd:enumeration value="Final"/>
          <xsd:enumeration value="Internal"/>
          <xsd:enumeration value="Working"/>
        </xsd:restriction>
      </xsd:simpleType>
    </xsd:element>
  </xsd:schema>
  <xsd:schema xmlns:xsd="http://www.w3.org/2001/XMLSchema" xmlns:xs="http://www.w3.org/2001/XMLSchema" xmlns:dms="http://schemas.microsoft.com/office/2006/documentManagement/types" xmlns:pc="http://schemas.microsoft.com/office/infopath/2007/PartnerControls" targetNamespace="fb24f324-195d-4c46-a312-805ac902c4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nal_x002d_Internal_x002d_Working xmlns="8c1ffb27-5ce7-4711-b723-669af0edbd5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47D5F-2302-4626-9797-D6919F7F53F5}">
  <ds:schemaRefs>
    <ds:schemaRef ds:uri="http://schemas.openxmlformats.org/officeDocument/2006/bibliography"/>
  </ds:schemaRefs>
</ds:datastoreItem>
</file>

<file path=customXml/itemProps2.xml><?xml version="1.0" encoding="utf-8"?>
<ds:datastoreItem xmlns:ds="http://schemas.openxmlformats.org/officeDocument/2006/customXml" ds:itemID="{51AAD58A-C6A8-415E-8106-D70403056F5C}">
  <ds:schemaRefs>
    <ds:schemaRef ds:uri="http://schemas.microsoft.com/office/2006/metadata/longProperties"/>
  </ds:schemaRefs>
</ds:datastoreItem>
</file>

<file path=customXml/itemProps3.xml><?xml version="1.0" encoding="utf-8"?>
<ds:datastoreItem xmlns:ds="http://schemas.openxmlformats.org/officeDocument/2006/customXml" ds:itemID="{C6130393-1DB4-4FC0-95E9-84577575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ffb27-5ce7-4711-b723-669af0edbd55"/>
    <ds:schemaRef ds:uri="fb24f324-195d-4c46-a312-805ac902c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CDED2-1260-4ABB-80A3-D83E53E2C828}">
  <ds:schemaRefs>
    <ds:schemaRef ds:uri="http://schemas.microsoft.com/office/2006/metadata/properties"/>
    <ds:schemaRef ds:uri="http://schemas.microsoft.com/office/infopath/2007/PartnerControls"/>
    <ds:schemaRef ds:uri="8c1ffb27-5ce7-4711-b723-669af0edbd55"/>
  </ds:schemaRefs>
</ds:datastoreItem>
</file>

<file path=customXml/itemProps5.xml><?xml version="1.0" encoding="utf-8"?>
<ds:datastoreItem xmlns:ds="http://schemas.openxmlformats.org/officeDocument/2006/customXml" ds:itemID="{DD5C0647-EB12-4392-AD2A-78A4B14D6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3424</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Links>
    <vt:vector size="180" baseType="variant">
      <vt:variant>
        <vt:i4>3014659</vt:i4>
      </vt:variant>
      <vt:variant>
        <vt:i4>93</vt:i4>
      </vt:variant>
      <vt:variant>
        <vt:i4>0</vt:i4>
      </vt:variant>
      <vt:variant>
        <vt:i4>5</vt:i4>
      </vt:variant>
      <vt:variant>
        <vt:lpwstr>mailto:katherine.delmundo@fda.hhs.gov</vt:lpwstr>
      </vt:variant>
      <vt:variant>
        <vt:lpwstr/>
      </vt:variant>
      <vt:variant>
        <vt:i4>6357072</vt:i4>
      </vt:variant>
      <vt:variant>
        <vt:i4>90</vt:i4>
      </vt:variant>
      <vt:variant>
        <vt:i4>0</vt:i4>
      </vt:variant>
      <vt:variant>
        <vt:i4>5</vt:i4>
      </vt:variant>
      <vt:variant>
        <vt:lpwstr>mailto:alisha.johnson@fda.hhs.gov</vt:lpwstr>
      </vt:variant>
      <vt:variant>
        <vt:lpwstr/>
      </vt:variant>
      <vt:variant>
        <vt:i4>7274574</vt:i4>
      </vt:variant>
      <vt:variant>
        <vt:i4>87</vt:i4>
      </vt:variant>
      <vt:variant>
        <vt:i4>0</vt:i4>
      </vt:variant>
      <vt:variant>
        <vt:i4>5</vt:i4>
      </vt:variant>
      <vt:variant>
        <vt:lpwstr>mailto:Tracynda.Davis@fda.hhs.gov</vt:lpwstr>
      </vt:variant>
      <vt:variant>
        <vt:lpwstr/>
      </vt:variant>
      <vt:variant>
        <vt:i4>6422640</vt:i4>
      </vt:variant>
      <vt:variant>
        <vt:i4>84</vt:i4>
      </vt:variant>
      <vt:variant>
        <vt:i4>0</vt:i4>
      </vt:variant>
      <vt:variant>
        <vt:i4>5</vt:i4>
      </vt:variant>
      <vt:variant>
        <vt:lpwstr>mailto:</vt:lpwstr>
      </vt:variant>
      <vt:variant>
        <vt:lpwstr/>
      </vt:variant>
      <vt:variant>
        <vt:i4>4522088</vt:i4>
      </vt:variant>
      <vt:variant>
        <vt:i4>81</vt:i4>
      </vt:variant>
      <vt:variant>
        <vt:i4>0</vt:i4>
      </vt:variant>
      <vt:variant>
        <vt:i4>5</vt:i4>
      </vt:variant>
      <vt:variant>
        <vt:lpwstr>mailto:Diane Kelsch@fda.hhs.gov</vt:lpwstr>
      </vt:variant>
      <vt:variant>
        <vt:lpwstr/>
      </vt:variant>
      <vt:variant>
        <vt:i4>6815832</vt:i4>
      </vt:variant>
      <vt:variant>
        <vt:i4>78</vt:i4>
      </vt:variant>
      <vt:variant>
        <vt:i4>0</vt:i4>
      </vt:variant>
      <vt:variant>
        <vt:i4>5</vt:i4>
      </vt:variant>
      <vt:variant>
        <vt:lpwstr>mailto:David.Engelskirchen@fda.hhs.gov</vt:lpwstr>
      </vt:variant>
      <vt:variant>
        <vt:lpwstr/>
      </vt:variant>
      <vt:variant>
        <vt:i4>7143514</vt:i4>
      </vt:variant>
      <vt:variant>
        <vt:i4>75</vt:i4>
      </vt:variant>
      <vt:variant>
        <vt:i4>0</vt:i4>
      </vt:variant>
      <vt:variant>
        <vt:i4>5</vt:i4>
      </vt:variant>
      <vt:variant>
        <vt:lpwstr>mailto:Brad.Tufto@fda.hhs.gov</vt:lpwstr>
      </vt:variant>
      <vt:variant>
        <vt:lpwstr/>
      </vt:variant>
      <vt:variant>
        <vt:i4>7667800</vt:i4>
      </vt:variant>
      <vt:variant>
        <vt:i4>72</vt:i4>
      </vt:variant>
      <vt:variant>
        <vt:i4>0</vt:i4>
      </vt:variant>
      <vt:variant>
        <vt:i4>5</vt:i4>
      </vt:variant>
      <vt:variant>
        <vt:lpwstr>mailto:Kathryn.Kennedy@fda.hhs.gov</vt:lpwstr>
      </vt:variant>
      <vt:variant>
        <vt:lpwstr/>
      </vt:variant>
      <vt:variant>
        <vt:i4>5046392</vt:i4>
      </vt:variant>
      <vt:variant>
        <vt:i4>69</vt:i4>
      </vt:variant>
      <vt:variant>
        <vt:i4>0</vt:i4>
      </vt:variant>
      <vt:variant>
        <vt:i4>5</vt:i4>
      </vt:variant>
      <vt:variant>
        <vt:lpwstr>mailto:Greg.Abel@fda.hhs.gov</vt:lpwstr>
      </vt:variant>
      <vt:variant>
        <vt:lpwstr/>
      </vt:variant>
      <vt:variant>
        <vt:i4>7798876</vt:i4>
      </vt:variant>
      <vt:variant>
        <vt:i4>66</vt:i4>
      </vt:variant>
      <vt:variant>
        <vt:i4>0</vt:i4>
      </vt:variant>
      <vt:variant>
        <vt:i4>5</vt:i4>
      </vt:variant>
      <vt:variant>
        <vt:lpwstr>mailto:Rebecca.steiner@fda.hhs.gov</vt:lpwstr>
      </vt:variant>
      <vt:variant>
        <vt:lpwstr/>
      </vt:variant>
      <vt:variant>
        <vt:i4>4128787</vt:i4>
      </vt:variant>
      <vt:variant>
        <vt:i4>63</vt:i4>
      </vt:variant>
      <vt:variant>
        <vt:i4>0</vt:i4>
      </vt:variant>
      <vt:variant>
        <vt:i4>5</vt:i4>
      </vt:variant>
      <vt:variant>
        <vt:lpwstr>mailto:Celeste.Parker@fda.hhs.gov</vt:lpwstr>
      </vt:variant>
      <vt:variant>
        <vt:lpwstr/>
      </vt:variant>
      <vt:variant>
        <vt:i4>6422640</vt:i4>
      </vt:variant>
      <vt:variant>
        <vt:i4>60</vt:i4>
      </vt:variant>
      <vt:variant>
        <vt:i4>0</vt:i4>
      </vt:variant>
      <vt:variant>
        <vt:i4>5</vt:i4>
      </vt:variant>
      <vt:variant>
        <vt:lpwstr>mailto:</vt:lpwstr>
      </vt:variant>
      <vt:variant>
        <vt:lpwstr/>
      </vt:variant>
      <vt:variant>
        <vt:i4>2555906</vt:i4>
      </vt:variant>
      <vt:variant>
        <vt:i4>57</vt:i4>
      </vt:variant>
      <vt:variant>
        <vt:i4>0</vt:i4>
      </vt:variant>
      <vt:variant>
        <vt:i4>5</vt:i4>
      </vt:variant>
      <vt:variant>
        <vt:lpwstr>mailto:Kenya.Moon@fda.hhs.gov</vt:lpwstr>
      </vt:variant>
      <vt:variant>
        <vt:lpwstr/>
      </vt:variant>
      <vt:variant>
        <vt:i4>4194401</vt:i4>
      </vt:variant>
      <vt:variant>
        <vt:i4>54</vt:i4>
      </vt:variant>
      <vt:variant>
        <vt:i4>0</vt:i4>
      </vt:variant>
      <vt:variant>
        <vt:i4>5</vt:i4>
      </vt:variant>
      <vt:variant>
        <vt:lpwstr>mailto:Kimberly.Destromp@fda.hhs.gov</vt:lpwstr>
      </vt:variant>
      <vt:variant>
        <vt:lpwstr/>
      </vt:variant>
      <vt:variant>
        <vt:i4>8323157</vt:i4>
      </vt:variant>
      <vt:variant>
        <vt:i4>51</vt:i4>
      </vt:variant>
      <vt:variant>
        <vt:i4>0</vt:i4>
      </vt:variant>
      <vt:variant>
        <vt:i4>5</vt:i4>
      </vt:variant>
      <vt:variant>
        <vt:lpwstr>mailto:Quwanza.Duggins@fda.hhs.gov</vt:lpwstr>
      </vt:variant>
      <vt:variant>
        <vt:lpwstr/>
      </vt:variant>
      <vt:variant>
        <vt:i4>2687045</vt:i4>
      </vt:variant>
      <vt:variant>
        <vt:i4>48</vt:i4>
      </vt:variant>
      <vt:variant>
        <vt:i4>0</vt:i4>
      </vt:variant>
      <vt:variant>
        <vt:i4>5</vt:i4>
      </vt:variant>
      <vt:variant>
        <vt:lpwstr>mailto:Carolyn.white1@fda.hhs.gov</vt:lpwstr>
      </vt:variant>
      <vt:variant>
        <vt:lpwstr/>
      </vt:variant>
      <vt:variant>
        <vt:i4>4980852</vt:i4>
      </vt:variant>
      <vt:variant>
        <vt:i4>45</vt:i4>
      </vt:variant>
      <vt:variant>
        <vt:i4>0</vt:i4>
      </vt:variant>
      <vt:variant>
        <vt:i4>5</vt:i4>
      </vt:variant>
      <vt:variant>
        <vt:lpwstr>mailto:Jonathan.Tran@fda.hhs.gov</vt:lpwstr>
      </vt:variant>
      <vt:variant>
        <vt:lpwstr/>
      </vt:variant>
      <vt:variant>
        <vt:i4>3211267</vt:i4>
      </vt:variant>
      <vt:variant>
        <vt:i4>42</vt:i4>
      </vt:variant>
      <vt:variant>
        <vt:i4>0</vt:i4>
      </vt:variant>
      <vt:variant>
        <vt:i4>5</vt:i4>
      </vt:variant>
      <vt:variant>
        <vt:lpwstr>mailto:Michael.Nordos@fda.hhs.gov</vt:lpwstr>
      </vt:variant>
      <vt:variant>
        <vt:lpwstr/>
      </vt:variant>
      <vt:variant>
        <vt:i4>7798860</vt:i4>
      </vt:variant>
      <vt:variant>
        <vt:i4>39</vt:i4>
      </vt:variant>
      <vt:variant>
        <vt:i4>0</vt:i4>
      </vt:variant>
      <vt:variant>
        <vt:i4>5</vt:i4>
      </vt:variant>
      <vt:variant>
        <vt:lpwstr>mailto:Cameron.Wiggins@fda.hhs.gov</vt:lpwstr>
      </vt:variant>
      <vt:variant>
        <vt:lpwstr/>
      </vt:variant>
      <vt:variant>
        <vt:i4>2031674</vt:i4>
      </vt:variant>
      <vt:variant>
        <vt:i4>36</vt:i4>
      </vt:variant>
      <vt:variant>
        <vt:i4>0</vt:i4>
      </vt:variant>
      <vt:variant>
        <vt:i4>5</vt:i4>
      </vt:variant>
      <vt:variant>
        <vt:lpwstr>mailto:Donna.Wanucha@fda.hhs.gov</vt:lpwstr>
      </vt:variant>
      <vt:variant>
        <vt:lpwstr/>
      </vt:variant>
      <vt:variant>
        <vt:i4>7536728</vt:i4>
      </vt:variant>
      <vt:variant>
        <vt:i4>33</vt:i4>
      </vt:variant>
      <vt:variant>
        <vt:i4>0</vt:i4>
      </vt:variant>
      <vt:variant>
        <vt:i4>5</vt:i4>
      </vt:variant>
      <vt:variant>
        <vt:lpwstr>mailto:joseph.redditt@fda.hhs.gov</vt:lpwstr>
      </vt:variant>
      <vt:variant>
        <vt:lpwstr/>
      </vt:variant>
      <vt:variant>
        <vt:i4>4784230</vt:i4>
      </vt:variant>
      <vt:variant>
        <vt:i4>30</vt:i4>
      </vt:variant>
      <vt:variant>
        <vt:i4>0</vt:i4>
      </vt:variant>
      <vt:variant>
        <vt:i4>5</vt:i4>
      </vt:variant>
      <vt:variant>
        <vt:lpwstr>mailto:Thomas.Nerney@fda.hhs.gov</vt:lpwstr>
      </vt:variant>
      <vt:variant>
        <vt:lpwstr/>
      </vt:variant>
      <vt:variant>
        <vt:i4>8061005</vt:i4>
      </vt:variant>
      <vt:variant>
        <vt:i4>27</vt:i4>
      </vt:variant>
      <vt:variant>
        <vt:i4>0</vt:i4>
      </vt:variant>
      <vt:variant>
        <vt:i4>5</vt:i4>
      </vt:variant>
      <vt:variant>
        <vt:lpwstr>mailto:Mary.Leong@fda.hhs.gov</vt:lpwstr>
      </vt:variant>
      <vt:variant>
        <vt:lpwstr/>
      </vt:variant>
      <vt:variant>
        <vt:i4>3473438</vt:i4>
      </vt:variant>
      <vt:variant>
        <vt:i4>24</vt:i4>
      </vt:variant>
      <vt:variant>
        <vt:i4>0</vt:i4>
      </vt:variant>
      <vt:variant>
        <vt:i4>5</vt:i4>
      </vt:variant>
      <vt:variant>
        <vt:lpwstr>mailto:Steven.Nattrass@fda.hhs.gov</vt:lpwstr>
      </vt:variant>
      <vt:variant>
        <vt:lpwstr/>
      </vt:variant>
      <vt:variant>
        <vt:i4>1769512</vt:i4>
      </vt:variant>
      <vt:variant>
        <vt:i4>21</vt:i4>
      </vt:variant>
      <vt:variant>
        <vt:i4>0</vt:i4>
      </vt:variant>
      <vt:variant>
        <vt:i4>5</vt:i4>
      </vt:variant>
      <vt:variant>
        <vt:lpwstr>mailto:Guilan.Huang@fda.hhs.gov</vt:lpwstr>
      </vt:variant>
      <vt:variant>
        <vt:lpwstr/>
      </vt:variant>
      <vt:variant>
        <vt:i4>7995482</vt:i4>
      </vt:variant>
      <vt:variant>
        <vt:i4>18</vt:i4>
      </vt:variant>
      <vt:variant>
        <vt:i4>0</vt:i4>
      </vt:variant>
      <vt:variant>
        <vt:i4>5</vt:i4>
      </vt:variant>
      <vt:variant>
        <vt:lpwstr>mailto:Marc.Boyer@fda.hhs.gov</vt:lpwstr>
      </vt:variant>
      <vt:variant>
        <vt:lpwstr/>
      </vt:variant>
      <vt:variant>
        <vt:i4>7995426</vt:i4>
      </vt:variant>
      <vt:variant>
        <vt:i4>6</vt:i4>
      </vt:variant>
      <vt:variant>
        <vt:i4>0</vt:i4>
      </vt:variant>
      <vt:variant>
        <vt:i4>5</vt:i4>
      </vt:variant>
      <vt:variant>
        <vt:lpwstr>https://gii.dhs.gov/hifld/</vt:lpwstr>
      </vt:variant>
      <vt:variant>
        <vt:lpwstr/>
      </vt:variant>
      <vt:variant>
        <vt:i4>327708</vt:i4>
      </vt:variant>
      <vt:variant>
        <vt:i4>3</vt:i4>
      </vt:variant>
      <vt:variant>
        <vt:i4>0</vt:i4>
      </vt:variant>
      <vt:variant>
        <vt:i4>5</vt:i4>
      </vt:variant>
      <vt:variant>
        <vt:lpwstr>http://www.data-axle.com/</vt:lpwstr>
      </vt:variant>
      <vt:variant>
        <vt:lpwstr/>
      </vt:variant>
      <vt:variant>
        <vt:i4>5177420</vt:i4>
      </vt:variant>
      <vt:variant>
        <vt:i4>0</vt:i4>
      </vt:variant>
      <vt:variant>
        <vt:i4>0</vt:i4>
      </vt:variant>
      <vt:variant>
        <vt:i4>5</vt:i4>
      </vt:variant>
      <vt:variant>
        <vt:lpwstr>http://www.fda.gov/retailfoodriskfactorstudy</vt:lpwstr>
      </vt:variant>
      <vt:variant>
        <vt:lpwstr/>
      </vt:variant>
      <vt:variant>
        <vt:i4>5374021</vt:i4>
      </vt:variant>
      <vt:variant>
        <vt:i4>0</vt:i4>
      </vt:variant>
      <vt:variant>
        <vt:i4>0</vt:i4>
      </vt:variant>
      <vt:variant>
        <vt:i4>5</vt:i4>
      </vt:variant>
      <vt:variant>
        <vt:lpwstr>http://www.bls.gov/news.release/ecec.toc.htm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2021-08-06T16:06:00Z</dcterms:created>
  <dcterms:modified xsi:type="dcterms:W3CDTF">2021-08-16T16:26:00Z</dcterms:modified>
</cp:coreProperties>
</file>