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B4393" w:rsidP="0068422E" w:rsidRDefault="00EC1942" w14:paraId="636D623D" w14:textId="77777777">
      <w:pPr>
        <w:tabs>
          <w:tab w:val="center" w:pos="4680"/>
        </w:tabs>
        <w:jc w:val="center"/>
        <w:rPr>
          <w:rFonts w:ascii="Times New Roman" w:hAnsi="Times New Roman"/>
          <w:sz w:val="28"/>
          <w:szCs w:val="28"/>
        </w:rPr>
      </w:pPr>
      <w:bookmarkStart w:name="OLE_LINK5" w:id="0"/>
      <w:bookmarkStart w:name="OLE_LINK6" w:id="1"/>
      <w:r>
        <w:rPr>
          <w:rFonts w:ascii="Times New Roman" w:hAnsi="Times New Roman"/>
          <w:sz w:val="28"/>
          <w:szCs w:val="28"/>
        </w:rPr>
        <w:t>H</w:t>
      </w:r>
      <w:r w:rsidRPr="0011189E" w:rsidR="004B4393">
        <w:rPr>
          <w:rFonts w:ascii="Times New Roman" w:hAnsi="Times New Roman"/>
          <w:sz w:val="28"/>
          <w:szCs w:val="28"/>
        </w:rPr>
        <w:t>ealth Message Testing System</w:t>
      </w:r>
      <w:r w:rsidR="00433E82">
        <w:rPr>
          <w:rFonts w:ascii="Times New Roman" w:hAnsi="Times New Roman"/>
          <w:sz w:val="28"/>
          <w:szCs w:val="28"/>
        </w:rPr>
        <w:t xml:space="preserve"> (HMTS)</w:t>
      </w:r>
    </w:p>
    <w:p w:rsidR="004B4393" w:rsidP="0068422E" w:rsidRDefault="004B4393" w14:paraId="765E9B4B" w14:textId="77777777">
      <w:pPr>
        <w:tabs>
          <w:tab w:val="center" w:pos="4680"/>
        </w:tabs>
        <w:jc w:val="center"/>
        <w:rPr>
          <w:rFonts w:ascii="Times New Roman" w:hAnsi="Times New Roman"/>
          <w:sz w:val="28"/>
          <w:szCs w:val="28"/>
        </w:rPr>
      </w:pPr>
      <w:r>
        <w:rPr>
          <w:rFonts w:ascii="Times New Roman" w:hAnsi="Times New Roman"/>
          <w:sz w:val="28"/>
          <w:szCs w:val="28"/>
        </w:rPr>
        <w:t xml:space="preserve">OMB No. </w:t>
      </w:r>
      <w:r w:rsidRPr="0011189E">
        <w:rPr>
          <w:rFonts w:ascii="Times New Roman" w:hAnsi="Times New Roman"/>
          <w:sz w:val="28"/>
          <w:szCs w:val="28"/>
        </w:rPr>
        <w:t>0920-0572</w:t>
      </w:r>
    </w:p>
    <w:p w:rsidR="00B96461" w:rsidP="00B96461" w:rsidRDefault="00B96461" w14:paraId="267883FC" w14:textId="326B8F71">
      <w:pPr>
        <w:tabs>
          <w:tab w:val="center" w:pos="4680"/>
        </w:tabs>
        <w:jc w:val="center"/>
        <w:rPr>
          <w:rFonts w:ascii="Times New Roman" w:hAnsi="Times New Roman"/>
          <w:sz w:val="28"/>
          <w:szCs w:val="28"/>
        </w:rPr>
      </w:pPr>
      <w:r>
        <w:rPr>
          <w:rFonts w:ascii="Times New Roman" w:hAnsi="Times New Roman"/>
          <w:sz w:val="28"/>
          <w:szCs w:val="28"/>
        </w:rPr>
        <w:t xml:space="preserve">Expiration Date:  </w:t>
      </w:r>
      <w:r w:rsidR="00E2343E">
        <w:rPr>
          <w:rFonts w:ascii="Times New Roman" w:hAnsi="Times New Roman"/>
          <w:sz w:val="28"/>
          <w:szCs w:val="28"/>
        </w:rPr>
        <w:t>August 31, 20</w:t>
      </w:r>
      <w:r w:rsidR="000E1E55">
        <w:rPr>
          <w:rFonts w:ascii="Times New Roman" w:hAnsi="Times New Roman"/>
          <w:sz w:val="28"/>
          <w:szCs w:val="28"/>
        </w:rPr>
        <w:t>21</w:t>
      </w:r>
    </w:p>
    <w:p w:rsidR="00C5338D" w:rsidP="0068422E" w:rsidRDefault="00C5338D" w14:paraId="786C1836" w14:textId="77777777">
      <w:pPr>
        <w:tabs>
          <w:tab w:val="center" w:pos="4680"/>
        </w:tabs>
        <w:jc w:val="center"/>
        <w:rPr>
          <w:rFonts w:ascii="Times New Roman" w:hAnsi="Times New Roman"/>
          <w:sz w:val="28"/>
          <w:szCs w:val="28"/>
        </w:rPr>
      </w:pPr>
    </w:p>
    <w:p w:rsidR="00433E82" w:rsidP="0068422E" w:rsidRDefault="00433E82" w14:paraId="65E9BC43" w14:textId="77777777">
      <w:pPr>
        <w:tabs>
          <w:tab w:val="center" w:pos="4680"/>
        </w:tabs>
        <w:jc w:val="center"/>
        <w:rPr>
          <w:rFonts w:ascii="Times New Roman" w:hAnsi="Times New Roman"/>
          <w:sz w:val="28"/>
          <w:szCs w:val="28"/>
        </w:rPr>
      </w:pPr>
      <w:r>
        <w:rPr>
          <w:rFonts w:ascii="Times New Roman" w:hAnsi="Times New Roman"/>
          <w:sz w:val="28"/>
          <w:szCs w:val="28"/>
        </w:rPr>
        <w:t>Part A</w:t>
      </w:r>
    </w:p>
    <w:p w:rsidR="00433E82" w:rsidP="0068422E" w:rsidRDefault="00433E82" w14:paraId="52E83EDD" w14:textId="77777777">
      <w:pPr>
        <w:tabs>
          <w:tab w:val="center" w:pos="4680"/>
        </w:tabs>
        <w:jc w:val="center"/>
        <w:rPr>
          <w:rFonts w:ascii="Times New Roman" w:hAnsi="Times New Roman"/>
          <w:sz w:val="28"/>
          <w:szCs w:val="28"/>
        </w:rPr>
      </w:pPr>
    </w:p>
    <w:bookmarkEnd w:id="0"/>
    <w:bookmarkEnd w:id="1"/>
    <w:p w:rsidRPr="0011189E" w:rsidR="004B4393" w:rsidP="0068422E" w:rsidRDefault="004B4393" w14:paraId="32C08D09" w14:textId="77777777">
      <w:pPr>
        <w:tabs>
          <w:tab w:val="center" w:pos="4680"/>
        </w:tabs>
        <w:rPr>
          <w:rFonts w:ascii="Times New Roman" w:hAnsi="Times New Roman"/>
          <w:sz w:val="32"/>
        </w:rPr>
      </w:pPr>
    </w:p>
    <w:p w:rsidR="004B4393" w:rsidP="0068422E" w:rsidRDefault="004B4393" w14:paraId="1FEF6990" w14:textId="77777777">
      <w:pPr>
        <w:rPr>
          <w:rFonts w:ascii="Times New Roman" w:hAnsi="Times New Roman"/>
          <w:sz w:val="32"/>
        </w:rPr>
      </w:pPr>
    </w:p>
    <w:p w:rsidR="004B4393" w:rsidP="0068422E" w:rsidRDefault="004B4393" w14:paraId="3EB1843E" w14:textId="77777777">
      <w:pPr>
        <w:tabs>
          <w:tab w:val="center" w:pos="4680"/>
        </w:tabs>
        <w:rPr>
          <w:rFonts w:ascii="Times New Roman" w:hAnsi="Times New Roman"/>
          <w:sz w:val="32"/>
        </w:rPr>
      </w:pPr>
      <w:r>
        <w:rPr>
          <w:rFonts w:ascii="Times New Roman" w:hAnsi="Times New Roman"/>
          <w:sz w:val="32"/>
        </w:rPr>
        <w:tab/>
      </w:r>
    </w:p>
    <w:p w:rsidR="004B4393" w:rsidP="0068422E" w:rsidRDefault="004B4393" w14:paraId="3B2B0A94" w14:textId="77777777">
      <w:pPr>
        <w:tabs>
          <w:tab w:val="center" w:pos="4680"/>
        </w:tabs>
        <w:rPr>
          <w:rFonts w:ascii="Times New Roman" w:hAnsi="Times New Roman"/>
          <w:sz w:val="32"/>
        </w:rPr>
      </w:pPr>
      <w:r>
        <w:rPr>
          <w:rFonts w:ascii="Times New Roman" w:hAnsi="Times New Roman"/>
          <w:b/>
          <w:sz w:val="32"/>
        </w:rPr>
        <w:tab/>
      </w:r>
    </w:p>
    <w:p w:rsidR="004B4393" w:rsidP="0068422E" w:rsidRDefault="004B4393" w14:paraId="7D419140" w14:textId="77777777">
      <w:pPr>
        <w:rPr>
          <w:rFonts w:ascii="Times New Roman" w:hAnsi="Times New Roman"/>
        </w:rPr>
      </w:pPr>
    </w:p>
    <w:p w:rsidR="004B4393" w:rsidP="0068422E" w:rsidRDefault="004B4393" w14:paraId="576E3B03" w14:textId="77777777">
      <w:pPr>
        <w:pStyle w:val="Footer"/>
        <w:tabs>
          <w:tab w:val="clear" w:pos="4320"/>
          <w:tab w:val="clear" w:pos="8640"/>
        </w:tabs>
        <w:rPr>
          <w:rFonts w:ascii="Times New Roman" w:hAnsi="Times New Roman"/>
        </w:rPr>
      </w:pPr>
    </w:p>
    <w:p w:rsidR="003347BB" w:rsidP="0068422E" w:rsidRDefault="003347BB" w14:paraId="3ADAB82F" w14:textId="77777777">
      <w:pPr>
        <w:pStyle w:val="Footer"/>
        <w:tabs>
          <w:tab w:val="clear" w:pos="4320"/>
          <w:tab w:val="clear" w:pos="8640"/>
        </w:tabs>
        <w:rPr>
          <w:rFonts w:ascii="Times New Roman" w:hAnsi="Times New Roman"/>
        </w:rPr>
      </w:pPr>
    </w:p>
    <w:p w:rsidR="00C5338D" w:rsidP="0068422E" w:rsidRDefault="00C5338D" w14:paraId="73D8B199" w14:textId="77777777">
      <w:pPr>
        <w:pStyle w:val="Footer"/>
        <w:tabs>
          <w:tab w:val="clear" w:pos="4320"/>
          <w:tab w:val="clear" w:pos="8640"/>
        </w:tabs>
        <w:rPr>
          <w:rFonts w:ascii="Times New Roman" w:hAnsi="Times New Roman"/>
        </w:rPr>
      </w:pPr>
    </w:p>
    <w:p w:rsidR="00C5338D" w:rsidP="0068422E" w:rsidRDefault="00C5338D" w14:paraId="5B222235" w14:textId="77777777">
      <w:pPr>
        <w:pStyle w:val="Footer"/>
        <w:tabs>
          <w:tab w:val="clear" w:pos="4320"/>
          <w:tab w:val="clear" w:pos="8640"/>
        </w:tabs>
        <w:rPr>
          <w:rFonts w:ascii="Times New Roman" w:hAnsi="Times New Roman"/>
        </w:rPr>
      </w:pPr>
    </w:p>
    <w:p w:rsidR="00C5338D" w:rsidP="0068422E" w:rsidRDefault="00C5338D" w14:paraId="47872D2F" w14:textId="77777777">
      <w:pPr>
        <w:pStyle w:val="Footer"/>
        <w:tabs>
          <w:tab w:val="clear" w:pos="4320"/>
          <w:tab w:val="clear" w:pos="8640"/>
        </w:tabs>
        <w:rPr>
          <w:rFonts w:ascii="Times New Roman" w:hAnsi="Times New Roman"/>
        </w:rPr>
      </w:pPr>
    </w:p>
    <w:p w:rsidR="00850A82" w:rsidP="0068422E" w:rsidRDefault="00850A82" w14:paraId="27DD4D6D" w14:textId="77777777">
      <w:pPr>
        <w:pStyle w:val="Footer"/>
        <w:tabs>
          <w:tab w:val="clear" w:pos="4320"/>
          <w:tab w:val="clear" w:pos="8640"/>
        </w:tabs>
        <w:rPr>
          <w:rFonts w:ascii="Times New Roman" w:hAnsi="Times New Roman"/>
        </w:rPr>
      </w:pPr>
    </w:p>
    <w:p w:rsidR="006C6606" w:rsidP="0068422E" w:rsidRDefault="006C6606" w14:paraId="6FF010E8" w14:textId="77777777">
      <w:pPr>
        <w:pStyle w:val="Footer"/>
        <w:tabs>
          <w:tab w:val="clear" w:pos="4320"/>
          <w:tab w:val="clear" w:pos="8640"/>
        </w:tabs>
        <w:rPr>
          <w:rFonts w:ascii="Times New Roman" w:hAnsi="Times New Roman"/>
        </w:rPr>
      </w:pPr>
    </w:p>
    <w:p w:rsidR="006C6606" w:rsidP="0068422E" w:rsidRDefault="006C6606" w14:paraId="67C58AF7" w14:textId="77777777">
      <w:pPr>
        <w:pStyle w:val="Footer"/>
        <w:tabs>
          <w:tab w:val="clear" w:pos="4320"/>
          <w:tab w:val="clear" w:pos="8640"/>
        </w:tabs>
        <w:rPr>
          <w:rFonts w:ascii="Times New Roman" w:hAnsi="Times New Roman"/>
        </w:rPr>
      </w:pPr>
    </w:p>
    <w:p w:rsidR="006C6606" w:rsidP="0068422E" w:rsidRDefault="006C6606" w14:paraId="20711B25" w14:textId="77777777">
      <w:pPr>
        <w:pStyle w:val="Footer"/>
        <w:tabs>
          <w:tab w:val="clear" w:pos="4320"/>
          <w:tab w:val="clear" w:pos="8640"/>
        </w:tabs>
        <w:rPr>
          <w:rFonts w:ascii="Times New Roman" w:hAnsi="Times New Roman"/>
        </w:rPr>
      </w:pPr>
    </w:p>
    <w:p w:rsidR="00850A82" w:rsidP="0068422E" w:rsidRDefault="00850A82" w14:paraId="2E2B261F" w14:textId="77777777">
      <w:pPr>
        <w:pStyle w:val="Footer"/>
        <w:tabs>
          <w:tab w:val="clear" w:pos="4320"/>
          <w:tab w:val="clear" w:pos="8640"/>
        </w:tabs>
        <w:rPr>
          <w:rFonts w:ascii="Times New Roman" w:hAnsi="Times New Roman"/>
        </w:rPr>
      </w:pPr>
    </w:p>
    <w:p w:rsidR="00850A82" w:rsidP="0068422E" w:rsidRDefault="00850A82" w14:paraId="48623845" w14:textId="77777777">
      <w:pPr>
        <w:pStyle w:val="Footer"/>
        <w:tabs>
          <w:tab w:val="clear" w:pos="4320"/>
          <w:tab w:val="clear" w:pos="8640"/>
        </w:tabs>
        <w:rPr>
          <w:rFonts w:ascii="Times New Roman" w:hAnsi="Times New Roman"/>
        </w:rPr>
      </w:pPr>
    </w:p>
    <w:p w:rsidR="00850A82" w:rsidP="0068422E" w:rsidRDefault="00850A82" w14:paraId="7B159411" w14:textId="77777777">
      <w:pPr>
        <w:pStyle w:val="Footer"/>
        <w:tabs>
          <w:tab w:val="clear" w:pos="4320"/>
          <w:tab w:val="clear" w:pos="8640"/>
        </w:tabs>
        <w:rPr>
          <w:rFonts w:ascii="Times New Roman" w:hAnsi="Times New Roman"/>
        </w:rPr>
      </w:pPr>
    </w:p>
    <w:p w:rsidR="003347BB" w:rsidP="0068422E" w:rsidRDefault="003347BB" w14:paraId="05DE4AB0" w14:textId="77777777">
      <w:pPr>
        <w:pStyle w:val="Footer"/>
        <w:tabs>
          <w:tab w:val="clear" w:pos="4320"/>
          <w:tab w:val="clear" w:pos="8640"/>
        </w:tabs>
        <w:rPr>
          <w:rFonts w:ascii="Times New Roman" w:hAnsi="Times New Roman"/>
        </w:rPr>
      </w:pPr>
    </w:p>
    <w:p w:rsidR="006C6606" w:rsidP="0068422E" w:rsidRDefault="006C6606" w14:paraId="3BE3F4D0" w14:textId="77777777">
      <w:pPr>
        <w:pStyle w:val="Footer"/>
        <w:tabs>
          <w:tab w:val="clear" w:pos="4320"/>
          <w:tab w:val="clear" w:pos="8640"/>
        </w:tabs>
        <w:rPr>
          <w:rFonts w:ascii="Times New Roman" w:hAnsi="Times New Roman"/>
        </w:rPr>
      </w:pPr>
    </w:p>
    <w:p w:rsidR="006C6606" w:rsidP="0068422E" w:rsidRDefault="006C6606" w14:paraId="3333B637" w14:textId="77777777">
      <w:pPr>
        <w:pStyle w:val="Footer"/>
        <w:tabs>
          <w:tab w:val="clear" w:pos="4320"/>
          <w:tab w:val="clear" w:pos="8640"/>
        </w:tabs>
        <w:rPr>
          <w:rFonts w:ascii="Times New Roman" w:hAnsi="Times New Roman"/>
        </w:rPr>
      </w:pPr>
    </w:p>
    <w:p w:rsidR="004B4393" w:rsidP="0068422E" w:rsidRDefault="004B4393" w14:paraId="61E22FF9" w14:textId="77777777">
      <w:pPr>
        <w:pStyle w:val="Footer"/>
        <w:tabs>
          <w:tab w:val="clear" w:pos="4320"/>
          <w:tab w:val="clear" w:pos="8640"/>
        </w:tabs>
        <w:rPr>
          <w:rFonts w:ascii="Times New Roman" w:hAnsi="Times New Roman"/>
        </w:rPr>
      </w:pPr>
    </w:p>
    <w:p w:rsidR="008303E2" w:rsidP="0068422E" w:rsidRDefault="004B4393" w14:paraId="3D57550C" w14:textId="77777777">
      <w:pPr>
        <w:pStyle w:val="Footer"/>
        <w:tabs>
          <w:tab w:val="clear" w:pos="4320"/>
          <w:tab w:val="clear" w:pos="8640"/>
        </w:tabs>
        <w:rPr>
          <w:rFonts w:ascii="Times New Roman" w:hAnsi="Times New Roman"/>
        </w:rPr>
      </w:pPr>
      <w:r>
        <w:rPr>
          <w:rFonts w:ascii="Times New Roman" w:hAnsi="Times New Roman"/>
        </w:rPr>
        <w:t>Project Manager:</w:t>
      </w:r>
      <w:r w:rsidR="00E055C2">
        <w:rPr>
          <w:rFonts w:ascii="Times New Roman" w:hAnsi="Times New Roman"/>
        </w:rPr>
        <w:t xml:space="preserve"> </w:t>
      </w:r>
      <w:r w:rsidR="000E5361">
        <w:rPr>
          <w:rFonts w:ascii="Times New Roman" w:hAnsi="Times New Roman"/>
        </w:rPr>
        <w:t>Dawn B. Griffin</w:t>
      </w:r>
    </w:p>
    <w:p w:rsidR="00124AF5" w:rsidP="0068422E" w:rsidRDefault="000E5361" w14:paraId="5A669549" w14:textId="77777777">
      <w:pPr>
        <w:pStyle w:val="Footer"/>
        <w:tabs>
          <w:tab w:val="clear" w:pos="4320"/>
          <w:tab w:val="clear" w:pos="8640"/>
        </w:tabs>
        <w:rPr>
          <w:rFonts w:ascii="Times New Roman" w:hAnsi="Times New Roman"/>
        </w:rPr>
      </w:pPr>
      <w:r>
        <w:rPr>
          <w:rFonts w:ascii="Times New Roman" w:hAnsi="Times New Roman"/>
        </w:rPr>
        <w:t>Health Communication Specialist</w:t>
      </w:r>
    </w:p>
    <w:p w:rsidR="006C6606" w:rsidP="0068422E" w:rsidRDefault="006C6606" w14:paraId="2C79E8E3" w14:textId="77777777">
      <w:pPr>
        <w:pStyle w:val="Footer"/>
        <w:tabs>
          <w:tab w:val="clear" w:pos="4320"/>
          <w:tab w:val="clear" w:pos="8640"/>
        </w:tabs>
        <w:rPr>
          <w:rFonts w:ascii="Times New Roman" w:hAnsi="Times New Roman"/>
        </w:rPr>
      </w:pPr>
      <w:r>
        <w:rPr>
          <w:rFonts w:ascii="Times New Roman" w:hAnsi="Times New Roman"/>
        </w:rPr>
        <w:t>Office of the Associate Director for Communication</w:t>
      </w:r>
      <w:r w:rsidR="00384EB0">
        <w:rPr>
          <w:rFonts w:ascii="Times New Roman" w:hAnsi="Times New Roman"/>
        </w:rPr>
        <w:t xml:space="preserve"> (OADC)</w:t>
      </w:r>
    </w:p>
    <w:p w:rsidR="004B4393" w:rsidP="0068422E" w:rsidRDefault="00850A82" w14:paraId="5BE81E5C" w14:textId="77777777">
      <w:pPr>
        <w:pStyle w:val="Footer"/>
        <w:tabs>
          <w:tab w:val="clear" w:pos="4320"/>
          <w:tab w:val="clear" w:pos="8640"/>
        </w:tabs>
        <w:rPr>
          <w:rFonts w:ascii="Times New Roman" w:hAnsi="Times New Roman"/>
        </w:rPr>
      </w:pPr>
      <w:r>
        <w:rPr>
          <w:rFonts w:ascii="Times New Roman" w:hAnsi="Times New Roman"/>
        </w:rPr>
        <w:t>Phone</w:t>
      </w:r>
      <w:r w:rsidRPr="00AC513B">
        <w:rPr>
          <w:rFonts w:ascii="Times New Roman" w:hAnsi="Times New Roman"/>
        </w:rPr>
        <w:t xml:space="preserve">:  (404) </w:t>
      </w:r>
      <w:r w:rsidR="00E055C2">
        <w:rPr>
          <w:rFonts w:ascii="Times New Roman" w:hAnsi="Times New Roman"/>
        </w:rPr>
        <w:t>498-</w:t>
      </w:r>
      <w:r w:rsidR="000E5361">
        <w:rPr>
          <w:rFonts w:ascii="Times New Roman" w:hAnsi="Times New Roman"/>
        </w:rPr>
        <w:t>0129</w:t>
      </w:r>
    </w:p>
    <w:p w:rsidR="004B4393" w:rsidP="0068422E" w:rsidRDefault="004B4393" w14:paraId="72E19DB7" w14:textId="77777777">
      <w:pPr>
        <w:pStyle w:val="Footer"/>
        <w:tabs>
          <w:tab w:val="clear" w:pos="4320"/>
          <w:tab w:val="clear" w:pos="8640"/>
        </w:tabs>
        <w:rPr>
          <w:rFonts w:ascii="Times New Roman" w:hAnsi="Times New Roman"/>
        </w:rPr>
      </w:pPr>
      <w:r>
        <w:rPr>
          <w:rFonts w:ascii="Times New Roman" w:hAnsi="Times New Roman"/>
        </w:rPr>
        <w:t>Fax:</w:t>
      </w:r>
      <w:r w:rsidRPr="009D59B1">
        <w:rPr>
          <w:rFonts w:ascii="Times New Roman" w:hAnsi="Times New Roman"/>
        </w:rPr>
        <w:tab/>
        <w:t xml:space="preserve"> (404) </w:t>
      </w:r>
      <w:r w:rsidR="00E055C2">
        <w:rPr>
          <w:rFonts w:ascii="Times New Roman" w:hAnsi="Times New Roman"/>
        </w:rPr>
        <w:t>498-2221</w:t>
      </w:r>
    </w:p>
    <w:p w:rsidR="004B4393" w:rsidP="0068422E" w:rsidRDefault="004B4393" w14:paraId="546C5DB4" w14:textId="77777777">
      <w:pPr>
        <w:pStyle w:val="Footer"/>
        <w:tabs>
          <w:tab w:val="clear" w:pos="4320"/>
          <w:tab w:val="clear" w:pos="8640"/>
        </w:tabs>
        <w:rPr>
          <w:rFonts w:ascii="Times New Roman" w:hAnsi="Times New Roman"/>
        </w:rPr>
      </w:pPr>
      <w:r>
        <w:rPr>
          <w:rFonts w:ascii="Times New Roman" w:hAnsi="Times New Roman"/>
        </w:rPr>
        <w:t>Email address:</w:t>
      </w:r>
      <w:r w:rsidRPr="00AC513B">
        <w:rPr>
          <w:rFonts w:ascii="Times New Roman" w:hAnsi="Times New Roman"/>
        </w:rPr>
        <w:tab/>
        <w:t xml:space="preserve">   </w:t>
      </w:r>
      <w:r w:rsidR="000E5361">
        <w:rPr>
          <w:rFonts w:ascii="Times New Roman" w:hAnsi="Times New Roman"/>
        </w:rPr>
        <w:t>fqv3</w:t>
      </w:r>
      <w:r w:rsidR="00E055C2">
        <w:rPr>
          <w:rFonts w:ascii="Times New Roman" w:hAnsi="Times New Roman"/>
        </w:rPr>
        <w:t>@cdc.gov</w:t>
      </w:r>
    </w:p>
    <w:p w:rsidR="004B4393" w:rsidP="0068422E" w:rsidRDefault="004B4393" w14:paraId="5C53B5B4" w14:textId="77777777">
      <w:pPr>
        <w:rPr>
          <w:rFonts w:ascii="Times New Roman" w:hAnsi="Times New Roman"/>
        </w:rPr>
      </w:pPr>
      <w:r>
        <w:rPr>
          <w:rFonts w:ascii="Times New Roman" w:hAnsi="Times New Roman"/>
        </w:rPr>
        <w:t>Centers for Disease Control and Prevention</w:t>
      </w:r>
    </w:p>
    <w:p w:rsidR="00DE3927" w:rsidP="0068422E" w:rsidRDefault="00E055C2" w14:paraId="126EA923" w14:textId="77777777">
      <w:pPr>
        <w:rPr>
          <w:rFonts w:ascii="Times New Roman" w:hAnsi="Times New Roman"/>
        </w:rPr>
      </w:pPr>
      <w:r>
        <w:rPr>
          <w:rFonts w:ascii="Times New Roman" w:hAnsi="Times New Roman"/>
        </w:rPr>
        <w:t xml:space="preserve">2500 </w:t>
      </w:r>
      <w:r w:rsidR="00DE3927">
        <w:rPr>
          <w:rFonts w:ascii="Times New Roman" w:hAnsi="Times New Roman"/>
        </w:rPr>
        <w:t>Century Blvd.</w:t>
      </w:r>
    </w:p>
    <w:p w:rsidR="004B4393" w:rsidP="0068422E" w:rsidRDefault="004B4393" w14:paraId="3A5B6906" w14:textId="77777777">
      <w:pPr>
        <w:rPr>
          <w:rFonts w:ascii="Times New Roman" w:hAnsi="Times New Roman"/>
        </w:rPr>
      </w:pPr>
      <w:r>
        <w:rPr>
          <w:rFonts w:ascii="Times New Roman" w:hAnsi="Times New Roman"/>
        </w:rPr>
        <w:t>Atlanta GA  303</w:t>
      </w:r>
      <w:r w:rsidR="00DE3927">
        <w:rPr>
          <w:rFonts w:ascii="Times New Roman" w:hAnsi="Times New Roman"/>
        </w:rPr>
        <w:t>45</w:t>
      </w:r>
    </w:p>
    <w:p w:rsidR="00850A82" w:rsidP="0068422E" w:rsidRDefault="00850A82" w14:paraId="5FD8E5B1" w14:textId="77777777">
      <w:pPr>
        <w:rPr>
          <w:rFonts w:ascii="Times New Roman" w:hAnsi="Times New Roman"/>
        </w:rPr>
      </w:pPr>
    </w:p>
    <w:p w:rsidR="00850A82" w:rsidP="0068422E" w:rsidRDefault="00AF0CB1" w14:paraId="1EF0A154" w14:textId="3163E527">
      <w:pPr>
        <w:rPr>
          <w:rFonts w:ascii="Times New Roman" w:hAnsi="Times New Roman"/>
        </w:rPr>
      </w:pPr>
      <w:r>
        <w:rPr>
          <w:rFonts w:ascii="Times New Roman" w:hAnsi="Times New Roman"/>
        </w:rPr>
        <w:t>M</w:t>
      </w:r>
      <w:r w:rsidR="008335D7">
        <w:rPr>
          <w:rFonts w:ascii="Times New Roman" w:hAnsi="Times New Roman"/>
        </w:rPr>
        <w:t>ay 10</w:t>
      </w:r>
      <w:r>
        <w:rPr>
          <w:rFonts w:ascii="Times New Roman" w:hAnsi="Times New Roman"/>
        </w:rPr>
        <w:t>, 2021</w:t>
      </w:r>
    </w:p>
    <w:p w:rsidR="006C6606" w:rsidP="0068422E" w:rsidRDefault="006C6606" w14:paraId="1069C7D2" w14:textId="77777777">
      <w:pPr>
        <w:rPr>
          <w:rFonts w:ascii="Times New Roman" w:hAnsi="Times New Roman"/>
        </w:rPr>
      </w:pPr>
    </w:p>
    <w:p w:rsidR="006C6606" w:rsidP="0068422E" w:rsidRDefault="006C6606" w14:paraId="45236E86" w14:textId="77777777">
      <w:pPr>
        <w:rPr>
          <w:rFonts w:ascii="Times New Roman" w:hAnsi="Times New Roman"/>
        </w:rPr>
      </w:pPr>
    </w:p>
    <w:p w:rsidR="00850A82" w:rsidP="0068422E" w:rsidRDefault="00C5338D" w14:paraId="7B53DD19" w14:textId="77777777">
      <w:pPr>
        <w:rPr>
          <w:rFonts w:ascii="Times New Roman" w:hAnsi="Times New Roman"/>
        </w:rPr>
      </w:pPr>
      <w:r>
        <w:rPr>
          <w:rFonts w:ascii="Times New Roman" w:hAnsi="Times New Roman"/>
        </w:rPr>
        <w:br w:type="page"/>
      </w:r>
    </w:p>
    <w:p w:rsidR="008303E2" w:rsidP="0068422E" w:rsidRDefault="008303E2" w14:paraId="5B5600CA" w14:textId="77777777">
      <w:pPr>
        <w:rPr>
          <w:rFonts w:ascii="Times New Roman" w:hAnsi="Times New Roman"/>
        </w:rPr>
      </w:pPr>
    </w:p>
    <w:p w:rsidR="004B4393" w:rsidP="0068422E" w:rsidRDefault="004B4393" w14:paraId="0D693734" w14:textId="77777777">
      <w:pPr>
        <w:rPr>
          <w:rFonts w:ascii="Times New Roman" w:hAnsi="Times New Roman"/>
        </w:rPr>
      </w:pPr>
    </w:p>
    <w:p w:rsidRPr="00A24EEC" w:rsidR="004B4393" w:rsidP="00194CAB" w:rsidRDefault="004B4393" w14:paraId="187775FF" w14:textId="77777777">
      <w:pPr>
        <w:ind w:firstLine="720"/>
        <w:jc w:val="center"/>
        <w:rPr>
          <w:rFonts w:ascii="Times New Roman" w:hAnsi="Times New Roman"/>
          <w:sz w:val="26"/>
          <w:szCs w:val="26"/>
        </w:rPr>
      </w:pPr>
      <w:r w:rsidRPr="00A24EEC">
        <w:rPr>
          <w:rFonts w:ascii="Times New Roman" w:hAnsi="Times New Roman"/>
          <w:b/>
          <w:sz w:val="26"/>
          <w:szCs w:val="26"/>
        </w:rPr>
        <w:t>Table of Contents</w:t>
      </w:r>
    </w:p>
    <w:p w:rsidR="004B4393" w:rsidP="0068422E" w:rsidRDefault="004B4393" w14:paraId="39F682A4" w14:textId="77777777">
      <w:pPr>
        <w:tabs>
          <w:tab w:val="left" w:pos="0"/>
          <w:tab w:val="left" w:pos="8640"/>
          <w:tab w:val="left" w:pos="9360"/>
        </w:tabs>
        <w:spacing w:line="240" w:lineRule="exact"/>
        <w:rPr>
          <w:rFonts w:ascii="Times New Roman" w:hAnsi="Times New Roman"/>
        </w:rPr>
      </w:pPr>
      <w:r>
        <w:rPr>
          <w:rFonts w:ascii="Times New Roman" w:hAnsi="Times New Roman"/>
        </w:rPr>
        <w:t xml:space="preserve">        </w:t>
      </w:r>
    </w:p>
    <w:p w:rsidR="005C2A9F" w:rsidP="0068422E" w:rsidRDefault="004B4393" w14:paraId="40FEA099" w14:textId="77777777">
      <w:pPr>
        <w:tabs>
          <w:tab w:val="left" w:pos="0"/>
          <w:tab w:val="left" w:pos="8640"/>
          <w:tab w:val="left" w:pos="9360"/>
        </w:tabs>
        <w:spacing w:line="240" w:lineRule="exact"/>
        <w:rPr>
          <w:rFonts w:ascii="Times New Roman" w:hAnsi="Times New Roman"/>
          <w:b/>
        </w:rPr>
      </w:pPr>
      <w:r>
        <w:rPr>
          <w:rFonts w:ascii="Times New Roman" w:hAnsi="Times New Roman"/>
        </w:rPr>
        <w:t xml:space="preserve">        </w:t>
      </w:r>
      <w:r>
        <w:rPr>
          <w:rFonts w:ascii="Times New Roman" w:hAnsi="Times New Roman"/>
          <w:b/>
        </w:rPr>
        <w:t>Section</w:t>
      </w:r>
    </w:p>
    <w:p w:rsidR="004B4393" w:rsidP="0068422E" w:rsidRDefault="005C2A9F" w14:paraId="0363F151" w14:textId="77777777">
      <w:pPr>
        <w:tabs>
          <w:tab w:val="left" w:pos="0"/>
          <w:tab w:val="left" w:pos="8640"/>
          <w:tab w:val="left" w:pos="9360"/>
        </w:tabs>
        <w:spacing w:line="240" w:lineRule="exact"/>
        <w:rPr>
          <w:rFonts w:ascii="Times New Roman" w:hAnsi="Times New Roman"/>
          <w:b/>
        </w:rPr>
      </w:pPr>
      <w:r>
        <w:rPr>
          <w:rFonts w:ascii="Times New Roman" w:hAnsi="Times New Roman"/>
          <w:b/>
        </w:rPr>
        <w:tab/>
      </w:r>
      <w:r w:rsidR="004B4393">
        <w:rPr>
          <w:rFonts w:ascii="Times New Roman" w:hAnsi="Times New Roman"/>
          <w:b/>
        </w:rPr>
        <w:t>Page</w:t>
      </w:r>
    </w:p>
    <w:p w:rsidR="004B4393" w:rsidP="0068422E" w:rsidRDefault="004B4393" w14:paraId="2C2D5AD6" w14:textId="77777777">
      <w:pPr>
        <w:tabs>
          <w:tab w:val="left" w:pos="0"/>
          <w:tab w:val="left" w:pos="8640"/>
          <w:tab w:val="left" w:pos="9360"/>
        </w:tabs>
        <w:spacing w:line="240" w:lineRule="exact"/>
        <w:rPr>
          <w:rFonts w:ascii="Times New Roman" w:hAnsi="Times New Roman"/>
        </w:rPr>
      </w:pPr>
      <w:r>
        <w:rPr>
          <w:rFonts w:ascii="Times New Roman" w:hAnsi="Times New Roman"/>
          <w:b/>
        </w:rPr>
        <w:t xml:space="preserve">        </w:t>
      </w:r>
    </w:p>
    <w:p w:rsidRPr="002D5826" w:rsidR="004B4393" w:rsidP="0068422E" w:rsidRDefault="004B4393" w14:paraId="6302963D" w14:textId="77777777">
      <w:pPr>
        <w:tabs>
          <w:tab w:val="left" w:pos="0"/>
          <w:tab w:val="left" w:pos="288"/>
          <w:tab w:val="left" w:pos="1170"/>
          <w:tab w:val="right" w:leader="dot" w:pos="8208"/>
          <w:tab w:val="left" w:pos="8640"/>
          <w:tab w:val="left" w:pos="9360"/>
        </w:tabs>
        <w:spacing w:line="240" w:lineRule="exact"/>
        <w:ind w:left="288" w:firstLine="882"/>
        <w:rPr>
          <w:rFonts w:ascii="Times New Roman" w:hAnsi="Times New Roman"/>
          <w:sz w:val="22"/>
          <w:szCs w:val="22"/>
        </w:rPr>
      </w:pPr>
      <w:r w:rsidRPr="00A24EEC">
        <w:rPr>
          <w:rFonts w:ascii="Times New Roman" w:hAnsi="Times New Roman"/>
          <w:szCs w:val="24"/>
        </w:rPr>
        <w:t>A.</w:t>
      </w:r>
      <w:r w:rsidRPr="002D5826">
        <w:rPr>
          <w:rFonts w:ascii="Times New Roman" w:hAnsi="Times New Roman"/>
          <w:sz w:val="22"/>
          <w:szCs w:val="22"/>
        </w:rPr>
        <w:t xml:space="preserve">  </w:t>
      </w:r>
      <w:r w:rsidRPr="00A24EEC">
        <w:rPr>
          <w:rFonts w:ascii="Times New Roman" w:hAnsi="Times New Roman"/>
          <w:szCs w:val="24"/>
        </w:rPr>
        <w:t>Justification</w:t>
      </w:r>
      <w:r w:rsidRPr="002D5826">
        <w:rPr>
          <w:rFonts w:ascii="Times New Roman" w:hAnsi="Times New Roman"/>
          <w:sz w:val="22"/>
          <w:szCs w:val="22"/>
        </w:rPr>
        <w:tab/>
      </w:r>
      <w:r w:rsidRPr="002D5826">
        <w:rPr>
          <w:rFonts w:ascii="Times New Roman" w:hAnsi="Times New Roman"/>
          <w:sz w:val="22"/>
          <w:szCs w:val="22"/>
        </w:rPr>
        <w:tab/>
        <w:t>3</w:t>
      </w:r>
    </w:p>
    <w:p w:rsidRPr="002D5826" w:rsidR="004B4393" w:rsidP="0068422E" w:rsidRDefault="004B4393" w14:paraId="754A7B79"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p>
    <w:p w:rsidRPr="002D5826" w:rsidR="004B4393" w:rsidP="0068422E" w:rsidRDefault="004B4393" w14:paraId="456FBE94"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w:t>
      </w:r>
      <w:r w:rsidRPr="002D5826">
        <w:rPr>
          <w:rFonts w:ascii="Times New Roman" w:hAnsi="Times New Roman"/>
          <w:sz w:val="22"/>
          <w:szCs w:val="22"/>
        </w:rPr>
        <w:tab/>
        <w:t>Circumstances Making the Collection of Information Necessary</w:t>
      </w:r>
      <w:r w:rsidRPr="002D5826">
        <w:rPr>
          <w:rFonts w:ascii="Times New Roman" w:hAnsi="Times New Roman"/>
          <w:sz w:val="22"/>
          <w:szCs w:val="22"/>
        </w:rPr>
        <w:tab/>
      </w:r>
      <w:r>
        <w:rPr>
          <w:rFonts w:ascii="Times New Roman" w:hAnsi="Times New Roman"/>
          <w:sz w:val="22"/>
          <w:szCs w:val="22"/>
        </w:rPr>
        <w:tab/>
      </w:r>
      <w:r w:rsidRPr="002D5826">
        <w:rPr>
          <w:rFonts w:ascii="Times New Roman" w:hAnsi="Times New Roman"/>
          <w:sz w:val="22"/>
          <w:szCs w:val="22"/>
        </w:rPr>
        <w:t>3</w:t>
      </w:r>
    </w:p>
    <w:p w:rsidRPr="002D5826" w:rsidR="004B4393" w:rsidP="0068422E" w:rsidRDefault="004B4393" w14:paraId="6AEF03B6"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A.2.</w:t>
      </w:r>
      <w:r w:rsidRPr="002D5826">
        <w:rPr>
          <w:rFonts w:ascii="Times New Roman" w:hAnsi="Times New Roman"/>
          <w:sz w:val="22"/>
          <w:szCs w:val="22"/>
        </w:rPr>
        <w:tab/>
        <w:t>Purpose</w:t>
      </w:r>
      <w:r>
        <w:rPr>
          <w:rFonts w:ascii="Times New Roman" w:hAnsi="Times New Roman"/>
          <w:sz w:val="22"/>
          <w:szCs w:val="22"/>
        </w:rPr>
        <w:t>s</w:t>
      </w:r>
      <w:r w:rsidRPr="002D5826">
        <w:rPr>
          <w:rFonts w:ascii="Times New Roman" w:hAnsi="Times New Roman"/>
          <w:sz w:val="22"/>
          <w:szCs w:val="22"/>
        </w:rPr>
        <w:t xml:space="preserve"> and Use of Infor</w:t>
      </w:r>
      <w:r>
        <w:rPr>
          <w:rFonts w:ascii="Times New Roman" w:hAnsi="Times New Roman"/>
          <w:sz w:val="22"/>
          <w:szCs w:val="22"/>
        </w:rPr>
        <w:t>mation Collection</w:t>
      </w:r>
      <w:r>
        <w:rPr>
          <w:rFonts w:ascii="Times New Roman" w:hAnsi="Times New Roman"/>
          <w:sz w:val="22"/>
          <w:szCs w:val="22"/>
        </w:rPr>
        <w:tab/>
      </w:r>
      <w:r>
        <w:rPr>
          <w:rFonts w:ascii="Times New Roman" w:hAnsi="Times New Roman"/>
          <w:sz w:val="22"/>
          <w:szCs w:val="22"/>
        </w:rPr>
        <w:tab/>
      </w:r>
      <w:r w:rsidR="009C0EC6">
        <w:rPr>
          <w:rFonts w:ascii="Times New Roman" w:hAnsi="Times New Roman"/>
          <w:sz w:val="22"/>
          <w:szCs w:val="22"/>
        </w:rPr>
        <w:t>5</w:t>
      </w:r>
    </w:p>
    <w:p w:rsidRPr="002D5826" w:rsidR="004B4393" w:rsidP="0068422E" w:rsidRDefault="004B4393" w14:paraId="6E6E560D"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A.3.</w:t>
      </w:r>
      <w:r w:rsidRPr="002D5826">
        <w:rPr>
          <w:rFonts w:ascii="Times New Roman" w:hAnsi="Times New Roman"/>
          <w:sz w:val="22"/>
          <w:szCs w:val="22"/>
        </w:rPr>
        <w:tab/>
        <w:t>Use of Improved Information Technology</w:t>
      </w:r>
      <w:r>
        <w:rPr>
          <w:rFonts w:ascii="Times New Roman" w:hAnsi="Times New Roman"/>
          <w:sz w:val="22"/>
          <w:szCs w:val="22"/>
        </w:rPr>
        <w:t xml:space="preserve"> and Burden Reduction</w:t>
      </w:r>
      <w:r w:rsidRPr="002D5826">
        <w:rPr>
          <w:rFonts w:ascii="Times New Roman" w:hAnsi="Times New Roman"/>
          <w:sz w:val="22"/>
          <w:szCs w:val="22"/>
        </w:rPr>
        <w:tab/>
      </w:r>
      <w:r w:rsidRPr="002D5826">
        <w:rPr>
          <w:rFonts w:ascii="Times New Roman" w:hAnsi="Times New Roman"/>
          <w:sz w:val="22"/>
          <w:szCs w:val="22"/>
        </w:rPr>
        <w:tab/>
      </w:r>
      <w:r w:rsidR="009C0EC6">
        <w:rPr>
          <w:rFonts w:ascii="Times New Roman" w:hAnsi="Times New Roman"/>
          <w:sz w:val="22"/>
          <w:szCs w:val="22"/>
        </w:rPr>
        <w:t>5</w:t>
      </w:r>
    </w:p>
    <w:p w:rsidRPr="002D5826" w:rsidR="004B4393" w:rsidP="0068422E" w:rsidRDefault="004B4393" w14:paraId="19E81128"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A.4.</w:t>
      </w:r>
      <w:r w:rsidRPr="002D5826">
        <w:rPr>
          <w:rFonts w:ascii="Times New Roman" w:hAnsi="Times New Roman"/>
          <w:sz w:val="22"/>
          <w:szCs w:val="22"/>
        </w:rPr>
        <w:tab/>
        <w:t>Efforts to Identify Duplication</w:t>
      </w:r>
      <w:r>
        <w:rPr>
          <w:rFonts w:ascii="Times New Roman" w:hAnsi="Times New Roman"/>
          <w:sz w:val="22"/>
          <w:szCs w:val="22"/>
        </w:rPr>
        <w:t xml:space="preserve"> and Use of Similar Information</w:t>
      </w:r>
      <w:r w:rsidRPr="002D5826">
        <w:rPr>
          <w:rFonts w:ascii="Times New Roman" w:hAnsi="Times New Roman"/>
          <w:sz w:val="22"/>
          <w:szCs w:val="22"/>
        </w:rPr>
        <w:tab/>
      </w:r>
      <w:r w:rsidRPr="002D5826">
        <w:rPr>
          <w:rFonts w:ascii="Times New Roman" w:hAnsi="Times New Roman"/>
          <w:sz w:val="22"/>
          <w:szCs w:val="22"/>
        </w:rPr>
        <w:tab/>
      </w:r>
      <w:r w:rsidR="009C0EC6">
        <w:rPr>
          <w:rFonts w:ascii="Times New Roman" w:hAnsi="Times New Roman"/>
          <w:sz w:val="22"/>
          <w:szCs w:val="22"/>
        </w:rPr>
        <w:t>7</w:t>
      </w:r>
    </w:p>
    <w:p w:rsidRPr="002D5826" w:rsidR="004B4393" w:rsidP="0068422E" w:rsidRDefault="004B4393" w14:paraId="76E6FCAD"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A.5.</w:t>
      </w:r>
      <w:r w:rsidRPr="002D5826">
        <w:rPr>
          <w:rFonts w:ascii="Times New Roman" w:hAnsi="Times New Roman"/>
          <w:sz w:val="22"/>
          <w:szCs w:val="22"/>
        </w:rPr>
        <w:tab/>
        <w:t>Impact on Small Businesses or Other Small Entities</w:t>
      </w:r>
      <w:r w:rsidRPr="002D5826">
        <w:rPr>
          <w:rFonts w:ascii="Times New Roman" w:hAnsi="Times New Roman"/>
          <w:sz w:val="22"/>
          <w:szCs w:val="22"/>
        </w:rPr>
        <w:tab/>
      </w:r>
      <w:r w:rsidRPr="002D5826">
        <w:rPr>
          <w:rFonts w:ascii="Times New Roman" w:hAnsi="Times New Roman"/>
          <w:sz w:val="22"/>
          <w:szCs w:val="22"/>
        </w:rPr>
        <w:tab/>
      </w:r>
      <w:r w:rsidR="00413A66">
        <w:rPr>
          <w:rFonts w:ascii="Times New Roman" w:hAnsi="Times New Roman"/>
          <w:sz w:val="22"/>
          <w:szCs w:val="22"/>
        </w:rPr>
        <w:t>7</w:t>
      </w:r>
    </w:p>
    <w:p w:rsidRPr="002D5826" w:rsidR="004B4393" w:rsidP="0068422E" w:rsidRDefault="004B4393" w14:paraId="16786E30"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A.6.</w:t>
      </w:r>
      <w:r w:rsidRPr="002D5826">
        <w:rPr>
          <w:rFonts w:ascii="Times New Roman" w:hAnsi="Times New Roman"/>
          <w:sz w:val="22"/>
          <w:szCs w:val="22"/>
        </w:rPr>
        <w:tab/>
        <w:t>Consequences of Collecting th</w:t>
      </w:r>
      <w:r>
        <w:rPr>
          <w:rFonts w:ascii="Times New Roman" w:hAnsi="Times New Roman"/>
          <w:sz w:val="22"/>
          <w:szCs w:val="22"/>
        </w:rPr>
        <w:t>e Information Less Frequently</w:t>
      </w:r>
      <w:r>
        <w:rPr>
          <w:rFonts w:ascii="Times New Roman" w:hAnsi="Times New Roman"/>
          <w:sz w:val="22"/>
          <w:szCs w:val="22"/>
        </w:rPr>
        <w:tab/>
      </w:r>
      <w:r>
        <w:rPr>
          <w:rFonts w:ascii="Times New Roman" w:hAnsi="Times New Roman"/>
          <w:sz w:val="22"/>
          <w:szCs w:val="22"/>
        </w:rPr>
        <w:tab/>
      </w:r>
      <w:r w:rsidR="009C0EC6">
        <w:rPr>
          <w:rFonts w:ascii="Times New Roman" w:hAnsi="Times New Roman"/>
          <w:sz w:val="22"/>
          <w:szCs w:val="22"/>
        </w:rPr>
        <w:t>8</w:t>
      </w:r>
    </w:p>
    <w:p w:rsidRPr="002D5826" w:rsidR="004B4393" w:rsidP="0068422E" w:rsidRDefault="004B4393" w14:paraId="2527EC4C"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Pr>
          <w:rFonts w:ascii="Times New Roman" w:hAnsi="Times New Roman"/>
          <w:sz w:val="22"/>
          <w:szCs w:val="22"/>
        </w:rPr>
        <w:t>A.7.</w:t>
      </w:r>
      <w:r>
        <w:rPr>
          <w:rFonts w:ascii="Times New Roman" w:hAnsi="Times New Roman"/>
          <w:sz w:val="22"/>
          <w:szCs w:val="22"/>
        </w:rPr>
        <w:tab/>
        <w:t>Special Circumstances</w:t>
      </w:r>
      <w:r>
        <w:rPr>
          <w:rFonts w:ascii="Times New Roman" w:hAnsi="Times New Roman"/>
          <w:sz w:val="22"/>
          <w:szCs w:val="22"/>
        </w:rPr>
        <w:tab/>
      </w:r>
      <w:r>
        <w:rPr>
          <w:rFonts w:ascii="Times New Roman" w:hAnsi="Times New Roman"/>
          <w:sz w:val="22"/>
          <w:szCs w:val="22"/>
        </w:rPr>
        <w:tab/>
      </w:r>
      <w:r w:rsidR="009C0EC6">
        <w:rPr>
          <w:rFonts w:ascii="Times New Roman" w:hAnsi="Times New Roman"/>
          <w:sz w:val="22"/>
          <w:szCs w:val="22"/>
        </w:rPr>
        <w:t>8</w:t>
      </w:r>
    </w:p>
    <w:p w:rsidR="004B4393" w:rsidP="0068422E" w:rsidRDefault="004B4393" w14:paraId="07A0F6AE"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A.8.</w:t>
      </w:r>
      <w:r w:rsidRPr="002D5826">
        <w:rPr>
          <w:rFonts w:ascii="Times New Roman" w:hAnsi="Times New Roman"/>
          <w:sz w:val="22"/>
          <w:szCs w:val="22"/>
        </w:rPr>
        <w:tab/>
        <w:t>Comments in Response to th</w:t>
      </w:r>
      <w:r>
        <w:rPr>
          <w:rFonts w:ascii="Times New Roman" w:hAnsi="Times New Roman"/>
          <w:sz w:val="22"/>
          <w:szCs w:val="22"/>
        </w:rPr>
        <w:t xml:space="preserve">e FR Notice and Consultation </w:t>
      </w:r>
      <w:r>
        <w:rPr>
          <w:rFonts w:ascii="Times New Roman" w:hAnsi="Times New Roman"/>
          <w:sz w:val="22"/>
          <w:szCs w:val="22"/>
        </w:rPr>
        <w:tab/>
      </w:r>
      <w:r>
        <w:rPr>
          <w:rFonts w:ascii="Times New Roman" w:hAnsi="Times New Roman"/>
          <w:sz w:val="22"/>
          <w:szCs w:val="22"/>
        </w:rPr>
        <w:tab/>
      </w:r>
      <w:r w:rsidR="009C0EC6">
        <w:rPr>
          <w:rFonts w:ascii="Times New Roman" w:hAnsi="Times New Roman"/>
          <w:sz w:val="22"/>
          <w:szCs w:val="22"/>
        </w:rPr>
        <w:t>8</w:t>
      </w:r>
    </w:p>
    <w:p w:rsidR="004B4393" w:rsidP="0068422E" w:rsidRDefault="004B4393" w14:paraId="4524273C"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Pr>
          <w:rFonts w:ascii="Times New Roman" w:hAnsi="Times New Roman"/>
          <w:sz w:val="22"/>
          <w:szCs w:val="22"/>
        </w:rPr>
        <w:t>A.8.a.</w:t>
      </w:r>
      <w:r>
        <w:rPr>
          <w:rFonts w:ascii="Times New Roman" w:hAnsi="Times New Roman"/>
          <w:sz w:val="22"/>
          <w:szCs w:val="22"/>
        </w:rPr>
        <w:tab/>
        <w:t>Federal Register Notice</w:t>
      </w:r>
      <w:r>
        <w:rPr>
          <w:rFonts w:ascii="Times New Roman" w:hAnsi="Times New Roman"/>
          <w:sz w:val="22"/>
          <w:szCs w:val="22"/>
        </w:rPr>
        <w:tab/>
      </w:r>
      <w:r>
        <w:rPr>
          <w:rFonts w:ascii="Times New Roman" w:hAnsi="Times New Roman"/>
          <w:sz w:val="22"/>
          <w:szCs w:val="22"/>
        </w:rPr>
        <w:tab/>
      </w:r>
      <w:r w:rsidR="009C0EC6">
        <w:rPr>
          <w:rFonts w:ascii="Times New Roman" w:hAnsi="Times New Roman"/>
          <w:sz w:val="22"/>
          <w:szCs w:val="22"/>
        </w:rPr>
        <w:t>8</w:t>
      </w:r>
    </w:p>
    <w:p w:rsidRPr="002D5826" w:rsidR="004B4393" w:rsidP="0068422E" w:rsidRDefault="00FF540D" w14:paraId="17020137"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Pr>
          <w:rFonts w:ascii="Times New Roman" w:hAnsi="Times New Roman"/>
          <w:sz w:val="22"/>
          <w:szCs w:val="22"/>
        </w:rPr>
        <w:t>A.8.b</w:t>
      </w:r>
      <w:r>
        <w:rPr>
          <w:rFonts w:ascii="Times New Roman" w:hAnsi="Times New Roman"/>
          <w:sz w:val="22"/>
          <w:szCs w:val="22"/>
        </w:rPr>
        <w:tab/>
        <w:t>Outside Consultation</w:t>
      </w:r>
      <w:r>
        <w:rPr>
          <w:rFonts w:ascii="Times New Roman" w:hAnsi="Times New Roman"/>
          <w:sz w:val="22"/>
          <w:szCs w:val="22"/>
        </w:rPr>
        <w:tab/>
      </w:r>
      <w:r>
        <w:rPr>
          <w:rFonts w:ascii="Times New Roman" w:hAnsi="Times New Roman"/>
          <w:sz w:val="22"/>
          <w:szCs w:val="22"/>
        </w:rPr>
        <w:tab/>
      </w:r>
      <w:r w:rsidR="009C0EC6">
        <w:rPr>
          <w:rFonts w:ascii="Times New Roman" w:hAnsi="Times New Roman"/>
          <w:sz w:val="22"/>
          <w:szCs w:val="22"/>
        </w:rPr>
        <w:t>8</w:t>
      </w:r>
    </w:p>
    <w:p w:rsidRPr="002D5826" w:rsidR="004B4393" w:rsidP="0068422E" w:rsidRDefault="004B4393" w14:paraId="42F55B58"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A.9.</w:t>
      </w:r>
      <w:r w:rsidRPr="002D5826">
        <w:rPr>
          <w:rFonts w:ascii="Times New Roman" w:hAnsi="Times New Roman"/>
          <w:sz w:val="22"/>
          <w:szCs w:val="22"/>
        </w:rPr>
        <w:tab/>
        <w:t>Explanation of Any P</w:t>
      </w:r>
      <w:r w:rsidR="009C0EC6">
        <w:rPr>
          <w:rFonts w:ascii="Times New Roman" w:hAnsi="Times New Roman"/>
          <w:sz w:val="22"/>
          <w:szCs w:val="22"/>
        </w:rPr>
        <w:t>ayment or Gift to Respondents</w:t>
      </w:r>
      <w:r w:rsidR="009C0EC6">
        <w:rPr>
          <w:rFonts w:ascii="Times New Roman" w:hAnsi="Times New Roman"/>
          <w:sz w:val="22"/>
          <w:szCs w:val="22"/>
        </w:rPr>
        <w:tab/>
      </w:r>
      <w:r w:rsidR="009C0EC6">
        <w:rPr>
          <w:rFonts w:ascii="Times New Roman" w:hAnsi="Times New Roman"/>
          <w:sz w:val="22"/>
          <w:szCs w:val="22"/>
        </w:rPr>
        <w:tab/>
      </w:r>
      <w:r w:rsidR="00413A66">
        <w:rPr>
          <w:rFonts w:ascii="Times New Roman" w:hAnsi="Times New Roman"/>
          <w:sz w:val="22"/>
          <w:szCs w:val="22"/>
        </w:rPr>
        <w:t>9</w:t>
      </w:r>
    </w:p>
    <w:p w:rsidR="004B4393" w:rsidP="0068422E" w:rsidRDefault="004B4393" w14:paraId="59BE19EE"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A.10.</w:t>
      </w:r>
      <w:r w:rsidRPr="002D5826">
        <w:rPr>
          <w:rFonts w:ascii="Times New Roman" w:hAnsi="Times New Roman"/>
          <w:sz w:val="22"/>
          <w:szCs w:val="22"/>
        </w:rPr>
        <w:tab/>
        <w:t>Assurance of Confidentiality</w:t>
      </w:r>
      <w:r>
        <w:rPr>
          <w:rFonts w:ascii="Times New Roman" w:hAnsi="Times New Roman"/>
          <w:sz w:val="22"/>
          <w:szCs w:val="22"/>
        </w:rPr>
        <w:t xml:space="preserve"> Provided to Respondents</w:t>
      </w:r>
      <w:r w:rsidRPr="002D5826">
        <w:rPr>
          <w:rFonts w:ascii="Times New Roman" w:hAnsi="Times New Roman"/>
          <w:sz w:val="22"/>
          <w:szCs w:val="22"/>
        </w:rPr>
        <w:tab/>
      </w:r>
      <w:r w:rsidR="00413A66">
        <w:rPr>
          <w:rFonts w:ascii="Times New Roman" w:hAnsi="Times New Roman"/>
          <w:sz w:val="22"/>
          <w:szCs w:val="22"/>
        </w:rPr>
        <w:tab/>
      </w:r>
      <w:r w:rsidR="009C0EC6">
        <w:rPr>
          <w:rFonts w:ascii="Times New Roman" w:hAnsi="Times New Roman"/>
          <w:sz w:val="22"/>
          <w:szCs w:val="22"/>
        </w:rPr>
        <w:t>1</w:t>
      </w:r>
      <w:r w:rsidR="00413A66">
        <w:rPr>
          <w:rFonts w:ascii="Times New Roman" w:hAnsi="Times New Roman"/>
          <w:sz w:val="22"/>
          <w:szCs w:val="22"/>
        </w:rPr>
        <w:t>1</w:t>
      </w:r>
    </w:p>
    <w:p w:rsidRPr="002D5826" w:rsidR="00C95ECB" w:rsidP="0068422E" w:rsidRDefault="00C95ECB" w14:paraId="6CF5ACEE"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proofErr w:type="gramStart"/>
      <w:r>
        <w:rPr>
          <w:rFonts w:ascii="Times New Roman" w:hAnsi="Times New Roman"/>
          <w:sz w:val="22"/>
          <w:szCs w:val="22"/>
        </w:rPr>
        <w:t>A.10.1  Privacy</w:t>
      </w:r>
      <w:proofErr w:type="gramEnd"/>
      <w:r>
        <w:rPr>
          <w:rFonts w:ascii="Times New Roman" w:hAnsi="Times New Roman"/>
          <w:sz w:val="22"/>
          <w:szCs w:val="22"/>
        </w:rPr>
        <w:t xml:space="preserve"> Impact Assessment Information…………………………….</w:t>
      </w:r>
      <w:r>
        <w:rPr>
          <w:rFonts w:ascii="Times New Roman" w:hAnsi="Times New Roman"/>
          <w:sz w:val="22"/>
          <w:szCs w:val="22"/>
        </w:rPr>
        <w:tab/>
        <w:t xml:space="preserve">        </w:t>
      </w:r>
      <w:r w:rsidR="009C0EC6">
        <w:rPr>
          <w:rFonts w:ascii="Times New Roman" w:hAnsi="Times New Roman"/>
          <w:sz w:val="22"/>
          <w:szCs w:val="22"/>
        </w:rPr>
        <w:t>11</w:t>
      </w:r>
    </w:p>
    <w:p w:rsidRPr="002D5826" w:rsidR="004B4393" w:rsidP="0068422E" w:rsidRDefault="004B4393" w14:paraId="27F80EC3"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A.11.</w:t>
      </w:r>
      <w:r w:rsidRPr="002D5826">
        <w:rPr>
          <w:rFonts w:ascii="Times New Roman" w:hAnsi="Times New Roman"/>
          <w:sz w:val="22"/>
          <w:szCs w:val="22"/>
        </w:rPr>
        <w:tab/>
      </w:r>
      <w:r>
        <w:rPr>
          <w:rFonts w:ascii="Times New Roman" w:hAnsi="Times New Roman"/>
          <w:sz w:val="22"/>
          <w:szCs w:val="22"/>
        </w:rPr>
        <w:t xml:space="preserve">Justification for Sensitive </w:t>
      </w:r>
      <w:r w:rsidRPr="002D5826">
        <w:rPr>
          <w:rFonts w:ascii="Times New Roman" w:hAnsi="Times New Roman"/>
          <w:sz w:val="22"/>
          <w:szCs w:val="22"/>
        </w:rPr>
        <w:t>Questions</w:t>
      </w:r>
      <w:r w:rsidR="00FF540D">
        <w:rPr>
          <w:rFonts w:ascii="Times New Roman" w:hAnsi="Times New Roman"/>
          <w:sz w:val="22"/>
          <w:szCs w:val="22"/>
        </w:rPr>
        <w:tab/>
      </w:r>
      <w:r w:rsidR="00FF540D">
        <w:rPr>
          <w:rFonts w:ascii="Times New Roman" w:hAnsi="Times New Roman"/>
          <w:sz w:val="22"/>
          <w:szCs w:val="22"/>
        </w:rPr>
        <w:tab/>
        <w:t>1</w:t>
      </w:r>
      <w:r w:rsidR="009C0EC6">
        <w:rPr>
          <w:rFonts w:ascii="Times New Roman" w:hAnsi="Times New Roman"/>
          <w:sz w:val="22"/>
          <w:szCs w:val="22"/>
        </w:rPr>
        <w:t>3</w:t>
      </w:r>
    </w:p>
    <w:p w:rsidRPr="002D5826" w:rsidR="004B4393" w:rsidP="0068422E" w:rsidRDefault="004B4393" w14:paraId="725B22AF"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A.12.</w:t>
      </w:r>
      <w:r w:rsidRPr="002D5826">
        <w:rPr>
          <w:rFonts w:ascii="Times New Roman" w:hAnsi="Times New Roman"/>
          <w:sz w:val="22"/>
          <w:szCs w:val="22"/>
        </w:rPr>
        <w:tab/>
        <w:t>Estimates of Annu</w:t>
      </w:r>
      <w:r w:rsidR="005C2A9F">
        <w:rPr>
          <w:rFonts w:ascii="Times New Roman" w:hAnsi="Times New Roman"/>
          <w:sz w:val="22"/>
          <w:szCs w:val="22"/>
        </w:rPr>
        <w:t>alized B</w:t>
      </w:r>
      <w:r w:rsidR="009C0EC6">
        <w:rPr>
          <w:rFonts w:ascii="Times New Roman" w:hAnsi="Times New Roman"/>
          <w:sz w:val="22"/>
          <w:szCs w:val="22"/>
        </w:rPr>
        <w:t>urden Hours and Cost</w:t>
      </w:r>
      <w:r w:rsidR="009C0EC6">
        <w:rPr>
          <w:rFonts w:ascii="Times New Roman" w:hAnsi="Times New Roman"/>
          <w:sz w:val="22"/>
          <w:szCs w:val="22"/>
        </w:rPr>
        <w:tab/>
      </w:r>
      <w:r w:rsidR="009C0EC6">
        <w:rPr>
          <w:rFonts w:ascii="Times New Roman" w:hAnsi="Times New Roman"/>
          <w:sz w:val="22"/>
          <w:szCs w:val="22"/>
        </w:rPr>
        <w:tab/>
        <w:t>14</w:t>
      </w:r>
    </w:p>
    <w:p w:rsidRPr="002D5826" w:rsidR="004B4393" w:rsidP="0068422E" w:rsidRDefault="004B4393" w14:paraId="2D4E773B"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A.13.</w:t>
      </w:r>
      <w:r w:rsidRPr="002D5826">
        <w:rPr>
          <w:rFonts w:ascii="Times New Roman" w:hAnsi="Times New Roman"/>
          <w:sz w:val="22"/>
          <w:szCs w:val="22"/>
        </w:rPr>
        <w:tab/>
        <w:t xml:space="preserve">Estimates of Annualized Respondent Capital and </w:t>
      </w:r>
    </w:p>
    <w:p w:rsidRPr="002D5826" w:rsidR="004B4393" w:rsidP="0068422E" w:rsidRDefault="009C0EC6" w14:paraId="3640DC64" w14:textId="77777777">
      <w:pPr>
        <w:tabs>
          <w:tab w:val="left" w:pos="0"/>
          <w:tab w:val="left" w:pos="1440"/>
          <w:tab w:val="left" w:pos="2160"/>
          <w:tab w:val="right" w:leader="dot" w:pos="8208"/>
          <w:tab w:val="left" w:pos="8640"/>
          <w:tab w:val="left" w:pos="9360"/>
        </w:tabs>
        <w:spacing w:line="240" w:lineRule="exact"/>
        <w:ind w:left="2160"/>
        <w:rPr>
          <w:rFonts w:ascii="Times New Roman" w:hAnsi="Times New Roman"/>
          <w:sz w:val="22"/>
          <w:szCs w:val="22"/>
        </w:rPr>
      </w:pPr>
      <w:r>
        <w:rPr>
          <w:rFonts w:ascii="Times New Roman" w:hAnsi="Times New Roman"/>
          <w:sz w:val="22"/>
          <w:szCs w:val="22"/>
        </w:rPr>
        <w:t>Maintenance Costs</w:t>
      </w:r>
      <w:r>
        <w:rPr>
          <w:rFonts w:ascii="Times New Roman" w:hAnsi="Times New Roman"/>
          <w:sz w:val="22"/>
          <w:szCs w:val="22"/>
        </w:rPr>
        <w:tab/>
      </w:r>
      <w:r>
        <w:rPr>
          <w:rFonts w:ascii="Times New Roman" w:hAnsi="Times New Roman"/>
          <w:sz w:val="22"/>
          <w:szCs w:val="22"/>
        </w:rPr>
        <w:tab/>
        <w:t>15</w:t>
      </w:r>
    </w:p>
    <w:p w:rsidRPr="002D5826" w:rsidR="004B4393" w:rsidP="0068422E" w:rsidRDefault="004B4393" w14:paraId="7153A684"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A.14.</w:t>
      </w:r>
      <w:r w:rsidRPr="002D5826">
        <w:rPr>
          <w:rFonts w:ascii="Times New Roman" w:hAnsi="Times New Roman"/>
          <w:sz w:val="22"/>
          <w:szCs w:val="22"/>
        </w:rPr>
        <w:tab/>
        <w:t>Estimates of Annualized Co</w:t>
      </w:r>
      <w:r w:rsidR="009C0EC6">
        <w:rPr>
          <w:rFonts w:ascii="Times New Roman" w:hAnsi="Times New Roman"/>
          <w:sz w:val="22"/>
          <w:szCs w:val="22"/>
        </w:rPr>
        <w:t>st to the Federal Government</w:t>
      </w:r>
      <w:r w:rsidR="009C0EC6">
        <w:rPr>
          <w:rFonts w:ascii="Times New Roman" w:hAnsi="Times New Roman"/>
          <w:sz w:val="22"/>
          <w:szCs w:val="22"/>
        </w:rPr>
        <w:tab/>
      </w:r>
      <w:r w:rsidR="009C0EC6">
        <w:rPr>
          <w:rFonts w:ascii="Times New Roman" w:hAnsi="Times New Roman"/>
          <w:sz w:val="22"/>
          <w:szCs w:val="22"/>
        </w:rPr>
        <w:tab/>
        <w:t>15</w:t>
      </w:r>
    </w:p>
    <w:p w:rsidRPr="002D5826" w:rsidR="004B4393" w:rsidP="0068422E" w:rsidRDefault="004B4393" w14:paraId="31280D04"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A.15.</w:t>
      </w:r>
      <w:r w:rsidRPr="002D5826">
        <w:rPr>
          <w:rFonts w:ascii="Times New Roman" w:hAnsi="Times New Roman"/>
          <w:sz w:val="22"/>
          <w:szCs w:val="22"/>
        </w:rPr>
        <w:tab/>
      </w:r>
      <w:r>
        <w:rPr>
          <w:rFonts w:ascii="Times New Roman" w:hAnsi="Times New Roman"/>
          <w:sz w:val="22"/>
          <w:szCs w:val="22"/>
        </w:rPr>
        <w:t>Explanation for Pr</w:t>
      </w:r>
      <w:r w:rsidR="009C0EC6">
        <w:rPr>
          <w:rFonts w:ascii="Times New Roman" w:hAnsi="Times New Roman"/>
          <w:sz w:val="22"/>
          <w:szCs w:val="22"/>
        </w:rPr>
        <w:t>ogram Changes or Adjustments</w:t>
      </w:r>
      <w:r w:rsidR="009C0EC6">
        <w:rPr>
          <w:rFonts w:ascii="Times New Roman" w:hAnsi="Times New Roman"/>
          <w:sz w:val="22"/>
          <w:szCs w:val="22"/>
        </w:rPr>
        <w:tab/>
      </w:r>
      <w:r w:rsidR="009C0EC6">
        <w:rPr>
          <w:rFonts w:ascii="Times New Roman" w:hAnsi="Times New Roman"/>
          <w:sz w:val="22"/>
          <w:szCs w:val="22"/>
        </w:rPr>
        <w:tab/>
        <w:t>15</w:t>
      </w:r>
    </w:p>
    <w:p w:rsidRPr="002D5826" w:rsidR="004B4393" w:rsidP="0068422E" w:rsidRDefault="004B4393" w14:paraId="68881E0E"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A.16</w:t>
      </w:r>
      <w:r>
        <w:rPr>
          <w:rFonts w:ascii="Times New Roman" w:hAnsi="Times New Roman"/>
          <w:sz w:val="22"/>
          <w:szCs w:val="22"/>
        </w:rPr>
        <w:t>.</w:t>
      </w:r>
      <w:r w:rsidRPr="002D5826">
        <w:rPr>
          <w:rFonts w:ascii="Times New Roman" w:hAnsi="Times New Roman"/>
          <w:sz w:val="22"/>
          <w:szCs w:val="22"/>
        </w:rPr>
        <w:tab/>
        <w:t>Plans for Tabulation and Publication and Project Time Schedule</w:t>
      </w:r>
      <w:r w:rsidRPr="002D5826">
        <w:rPr>
          <w:rFonts w:ascii="Times New Roman" w:hAnsi="Times New Roman"/>
          <w:sz w:val="22"/>
          <w:szCs w:val="22"/>
        </w:rPr>
        <w:tab/>
      </w:r>
      <w:r w:rsidR="002E2EF5">
        <w:rPr>
          <w:rFonts w:ascii="Times New Roman" w:hAnsi="Times New Roman"/>
          <w:sz w:val="22"/>
          <w:szCs w:val="22"/>
        </w:rPr>
        <w:tab/>
        <w:t>1</w:t>
      </w:r>
      <w:r w:rsidR="00413A66">
        <w:rPr>
          <w:rFonts w:ascii="Times New Roman" w:hAnsi="Times New Roman"/>
          <w:sz w:val="22"/>
          <w:szCs w:val="22"/>
        </w:rPr>
        <w:t>5</w:t>
      </w:r>
    </w:p>
    <w:p w:rsidRPr="002D5826" w:rsidR="004B4393" w:rsidP="0068422E" w:rsidRDefault="004B4393" w14:paraId="48F5E37D"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A.17</w:t>
      </w:r>
      <w:r>
        <w:rPr>
          <w:rFonts w:ascii="Times New Roman" w:hAnsi="Times New Roman"/>
          <w:sz w:val="22"/>
          <w:szCs w:val="22"/>
        </w:rPr>
        <w:t>.</w:t>
      </w:r>
      <w:r w:rsidRPr="002D5826">
        <w:rPr>
          <w:rFonts w:ascii="Times New Roman" w:hAnsi="Times New Roman"/>
          <w:sz w:val="22"/>
          <w:szCs w:val="22"/>
        </w:rPr>
        <w:tab/>
      </w:r>
      <w:r>
        <w:rPr>
          <w:rFonts w:ascii="Times New Roman" w:hAnsi="Times New Roman"/>
          <w:sz w:val="22"/>
          <w:szCs w:val="22"/>
        </w:rPr>
        <w:t>Reason(s) Display of OMB Expi</w:t>
      </w:r>
      <w:r w:rsidR="001850F9">
        <w:rPr>
          <w:rFonts w:ascii="Times New Roman" w:hAnsi="Times New Roman"/>
          <w:sz w:val="22"/>
          <w:szCs w:val="22"/>
        </w:rPr>
        <w:t>ration Date is Inappropriate</w:t>
      </w:r>
      <w:r w:rsidR="001850F9">
        <w:rPr>
          <w:rFonts w:ascii="Times New Roman" w:hAnsi="Times New Roman"/>
          <w:sz w:val="22"/>
          <w:szCs w:val="22"/>
        </w:rPr>
        <w:tab/>
      </w:r>
      <w:r w:rsidR="001850F9">
        <w:rPr>
          <w:rFonts w:ascii="Times New Roman" w:hAnsi="Times New Roman"/>
          <w:sz w:val="22"/>
          <w:szCs w:val="22"/>
        </w:rPr>
        <w:tab/>
        <w:t>16</w:t>
      </w:r>
    </w:p>
    <w:p w:rsidRPr="002D5826" w:rsidR="004B4393" w:rsidP="0068422E" w:rsidRDefault="004B4393" w14:paraId="1C251B89"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A.18</w:t>
      </w:r>
      <w:r>
        <w:rPr>
          <w:rFonts w:ascii="Times New Roman" w:hAnsi="Times New Roman"/>
          <w:sz w:val="22"/>
          <w:szCs w:val="22"/>
        </w:rPr>
        <w:t>.</w:t>
      </w:r>
      <w:r w:rsidRPr="002D5826">
        <w:rPr>
          <w:rFonts w:ascii="Times New Roman" w:hAnsi="Times New Roman"/>
          <w:sz w:val="22"/>
          <w:szCs w:val="22"/>
        </w:rPr>
        <w:tab/>
        <w:t>Exceptions t</w:t>
      </w:r>
      <w:r>
        <w:rPr>
          <w:rFonts w:ascii="Times New Roman" w:hAnsi="Times New Roman"/>
          <w:sz w:val="22"/>
          <w:szCs w:val="22"/>
        </w:rPr>
        <w:t>o</w:t>
      </w:r>
      <w:r w:rsidR="002E2EF5">
        <w:rPr>
          <w:rFonts w:ascii="Times New Roman" w:hAnsi="Times New Roman"/>
          <w:sz w:val="22"/>
          <w:szCs w:val="22"/>
        </w:rPr>
        <w:t xml:space="preserve"> the Certification Statement</w:t>
      </w:r>
      <w:r w:rsidR="002E2EF5">
        <w:rPr>
          <w:rFonts w:ascii="Times New Roman" w:hAnsi="Times New Roman"/>
          <w:sz w:val="22"/>
          <w:szCs w:val="22"/>
        </w:rPr>
        <w:tab/>
      </w:r>
      <w:r w:rsidR="002E2EF5">
        <w:rPr>
          <w:rFonts w:ascii="Times New Roman" w:hAnsi="Times New Roman"/>
          <w:sz w:val="22"/>
          <w:szCs w:val="22"/>
        </w:rPr>
        <w:tab/>
        <w:t>1</w:t>
      </w:r>
      <w:r w:rsidR="001850F9">
        <w:rPr>
          <w:rFonts w:ascii="Times New Roman" w:hAnsi="Times New Roman"/>
          <w:sz w:val="22"/>
          <w:szCs w:val="22"/>
        </w:rPr>
        <w:t>6</w:t>
      </w:r>
    </w:p>
    <w:p w:rsidR="004B4393" w:rsidP="0068422E" w:rsidRDefault="004B4393" w14:paraId="569E2A8A" w14:textId="77777777">
      <w:pPr>
        <w:tabs>
          <w:tab w:val="left" w:pos="0"/>
          <w:tab w:val="right" w:leader="dot" w:pos="8208"/>
          <w:tab w:val="left" w:pos="8640"/>
          <w:tab w:val="left" w:pos="9360"/>
        </w:tabs>
        <w:spacing w:line="240" w:lineRule="exact"/>
        <w:rPr>
          <w:rFonts w:ascii="Times New Roman" w:hAnsi="Times New Roman"/>
          <w:b/>
        </w:rPr>
      </w:pPr>
    </w:p>
    <w:p w:rsidR="004B4393" w:rsidP="0068422E" w:rsidRDefault="004B4393" w14:paraId="0CD2CCD3" w14:textId="77777777">
      <w:pPr>
        <w:tabs>
          <w:tab w:val="left" w:pos="0"/>
          <w:tab w:val="right" w:leader="dot" w:pos="8208"/>
          <w:tab w:val="left" w:pos="8640"/>
          <w:tab w:val="left" w:pos="9360"/>
        </w:tabs>
        <w:spacing w:line="240" w:lineRule="exact"/>
        <w:rPr>
          <w:rFonts w:ascii="Times New Roman" w:hAnsi="Times New Roman"/>
        </w:rPr>
      </w:pPr>
      <w:r>
        <w:rPr>
          <w:rFonts w:ascii="Times New Roman" w:hAnsi="Times New Roman"/>
          <w:b/>
        </w:rPr>
        <w:t>List of Tables</w:t>
      </w:r>
    </w:p>
    <w:p w:rsidR="004B4393" w:rsidP="0068422E" w:rsidRDefault="004B4393" w14:paraId="0E086238" w14:textId="77777777">
      <w:pPr>
        <w:tabs>
          <w:tab w:val="left" w:pos="0"/>
          <w:tab w:val="left" w:pos="288"/>
          <w:tab w:val="right" w:leader="dot" w:pos="8208"/>
          <w:tab w:val="left" w:pos="8640"/>
          <w:tab w:val="left" w:pos="9360"/>
        </w:tabs>
        <w:spacing w:line="240" w:lineRule="exact"/>
        <w:ind w:left="288"/>
        <w:rPr>
          <w:rFonts w:ascii="Times New Roman" w:hAnsi="Times New Roman"/>
        </w:rPr>
      </w:pPr>
      <w:r>
        <w:rPr>
          <w:rFonts w:ascii="Times New Roman" w:hAnsi="Times New Roman"/>
        </w:rPr>
        <w:t xml:space="preserve">      </w:t>
      </w:r>
    </w:p>
    <w:p w:rsidRPr="002D5826" w:rsidR="004B4393" w:rsidP="0068422E" w:rsidRDefault="004B4393" w14:paraId="72ACAE38" w14:textId="77777777">
      <w:pPr>
        <w:tabs>
          <w:tab w:val="left" w:pos="0"/>
          <w:tab w:val="left" w:pos="288"/>
          <w:tab w:val="right" w:leader="dot" w:pos="8208"/>
          <w:tab w:val="left" w:pos="8640"/>
          <w:tab w:val="left" w:pos="9360"/>
        </w:tabs>
        <w:spacing w:line="240" w:lineRule="exact"/>
        <w:rPr>
          <w:rFonts w:ascii="Times New Roman" w:hAnsi="Times New Roman"/>
          <w:sz w:val="22"/>
          <w:szCs w:val="22"/>
        </w:rPr>
      </w:pPr>
      <w:r>
        <w:rPr>
          <w:rFonts w:ascii="Times New Roman" w:hAnsi="Times New Roman"/>
        </w:rPr>
        <w:tab/>
        <w:t xml:space="preserve">            </w:t>
      </w:r>
      <w:r w:rsidRPr="002D5826">
        <w:rPr>
          <w:rFonts w:ascii="Times New Roman" w:hAnsi="Times New Roman"/>
          <w:sz w:val="22"/>
          <w:szCs w:val="22"/>
        </w:rPr>
        <w:t>Table A12A: Estimated Annual</w:t>
      </w:r>
      <w:r w:rsidR="003347BB">
        <w:rPr>
          <w:rFonts w:ascii="Times New Roman" w:hAnsi="Times New Roman"/>
          <w:sz w:val="22"/>
          <w:szCs w:val="22"/>
        </w:rPr>
        <w:t>ized Burden Hours</w:t>
      </w:r>
      <w:r w:rsidR="003347BB">
        <w:rPr>
          <w:rFonts w:ascii="Times New Roman" w:hAnsi="Times New Roman"/>
          <w:sz w:val="22"/>
          <w:szCs w:val="22"/>
        </w:rPr>
        <w:tab/>
      </w:r>
      <w:r w:rsidR="003347BB">
        <w:rPr>
          <w:rFonts w:ascii="Times New Roman" w:hAnsi="Times New Roman"/>
          <w:sz w:val="22"/>
          <w:szCs w:val="22"/>
        </w:rPr>
        <w:tab/>
      </w:r>
      <w:r w:rsidR="009C0EC6">
        <w:rPr>
          <w:rFonts w:ascii="Times New Roman" w:hAnsi="Times New Roman"/>
          <w:sz w:val="22"/>
          <w:szCs w:val="22"/>
        </w:rPr>
        <w:t>14</w:t>
      </w:r>
    </w:p>
    <w:p w:rsidRPr="002D5826" w:rsidR="004B4393" w:rsidP="0068422E" w:rsidRDefault="004B4393" w14:paraId="65A49D2B" w14:textId="77777777">
      <w:pPr>
        <w:tabs>
          <w:tab w:val="left" w:pos="0"/>
          <w:tab w:val="left" w:pos="288"/>
          <w:tab w:val="right" w:leader="dot" w:pos="8208"/>
          <w:tab w:val="left" w:pos="8640"/>
          <w:tab w:val="left" w:pos="9360"/>
        </w:tabs>
        <w:spacing w:line="240" w:lineRule="exact"/>
        <w:rPr>
          <w:rFonts w:ascii="Times New Roman" w:hAnsi="Times New Roman"/>
          <w:sz w:val="22"/>
          <w:szCs w:val="22"/>
        </w:rPr>
      </w:pPr>
      <w:r w:rsidRPr="002D5826">
        <w:rPr>
          <w:rFonts w:ascii="Times New Roman" w:hAnsi="Times New Roman"/>
          <w:sz w:val="22"/>
          <w:szCs w:val="22"/>
        </w:rPr>
        <w:t xml:space="preserve">                  Table A12B: Estimated Annual</w:t>
      </w:r>
      <w:r w:rsidR="003347BB">
        <w:rPr>
          <w:rFonts w:ascii="Times New Roman" w:hAnsi="Times New Roman"/>
          <w:sz w:val="22"/>
          <w:szCs w:val="22"/>
        </w:rPr>
        <w:t xml:space="preserve">ized Burden Costs </w:t>
      </w:r>
      <w:r w:rsidR="003347BB">
        <w:rPr>
          <w:rFonts w:ascii="Times New Roman" w:hAnsi="Times New Roman"/>
          <w:sz w:val="22"/>
          <w:szCs w:val="22"/>
        </w:rPr>
        <w:tab/>
      </w:r>
      <w:r w:rsidR="003347BB">
        <w:rPr>
          <w:rFonts w:ascii="Times New Roman" w:hAnsi="Times New Roman"/>
          <w:sz w:val="22"/>
          <w:szCs w:val="22"/>
        </w:rPr>
        <w:tab/>
      </w:r>
      <w:r w:rsidR="009C0EC6">
        <w:rPr>
          <w:rFonts w:ascii="Times New Roman" w:hAnsi="Times New Roman"/>
          <w:sz w:val="22"/>
          <w:szCs w:val="22"/>
        </w:rPr>
        <w:t>1</w:t>
      </w:r>
      <w:r w:rsidR="002B74C5">
        <w:rPr>
          <w:rFonts w:ascii="Times New Roman" w:hAnsi="Times New Roman"/>
          <w:sz w:val="22"/>
          <w:szCs w:val="22"/>
        </w:rPr>
        <w:t>4</w:t>
      </w:r>
    </w:p>
    <w:p w:rsidR="004B4393" w:rsidP="0068422E" w:rsidRDefault="004B4393" w14:paraId="772E5A27" w14:textId="77777777">
      <w:pPr>
        <w:pStyle w:val="BodyText2"/>
        <w:pBdr>
          <w:top w:val="none" w:color="auto" w:sz="0" w:space="0"/>
          <w:left w:val="none" w:color="auto" w:sz="0" w:space="0"/>
          <w:bottom w:val="none" w:color="auto" w:sz="0" w:space="0"/>
          <w:right w:val="none" w:color="auto" w:sz="0" w:space="0"/>
        </w:pBdr>
        <w:tabs>
          <w:tab w:val="clear" w:pos="1440"/>
          <w:tab w:val="clear" w:pos="2160"/>
          <w:tab w:val="clear" w:pos="2880"/>
          <w:tab w:val="clear" w:pos="3600"/>
          <w:tab w:val="clear" w:pos="4320"/>
          <w:tab w:val="clear" w:pos="5040"/>
          <w:tab w:val="clear" w:pos="5760"/>
          <w:tab w:val="clear" w:pos="6480"/>
          <w:tab w:val="left" w:pos="1170"/>
        </w:tabs>
        <w:rPr>
          <w:u w:val="single"/>
        </w:rPr>
      </w:pPr>
    </w:p>
    <w:p w:rsidRPr="00FB64B9" w:rsidR="004B4393" w:rsidP="0068422E" w:rsidRDefault="004B4393" w14:paraId="48457AB6" w14:textId="77777777">
      <w:pPr>
        <w:tabs>
          <w:tab w:val="left" w:pos="0"/>
          <w:tab w:val="left" w:pos="288"/>
          <w:tab w:val="right" w:leader="dot" w:pos="8208"/>
          <w:tab w:val="left" w:pos="8640"/>
          <w:tab w:val="left" w:pos="9360"/>
        </w:tabs>
        <w:spacing w:line="240" w:lineRule="exact"/>
        <w:ind w:left="288"/>
        <w:rPr>
          <w:rFonts w:ascii="Times New Roman" w:hAnsi="Times New Roman"/>
          <w:sz w:val="22"/>
          <w:szCs w:val="22"/>
        </w:rPr>
      </w:pPr>
    </w:p>
    <w:p w:rsidR="009C0EC6" w:rsidP="0068422E" w:rsidRDefault="004B4393" w14:paraId="2C816B5D"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B64B9">
        <w:rPr>
          <w:rFonts w:ascii="Times New Roman" w:hAnsi="Times New Roman"/>
          <w:b/>
          <w:sz w:val="22"/>
          <w:szCs w:val="22"/>
        </w:rPr>
        <w:t>List of Attachments</w:t>
      </w:r>
      <w:r w:rsidRPr="00FB64B9">
        <w:rPr>
          <w:rFonts w:ascii="Times New Roman" w:hAnsi="Times New Roman"/>
          <w:b/>
          <w:sz w:val="22"/>
          <w:szCs w:val="22"/>
        </w:rPr>
        <w:tab/>
      </w:r>
      <w:r w:rsidRPr="00FB64B9" w:rsidR="00FB64B9">
        <w:rPr>
          <w:rFonts w:ascii="Times New Roman" w:hAnsi="Times New Roman"/>
          <w:b/>
          <w:sz w:val="22"/>
          <w:szCs w:val="22"/>
        </w:rPr>
        <w:tab/>
      </w:r>
      <w:r w:rsidRPr="00FB64B9" w:rsidR="00FB64B9">
        <w:rPr>
          <w:rFonts w:ascii="Times New Roman" w:hAnsi="Times New Roman"/>
          <w:b/>
          <w:sz w:val="22"/>
          <w:szCs w:val="22"/>
        </w:rPr>
        <w:tab/>
      </w:r>
      <w:r w:rsidRPr="00FB64B9" w:rsidR="00FB64B9">
        <w:rPr>
          <w:rFonts w:ascii="Times New Roman" w:hAnsi="Times New Roman"/>
          <w:b/>
          <w:sz w:val="22"/>
          <w:szCs w:val="22"/>
        </w:rPr>
        <w:tab/>
      </w:r>
      <w:r w:rsidRPr="00FB64B9" w:rsidR="00FB64B9">
        <w:rPr>
          <w:rFonts w:ascii="Times New Roman" w:hAnsi="Times New Roman"/>
          <w:b/>
          <w:sz w:val="22"/>
          <w:szCs w:val="22"/>
        </w:rPr>
        <w:tab/>
      </w:r>
      <w:r w:rsidRPr="00FB64B9" w:rsidR="00FB64B9">
        <w:rPr>
          <w:rFonts w:ascii="Times New Roman" w:hAnsi="Times New Roman"/>
          <w:b/>
          <w:sz w:val="22"/>
          <w:szCs w:val="22"/>
        </w:rPr>
        <w:tab/>
      </w:r>
      <w:r w:rsidRPr="00FB64B9" w:rsidR="00FB64B9">
        <w:rPr>
          <w:rFonts w:ascii="Times New Roman" w:hAnsi="Times New Roman"/>
          <w:b/>
          <w:sz w:val="22"/>
          <w:szCs w:val="22"/>
        </w:rPr>
        <w:tab/>
      </w:r>
      <w:r w:rsidRPr="00FB64B9">
        <w:rPr>
          <w:rFonts w:ascii="Times New Roman" w:hAnsi="Times New Roman"/>
          <w:b/>
          <w:sz w:val="22"/>
          <w:szCs w:val="22"/>
        </w:rPr>
        <w:tab/>
      </w:r>
      <w:r w:rsidRPr="00FB64B9">
        <w:rPr>
          <w:rFonts w:ascii="Times New Roman" w:hAnsi="Times New Roman"/>
          <w:b/>
          <w:sz w:val="22"/>
          <w:szCs w:val="22"/>
        </w:rPr>
        <w:tab/>
      </w:r>
      <w:r w:rsidRPr="00FB64B9">
        <w:rPr>
          <w:rFonts w:ascii="Times New Roman" w:hAnsi="Times New Roman"/>
          <w:b/>
          <w:sz w:val="22"/>
          <w:szCs w:val="22"/>
        </w:rPr>
        <w:tab/>
      </w:r>
      <w:r w:rsidR="009C0EC6">
        <w:rPr>
          <w:rFonts w:ascii="Times New Roman" w:hAnsi="Times New Roman"/>
          <w:sz w:val="22"/>
          <w:szCs w:val="22"/>
        </w:rPr>
        <w:t>1</w:t>
      </w:r>
      <w:r w:rsidR="001850F9">
        <w:rPr>
          <w:rFonts w:ascii="Times New Roman" w:hAnsi="Times New Roman"/>
          <w:sz w:val="22"/>
          <w:szCs w:val="22"/>
        </w:rPr>
        <w:t>7</w:t>
      </w:r>
    </w:p>
    <w:p w:rsidR="009C0EC6" w:rsidP="0068422E" w:rsidRDefault="009C0EC6" w14:paraId="7C00A10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Pr="00FB64B9" w:rsidR="004B4393" w:rsidP="0068422E" w:rsidRDefault="004B4393" w14:paraId="3F2F80D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FB64B9">
        <w:rPr>
          <w:rFonts w:ascii="Times New Roman" w:hAnsi="Times New Roman"/>
          <w:b/>
          <w:sz w:val="22"/>
          <w:szCs w:val="22"/>
        </w:rPr>
        <w:tab/>
      </w:r>
      <w:r w:rsidRPr="00FB64B9">
        <w:rPr>
          <w:rFonts w:ascii="Times New Roman" w:hAnsi="Times New Roman"/>
          <w:b/>
          <w:sz w:val="22"/>
          <w:szCs w:val="22"/>
        </w:rPr>
        <w:tab/>
      </w:r>
      <w:r w:rsidRPr="00FB64B9">
        <w:rPr>
          <w:rFonts w:ascii="Times New Roman" w:hAnsi="Times New Roman"/>
          <w:b/>
          <w:sz w:val="22"/>
          <w:szCs w:val="22"/>
        </w:rPr>
        <w:tab/>
      </w:r>
      <w:r w:rsidRPr="00FB64B9">
        <w:rPr>
          <w:rFonts w:ascii="Times New Roman" w:hAnsi="Times New Roman"/>
          <w:b/>
          <w:sz w:val="22"/>
          <w:szCs w:val="22"/>
        </w:rPr>
        <w:tab/>
      </w:r>
    </w:p>
    <w:p w:rsidR="004B4393" w:rsidP="0068422E" w:rsidRDefault="004B4393" w14:paraId="1C6F4B9F" w14:textId="77777777">
      <w:pPr>
        <w:pStyle w:val="Heading2"/>
        <w:tabs>
          <w:tab w:val="clear" w:pos="1080"/>
          <w:tab w:val="left" w:pos="720"/>
        </w:tabs>
      </w:pPr>
    </w:p>
    <w:p w:rsidR="004B4393" w:rsidP="0068422E" w:rsidRDefault="004B4393" w14:paraId="74B4C21D" w14:textId="77777777">
      <w:pPr>
        <w:pStyle w:val="Heading2"/>
        <w:tabs>
          <w:tab w:val="clear" w:pos="1080"/>
          <w:tab w:val="left" w:pos="720"/>
        </w:tabs>
      </w:pPr>
    </w:p>
    <w:p w:rsidR="005A154E" w:rsidP="0068422E" w:rsidRDefault="004B4393" w14:paraId="5587CAF2" w14:textId="77777777">
      <w:pPr>
        <w:tabs>
          <w:tab w:val="left" w:pos="0"/>
        </w:tabs>
        <w:ind w:left="720" w:hanging="720"/>
        <w:outlineLvl w:val="1"/>
      </w:pPr>
      <w:r>
        <w:br w:type="page"/>
      </w:r>
    </w:p>
    <w:p w:rsidR="005A154E" w:rsidP="0068422E" w:rsidRDefault="00BC19D9" w14:paraId="55817BDB" w14:textId="77777777">
      <w:pPr>
        <w:tabs>
          <w:tab w:val="left" w:pos="0"/>
        </w:tabs>
        <w:ind w:left="720" w:hanging="720"/>
        <w:outlineLvl w:val="1"/>
      </w:pPr>
      <w:r>
        <w:rPr>
          <w:noProof/>
        </w:rPr>
        <w:lastRenderedPageBreak/>
        <mc:AlternateContent>
          <mc:Choice Requires="wps">
            <w:drawing>
              <wp:anchor distT="0" distB="0" distL="114300" distR="114300" simplePos="0" relativeHeight="251659264" behindDoc="0" locked="0" layoutInCell="1" allowOverlap="1" wp14:editId="0A9C5F38" wp14:anchorId="2538AEF3">
                <wp:simplePos x="0" y="0"/>
                <wp:positionH relativeFrom="margin">
                  <wp:align>center</wp:align>
                </wp:positionH>
                <wp:positionV relativeFrom="paragraph">
                  <wp:posOffset>-732776</wp:posOffset>
                </wp:positionV>
                <wp:extent cx="6360795" cy="2333625"/>
                <wp:effectExtent l="0" t="0" r="2095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0795" cy="2333625"/>
                        </a:xfrm>
                        <a:prstGeom prst="rect">
                          <a:avLst/>
                        </a:prstGeom>
                        <a:solidFill>
                          <a:srgbClr val="FFFFFF"/>
                        </a:solidFill>
                        <a:ln w="9525">
                          <a:solidFill>
                            <a:srgbClr val="000000"/>
                          </a:solidFill>
                          <a:miter lim="800000"/>
                          <a:headEnd/>
                          <a:tailEnd/>
                        </a:ln>
                      </wps:spPr>
                      <wps:txbx>
                        <w:txbxContent>
                          <w:p w:rsidR="000A1F36" w:rsidP="002B0F40" w:rsidRDefault="000A1F36" w14:paraId="1A004695" w14:textId="77777777">
                            <w:pPr>
                              <w:tabs>
                                <w:tab w:val="left" w:pos="0"/>
                                <w:tab w:val="left" w:pos="720"/>
                              </w:tabs>
                              <w:autoSpaceDN w:val="0"/>
                              <w:snapToGrid w:val="0"/>
                              <w:jc w:val="both"/>
                              <w:outlineLvl w:val="1"/>
                              <w:rPr>
                                <w:rFonts w:cs="Courier New"/>
                              </w:rPr>
                            </w:pPr>
                            <w:r w:rsidRPr="008D3811">
                              <w:rPr>
                                <w:rFonts w:ascii="Times New Roman" w:hAnsi="Times New Roman"/>
                                <w:sz w:val="22"/>
                                <w:szCs w:val="22"/>
                              </w:rPr>
                              <w:t>The</w:t>
                            </w:r>
                            <w:r>
                              <w:rPr>
                                <w:rFonts w:ascii="Times New Roman" w:hAnsi="Times New Roman"/>
                                <w:sz w:val="22"/>
                                <w:szCs w:val="22"/>
                              </w:rPr>
                              <w:t xml:space="preserve"> goal of the </w:t>
                            </w:r>
                            <w:r w:rsidRPr="008D3811">
                              <w:rPr>
                                <w:rFonts w:ascii="Times New Roman" w:hAnsi="Times New Roman"/>
                                <w:sz w:val="22"/>
                                <w:szCs w:val="22"/>
                              </w:rPr>
                              <w:t>Health Message Testing System (HMTS)</w:t>
                            </w:r>
                            <w:r>
                              <w:rPr>
                                <w:rFonts w:ascii="Times New Roman" w:hAnsi="Times New Roman"/>
                                <w:sz w:val="22"/>
                                <w:szCs w:val="22"/>
                              </w:rPr>
                              <w:t xml:space="preserve"> is to enable CDC programs to test health messages in a timely manner for clarity, salience, appeal and </w:t>
                            </w:r>
                            <w:r>
                              <w:rPr>
                                <w:rFonts w:cs="Courier New"/>
                              </w:rPr>
                              <w:t>persuasiveness to target audiences.</w:t>
                            </w:r>
                          </w:p>
                          <w:p w:rsidR="000A1F36" w:rsidP="007F4847" w:rsidRDefault="000A1F36" w14:paraId="17A09291" w14:textId="77777777">
                            <w:pPr>
                              <w:tabs>
                                <w:tab w:val="left" w:pos="0"/>
                                <w:tab w:val="left" w:pos="720"/>
                              </w:tabs>
                              <w:autoSpaceDN w:val="0"/>
                              <w:snapToGrid w:val="0"/>
                              <w:jc w:val="both"/>
                              <w:outlineLvl w:val="1"/>
                              <w:rPr>
                                <w:rFonts w:cs="Courier New"/>
                              </w:rPr>
                            </w:pPr>
                          </w:p>
                          <w:p w:rsidR="000A1F36" w:rsidP="002B0F40" w:rsidRDefault="000A1F36" w14:paraId="06238B0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D3811">
                              <w:rPr>
                                <w:rFonts w:ascii="Times New Roman" w:hAnsi="Times New Roman"/>
                                <w:sz w:val="22"/>
                                <w:szCs w:val="22"/>
                              </w:rPr>
                              <w:t>Message testing questions will focus on issues such as comprehension, impressions, personal relevance, content and wording, efficacy of response, channels, and spokesperson/sponsor.  Such information will enable message developers to enhance the effectiveness of messages for intended audiences.</w:t>
                            </w:r>
                          </w:p>
                          <w:p w:rsidR="000A1F36" w:rsidP="000F069E" w:rsidRDefault="000A1F36" w14:paraId="1C983151"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A1F36" w:rsidP="002B0F40" w:rsidRDefault="000A1F36" w14:paraId="15A8B60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D3811">
                              <w:rPr>
                                <w:rFonts w:ascii="Times New Roman" w:hAnsi="Times New Roman"/>
                                <w:sz w:val="22"/>
                                <w:szCs w:val="22"/>
                              </w:rPr>
                              <w:t>Data collection methods proposed for HMTS includes intercept interviews, telephone interviews, focus groups, online surveys, and cognitive interviews. In almost all instances, data will be collected by outside organizations under contract with CDC</w:t>
                            </w:r>
                            <w:r>
                              <w:rPr>
                                <w:rFonts w:ascii="Times New Roman" w:hAnsi="Times New Roman"/>
                                <w:sz w:val="22"/>
                                <w:szCs w:val="22"/>
                              </w:rPr>
                              <w:t>.</w:t>
                            </w:r>
                          </w:p>
                          <w:p w:rsidR="000A1F36" w:rsidP="000F069E" w:rsidRDefault="000A1F36" w14:paraId="045AD75D"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2D5826" w:rsidR="000A1F36" w:rsidP="00B57312" w:rsidRDefault="000A1F36" w14:paraId="2C04ACD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In most cases, the results of tests of messages and materials will not be published; instead, the information will be used to inform health promotion activities across CDC.    </w:t>
                            </w:r>
                          </w:p>
                          <w:p w:rsidR="000A1F36" w:rsidP="000F069E" w:rsidRDefault="000A1F36" w14:paraId="4A679014"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A1F36" w:rsidP="000F069E" w:rsidRDefault="000A1F36" w14:paraId="020F3AE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3F279D" w:rsidR="000A1F36" w:rsidP="000F069E" w:rsidRDefault="000A1F36" w14:paraId="1D5373C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0A1F36" w:rsidP="007F4847" w:rsidRDefault="000A1F36" w14:paraId="258E6F0C" w14:textId="77777777">
                            <w:pPr>
                              <w:tabs>
                                <w:tab w:val="left" w:pos="0"/>
                                <w:tab w:val="left" w:pos="720"/>
                              </w:tabs>
                              <w:autoSpaceDN w:val="0"/>
                              <w:snapToGrid w:val="0"/>
                              <w:jc w:val="both"/>
                              <w:outlineLvl w:val="1"/>
                              <w:rPr>
                                <w:rFonts w:cs="Courier New"/>
                              </w:rPr>
                            </w:pPr>
                          </w:p>
                          <w:p w:rsidR="000A1F36" w:rsidP="00640997" w:rsidRDefault="000A1F36" w14:paraId="6446D53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A1F36" w:rsidP="00640997" w:rsidRDefault="000A1F36" w14:paraId="0C6F294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A1F36" w:rsidRDefault="000A1F36" w14:paraId="1F8F5167"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538AEF3">
                <v:stroke joinstyle="miter"/>
                <v:path gradientshapeok="t" o:connecttype="rect"/>
              </v:shapetype>
              <v:shape id="Text Box 2" style="position:absolute;left:0;text-align:left;margin-left:0;margin-top:-57.7pt;width:500.85pt;height:18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5HZKQIAAFEEAAAOAAAAZHJzL2Uyb0RvYy54bWysVNtu2zAMfR+wfxD0vthxLm2MOEWXLsOA&#10;7gK0+wBZlm1hsqhJSuzu60vJbhZswx6G+UEQJerw8JD09mboFDkJ6yTogs5nKSVCc6ikbgr69fHw&#10;5poS55mumAItCvokHL3ZvX617U0uMmhBVcISBNEu701BW+9NniSOt6JjbgZGaLyswXbMo2mbpLKs&#10;R/ROJVmarpMebGUscOEcnt6Nl3QX8etacP+5rp3wRBUUufm42riWYU12W5Y3lplW8okG+wcWHZMa&#10;g56h7phn5Gjlb1Cd5BYc1H7GoUugriUXMQfMZp7+ks1Dy4yIuaA4zpxlcv8Pln86fbFEVlg7SjTr&#10;sESPYvDkLQwkC+r0xuXo9GDQzQ94HDxDps7cA//miIZ9y3Qjbq2FvhWsQnbz8DK5eDriuABS9h+h&#10;wjDs6CECDbXtAiCKQRAdq/R0rkygwvFwvVinV5sVJRzvssVisc5WMQbLX54b6/x7AR0Jm4JaLH2E&#10;Z6d75wMdlr+4RPqgZHWQSkXDNuVeWXJi2CaH+E3o7tJNadIXdLPC2H+HSOP3J4hOeux3JbuCXp+d&#10;WB50e6er2I2eSTXukbLSk5BBu1FFP5TDVJgSqieU1MLY1ziHuGnB/qCkx54uqPt+ZFZQoj5oLMtm&#10;vlyGIYjGcnWVoWEvb8rLG6Y5QhXUUzJu934cnKOxsmkx0tgIGm6xlLWMIoeaj6wm3ti3UftpxsJg&#10;XNrR6+efYPcMAAD//wMAUEsDBBQABgAIAAAAIQC3BMQe4AAAAAoBAAAPAAAAZHJzL2Rvd25yZXYu&#10;eG1sTI/NTsMwEITvSLyDtUhcUGs79I+QTYWQQHCDUpWrm7hJhL0OtpuGt8c9wXE0o5lvivVoDRu0&#10;D50jBDkVwDRVru6oQdh+PE1WwEJUVCvjSCP86ADr8vKiUHntTvSuh01sWCqhkCuENsY+5zxUrbYq&#10;TF2vKXkH562KSfqG116dUrk1PBNiwa3qKC20qtePra6+NkeLsJq9DJ/h9fZtVy0O5i7eLIfnb494&#10;fTU+3AOLeox/YTjjJ3QoE9PeHakOzCCkIxFhIuV8BuzsCyGXwPYI2TyTwMuC/79Q/gIAAP//AwBQ&#10;SwECLQAUAAYACAAAACEAtoM4kv4AAADhAQAAEwAAAAAAAAAAAAAAAAAAAAAAW0NvbnRlbnRfVHlw&#10;ZXNdLnhtbFBLAQItABQABgAIAAAAIQA4/SH/1gAAAJQBAAALAAAAAAAAAAAAAAAAAC8BAABfcmVs&#10;cy8ucmVsc1BLAQItABQABgAIAAAAIQCqc5HZKQIAAFEEAAAOAAAAAAAAAAAAAAAAAC4CAABkcnMv&#10;ZTJvRG9jLnhtbFBLAQItABQABgAIAAAAIQC3BMQe4AAAAAoBAAAPAAAAAAAAAAAAAAAAAIMEAABk&#10;cnMvZG93bnJldi54bWxQSwUGAAAAAAQABADzAAAAkAUAAAAA&#10;">
                <v:textbox>
                  <w:txbxContent>
                    <w:p w:rsidR="000A1F36" w:rsidP="002B0F40" w:rsidRDefault="000A1F36" w14:paraId="1A004695" w14:textId="77777777">
                      <w:pPr>
                        <w:tabs>
                          <w:tab w:val="left" w:pos="0"/>
                          <w:tab w:val="left" w:pos="720"/>
                        </w:tabs>
                        <w:autoSpaceDN w:val="0"/>
                        <w:snapToGrid w:val="0"/>
                        <w:jc w:val="both"/>
                        <w:outlineLvl w:val="1"/>
                        <w:rPr>
                          <w:rFonts w:cs="Courier New"/>
                        </w:rPr>
                      </w:pPr>
                      <w:r w:rsidRPr="008D3811">
                        <w:rPr>
                          <w:rFonts w:ascii="Times New Roman" w:hAnsi="Times New Roman"/>
                          <w:sz w:val="22"/>
                          <w:szCs w:val="22"/>
                        </w:rPr>
                        <w:t>The</w:t>
                      </w:r>
                      <w:r>
                        <w:rPr>
                          <w:rFonts w:ascii="Times New Roman" w:hAnsi="Times New Roman"/>
                          <w:sz w:val="22"/>
                          <w:szCs w:val="22"/>
                        </w:rPr>
                        <w:t xml:space="preserve"> goal of the </w:t>
                      </w:r>
                      <w:r w:rsidRPr="008D3811">
                        <w:rPr>
                          <w:rFonts w:ascii="Times New Roman" w:hAnsi="Times New Roman"/>
                          <w:sz w:val="22"/>
                          <w:szCs w:val="22"/>
                        </w:rPr>
                        <w:t>Health Message Testing System (HMTS)</w:t>
                      </w:r>
                      <w:r>
                        <w:rPr>
                          <w:rFonts w:ascii="Times New Roman" w:hAnsi="Times New Roman"/>
                          <w:sz w:val="22"/>
                          <w:szCs w:val="22"/>
                        </w:rPr>
                        <w:t xml:space="preserve"> is to enable CDC programs to test health messages in a timely manner for clarity, salience, appeal and </w:t>
                      </w:r>
                      <w:r>
                        <w:rPr>
                          <w:rFonts w:cs="Courier New"/>
                        </w:rPr>
                        <w:t>persuasiveness to target audiences.</w:t>
                      </w:r>
                    </w:p>
                    <w:p w:rsidR="000A1F36" w:rsidP="007F4847" w:rsidRDefault="000A1F36" w14:paraId="17A09291" w14:textId="77777777">
                      <w:pPr>
                        <w:tabs>
                          <w:tab w:val="left" w:pos="0"/>
                          <w:tab w:val="left" w:pos="720"/>
                        </w:tabs>
                        <w:autoSpaceDN w:val="0"/>
                        <w:snapToGrid w:val="0"/>
                        <w:jc w:val="both"/>
                        <w:outlineLvl w:val="1"/>
                        <w:rPr>
                          <w:rFonts w:cs="Courier New"/>
                        </w:rPr>
                      </w:pPr>
                    </w:p>
                    <w:p w:rsidR="000A1F36" w:rsidP="002B0F40" w:rsidRDefault="000A1F36" w14:paraId="06238B0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D3811">
                        <w:rPr>
                          <w:rFonts w:ascii="Times New Roman" w:hAnsi="Times New Roman"/>
                          <w:sz w:val="22"/>
                          <w:szCs w:val="22"/>
                        </w:rPr>
                        <w:t>Message testing questions will focus on issues such as comprehension, impressions, personal relevance, content and wording, efficacy of response, channels, and spokesperson/sponsor.  Such information will enable message developers to enhance the effectiveness of messages for intended audiences.</w:t>
                      </w:r>
                    </w:p>
                    <w:p w:rsidR="000A1F36" w:rsidP="000F069E" w:rsidRDefault="000A1F36" w14:paraId="1C983151"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A1F36" w:rsidP="002B0F40" w:rsidRDefault="000A1F36" w14:paraId="15A8B60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D3811">
                        <w:rPr>
                          <w:rFonts w:ascii="Times New Roman" w:hAnsi="Times New Roman"/>
                          <w:sz w:val="22"/>
                          <w:szCs w:val="22"/>
                        </w:rPr>
                        <w:t>Data collection methods proposed for HMTS includes intercept interviews, telephone interviews, focus groups, online surveys, and cognitive interviews. In almost all instances, data will be collected by outside organizations under contract with CDC</w:t>
                      </w:r>
                      <w:r>
                        <w:rPr>
                          <w:rFonts w:ascii="Times New Roman" w:hAnsi="Times New Roman"/>
                          <w:sz w:val="22"/>
                          <w:szCs w:val="22"/>
                        </w:rPr>
                        <w:t>.</w:t>
                      </w:r>
                    </w:p>
                    <w:p w:rsidR="000A1F36" w:rsidP="000F069E" w:rsidRDefault="000A1F36" w14:paraId="045AD75D"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2D5826" w:rsidR="000A1F36" w:rsidP="00B57312" w:rsidRDefault="000A1F36" w14:paraId="2C04ACD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In most cases, the results of tests of messages and materials will not be published; instead, the information will be used to inform health promotion activities across CDC.    </w:t>
                      </w:r>
                    </w:p>
                    <w:p w:rsidR="000A1F36" w:rsidP="000F069E" w:rsidRDefault="000A1F36" w14:paraId="4A679014"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A1F36" w:rsidP="000F069E" w:rsidRDefault="000A1F36" w14:paraId="020F3AE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3F279D" w:rsidR="000A1F36" w:rsidP="000F069E" w:rsidRDefault="000A1F36" w14:paraId="1D5373C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0A1F36" w:rsidP="007F4847" w:rsidRDefault="000A1F36" w14:paraId="258E6F0C" w14:textId="77777777">
                      <w:pPr>
                        <w:tabs>
                          <w:tab w:val="left" w:pos="0"/>
                          <w:tab w:val="left" w:pos="720"/>
                        </w:tabs>
                        <w:autoSpaceDN w:val="0"/>
                        <w:snapToGrid w:val="0"/>
                        <w:jc w:val="both"/>
                        <w:outlineLvl w:val="1"/>
                        <w:rPr>
                          <w:rFonts w:cs="Courier New"/>
                        </w:rPr>
                      </w:pPr>
                    </w:p>
                    <w:p w:rsidR="000A1F36" w:rsidP="00640997" w:rsidRDefault="000A1F36" w14:paraId="6446D53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A1F36" w:rsidP="00640997" w:rsidRDefault="000A1F36" w14:paraId="0C6F294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A1F36" w:rsidRDefault="000A1F36" w14:paraId="1F8F5167" w14:textId="77777777"/>
                  </w:txbxContent>
                </v:textbox>
                <w10:wrap anchorx="margin"/>
              </v:shape>
            </w:pict>
          </mc:Fallback>
        </mc:AlternateContent>
      </w:r>
    </w:p>
    <w:p w:rsidR="005A154E" w:rsidP="0068422E" w:rsidRDefault="005A154E" w14:paraId="63796782" w14:textId="77777777">
      <w:pPr>
        <w:tabs>
          <w:tab w:val="left" w:pos="0"/>
        </w:tabs>
        <w:ind w:left="720" w:hanging="720"/>
        <w:outlineLvl w:val="1"/>
      </w:pPr>
    </w:p>
    <w:p w:rsidR="005A154E" w:rsidP="0068422E" w:rsidRDefault="005A154E" w14:paraId="4384D618" w14:textId="77777777">
      <w:pPr>
        <w:tabs>
          <w:tab w:val="left" w:pos="0"/>
        </w:tabs>
        <w:ind w:left="720" w:hanging="720"/>
        <w:outlineLvl w:val="1"/>
      </w:pPr>
    </w:p>
    <w:p w:rsidR="005A154E" w:rsidP="0068422E" w:rsidRDefault="005A154E" w14:paraId="5A1637D3" w14:textId="77777777">
      <w:pPr>
        <w:tabs>
          <w:tab w:val="left" w:pos="0"/>
        </w:tabs>
        <w:ind w:left="720" w:hanging="720"/>
        <w:outlineLvl w:val="1"/>
      </w:pPr>
    </w:p>
    <w:p w:rsidR="005A154E" w:rsidP="0068422E" w:rsidRDefault="005A154E" w14:paraId="21688314" w14:textId="77777777">
      <w:pPr>
        <w:tabs>
          <w:tab w:val="left" w:pos="0"/>
        </w:tabs>
        <w:ind w:left="720" w:hanging="720"/>
        <w:outlineLvl w:val="1"/>
        <w:rPr>
          <w:b/>
          <w:sz w:val="26"/>
          <w:szCs w:val="26"/>
        </w:rPr>
      </w:pPr>
    </w:p>
    <w:p w:rsidR="005A154E" w:rsidP="0068422E" w:rsidRDefault="005A154E" w14:paraId="41795F8C" w14:textId="77777777">
      <w:pPr>
        <w:tabs>
          <w:tab w:val="left" w:pos="0"/>
        </w:tabs>
        <w:ind w:left="720" w:hanging="720"/>
        <w:outlineLvl w:val="1"/>
        <w:rPr>
          <w:b/>
          <w:sz w:val="26"/>
          <w:szCs w:val="26"/>
        </w:rPr>
      </w:pPr>
    </w:p>
    <w:p w:rsidR="005A154E" w:rsidP="0068422E" w:rsidRDefault="005A154E" w14:paraId="68534A0F" w14:textId="77777777">
      <w:pPr>
        <w:tabs>
          <w:tab w:val="left" w:pos="0"/>
        </w:tabs>
        <w:ind w:left="720" w:hanging="720"/>
        <w:outlineLvl w:val="1"/>
        <w:rPr>
          <w:b/>
          <w:sz w:val="26"/>
          <w:szCs w:val="26"/>
        </w:rPr>
      </w:pPr>
    </w:p>
    <w:p w:rsidR="005A154E" w:rsidP="0068422E" w:rsidRDefault="005A154E" w14:paraId="5E4D173C" w14:textId="77777777">
      <w:pPr>
        <w:tabs>
          <w:tab w:val="left" w:pos="0"/>
        </w:tabs>
        <w:ind w:left="720" w:hanging="720"/>
        <w:outlineLvl w:val="1"/>
        <w:rPr>
          <w:b/>
          <w:sz w:val="26"/>
          <w:szCs w:val="26"/>
        </w:rPr>
      </w:pPr>
    </w:p>
    <w:p w:rsidR="005A154E" w:rsidP="0068422E" w:rsidRDefault="005A154E" w14:paraId="4E814751" w14:textId="77777777">
      <w:pPr>
        <w:tabs>
          <w:tab w:val="left" w:pos="0"/>
        </w:tabs>
        <w:ind w:left="720" w:hanging="720"/>
        <w:outlineLvl w:val="1"/>
        <w:rPr>
          <w:b/>
          <w:sz w:val="26"/>
          <w:szCs w:val="26"/>
        </w:rPr>
      </w:pPr>
    </w:p>
    <w:p w:rsidRPr="00C4002F" w:rsidR="004B4393" w:rsidP="0068422E" w:rsidRDefault="004B4393" w14:paraId="5099C531" w14:textId="77777777">
      <w:pPr>
        <w:tabs>
          <w:tab w:val="left" w:pos="0"/>
        </w:tabs>
        <w:ind w:left="720" w:hanging="720"/>
        <w:outlineLvl w:val="1"/>
        <w:rPr>
          <w:b/>
          <w:sz w:val="26"/>
          <w:szCs w:val="26"/>
        </w:rPr>
      </w:pPr>
      <w:r w:rsidRPr="00C4002F">
        <w:rPr>
          <w:b/>
          <w:sz w:val="26"/>
          <w:szCs w:val="26"/>
        </w:rPr>
        <w:t>A.</w:t>
      </w:r>
      <w:r w:rsidRPr="00C4002F">
        <w:rPr>
          <w:b/>
          <w:sz w:val="26"/>
          <w:szCs w:val="26"/>
        </w:rPr>
        <w:tab/>
        <w:t>Justification</w:t>
      </w:r>
    </w:p>
    <w:p w:rsidRPr="002D5826" w:rsidR="004B4393" w:rsidP="0068422E" w:rsidRDefault="004B4393" w14:paraId="362ECFA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Pr="002D5826" w:rsidR="004B4393" w:rsidP="0068422E" w:rsidRDefault="004B4393" w14:paraId="3CE208BF" w14:textId="77777777">
      <w:pPr>
        <w:pStyle w:val="Heading2"/>
        <w:tabs>
          <w:tab w:val="clear" w:pos="1080"/>
          <w:tab w:val="left" w:pos="720"/>
        </w:tabs>
        <w:rPr>
          <w:sz w:val="22"/>
          <w:szCs w:val="22"/>
        </w:rPr>
      </w:pPr>
      <w:r w:rsidRPr="00C4002F">
        <w:rPr>
          <w:szCs w:val="24"/>
        </w:rPr>
        <w:t>A.1</w:t>
      </w:r>
      <w:r>
        <w:rPr>
          <w:sz w:val="22"/>
          <w:szCs w:val="22"/>
        </w:rPr>
        <w:t>.</w:t>
      </w:r>
      <w:r>
        <w:rPr>
          <w:sz w:val="22"/>
          <w:szCs w:val="22"/>
        </w:rPr>
        <w:tab/>
      </w:r>
      <w:r w:rsidRPr="002D5826">
        <w:rPr>
          <w:sz w:val="22"/>
          <w:szCs w:val="22"/>
        </w:rPr>
        <w:t>Circumstances Making the Collection of Information Necessary</w:t>
      </w:r>
    </w:p>
    <w:p w:rsidR="004B4393" w:rsidP="0068422E" w:rsidRDefault="004B4393" w14:paraId="46766C9D"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AE2B0C" w:rsidP="0068422E" w:rsidRDefault="00AE2B0C" w14:paraId="4831AC16"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u w:val="single"/>
        </w:rPr>
      </w:pPr>
      <w:r w:rsidRPr="00AE2B0C">
        <w:rPr>
          <w:rFonts w:ascii="Times New Roman" w:hAnsi="Times New Roman"/>
          <w:sz w:val="22"/>
          <w:szCs w:val="22"/>
          <w:u w:val="single"/>
        </w:rPr>
        <w:t>Background</w:t>
      </w:r>
    </w:p>
    <w:p w:rsidR="00AE2B0C" w:rsidP="0068422E" w:rsidRDefault="00AE2B0C" w14:paraId="34A394C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u w:val="single"/>
        </w:rPr>
      </w:pPr>
    </w:p>
    <w:p w:rsidRPr="00F91B2A" w:rsidR="00AE2B0C" w:rsidP="0068422E" w:rsidRDefault="00AE2B0C" w14:paraId="0290108F" w14:textId="789DDA6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3E4706">
        <w:rPr>
          <w:rFonts w:ascii="Times New Roman" w:hAnsi="Times New Roman"/>
          <w:sz w:val="22"/>
          <w:szCs w:val="22"/>
        </w:rPr>
        <w:t xml:space="preserve">This is </w:t>
      </w:r>
      <w:r w:rsidRPr="003E4706" w:rsidR="009E08E9">
        <w:rPr>
          <w:rFonts w:ascii="Times New Roman" w:hAnsi="Times New Roman"/>
          <w:sz w:val="22"/>
          <w:szCs w:val="22"/>
        </w:rPr>
        <w:t>a</w:t>
      </w:r>
      <w:r w:rsidR="002C5E09">
        <w:rPr>
          <w:rFonts w:ascii="Times New Roman" w:hAnsi="Times New Roman"/>
          <w:sz w:val="22"/>
          <w:szCs w:val="22"/>
        </w:rPr>
        <w:t xml:space="preserve">n extension </w:t>
      </w:r>
      <w:r w:rsidRPr="003E4706">
        <w:rPr>
          <w:rFonts w:ascii="Times New Roman" w:hAnsi="Times New Roman"/>
          <w:sz w:val="22"/>
          <w:szCs w:val="22"/>
        </w:rPr>
        <w:t xml:space="preserve">of a </w:t>
      </w:r>
      <w:r w:rsidRPr="003E4706" w:rsidR="00785146">
        <w:rPr>
          <w:rFonts w:ascii="Times New Roman" w:hAnsi="Times New Roman"/>
          <w:sz w:val="22"/>
          <w:szCs w:val="22"/>
        </w:rPr>
        <w:t>previously</w:t>
      </w:r>
      <w:r w:rsidRPr="003E4706">
        <w:rPr>
          <w:rFonts w:ascii="Times New Roman" w:hAnsi="Times New Roman"/>
          <w:sz w:val="22"/>
          <w:szCs w:val="22"/>
        </w:rPr>
        <w:t xml:space="preserve"> approved data collection, Health Message Testing System (</w:t>
      </w:r>
      <w:r w:rsidRPr="003E4706" w:rsidR="00785146">
        <w:rPr>
          <w:rFonts w:ascii="Times New Roman" w:hAnsi="Times New Roman"/>
          <w:sz w:val="22"/>
          <w:szCs w:val="22"/>
        </w:rPr>
        <w:t xml:space="preserve">HMTS), 0920-0572, which </w:t>
      </w:r>
      <w:r w:rsidRPr="003E4706" w:rsidR="003E4706">
        <w:rPr>
          <w:rFonts w:ascii="Times New Roman" w:hAnsi="Times New Roman"/>
          <w:sz w:val="22"/>
          <w:szCs w:val="22"/>
        </w:rPr>
        <w:t xml:space="preserve">will </w:t>
      </w:r>
      <w:r w:rsidRPr="003E4706" w:rsidR="00785146">
        <w:rPr>
          <w:rFonts w:ascii="Times New Roman" w:hAnsi="Times New Roman"/>
          <w:sz w:val="22"/>
          <w:szCs w:val="22"/>
        </w:rPr>
        <w:t>expire</w:t>
      </w:r>
      <w:r w:rsidRPr="003E4706" w:rsidR="003E4706">
        <w:rPr>
          <w:rFonts w:ascii="Times New Roman" w:hAnsi="Times New Roman"/>
          <w:sz w:val="22"/>
          <w:szCs w:val="22"/>
        </w:rPr>
        <w:t xml:space="preserve"> </w:t>
      </w:r>
      <w:r w:rsidRPr="003E4706">
        <w:rPr>
          <w:rFonts w:ascii="Times New Roman" w:hAnsi="Times New Roman"/>
          <w:sz w:val="22"/>
          <w:szCs w:val="22"/>
        </w:rPr>
        <w:t xml:space="preserve">on </w:t>
      </w:r>
      <w:r w:rsidR="003E4706">
        <w:rPr>
          <w:rFonts w:ascii="Times New Roman" w:hAnsi="Times New Roman"/>
          <w:sz w:val="22"/>
          <w:szCs w:val="22"/>
        </w:rPr>
        <w:t>August 31,2021.</w:t>
      </w:r>
      <w:r>
        <w:rPr>
          <w:rFonts w:ascii="Times New Roman" w:hAnsi="Times New Roman"/>
          <w:sz w:val="22"/>
          <w:szCs w:val="22"/>
        </w:rPr>
        <w:t xml:space="preserve">  </w:t>
      </w:r>
      <w:r w:rsidRPr="002D5826" w:rsidR="00C57B30">
        <w:rPr>
          <w:rFonts w:ascii="Times New Roman" w:hAnsi="Times New Roman"/>
          <w:sz w:val="22"/>
          <w:szCs w:val="22"/>
        </w:rPr>
        <w:t xml:space="preserve">CDC is resubmitting </w:t>
      </w:r>
      <w:r w:rsidR="00C57B30">
        <w:rPr>
          <w:rFonts w:ascii="Times New Roman" w:hAnsi="Times New Roman"/>
          <w:sz w:val="22"/>
          <w:szCs w:val="22"/>
        </w:rPr>
        <w:t>its</w:t>
      </w:r>
      <w:r w:rsidRPr="002D5826" w:rsidR="00C57B30">
        <w:rPr>
          <w:rFonts w:ascii="Times New Roman" w:hAnsi="Times New Roman"/>
          <w:sz w:val="22"/>
          <w:szCs w:val="22"/>
        </w:rPr>
        <w:t xml:space="preserve"> generic clearance of </w:t>
      </w:r>
      <w:r w:rsidR="00C57B30">
        <w:rPr>
          <w:rFonts w:ascii="Times New Roman" w:hAnsi="Times New Roman"/>
          <w:sz w:val="22"/>
          <w:szCs w:val="22"/>
        </w:rPr>
        <w:t>the</w:t>
      </w:r>
      <w:r w:rsidRPr="002D5826" w:rsidR="00C57B30">
        <w:rPr>
          <w:rFonts w:ascii="Times New Roman" w:hAnsi="Times New Roman"/>
          <w:sz w:val="22"/>
          <w:szCs w:val="22"/>
        </w:rPr>
        <w:t xml:space="preserve"> HMTS</w:t>
      </w:r>
      <w:r w:rsidR="005864B7">
        <w:rPr>
          <w:rFonts w:ascii="Times New Roman" w:hAnsi="Times New Roman"/>
          <w:sz w:val="22"/>
          <w:szCs w:val="22"/>
        </w:rPr>
        <w:t xml:space="preserve"> and is</w:t>
      </w:r>
      <w:r w:rsidR="00C57B30">
        <w:rPr>
          <w:rFonts w:ascii="Times New Roman" w:hAnsi="Times New Roman"/>
          <w:sz w:val="22"/>
          <w:szCs w:val="22"/>
        </w:rPr>
        <w:t xml:space="preserve"> </w:t>
      </w:r>
      <w:r w:rsidR="009E08E9">
        <w:rPr>
          <w:rFonts w:ascii="Times New Roman" w:hAnsi="Times New Roman"/>
          <w:sz w:val="22"/>
          <w:szCs w:val="22"/>
        </w:rPr>
        <w:t>requesting approval</w:t>
      </w:r>
      <w:r w:rsidR="00C57B30">
        <w:rPr>
          <w:rFonts w:ascii="Times New Roman" w:hAnsi="Times New Roman"/>
          <w:sz w:val="22"/>
          <w:szCs w:val="22"/>
        </w:rPr>
        <w:t xml:space="preserve"> for an additional three y</w:t>
      </w:r>
      <w:r w:rsidRPr="002D5826" w:rsidR="00C57B30">
        <w:rPr>
          <w:rFonts w:ascii="Times New Roman" w:hAnsi="Times New Roman"/>
          <w:sz w:val="22"/>
          <w:szCs w:val="22"/>
        </w:rPr>
        <w:t>ears</w:t>
      </w:r>
      <w:r w:rsidR="00C57B30">
        <w:rPr>
          <w:rFonts w:ascii="Times New Roman" w:hAnsi="Times New Roman"/>
          <w:sz w:val="22"/>
          <w:szCs w:val="22"/>
        </w:rPr>
        <w:t xml:space="preserve">. </w:t>
      </w:r>
      <w:r w:rsidRPr="009903AC">
        <w:rPr>
          <w:rFonts w:ascii="Times New Roman" w:hAnsi="Times New Roman"/>
          <w:sz w:val="22"/>
          <w:szCs w:val="22"/>
        </w:rPr>
        <w:t>Upon re-approval, CDC program staff w</w:t>
      </w:r>
      <w:r w:rsidRPr="009903AC" w:rsidR="00956F97">
        <w:rPr>
          <w:rFonts w:ascii="Times New Roman" w:hAnsi="Times New Roman"/>
          <w:sz w:val="22"/>
          <w:szCs w:val="22"/>
        </w:rPr>
        <w:t xml:space="preserve">ould </w:t>
      </w:r>
      <w:r w:rsidRPr="009903AC">
        <w:rPr>
          <w:rFonts w:ascii="Times New Roman" w:hAnsi="Times New Roman"/>
          <w:sz w:val="22"/>
          <w:szCs w:val="22"/>
        </w:rPr>
        <w:t>submit requests to OMB for review a</w:t>
      </w:r>
      <w:r w:rsidRPr="009903AC" w:rsidR="00E76D39">
        <w:rPr>
          <w:rFonts w:ascii="Times New Roman" w:hAnsi="Times New Roman"/>
          <w:sz w:val="22"/>
          <w:szCs w:val="22"/>
        </w:rPr>
        <w:t>nd approval.  Each submission would</w:t>
      </w:r>
      <w:r w:rsidRPr="009903AC">
        <w:rPr>
          <w:rFonts w:ascii="Times New Roman" w:hAnsi="Times New Roman"/>
          <w:sz w:val="22"/>
          <w:szCs w:val="22"/>
        </w:rPr>
        <w:t xml:space="preserve"> consist of an approved template containing relevant information about the planned data collection and copies of the data collection instruments.</w:t>
      </w:r>
      <w:r w:rsidRPr="00F91B2A">
        <w:rPr>
          <w:rFonts w:ascii="Times New Roman" w:hAnsi="Times New Roman"/>
          <w:sz w:val="22"/>
          <w:szCs w:val="22"/>
        </w:rPr>
        <w:t xml:space="preserve">  </w:t>
      </w:r>
    </w:p>
    <w:p w:rsidRPr="00F91B2A" w:rsidR="00AE2B0C" w:rsidP="0068422E" w:rsidRDefault="00AE2B0C" w14:paraId="6BD7E52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2D5826" w:rsidR="004B4393" w:rsidP="0068422E" w:rsidRDefault="004B4393" w14:paraId="547E49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Before CDC disseminates a health message to the public, the message always undergoes scientific review.  However, reflecting the current state of scientific knowledge accurately provides no guarantee that the public will understand a health message or that the message will move people to take recommended action.</w:t>
      </w:r>
      <w:r w:rsidRPr="002D5826">
        <w:rPr>
          <w:rStyle w:val="FootnoteReference"/>
          <w:rFonts w:ascii="Times New Roman" w:hAnsi="Times New Roman"/>
          <w:sz w:val="22"/>
          <w:szCs w:val="22"/>
          <w:vertAlign w:val="superscript"/>
        </w:rPr>
        <w:footnoteReference w:id="1"/>
      </w:r>
      <w:r w:rsidRPr="002D5826">
        <w:rPr>
          <w:rFonts w:ascii="Times New Roman" w:hAnsi="Times New Roman"/>
          <w:sz w:val="22"/>
          <w:szCs w:val="22"/>
        </w:rPr>
        <w:t xml:space="preserve">  Communication theorists and researchers agree for health messages to be as clear and influential as possible, target audience members or representatives must be involved in developing the messages,</w:t>
      </w:r>
      <w:r w:rsidRPr="002D5826">
        <w:rPr>
          <w:rStyle w:val="FootnoteReference"/>
          <w:rFonts w:ascii="Times New Roman" w:hAnsi="Times New Roman"/>
          <w:sz w:val="22"/>
          <w:szCs w:val="22"/>
          <w:vertAlign w:val="superscript"/>
        </w:rPr>
        <w:footnoteReference w:id="2"/>
      </w:r>
      <w:r w:rsidRPr="002D5826">
        <w:rPr>
          <w:rFonts w:ascii="Times New Roman" w:hAnsi="Times New Roman"/>
          <w:sz w:val="22"/>
          <w:szCs w:val="22"/>
        </w:rPr>
        <w:t xml:space="preserve"> and provisional versions of the messages must be tested with members of the target audience.</w:t>
      </w:r>
      <w:r w:rsidRPr="002D5826">
        <w:rPr>
          <w:rStyle w:val="FootnoteReference"/>
          <w:rFonts w:ascii="Times New Roman" w:hAnsi="Times New Roman"/>
          <w:sz w:val="22"/>
          <w:szCs w:val="22"/>
          <w:vertAlign w:val="superscript"/>
        </w:rPr>
        <w:footnoteReference w:id="3"/>
      </w:r>
      <w:r w:rsidRPr="002D5826">
        <w:rPr>
          <w:rFonts w:ascii="Times New Roman" w:hAnsi="Times New Roman"/>
          <w:sz w:val="22"/>
          <w:szCs w:val="22"/>
          <w:vertAlign w:val="superscript"/>
        </w:rPr>
        <w:t xml:space="preserve">, </w:t>
      </w:r>
      <w:r w:rsidRPr="002D5826">
        <w:rPr>
          <w:rStyle w:val="FootnoteReference"/>
          <w:rFonts w:ascii="Times New Roman" w:hAnsi="Times New Roman"/>
          <w:sz w:val="22"/>
          <w:szCs w:val="22"/>
          <w:vertAlign w:val="superscript"/>
        </w:rPr>
        <w:footnoteReference w:id="4"/>
      </w:r>
    </w:p>
    <w:p w:rsidR="004B4393" w:rsidP="0068422E" w:rsidRDefault="007C5F92" w14:paraId="0BD5D578" w14:textId="77777777">
      <w:pPr>
        <w:pStyle w:val="BodyText"/>
        <w:jc w:val="left"/>
        <w:rPr>
          <w:sz w:val="22"/>
          <w:szCs w:val="22"/>
        </w:rPr>
      </w:pPr>
      <w:r>
        <w:rPr>
          <w:sz w:val="22"/>
          <w:szCs w:val="22"/>
        </w:rPr>
        <w:t>I</w:t>
      </w:r>
      <w:r w:rsidRPr="002D5826" w:rsidR="004B4393">
        <w:rPr>
          <w:sz w:val="22"/>
          <w:szCs w:val="22"/>
        </w:rPr>
        <w:t xml:space="preserve">ncreasingly there are circumstances when CDC must move swiftly to protect life, prevent disease, or calm public anxiety. Health message testing is even more important in these instances, because of the critical nature of the information need.    </w:t>
      </w:r>
    </w:p>
    <w:p w:rsidR="001C394F" w:rsidP="0068422E" w:rsidRDefault="001C394F" w14:paraId="256B11A5"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rsidRDefault="004B4393" w14:paraId="1790B17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In the interest of timely health message dissemination, many programs forgo the important step of testing messages on dimensions such as clarity, salience, appeal, and persuasiveness (i.e., the ability to influence behavioral intention).  Skipping this step avoids the delay involved in the standard OMB review process, but at a high potential cost.  Untested messages can waste communication resources and opportunities because the messages can be perceived as unclear or irrelevant.</w:t>
      </w:r>
      <w:r w:rsidRPr="002D5826">
        <w:rPr>
          <w:rStyle w:val="FootnoteReference"/>
          <w:rFonts w:ascii="Times New Roman" w:hAnsi="Times New Roman"/>
          <w:sz w:val="22"/>
          <w:szCs w:val="22"/>
          <w:vertAlign w:val="superscript"/>
        </w:rPr>
        <w:footnoteReference w:id="5"/>
      </w:r>
      <w:r w:rsidRPr="002D5826">
        <w:rPr>
          <w:rFonts w:ascii="Times New Roman" w:hAnsi="Times New Roman"/>
          <w:sz w:val="22"/>
          <w:szCs w:val="22"/>
        </w:rPr>
        <w:t xml:space="preserve"> Untested messages can also have </w:t>
      </w:r>
      <w:r w:rsidRPr="002D5826">
        <w:rPr>
          <w:rFonts w:ascii="Times New Roman" w:hAnsi="Times New Roman"/>
          <w:sz w:val="22"/>
          <w:szCs w:val="22"/>
        </w:rPr>
        <w:lastRenderedPageBreak/>
        <w:t>unintended consequences, such as jeopardizing the credibility of Federal health officials.</w:t>
      </w:r>
      <w:r w:rsidRPr="002D5826">
        <w:rPr>
          <w:rStyle w:val="FootnoteReference"/>
          <w:rFonts w:ascii="Times New Roman" w:hAnsi="Times New Roman"/>
          <w:sz w:val="22"/>
          <w:szCs w:val="22"/>
          <w:vertAlign w:val="superscript"/>
        </w:rPr>
        <w:footnoteReference w:id="6"/>
      </w:r>
      <w:r w:rsidRPr="002D5826">
        <w:rPr>
          <w:rFonts w:ascii="Times New Roman" w:hAnsi="Times New Roman"/>
          <w:sz w:val="22"/>
          <w:szCs w:val="22"/>
        </w:rPr>
        <w:t xml:space="preserve">  </w:t>
      </w:r>
    </w:p>
    <w:p w:rsidR="005A154E" w:rsidP="0068422E" w:rsidRDefault="005A154E" w14:paraId="24F624B6"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A154E" w:rsidP="0068422E" w:rsidRDefault="005A154E" w14:paraId="11EB303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It is very important to extend the HMTS package to:</w:t>
      </w:r>
    </w:p>
    <w:p w:rsidRPr="002D5826" w:rsidR="0068422E" w:rsidP="0068422E" w:rsidRDefault="0068422E" w14:paraId="06A55625"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2D5826" w:rsidR="005A154E" w:rsidP="0068422E" w:rsidRDefault="005A154E" w14:paraId="0FE68AB5" w14:textId="77777777">
      <w:pPr>
        <w:numPr>
          <w:ilvl w:val="0"/>
          <w:numId w:val="3"/>
        </w:numPr>
        <w:tabs>
          <w:tab w:val="left" w:pos="0"/>
          <w:tab w:val="left" w:pos="720"/>
        </w:tabs>
        <w:outlineLvl w:val="1"/>
        <w:rPr>
          <w:rFonts w:ascii="Times New Roman" w:hAnsi="Times New Roman"/>
          <w:sz w:val="22"/>
          <w:szCs w:val="22"/>
        </w:rPr>
      </w:pPr>
      <w:r w:rsidRPr="002D5826">
        <w:rPr>
          <w:rFonts w:ascii="Times New Roman" w:hAnsi="Times New Roman"/>
          <w:sz w:val="22"/>
          <w:szCs w:val="22"/>
        </w:rPr>
        <w:t>Encourage health communication program directors to test the clarity and effectiveness of urgent health messages.</w:t>
      </w:r>
    </w:p>
    <w:p w:rsidRPr="002D5826" w:rsidR="005A154E" w:rsidP="0068422E" w:rsidRDefault="005A154E" w14:paraId="1A63FD40" w14:textId="77777777">
      <w:pPr>
        <w:numPr>
          <w:ilvl w:val="0"/>
          <w:numId w:val="3"/>
        </w:numPr>
        <w:tabs>
          <w:tab w:val="left" w:pos="0"/>
          <w:tab w:val="left" w:pos="720"/>
        </w:tabs>
        <w:outlineLvl w:val="1"/>
        <w:rPr>
          <w:rFonts w:ascii="Times New Roman" w:hAnsi="Times New Roman"/>
          <w:sz w:val="22"/>
          <w:szCs w:val="22"/>
        </w:rPr>
      </w:pPr>
      <w:r w:rsidRPr="002D5826">
        <w:rPr>
          <w:rFonts w:ascii="Times New Roman" w:hAnsi="Times New Roman"/>
          <w:sz w:val="22"/>
          <w:szCs w:val="22"/>
        </w:rPr>
        <w:t xml:space="preserve">Maintain the credibility of the nation’s public health communication and bioterrorism preparedness efforts.     </w:t>
      </w:r>
    </w:p>
    <w:p w:rsidRPr="008D3811" w:rsidR="008D3811" w:rsidP="0068422E" w:rsidRDefault="008D3811" w14:paraId="08F73C45" w14:textId="77777777">
      <w:pPr>
        <w:tabs>
          <w:tab w:val="left" w:pos="0"/>
          <w:tab w:val="left" w:pos="720"/>
        </w:tabs>
        <w:snapToGrid w:val="0"/>
        <w:ind w:left="360"/>
        <w:outlineLvl w:val="1"/>
        <w:rPr>
          <w:rFonts w:ascii="Times New Roman" w:hAnsi="Times New Roman"/>
          <w:sz w:val="22"/>
          <w:szCs w:val="22"/>
        </w:rPr>
      </w:pPr>
    </w:p>
    <w:p w:rsidR="00E3615E" w:rsidP="0068422E" w:rsidRDefault="008D3811" w14:paraId="349D877A" w14:textId="460094D4">
      <w:pPr>
        <w:tabs>
          <w:tab w:val="left" w:pos="0"/>
          <w:tab w:val="left" w:pos="720"/>
        </w:tabs>
        <w:snapToGrid w:val="0"/>
        <w:outlineLvl w:val="1"/>
        <w:rPr>
          <w:rFonts w:ascii="Times New Roman" w:hAnsi="Times New Roman"/>
          <w:sz w:val="22"/>
          <w:szCs w:val="22"/>
        </w:rPr>
      </w:pPr>
      <w:r w:rsidRPr="008D3811">
        <w:rPr>
          <w:rFonts w:ascii="Times New Roman" w:hAnsi="Times New Roman"/>
          <w:sz w:val="22"/>
          <w:szCs w:val="22"/>
        </w:rPr>
        <w:t>For many years CDC programs have used HMTS to test and refine</w:t>
      </w:r>
      <w:r>
        <w:rPr>
          <w:rFonts w:ascii="Times New Roman" w:hAnsi="Times New Roman"/>
          <w:sz w:val="22"/>
          <w:szCs w:val="22"/>
        </w:rPr>
        <w:t xml:space="preserve"> </w:t>
      </w:r>
      <w:r w:rsidRPr="008D3811">
        <w:rPr>
          <w:rFonts w:ascii="Times New Roman" w:hAnsi="Times New Roman"/>
          <w:sz w:val="22"/>
          <w:szCs w:val="22"/>
        </w:rPr>
        <w:t>message concepts and test draft materials for clarity, salience, appeal, and persuasiveness to target audiences.  Having this generic clearance available has enabled them to test their information and get critical health information out to the public quickly.  Over th</w:t>
      </w:r>
      <w:r w:rsidR="008C004A">
        <w:rPr>
          <w:rFonts w:ascii="Times New Roman" w:hAnsi="Times New Roman"/>
          <w:sz w:val="22"/>
          <w:szCs w:val="22"/>
        </w:rPr>
        <w:t>e last three years</w:t>
      </w:r>
      <w:r w:rsidRPr="0099709C" w:rsidR="008C004A">
        <w:rPr>
          <w:rFonts w:ascii="Times New Roman" w:hAnsi="Times New Roman"/>
          <w:sz w:val="22"/>
          <w:szCs w:val="22"/>
        </w:rPr>
        <w:t>, more than 3</w:t>
      </w:r>
      <w:r w:rsidRPr="0099709C" w:rsidR="0099709C">
        <w:rPr>
          <w:rFonts w:ascii="Times New Roman" w:hAnsi="Times New Roman"/>
          <w:sz w:val="22"/>
          <w:szCs w:val="22"/>
        </w:rPr>
        <w:t>2</w:t>
      </w:r>
      <w:r w:rsidRPr="0099709C">
        <w:rPr>
          <w:rFonts w:ascii="Times New Roman" w:hAnsi="Times New Roman"/>
          <w:sz w:val="22"/>
          <w:szCs w:val="22"/>
        </w:rPr>
        <w:t xml:space="preserve"> messages have been tested using this clearance.</w:t>
      </w:r>
      <w:r w:rsidRPr="008D3811">
        <w:rPr>
          <w:rFonts w:ascii="Times New Roman" w:hAnsi="Times New Roman"/>
          <w:sz w:val="22"/>
          <w:szCs w:val="22"/>
        </w:rPr>
        <w:t xml:space="preserve">  </w:t>
      </w:r>
      <w:bookmarkStart w:name="_Hlk71552334" w:id="2"/>
      <w:r w:rsidRPr="008D3811">
        <w:rPr>
          <w:rFonts w:ascii="Times New Roman" w:hAnsi="Times New Roman"/>
          <w:sz w:val="22"/>
          <w:szCs w:val="22"/>
        </w:rPr>
        <w:t xml:space="preserve">For example:  </w:t>
      </w:r>
      <w:r w:rsidRPr="00E3615E" w:rsidR="00E3615E">
        <w:rPr>
          <w:rFonts w:ascii="Times New Roman" w:hAnsi="Times New Roman"/>
          <w:i/>
          <w:iCs/>
          <w:sz w:val="22"/>
          <w:szCs w:val="22"/>
        </w:rPr>
        <w:t xml:space="preserve">CDC Older Adult Injury Prevention Creative Campaign </w:t>
      </w:r>
      <w:r w:rsidR="00E3615E">
        <w:rPr>
          <w:rFonts w:ascii="Times New Roman" w:hAnsi="Times New Roman"/>
          <w:i/>
          <w:iCs/>
          <w:sz w:val="22"/>
          <w:szCs w:val="22"/>
        </w:rPr>
        <w:t>–</w:t>
      </w:r>
      <w:r w:rsidRPr="00E3615E" w:rsidR="00E3615E">
        <w:rPr>
          <w:rFonts w:ascii="Times New Roman" w:hAnsi="Times New Roman"/>
          <w:i/>
          <w:iCs/>
          <w:sz w:val="22"/>
          <w:szCs w:val="22"/>
        </w:rPr>
        <w:t xml:space="preserve"> Survey</w:t>
      </w:r>
      <w:r w:rsidR="00E3615E">
        <w:rPr>
          <w:rFonts w:ascii="Times New Roman" w:hAnsi="Times New Roman"/>
          <w:i/>
          <w:iCs/>
          <w:sz w:val="22"/>
          <w:szCs w:val="22"/>
        </w:rPr>
        <w:t>.</w:t>
      </w:r>
      <w:r w:rsidRPr="00E3615E" w:rsidR="00E3615E">
        <w:t xml:space="preserve"> </w:t>
      </w:r>
      <w:r w:rsidRPr="00E3615E" w:rsidR="00E3615E">
        <w:rPr>
          <w:rFonts w:ascii="Times New Roman" w:hAnsi="Times New Roman"/>
          <w:sz w:val="22"/>
          <w:szCs w:val="22"/>
        </w:rPr>
        <w:t>T</w:t>
      </w:r>
      <w:r w:rsidR="00E3615E">
        <w:rPr>
          <w:rFonts w:ascii="Times New Roman" w:hAnsi="Times New Roman"/>
          <w:sz w:val="22"/>
          <w:szCs w:val="22"/>
        </w:rPr>
        <w:t xml:space="preserve">his </w:t>
      </w:r>
      <w:r w:rsidRPr="00E3615E" w:rsidR="00E3615E">
        <w:rPr>
          <w:rFonts w:ascii="Times New Roman" w:hAnsi="Times New Roman"/>
          <w:sz w:val="22"/>
          <w:szCs w:val="22"/>
        </w:rPr>
        <w:t xml:space="preserve"> health communication campaign aim</w:t>
      </w:r>
      <w:r w:rsidR="00E3615E">
        <w:rPr>
          <w:rFonts w:ascii="Times New Roman" w:hAnsi="Times New Roman"/>
          <w:sz w:val="22"/>
          <w:szCs w:val="22"/>
        </w:rPr>
        <w:t>ed</w:t>
      </w:r>
      <w:r w:rsidRPr="00E3615E" w:rsidR="00E3615E">
        <w:rPr>
          <w:rFonts w:ascii="Times New Roman" w:hAnsi="Times New Roman"/>
          <w:sz w:val="22"/>
          <w:szCs w:val="22"/>
        </w:rPr>
        <w:t xml:space="preserve"> to support and expand upon CDC's older adult injury prevention efforts and to raise awareness among older adults and their caregivers about preventable injuries that disproportionately impact them, steps to reduce their risk of injuries, and increase education about risk factors.</w:t>
      </w:r>
      <w:r w:rsidR="00E3615E">
        <w:rPr>
          <w:rFonts w:ascii="Times New Roman" w:hAnsi="Times New Roman"/>
          <w:sz w:val="22"/>
          <w:szCs w:val="22"/>
        </w:rPr>
        <w:t xml:space="preserve"> </w:t>
      </w:r>
      <w:r w:rsidRPr="00E3615E" w:rsidR="00E3615E">
        <w:rPr>
          <w:rFonts w:ascii="Times New Roman" w:hAnsi="Times New Roman"/>
          <w:sz w:val="22"/>
          <w:szCs w:val="22"/>
        </w:rPr>
        <w:t>Information collected can assist in the most effective use of CDC communication resources and opportunities by assessing clarity, appeal, persuasiveness and effectiveness of campaign material and advertisements (e.g. poster or video advertisement).</w:t>
      </w:r>
    </w:p>
    <w:p w:rsidR="00E3615E" w:rsidP="0068422E" w:rsidRDefault="00E3615E" w14:paraId="1F5A5991" w14:textId="682ACD44">
      <w:pPr>
        <w:tabs>
          <w:tab w:val="left" w:pos="0"/>
          <w:tab w:val="left" w:pos="720"/>
        </w:tabs>
        <w:snapToGrid w:val="0"/>
        <w:outlineLvl w:val="1"/>
        <w:rPr>
          <w:rFonts w:ascii="Times New Roman" w:hAnsi="Times New Roman"/>
          <w:sz w:val="22"/>
          <w:szCs w:val="22"/>
        </w:rPr>
      </w:pPr>
    </w:p>
    <w:p w:rsidR="00FA78AC" w:rsidP="0068422E" w:rsidRDefault="00FA78AC" w14:paraId="118099D8" w14:textId="47994893">
      <w:pPr>
        <w:tabs>
          <w:tab w:val="left" w:pos="0"/>
          <w:tab w:val="left" w:pos="720"/>
        </w:tabs>
        <w:snapToGrid w:val="0"/>
        <w:outlineLvl w:val="1"/>
        <w:rPr>
          <w:rFonts w:ascii="Times New Roman" w:hAnsi="Times New Roman"/>
          <w:sz w:val="22"/>
          <w:szCs w:val="22"/>
        </w:rPr>
      </w:pPr>
      <w:r w:rsidRPr="00FA78AC">
        <w:rPr>
          <w:rFonts w:ascii="Times New Roman" w:hAnsi="Times New Roman"/>
          <w:sz w:val="22"/>
          <w:szCs w:val="22"/>
        </w:rPr>
        <w:t>The</w:t>
      </w:r>
      <w:r>
        <w:rPr>
          <w:rFonts w:ascii="Times New Roman" w:hAnsi="Times New Roman"/>
          <w:sz w:val="22"/>
          <w:szCs w:val="22"/>
        </w:rPr>
        <w:t xml:space="preserve"> </w:t>
      </w:r>
      <w:r w:rsidRPr="00FA78AC">
        <w:rPr>
          <w:rFonts w:ascii="Times New Roman" w:hAnsi="Times New Roman"/>
          <w:sz w:val="22"/>
          <w:szCs w:val="22"/>
        </w:rPr>
        <w:t xml:space="preserve">Division of Tuberculosis Elimination (DTBE) </w:t>
      </w:r>
      <w:r>
        <w:rPr>
          <w:rFonts w:ascii="Times New Roman" w:hAnsi="Times New Roman"/>
          <w:sz w:val="22"/>
          <w:szCs w:val="22"/>
        </w:rPr>
        <w:t xml:space="preserve">obtained OMB approval through HMTS </w:t>
      </w:r>
      <w:r w:rsidRPr="00FA78AC">
        <w:rPr>
          <w:rFonts w:ascii="Times New Roman" w:hAnsi="Times New Roman"/>
          <w:sz w:val="22"/>
          <w:szCs w:val="22"/>
        </w:rPr>
        <w:t>for</w:t>
      </w:r>
      <w:r w:rsidRPr="00FA78AC">
        <w:rPr>
          <w:rFonts w:ascii="Times New Roman" w:hAnsi="Times New Roman"/>
          <w:i/>
          <w:iCs/>
          <w:sz w:val="22"/>
          <w:szCs w:val="22"/>
        </w:rPr>
        <w:t xml:space="preserve"> Health Communications Testing for Latent Tuberculosis Infections Campaign</w:t>
      </w:r>
      <w:r>
        <w:rPr>
          <w:rFonts w:ascii="Times New Roman" w:hAnsi="Times New Roman"/>
          <w:i/>
          <w:iCs/>
          <w:sz w:val="22"/>
          <w:szCs w:val="22"/>
        </w:rPr>
        <w:t xml:space="preserve"> </w:t>
      </w:r>
      <w:r>
        <w:rPr>
          <w:rFonts w:ascii="Times New Roman" w:hAnsi="Times New Roman"/>
          <w:sz w:val="22"/>
          <w:szCs w:val="22"/>
        </w:rPr>
        <w:t xml:space="preserve">for CDC’s </w:t>
      </w:r>
      <w:r w:rsidRPr="00FA78AC">
        <w:rPr>
          <w:rFonts w:ascii="Times New Roman" w:hAnsi="Times New Roman"/>
          <w:sz w:val="22"/>
          <w:szCs w:val="22"/>
        </w:rPr>
        <w:t>National Center for HIV/AIDS, Viral Hepatitis, STD, and TB Prevention</w:t>
      </w:r>
      <w:r>
        <w:rPr>
          <w:rFonts w:ascii="Times New Roman" w:hAnsi="Times New Roman"/>
          <w:sz w:val="22"/>
          <w:szCs w:val="22"/>
        </w:rPr>
        <w:t xml:space="preserve">. </w:t>
      </w:r>
      <w:r w:rsidRPr="00FA78AC">
        <w:rPr>
          <w:rFonts w:ascii="Times New Roman" w:hAnsi="Times New Roman"/>
          <w:sz w:val="22"/>
          <w:szCs w:val="22"/>
        </w:rPr>
        <w:t>This formative information collection wi</w:t>
      </w:r>
      <w:r>
        <w:rPr>
          <w:rFonts w:ascii="Times New Roman" w:hAnsi="Times New Roman"/>
          <w:sz w:val="22"/>
          <w:szCs w:val="22"/>
        </w:rPr>
        <w:t>ll be sued to i</w:t>
      </w:r>
      <w:r w:rsidRPr="00FA78AC">
        <w:rPr>
          <w:rFonts w:ascii="Times New Roman" w:hAnsi="Times New Roman"/>
          <w:sz w:val="22"/>
          <w:szCs w:val="22"/>
        </w:rPr>
        <w:t>nform NCHHSTP DTBE’s future public service campaign efforts targeted to consumers at high-risk for LTBI and the providers who serve them. This information collection activity is essential because it will provide CDC with effective messages for communicating about this disease and infection to motivate at-risk consumers to get preventive screening and, if infected, treatment, and to motivate healthcare providers to encourage testing and early detection.</w:t>
      </w:r>
    </w:p>
    <w:p w:rsidRPr="00E3615E" w:rsidR="00FA78AC" w:rsidP="0068422E" w:rsidRDefault="00FA78AC" w14:paraId="04563D4F" w14:textId="77777777">
      <w:pPr>
        <w:tabs>
          <w:tab w:val="left" w:pos="0"/>
          <w:tab w:val="left" w:pos="720"/>
        </w:tabs>
        <w:snapToGrid w:val="0"/>
        <w:outlineLvl w:val="1"/>
        <w:rPr>
          <w:rFonts w:ascii="Times New Roman" w:hAnsi="Times New Roman"/>
          <w:sz w:val="22"/>
          <w:szCs w:val="22"/>
        </w:rPr>
      </w:pPr>
    </w:p>
    <w:p w:rsidRPr="00FA78AC" w:rsidR="00E3615E" w:rsidP="0068422E" w:rsidRDefault="00FA78AC" w14:paraId="6935B629" w14:textId="3451F7B9">
      <w:pPr>
        <w:tabs>
          <w:tab w:val="left" w:pos="0"/>
          <w:tab w:val="left" w:pos="720"/>
        </w:tabs>
        <w:snapToGrid w:val="0"/>
        <w:outlineLvl w:val="1"/>
        <w:rPr>
          <w:rFonts w:ascii="Times New Roman" w:hAnsi="Times New Roman"/>
          <w:sz w:val="22"/>
          <w:szCs w:val="22"/>
        </w:rPr>
      </w:pPr>
      <w:r w:rsidRPr="00FA78AC">
        <w:rPr>
          <w:rFonts w:ascii="Times New Roman" w:hAnsi="Times New Roman"/>
          <w:sz w:val="22"/>
          <w:szCs w:val="22"/>
        </w:rPr>
        <w:t xml:space="preserve">The Division of Diabetes Translation obtained OMB approval through HMTS for </w:t>
      </w:r>
      <w:r w:rsidRPr="00FA78AC">
        <w:rPr>
          <w:rFonts w:ascii="Times New Roman" w:hAnsi="Times New Roman"/>
          <w:i/>
          <w:iCs/>
          <w:sz w:val="22"/>
          <w:szCs w:val="22"/>
        </w:rPr>
        <w:t>Message Testing for Diabetes Self-Management Education and Support (DSMES) Marketing Support: Card Sort Activity</w:t>
      </w:r>
      <w:r>
        <w:rPr>
          <w:rFonts w:ascii="Times New Roman" w:hAnsi="Times New Roman"/>
          <w:i/>
          <w:iCs/>
          <w:sz w:val="22"/>
          <w:szCs w:val="22"/>
        </w:rPr>
        <w:t xml:space="preserve">. </w:t>
      </w:r>
      <w:r w:rsidRPr="00FA78AC">
        <w:rPr>
          <w:rFonts w:ascii="Times New Roman" w:hAnsi="Times New Roman"/>
          <w:sz w:val="22"/>
          <w:szCs w:val="22"/>
        </w:rPr>
        <w:t>Findings from this message testing effort w</w:t>
      </w:r>
      <w:r w:rsidR="00E76EAD">
        <w:rPr>
          <w:rFonts w:ascii="Times New Roman" w:hAnsi="Times New Roman"/>
          <w:sz w:val="22"/>
          <w:szCs w:val="22"/>
        </w:rPr>
        <w:t xml:space="preserve">ere </w:t>
      </w:r>
      <w:r w:rsidRPr="00FA78AC">
        <w:rPr>
          <w:rFonts w:ascii="Times New Roman" w:hAnsi="Times New Roman"/>
          <w:sz w:val="22"/>
          <w:szCs w:val="22"/>
        </w:rPr>
        <w:t>used by the Centers for Disease Control and Prevention’s (CDC) Division of Diabetes Translation (DDT) to inform how best to communicate with key audiences about DSMES services. Specifically, information about which attributes of DSMES services are most important to each audience will be identified and will serve as the basis for messages developed to promote DSMES services. This work will help increase the likelihood that messages will resonate and be understood as intended.</w:t>
      </w:r>
    </w:p>
    <w:p w:rsidRPr="008D3811" w:rsidR="008D3811" w:rsidP="00E76EAD" w:rsidRDefault="008D3811" w14:paraId="037BE18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8D3811" w:rsidR="008D3811" w:rsidP="0068422E" w:rsidRDefault="00F13FFC" w14:paraId="4288EC10" w14:textId="5EC5941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09379E">
        <w:rPr>
          <w:rFonts w:ascii="Times New Roman" w:hAnsi="Times New Roman"/>
          <w:sz w:val="22"/>
          <w:szCs w:val="22"/>
        </w:rPr>
        <w:t xml:space="preserve">Over </w:t>
      </w:r>
      <w:r w:rsidRPr="0009379E" w:rsidR="0009379E">
        <w:rPr>
          <w:rFonts w:ascii="Times New Roman" w:hAnsi="Times New Roman"/>
          <w:sz w:val="22"/>
          <w:szCs w:val="22"/>
        </w:rPr>
        <w:t>27,696</w:t>
      </w:r>
      <w:r w:rsidRPr="0009379E" w:rsidR="008D3811">
        <w:rPr>
          <w:rFonts w:ascii="Times New Roman" w:hAnsi="Times New Roman"/>
          <w:sz w:val="22"/>
          <w:szCs w:val="22"/>
        </w:rPr>
        <w:t xml:space="preserve"> res</w:t>
      </w:r>
      <w:r w:rsidRPr="0009379E">
        <w:rPr>
          <w:rFonts w:ascii="Times New Roman" w:hAnsi="Times New Roman"/>
          <w:sz w:val="22"/>
          <w:szCs w:val="22"/>
        </w:rPr>
        <w:t xml:space="preserve">pondents were queried and over </w:t>
      </w:r>
      <w:r w:rsidRPr="0009379E" w:rsidR="0099709C">
        <w:rPr>
          <w:rFonts w:ascii="Times New Roman" w:hAnsi="Times New Roman"/>
          <w:sz w:val="22"/>
          <w:szCs w:val="22"/>
        </w:rPr>
        <w:t>6,100</w:t>
      </w:r>
      <w:r w:rsidRPr="0009379E" w:rsidR="008D3811">
        <w:rPr>
          <w:rFonts w:ascii="Times New Roman" w:hAnsi="Times New Roman"/>
          <w:sz w:val="22"/>
          <w:szCs w:val="22"/>
        </w:rPr>
        <w:t xml:space="preserve"> burden hours used during this </w:t>
      </w:r>
      <w:proofErr w:type="gramStart"/>
      <w:r w:rsidRPr="0009379E" w:rsidR="008D3811">
        <w:rPr>
          <w:rFonts w:ascii="Times New Roman" w:hAnsi="Times New Roman"/>
          <w:sz w:val="22"/>
          <w:szCs w:val="22"/>
        </w:rPr>
        <w:t>time period</w:t>
      </w:r>
      <w:proofErr w:type="gramEnd"/>
      <w:r w:rsidRPr="0009379E" w:rsidR="008D3811">
        <w:rPr>
          <w:rFonts w:ascii="Times New Roman" w:hAnsi="Times New Roman"/>
          <w:sz w:val="22"/>
          <w:szCs w:val="22"/>
        </w:rPr>
        <w:t>.</w:t>
      </w:r>
      <w:r w:rsidRPr="008D3811" w:rsidR="008D3811">
        <w:rPr>
          <w:rFonts w:ascii="Times New Roman" w:hAnsi="Times New Roman"/>
          <w:sz w:val="22"/>
          <w:szCs w:val="22"/>
        </w:rPr>
        <w:t xml:space="preserve">  Because the availability of this ICR has been so critical to programs in disseminating their materials and information to the public in a timely manner, </w:t>
      </w:r>
      <w:r w:rsidRPr="008D3811" w:rsidR="008D3811">
        <w:rPr>
          <w:rFonts w:ascii="Times New Roman" w:hAnsi="Times New Roman"/>
          <w:color w:val="000000"/>
          <w:sz w:val="22"/>
          <w:szCs w:val="22"/>
        </w:rPr>
        <w:t xml:space="preserve">OADC is requesting a three year </w:t>
      </w:r>
      <w:r w:rsidR="00785146">
        <w:rPr>
          <w:rFonts w:ascii="Times New Roman" w:hAnsi="Times New Roman"/>
          <w:color w:val="000000"/>
          <w:sz w:val="22"/>
          <w:szCs w:val="22"/>
        </w:rPr>
        <w:t>approval</w:t>
      </w:r>
      <w:r w:rsidRPr="008D3811" w:rsidR="008D3811">
        <w:rPr>
          <w:rFonts w:ascii="Times New Roman" w:hAnsi="Times New Roman"/>
          <w:color w:val="000000"/>
          <w:sz w:val="22"/>
          <w:szCs w:val="22"/>
        </w:rPr>
        <w:t xml:space="preserve"> of this information collection. </w:t>
      </w:r>
    </w:p>
    <w:bookmarkEnd w:id="2"/>
    <w:p w:rsidR="00B402E0" w:rsidP="0068422E" w:rsidRDefault="00B402E0" w14:paraId="19D4F5B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rsidRDefault="004B4393" w14:paraId="19E3F18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D5826">
        <w:rPr>
          <w:rFonts w:ascii="Times New Roman" w:hAnsi="Times New Roman"/>
          <w:sz w:val="22"/>
          <w:szCs w:val="22"/>
        </w:rPr>
        <w:t>The CDC is authorized to conduct research with the public under the Public Health Service Act (41USC 241) Section 301</w:t>
      </w:r>
      <w:r w:rsidRPr="002D5826">
        <w:rPr>
          <w:sz w:val="22"/>
          <w:szCs w:val="22"/>
        </w:rPr>
        <w:t xml:space="preserve"> </w:t>
      </w:r>
      <w:r w:rsidRPr="000404D9">
        <w:rPr>
          <w:sz w:val="22"/>
          <w:szCs w:val="22"/>
        </w:rPr>
        <w:t xml:space="preserve">(see </w:t>
      </w:r>
      <w:r w:rsidRPr="000404D9">
        <w:rPr>
          <w:i/>
          <w:sz w:val="22"/>
          <w:szCs w:val="22"/>
        </w:rPr>
        <w:t>Attachment 1</w:t>
      </w:r>
      <w:r w:rsidRPr="000404D9">
        <w:rPr>
          <w:sz w:val="22"/>
          <w:szCs w:val="22"/>
        </w:rPr>
        <w:t>).</w:t>
      </w:r>
    </w:p>
    <w:p w:rsidR="009903AC" w:rsidP="0068422E" w:rsidRDefault="009903AC" w14:paraId="58B6C0A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0404D9" w:rsidR="009903AC" w:rsidP="0068422E" w:rsidRDefault="009903AC" w14:paraId="7608DDD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4B4393" w:rsidP="0068422E" w:rsidRDefault="004B4393" w14:paraId="4D337CE3"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A.2.</w:t>
      </w:r>
      <w:r>
        <w:rPr>
          <w:b/>
        </w:rPr>
        <w:tab/>
      </w:r>
      <w:r w:rsidRPr="003F279D">
        <w:rPr>
          <w:b/>
        </w:rPr>
        <w:t>Purposes and Use of Information Collection</w:t>
      </w:r>
    </w:p>
    <w:p w:rsidR="00C83D0E" w:rsidP="0068422E" w:rsidRDefault="00C83D0E" w14:paraId="4B4AED0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C83D0E" w:rsidP="0068422E" w:rsidRDefault="00C83D0E" w14:paraId="1472FF5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D3811">
        <w:rPr>
          <w:rFonts w:ascii="Times New Roman" w:hAnsi="Times New Roman"/>
          <w:sz w:val="22"/>
          <w:szCs w:val="22"/>
        </w:rPr>
        <w:t>The Health Message Testing System (HMTS), a generic information collection, enables</w:t>
      </w:r>
      <w:r>
        <w:rPr>
          <w:rFonts w:cs="Courier New"/>
        </w:rPr>
        <w:t xml:space="preserve"> programs </w:t>
      </w:r>
      <w:r w:rsidRPr="008D3811">
        <w:rPr>
          <w:rFonts w:ascii="Times New Roman" w:hAnsi="Times New Roman"/>
          <w:sz w:val="22"/>
          <w:szCs w:val="22"/>
        </w:rPr>
        <w:t>across CDC to collect the information they require in a timely manner</w:t>
      </w:r>
      <w:r>
        <w:rPr>
          <w:rFonts w:ascii="Times New Roman" w:hAnsi="Times New Roman"/>
          <w:sz w:val="22"/>
          <w:szCs w:val="22"/>
        </w:rPr>
        <w:t xml:space="preserve"> </w:t>
      </w:r>
      <w:r w:rsidRPr="008D3811">
        <w:rPr>
          <w:rFonts w:ascii="Times New Roman" w:hAnsi="Times New Roman"/>
          <w:sz w:val="22"/>
          <w:szCs w:val="22"/>
        </w:rPr>
        <w:t>to:</w:t>
      </w:r>
    </w:p>
    <w:p w:rsidR="00C83D0E" w:rsidP="0068422E" w:rsidRDefault="00C83D0E" w14:paraId="1ABAFE2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C83D0E" w:rsidP="0068422E" w:rsidRDefault="00C83D0E" w14:paraId="12B6066D" w14:textId="77777777">
      <w:pPr>
        <w:numPr>
          <w:ilvl w:val="0"/>
          <w:numId w:val="43"/>
        </w:numPr>
        <w:tabs>
          <w:tab w:val="left" w:pos="0"/>
          <w:tab w:val="left" w:pos="720"/>
        </w:tabs>
        <w:autoSpaceDN w:val="0"/>
        <w:snapToGrid w:val="0"/>
        <w:outlineLvl w:val="1"/>
        <w:rPr>
          <w:rFonts w:ascii="Times New Roman" w:hAnsi="Times New Roman"/>
          <w:sz w:val="22"/>
          <w:szCs w:val="22"/>
        </w:rPr>
      </w:pPr>
      <w:r w:rsidRPr="008D3811">
        <w:rPr>
          <w:rFonts w:ascii="Times New Roman" w:hAnsi="Times New Roman"/>
          <w:sz w:val="22"/>
          <w:szCs w:val="22"/>
        </w:rPr>
        <w:t xml:space="preserve">Ensure quality and prevent waste in the dissemination of health information by CDC to the public.  </w:t>
      </w:r>
    </w:p>
    <w:p w:rsidR="00C83D0E" w:rsidP="0068422E" w:rsidRDefault="00C83D0E" w14:paraId="6C2143A9" w14:textId="77777777">
      <w:pPr>
        <w:numPr>
          <w:ilvl w:val="0"/>
          <w:numId w:val="43"/>
        </w:numPr>
        <w:tabs>
          <w:tab w:val="left" w:pos="0"/>
          <w:tab w:val="left" w:pos="720"/>
        </w:tabs>
        <w:autoSpaceDN w:val="0"/>
        <w:snapToGrid w:val="0"/>
        <w:outlineLvl w:val="1"/>
        <w:rPr>
          <w:rFonts w:ascii="Times New Roman" w:hAnsi="Times New Roman"/>
          <w:sz w:val="22"/>
          <w:szCs w:val="22"/>
        </w:rPr>
      </w:pPr>
      <w:r w:rsidRPr="008D3811">
        <w:rPr>
          <w:rFonts w:ascii="Times New Roman" w:hAnsi="Times New Roman"/>
          <w:sz w:val="22"/>
          <w:szCs w:val="22"/>
        </w:rPr>
        <w:t>Refine message concepts and to test draft materials for clarity, salience, appeal, and persuasiveness to target audiences.</w:t>
      </w:r>
    </w:p>
    <w:p w:rsidRPr="008D3811" w:rsidR="00C83D0E" w:rsidP="0068422E" w:rsidRDefault="00C83D0E" w14:paraId="532D8FD9" w14:textId="77777777">
      <w:pPr>
        <w:numPr>
          <w:ilvl w:val="0"/>
          <w:numId w:val="43"/>
        </w:numPr>
        <w:tabs>
          <w:tab w:val="left" w:pos="0"/>
          <w:tab w:val="left" w:pos="720"/>
        </w:tabs>
        <w:autoSpaceDN w:val="0"/>
        <w:snapToGrid w:val="0"/>
        <w:outlineLvl w:val="1"/>
        <w:rPr>
          <w:rFonts w:ascii="Times New Roman" w:hAnsi="Times New Roman"/>
          <w:sz w:val="22"/>
          <w:szCs w:val="22"/>
        </w:rPr>
      </w:pPr>
      <w:r w:rsidRPr="008D3811">
        <w:rPr>
          <w:rFonts w:ascii="Times New Roman" w:hAnsi="Times New Roman"/>
          <w:sz w:val="22"/>
          <w:szCs w:val="22"/>
        </w:rPr>
        <w:t>Guide the action of health communication officials who are responding to health emergencies, Congressionally-mandated campaigns with short timeframes, media-generated public concern, time-limited communication opportunities, trends, and the need to refresh materials or dissemination strategies in an ongoing campaign.</w:t>
      </w:r>
    </w:p>
    <w:p w:rsidRPr="008D3811" w:rsidR="00C83D0E" w:rsidP="0068422E" w:rsidRDefault="00C83D0E" w14:paraId="15F44F93" w14:textId="77777777">
      <w:pPr>
        <w:tabs>
          <w:tab w:val="left" w:pos="0"/>
          <w:tab w:val="left" w:pos="720"/>
        </w:tabs>
        <w:snapToGrid w:val="0"/>
        <w:ind w:left="360"/>
        <w:outlineLvl w:val="1"/>
        <w:rPr>
          <w:rFonts w:ascii="Times New Roman" w:hAnsi="Times New Roman"/>
          <w:sz w:val="22"/>
          <w:szCs w:val="22"/>
        </w:rPr>
      </w:pPr>
    </w:p>
    <w:p w:rsidRPr="008D3811" w:rsidR="00C83D0E" w:rsidP="0068422E" w:rsidRDefault="00C83D0E" w14:paraId="589D88C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D3811">
        <w:rPr>
          <w:rFonts w:ascii="Times New Roman" w:hAnsi="Times New Roman"/>
          <w:sz w:val="22"/>
          <w:szCs w:val="22"/>
        </w:rPr>
        <w:t>Message testing questions will focus on issues such as comprehension, impressions, personal relevance, content and wording, efficacy of response, channels, and spokesperson/sponsor.  Such information will enable message developers to enhance the effectiveness of messages for intended audiences.</w:t>
      </w:r>
    </w:p>
    <w:p w:rsidRPr="008D3811" w:rsidR="00C83D0E" w:rsidP="0068422E" w:rsidRDefault="00C83D0E" w14:paraId="2E9513F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szCs w:val="22"/>
        </w:rPr>
      </w:pPr>
    </w:p>
    <w:p w:rsidR="00C83D0E" w:rsidP="0068422E" w:rsidRDefault="00C83D0E" w14:paraId="282C6E49" w14:textId="188DE27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D3811">
        <w:rPr>
          <w:rFonts w:ascii="Times New Roman" w:hAnsi="Times New Roman"/>
          <w:sz w:val="22"/>
          <w:szCs w:val="22"/>
        </w:rPr>
        <w:t>Data collection methods proposed for HMTS includes intercept interviews, telephone interviews, focus groups, online surveys, and cognitive interviews. In almost all instances, data will be collected by outside organizations under contract with CDC</w:t>
      </w:r>
      <w:r w:rsidR="00B82BBE">
        <w:rPr>
          <w:rFonts w:ascii="Times New Roman" w:hAnsi="Times New Roman"/>
          <w:sz w:val="22"/>
          <w:szCs w:val="22"/>
        </w:rPr>
        <w:t>.</w:t>
      </w:r>
    </w:p>
    <w:p w:rsidRPr="003F279D" w:rsidR="00C83D0E" w:rsidP="0068422E" w:rsidRDefault="00C83D0E" w14:paraId="4B8FA1CA"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Pr="002D5826" w:rsidR="004B4393" w:rsidP="0068422E" w:rsidRDefault="004B4393" w14:paraId="603E8FD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91B2A">
        <w:rPr>
          <w:rFonts w:ascii="Times New Roman" w:hAnsi="Times New Roman"/>
          <w:sz w:val="22"/>
          <w:szCs w:val="22"/>
        </w:rPr>
        <w:t>Because every testing instrument will be based on specific health issues or topics, it is not possible to develop one instrument for use in all instances.  However, the same kinds of questions are asked in most message testing.  This package includes generic questions and formats that can used to develop health message testing</w:t>
      </w:r>
      <w:r w:rsidRPr="00F91B2A">
        <w:rPr>
          <w:rFonts w:ascii="Times New Roman" w:hAnsi="Times New Roman"/>
          <w:b/>
          <w:i/>
          <w:sz w:val="22"/>
          <w:szCs w:val="22"/>
        </w:rPr>
        <w:t xml:space="preserve"> </w:t>
      </w:r>
      <w:r w:rsidRPr="00F91B2A">
        <w:rPr>
          <w:rFonts w:ascii="Times New Roman" w:hAnsi="Times New Roman"/>
          <w:sz w:val="22"/>
          <w:szCs w:val="22"/>
        </w:rPr>
        <w:t>data collection instruments</w:t>
      </w:r>
      <w:r w:rsidRPr="00574EBF">
        <w:rPr>
          <w:rFonts w:ascii="Times New Roman" w:hAnsi="Times New Roman"/>
          <w:b/>
          <w:i/>
          <w:sz w:val="22"/>
          <w:szCs w:val="22"/>
        </w:rPr>
        <w:t>.</w:t>
      </w:r>
      <w:r w:rsidRPr="00574EBF" w:rsidR="001C394F">
        <w:rPr>
          <w:rFonts w:ascii="Times New Roman" w:hAnsi="Times New Roman"/>
          <w:sz w:val="22"/>
          <w:szCs w:val="22"/>
        </w:rPr>
        <w:t xml:space="preserve"> (See </w:t>
      </w:r>
      <w:r w:rsidRPr="00574EBF" w:rsidR="001C394F">
        <w:rPr>
          <w:rFonts w:ascii="Times New Roman" w:hAnsi="Times New Roman"/>
          <w:i/>
          <w:sz w:val="22"/>
          <w:szCs w:val="22"/>
        </w:rPr>
        <w:t>Attachments 3-</w:t>
      </w:r>
      <w:r w:rsidRPr="00574EBF" w:rsidR="00B01A17">
        <w:rPr>
          <w:rFonts w:ascii="Times New Roman" w:hAnsi="Times New Roman"/>
          <w:i/>
          <w:sz w:val="22"/>
          <w:szCs w:val="22"/>
        </w:rPr>
        <w:t>10</w:t>
      </w:r>
      <w:r w:rsidRPr="00574EBF" w:rsidR="001C394F">
        <w:rPr>
          <w:rFonts w:ascii="Times New Roman" w:hAnsi="Times New Roman"/>
          <w:i/>
          <w:sz w:val="22"/>
          <w:szCs w:val="22"/>
        </w:rPr>
        <w:t>)</w:t>
      </w:r>
      <w:r w:rsidRPr="00245AC3">
        <w:rPr>
          <w:rFonts w:ascii="Times New Roman" w:hAnsi="Times New Roman"/>
          <w:b/>
          <w:i/>
          <w:color w:val="FF0000"/>
          <w:sz w:val="22"/>
          <w:szCs w:val="22"/>
        </w:rPr>
        <w:t xml:space="preserve">  </w:t>
      </w:r>
      <w:r w:rsidRPr="00F91B2A">
        <w:rPr>
          <w:rFonts w:ascii="Times New Roman" w:hAnsi="Times New Roman"/>
          <w:sz w:val="22"/>
          <w:szCs w:val="22"/>
        </w:rPr>
        <w:t xml:space="preserve">These include a list of screening questions, comprised of demographic and introductory questions, along with other questions that can be used to create </w:t>
      </w:r>
      <w:r w:rsidRPr="00F91B2A" w:rsidR="001C394F">
        <w:rPr>
          <w:rFonts w:ascii="Times New Roman" w:hAnsi="Times New Roman"/>
          <w:sz w:val="22"/>
          <w:szCs w:val="22"/>
        </w:rPr>
        <w:t xml:space="preserve">a mix of relevant questions </w:t>
      </w:r>
      <w:r w:rsidRPr="00F91B2A">
        <w:rPr>
          <w:rFonts w:ascii="Times New Roman" w:hAnsi="Times New Roman"/>
          <w:sz w:val="22"/>
          <w:szCs w:val="22"/>
        </w:rPr>
        <w:t>for each proposed message testing data collection method.</w:t>
      </w:r>
      <w:r w:rsidRPr="002D5826">
        <w:rPr>
          <w:rFonts w:ascii="Times New Roman" w:hAnsi="Times New Roman"/>
          <w:sz w:val="22"/>
          <w:szCs w:val="22"/>
        </w:rPr>
        <w:t xml:space="preserve">  </w:t>
      </w:r>
      <w:r w:rsidR="001C394F">
        <w:rPr>
          <w:rFonts w:ascii="Times New Roman" w:hAnsi="Times New Roman"/>
          <w:sz w:val="22"/>
          <w:szCs w:val="22"/>
        </w:rPr>
        <w:t>However, p</w:t>
      </w:r>
      <w:r w:rsidR="00D5180A">
        <w:rPr>
          <w:rFonts w:ascii="Times New Roman" w:hAnsi="Times New Roman"/>
          <w:sz w:val="22"/>
          <w:szCs w:val="22"/>
        </w:rPr>
        <w:t>rograms may request to use</w:t>
      </w:r>
      <w:r w:rsidR="00DC310F">
        <w:rPr>
          <w:rFonts w:ascii="Times New Roman" w:hAnsi="Times New Roman"/>
          <w:sz w:val="22"/>
          <w:szCs w:val="22"/>
        </w:rPr>
        <w:t xml:space="preserve"> additional questions if needed.</w:t>
      </w:r>
    </w:p>
    <w:p w:rsidRPr="002D5826" w:rsidR="004B4393" w:rsidP="0068422E" w:rsidRDefault="004B4393" w14:paraId="5B21BDB7" w14:textId="77777777">
      <w:pPr>
        <w:tabs>
          <w:tab w:val="num" w:pos="0"/>
          <w:tab w:val="left" w:pos="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2D5826" w:rsidR="004B4393" w:rsidP="0068422E" w:rsidRDefault="004B4393" w14:paraId="38780A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sidRPr="00C4002F">
        <w:rPr>
          <w:rFonts w:ascii="Times New Roman" w:hAnsi="Times New Roman"/>
          <w:b/>
          <w:szCs w:val="24"/>
        </w:rPr>
        <w:t>A.3.</w:t>
      </w:r>
      <w:r w:rsidRPr="002D5826">
        <w:rPr>
          <w:rFonts w:ascii="Times New Roman" w:hAnsi="Times New Roman"/>
          <w:b/>
          <w:sz w:val="22"/>
          <w:szCs w:val="22"/>
        </w:rPr>
        <w:tab/>
        <w:t>Use of Improved Information Technology and Burden Reduction</w:t>
      </w:r>
    </w:p>
    <w:p w:rsidRPr="002D5826" w:rsidR="004B4393" w:rsidP="0068422E" w:rsidRDefault="004B4393" w14:paraId="703E1F41"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rsidRDefault="004B4393" w14:paraId="1A41F85A"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Whenever possible, the HMTS will use advanced technology to collect and process data in order to reduce respondent burden and to make data processing and reporting maximally efficient.  </w:t>
      </w:r>
      <w:r>
        <w:rPr>
          <w:rFonts w:ascii="Times New Roman" w:hAnsi="Times New Roman"/>
          <w:sz w:val="22"/>
          <w:szCs w:val="22"/>
        </w:rPr>
        <w:t xml:space="preserve">Particular emphasis will be placed on compliance with the Government Paperwork Elimination Act (GPEA), Public Law 105-277, title XVII.  </w:t>
      </w:r>
      <w:r w:rsidRPr="002D5826">
        <w:rPr>
          <w:rFonts w:ascii="Times New Roman" w:hAnsi="Times New Roman"/>
          <w:sz w:val="22"/>
          <w:szCs w:val="22"/>
        </w:rPr>
        <w:t xml:space="preserve">Telephone surveys will rely on Computer Assisted Telephone Interviewing (CATI) and other computer-assisted strategies, and some surveys will be conducted online.  In all message testing, the number of questions will be held to the absolute minimum required for the intended use of the data.  </w:t>
      </w:r>
    </w:p>
    <w:p w:rsidR="004B4393" w:rsidP="0068422E" w:rsidRDefault="004B4393" w14:paraId="6FE1525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2"/>
          <w:szCs w:val="22"/>
        </w:rPr>
      </w:pPr>
    </w:p>
    <w:p w:rsidRPr="002D5826" w:rsidR="004B4393" w:rsidP="0068422E" w:rsidRDefault="004B4393" w14:paraId="3221801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2D5826">
        <w:rPr>
          <w:rFonts w:ascii="Times New Roman" w:hAnsi="Times New Roman"/>
          <w:b/>
          <w:i/>
          <w:sz w:val="22"/>
          <w:szCs w:val="22"/>
        </w:rPr>
        <w:t>CATI Telephone Interviews</w:t>
      </w:r>
    </w:p>
    <w:p w:rsidR="004B4393" w:rsidP="0068422E" w:rsidRDefault="004B4393" w14:paraId="4A3AF4B3"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When item response alternatives a</w:t>
      </w:r>
      <w:r w:rsidR="00B6088F">
        <w:rPr>
          <w:rFonts w:ascii="Times New Roman" w:hAnsi="Times New Roman"/>
          <w:sz w:val="22"/>
          <w:szCs w:val="22"/>
        </w:rPr>
        <w:t>re “close</w:t>
      </w:r>
      <w:r w:rsidRPr="002D5826">
        <w:rPr>
          <w:rFonts w:ascii="Times New Roman" w:hAnsi="Times New Roman"/>
          <w:sz w:val="22"/>
          <w:szCs w:val="22"/>
        </w:rPr>
        <w:t xml:space="preserve"> ended,” CATI will be utilized to help phone interviewers move quickly and accurately through items and skip patterns.  The CATI system will not accept entry of illegal response values, and thus avoids lost data and the need to contact the respondent again for clarification.  This system also allows for both on-site and remote quality assurance monitoring of interviewers. </w:t>
      </w:r>
    </w:p>
    <w:p w:rsidRPr="002D5826" w:rsidR="00383A88" w:rsidP="0068422E" w:rsidRDefault="00383A88" w14:paraId="52CA5FC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2D5826" w:rsidR="004B4393" w:rsidP="0068422E" w:rsidRDefault="004B4393" w14:paraId="38C92C96"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Brief screening questionnaires will precede message testing questions to allow quick ascertainment of an </w:t>
      </w:r>
      <w:r w:rsidRPr="002D5826">
        <w:rPr>
          <w:rFonts w:ascii="Times New Roman" w:hAnsi="Times New Roman"/>
          <w:sz w:val="22"/>
          <w:szCs w:val="22"/>
        </w:rPr>
        <w:lastRenderedPageBreak/>
        <w:t>individual’s membership in a targeted audience segment; calls to ineligibles can be terminated immediately.  In some cases, ESRI GSI and mapping software will be used to determine where individuals from audience segments of interest are most likely to live and work.  Random digit dialing (RDD) in these geographic areas will limit calls to ineligible individuals.</w:t>
      </w:r>
    </w:p>
    <w:p w:rsidRPr="002D5826" w:rsidR="004B4393" w:rsidP="0068422E" w:rsidRDefault="004B4393" w14:paraId="18C0416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080"/>
        <w:rPr>
          <w:rFonts w:ascii="Times New Roman" w:hAnsi="Times New Roman"/>
          <w:sz w:val="22"/>
          <w:szCs w:val="22"/>
        </w:rPr>
      </w:pPr>
    </w:p>
    <w:p w:rsidRPr="002D5826" w:rsidR="004B4393" w:rsidP="0068422E" w:rsidRDefault="004B4393" w14:paraId="229A984A" w14:textId="77777777">
      <w:pPr>
        <w:pStyle w:val="Heading3"/>
        <w:rPr>
          <w:b/>
          <w:sz w:val="22"/>
          <w:szCs w:val="22"/>
        </w:rPr>
      </w:pPr>
      <w:r w:rsidRPr="002D5826">
        <w:rPr>
          <w:b/>
          <w:sz w:val="22"/>
          <w:szCs w:val="22"/>
        </w:rPr>
        <w:t>Online Research (Individual Surveys and Focus Groups)</w:t>
      </w:r>
    </w:p>
    <w:p w:rsidRPr="002D5826" w:rsidR="004B4393" w:rsidP="0068422E" w:rsidRDefault="004B4393" w14:paraId="1FD1105F" w14:textId="77777777">
      <w:pPr>
        <w:widowControl/>
        <w:rPr>
          <w:rFonts w:ascii="Times New Roman" w:hAnsi="Times New Roman"/>
          <w:sz w:val="22"/>
          <w:szCs w:val="22"/>
        </w:rPr>
      </w:pPr>
      <w:r w:rsidRPr="002D5826">
        <w:rPr>
          <w:rFonts w:ascii="Times New Roman" w:hAnsi="Times New Roman"/>
          <w:sz w:val="22"/>
          <w:szCs w:val="22"/>
        </w:rPr>
        <w:t>Online questionnaires and focus groups ease burden because they can be completed in the respondent’s home or workplace, at the respondent’s convenience.  They are comparable to mailed questionnaires in these respects, and in that they do not require the presence of an interviewer.  They are less burdensome than mailed questionnaires in that they eliminate the need to handle and return paper copies.</w:t>
      </w:r>
      <w:r w:rsidRPr="002D5826">
        <w:rPr>
          <w:rStyle w:val="FootnoteReference"/>
          <w:rFonts w:ascii="Times New Roman" w:hAnsi="Times New Roman"/>
          <w:sz w:val="22"/>
          <w:szCs w:val="22"/>
          <w:vertAlign w:val="superscript"/>
        </w:rPr>
        <w:footnoteReference w:id="7"/>
      </w:r>
      <w:r w:rsidRPr="002D5826">
        <w:rPr>
          <w:rFonts w:ascii="Times New Roman" w:hAnsi="Times New Roman"/>
          <w:sz w:val="22"/>
          <w:szCs w:val="22"/>
        </w:rPr>
        <w:t xml:space="preserve">    </w:t>
      </w:r>
    </w:p>
    <w:p w:rsidRPr="002D5826" w:rsidR="004B4393" w:rsidP="0068422E" w:rsidRDefault="004B4393" w14:paraId="326DDCE9" w14:textId="77777777">
      <w:pPr>
        <w:widowControl/>
        <w:rPr>
          <w:rFonts w:ascii="Times New Roman" w:hAnsi="Times New Roman"/>
          <w:sz w:val="22"/>
          <w:szCs w:val="22"/>
        </w:rPr>
      </w:pPr>
    </w:p>
    <w:p w:rsidRPr="002D5826" w:rsidR="004B4393" w:rsidP="0068422E" w:rsidRDefault="004B4393" w14:paraId="3BC0ACAA" w14:textId="77777777">
      <w:pPr>
        <w:widowControl/>
        <w:rPr>
          <w:rFonts w:ascii="Times New Roman" w:hAnsi="Times New Roman"/>
          <w:sz w:val="22"/>
          <w:szCs w:val="22"/>
        </w:rPr>
      </w:pPr>
      <w:r w:rsidRPr="002D5826">
        <w:rPr>
          <w:rFonts w:ascii="Times New Roman" w:hAnsi="Times New Roman"/>
          <w:sz w:val="22"/>
          <w:szCs w:val="22"/>
        </w:rPr>
        <w:t xml:space="preserve">Online surveys of members of organizations will be used when appropriate.  For example, if it were necessary to test messages for pediatricians about immunization, CDC might partner with the </w:t>
      </w:r>
      <w:smartTag w:uri="urn:schemas-microsoft-com:office:smarttags" w:element="place">
        <w:smartTag w:uri="urn:schemas-microsoft-com:office:smarttags" w:element="PlaceName">
          <w:r w:rsidRPr="002D5826">
            <w:rPr>
              <w:rFonts w:ascii="Times New Roman" w:hAnsi="Times New Roman"/>
              <w:sz w:val="22"/>
              <w:szCs w:val="22"/>
            </w:rPr>
            <w:t>American</w:t>
          </w:r>
        </w:smartTag>
        <w:r w:rsidRPr="002D5826">
          <w:rPr>
            <w:rFonts w:ascii="Times New Roman" w:hAnsi="Times New Roman"/>
            <w:sz w:val="22"/>
            <w:szCs w:val="22"/>
          </w:rPr>
          <w:t xml:space="preserve"> </w:t>
        </w:r>
        <w:smartTag w:uri="urn:schemas-microsoft-com:office:smarttags" w:element="PlaceType">
          <w:r w:rsidRPr="002D5826">
            <w:rPr>
              <w:rFonts w:ascii="Times New Roman" w:hAnsi="Times New Roman"/>
              <w:sz w:val="22"/>
              <w:szCs w:val="22"/>
            </w:rPr>
            <w:t>Academy</w:t>
          </w:r>
        </w:smartTag>
      </w:smartTag>
      <w:r w:rsidRPr="002D5826">
        <w:rPr>
          <w:rFonts w:ascii="Times New Roman" w:hAnsi="Times New Roman"/>
          <w:sz w:val="22"/>
          <w:szCs w:val="22"/>
        </w:rPr>
        <w:t xml:space="preserve"> of Pediatrics to recruit some of their members for an online survey.  </w:t>
      </w:r>
    </w:p>
    <w:p w:rsidRPr="002D5826" w:rsidR="004B4393" w:rsidP="0068422E" w:rsidRDefault="004B4393" w14:paraId="69ACBD50" w14:textId="77777777">
      <w:pPr>
        <w:widowControl/>
        <w:rPr>
          <w:rFonts w:ascii="Times New Roman" w:hAnsi="Times New Roman"/>
          <w:sz w:val="22"/>
          <w:szCs w:val="22"/>
        </w:rPr>
      </w:pPr>
    </w:p>
    <w:p w:rsidRPr="002D5826" w:rsidR="004B4393" w:rsidP="0068422E" w:rsidRDefault="004B4393" w14:paraId="22E791D0" w14:textId="77777777">
      <w:pPr>
        <w:widowControl/>
        <w:rPr>
          <w:rFonts w:ascii="Times New Roman" w:hAnsi="Times New Roman"/>
          <w:sz w:val="22"/>
          <w:szCs w:val="22"/>
        </w:rPr>
      </w:pPr>
      <w:r w:rsidRPr="002D5826">
        <w:rPr>
          <w:rFonts w:ascii="Times New Roman" w:hAnsi="Times New Roman"/>
          <w:sz w:val="22"/>
          <w:szCs w:val="22"/>
        </w:rPr>
        <w:t xml:space="preserve">In other instances, it is necessary to query widely dispersed members of the general public.  For example, this might occur when there is a need to know whether specific messages reach intended audiences through specific channels during a time-limited, ongoing campaign. To fill such a knowledge gap, the preferred online methodology would be the Web-enabled panel approach described below.          </w:t>
      </w:r>
    </w:p>
    <w:p w:rsidRPr="002D5826" w:rsidR="004B4393" w:rsidP="0068422E" w:rsidRDefault="004B4393" w14:paraId="28D193AF" w14:textId="77777777">
      <w:pPr>
        <w:widowControl/>
        <w:rPr>
          <w:rFonts w:ascii="Times New Roman" w:hAnsi="Times New Roman"/>
          <w:sz w:val="22"/>
          <w:szCs w:val="22"/>
        </w:rPr>
      </w:pPr>
    </w:p>
    <w:p w:rsidR="004B4393" w:rsidP="0068422E" w:rsidRDefault="004B4393" w14:paraId="0B1B601E" w14:textId="77777777">
      <w:pPr>
        <w:widowControl/>
        <w:shd w:val="clear" w:color="auto" w:fill="FFFFFF"/>
        <w:rPr>
          <w:rFonts w:ascii="Times New Roman" w:hAnsi="Times New Roman"/>
          <w:sz w:val="22"/>
          <w:szCs w:val="22"/>
        </w:rPr>
      </w:pPr>
      <w:r w:rsidRPr="002D5826">
        <w:rPr>
          <w:rFonts w:ascii="Times New Roman" w:hAnsi="Times New Roman"/>
          <w:sz w:val="22"/>
          <w:szCs w:val="22"/>
        </w:rPr>
        <w:t xml:space="preserve">The Web-enabled panel approach is an advanced survey technique that uses online technology to collect data from households that participate in an ongoing panel.  The panels are very large, allowing selection from the overall pool, the construction of </w:t>
      </w:r>
      <w:r w:rsidR="00377870">
        <w:rPr>
          <w:rFonts w:ascii="Times New Roman" w:hAnsi="Times New Roman"/>
          <w:sz w:val="22"/>
          <w:szCs w:val="22"/>
        </w:rPr>
        <w:t xml:space="preserve">large and diverse </w:t>
      </w:r>
      <w:r w:rsidRPr="002D5826">
        <w:rPr>
          <w:rFonts w:ascii="Times New Roman" w:hAnsi="Times New Roman"/>
          <w:sz w:val="22"/>
          <w:szCs w:val="22"/>
        </w:rPr>
        <w:t xml:space="preserve">samples, and the rapid identification of several potential respondents from extremely small subgroups of the population.  </w:t>
      </w:r>
    </w:p>
    <w:p w:rsidRPr="002D5826" w:rsidR="004B4393" w:rsidP="0068422E" w:rsidRDefault="004B4393" w14:paraId="34431393" w14:textId="77777777">
      <w:pPr>
        <w:widowControl/>
        <w:shd w:val="clear" w:color="auto" w:fill="FFFFFF"/>
        <w:rPr>
          <w:rFonts w:ascii="Times New Roman" w:hAnsi="Times New Roman"/>
          <w:sz w:val="22"/>
          <w:szCs w:val="22"/>
        </w:rPr>
      </w:pPr>
      <w:r w:rsidRPr="002D5826">
        <w:rPr>
          <w:rFonts w:ascii="Times New Roman" w:hAnsi="Times New Roman"/>
          <w:sz w:val="22"/>
          <w:szCs w:val="22"/>
        </w:rPr>
        <w:t>Although smaller samples generally suffice for the purposes of message testing, assembling these groups can be extremely time-consuming.  The Web-enabled or online panel approach also allows for the immediate turnaround of transcripts from on-line focus groups and data from on-line surveys.</w:t>
      </w:r>
    </w:p>
    <w:p w:rsidRPr="002D5826" w:rsidR="004B4393" w:rsidP="0068422E" w:rsidRDefault="004B4393" w14:paraId="0C52BC7B" w14:textId="77777777">
      <w:pPr>
        <w:widowControl/>
        <w:rPr>
          <w:rFonts w:ascii="Times New Roman" w:hAnsi="Times New Roman"/>
          <w:sz w:val="22"/>
          <w:szCs w:val="22"/>
        </w:rPr>
      </w:pPr>
    </w:p>
    <w:p w:rsidRPr="002D5826" w:rsidR="004B4393" w:rsidP="0068422E" w:rsidRDefault="004B4393" w14:paraId="5D15787F" w14:textId="77777777">
      <w:pPr>
        <w:widowControl/>
        <w:rPr>
          <w:rFonts w:ascii="Times New Roman" w:hAnsi="Times New Roman"/>
          <w:sz w:val="22"/>
          <w:szCs w:val="22"/>
        </w:rPr>
      </w:pPr>
      <w:r w:rsidRPr="002D5826">
        <w:rPr>
          <w:rFonts w:ascii="Times New Roman" w:hAnsi="Times New Roman"/>
          <w:sz w:val="22"/>
          <w:szCs w:val="22"/>
        </w:rPr>
        <w:t>Relative to less technically advanced methods, this data collection approach has several advantages</w:t>
      </w:r>
      <w:r w:rsidR="00D047B6">
        <w:rPr>
          <w:rFonts w:ascii="Times New Roman" w:hAnsi="Times New Roman"/>
          <w:sz w:val="22"/>
          <w:szCs w:val="22"/>
        </w:rPr>
        <w:t xml:space="preserve">:  </w:t>
      </w:r>
      <w:r>
        <w:rPr>
          <w:rFonts w:ascii="Times New Roman" w:hAnsi="Times New Roman"/>
          <w:sz w:val="22"/>
          <w:szCs w:val="22"/>
        </w:rPr>
        <w:t>speed, cost, access and reduced burden.</w:t>
      </w:r>
      <w:r w:rsidRPr="002D5826">
        <w:rPr>
          <w:rFonts w:ascii="Times New Roman" w:hAnsi="Times New Roman"/>
          <w:sz w:val="22"/>
          <w:szCs w:val="22"/>
        </w:rPr>
        <w:t xml:space="preserve"> </w:t>
      </w:r>
    </w:p>
    <w:p w:rsidR="004B4393" w:rsidP="0068422E" w:rsidRDefault="004B4393" w14:paraId="1BBC9AB9" w14:textId="77777777">
      <w:pPr>
        <w:widowControl/>
        <w:rPr>
          <w:rFonts w:ascii="Times New Roman" w:hAnsi="Times New Roman"/>
          <w:sz w:val="22"/>
          <w:szCs w:val="22"/>
        </w:rPr>
      </w:pPr>
    </w:p>
    <w:p w:rsidRPr="002D5826" w:rsidR="004B4393" w:rsidP="0068422E" w:rsidRDefault="004B4393" w14:paraId="2D8864FA" w14:textId="77777777">
      <w:pPr>
        <w:widowControl/>
        <w:ind w:left="720"/>
        <w:rPr>
          <w:rFonts w:ascii="Times New Roman" w:hAnsi="Times New Roman"/>
          <w:sz w:val="22"/>
          <w:szCs w:val="22"/>
        </w:rPr>
      </w:pPr>
      <w:r w:rsidRPr="0062072B">
        <w:rPr>
          <w:rFonts w:ascii="Times New Roman" w:hAnsi="Times New Roman"/>
          <w:b/>
          <w:i/>
          <w:sz w:val="22"/>
          <w:szCs w:val="22"/>
        </w:rPr>
        <w:t>Speed:</w:t>
      </w:r>
      <w:r w:rsidRPr="002D5826">
        <w:rPr>
          <w:rFonts w:ascii="Times New Roman" w:hAnsi="Times New Roman"/>
          <w:i/>
          <w:sz w:val="22"/>
          <w:szCs w:val="22"/>
        </w:rPr>
        <w:t xml:space="preserve"> </w:t>
      </w:r>
      <w:r>
        <w:rPr>
          <w:rFonts w:ascii="Times New Roman" w:hAnsi="Times New Roman"/>
          <w:sz w:val="22"/>
          <w:szCs w:val="22"/>
        </w:rPr>
        <w:t xml:space="preserve">Digital data collection supports </w:t>
      </w:r>
      <w:r w:rsidRPr="002D5826">
        <w:rPr>
          <w:rFonts w:ascii="Times New Roman" w:hAnsi="Times New Roman"/>
          <w:sz w:val="22"/>
          <w:szCs w:val="22"/>
        </w:rPr>
        <w:t xml:space="preserve">quick data turnaround.  About half of the completed questionnaires from a Web-enabled panel are received within the first 3-4 days of the assignment, a more rapid response than that of mailed surveys.  Email reminders and phone calls have been found to increase </w:t>
      </w:r>
      <w:r>
        <w:rPr>
          <w:rFonts w:ascii="Times New Roman" w:hAnsi="Times New Roman"/>
          <w:sz w:val="22"/>
          <w:szCs w:val="22"/>
        </w:rPr>
        <w:t>online</w:t>
      </w:r>
      <w:r w:rsidRPr="002D5826">
        <w:rPr>
          <w:rFonts w:ascii="Times New Roman" w:hAnsi="Times New Roman"/>
          <w:sz w:val="22"/>
          <w:szCs w:val="22"/>
        </w:rPr>
        <w:t xml:space="preserve"> survey response rates.  Additionally, the automated data collection allows results to be delivered to CDC quickly – in days or weeks, rather than months. </w:t>
      </w:r>
    </w:p>
    <w:p w:rsidRPr="002D5826" w:rsidR="004B4393" w:rsidP="0068422E" w:rsidRDefault="004B4393" w14:paraId="6496A661" w14:textId="77777777">
      <w:pPr>
        <w:widowControl/>
        <w:rPr>
          <w:rFonts w:ascii="Times New Roman" w:hAnsi="Times New Roman"/>
          <w:sz w:val="22"/>
          <w:szCs w:val="22"/>
        </w:rPr>
      </w:pPr>
    </w:p>
    <w:p w:rsidRPr="002D5826" w:rsidR="004B4393" w:rsidP="0068422E" w:rsidRDefault="004B4393" w14:paraId="0279D619" w14:textId="77777777">
      <w:pPr>
        <w:widowControl/>
        <w:tabs>
          <w:tab w:val="left" w:pos="-1440"/>
          <w:tab w:val="left" w:pos="-720"/>
          <w:tab w:val="left" w:pos="1080"/>
        </w:tabs>
        <w:ind w:left="720"/>
        <w:rPr>
          <w:rFonts w:ascii="Times New Roman" w:hAnsi="Times New Roman"/>
          <w:sz w:val="22"/>
          <w:szCs w:val="22"/>
        </w:rPr>
      </w:pPr>
      <w:r w:rsidRPr="0062072B">
        <w:rPr>
          <w:rFonts w:ascii="Times New Roman" w:hAnsi="Times New Roman"/>
          <w:b/>
          <w:i/>
          <w:sz w:val="22"/>
          <w:szCs w:val="22"/>
        </w:rPr>
        <w:t>Cost:</w:t>
      </w:r>
      <w:r w:rsidR="0062072B">
        <w:rPr>
          <w:rFonts w:ascii="Times New Roman" w:hAnsi="Times New Roman"/>
          <w:i/>
          <w:sz w:val="22"/>
          <w:szCs w:val="22"/>
        </w:rPr>
        <w:t xml:space="preserve"> </w:t>
      </w:r>
      <w:r w:rsidRPr="002D5826">
        <w:rPr>
          <w:rFonts w:ascii="Times New Roman" w:hAnsi="Times New Roman"/>
          <w:sz w:val="22"/>
          <w:szCs w:val="22"/>
        </w:rPr>
        <w:t>Surveys that access an already existing panel save money compared with one-time survey costs.</w:t>
      </w:r>
    </w:p>
    <w:p w:rsidRPr="002D5826" w:rsidR="004B4393" w:rsidP="0068422E" w:rsidRDefault="004B4393" w14:paraId="17171E0E" w14:textId="77777777">
      <w:pPr>
        <w:widowControl/>
        <w:numPr>
          <w:ilvl w:val="0"/>
          <w:numId w:val="2"/>
        </w:numPr>
        <w:tabs>
          <w:tab w:val="left" w:pos="-1440"/>
          <w:tab w:val="left" w:pos="-720"/>
          <w:tab w:val="left" w:pos="360"/>
          <w:tab w:val="left" w:pos="1080"/>
        </w:tabs>
        <w:ind w:left="720" w:firstLine="0"/>
        <w:rPr>
          <w:rFonts w:ascii="Times New Roman" w:hAnsi="Times New Roman"/>
          <w:sz w:val="22"/>
          <w:szCs w:val="22"/>
        </w:rPr>
      </w:pPr>
      <w:r w:rsidRPr="002D5826">
        <w:rPr>
          <w:rFonts w:ascii="Times New Roman" w:hAnsi="Times New Roman"/>
          <w:sz w:val="22"/>
          <w:szCs w:val="22"/>
        </w:rPr>
        <w:t xml:space="preserve">  </w:t>
      </w:r>
      <w:r>
        <w:rPr>
          <w:rFonts w:ascii="Times New Roman" w:hAnsi="Times New Roman"/>
          <w:sz w:val="22"/>
          <w:szCs w:val="22"/>
        </w:rPr>
        <w:t>C</w:t>
      </w:r>
      <w:r w:rsidRPr="002D5826">
        <w:rPr>
          <w:rFonts w:ascii="Times New Roman" w:hAnsi="Times New Roman"/>
          <w:sz w:val="22"/>
          <w:szCs w:val="22"/>
        </w:rPr>
        <w:t>osts of hardware and recruitment can be amortized over the life of the panel. This permits use of the expensive sampling techniques that help to achieve higher response rates without having to pass all the recruitment costs on to the client.</w:t>
      </w:r>
    </w:p>
    <w:p w:rsidRPr="002D5826" w:rsidR="004B4393" w:rsidP="0068422E" w:rsidRDefault="004B4393" w14:paraId="6CE8AF91" w14:textId="77777777">
      <w:pPr>
        <w:widowControl/>
        <w:numPr>
          <w:ilvl w:val="0"/>
          <w:numId w:val="2"/>
        </w:numPr>
        <w:tabs>
          <w:tab w:val="left" w:pos="-1440"/>
          <w:tab w:val="left" w:pos="-720"/>
          <w:tab w:val="left" w:pos="360"/>
          <w:tab w:val="left" w:pos="1080"/>
        </w:tabs>
        <w:ind w:left="720" w:firstLine="0"/>
        <w:rPr>
          <w:rFonts w:ascii="Times New Roman" w:hAnsi="Times New Roman"/>
          <w:sz w:val="22"/>
          <w:szCs w:val="22"/>
        </w:rPr>
      </w:pPr>
      <w:r>
        <w:rPr>
          <w:rFonts w:ascii="Times New Roman" w:hAnsi="Times New Roman"/>
          <w:sz w:val="22"/>
          <w:szCs w:val="22"/>
        </w:rPr>
        <w:t>T</w:t>
      </w:r>
      <w:r w:rsidRPr="002D5826">
        <w:rPr>
          <w:rFonts w:ascii="Times New Roman" w:hAnsi="Times New Roman"/>
          <w:sz w:val="22"/>
          <w:szCs w:val="22"/>
        </w:rPr>
        <w:t xml:space="preserve">he expense of collecting profile information on panel members is incurred just once, and then the profile data can be used in conjunction with data collected later.  In cross-sectional designs, by contrast, demographic data must be collected with every survey.  </w:t>
      </w:r>
    </w:p>
    <w:p w:rsidRPr="002D5826" w:rsidR="004B4393" w:rsidP="0068422E" w:rsidRDefault="004B4393" w14:paraId="35A42C29" w14:textId="77777777">
      <w:pPr>
        <w:widowControl/>
        <w:numPr>
          <w:ilvl w:val="0"/>
          <w:numId w:val="2"/>
        </w:numPr>
        <w:tabs>
          <w:tab w:val="left" w:pos="-1440"/>
          <w:tab w:val="left" w:pos="-720"/>
          <w:tab w:val="left" w:pos="360"/>
          <w:tab w:val="left" w:pos="1080"/>
        </w:tabs>
        <w:ind w:left="720" w:firstLine="0"/>
        <w:rPr>
          <w:rFonts w:ascii="Times New Roman" w:hAnsi="Times New Roman"/>
          <w:sz w:val="22"/>
          <w:szCs w:val="22"/>
        </w:rPr>
      </w:pPr>
      <w:r>
        <w:rPr>
          <w:rFonts w:ascii="Times New Roman" w:hAnsi="Times New Roman"/>
          <w:sz w:val="22"/>
          <w:szCs w:val="22"/>
        </w:rPr>
        <w:t>I</w:t>
      </w:r>
      <w:r w:rsidRPr="002D5826">
        <w:rPr>
          <w:rFonts w:ascii="Times New Roman" w:hAnsi="Times New Roman"/>
          <w:sz w:val="22"/>
          <w:szCs w:val="22"/>
        </w:rPr>
        <w:t xml:space="preserve">n traditional longitudinal cohort surveys, re-contact costs are much higher.  Email is inexpensive and repeated call attempts are not needed because email does not require the respondent to be at home when a re-contact is attempted. </w:t>
      </w:r>
    </w:p>
    <w:p w:rsidRPr="0062072B" w:rsidR="004B4393" w:rsidP="0068422E" w:rsidRDefault="004B4393" w14:paraId="763EFCAE" w14:textId="77777777">
      <w:pPr>
        <w:widowControl/>
        <w:tabs>
          <w:tab w:val="left" w:pos="-1440"/>
          <w:tab w:val="left" w:pos="-720"/>
          <w:tab w:val="left" w:pos="1080"/>
        </w:tabs>
        <w:rPr>
          <w:rFonts w:ascii="Times New Roman" w:hAnsi="Times New Roman"/>
          <w:b/>
          <w:sz w:val="22"/>
          <w:szCs w:val="22"/>
        </w:rPr>
      </w:pPr>
    </w:p>
    <w:p w:rsidRPr="002D5826" w:rsidR="004B4393" w:rsidP="0068422E" w:rsidRDefault="004B4393" w14:paraId="69708C9B" w14:textId="77777777">
      <w:pPr>
        <w:widowControl/>
        <w:tabs>
          <w:tab w:val="left" w:pos="-1440"/>
          <w:tab w:val="left" w:pos="-720"/>
          <w:tab w:val="left" w:pos="1080"/>
        </w:tabs>
        <w:ind w:left="720"/>
        <w:rPr>
          <w:rFonts w:ascii="Times New Roman" w:hAnsi="Times New Roman"/>
          <w:sz w:val="22"/>
          <w:szCs w:val="22"/>
        </w:rPr>
      </w:pPr>
      <w:r w:rsidRPr="0062072B">
        <w:rPr>
          <w:rFonts w:ascii="Times New Roman" w:hAnsi="Times New Roman"/>
          <w:b/>
          <w:i/>
          <w:sz w:val="22"/>
          <w:szCs w:val="22"/>
        </w:rPr>
        <w:t>Access:</w:t>
      </w:r>
      <w:r w:rsidR="0062072B">
        <w:rPr>
          <w:rFonts w:ascii="Times New Roman" w:hAnsi="Times New Roman"/>
          <w:i/>
          <w:sz w:val="22"/>
          <w:szCs w:val="22"/>
        </w:rPr>
        <w:t xml:space="preserve"> </w:t>
      </w:r>
      <w:r w:rsidRPr="002D5826">
        <w:rPr>
          <w:rFonts w:ascii="Times New Roman" w:hAnsi="Times New Roman"/>
          <w:sz w:val="22"/>
          <w:szCs w:val="22"/>
        </w:rPr>
        <w:t>With tens of thousands of members and minority group over-sampling, online panels have the diversity to enable the construction of small “tailor-made” samples, such as one composed of Native American mothers of 9- and 10-year-old girls.  Response rates are higher than in mail or phone surveys because respondents have agreed to participate in a series of surveys over the period of their panel membership and they receive a package of incentives, so panel survey data tend to be more representative of individuals who are older and less educated.</w:t>
      </w:r>
      <w:r w:rsidRPr="002D5826">
        <w:rPr>
          <w:rStyle w:val="FootnoteReference"/>
          <w:rFonts w:ascii="Times New Roman" w:hAnsi="Times New Roman"/>
          <w:sz w:val="22"/>
          <w:szCs w:val="22"/>
          <w:vertAlign w:val="superscript"/>
        </w:rPr>
        <w:footnoteReference w:id="8"/>
      </w:r>
      <w:r w:rsidRPr="002D5826">
        <w:rPr>
          <w:rFonts w:ascii="Times New Roman" w:hAnsi="Times New Roman"/>
          <w:sz w:val="22"/>
          <w:szCs w:val="22"/>
        </w:rPr>
        <w:t xml:space="preserve">  </w:t>
      </w:r>
    </w:p>
    <w:p w:rsidR="004B4393" w:rsidP="0068422E" w:rsidRDefault="004B4393" w14:paraId="1DCEF7A5" w14:textId="77777777">
      <w:pPr>
        <w:widowControl/>
        <w:tabs>
          <w:tab w:val="left" w:pos="-1440"/>
          <w:tab w:val="left" w:pos="-720"/>
          <w:tab w:val="left" w:pos="1080"/>
        </w:tabs>
        <w:ind w:left="720"/>
        <w:rPr>
          <w:rFonts w:ascii="Times New Roman" w:hAnsi="Times New Roman"/>
          <w:sz w:val="22"/>
          <w:szCs w:val="22"/>
        </w:rPr>
      </w:pPr>
      <w:r w:rsidRPr="002D5826">
        <w:rPr>
          <w:rFonts w:ascii="Times New Roman" w:hAnsi="Times New Roman"/>
          <w:i/>
          <w:sz w:val="22"/>
          <w:szCs w:val="22"/>
        </w:rPr>
        <w:br/>
      </w:r>
      <w:r w:rsidRPr="0062072B">
        <w:rPr>
          <w:rFonts w:ascii="Times New Roman" w:hAnsi="Times New Roman"/>
          <w:b/>
          <w:i/>
          <w:sz w:val="22"/>
          <w:szCs w:val="22"/>
        </w:rPr>
        <w:t xml:space="preserve">Reduced Burden:  </w:t>
      </w:r>
      <w:r w:rsidRPr="002D5826">
        <w:rPr>
          <w:rFonts w:ascii="Times New Roman" w:hAnsi="Times New Roman"/>
          <w:sz w:val="22"/>
          <w:szCs w:val="22"/>
        </w:rPr>
        <w:t xml:space="preserve">Like other online surveys, Web-enabled panel surveys are self-administered, allowing respondents to complete the survey at their convenience, in the comfort and privacy of their homes.  Furthermore, from the respondent’s point of view, the inclusion of video, audio, and 3-D graphics in the questionnaire make the survey experience much more engaging and less burdensome than conventional telephone interviews.    </w:t>
      </w:r>
    </w:p>
    <w:p w:rsidR="00B01A17" w:rsidP="0068422E" w:rsidRDefault="00B01A17" w14:paraId="27FF268C" w14:textId="77777777">
      <w:pPr>
        <w:widowControl/>
        <w:tabs>
          <w:tab w:val="left" w:pos="-1440"/>
          <w:tab w:val="left" w:pos="-720"/>
          <w:tab w:val="left" w:pos="1080"/>
        </w:tabs>
        <w:ind w:left="720"/>
        <w:rPr>
          <w:rFonts w:ascii="Times New Roman" w:hAnsi="Times New Roman"/>
          <w:sz w:val="22"/>
          <w:szCs w:val="22"/>
        </w:rPr>
      </w:pPr>
    </w:p>
    <w:p w:rsidRPr="002D5826" w:rsidR="00B01A17" w:rsidP="0068422E" w:rsidRDefault="00B01A17" w14:paraId="027685C8" w14:textId="77777777">
      <w:pPr>
        <w:pStyle w:val="BodyTextIndent2"/>
        <w:widowControl/>
        <w:tabs>
          <w:tab w:val="left" w:pos="-1440"/>
          <w:tab w:val="left" w:pos="-720"/>
          <w:tab w:val="left" w:pos="0"/>
          <w:tab w:val="left" w:pos="720"/>
          <w:tab w:val="left" w:pos="1080"/>
        </w:tabs>
        <w:ind w:firstLine="0"/>
        <w:rPr>
          <w:b/>
          <w:i/>
          <w:sz w:val="22"/>
          <w:szCs w:val="22"/>
        </w:rPr>
      </w:pPr>
      <w:r w:rsidRPr="002D5826">
        <w:rPr>
          <w:b/>
          <w:i/>
          <w:sz w:val="22"/>
          <w:szCs w:val="22"/>
        </w:rPr>
        <w:t>Online Studies</w:t>
      </w:r>
    </w:p>
    <w:p w:rsidR="00B01A17" w:rsidP="0068422E" w:rsidRDefault="00B01A17" w14:paraId="17F6F09F" w14:textId="77777777">
      <w:pPr>
        <w:pStyle w:val="BodyTextIndent2"/>
        <w:widowControl/>
        <w:tabs>
          <w:tab w:val="left" w:pos="-1440"/>
          <w:tab w:val="left" w:pos="-720"/>
          <w:tab w:val="left" w:pos="0"/>
          <w:tab w:val="left" w:pos="720"/>
          <w:tab w:val="left" w:pos="1080"/>
        </w:tabs>
        <w:ind w:firstLine="0"/>
        <w:rPr>
          <w:sz w:val="22"/>
          <w:szCs w:val="22"/>
        </w:rPr>
      </w:pPr>
      <w:r w:rsidRPr="002D5826">
        <w:rPr>
          <w:sz w:val="22"/>
          <w:szCs w:val="22"/>
        </w:rPr>
        <w:t xml:space="preserve">The panel status of online survey respondents presents a special circumstance of data collection.  The frequency of survey receipt, the length of panel membership, and the incentive package received in exchange for member participation varies by commercial survey outlet, but all respondents to these kinds of surveys are frequent participants in interviews.  However, steps are taken through management of the panels to prevent overburdening respondents.  </w:t>
      </w:r>
    </w:p>
    <w:p w:rsidR="00B01A17" w:rsidP="0068422E" w:rsidRDefault="00B01A17" w14:paraId="7779C89F" w14:textId="77777777">
      <w:pPr>
        <w:pStyle w:val="BodyTextIndent2"/>
        <w:widowControl/>
        <w:tabs>
          <w:tab w:val="left" w:pos="-1440"/>
          <w:tab w:val="left" w:pos="-720"/>
          <w:tab w:val="left" w:pos="0"/>
          <w:tab w:val="left" w:pos="720"/>
          <w:tab w:val="left" w:pos="1080"/>
        </w:tabs>
        <w:ind w:firstLine="0"/>
        <w:rPr>
          <w:sz w:val="22"/>
          <w:szCs w:val="22"/>
        </w:rPr>
      </w:pPr>
    </w:p>
    <w:p w:rsidRPr="002D5826" w:rsidR="00B01A17" w:rsidP="0068422E" w:rsidRDefault="00B01A17" w14:paraId="161269D6" w14:textId="77777777">
      <w:pPr>
        <w:pStyle w:val="BodyTextIndent2"/>
        <w:widowControl/>
        <w:tabs>
          <w:tab w:val="left" w:pos="-1440"/>
          <w:tab w:val="left" w:pos="-720"/>
          <w:tab w:val="left" w:pos="0"/>
          <w:tab w:val="left" w:pos="720"/>
          <w:tab w:val="left" w:pos="1080"/>
        </w:tabs>
        <w:ind w:firstLine="0"/>
        <w:rPr>
          <w:sz w:val="22"/>
          <w:szCs w:val="22"/>
        </w:rPr>
      </w:pPr>
      <w:r w:rsidRPr="002D5826">
        <w:rPr>
          <w:sz w:val="22"/>
          <w:szCs w:val="22"/>
        </w:rPr>
        <w:t xml:space="preserve">Most surveys take about </w:t>
      </w:r>
      <w:r>
        <w:rPr>
          <w:sz w:val="22"/>
          <w:szCs w:val="22"/>
        </w:rPr>
        <w:t xml:space="preserve">30-60 </w:t>
      </w:r>
      <w:r w:rsidRPr="002D5826">
        <w:rPr>
          <w:sz w:val="22"/>
          <w:szCs w:val="22"/>
        </w:rPr>
        <w:t xml:space="preserve">minutes to complete.  Surveys longer than 15 minutes are often broken into segments and administered incrementally.  As mentioned above, surveys are completed at the leisure of respondents </w:t>
      </w:r>
      <w:r>
        <w:rPr>
          <w:sz w:val="22"/>
          <w:szCs w:val="22"/>
        </w:rPr>
        <w:t xml:space="preserve">and thereby </w:t>
      </w:r>
      <w:r w:rsidRPr="002D5826">
        <w:rPr>
          <w:sz w:val="22"/>
          <w:szCs w:val="22"/>
        </w:rPr>
        <w:t xml:space="preserve">minimizes burden on respondents.  Finally, most companies do not permit the selection of a respondent for more than one survey on the same topic in any three-month period. </w:t>
      </w:r>
    </w:p>
    <w:p w:rsidRPr="002D5826" w:rsidR="00B01A17" w:rsidP="0068422E" w:rsidRDefault="00B01A17" w14:paraId="5B72E3C6"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2D5826" w:rsidR="004B4393" w:rsidP="0068422E" w:rsidRDefault="004B4393" w14:paraId="619903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sidRPr="00C4002F">
        <w:rPr>
          <w:rFonts w:ascii="Times New Roman" w:hAnsi="Times New Roman"/>
          <w:b/>
          <w:szCs w:val="24"/>
        </w:rPr>
        <w:t>A.4.</w:t>
      </w:r>
      <w:r w:rsidRPr="002D5826">
        <w:rPr>
          <w:rFonts w:ascii="Times New Roman" w:hAnsi="Times New Roman"/>
          <w:b/>
          <w:sz w:val="22"/>
          <w:szCs w:val="22"/>
        </w:rPr>
        <w:tab/>
        <w:t>Efforts to Identify Duplication</w:t>
      </w:r>
      <w:r w:rsidRPr="002D5826">
        <w:rPr>
          <w:rFonts w:ascii="Times New Roman" w:hAnsi="Times New Roman"/>
          <w:sz w:val="22"/>
          <w:szCs w:val="22"/>
        </w:rPr>
        <w:t xml:space="preserve"> </w:t>
      </w:r>
      <w:r w:rsidRPr="002D5826">
        <w:rPr>
          <w:rFonts w:ascii="Times New Roman" w:hAnsi="Times New Roman"/>
          <w:b/>
          <w:sz w:val="22"/>
          <w:szCs w:val="22"/>
        </w:rPr>
        <w:t>and Use of Similar Information</w:t>
      </w:r>
    </w:p>
    <w:p w:rsidRPr="002D5826" w:rsidR="004B4393" w:rsidP="0068422E" w:rsidRDefault="004B4393" w14:paraId="461A383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2D5826" w:rsidR="004B4393" w:rsidP="0068422E" w:rsidRDefault="004B4393" w14:paraId="76EC9D41"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bookmarkStart w:name="_Hlk69069792" w:id="3"/>
      <w:r>
        <w:rPr>
          <w:rFonts w:ascii="Times New Roman" w:hAnsi="Times New Roman"/>
          <w:sz w:val="22"/>
          <w:szCs w:val="22"/>
        </w:rPr>
        <w:t>Health m</w:t>
      </w:r>
      <w:r w:rsidRPr="002D5826">
        <w:rPr>
          <w:rFonts w:ascii="Times New Roman" w:hAnsi="Times New Roman"/>
          <w:sz w:val="22"/>
          <w:szCs w:val="22"/>
        </w:rPr>
        <w:t xml:space="preserve">essages developed by CDC are unique in their mix of intended audience, health behavior, concept, and execution.  </w:t>
      </w:r>
      <w:r>
        <w:rPr>
          <w:rFonts w:ascii="Times New Roman" w:hAnsi="Times New Roman"/>
          <w:sz w:val="22"/>
          <w:szCs w:val="22"/>
        </w:rPr>
        <w:t xml:space="preserve">Therefore, in the majority of cases, there are no similar data available.  </w:t>
      </w:r>
      <w:r w:rsidRPr="002D5826">
        <w:rPr>
          <w:rFonts w:ascii="Times New Roman" w:hAnsi="Times New Roman"/>
          <w:sz w:val="22"/>
          <w:szCs w:val="22"/>
        </w:rPr>
        <w:t xml:space="preserve">CDC reviews existing published literature and unpublished qualitative pretesting reports when they are available, and also consults with outside experts to identify information that could facilitate message development prior to conducting any data collection.  </w:t>
      </w:r>
    </w:p>
    <w:p w:rsidRPr="002D5826" w:rsidR="004B4393" w:rsidP="0068422E" w:rsidRDefault="004B4393" w14:paraId="6E59B4A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2D5826" w:rsidR="004B4393" w:rsidP="0068422E" w:rsidRDefault="004B4393" w14:paraId="027570F9"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 xml:space="preserve">In the past, </w:t>
      </w:r>
      <w:r w:rsidRPr="002D5826">
        <w:rPr>
          <w:rFonts w:ascii="Times New Roman" w:hAnsi="Times New Roman"/>
          <w:sz w:val="22"/>
          <w:szCs w:val="22"/>
        </w:rPr>
        <w:t>CDC join</w:t>
      </w:r>
      <w:r>
        <w:rPr>
          <w:rFonts w:ascii="Times New Roman" w:hAnsi="Times New Roman"/>
          <w:sz w:val="22"/>
          <w:szCs w:val="22"/>
        </w:rPr>
        <w:t>ed</w:t>
      </w:r>
      <w:r w:rsidRPr="002D5826">
        <w:rPr>
          <w:rFonts w:ascii="Times New Roman" w:hAnsi="Times New Roman"/>
          <w:sz w:val="22"/>
          <w:szCs w:val="22"/>
        </w:rPr>
        <w:t xml:space="preserve"> other </w:t>
      </w:r>
      <w:smartTag w:uri="urn:schemas-microsoft-com:office:smarttags" w:element="country-region">
        <w:smartTag w:uri="urn:schemas-microsoft-com:office:smarttags" w:element="place">
          <w:r w:rsidRPr="002D5826">
            <w:rPr>
              <w:rFonts w:ascii="Times New Roman" w:hAnsi="Times New Roman"/>
              <w:sz w:val="22"/>
              <w:szCs w:val="22"/>
            </w:rPr>
            <w:t>U.S.</w:t>
          </w:r>
        </w:smartTag>
      </w:smartTag>
      <w:r w:rsidRPr="002D5826">
        <w:rPr>
          <w:rFonts w:ascii="Times New Roman" w:hAnsi="Times New Roman"/>
          <w:sz w:val="22"/>
          <w:szCs w:val="22"/>
        </w:rPr>
        <w:t xml:space="preserve"> government agencies in networks of organizations that sponsor or endorse health communication projects, such as the Children’s Environmental Health Subcommittee on Health Communication, the NIH/ CDC collaboration on diabetes, the NCI/CDC collaboration on DES, and </w:t>
      </w:r>
      <w:r>
        <w:rPr>
          <w:rFonts w:ascii="Times New Roman" w:hAnsi="Times New Roman"/>
          <w:sz w:val="22"/>
          <w:szCs w:val="22"/>
        </w:rPr>
        <w:t xml:space="preserve">more recently, </w:t>
      </w:r>
      <w:r w:rsidRPr="002D5826">
        <w:rPr>
          <w:rFonts w:ascii="Times New Roman" w:hAnsi="Times New Roman"/>
          <w:sz w:val="22"/>
          <w:szCs w:val="22"/>
        </w:rPr>
        <w:t>the HHS Health Literacy Work Group.</w:t>
      </w:r>
      <w:r>
        <w:rPr>
          <w:rFonts w:ascii="Times New Roman" w:hAnsi="Times New Roman"/>
          <w:sz w:val="22"/>
          <w:szCs w:val="22"/>
        </w:rPr>
        <w:t xml:space="preserve">  These affiliations</w:t>
      </w:r>
      <w:r w:rsidRPr="002D5826">
        <w:rPr>
          <w:rFonts w:ascii="Times New Roman" w:hAnsi="Times New Roman"/>
          <w:sz w:val="22"/>
          <w:szCs w:val="22"/>
        </w:rPr>
        <w:t xml:space="preserve"> serv</w:t>
      </w:r>
      <w:r>
        <w:rPr>
          <w:rFonts w:ascii="Times New Roman" w:hAnsi="Times New Roman"/>
          <w:sz w:val="22"/>
          <w:szCs w:val="22"/>
        </w:rPr>
        <w:t>e as information channels and help prevent redundancy.</w:t>
      </w:r>
    </w:p>
    <w:bookmarkEnd w:id="3"/>
    <w:p w:rsidRPr="002D5826" w:rsidR="004B4393" w:rsidP="0068422E" w:rsidRDefault="004B4393" w14:paraId="6E7BBA6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rsidRDefault="004B4393" w14:paraId="1BA9DE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A.5.</w:t>
      </w:r>
      <w:r w:rsidRPr="002D5826">
        <w:rPr>
          <w:rFonts w:ascii="Times New Roman" w:hAnsi="Times New Roman"/>
          <w:b/>
          <w:sz w:val="22"/>
          <w:szCs w:val="22"/>
        </w:rPr>
        <w:tab/>
        <w:t>Impact on Small Businesses or Other Small Entities</w:t>
      </w:r>
    </w:p>
    <w:p w:rsidRPr="002D5826" w:rsidR="004B4393" w:rsidP="0068422E" w:rsidRDefault="004B4393" w14:paraId="5EC4F0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2D5826" w:rsidR="004B4393" w:rsidP="0068422E" w:rsidRDefault="004B4393" w14:paraId="443FC0E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Physicians, other health care providers, and small businesses or non-profit organizations can be important intermediaries or target audiences for health messages. When testing messages for these audiences is required, CDC works through established medical and professional societies to gain access to the audience and to obtain feedback on our instruments and data collection plans.  As a result, no single “convenience sample” of s</w:t>
      </w:r>
      <w:r>
        <w:rPr>
          <w:rFonts w:ascii="Times New Roman" w:hAnsi="Times New Roman"/>
          <w:sz w:val="22"/>
          <w:szCs w:val="22"/>
        </w:rPr>
        <w:t>mall entities is overburdened and burden will be kept to a minimum.</w:t>
      </w:r>
    </w:p>
    <w:p w:rsidR="004B4393" w:rsidP="0068422E" w:rsidRDefault="004B4393" w14:paraId="5CD71DE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2D5826" w:rsidR="009738D2" w:rsidP="0068422E" w:rsidRDefault="009738D2" w14:paraId="43A205A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2D5826" w:rsidR="004B4393" w:rsidP="0068422E" w:rsidRDefault="004B4393" w14:paraId="39C07585"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This section has limited applicability to general population surveys that would be conducted through the online panel. Current panel members are individuals from the general population, and data collection via the online panel involve no burden to small businesses or entities.  In fact, the quick data turnaround potential of the online panel should make message testing with a general audience more feasible, thereby reducing burden on physicians by eliminating the need for expert opinions about how general audience members would respond.    </w:t>
      </w:r>
    </w:p>
    <w:p w:rsidRPr="002D5826" w:rsidR="004B4393" w:rsidP="0068422E" w:rsidRDefault="004B4393" w14:paraId="276947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b/>
          <w:sz w:val="22"/>
          <w:szCs w:val="22"/>
        </w:rPr>
        <w:br/>
      </w:r>
      <w:r w:rsidRPr="00C4002F">
        <w:rPr>
          <w:rFonts w:ascii="Times New Roman" w:hAnsi="Times New Roman"/>
          <w:b/>
          <w:szCs w:val="24"/>
        </w:rPr>
        <w:t>A.6.</w:t>
      </w:r>
      <w:r w:rsidRPr="002D5826">
        <w:rPr>
          <w:rFonts w:ascii="Times New Roman" w:hAnsi="Times New Roman"/>
          <w:b/>
          <w:sz w:val="22"/>
          <w:szCs w:val="22"/>
        </w:rPr>
        <w:tab/>
        <w:t xml:space="preserve">Consequences of Collecting the Information Less Frequently </w:t>
      </w:r>
    </w:p>
    <w:p w:rsidRPr="002D5826" w:rsidR="004B4393" w:rsidP="0068422E" w:rsidRDefault="004B4393" w14:paraId="0CEBF7E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rsidRDefault="004B4393" w14:paraId="5392D593"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Health message testing might take place at more than one point in a campaign.  If the message is not tested, time and money may be wasted developing materials that cannot achieve the health communication objective.  Subsequently, if draft materials </w:t>
      </w:r>
      <w:r>
        <w:rPr>
          <w:rFonts w:ascii="Times New Roman" w:hAnsi="Times New Roman"/>
          <w:sz w:val="22"/>
          <w:szCs w:val="22"/>
        </w:rPr>
        <w:t xml:space="preserve">and messages </w:t>
      </w:r>
      <w:r w:rsidRPr="002D5826">
        <w:rPr>
          <w:rFonts w:ascii="Times New Roman" w:hAnsi="Times New Roman"/>
          <w:sz w:val="22"/>
          <w:szCs w:val="22"/>
        </w:rPr>
        <w:t>are not tested, poor execution can undercut a good concept.   Each activity will be treated as a separate, one-time study with different respondents.  Rarely will information be collected more than once from any given respondent.</w:t>
      </w:r>
      <w:r>
        <w:rPr>
          <w:rFonts w:ascii="Times New Roman" w:hAnsi="Times New Roman"/>
          <w:sz w:val="22"/>
          <w:szCs w:val="22"/>
        </w:rPr>
        <w:t xml:space="preserve">  </w:t>
      </w:r>
    </w:p>
    <w:p w:rsidR="004B4393" w:rsidP="0068422E" w:rsidRDefault="004B4393" w14:paraId="4318552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2D5826" w:rsidR="004B4393" w:rsidP="0068422E" w:rsidRDefault="004B4393" w14:paraId="1786759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There are no legal obstacles to reduce the burden.</w:t>
      </w:r>
    </w:p>
    <w:p w:rsidRPr="002D5826" w:rsidR="004B4393" w:rsidP="0068422E" w:rsidRDefault="004B4393" w14:paraId="1C5A9201"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2D5826" w:rsidR="004B4393" w:rsidP="0068422E" w:rsidRDefault="004B4393" w14:paraId="599FE9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4002F">
        <w:rPr>
          <w:rFonts w:ascii="Times New Roman" w:hAnsi="Times New Roman"/>
          <w:b/>
          <w:szCs w:val="24"/>
        </w:rPr>
        <w:t>A.7.</w:t>
      </w:r>
      <w:r>
        <w:rPr>
          <w:rFonts w:ascii="Times New Roman" w:hAnsi="Times New Roman"/>
          <w:b/>
          <w:sz w:val="22"/>
          <w:szCs w:val="22"/>
        </w:rPr>
        <w:t xml:space="preserve">      </w:t>
      </w:r>
      <w:r w:rsidRPr="002D5826">
        <w:rPr>
          <w:rFonts w:ascii="Times New Roman" w:hAnsi="Times New Roman"/>
          <w:b/>
          <w:sz w:val="22"/>
          <w:szCs w:val="22"/>
        </w:rPr>
        <w:t>Special Circumstances Relating to the Guidelines of 5 CFR 1320.5</w:t>
      </w:r>
    </w:p>
    <w:p w:rsidRPr="002D5826" w:rsidR="004B4393" w:rsidP="0068422E" w:rsidRDefault="004B4393" w14:paraId="66DD564D"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3016DA" w:rsidP="0068422E" w:rsidRDefault="004B4393" w14:paraId="5444ACD3"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There are no special circumstances. The message testing activities fully comply with the </w:t>
      </w:r>
      <w:r>
        <w:rPr>
          <w:rFonts w:ascii="Times New Roman" w:hAnsi="Times New Roman"/>
          <w:sz w:val="22"/>
          <w:szCs w:val="22"/>
        </w:rPr>
        <w:t xml:space="preserve">regulations and </w:t>
      </w:r>
      <w:r w:rsidRPr="002D5826">
        <w:rPr>
          <w:rFonts w:ascii="Times New Roman" w:hAnsi="Times New Roman"/>
          <w:sz w:val="22"/>
          <w:szCs w:val="22"/>
        </w:rPr>
        <w:t xml:space="preserve">guidelines in 5 CFR 1320.5.  </w:t>
      </w:r>
    </w:p>
    <w:p w:rsidRPr="002D5826" w:rsidR="003016DA" w:rsidP="0068422E" w:rsidRDefault="003016DA" w14:paraId="69A70739"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rsidRDefault="004B4393" w14:paraId="47CCF7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A.8.</w:t>
      </w:r>
      <w:r w:rsidRPr="002D5826">
        <w:rPr>
          <w:rFonts w:ascii="Times New Roman" w:hAnsi="Times New Roman"/>
          <w:b/>
          <w:sz w:val="22"/>
          <w:szCs w:val="22"/>
        </w:rPr>
        <w:tab/>
        <w:t xml:space="preserve">Comments in Response to the Federal Register Notice and Efforts to Consult </w:t>
      </w:r>
      <w:r w:rsidRPr="002D5826">
        <w:rPr>
          <w:rFonts w:ascii="Times New Roman" w:hAnsi="Times New Roman"/>
          <w:b/>
          <w:sz w:val="22"/>
          <w:szCs w:val="22"/>
        </w:rPr>
        <w:tab/>
        <w:t>Outside the Agency</w:t>
      </w:r>
    </w:p>
    <w:p w:rsidR="00193876" w:rsidP="0068422E" w:rsidRDefault="00193876" w14:paraId="1D30F2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Pr="002D5826" w:rsidR="004B4393" w:rsidP="0068422E" w:rsidRDefault="004B4393" w14:paraId="79D2C4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A.8.a.</w:t>
      </w:r>
      <w:r w:rsidRPr="002D5826">
        <w:rPr>
          <w:rFonts w:ascii="Times New Roman" w:hAnsi="Times New Roman"/>
          <w:b/>
          <w:sz w:val="22"/>
          <w:szCs w:val="22"/>
        </w:rPr>
        <w:tab/>
        <w:t>Federal Register Notice</w:t>
      </w:r>
    </w:p>
    <w:p w:rsidRPr="002D5826" w:rsidR="004B4393" w:rsidP="0068422E" w:rsidRDefault="004B4393" w14:paraId="25D2EDD1"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rsidRPr="00F82054" w:rsidR="00053E08" w:rsidP="00053E08" w:rsidRDefault="00053E08" w14:paraId="0B4653A2" w14:textId="3911398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82054">
        <w:rPr>
          <w:rFonts w:ascii="Times New Roman" w:hAnsi="Times New Roman"/>
          <w:sz w:val="22"/>
          <w:szCs w:val="22"/>
        </w:rPr>
        <w:t xml:space="preserve">A 60-day Federal Register Notice was published in the Federal Register on </w:t>
      </w:r>
      <w:r>
        <w:rPr>
          <w:rFonts w:ascii="Times New Roman" w:hAnsi="Times New Roman"/>
          <w:sz w:val="22"/>
          <w:szCs w:val="22"/>
        </w:rPr>
        <w:t>Wednesday, May 26</w:t>
      </w:r>
      <w:r>
        <w:rPr>
          <w:rFonts w:ascii="Times New Roman" w:hAnsi="Times New Roman"/>
          <w:sz w:val="22"/>
          <w:szCs w:val="22"/>
        </w:rPr>
        <w:t>, 20</w:t>
      </w:r>
      <w:r>
        <w:rPr>
          <w:rFonts w:ascii="Times New Roman" w:hAnsi="Times New Roman"/>
          <w:sz w:val="22"/>
          <w:szCs w:val="22"/>
        </w:rPr>
        <w:t>21</w:t>
      </w:r>
      <w:r>
        <w:rPr>
          <w:rFonts w:ascii="Times New Roman" w:hAnsi="Times New Roman"/>
          <w:sz w:val="22"/>
          <w:szCs w:val="22"/>
        </w:rPr>
        <w:t xml:space="preserve"> Vol. 8</w:t>
      </w:r>
      <w:r>
        <w:rPr>
          <w:rFonts w:ascii="Times New Roman" w:hAnsi="Times New Roman"/>
          <w:sz w:val="22"/>
          <w:szCs w:val="22"/>
        </w:rPr>
        <w:t>6</w:t>
      </w:r>
      <w:r>
        <w:rPr>
          <w:rFonts w:ascii="Times New Roman" w:hAnsi="Times New Roman"/>
          <w:sz w:val="22"/>
          <w:szCs w:val="22"/>
        </w:rPr>
        <w:t xml:space="preserve">, No. </w:t>
      </w:r>
      <w:r>
        <w:rPr>
          <w:rFonts w:ascii="Times New Roman" w:hAnsi="Times New Roman"/>
          <w:sz w:val="22"/>
          <w:szCs w:val="22"/>
        </w:rPr>
        <w:t>100</w:t>
      </w:r>
      <w:r w:rsidRPr="00F82054">
        <w:rPr>
          <w:rFonts w:ascii="Times New Roman" w:hAnsi="Times New Roman"/>
          <w:sz w:val="22"/>
          <w:szCs w:val="22"/>
        </w:rPr>
        <w:t xml:space="preserve">, Page(s) </w:t>
      </w:r>
      <w:r>
        <w:rPr>
          <w:rFonts w:ascii="Times New Roman" w:hAnsi="Times New Roman"/>
          <w:sz w:val="22"/>
          <w:szCs w:val="22"/>
        </w:rPr>
        <w:t>2</w:t>
      </w:r>
      <w:r>
        <w:rPr>
          <w:rFonts w:ascii="Times New Roman" w:hAnsi="Times New Roman"/>
          <w:sz w:val="22"/>
          <w:szCs w:val="22"/>
        </w:rPr>
        <w:t>8354</w:t>
      </w:r>
      <w:r>
        <w:rPr>
          <w:rFonts w:ascii="Times New Roman" w:hAnsi="Times New Roman"/>
          <w:sz w:val="22"/>
          <w:szCs w:val="22"/>
        </w:rPr>
        <w:t xml:space="preserve"> - 2</w:t>
      </w:r>
      <w:r>
        <w:rPr>
          <w:rFonts w:ascii="Times New Roman" w:hAnsi="Times New Roman"/>
          <w:sz w:val="22"/>
          <w:szCs w:val="22"/>
        </w:rPr>
        <w:t>8355</w:t>
      </w:r>
      <w:r w:rsidRPr="00F82054">
        <w:rPr>
          <w:rFonts w:ascii="Times New Roman" w:hAnsi="Times New Roman"/>
          <w:sz w:val="22"/>
          <w:szCs w:val="22"/>
        </w:rPr>
        <w:t xml:space="preserve">.   </w:t>
      </w:r>
      <w:r w:rsidRPr="00172DB1">
        <w:rPr>
          <w:rFonts w:ascii="Times New Roman" w:hAnsi="Times New Roman"/>
          <w:sz w:val="22"/>
          <w:szCs w:val="22"/>
        </w:rPr>
        <w:t>One non-substantive comment received</w:t>
      </w:r>
      <w:r>
        <w:rPr>
          <w:rFonts w:ascii="Times New Roman" w:hAnsi="Times New Roman"/>
          <w:sz w:val="22"/>
          <w:szCs w:val="22"/>
        </w:rPr>
        <w:t>.</w:t>
      </w:r>
    </w:p>
    <w:p w:rsidRPr="00245AC3" w:rsidR="00F91B2A" w:rsidP="0068422E" w:rsidRDefault="00F91B2A" w14:paraId="4383CF09"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FF0000"/>
          <w:sz w:val="22"/>
          <w:szCs w:val="22"/>
        </w:rPr>
      </w:pPr>
    </w:p>
    <w:p w:rsidRPr="002D5826" w:rsidR="004B4393" w:rsidP="0068422E" w:rsidRDefault="004B4393" w14:paraId="32AA6669"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roofErr w:type="gramStart"/>
      <w:r w:rsidRPr="00C4002F">
        <w:rPr>
          <w:rFonts w:ascii="Times New Roman" w:hAnsi="Times New Roman"/>
          <w:b/>
          <w:szCs w:val="24"/>
        </w:rPr>
        <w:t>A.8.b</w:t>
      </w:r>
      <w:r w:rsidR="00EE25C2">
        <w:rPr>
          <w:rFonts w:ascii="Times New Roman" w:hAnsi="Times New Roman"/>
          <w:b/>
          <w:szCs w:val="24"/>
        </w:rPr>
        <w:t xml:space="preserve">  </w:t>
      </w:r>
      <w:r w:rsidRPr="002D5826">
        <w:rPr>
          <w:rFonts w:ascii="Times New Roman" w:hAnsi="Times New Roman"/>
          <w:b/>
          <w:sz w:val="22"/>
          <w:szCs w:val="22"/>
        </w:rPr>
        <w:t>Outside</w:t>
      </w:r>
      <w:proofErr w:type="gramEnd"/>
      <w:r w:rsidRPr="002D5826">
        <w:rPr>
          <w:rFonts w:ascii="Times New Roman" w:hAnsi="Times New Roman"/>
          <w:b/>
          <w:sz w:val="22"/>
          <w:szCs w:val="22"/>
        </w:rPr>
        <w:t xml:space="preserve"> Consultation</w:t>
      </w:r>
    </w:p>
    <w:p w:rsidRPr="002D5826" w:rsidR="004B4393" w:rsidP="0068422E" w:rsidRDefault="004B4393" w14:paraId="4E279153"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080"/>
        <w:rPr>
          <w:rFonts w:ascii="Times New Roman" w:hAnsi="Times New Roman"/>
          <w:sz w:val="22"/>
          <w:szCs w:val="22"/>
        </w:rPr>
      </w:pPr>
    </w:p>
    <w:p w:rsidRPr="001E46BA" w:rsidR="004B4393" w:rsidP="0068422E" w:rsidRDefault="009A41A2" w14:paraId="5EFF0C6B" w14:textId="77777777">
      <w:pPr>
        <w:pBdr>
          <w:top w:val="single" w:color="FFFFFF" w:sz="6" w:space="0"/>
          <w:left w:val="single" w:color="FFFFFF" w:sz="6" w:space="0"/>
          <w:bottom w:val="single" w:color="FFFFFF" w:sz="6" w:space="0"/>
          <w:right w:val="single" w:color="FFFFFF" w:sz="6" w:space="0"/>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1E46BA">
        <w:rPr>
          <w:rFonts w:ascii="Times New Roman" w:hAnsi="Times New Roman"/>
          <w:sz w:val="22"/>
          <w:szCs w:val="22"/>
        </w:rPr>
        <w:t xml:space="preserve">To ensure there is no duplication or redundancy of effort across projects and programs, program staff will consult with a variety of sources </w:t>
      </w:r>
      <w:r w:rsidRPr="001E46BA" w:rsidR="004B4393">
        <w:rPr>
          <w:rFonts w:ascii="Times New Roman" w:hAnsi="Times New Roman"/>
          <w:sz w:val="22"/>
          <w:szCs w:val="22"/>
        </w:rPr>
        <w:t xml:space="preserve">on the availability of data, frequency of collection, clarity of instructions, and record keeping, disclosure, and reporting format (if any), and on the data elements to be recorded, disclosed, or reported.  CDC </w:t>
      </w:r>
      <w:r w:rsidRPr="001E46BA">
        <w:rPr>
          <w:rFonts w:ascii="Times New Roman" w:hAnsi="Times New Roman"/>
          <w:sz w:val="22"/>
          <w:szCs w:val="22"/>
        </w:rPr>
        <w:t xml:space="preserve">staff </w:t>
      </w:r>
      <w:r w:rsidRPr="001E46BA" w:rsidR="004B4393">
        <w:rPr>
          <w:rFonts w:ascii="Times New Roman" w:hAnsi="Times New Roman"/>
          <w:sz w:val="22"/>
          <w:szCs w:val="22"/>
        </w:rPr>
        <w:t xml:space="preserve">will consult with relevant Federal agencies and national associations that conduct health communication campaigns (e.g., American Cancer Society, American Heart Association, the March of Dimes, etc.).  </w:t>
      </w:r>
    </w:p>
    <w:p w:rsidRPr="001E46BA" w:rsidR="004B4393" w:rsidP="0068422E" w:rsidRDefault="004B4393" w14:paraId="798C5AF4" w14:textId="77777777">
      <w:pPr>
        <w:pBdr>
          <w:top w:val="single" w:color="FFFFFF" w:sz="6" w:space="0"/>
          <w:left w:val="single" w:color="FFFFFF" w:sz="6" w:space="0"/>
          <w:bottom w:val="single" w:color="FFFFFF" w:sz="6" w:space="0"/>
          <w:right w:val="single" w:color="FFFFFF" w:sz="6" w:space="0"/>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1E46BA" w:rsidR="004B4393" w:rsidP="0068422E" w:rsidRDefault="004B4393" w14:paraId="188A4D09" w14:textId="77777777">
      <w:pPr>
        <w:pBdr>
          <w:top w:val="single" w:color="FFFFFF" w:sz="6" w:space="0"/>
          <w:left w:val="single" w:color="FFFFFF" w:sz="6" w:space="0"/>
          <w:bottom w:val="single" w:color="FFFFFF" w:sz="6" w:space="0"/>
          <w:right w:val="single" w:color="FFFFFF" w:sz="6" w:space="0"/>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1E46BA">
        <w:rPr>
          <w:rFonts w:ascii="Times New Roman" w:hAnsi="Times New Roman"/>
          <w:sz w:val="22"/>
          <w:szCs w:val="22"/>
        </w:rPr>
        <w:t xml:space="preserve">In addition, the following contractors are available for health communication consultation through the </w:t>
      </w:r>
      <w:r w:rsidRPr="001E46BA" w:rsidR="00815FE9">
        <w:rPr>
          <w:rFonts w:ascii="Times New Roman" w:hAnsi="Times New Roman"/>
          <w:sz w:val="22"/>
          <w:szCs w:val="22"/>
        </w:rPr>
        <w:t>OADC</w:t>
      </w:r>
      <w:r w:rsidRPr="001E46BA">
        <w:rPr>
          <w:rFonts w:ascii="Times New Roman" w:hAnsi="Times New Roman"/>
          <w:sz w:val="22"/>
          <w:szCs w:val="22"/>
        </w:rPr>
        <w:t xml:space="preserve"> Communication Services Contract Mechanism, if needed:</w:t>
      </w:r>
    </w:p>
    <w:p w:rsidR="004B4393" w:rsidP="0068422E" w:rsidRDefault="004B4393" w14:paraId="0CBA18A1" w14:textId="77777777">
      <w:pPr>
        <w:pBdr>
          <w:top w:val="single" w:color="FFFFFF" w:sz="6" w:space="0"/>
          <w:left w:val="single" w:color="FFFFFF" w:sz="6" w:space="0"/>
          <w:bottom w:val="single" w:color="FFFFFF" w:sz="6" w:space="0"/>
          <w:right w:val="single" w:color="FFFFFF" w:sz="6" w:space="0"/>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4A1C5E" w:rsidR="004B4393" w:rsidP="0068422E" w:rsidRDefault="004B4393" w14:paraId="5A4FA178" w14:textId="77777777">
      <w:pPr>
        <w:numPr>
          <w:ilvl w:val="0"/>
          <w:numId w:val="3"/>
        </w:numPr>
        <w:tabs>
          <w:tab w:val="left" w:pos="0"/>
          <w:tab w:val="left" w:pos="720"/>
        </w:tabs>
        <w:outlineLvl w:val="1"/>
        <w:rPr>
          <w:rFonts w:ascii="Times New Roman" w:hAnsi="Times New Roman"/>
          <w:sz w:val="22"/>
          <w:szCs w:val="22"/>
        </w:rPr>
      </w:pPr>
      <w:r>
        <w:rPr>
          <w:sz w:val="22"/>
          <w:szCs w:val="22"/>
        </w:rPr>
        <w:t>AED, AIR, Battelle,</w:t>
      </w:r>
      <w:r w:rsidR="000D0CCE">
        <w:rPr>
          <w:sz w:val="22"/>
          <w:szCs w:val="22"/>
        </w:rPr>
        <w:t xml:space="preserve"> </w:t>
      </w:r>
      <w:proofErr w:type="spellStart"/>
      <w:r>
        <w:rPr>
          <w:sz w:val="22"/>
          <w:szCs w:val="22"/>
        </w:rPr>
        <w:t>Danya</w:t>
      </w:r>
      <w:proofErr w:type="spellEnd"/>
      <w:r>
        <w:rPr>
          <w:sz w:val="22"/>
          <w:szCs w:val="22"/>
        </w:rPr>
        <w:t xml:space="preserve">, ESI, Hager Sharp, HMA, Ketchum, NOVA, Ogilvy PR, ORAU, ORC Macro, PRR, RTI, </w:t>
      </w:r>
      <w:r w:rsidR="000D0CCE">
        <w:rPr>
          <w:sz w:val="22"/>
          <w:szCs w:val="22"/>
        </w:rPr>
        <w:t xml:space="preserve">SRA </w:t>
      </w:r>
      <w:proofErr w:type="spellStart"/>
      <w:r w:rsidR="000D0CCE">
        <w:rPr>
          <w:sz w:val="22"/>
          <w:szCs w:val="22"/>
        </w:rPr>
        <w:t>International,</w:t>
      </w:r>
      <w:r>
        <w:rPr>
          <w:sz w:val="22"/>
          <w:szCs w:val="22"/>
        </w:rPr>
        <w:t>Weber</w:t>
      </w:r>
      <w:proofErr w:type="spellEnd"/>
      <w:r>
        <w:rPr>
          <w:sz w:val="22"/>
          <w:szCs w:val="22"/>
        </w:rPr>
        <w:t xml:space="preserve"> Shandwick, and </w:t>
      </w:r>
      <w:proofErr w:type="spellStart"/>
      <w:r>
        <w:rPr>
          <w:sz w:val="22"/>
          <w:szCs w:val="22"/>
        </w:rPr>
        <w:t>Westat</w:t>
      </w:r>
      <w:proofErr w:type="spellEnd"/>
      <w:r>
        <w:rPr>
          <w:sz w:val="22"/>
          <w:szCs w:val="22"/>
        </w:rPr>
        <w:t>.</w:t>
      </w:r>
    </w:p>
    <w:p w:rsidRPr="004A1C5E" w:rsidR="004B4393" w:rsidP="0068422E" w:rsidRDefault="004B4393" w14:paraId="3BF24F49" w14:textId="77777777">
      <w:pPr>
        <w:tabs>
          <w:tab w:val="left" w:pos="0"/>
          <w:tab w:val="left" w:pos="720"/>
        </w:tabs>
        <w:ind w:left="720"/>
        <w:outlineLvl w:val="1"/>
        <w:rPr>
          <w:rFonts w:ascii="Times New Roman" w:hAnsi="Times New Roman"/>
          <w:sz w:val="22"/>
          <w:szCs w:val="22"/>
        </w:rPr>
      </w:pPr>
      <w:r w:rsidRPr="002D5826">
        <w:rPr>
          <w:sz w:val="22"/>
          <w:szCs w:val="22"/>
        </w:rPr>
        <w:t xml:space="preserve"> </w:t>
      </w:r>
    </w:p>
    <w:p w:rsidR="005E2253" w:rsidP="0068422E" w:rsidRDefault="004B4393" w14:paraId="59D8836D" w14:textId="748A9E2C">
      <w:pPr>
        <w:pStyle w:val="BodyText3"/>
        <w:pBdr>
          <w:left w:val="single" w:color="FFFFFF" w:sz="6" w:space="9"/>
        </w:pBdr>
        <w:rPr>
          <w:szCs w:val="22"/>
        </w:rPr>
      </w:pPr>
      <w:r w:rsidRPr="002D5826">
        <w:rPr>
          <w:szCs w:val="22"/>
        </w:rPr>
        <w:t xml:space="preserve">CDC Center and </w:t>
      </w:r>
      <w:r w:rsidR="002B0171">
        <w:rPr>
          <w:szCs w:val="22"/>
        </w:rPr>
        <w:t>o</w:t>
      </w:r>
      <w:r>
        <w:rPr>
          <w:szCs w:val="22"/>
        </w:rPr>
        <w:t>ffice</w:t>
      </w:r>
      <w:r w:rsidRPr="002D5826">
        <w:rPr>
          <w:szCs w:val="22"/>
        </w:rPr>
        <w:t xml:space="preserve"> </w:t>
      </w:r>
      <w:r w:rsidR="00FA17D8">
        <w:rPr>
          <w:szCs w:val="22"/>
        </w:rPr>
        <w:t xml:space="preserve">health communication specialists </w:t>
      </w:r>
      <w:r w:rsidR="00856934">
        <w:rPr>
          <w:szCs w:val="22"/>
        </w:rPr>
        <w:t xml:space="preserve">throughout the agency </w:t>
      </w:r>
      <w:r w:rsidRPr="002D5826">
        <w:rPr>
          <w:szCs w:val="22"/>
        </w:rPr>
        <w:t>will conduct, direct, and</w:t>
      </w:r>
      <w:r w:rsidR="00856934">
        <w:rPr>
          <w:szCs w:val="22"/>
        </w:rPr>
        <w:t xml:space="preserve"> use</w:t>
      </w:r>
      <w:r w:rsidRPr="002D5826">
        <w:rPr>
          <w:szCs w:val="22"/>
        </w:rPr>
        <w:t xml:space="preserve"> these data collections. </w:t>
      </w:r>
      <w:r w:rsidR="009A41A2">
        <w:rPr>
          <w:szCs w:val="22"/>
        </w:rPr>
        <w:t>The</w:t>
      </w:r>
      <w:r w:rsidRPr="002D5826">
        <w:rPr>
          <w:szCs w:val="22"/>
        </w:rPr>
        <w:t xml:space="preserve"> Associate Directors of Communication Science (ADCS)</w:t>
      </w:r>
      <w:r w:rsidR="009A41A2">
        <w:rPr>
          <w:szCs w:val="22"/>
        </w:rPr>
        <w:t xml:space="preserve"> in National Centers at CDC are the senior communication specialists in their respective Centers and will consult with programs on the</w:t>
      </w:r>
      <w:r w:rsidR="00FA17D8">
        <w:rPr>
          <w:szCs w:val="22"/>
        </w:rPr>
        <w:t xml:space="preserve">ir </w:t>
      </w:r>
      <w:r w:rsidR="009A41A2">
        <w:rPr>
          <w:szCs w:val="22"/>
        </w:rPr>
        <w:t>data collections</w:t>
      </w:r>
      <w:r w:rsidR="000D0CCE">
        <w:rPr>
          <w:szCs w:val="22"/>
        </w:rPr>
        <w:t>.</w:t>
      </w:r>
      <w:r w:rsidRPr="002D5826">
        <w:rPr>
          <w:szCs w:val="22"/>
        </w:rPr>
        <w:t xml:space="preserve"> </w:t>
      </w:r>
    </w:p>
    <w:p w:rsidRPr="00245AC3" w:rsidR="009261B3" w:rsidP="0068422E" w:rsidRDefault="009261B3" w14:paraId="6236D99E" w14:textId="77777777">
      <w:pPr>
        <w:pStyle w:val="BodyText3"/>
        <w:pBdr>
          <w:left w:val="single" w:color="FFFFFF" w:sz="6" w:space="9"/>
        </w:pBdr>
        <w:rPr>
          <w:color w:val="FF0000"/>
          <w:szCs w:val="22"/>
        </w:rPr>
      </w:pPr>
    </w:p>
    <w:p w:rsidRPr="007024FD" w:rsidR="005E2253" w:rsidP="0068422E" w:rsidRDefault="005E2253" w14:paraId="6D476740" w14:textId="77777777">
      <w:pPr>
        <w:pStyle w:val="BodyText3"/>
        <w:pBdr>
          <w:left w:val="single" w:color="FFFFFF" w:sz="6" w:space="9"/>
        </w:pBdr>
        <w:rPr>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80" w:firstRow="0" w:lastRow="0" w:firstColumn="1" w:lastColumn="0" w:noHBand="0" w:noVBand="1"/>
      </w:tblPr>
      <w:tblGrid>
        <w:gridCol w:w="4652"/>
        <w:gridCol w:w="2205"/>
        <w:gridCol w:w="2493"/>
      </w:tblGrid>
      <w:tr w:rsidRPr="007024FD" w:rsidR="001741DA" w:rsidTr="000A1F36" w14:paraId="54BACA22" w14:textId="77777777">
        <w:tc>
          <w:tcPr>
            <w:tcW w:w="4652" w:type="dxa"/>
          </w:tcPr>
          <w:p w:rsidRPr="007024FD" w:rsidR="001741DA" w:rsidP="000A1F36" w:rsidRDefault="001741DA" w14:paraId="66A8E54F" w14:textId="77777777">
            <w:pPr>
              <w:pStyle w:val="BodyText3"/>
              <w:pBdr>
                <w:top w:val="none" w:color="auto" w:sz="0" w:space="0"/>
                <w:left w:val="none" w:color="auto" w:sz="0" w:space="0"/>
                <w:bottom w:val="none" w:color="auto" w:sz="0" w:space="0"/>
                <w:right w:val="none" w:color="auto" w:sz="0" w:space="0"/>
              </w:pBdr>
              <w:tabs>
                <w:tab w:val="left" w:pos="396"/>
                <w:tab w:val="center" w:pos="2286"/>
              </w:tabs>
              <w:rPr>
                <w:rFonts w:eastAsia="Calibri"/>
                <w:szCs w:val="22"/>
              </w:rPr>
            </w:pPr>
            <w:r w:rsidRPr="007024FD">
              <w:rPr>
                <w:szCs w:val="22"/>
              </w:rPr>
              <w:tab/>
            </w:r>
            <w:r w:rsidRPr="007024FD">
              <w:rPr>
                <w:szCs w:val="22"/>
              </w:rPr>
              <w:tab/>
            </w:r>
            <w:r w:rsidRPr="007024FD">
              <w:rPr>
                <w:szCs w:val="22"/>
              </w:rPr>
              <w:tab/>
            </w:r>
            <w:r w:rsidRPr="007024FD">
              <w:rPr>
                <w:szCs w:val="22"/>
              </w:rPr>
              <w:tab/>
            </w:r>
            <w:r w:rsidRPr="007024FD">
              <w:rPr>
                <w:szCs w:val="22"/>
              </w:rPr>
              <w:br w:type="page"/>
            </w:r>
            <w:r w:rsidRPr="007024FD">
              <w:rPr>
                <w:b/>
              </w:rPr>
              <w:t>Center/Office</w:t>
            </w:r>
          </w:p>
        </w:tc>
        <w:tc>
          <w:tcPr>
            <w:tcW w:w="2205" w:type="dxa"/>
          </w:tcPr>
          <w:p w:rsidRPr="007024FD" w:rsidR="001741DA" w:rsidP="000A1F36" w:rsidRDefault="001741DA" w14:paraId="7871F385" w14:textId="77777777">
            <w:pPr>
              <w:pStyle w:val="BodyText3"/>
              <w:pBdr>
                <w:top w:val="none" w:color="auto" w:sz="0" w:space="0"/>
                <w:left w:val="none" w:color="auto" w:sz="0" w:space="0"/>
                <w:bottom w:val="none" w:color="auto" w:sz="0" w:space="0"/>
                <w:right w:val="none" w:color="auto" w:sz="0" w:space="0"/>
              </w:pBdr>
              <w:rPr>
                <w:rFonts w:eastAsia="Calibri"/>
                <w:szCs w:val="22"/>
              </w:rPr>
            </w:pPr>
            <w:r w:rsidRPr="007024FD">
              <w:rPr>
                <w:b/>
              </w:rPr>
              <w:t>ADCS</w:t>
            </w:r>
          </w:p>
        </w:tc>
        <w:tc>
          <w:tcPr>
            <w:tcW w:w="2493" w:type="dxa"/>
          </w:tcPr>
          <w:p w:rsidRPr="007024FD" w:rsidR="001741DA" w:rsidP="000A1F36" w:rsidRDefault="001741DA" w14:paraId="46981DC4" w14:textId="77777777">
            <w:pPr>
              <w:pStyle w:val="BodyText3"/>
              <w:pBdr>
                <w:top w:val="none" w:color="auto" w:sz="0" w:space="0"/>
                <w:left w:val="none" w:color="auto" w:sz="0" w:space="0"/>
                <w:bottom w:val="none" w:color="auto" w:sz="0" w:space="0"/>
                <w:right w:val="none" w:color="auto" w:sz="0" w:space="0"/>
              </w:pBdr>
              <w:rPr>
                <w:rFonts w:eastAsia="Calibri"/>
                <w:szCs w:val="22"/>
              </w:rPr>
            </w:pPr>
            <w:r w:rsidRPr="007024FD">
              <w:rPr>
                <w:b/>
              </w:rPr>
              <w:t>E-Mail/Work#2</w:t>
            </w:r>
          </w:p>
        </w:tc>
      </w:tr>
      <w:tr w:rsidRPr="007024FD" w:rsidR="001741DA" w:rsidTr="000A1F36" w14:paraId="2E5FE716" w14:textId="77777777">
        <w:tc>
          <w:tcPr>
            <w:tcW w:w="4652" w:type="dxa"/>
          </w:tcPr>
          <w:p w:rsidRPr="00F64C8A" w:rsidR="001741DA" w:rsidP="000A1F36" w:rsidRDefault="001741DA" w14:paraId="1CE963B4" w14:textId="77777777">
            <w:pPr>
              <w:ind w:left="360"/>
              <w:rPr>
                <w:sz w:val="22"/>
                <w:szCs w:val="22"/>
              </w:rPr>
            </w:pPr>
            <w:r w:rsidRPr="00F64C8A">
              <w:rPr>
                <w:sz w:val="22"/>
                <w:szCs w:val="22"/>
              </w:rPr>
              <w:t>Center for Global Health (CGH)</w:t>
            </w:r>
          </w:p>
        </w:tc>
        <w:tc>
          <w:tcPr>
            <w:tcW w:w="2205" w:type="dxa"/>
          </w:tcPr>
          <w:p w:rsidRPr="00F64C8A" w:rsidR="001741DA" w:rsidP="000A1F36" w:rsidRDefault="001741DA" w14:paraId="40A2B2B4" w14:textId="77777777">
            <w:pPr>
              <w:ind w:left="360"/>
              <w:rPr>
                <w:sz w:val="22"/>
                <w:szCs w:val="22"/>
              </w:rPr>
            </w:pPr>
            <w:r w:rsidRPr="00F64C8A">
              <w:rPr>
                <w:sz w:val="22"/>
                <w:szCs w:val="22"/>
              </w:rPr>
              <w:t>Nili Larish</w:t>
            </w:r>
          </w:p>
        </w:tc>
        <w:tc>
          <w:tcPr>
            <w:tcW w:w="2493" w:type="dxa"/>
          </w:tcPr>
          <w:p w:rsidRPr="00F64C8A" w:rsidR="001741DA" w:rsidP="000A1F36" w:rsidRDefault="000A3B49" w14:paraId="3CAE73B7" w14:textId="77777777">
            <w:pPr>
              <w:ind w:left="360"/>
              <w:rPr>
                <w:sz w:val="22"/>
                <w:szCs w:val="22"/>
              </w:rPr>
            </w:pPr>
            <w:hyperlink w:history="1" r:id="rId8">
              <w:r w:rsidRPr="00F64C8A" w:rsidR="001741DA">
                <w:rPr>
                  <w:rStyle w:val="Hyperlink"/>
                  <w:sz w:val="22"/>
                  <w:szCs w:val="22"/>
                </w:rPr>
                <w:t>voy1@cdc.gov</w:t>
              </w:r>
            </w:hyperlink>
          </w:p>
          <w:p w:rsidRPr="00F64C8A" w:rsidR="001741DA" w:rsidP="000A1F36" w:rsidRDefault="001741DA" w14:paraId="0B9A0289" w14:textId="77777777">
            <w:pPr>
              <w:ind w:left="360"/>
              <w:rPr>
                <w:sz w:val="22"/>
                <w:szCs w:val="22"/>
              </w:rPr>
            </w:pPr>
            <w:r w:rsidRPr="00F64C8A">
              <w:rPr>
                <w:sz w:val="22"/>
                <w:szCs w:val="22"/>
              </w:rPr>
              <w:t>404-639-6080</w:t>
            </w:r>
          </w:p>
        </w:tc>
      </w:tr>
      <w:tr w:rsidRPr="007024FD" w:rsidR="001741DA" w:rsidTr="000A1F36" w14:paraId="009EDF04" w14:textId="77777777">
        <w:trPr>
          <w:trHeight w:val="593"/>
        </w:trPr>
        <w:tc>
          <w:tcPr>
            <w:tcW w:w="4652" w:type="dxa"/>
          </w:tcPr>
          <w:p w:rsidRPr="00F64C8A" w:rsidR="001741DA" w:rsidP="000A1F36" w:rsidRDefault="001741DA" w14:paraId="3030FC01" w14:textId="77777777">
            <w:pPr>
              <w:ind w:left="360"/>
              <w:rPr>
                <w:sz w:val="22"/>
                <w:szCs w:val="22"/>
              </w:rPr>
            </w:pPr>
            <w:r w:rsidRPr="005513A5">
              <w:t>Center for Preparedness and Response (CPR)</w:t>
            </w:r>
          </w:p>
        </w:tc>
        <w:tc>
          <w:tcPr>
            <w:tcW w:w="2205" w:type="dxa"/>
          </w:tcPr>
          <w:p w:rsidRPr="00F64C8A" w:rsidR="001741DA" w:rsidP="000A1F36" w:rsidRDefault="001741DA" w14:paraId="62407100" w14:textId="77777777">
            <w:pPr>
              <w:ind w:left="360"/>
              <w:rPr>
                <w:sz w:val="22"/>
                <w:szCs w:val="22"/>
              </w:rPr>
            </w:pPr>
            <w:r w:rsidRPr="005513A5">
              <w:t>John Anderton</w:t>
            </w:r>
          </w:p>
        </w:tc>
        <w:tc>
          <w:tcPr>
            <w:tcW w:w="2493" w:type="dxa"/>
          </w:tcPr>
          <w:p w:rsidRPr="00F64C8A" w:rsidR="001741DA" w:rsidP="000A1F36" w:rsidRDefault="000A3B49" w14:paraId="5D3C0782" w14:textId="77777777">
            <w:pPr>
              <w:ind w:left="360"/>
              <w:rPr>
                <w:sz w:val="22"/>
                <w:szCs w:val="22"/>
              </w:rPr>
            </w:pPr>
            <w:hyperlink w:history="1" r:id="rId9">
              <w:r w:rsidRPr="00F64C8A" w:rsidR="001741DA">
                <w:rPr>
                  <w:rStyle w:val="Hyperlink"/>
                  <w:sz w:val="22"/>
                  <w:szCs w:val="22"/>
                </w:rPr>
                <w:t>jpa0@cdc.gov</w:t>
              </w:r>
            </w:hyperlink>
          </w:p>
          <w:p w:rsidR="001741DA" w:rsidP="000A1F36" w:rsidRDefault="001741DA" w14:paraId="62F8DF64" w14:textId="77777777">
            <w:pPr>
              <w:ind w:left="360"/>
            </w:pPr>
            <w:r w:rsidRPr="00F64C8A">
              <w:rPr>
                <w:sz w:val="22"/>
                <w:szCs w:val="22"/>
              </w:rPr>
              <w:t>404-498-6145</w:t>
            </w:r>
          </w:p>
        </w:tc>
      </w:tr>
      <w:tr w:rsidRPr="007024FD" w:rsidR="001741DA" w:rsidTr="000A1F36" w14:paraId="155E41F1" w14:textId="77777777">
        <w:tc>
          <w:tcPr>
            <w:tcW w:w="4652" w:type="dxa"/>
          </w:tcPr>
          <w:p w:rsidRPr="00F64C8A" w:rsidR="001741DA" w:rsidP="000A1F36" w:rsidRDefault="001741DA" w14:paraId="69DE4E34" w14:textId="77777777">
            <w:pPr>
              <w:ind w:left="360"/>
              <w:rPr>
                <w:sz w:val="22"/>
                <w:szCs w:val="22"/>
              </w:rPr>
            </w:pPr>
            <w:r w:rsidRPr="00F64C8A">
              <w:rPr>
                <w:sz w:val="22"/>
                <w:szCs w:val="22"/>
              </w:rPr>
              <w:t>Center for State, Tribal, Local, and Territorial Support (CSTLTS)</w:t>
            </w:r>
          </w:p>
        </w:tc>
        <w:tc>
          <w:tcPr>
            <w:tcW w:w="2205" w:type="dxa"/>
          </w:tcPr>
          <w:p w:rsidRPr="00F64C8A" w:rsidR="001741DA" w:rsidP="000A1F36" w:rsidRDefault="001741DA" w14:paraId="106B121D" w14:textId="77777777">
            <w:pPr>
              <w:ind w:left="360"/>
              <w:rPr>
                <w:sz w:val="22"/>
                <w:szCs w:val="22"/>
              </w:rPr>
            </w:pPr>
            <w:r w:rsidRPr="00F64C8A">
              <w:rPr>
                <w:sz w:val="22"/>
                <w:szCs w:val="22"/>
              </w:rPr>
              <w:t>Tracy Ingraham</w:t>
            </w:r>
          </w:p>
        </w:tc>
        <w:tc>
          <w:tcPr>
            <w:tcW w:w="2493" w:type="dxa"/>
          </w:tcPr>
          <w:p w:rsidR="001741DA" w:rsidP="000A1F36" w:rsidRDefault="000A3B49" w14:paraId="76A28CB7" w14:textId="77777777">
            <w:pPr>
              <w:ind w:left="360"/>
            </w:pPr>
            <w:hyperlink w:history="1" r:id="rId10">
              <w:r w:rsidRPr="0009603A" w:rsidR="001741DA">
                <w:rPr>
                  <w:rStyle w:val="Hyperlink"/>
                </w:rPr>
                <w:t>bwf7@cdc.gov</w:t>
              </w:r>
            </w:hyperlink>
            <w:r w:rsidR="001741DA">
              <w:t xml:space="preserve"> </w:t>
            </w:r>
          </w:p>
          <w:p w:rsidR="001741DA" w:rsidP="000A1F36" w:rsidRDefault="001741DA" w14:paraId="54FD52CC" w14:textId="77777777">
            <w:pPr>
              <w:ind w:left="360"/>
            </w:pPr>
            <w:r w:rsidRPr="00AC2D77">
              <w:t>404</w:t>
            </w:r>
            <w:r>
              <w:t>-</w:t>
            </w:r>
            <w:r w:rsidRPr="00AC2D77">
              <w:t>718</w:t>
            </w:r>
            <w:r>
              <w:t>-</w:t>
            </w:r>
            <w:r w:rsidRPr="00AC2D77">
              <w:t>8161</w:t>
            </w:r>
          </w:p>
        </w:tc>
      </w:tr>
      <w:tr w:rsidRPr="007024FD" w:rsidR="001741DA" w:rsidTr="000A1F36" w14:paraId="73462BFF" w14:textId="77777777">
        <w:tc>
          <w:tcPr>
            <w:tcW w:w="4652" w:type="dxa"/>
          </w:tcPr>
          <w:p w:rsidRPr="00F64C8A" w:rsidR="001741DA" w:rsidP="000A1F36" w:rsidRDefault="001741DA" w14:paraId="5C146841" w14:textId="77777777">
            <w:pPr>
              <w:ind w:left="360"/>
              <w:rPr>
                <w:sz w:val="22"/>
                <w:szCs w:val="22"/>
              </w:rPr>
            </w:pPr>
            <w:r w:rsidRPr="00F64C8A">
              <w:rPr>
                <w:sz w:val="22"/>
                <w:szCs w:val="22"/>
              </w:rPr>
              <w:t>Center for Surveillance, Epidemiology and Laboratory Services (CSELS)</w:t>
            </w:r>
          </w:p>
        </w:tc>
        <w:tc>
          <w:tcPr>
            <w:tcW w:w="2205" w:type="dxa"/>
          </w:tcPr>
          <w:p w:rsidRPr="00F64C8A" w:rsidR="001741DA" w:rsidP="000A1F36" w:rsidRDefault="001741DA" w14:paraId="15F07E2D" w14:textId="77777777">
            <w:pPr>
              <w:ind w:left="360"/>
              <w:rPr>
                <w:sz w:val="22"/>
                <w:szCs w:val="22"/>
              </w:rPr>
            </w:pPr>
            <w:r w:rsidRPr="00F64C8A">
              <w:rPr>
                <w:sz w:val="22"/>
                <w:szCs w:val="22"/>
              </w:rPr>
              <w:t>Angela Fisher</w:t>
            </w:r>
          </w:p>
        </w:tc>
        <w:tc>
          <w:tcPr>
            <w:tcW w:w="2493" w:type="dxa"/>
          </w:tcPr>
          <w:p w:rsidR="001741DA" w:rsidP="000A1F36" w:rsidRDefault="000A3B49" w14:paraId="462541CA" w14:textId="77777777">
            <w:pPr>
              <w:ind w:left="360"/>
            </w:pPr>
            <w:hyperlink w:history="1" r:id="rId11">
              <w:r w:rsidRPr="0009603A" w:rsidR="001741DA">
                <w:rPr>
                  <w:rStyle w:val="Hyperlink"/>
                </w:rPr>
                <w:t>iwg7@cdc.gov</w:t>
              </w:r>
            </w:hyperlink>
          </w:p>
          <w:p w:rsidRPr="00F64C8A" w:rsidR="001741DA" w:rsidP="000A1F36" w:rsidRDefault="001741DA" w14:paraId="1E59BA20" w14:textId="77777777">
            <w:pPr>
              <w:ind w:left="360"/>
              <w:rPr>
                <w:sz w:val="22"/>
                <w:szCs w:val="22"/>
              </w:rPr>
            </w:pPr>
            <w:r w:rsidRPr="00F64C8A">
              <w:rPr>
                <w:sz w:val="22"/>
                <w:szCs w:val="22"/>
              </w:rPr>
              <w:t>404-639-1665</w:t>
            </w:r>
          </w:p>
        </w:tc>
      </w:tr>
      <w:tr w:rsidRPr="007024FD" w:rsidR="001741DA" w:rsidTr="000A1F36" w14:paraId="4E2905B0" w14:textId="77777777">
        <w:tc>
          <w:tcPr>
            <w:tcW w:w="4652" w:type="dxa"/>
          </w:tcPr>
          <w:p w:rsidRPr="00F64C8A" w:rsidR="001741DA" w:rsidP="000A1F36" w:rsidRDefault="001741DA" w14:paraId="6612D5B0" w14:textId="77777777">
            <w:pPr>
              <w:ind w:left="360"/>
              <w:rPr>
                <w:sz w:val="22"/>
                <w:szCs w:val="22"/>
              </w:rPr>
            </w:pPr>
            <w:r w:rsidRPr="00F64C8A">
              <w:rPr>
                <w:sz w:val="22"/>
                <w:szCs w:val="22"/>
              </w:rPr>
              <w:t>Deputy Director for Infectious Diseases/OD (DDID/OD)</w:t>
            </w:r>
          </w:p>
        </w:tc>
        <w:tc>
          <w:tcPr>
            <w:tcW w:w="2205" w:type="dxa"/>
          </w:tcPr>
          <w:p w:rsidRPr="00F64C8A" w:rsidR="001741DA" w:rsidP="000A1F36" w:rsidRDefault="001741DA" w14:paraId="7B9CAB1C" w14:textId="77777777">
            <w:pPr>
              <w:ind w:left="360"/>
              <w:rPr>
                <w:sz w:val="22"/>
                <w:szCs w:val="22"/>
              </w:rPr>
            </w:pPr>
            <w:r w:rsidRPr="00F64C8A">
              <w:rPr>
                <w:sz w:val="22"/>
                <w:szCs w:val="22"/>
              </w:rPr>
              <w:t>Hilary Eiring</w:t>
            </w:r>
          </w:p>
        </w:tc>
        <w:tc>
          <w:tcPr>
            <w:tcW w:w="2493" w:type="dxa"/>
          </w:tcPr>
          <w:p w:rsidR="001741DA" w:rsidP="000A1F36" w:rsidRDefault="000A3B49" w14:paraId="445D39C6" w14:textId="77777777">
            <w:pPr>
              <w:ind w:left="360"/>
            </w:pPr>
            <w:hyperlink w:history="1" r:id="rId12">
              <w:r w:rsidRPr="0009603A" w:rsidR="001741DA">
                <w:rPr>
                  <w:rStyle w:val="Hyperlink"/>
                </w:rPr>
                <w:t>vte0@cdc.gov</w:t>
              </w:r>
            </w:hyperlink>
          </w:p>
          <w:p w:rsidR="001741DA" w:rsidP="000A1F36" w:rsidRDefault="001741DA" w14:paraId="477E2A49" w14:textId="77777777">
            <w:pPr>
              <w:ind w:left="360"/>
            </w:pPr>
            <w:r w:rsidRPr="00AC2D77">
              <w:t>770</w:t>
            </w:r>
            <w:r>
              <w:t>-</w:t>
            </w:r>
            <w:r w:rsidRPr="00AC2D77">
              <w:t>488</w:t>
            </w:r>
            <w:r>
              <w:t>-</w:t>
            </w:r>
            <w:r w:rsidRPr="00AC2D77">
              <w:t>3901</w:t>
            </w:r>
          </w:p>
        </w:tc>
      </w:tr>
      <w:tr w:rsidRPr="007024FD" w:rsidR="001741DA" w:rsidTr="000A1F36" w14:paraId="756AB380" w14:textId="77777777">
        <w:tc>
          <w:tcPr>
            <w:tcW w:w="4652" w:type="dxa"/>
          </w:tcPr>
          <w:p w:rsidRPr="00F64C8A" w:rsidR="001741DA" w:rsidP="000A1F36" w:rsidRDefault="001741DA" w14:paraId="16CC229B" w14:textId="77777777">
            <w:pPr>
              <w:ind w:left="360"/>
              <w:rPr>
                <w:sz w:val="22"/>
                <w:szCs w:val="22"/>
              </w:rPr>
            </w:pPr>
            <w:r w:rsidRPr="00F64C8A">
              <w:rPr>
                <w:sz w:val="22"/>
                <w:szCs w:val="22"/>
              </w:rPr>
              <w:t>Deputy Director for Non-Infectious Diseases/OD (DDNID/OD)</w:t>
            </w:r>
          </w:p>
        </w:tc>
        <w:tc>
          <w:tcPr>
            <w:tcW w:w="2205" w:type="dxa"/>
          </w:tcPr>
          <w:p w:rsidRPr="00F64C8A" w:rsidR="001741DA" w:rsidP="000A1F36" w:rsidRDefault="001741DA" w14:paraId="30585CD7" w14:textId="77777777">
            <w:pPr>
              <w:ind w:left="360"/>
              <w:rPr>
                <w:sz w:val="22"/>
                <w:szCs w:val="22"/>
              </w:rPr>
            </w:pPr>
            <w:r w:rsidRPr="00F64C8A">
              <w:rPr>
                <w:sz w:val="22"/>
                <w:szCs w:val="22"/>
              </w:rPr>
              <w:t>Ellen Wan</w:t>
            </w:r>
          </w:p>
        </w:tc>
        <w:tc>
          <w:tcPr>
            <w:tcW w:w="2493" w:type="dxa"/>
          </w:tcPr>
          <w:p w:rsidR="001741DA" w:rsidP="000A1F36" w:rsidRDefault="000A3B49" w14:paraId="48EE775A" w14:textId="77777777">
            <w:pPr>
              <w:ind w:left="360"/>
            </w:pPr>
            <w:hyperlink w:history="1" r:id="rId13">
              <w:r w:rsidRPr="0009603A" w:rsidR="001741DA">
                <w:rPr>
                  <w:rStyle w:val="Hyperlink"/>
                </w:rPr>
                <w:t>gqj0@cdc.gov</w:t>
              </w:r>
            </w:hyperlink>
          </w:p>
          <w:p w:rsidR="001741DA" w:rsidP="000A1F36" w:rsidRDefault="001741DA" w14:paraId="7F6589F7" w14:textId="77777777">
            <w:pPr>
              <w:ind w:left="360"/>
            </w:pPr>
            <w:r w:rsidRPr="00AC2D77">
              <w:t>404</w:t>
            </w:r>
            <w:r>
              <w:t>-</w:t>
            </w:r>
            <w:r w:rsidRPr="00AC2D77">
              <w:t>639</w:t>
            </w:r>
            <w:r>
              <w:t>-</w:t>
            </w:r>
            <w:r w:rsidRPr="00AC2D77">
              <w:t>2231</w:t>
            </w:r>
          </w:p>
        </w:tc>
      </w:tr>
      <w:tr w:rsidRPr="007024FD" w:rsidR="001741DA" w:rsidTr="000A1F36" w14:paraId="65E7E698" w14:textId="77777777">
        <w:tc>
          <w:tcPr>
            <w:tcW w:w="4652" w:type="dxa"/>
          </w:tcPr>
          <w:p w:rsidRPr="00F64C8A" w:rsidR="001741DA" w:rsidP="000A1F36" w:rsidRDefault="001741DA" w14:paraId="19752F90" w14:textId="77777777">
            <w:pPr>
              <w:ind w:left="360"/>
              <w:rPr>
                <w:sz w:val="22"/>
                <w:szCs w:val="22"/>
              </w:rPr>
            </w:pPr>
            <w:r w:rsidRPr="00F64C8A">
              <w:rPr>
                <w:sz w:val="22"/>
                <w:szCs w:val="22"/>
              </w:rPr>
              <w:t>Deputy Director for Public Health Service and Implementation Science/OD (DDPHSIS/OD)</w:t>
            </w:r>
          </w:p>
        </w:tc>
        <w:tc>
          <w:tcPr>
            <w:tcW w:w="2205" w:type="dxa"/>
          </w:tcPr>
          <w:p w:rsidRPr="00F64C8A" w:rsidR="001741DA" w:rsidP="000A1F36" w:rsidRDefault="001741DA" w14:paraId="3FAE56BE" w14:textId="77777777">
            <w:pPr>
              <w:ind w:left="360"/>
              <w:rPr>
                <w:sz w:val="22"/>
                <w:szCs w:val="22"/>
              </w:rPr>
            </w:pPr>
            <w:r w:rsidRPr="00F64C8A">
              <w:rPr>
                <w:sz w:val="22"/>
                <w:szCs w:val="22"/>
              </w:rPr>
              <w:t xml:space="preserve">Rebecca Greco </w:t>
            </w:r>
            <w:proofErr w:type="spellStart"/>
            <w:r w:rsidRPr="00F64C8A">
              <w:rPr>
                <w:sz w:val="22"/>
                <w:szCs w:val="22"/>
              </w:rPr>
              <w:t>Koné</w:t>
            </w:r>
            <w:proofErr w:type="spellEnd"/>
          </w:p>
        </w:tc>
        <w:tc>
          <w:tcPr>
            <w:tcW w:w="2493" w:type="dxa"/>
          </w:tcPr>
          <w:p w:rsidR="001741DA" w:rsidP="000A1F36" w:rsidRDefault="000A3B49" w14:paraId="1E42900A" w14:textId="77777777">
            <w:pPr>
              <w:ind w:left="360"/>
            </w:pPr>
            <w:hyperlink w:history="1" r:id="rId14">
              <w:r w:rsidRPr="0009603A" w:rsidR="001741DA">
                <w:rPr>
                  <w:rStyle w:val="Hyperlink"/>
                </w:rPr>
                <w:t>ftm1@cdc.gov</w:t>
              </w:r>
            </w:hyperlink>
          </w:p>
          <w:p w:rsidR="001741DA" w:rsidP="000A1F36" w:rsidRDefault="001741DA" w14:paraId="7A9CA160" w14:textId="77777777">
            <w:pPr>
              <w:ind w:left="360"/>
            </w:pPr>
            <w:r w:rsidRPr="0097058B">
              <w:t>404</w:t>
            </w:r>
            <w:r>
              <w:t>-</w:t>
            </w:r>
            <w:r w:rsidRPr="0097058B">
              <w:t>639</w:t>
            </w:r>
            <w:r>
              <w:t>-</w:t>
            </w:r>
            <w:r w:rsidRPr="0097058B">
              <w:t>3224</w:t>
            </w:r>
          </w:p>
        </w:tc>
      </w:tr>
      <w:tr w:rsidRPr="007024FD" w:rsidR="001741DA" w:rsidTr="000A1F36" w14:paraId="44C5FD73" w14:textId="77777777">
        <w:tc>
          <w:tcPr>
            <w:tcW w:w="4652" w:type="dxa"/>
          </w:tcPr>
          <w:p w:rsidRPr="00F64C8A" w:rsidR="001741DA" w:rsidP="000A1F36" w:rsidRDefault="001741DA" w14:paraId="0C8645D7" w14:textId="77777777">
            <w:pPr>
              <w:ind w:left="360"/>
              <w:rPr>
                <w:sz w:val="22"/>
                <w:szCs w:val="22"/>
              </w:rPr>
            </w:pPr>
            <w:r w:rsidRPr="00F64C8A">
              <w:rPr>
                <w:sz w:val="22"/>
                <w:szCs w:val="22"/>
              </w:rPr>
              <w:t>Director for Public Health Scientific Services</w:t>
            </w:r>
          </w:p>
          <w:p w:rsidRPr="00F64C8A" w:rsidR="001741DA" w:rsidP="000A1F36" w:rsidRDefault="001741DA" w14:paraId="1631FCCF" w14:textId="77777777">
            <w:pPr>
              <w:ind w:left="360"/>
              <w:rPr>
                <w:sz w:val="22"/>
                <w:szCs w:val="22"/>
              </w:rPr>
            </w:pPr>
            <w:r w:rsidRPr="00F64C8A">
              <w:rPr>
                <w:sz w:val="22"/>
                <w:szCs w:val="22"/>
              </w:rPr>
              <w:t xml:space="preserve">(DPHSS/OD) </w:t>
            </w:r>
          </w:p>
        </w:tc>
        <w:tc>
          <w:tcPr>
            <w:tcW w:w="2205" w:type="dxa"/>
          </w:tcPr>
          <w:p w:rsidRPr="00F64C8A" w:rsidR="001741DA" w:rsidP="000A1F36" w:rsidRDefault="001741DA" w14:paraId="16BC516A" w14:textId="77777777">
            <w:pPr>
              <w:ind w:left="360"/>
              <w:rPr>
                <w:sz w:val="22"/>
                <w:szCs w:val="22"/>
              </w:rPr>
            </w:pPr>
            <w:r w:rsidRPr="00F64C8A">
              <w:rPr>
                <w:sz w:val="22"/>
                <w:szCs w:val="22"/>
              </w:rPr>
              <w:t>Dana Pitts</w:t>
            </w:r>
          </w:p>
        </w:tc>
        <w:tc>
          <w:tcPr>
            <w:tcW w:w="2493" w:type="dxa"/>
          </w:tcPr>
          <w:p w:rsidR="001741DA" w:rsidP="000A1F36" w:rsidRDefault="000A3B49" w14:paraId="518C1C89" w14:textId="77777777">
            <w:pPr>
              <w:ind w:left="360"/>
            </w:pPr>
            <w:hyperlink w:history="1" r:id="rId15">
              <w:r w:rsidRPr="0045044C" w:rsidR="001741DA">
                <w:rPr>
                  <w:rStyle w:val="Hyperlink"/>
                </w:rPr>
                <w:t>gqo1@cdc.gov</w:t>
              </w:r>
            </w:hyperlink>
          </w:p>
          <w:p w:rsidR="001741DA" w:rsidP="000A1F36" w:rsidRDefault="001741DA" w14:paraId="072F831F" w14:textId="77777777">
            <w:pPr>
              <w:ind w:left="360"/>
            </w:pPr>
            <w:r>
              <w:t>404-639-</w:t>
            </w:r>
            <w:r w:rsidRPr="006A4BC9">
              <w:t>1151</w:t>
            </w:r>
          </w:p>
        </w:tc>
      </w:tr>
      <w:tr w:rsidRPr="007024FD" w:rsidR="001741DA" w:rsidTr="000A1F36" w14:paraId="153986DC" w14:textId="77777777">
        <w:tc>
          <w:tcPr>
            <w:tcW w:w="4652" w:type="dxa"/>
          </w:tcPr>
          <w:p w:rsidRPr="007024FD" w:rsidR="001741DA" w:rsidP="000A1F36" w:rsidRDefault="001741DA" w14:paraId="7A98FFAA" w14:textId="77777777">
            <w:pPr>
              <w:ind w:left="360"/>
            </w:pPr>
            <w:r w:rsidRPr="00F64C8A">
              <w:rPr>
                <w:sz w:val="22"/>
                <w:szCs w:val="22"/>
              </w:rPr>
              <w:t xml:space="preserve">National Center on Birth Defects and Developmental Disabilities (NCBDDD) </w:t>
            </w:r>
          </w:p>
        </w:tc>
        <w:tc>
          <w:tcPr>
            <w:tcW w:w="2205" w:type="dxa"/>
          </w:tcPr>
          <w:p w:rsidRPr="00F64C8A" w:rsidR="001741DA" w:rsidP="000A1F36" w:rsidRDefault="001741DA" w14:paraId="5A950342" w14:textId="77777777">
            <w:pPr>
              <w:ind w:left="360"/>
              <w:rPr>
                <w:sz w:val="22"/>
                <w:szCs w:val="22"/>
              </w:rPr>
            </w:pPr>
            <w:r w:rsidRPr="00F64C8A">
              <w:rPr>
                <w:sz w:val="22"/>
                <w:szCs w:val="22"/>
              </w:rPr>
              <w:t>Betsy Mitchell</w:t>
            </w:r>
          </w:p>
        </w:tc>
        <w:tc>
          <w:tcPr>
            <w:tcW w:w="2493" w:type="dxa"/>
          </w:tcPr>
          <w:p w:rsidRPr="00F64C8A" w:rsidR="001741DA" w:rsidP="000A1F36" w:rsidRDefault="000A3B49" w14:paraId="21AAE766" w14:textId="77777777">
            <w:pPr>
              <w:ind w:left="360"/>
              <w:rPr>
                <w:sz w:val="22"/>
                <w:szCs w:val="22"/>
              </w:rPr>
            </w:pPr>
            <w:hyperlink w:history="1" r:id="rId16">
              <w:r w:rsidRPr="00F64C8A" w:rsidR="001741DA">
                <w:rPr>
                  <w:rStyle w:val="Hyperlink"/>
                  <w:sz w:val="22"/>
                  <w:szCs w:val="22"/>
                </w:rPr>
                <w:t>bhm0@cdc.gov</w:t>
              </w:r>
            </w:hyperlink>
          </w:p>
          <w:p w:rsidRPr="00F64C8A" w:rsidR="001741DA" w:rsidP="000A1F36" w:rsidRDefault="001741DA" w14:paraId="347C0787" w14:textId="77777777">
            <w:pPr>
              <w:ind w:left="360"/>
              <w:rPr>
                <w:sz w:val="22"/>
                <w:szCs w:val="22"/>
              </w:rPr>
            </w:pPr>
            <w:r w:rsidRPr="00F64C8A">
              <w:rPr>
                <w:sz w:val="22"/>
                <w:szCs w:val="22"/>
              </w:rPr>
              <w:t>404-498-0251</w:t>
            </w:r>
          </w:p>
        </w:tc>
      </w:tr>
      <w:tr w:rsidRPr="007024FD" w:rsidR="001741DA" w:rsidTr="000A1F36" w14:paraId="6D4FA67A" w14:textId="77777777">
        <w:tc>
          <w:tcPr>
            <w:tcW w:w="4652" w:type="dxa"/>
          </w:tcPr>
          <w:p w:rsidRPr="00F64C8A" w:rsidR="001741DA" w:rsidP="000A1F36" w:rsidRDefault="001741DA" w14:paraId="5AF75DF8" w14:textId="77777777">
            <w:pPr>
              <w:ind w:left="360"/>
              <w:rPr>
                <w:sz w:val="22"/>
                <w:szCs w:val="22"/>
              </w:rPr>
            </w:pPr>
            <w:r w:rsidRPr="00F64C8A">
              <w:rPr>
                <w:sz w:val="22"/>
                <w:szCs w:val="22"/>
              </w:rPr>
              <w:t>National Center for Chronic Disease Prevention and Health Promotion (NCCDPHP)</w:t>
            </w:r>
          </w:p>
        </w:tc>
        <w:tc>
          <w:tcPr>
            <w:tcW w:w="2205" w:type="dxa"/>
          </w:tcPr>
          <w:p w:rsidRPr="00F64C8A" w:rsidR="001741DA" w:rsidP="000A1F36" w:rsidRDefault="001741DA" w14:paraId="5EDCC7D6" w14:textId="77777777">
            <w:pPr>
              <w:ind w:left="360"/>
              <w:rPr>
                <w:sz w:val="22"/>
                <w:szCs w:val="22"/>
              </w:rPr>
            </w:pPr>
            <w:r w:rsidRPr="00F64C8A">
              <w:rPr>
                <w:sz w:val="22"/>
                <w:szCs w:val="22"/>
              </w:rPr>
              <w:t>Gabbi Promoff</w:t>
            </w:r>
          </w:p>
        </w:tc>
        <w:tc>
          <w:tcPr>
            <w:tcW w:w="2493" w:type="dxa"/>
          </w:tcPr>
          <w:p w:rsidRPr="00F64C8A" w:rsidR="001741DA" w:rsidP="000A1F36" w:rsidRDefault="000A3B49" w14:paraId="56EB474A" w14:textId="77777777">
            <w:pPr>
              <w:ind w:left="360"/>
              <w:rPr>
                <w:sz w:val="22"/>
                <w:szCs w:val="22"/>
              </w:rPr>
            </w:pPr>
            <w:hyperlink w:history="1" r:id="rId17">
              <w:r w:rsidRPr="00F64C8A" w:rsidR="001741DA">
                <w:rPr>
                  <w:rStyle w:val="Hyperlink"/>
                  <w:sz w:val="22"/>
                  <w:szCs w:val="22"/>
                </w:rPr>
                <w:t>era6@cdc.gov</w:t>
              </w:r>
            </w:hyperlink>
          </w:p>
          <w:p w:rsidRPr="00F64C8A" w:rsidR="001741DA" w:rsidP="000A1F36" w:rsidRDefault="001741DA" w14:paraId="1B1AC6F7" w14:textId="77777777">
            <w:pPr>
              <w:ind w:left="360"/>
              <w:rPr>
                <w:sz w:val="22"/>
                <w:szCs w:val="22"/>
              </w:rPr>
            </w:pPr>
            <w:r w:rsidRPr="00F64C8A">
              <w:rPr>
                <w:sz w:val="22"/>
                <w:szCs w:val="22"/>
              </w:rPr>
              <w:t>770-488-6491</w:t>
            </w:r>
          </w:p>
        </w:tc>
      </w:tr>
      <w:tr w:rsidRPr="007024FD" w:rsidR="001741DA" w:rsidTr="000A1F36" w14:paraId="525FD46B" w14:textId="77777777">
        <w:tc>
          <w:tcPr>
            <w:tcW w:w="4652" w:type="dxa"/>
          </w:tcPr>
          <w:p w:rsidRPr="00F64C8A" w:rsidR="001741DA" w:rsidP="000A1F36" w:rsidRDefault="001741DA" w14:paraId="23B291BB" w14:textId="77777777">
            <w:pPr>
              <w:ind w:left="360"/>
              <w:rPr>
                <w:sz w:val="22"/>
                <w:szCs w:val="22"/>
              </w:rPr>
            </w:pPr>
            <w:r w:rsidRPr="00F64C8A">
              <w:rPr>
                <w:sz w:val="22"/>
                <w:szCs w:val="22"/>
              </w:rPr>
              <w:t>National Center for Environmental Health (NCEH)/Agency for Toxic Substances and Disease Registry (ATSDR)</w:t>
            </w:r>
          </w:p>
        </w:tc>
        <w:tc>
          <w:tcPr>
            <w:tcW w:w="2205" w:type="dxa"/>
          </w:tcPr>
          <w:p w:rsidRPr="00F64C8A" w:rsidR="001741DA" w:rsidP="000A1F36" w:rsidRDefault="001741DA" w14:paraId="148D6CB5" w14:textId="77777777">
            <w:pPr>
              <w:ind w:left="360"/>
              <w:rPr>
                <w:sz w:val="22"/>
                <w:szCs w:val="22"/>
              </w:rPr>
            </w:pPr>
            <w:r w:rsidRPr="00F64C8A">
              <w:rPr>
                <w:sz w:val="22"/>
                <w:szCs w:val="22"/>
              </w:rPr>
              <w:t>Heather Bair - Blake</w:t>
            </w:r>
          </w:p>
        </w:tc>
        <w:tc>
          <w:tcPr>
            <w:tcW w:w="2493" w:type="dxa"/>
          </w:tcPr>
          <w:p w:rsidRPr="007024FD" w:rsidR="001741DA" w:rsidP="000A1F36" w:rsidRDefault="000A3B49" w14:paraId="109010F5" w14:textId="77777777">
            <w:pPr>
              <w:ind w:left="360"/>
            </w:pPr>
            <w:hyperlink w:history="1" r:id="rId18">
              <w:r w:rsidRPr="0045044C" w:rsidR="001741DA">
                <w:rPr>
                  <w:rStyle w:val="Hyperlink"/>
                </w:rPr>
                <w:t>hhb9@cdc.gov</w:t>
              </w:r>
            </w:hyperlink>
          </w:p>
          <w:p w:rsidRPr="007024FD" w:rsidR="001741DA" w:rsidP="000A1F36" w:rsidRDefault="001741DA" w14:paraId="01E73923" w14:textId="77777777">
            <w:pPr>
              <w:ind w:left="360"/>
            </w:pPr>
            <w:r>
              <w:t>404-639-3323</w:t>
            </w:r>
          </w:p>
          <w:p w:rsidRPr="007024FD" w:rsidR="001741DA" w:rsidP="000A1F36" w:rsidRDefault="001741DA" w14:paraId="1E8794B0" w14:textId="77777777"/>
        </w:tc>
      </w:tr>
      <w:tr w:rsidRPr="007024FD" w:rsidR="001741DA" w:rsidTr="000A1F36" w14:paraId="793C0C29" w14:textId="77777777">
        <w:tc>
          <w:tcPr>
            <w:tcW w:w="4652" w:type="dxa"/>
          </w:tcPr>
          <w:p w:rsidRPr="00F64C8A" w:rsidR="001741DA" w:rsidP="000A1F36" w:rsidRDefault="001741DA" w14:paraId="4164EB5B" w14:textId="77777777">
            <w:pPr>
              <w:ind w:left="360"/>
              <w:rPr>
                <w:sz w:val="22"/>
                <w:szCs w:val="22"/>
              </w:rPr>
            </w:pPr>
            <w:r w:rsidRPr="00F64C8A">
              <w:rPr>
                <w:sz w:val="22"/>
                <w:szCs w:val="22"/>
              </w:rPr>
              <w:t>National Center for Emerging and Zoonotic Infectious Diseases (NCEZID)</w:t>
            </w:r>
          </w:p>
        </w:tc>
        <w:tc>
          <w:tcPr>
            <w:tcW w:w="2205" w:type="dxa"/>
          </w:tcPr>
          <w:p w:rsidRPr="00F64C8A" w:rsidR="001741DA" w:rsidP="000A1F36" w:rsidRDefault="001741DA" w14:paraId="57A5DDC5" w14:textId="77777777">
            <w:pPr>
              <w:ind w:left="360"/>
              <w:rPr>
                <w:sz w:val="22"/>
                <w:szCs w:val="22"/>
              </w:rPr>
            </w:pPr>
            <w:r w:rsidRPr="00F64C8A">
              <w:rPr>
                <w:sz w:val="22"/>
                <w:szCs w:val="22"/>
              </w:rPr>
              <w:t>John O’Connor</w:t>
            </w:r>
          </w:p>
        </w:tc>
        <w:tc>
          <w:tcPr>
            <w:tcW w:w="2493" w:type="dxa"/>
          </w:tcPr>
          <w:p w:rsidRPr="00F64C8A" w:rsidR="001741DA" w:rsidP="000A1F36" w:rsidRDefault="000A3B49" w14:paraId="1139B4FF" w14:textId="77777777">
            <w:pPr>
              <w:ind w:left="360"/>
              <w:rPr>
                <w:sz w:val="22"/>
                <w:szCs w:val="22"/>
              </w:rPr>
            </w:pPr>
            <w:hyperlink w:history="1" r:id="rId19">
              <w:r w:rsidRPr="00F64C8A" w:rsidR="001741DA">
                <w:rPr>
                  <w:rStyle w:val="Hyperlink"/>
                  <w:sz w:val="22"/>
                  <w:szCs w:val="22"/>
                </w:rPr>
                <w:t>jpo2@cdc.gov</w:t>
              </w:r>
            </w:hyperlink>
          </w:p>
          <w:p w:rsidRPr="00F64C8A" w:rsidR="001741DA" w:rsidP="000A1F36" w:rsidRDefault="001741DA" w14:paraId="6DE159B9" w14:textId="77777777">
            <w:pPr>
              <w:ind w:left="360"/>
              <w:rPr>
                <w:sz w:val="22"/>
                <w:szCs w:val="22"/>
              </w:rPr>
            </w:pPr>
            <w:r w:rsidRPr="00F64C8A">
              <w:rPr>
                <w:sz w:val="22"/>
                <w:szCs w:val="22"/>
              </w:rPr>
              <w:t>404639-2769</w:t>
            </w:r>
          </w:p>
        </w:tc>
      </w:tr>
      <w:tr w:rsidRPr="007024FD" w:rsidR="001741DA" w:rsidTr="000A1F36" w14:paraId="36D9B8AB" w14:textId="77777777">
        <w:tc>
          <w:tcPr>
            <w:tcW w:w="4652" w:type="dxa"/>
          </w:tcPr>
          <w:p w:rsidRPr="00F64C8A" w:rsidR="001741DA" w:rsidP="000A1F36" w:rsidRDefault="001741DA" w14:paraId="0FAB67C6" w14:textId="77777777">
            <w:pPr>
              <w:ind w:left="360"/>
              <w:rPr>
                <w:sz w:val="22"/>
                <w:szCs w:val="22"/>
              </w:rPr>
            </w:pPr>
            <w:r w:rsidRPr="00F64C8A">
              <w:rPr>
                <w:sz w:val="22"/>
                <w:szCs w:val="22"/>
              </w:rPr>
              <w:t>National Center for HIV/AIDS, Viral Hepatitis, STD, and TB Prevention (NCHHSTP)</w:t>
            </w:r>
          </w:p>
        </w:tc>
        <w:tc>
          <w:tcPr>
            <w:tcW w:w="2205" w:type="dxa"/>
          </w:tcPr>
          <w:p w:rsidRPr="00F64C8A" w:rsidR="001741DA" w:rsidP="000A1F36" w:rsidRDefault="001741DA" w14:paraId="3DB8D98B" w14:textId="77777777">
            <w:pPr>
              <w:ind w:left="360"/>
              <w:rPr>
                <w:sz w:val="22"/>
                <w:szCs w:val="22"/>
              </w:rPr>
            </w:pPr>
            <w:r w:rsidRPr="00F64C8A">
              <w:rPr>
                <w:sz w:val="22"/>
                <w:szCs w:val="22"/>
              </w:rPr>
              <w:t>Rachel Powell</w:t>
            </w:r>
          </w:p>
        </w:tc>
        <w:tc>
          <w:tcPr>
            <w:tcW w:w="2493" w:type="dxa"/>
          </w:tcPr>
          <w:p w:rsidRPr="00F64C8A" w:rsidR="001741DA" w:rsidP="000A1F36" w:rsidRDefault="000A3B49" w14:paraId="777E6F54" w14:textId="77777777">
            <w:pPr>
              <w:ind w:left="360"/>
              <w:rPr>
                <w:sz w:val="22"/>
                <w:szCs w:val="22"/>
              </w:rPr>
            </w:pPr>
            <w:hyperlink w:history="1" r:id="rId20">
              <w:r w:rsidRPr="00F64C8A" w:rsidR="001741DA">
                <w:rPr>
                  <w:rStyle w:val="Hyperlink"/>
                  <w:sz w:val="22"/>
                  <w:szCs w:val="22"/>
                </w:rPr>
                <w:t>cut0@cdc.gov</w:t>
              </w:r>
            </w:hyperlink>
          </w:p>
          <w:p w:rsidRPr="00F64C8A" w:rsidR="001741DA" w:rsidP="000A1F36" w:rsidRDefault="001741DA" w14:paraId="4881CE72" w14:textId="77777777">
            <w:pPr>
              <w:ind w:left="360"/>
              <w:rPr>
                <w:sz w:val="22"/>
                <w:szCs w:val="22"/>
              </w:rPr>
            </w:pPr>
            <w:r w:rsidRPr="00F64C8A">
              <w:rPr>
                <w:sz w:val="22"/>
                <w:szCs w:val="22"/>
              </w:rPr>
              <w:t>404-639-8435</w:t>
            </w:r>
          </w:p>
        </w:tc>
      </w:tr>
      <w:tr w:rsidRPr="007024FD" w:rsidR="001741DA" w:rsidTr="000A1F36" w14:paraId="21E565E7" w14:textId="77777777">
        <w:tc>
          <w:tcPr>
            <w:tcW w:w="4652" w:type="dxa"/>
          </w:tcPr>
          <w:p w:rsidRPr="00F64C8A" w:rsidR="001741DA" w:rsidP="000A1F36" w:rsidRDefault="001741DA" w14:paraId="598E3603" w14:textId="77777777">
            <w:pPr>
              <w:ind w:left="360"/>
              <w:rPr>
                <w:sz w:val="22"/>
                <w:szCs w:val="22"/>
              </w:rPr>
            </w:pPr>
            <w:r w:rsidRPr="00F64C8A">
              <w:rPr>
                <w:sz w:val="22"/>
                <w:szCs w:val="22"/>
              </w:rPr>
              <w:t>National Center for Health Statistics (NCHS)</w:t>
            </w:r>
          </w:p>
        </w:tc>
        <w:tc>
          <w:tcPr>
            <w:tcW w:w="2205" w:type="dxa"/>
          </w:tcPr>
          <w:p w:rsidRPr="00F64C8A" w:rsidR="001741DA" w:rsidP="000A1F36" w:rsidRDefault="001741DA" w14:paraId="3FBAEC47" w14:textId="77777777">
            <w:pPr>
              <w:ind w:left="360"/>
              <w:rPr>
                <w:sz w:val="22"/>
                <w:szCs w:val="22"/>
              </w:rPr>
            </w:pPr>
            <w:r w:rsidRPr="00F64C8A">
              <w:rPr>
                <w:sz w:val="22"/>
                <w:szCs w:val="22"/>
              </w:rPr>
              <w:t>Dagny Olivares</w:t>
            </w:r>
          </w:p>
        </w:tc>
        <w:tc>
          <w:tcPr>
            <w:tcW w:w="2493" w:type="dxa"/>
          </w:tcPr>
          <w:p w:rsidR="001741DA" w:rsidP="000A1F36" w:rsidRDefault="000A3B49" w14:paraId="01073BCF" w14:textId="77777777">
            <w:pPr>
              <w:ind w:left="360"/>
            </w:pPr>
            <w:hyperlink w:history="1" r:id="rId21">
              <w:r w:rsidRPr="0009603A" w:rsidR="001741DA">
                <w:rPr>
                  <w:rStyle w:val="Hyperlink"/>
                </w:rPr>
                <w:t>dvp2@cdc.gov</w:t>
              </w:r>
            </w:hyperlink>
            <w:r w:rsidR="001741DA">
              <w:t xml:space="preserve"> </w:t>
            </w:r>
          </w:p>
          <w:p w:rsidRPr="00F64C8A" w:rsidR="001741DA" w:rsidP="000A1F36" w:rsidRDefault="001741DA" w14:paraId="0D8E29C7" w14:textId="77777777">
            <w:pPr>
              <w:ind w:left="360"/>
              <w:rPr>
                <w:sz w:val="22"/>
                <w:szCs w:val="22"/>
              </w:rPr>
            </w:pPr>
            <w:r>
              <w:t>404-639-3180</w:t>
            </w:r>
          </w:p>
        </w:tc>
      </w:tr>
      <w:tr w:rsidRPr="007024FD" w:rsidR="001741DA" w:rsidTr="000A1F36" w14:paraId="1EABD48E" w14:textId="77777777">
        <w:tc>
          <w:tcPr>
            <w:tcW w:w="4652" w:type="dxa"/>
          </w:tcPr>
          <w:p w:rsidRPr="00F64C8A" w:rsidR="001741DA" w:rsidP="000A1F36" w:rsidRDefault="001741DA" w14:paraId="78830D25" w14:textId="77777777">
            <w:pPr>
              <w:ind w:left="360"/>
              <w:rPr>
                <w:sz w:val="22"/>
                <w:szCs w:val="22"/>
              </w:rPr>
            </w:pPr>
            <w:r w:rsidRPr="00F64C8A">
              <w:rPr>
                <w:sz w:val="22"/>
                <w:szCs w:val="22"/>
              </w:rPr>
              <w:t>National Center for Injury Prevention and Control (NCIPC)</w:t>
            </w:r>
          </w:p>
        </w:tc>
        <w:tc>
          <w:tcPr>
            <w:tcW w:w="2205" w:type="dxa"/>
          </w:tcPr>
          <w:p w:rsidRPr="00F64C8A" w:rsidR="001741DA" w:rsidP="000A1F36" w:rsidRDefault="001741DA" w14:paraId="569C2BCE" w14:textId="77777777">
            <w:pPr>
              <w:ind w:left="360"/>
              <w:rPr>
                <w:sz w:val="22"/>
                <w:szCs w:val="22"/>
              </w:rPr>
            </w:pPr>
            <w:r w:rsidRPr="00F64C8A">
              <w:rPr>
                <w:sz w:val="22"/>
                <w:szCs w:val="22"/>
              </w:rPr>
              <w:t>Kelly Holton</w:t>
            </w:r>
          </w:p>
        </w:tc>
        <w:tc>
          <w:tcPr>
            <w:tcW w:w="2493" w:type="dxa"/>
          </w:tcPr>
          <w:p w:rsidR="001741DA" w:rsidP="000A1F36" w:rsidRDefault="000A3B49" w14:paraId="40495A86" w14:textId="77777777">
            <w:pPr>
              <w:ind w:left="360"/>
            </w:pPr>
            <w:hyperlink w:history="1" r:id="rId22">
              <w:r w:rsidRPr="0009603A" w:rsidR="001741DA">
                <w:rPr>
                  <w:rStyle w:val="Hyperlink"/>
                </w:rPr>
                <w:t>nfh5@cdc.gov</w:t>
              </w:r>
            </w:hyperlink>
          </w:p>
          <w:p w:rsidRPr="00F64C8A" w:rsidR="001741DA" w:rsidP="000A1F36" w:rsidRDefault="001741DA" w14:paraId="5922949B" w14:textId="77777777">
            <w:pPr>
              <w:ind w:left="360"/>
              <w:rPr>
                <w:sz w:val="22"/>
                <w:szCs w:val="22"/>
              </w:rPr>
            </w:pPr>
            <w:r w:rsidRPr="00F64C8A">
              <w:rPr>
                <w:sz w:val="22"/>
                <w:szCs w:val="22"/>
              </w:rPr>
              <w:t>404-639-2112</w:t>
            </w:r>
          </w:p>
        </w:tc>
      </w:tr>
      <w:tr w:rsidRPr="007024FD" w:rsidR="001741DA" w:rsidTr="000A1F36" w14:paraId="71D66CAC" w14:textId="77777777">
        <w:tc>
          <w:tcPr>
            <w:tcW w:w="4652" w:type="dxa"/>
          </w:tcPr>
          <w:p w:rsidRPr="00F64C8A" w:rsidR="001741DA" w:rsidP="000A1F36" w:rsidRDefault="001741DA" w14:paraId="410601AF" w14:textId="77777777">
            <w:pPr>
              <w:ind w:left="360"/>
              <w:rPr>
                <w:sz w:val="22"/>
                <w:szCs w:val="22"/>
              </w:rPr>
            </w:pPr>
            <w:r w:rsidRPr="00F64C8A">
              <w:rPr>
                <w:sz w:val="22"/>
                <w:szCs w:val="22"/>
              </w:rPr>
              <w:t>National Center for Immunization and Respiratory Diseases (NCIRD)</w:t>
            </w:r>
          </w:p>
        </w:tc>
        <w:tc>
          <w:tcPr>
            <w:tcW w:w="2205" w:type="dxa"/>
          </w:tcPr>
          <w:p w:rsidRPr="00F64C8A" w:rsidR="001741DA" w:rsidP="000A1F36" w:rsidRDefault="001741DA" w14:paraId="1E7B75F6" w14:textId="77777777">
            <w:pPr>
              <w:ind w:left="360"/>
              <w:rPr>
                <w:sz w:val="22"/>
                <w:szCs w:val="22"/>
              </w:rPr>
            </w:pPr>
            <w:r w:rsidRPr="00F64C8A">
              <w:rPr>
                <w:sz w:val="22"/>
                <w:szCs w:val="22"/>
              </w:rPr>
              <w:t>Allison Fisher</w:t>
            </w:r>
          </w:p>
        </w:tc>
        <w:tc>
          <w:tcPr>
            <w:tcW w:w="2493" w:type="dxa"/>
          </w:tcPr>
          <w:p w:rsidRPr="00F64C8A" w:rsidR="001741DA" w:rsidP="000A1F36" w:rsidRDefault="000A3B49" w14:paraId="01691A9D" w14:textId="77777777">
            <w:pPr>
              <w:ind w:left="360"/>
              <w:rPr>
                <w:sz w:val="22"/>
                <w:szCs w:val="22"/>
              </w:rPr>
            </w:pPr>
            <w:hyperlink w:history="1" r:id="rId23">
              <w:r w:rsidRPr="00F64C8A" w:rsidR="001741DA">
                <w:rPr>
                  <w:rStyle w:val="Hyperlink"/>
                  <w:sz w:val="22"/>
                  <w:szCs w:val="22"/>
                </w:rPr>
                <w:t>ark2@cdc.gov</w:t>
              </w:r>
            </w:hyperlink>
          </w:p>
          <w:p w:rsidRPr="00F64C8A" w:rsidR="001741DA" w:rsidP="000A1F36" w:rsidRDefault="001741DA" w14:paraId="382EAE03" w14:textId="77777777">
            <w:pPr>
              <w:ind w:left="360"/>
              <w:rPr>
                <w:sz w:val="22"/>
                <w:szCs w:val="22"/>
              </w:rPr>
            </w:pPr>
            <w:r w:rsidRPr="00F64C8A">
              <w:rPr>
                <w:sz w:val="22"/>
                <w:szCs w:val="22"/>
              </w:rPr>
              <w:t>404-639-8696</w:t>
            </w:r>
          </w:p>
        </w:tc>
      </w:tr>
      <w:tr w:rsidRPr="007024FD" w:rsidR="001741DA" w:rsidTr="000A1F36" w14:paraId="32F96BBB" w14:textId="77777777">
        <w:tc>
          <w:tcPr>
            <w:tcW w:w="4652" w:type="dxa"/>
          </w:tcPr>
          <w:p w:rsidRPr="00F64C8A" w:rsidR="001741DA" w:rsidP="000A1F36" w:rsidRDefault="001741DA" w14:paraId="4A140802" w14:textId="77777777">
            <w:pPr>
              <w:ind w:left="360"/>
              <w:rPr>
                <w:sz w:val="22"/>
                <w:szCs w:val="22"/>
              </w:rPr>
            </w:pPr>
            <w:r w:rsidRPr="00F64C8A">
              <w:rPr>
                <w:sz w:val="22"/>
                <w:szCs w:val="22"/>
              </w:rPr>
              <w:t>National Institute for Occupational Safety and Health (NIOSH)</w:t>
            </w:r>
          </w:p>
        </w:tc>
        <w:tc>
          <w:tcPr>
            <w:tcW w:w="2205" w:type="dxa"/>
          </w:tcPr>
          <w:p w:rsidRPr="00F64C8A" w:rsidR="001741DA" w:rsidP="000A1F36" w:rsidRDefault="001741DA" w14:paraId="7D840293" w14:textId="77777777">
            <w:pPr>
              <w:ind w:left="360"/>
              <w:rPr>
                <w:sz w:val="22"/>
                <w:szCs w:val="22"/>
              </w:rPr>
            </w:pPr>
            <w:r w:rsidRPr="00F64C8A">
              <w:rPr>
                <w:sz w:val="22"/>
                <w:szCs w:val="22"/>
              </w:rPr>
              <w:t xml:space="preserve">Christina Spring </w:t>
            </w:r>
          </w:p>
        </w:tc>
        <w:tc>
          <w:tcPr>
            <w:tcW w:w="2493" w:type="dxa"/>
          </w:tcPr>
          <w:p w:rsidRPr="00F64C8A" w:rsidR="001741DA" w:rsidP="000A1F36" w:rsidRDefault="000A3B49" w14:paraId="4C63B70A" w14:textId="77777777">
            <w:pPr>
              <w:ind w:left="360"/>
              <w:rPr>
                <w:sz w:val="22"/>
                <w:szCs w:val="22"/>
              </w:rPr>
            </w:pPr>
            <w:hyperlink w:history="1" r:id="rId24">
              <w:r w:rsidRPr="00F64C8A" w:rsidR="001741DA">
                <w:rPr>
                  <w:rStyle w:val="Hyperlink"/>
                  <w:sz w:val="22"/>
                  <w:szCs w:val="22"/>
                </w:rPr>
                <w:t>dsa9@cdc.gov</w:t>
              </w:r>
            </w:hyperlink>
          </w:p>
          <w:p w:rsidRPr="00F64C8A" w:rsidR="001741DA" w:rsidP="000A1F36" w:rsidRDefault="001741DA" w14:paraId="2871DB5E" w14:textId="77777777">
            <w:pPr>
              <w:ind w:left="360"/>
              <w:rPr>
                <w:sz w:val="22"/>
                <w:szCs w:val="22"/>
              </w:rPr>
            </w:pPr>
            <w:r w:rsidRPr="00F64C8A">
              <w:rPr>
                <w:sz w:val="22"/>
                <w:szCs w:val="22"/>
              </w:rPr>
              <w:t>202-245-0633</w:t>
            </w:r>
          </w:p>
        </w:tc>
      </w:tr>
      <w:tr w:rsidRPr="007024FD" w:rsidR="001741DA" w:rsidTr="000A1F36" w14:paraId="25E5266C" w14:textId="77777777">
        <w:tc>
          <w:tcPr>
            <w:tcW w:w="4652" w:type="dxa"/>
          </w:tcPr>
          <w:p w:rsidRPr="00F64C8A" w:rsidR="001741DA" w:rsidP="000A1F36" w:rsidRDefault="001741DA" w14:paraId="25A6C2D2" w14:textId="77777777">
            <w:pPr>
              <w:ind w:left="360"/>
              <w:rPr>
                <w:sz w:val="22"/>
                <w:szCs w:val="22"/>
              </w:rPr>
            </w:pPr>
            <w:r w:rsidRPr="00F64C8A">
              <w:rPr>
                <w:sz w:val="22"/>
                <w:szCs w:val="22"/>
              </w:rPr>
              <w:t>Office of the Associate Director for Communication Science (OADC)</w:t>
            </w:r>
          </w:p>
        </w:tc>
        <w:tc>
          <w:tcPr>
            <w:tcW w:w="2205" w:type="dxa"/>
          </w:tcPr>
          <w:p w:rsidRPr="00F64C8A" w:rsidR="001741DA" w:rsidP="000A1F36" w:rsidRDefault="001741DA" w14:paraId="098CBC9F" w14:textId="77777777">
            <w:pPr>
              <w:ind w:left="360"/>
              <w:rPr>
                <w:sz w:val="22"/>
                <w:szCs w:val="22"/>
              </w:rPr>
            </w:pPr>
            <w:r w:rsidRPr="00F64C8A">
              <w:rPr>
                <w:sz w:val="22"/>
                <w:szCs w:val="22"/>
              </w:rPr>
              <w:t>Dogan Eroglu</w:t>
            </w:r>
          </w:p>
        </w:tc>
        <w:tc>
          <w:tcPr>
            <w:tcW w:w="2493" w:type="dxa"/>
          </w:tcPr>
          <w:p w:rsidRPr="00F64C8A" w:rsidR="001741DA" w:rsidP="000A1F36" w:rsidRDefault="000A3B49" w14:paraId="772CDA6D" w14:textId="77777777">
            <w:pPr>
              <w:ind w:left="360"/>
              <w:rPr>
                <w:sz w:val="22"/>
                <w:szCs w:val="22"/>
              </w:rPr>
            </w:pPr>
            <w:hyperlink w:history="1" r:id="rId25">
              <w:r w:rsidRPr="00F64C8A" w:rsidR="001741DA">
                <w:rPr>
                  <w:rStyle w:val="Hyperlink"/>
                  <w:sz w:val="22"/>
                  <w:szCs w:val="22"/>
                </w:rPr>
                <w:t>dde@cdc.gov</w:t>
              </w:r>
            </w:hyperlink>
          </w:p>
          <w:p w:rsidR="001741DA" w:rsidP="000A1F36" w:rsidRDefault="001741DA" w14:paraId="0EC4906C" w14:textId="77777777">
            <w:pPr>
              <w:ind w:left="360"/>
            </w:pPr>
            <w:r w:rsidRPr="00F64C8A">
              <w:rPr>
                <w:sz w:val="22"/>
                <w:szCs w:val="22"/>
              </w:rPr>
              <w:t>404-498-6119</w:t>
            </w:r>
          </w:p>
        </w:tc>
      </w:tr>
      <w:tr w:rsidRPr="007024FD" w:rsidR="001741DA" w:rsidTr="000A1F36" w14:paraId="0FFAB2D8" w14:textId="77777777">
        <w:tc>
          <w:tcPr>
            <w:tcW w:w="4652" w:type="dxa"/>
          </w:tcPr>
          <w:p w:rsidRPr="00F64C8A" w:rsidR="001741DA" w:rsidP="000A1F36" w:rsidRDefault="001741DA" w14:paraId="62FFD6FF" w14:textId="77777777">
            <w:pPr>
              <w:ind w:left="360"/>
              <w:rPr>
                <w:sz w:val="22"/>
                <w:szCs w:val="22"/>
              </w:rPr>
            </w:pPr>
            <w:r w:rsidRPr="00F64C8A">
              <w:rPr>
                <w:sz w:val="22"/>
                <w:szCs w:val="22"/>
              </w:rPr>
              <w:t>Office of the Associate Director for Policy and Strategy (OADPS)</w:t>
            </w:r>
          </w:p>
        </w:tc>
        <w:tc>
          <w:tcPr>
            <w:tcW w:w="2205" w:type="dxa"/>
          </w:tcPr>
          <w:p w:rsidRPr="00F64C8A" w:rsidR="001741DA" w:rsidP="000A1F36" w:rsidRDefault="001741DA" w14:paraId="0BE7E5B5" w14:textId="77777777">
            <w:pPr>
              <w:ind w:left="360"/>
              <w:rPr>
                <w:sz w:val="22"/>
                <w:szCs w:val="22"/>
              </w:rPr>
            </w:pPr>
            <w:r w:rsidRPr="00F64C8A">
              <w:rPr>
                <w:sz w:val="22"/>
                <w:szCs w:val="22"/>
              </w:rPr>
              <w:t>Laurie Ishak</w:t>
            </w:r>
          </w:p>
        </w:tc>
        <w:tc>
          <w:tcPr>
            <w:tcW w:w="2493" w:type="dxa"/>
          </w:tcPr>
          <w:p w:rsidR="001741DA" w:rsidP="000A1F36" w:rsidRDefault="000A3B49" w14:paraId="5A6407E6" w14:textId="77777777">
            <w:pPr>
              <w:ind w:left="360"/>
            </w:pPr>
            <w:hyperlink w:history="1" r:id="rId26">
              <w:r w:rsidRPr="0009603A" w:rsidR="001741DA">
                <w:rPr>
                  <w:rStyle w:val="Hyperlink"/>
                </w:rPr>
                <w:t>cfi0@cdc.gov</w:t>
              </w:r>
            </w:hyperlink>
            <w:r w:rsidR="001741DA">
              <w:t xml:space="preserve"> </w:t>
            </w:r>
            <w:r w:rsidRPr="00387D09" w:rsidR="001741DA">
              <w:t xml:space="preserve"> </w:t>
            </w:r>
          </w:p>
          <w:p w:rsidR="001741DA" w:rsidP="000A1F36" w:rsidRDefault="001741DA" w14:paraId="4A8FF6C5" w14:textId="77777777">
            <w:pPr>
              <w:ind w:left="360"/>
            </w:pPr>
            <w:r w:rsidRPr="00387D09">
              <w:t>202</w:t>
            </w:r>
            <w:r>
              <w:t>-</w:t>
            </w:r>
            <w:r w:rsidRPr="00387D09">
              <w:t>245</w:t>
            </w:r>
            <w:r>
              <w:t>-</w:t>
            </w:r>
            <w:r w:rsidRPr="00387D09">
              <w:t>0748</w:t>
            </w:r>
          </w:p>
        </w:tc>
      </w:tr>
      <w:tr w:rsidRPr="007024FD" w:rsidR="001741DA" w:rsidTr="000A1F36" w14:paraId="0FF2D47B" w14:textId="77777777">
        <w:tc>
          <w:tcPr>
            <w:tcW w:w="4652" w:type="dxa"/>
          </w:tcPr>
          <w:p w:rsidRPr="00F64C8A" w:rsidR="001741DA" w:rsidP="000A1F36" w:rsidRDefault="001741DA" w14:paraId="1FABC2B1" w14:textId="77777777">
            <w:pPr>
              <w:ind w:left="360"/>
              <w:rPr>
                <w:sz w:val="22"/>
                <w:szCs w:val="22"/>
              </w:rPr>
            </w:pPr>
            <w:r w:rsidRPr="00F64C8A">
              <w:rPr>
                <w:sz w:val="22"/>
                <w:szCs w:val="22"/>
              </w:rPr>
              <w:t>Office of the Chief Operating Officer</w:t>
            </w:r>
          </w:p>
        </w:tc>
        <w:tc>
          <w:tcPr>
            <w:tcW w:w="2205" w:type="dxa"/>
          </w:tcPr>
          <w:p w:rsidRPr="00F64C8A" w:rsidR="001741DA" w:rsidP="000A1F36" w:rsidRDefault="001741DA" w14:paraId="1B58B8F3" w14:textId="77777777">
            <w:pPr>
              <w:ind w:left="360"/>
              <w:rPr>
                <w:sz w:val="22"/>
                <w:szCs w:val="22"/>
              </w:rPr>
            </w:pPr>
            <w:r w:rsidRPr="00F64C8A">
              <w:rPr>
                <w:sz w:val="22"/>
                <w:szCs w:val="22"/>
              </w:rPr>
              <w:t>John Patterson</w:t>
            </w:r>
          </w:p>
        </w:tc>
        <w:tc>
          <w:tcPr>
            <w:tcW w:w="2493" w:type="dxa"/>
          </w:tcPr>
          <w:p w:rsidRPr="00F64C8A" w:rsidR="001741DA" w:rsidP="000A1F36" w:rsidRDefault="000A3B49" w14:paraId="35BC020B" w14:textId="77777777">
            <w:pPr>
              <w:ind w:left="360"/>
              <w:rPr>
                <w:sz w:val="22"/>
                <w:szCs w:val="22"/>
              </w:rPr>
            </w:pPr>
            <w:hyperlink w:history="1" r:id="rId27">
              <w:r w:rsidRPr="00F64C8A" w:rsidR="001741DA">
                <w:rPr>
                  <w:rStyle w:val="Hyperlink"/>
                  <w:sz w:val="22"/>
                  <w:szCs w:val="22"/>
                </w:rPr>
                <w:t>byi8@cdc.gov</w:t>
              </w:r>
            </w:hyperlink>
          </w:p>
          <w:p w:rsidRPr="00F64C8A" w:rsidR="001741DA" w:rsidP="000A1F36" w:rsidRDefault="001741DA" w14:paraId="08A72994" w14:textId="77777777">
            <w:pPr>
              <w:ind w:left="360"/>
              <w:rPr>
                <w:sz w:val="22"/>
                <w:szCs w:val="22"/>
              </w:rPr>
            </w:pPr>
            <w:r w:rsidRPr="00F64C8A">
              <w:rPr>
                <w:sz w:val="22"/>
                <w:szCs w:val="22"/>
              </w:rPr>
              <w:t>404-639-0639</w:t>
            </w:r>
          </w:p>
        </w:tc>
      </w:tr>
      <w:tr w:rsidRPr="007024FD" w:rsidR="001741DA" w:rsidTr="000A1F36" w14:paraId="11031685" w14:textId="77777777">
        <w:tc>
          <w:tcPr>
            <w:tcW w:w="4652" w:type="dxa"/>
          </w:tcPr>
          <w:p w:rsidRPr="00F64C8A" w:rsidR="001741DA" w:rsidP="000A1F36" w:rsidRDefault="001741DA" w14:paraId="71CE319F" w14:textId="77777777">
            <w:pPr>
              <w:ind w:left="360"/>
              <w:rPr>
                <w:sz w:val="22"/>
                <w:szCs w:val="22"/>
              </w:rPr>
            </w:pPr>
            <w:r w:rsidRPr="00F64C8A">
              <w:rPr>
                <w:sz w:val="22"/>
                <w:szCs w:val="22"/>
              </w:rPr>
              <w:t xml:space="preserve">Office of Laboratory Science and Safety </w:t>
            </w:r>
            <w:r w:rsidRPr="00F64C8A">
              <w:rPr>
                <w:sz w:val="22"/>
                <w:szCs w:val="22"/>
              </w:rPr>
              <w:lastRenderedPageBreak/>
              <w:t>(OLSS)</w:t>
            </w:r>
          </w:p>
        </w:tc>
        <w:tc>
          <w:tcPr>
            <w:tcW w:w="2205" w:type="dxa"/>
          </w:tcPr>
          <w:p w:rsidRPr="00F64C8A" w:rsidR="001741DA" w:rsidP="000A1F36" w:rsidRDefault="001741DA" w14:paraId="0E5290C8" w14:textId="77777777">
            <w:pPr>
              <w:ind w:left="360"/>
              <w:rPr>
                <w:sz w:val="22"/>
                <w:szCs w:val="22"/>
              </w:rPr>
            </w:pPr>
            <w:r w:rsidRPr="00F64C8A">
              <w:rPr>
                <w:sz w:val="22"/>
                <w:szCs w:val="22"/>
              </w:rPr>
              <w:lastRenderedPageBreak/>
              <w:t>Elizabeth Greene</w:t>
            </w:r>
          </w:p>
        </w:tc>
        <w:tc>
          <w:tcPr>
            <w:tcW w:w="2493" w:type="dxa"/>
          </w:tcPr>
          <w:p w:rsidR="001741DA" w:rsidP="000A1F36" w:rsidRDefault="000A3B49" w14:paraId="1089116A" w14:textId="77777777">
            <w:pPr>
              <w:ind w:left="360"/>
              <w:rPr>
                <w:sz w:val="22"/>
                <w:szCs w:val="22"/>
              </w:rPr>
            </w:pPr>
            <w:hyperlink w:history="1" r:id="rId28">
              <w:r w:rsidRPr="0009603A" w:rsidR="001741DA">
                <w:rPr>
                  <w:rStyle w:val="Hyperlink"/>
                  <w:sz w:val="22"/>
                  <w:szCs w:val="22"/>
                </w:rPr>
                <w:t>ite6@cdc.gov</w:t>
              </w:r>
            </w:hyperlink>
          </w:p>
          <w:p w:rsidRPr="00F64C8A" w:rsidR="001741DA" w:rsidP="000A1F36" w:rsidRDefault="001741DA" w14:paraId="756DD14B" w14:textId="77777777">
            <w:pPr>
              <w:ind w:left="360"/>
              <w:rPr>
                <w:sz w:val="22"/>
                <w:szCs w:val="22"/>
              </w:rPr>
            </w:pPr>
            <w:r w:rsidRPr="004A1D96">
              <w:rPr>
                <w:sz w:val="22"/>
                <w:szCs w:val="22"/>
              </w:rPr>
              <w:lastRenderedPageBreak/>
              <w:t>404</w:t>
            </w:r>
            <w:r>
              <w:rPr>
                <w:sz w:val="22"/>
                <w:szCs w:val="22"/>
              </w:rPr>
              <w:t>-</w:t>
            </w:r>
            <w:r w:rsidRPr="004A1D96">
              <w:rPr>
                <w:sz w:val="22"/>
                <w:szCs w:val="22"/>
              </w:rPr>
              <w:t>639</w:t>
            </w:r>
            <w:r>
              <w:rPr>
                <w:sz w:val="22"/>
                <w:szCs w:val="22"/>
              </w:rPr>
              <w:t>-</w:t>
            </w:r>
            <w:r w:rsidRPr="004A1D96">
              <w:rPr>
                <w:sz w:val="22"/>
                <w:szCs w:val="22"/>
              </w:rPr>
              <w:t>3459</w:t>
            </w:r>
          </w:p>
        </w:tc>
      </w:tr>
      <w:tr w:rsidRPr="007024FD" w:rsidR="001741DA" w:rsidTr="000A1F36" w14:paraId="4A0007BA" w14:textId="77777777">
        <w:tc>
          <w:tcPr>
            <w:tcW w:w="4652" w:type="dxa"/>
          </w:tcPr>
          <w:p w:rsidRPr="00F64C8A" w:rsidR="001741DA" w:rsidP="000A1F36" w:rsidRDefault="001741DA" w14:paraId="3E83B1ED" w14:textId="77777777">
            <w:pPr>
              <w:ind w:left="360"/>
              <w:rPr>
                <w:szCs w:val="22"/>
              </w:rPr>
            </w:pPr>
            <w:r>
              <w:rPr>
                <w:szCs w:val="22"/>
              </w:rPr>
              <w:lastRenderedPageBreak/>
              <w:t xml:space="preserve">Office of Minority Health and Health Equity </w:t>
            </w:r>
            <w:r w:rsidRPr="00F64C8A">
              <w:rPr>
                <w:szCs w:val="22"/>
              </w:rPr>
              <w:t>(OMHHE)</w:t>
            </w:r>
          </w:p>
        </w:tc>
        <w:tc>
          <w:tcPr>
            <w:tcW w:w="2205" w:type="dxa"/>
          </w:tcPr>
          <w:p w:rsidRPr="00F64C8A" w:rsidR="001741DA" w:rsidP="000A1F36" w:rsidRDefault="001741DA" w14:paraId="5D4DA11F" w14:textId="77777777">
            <w:pPr>
              <w:ind w:left="360"/>
              <w:rPr>
                <w:sz w:val="22"/>
                <w:szCs w:val="22"/>
              </w:rPr>
            </w:pPr>
            <w:r w:rsidRPr="00F64C8A">
              <w:rPr>
                <w:sz w:val="22"/>
                <w:szCs w:val="22"/>
              </w:rPr>
              <w:t>Laura Ross</w:t>
            </w:r>
          </w:p>
        </w:tc>
        <w:tc>
          <w:tcPr>
            <w:tcW w:w="2493" w:type="dxa"/>
          </w:tcPr>
          <w:p w:rsidR="001741DA" w:rsidP="000A1F36" w:rsidRDefault="000A3B49" w14:paraId="062AFBCE" w14:textId="77777777">
            <w:pPr>
              <w:ind w:left="360"/>
            </w:pPr>
            <w:hyperlink w:history="1" r:id="rId29">
              <w:r w:rsidRPr="0009603A" w:rsidR="001741DA">
                <w:rPr>
                  <w:rStyle w:val="Hyperlink"/>
                </w:rPr>
                <w:t>lfj4@cdc.gov</w:t>
              </w:r>
            </w:hyperlink>
          </w:p>
          <w:p w:rsidR="001741DA" w:rsidP="000A1F36" w:rsidRDefault="001741DA" w14:paraId="3A0AC3A3" w14:textId="77777777">
            <w:pPr>
              <w:ind w:left="360"/>
            </w:pPr>
            <w:r w:rsidRPr="004A1D96">
              <w:t>770</w:t>
            </w:r>
            <w:r>
              <w:t>-</w:t>
            </w:r>
            <w:r w:rsidRPr="004A1D96">
              <w:t>488</w:t>
            </w:r>
            <w:r>
              <w:t>-</w:t>
            </w:r>
            <w:r w:rsidRPr="004A1D96">
              <w:t>6073</w:t>
            </w:r>
          </w:p>
        </w:tc>
      </w:tr>
      <w:tr w:rsidRPr="007024FD" w:rsidR="001741DA" w:rsidTr="000A1F36" w14:paraId="184A97E4" w14:textId="77777777">
        <w:tc>
          <w:tcPr>
            <w:tcW w:w="4652" w:type="dxa"/>
          </w:tcPr>
          <w:p w:rsidRPr="00F64C8A" w:rsidR="001741DA" w:rsidP="000A1F36" w:rsidRDefault="001741DA" w14:paraId="7E35374B" w14:textId="77777777">
            <w:pPr>
              <w:ind w:left="360"/>
              <w:rPr>
                <w:szCs w:val="22"/>
              </w:rPr>
            </w:pPr>
            <w:r>
              <w:rPr>
                <w:szCs w:val="22"/>
              </w:rPr>
              <w:t xml:space="preserve">Office of Science </w:t>
            </w:r>
            <w:r w:rsidRPr="00F64C8A">
              <w:rPr>
                <w:szCs w:val="22"/>
              </w:rPr>
              <w:t>(OS)</w:t>
            </w:r>
          </w:p>
        </w:tc>
        <w:tc>
          <w:tcPr>
            <w:tcW w:w="2205" w:type="dxa"/>
          </w:tcPr>
          <w:p w:rsidRPr="00F64C8A" w:rsidR="001741DA" w:rsidP="000A1F36" w:rsidRDefault="001741DA" w14:paraId="5A973872" w14:textId="77777777">
            <w:pPr>
              <w:ind w:left="360"/>
              <w:rPr>
                <w:sz w:val="22"/>
                <w:szCs w:val="22"/>
              </w:rPr>
            </w:pPr>
            <w:r w:rsidRPr="00F64C8A">
              <w:rPr>
                <w:sz w:val="22"/>
                <w:szCs w:val="22"/>
              </w:rPr>
              <w:t>Rosa Herrera</w:t>
            </w:r>
          </w:p>
        </w:tc>
        <w:tc>
          <w:tcPr>
            <w:tcW w:w="2493" w:type="dxa"/>
          </w:tcPr>
          <w:p w:rsidR="001741DA" w:rsidP="000A1F36" w:rsidRDefault="000A3B49" w14:paraId="765D6585" w14:textId="77777777">
            <w:pPr>
              <w:ind w:left="360"/>
            </w:pPr>
            <w:hyperlink w:history="1" r:id="rId30">
              <w:r w:rsidRPr="0009603A" w:rsidR="001741DA">
                <w:rPr>
                  <w:rStyle w:val="Hyperlink"/>
                </w:rPr>
                <w:t>guh3@cdc.gov</w:t>
              </w:r>
            </w:hyperlink>
          </w:p>
          <w:p w:rsidR="001741DA" w:rsidP="000A1F36" w:rsidRDefault="001741DA" w14:paraId="780CA609" w14:textId="77777777">
            <w:pPr>
              <w:ind w:left="360"/>
            </w:pPr>
            <w:r w:rsidRPr="004A1D96">
              <w:t>404</w:t>
            </w:r>
            <w:r>
              <w:t>-</w:t>
            </w:r>
            <w:r w:rsidRPr="004A1D96">
              <w:t>639</w:t>
            </w:r>
            <w:r>
              <w:t>-</w:t>
            </w:r>
            <w:r w:rsidRPr="004A1D96">
              <w:t>3986</w:t>
            </w:r>
          </w:p>
        </w:tc>
      </w:tr>
    </w:tbl>
    <w:p w:rsidRPr="007024FD" w:rsidR="0062072B" w:rsidP="0068422E" w:rsidRDefault="0062072B" w14:paraId="79578225" w14:textId="77777777">
      <w:pPr>
        <w:pStyle w:val="BodyText3"/>
        <w:pBdr>
          <w:left w:val="single" w:color="FFFFFF" w:sz="6" w:space="9"/>
        </w:pBdr>
        <w:rPr>
          <w:szCs w:val="22"/>
        </w:rPr>
      </w:pPr>
    </w:p>
    <w:p w:rsidRPr="007024FD" w:rsidR="0062072B" w:rsidP="0068422E" w:rsidRDefault="0062072B" w14:paraId="2D28C08D" w14:textId="77777777">
      <w:pPr>
        <w:pStyle w:val="BodyText3"/>
        <w:pBdr>
          <w:left w:val="single" w:color="FFFFFF" w:sz="6" w:space="9"/>
        </w:pBdr>
        <w:rPr>
          <w:szCs w:val="22"/>
        </w:rPr>
      </w:pPr>
    </w:p>
    <w:p w:rsidRPr="002D5826" w:rsidR="004B4393" w:rsidP="0068422E" w:rsidRDefault="004B4393" w14:paraId="0F6FA57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648"/>
        <w:rPr>
          <w:rFonts w:ascii="Times New Roman" w:hAnsi="Times New Roman"/>
          <w:b/>
          <w:sz w:val="22"/>
          <w:szCs w:val="22"/>
        </w:rPr>
      </w:pPr>
      <w:r w:rsidRPr="00C4002F">
        <w:rPr>
          <w:rFonts w:ascii="Times New Roman" w:hAnsi="Times New Roman"/>
          <w:b/>
          <w:szCs w:val="24"/>
        </w:rPr>
        <w:t>A.9.</w:t>
      </w:r>
      <w:r>
        <w:rPr>
          <w:rFonts w:ascii="Times New Roman" w:hAnsi="Times New Roman"/>
          <w:b/>
          <w:sz w:val="22"/>
          <w:szCs w:val="22"/>
        </w:rPr>
        <w:tab/>
      </w:r>
      <w:r w:rsidRPr="002D5826">
        <w:rPr>
          <w:rFonts w:ascii="Times New Roman" w:hAnsi="Times New Roman"/>
          <w:b/>
          <w:sz w:val="22"/>
          <w:szCs w:val="22"/>
        </w:rPr>
        <w:t>Explanations of Any Payment or Gift to Respondents</w:t>
      </w:r>
    </w:p>
    <w:p w:rsidRPr="002D5826" w:rsidR="004B4393" w:rsidP="0068422E" w:rsidRDefault="004B4393" w14:paraId="492C4BB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9738D2" w:rsidP="0068422E" w:rsidRDefault="004B4393" w14:paraId="43621BED"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To defray the costs of participation (e.g., transportation) and to boost response rates, participants in face-to-face interviews, traditional focus groups, central location interviews, and online surveys </w:t>
      </w:r>
      <w:r w:rsidR="00D4233F">
        <w:rPr>
          <w:rFonts w:ascii="Times New Roman" w:hAnsi="Times New Roman"/>
          <w:sz w:val="22"/>
          <w:szCs w:val="22"/>
        </w:rPr>
        <w:t>may</w:t>
      </w:r>
      <w:r w:rsidRPr="002D5826">
        <w:rPr>
          <w:rFonts w:ascii="Times New Roman" w:hAnsi="Times New Roman"/>
          <w:sz w:val="22"/>
          <w:szCs w:val="22"/>
        </w:rPr>
        <w:t xml:space="preserve"> receive</w:t>
      </w:r>
      <w:r w:rsidR="00D4233F">
        <w:rPr>
          <w:rFonts w:ascii="Times New Roman" w:hAnsi="Times New Roman"/>
          <w:sz w:val="22"/>
          <w:szCs w:val="22"/>
        </w:rPr>
        <w:t xml:space="preserve">, if warranted and justified, </w:t>
      </w:r>
      <w:r w:rsidRPr="002D5826">
        <w:rPr>
          <w:rFonts w:ascii="Times New Roman" w:hAnsi="Times New Roman"/>
          <w:sz w:val="22"/>
          <w:szCs w:val="22"/>
        </w:rPr>
        <w:t>$</w:t>
      </w:r>
      <w:r w:rsidR="00D4233F">
        <w:rPr>
          <w:rFonts w:ascii="Times New Roman" w:hAnsi="Times New Roman"/>
          <w:sz w:val="22"/>
          <w:szCs w:val="22"/>
        </w:rPr>
        <w:t>0</w:t>
      </w:r>
      <w:r w:rsidRPr="002D5826">
        <w:rPr>
          <w:rFonts w:ascii="Times New Roman" w:hAnsi="Times New Roman"/>
          <w:sz w:val="22"/>
          <w:szCs w:val="22"/>
        </w:rPr>
        <w:t xml:space="preserve">-$75 or the equivalent, depending on the time required.  </w:t>
      </w:r>
      <w:r>
        <w:rPr>
          <w:rFonts w:ascii="Times New Roman" w:hAnsi="Times New Roman"/>
          <w:sz w:val="22"/>
          <w:szCs w:val="22"/>
        </w:rPr>
        <w:t xml:space="preserve">The range of monetary reward is consistent with current rates for participation in formative research studies. </w:t>
      </w:r>
      <w:r w:rsidRPr="002D5826">
        <w:rPr>
          <w:rFonts w:ascii="Times New Roman" w:hAnsi="Times New Roman"/>
          <w:sz w:val="22"/>
          <w:szCs w:val="22"/>
        </w:rPr>
        <w:t xml:space="preserve">Incentives will take the form of cash or gift certificates.  In most cases, there will be no remuneration for participation in phone interviews.  As described at the end of this section, online panel surveys use an incentive program </w:t>
      </w:r>
    </w:p>
    <w:p w:rsidR="009738D2" w:rsidP="0068422E" w:rsidRDefault="009738D2" w14:paraId="25D62885"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9738D2" w:rsidP="0068422E" w:rsidRDefault="009738D2" w14:paraId="23DD2C7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rsidRDefault="004B4393" w14:paraId="77009DC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to improve response rates and maintain membership. Study-for-study, incentives are in line with the others that will be offered under the HMTS. </w:t>
      </w:r>
      <w:r w:rsidR="00A94E7E">
        <w:rPr>
          <w:rFonts w:ascii="Times New Roman" w:hAnsi="Times New Roman"/>
          <w:sz w:val="22"/>
          <w:szCs w:val="22"/>
        </w:rPr>
        <w:t xml:space="preserve"> However, the default for the government is not to offer incentives for interviews and surveys.</w:t>
      </w:r>
    </w:p>
    <w:p w:rsidR="00A14095" w:rsidP="0068422E" w:rsidRDefault="00A14095" w14:paraId="6DB1205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rsidRDefault="004B4393" w14:paraId="3F31EBF1"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 xml:space="preserve">Reviewed </w:t>
      </w:r>
      <w:r w:rsidRPr="002D5826">
        <w:rPr>
          <w:rFonts w:ascii="Times New Roman" w:hAnsi="Times New Roman"/>
          <w:sz w:val="22"/>
          <w:szCs w:val="22"/>
        </w:rPr>
        <w:t xml:space="preserve">literature </w:t>
      </w:r>
      <w:r>
        <w:rPr>
          <w:rFonts w:ascii="Times New Roman" w:hAnsi="Times New Roman"/>
          <w:sz w:val="22"/>
          <w:szCs w:val="22"/>
        </w:rPr>
        <w:t>revealed</w:t>
      </w:r>
      <w:r w:rsidRPr="002D5826">
        <w:rPr>
          <w:rFonts w:ascii="Times New Roman" w:hAnsi="Times New Roman"/>
          <w:sz w:val="22"/>
          <w:szCs w:val="22"/>
        </w:rPr>
        <w:t xml:space="preserve"> the payment of incentives can provide significant advantages to the government in terms of direct cost savings and improved data quality.  It also should be noted that message testing is a marketing technique, and it is standard practice among commercial market researchers to offer incentives as part of respondent recruitment. </w:t>
      </w:r>
    </w:p>
    <w:p w:rsidR="0062072B" w:rsidP="0068422E" w:rsidRDefault="0062072B" w14:paraId="793543A8"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rsidRDefault="000C48BA" w14:paraId="0B716C56"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roofErr w:type="spellStart"/>
      <w:r>
        <w:rPr>
          <w:sz w:val="22"/>
          <w:szCs w:val="22"/>
        </w:rPr>
        <w:t>Doryn</w:t>
      </w:r>
      <w:proofErr w:type="spellEnd"/>
      <w:r>
        <w:rPr>
          <w:sz w:val="22"/>
          <w:szCs w:val="22"/>
        </w:rPr>
        <w:t xml:space="preserve"> </w:t>
      </w:r>
      <w:proofErr w:type="spellStart"/>
      <w:r w:rsidRPr="004B4393" w:rsidR="004B4393">
        <w:rPr>
          <w:sz w:val="22"/>
          <w:szCs w:val="22"/>
        </w:rPr>
        <w:t>C</w:t>
      </w:r>
      <w:r w:rsidR="004253D8">
        <w:rPr>
          <w:sz w:val="22"/>
          <w:szCs w:val="22"/>
        </w:rPr>
        <w:t>hervin</w:t>
      </w:r>
      <w:proofErr w:type="spellEnd"/>
      <w:r w:rsidR="004253D8">
        <w:rPr>
          <w:sz w:val="22"/>
          <w:szCs w:val="22"/>
        </w:rPr>
        <w:t xml:space="preserve">, Ph.D., [(404) 321-3211] </w:t>
      </w:r>
      <w:r w:rsidRPr="004B4393" w:rsidR="004B4393">
        <w:rPr>
          <w:sz w:val="22"/>
          <w:szCs w:val="22"/>
        </w:rPr>
        <w:t xml:space="preserve">a spokesperson from </w:t>
      </w:r>
      <w:r w:rsidRPr="00E011A8" w:rsidR="004B4393">
        <w:rPr>
          <w:sz w:val="22"/>
          <w:szCs w:val="22"/>
        </w:rPr>
        <w:t>Macro International, Inc.</w:t>
      </w:r>
      <w:r w:rsidR="00E011A8">
        <w:rPr>
          <w:sz w:val="22"/>
          <w:szCs w:val="22"/>
        </w:rPr>
        <w:t xml:space="preserve"> (ICF Macro)</w:t>
      </w:r>
      <w:r w:rsidRPr="00E011A8" w:rsidR="004B4393">
        <w:rPr>
          <w:sz w:val="22"/>
          <w:szCs w:val="22"/>
        </w:rPr>
        <w:t>,</w:t>
      </w:r>
      <w:r w:rsidRPr="004B4393" w:rsidR="004B4393">
        <w:rPr>
          <w:sz w:val="22"/>
          <w:szCs w:val="22"/>
        </w:rPr>
        <w:t xml:space="preserve"> a firm experienced in health communication message testing and the various methods used in this research, explained, “Given busy schedules and a plethora of commercial marketing efforts that provide such incentives, social and behavioral science studies cannot compete for the respondents’ time unless an incentive is provided.” </w:t>
      </w:r>
    </w:p>
    <w:p w:rsidR="004B4393" w:rsidP="0068422E" w:rsidRDefault="004B4393" w14:paraId="1955CCBA"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B4393" w:rsidP="0068422E" w:rsidRDefault="004B4393" w14:paraId="0B9BB8DD" w14:textId="77777777">
      <w:pPr>
        <w:pStyle w:val="Heading6"/>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 w:val="left" w:pos="-720"/>
          <w:tab w:val="left" w:pos="-90"/>
          <w:tab w:val="left" w:pos="0"/>
          <w:tab w:val="left" w:pos="1080"/>
        </w:tabs>
        <w:ind w:left="0"/>
      </w:pPr>
      <w:r w:rsidRPr="002D5826">
        <w:t>Background on the Use of Response Incentives</w:t>
      </w:r>
    </w:p>
    <w:p w:rsidRPr="002D5826" w:rsidR="004B4393" w:rsidP="0068422E" w:rsidRDefault="004B4393" w14:paraId="700FC016"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2"/>
          <w:szCs w:val="22"/>
        </w:rPr>
      </w:pPr>
      <w:r w:rsidRPr="002D5826">
        <w:rPr>
          <w:rFonts w:ascii="Times New Roman" w:hAnsi="Times New Roman"/>
          <w:b/>
          <w:i/>
          <w:sz w:val="22"/>
          <w:szCs w:val="22"/>
        </w:rPr>
        <w:t>Payments vs. Non-monetary Incentives</w:t>
      </w:r>
      <w:r w:rsidRPr="002D5826">
        <w:rPr>
          <w:rFonts w:ascii="Times New Roman" w:hAnsi="Times New Roman"/>
          <w:b/>
          <w:sz w:val="22"/>
          <w:szCs w:val="22"/>
        </w:rPr>
        <w:t xml:space="preserve"> </w:t>
      </w:r>
    </w:p>
    <w:p w:rsidR="004B4393" w:rsidP="0068422E" w:rsidRDefault="004B4393" w14:paraId="274908F9"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2D5826">
        <w:rPr>
          <w:rFonts w:ascii="Times New Roman" w:hAnsi="Times New Roman"/>
          <w:sz w:val="22"/>
          <w:szCs w:val="22"/>
        </w:rPr>
        <w:t xml:space="preserve">Cash incentives have been shown to be most effective in increasing survey response rates for one-time surveys of panel members.  For example, Singer and her colleagues noted that, following a series of experiments on the impacts of incentives on various types of survey data collection, “...gifts in this study were less effective in increasing response rates than cash, even with the value of the incentive controlled.”  </w:t>
      </w:r>
    </w:p>
    <w:p w:rsidR="004B4393" w:rsidP="0068422E" w:rsidRDefault="004B4393" w14:paraId="37EA1166"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rsidR="004B4393" w:rsidP="0068422E" w:rsidRDefault="004B4393" w14:paraId="29AA40D6"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vertAlign w:val="superscript"/>
        </w:rPr>
      </w:pPr>
      <w:r w:rsidRPr="002D5826">
        <w:rPr>
          <w:rFonts w:ascii="Times New Roman" w:hAnsi="Times New Roman"/>
          <w:sz w:val="22"/>
          <w:szCs w:val="22"/>
        </w:rPr>
        <w:t>This finding replicates previous research on the effectiveness of incentives, including a meta-analysis of 38 experiments and quasi-experiments conducted by Church.</w:t>
      </w:r>
      <w:r w:rsidRPr="002D5826">
        <w:rPr>
          <w:rStyle w:val="FootnoteReference"/>
          <w:rFonts w:ascii="Times New Roman" w:hAnsi="Times New Roman"/>
          <w:sz w:val="22"/>
          <w:szCs w:val="22"/>
          <w:vertAlign w:val="superscript"/>
        </w:rPr>
        <w:footnoteReference w:id="9"/>
      </w:r>
      <w:r w:rsidR="001E46BA">
        <w:rPr>
          <w:rFonts w:ascii="Times New Roman" w:hAnsi="Times New Roman"/>
          <w:sz w:val="22"/>
          <w:szCs w:val="22"/>
        </w:rPr>
        <w:t xml:space="preserve"> </w:t>
      </w:r>
      <w:r w:rsidRPr="002D5826">
        <w:rPr>
          <w:rFonts w:ascii="Times New Roman" w:hAnsi="Times New Roman"/>
          <w:sz w:val="22"/>
          <w:szCs w:val="22"/>
        </w:rPr>
        <w:t xml:space="preserve"> Church reported that non</w:t>
      </w:r>
      <w:r w:rsidR="000C48BA">
        <w:rPr>
          <w:rFonts w:ascii="Times New Roman" w:hAnsi="Times New Roman"/>
          <w:sz w:val="22"/>
          <w:szCs w:val="22"/>
        </w:rPr>
        <w:t>-</w:t>
      </w:r>
      <w:r w:rsidRPr="002D5826">
        <w:rPr>
          <w:rFonts w:ascii="Times New Roman" w:hAnsi="Times New Roman"/>
          <w:sz w:val="22"/>
          <w:szCs w:val="22"/>
        </w:rPr>
        <w:t>monetary gifts were significantly less effective than cash in generating survey response, and noted that offering prepaid monetary incentives yielded an average increase of 19.1 percentage points over comparison groups.  Moreover, the impacts of monetary incentives seem greater than the impacts of promised charitable donations, lotteries for cash prizes, and other non</w:t>
      </w:r>
      <w:r>
        <w:rPr>
          <w:rFonts w:ascii="Times New Roman" w:hAnsi="Times New Roman"/>
          <w:sz w:val="22"/>
          <w:szCs w:val="22"/>
        </w:rPr>
        <w:t>-</w:t>
      </w:r>
      <w:r w:rsidRPr="002D5826">
        <w:rPr>
          <w:rFonts w:ascii="Times New Roman" w:hAnsi="Times New Roman"/>
          <w:sz w:val="22"/>
          <w:szCs w:val="22"/>
        </w:rPr>
        <w:t>monetary rewards.</w:t>
      </w:r>
      <w:r>
        <w:rPr>
          <w:rFonts w:ascii="Times New Roman" w:hAnsi="Times New Roman"/>
          <w:sz w:val="22"/>
          <w:szCs w:val="22"/>
        </w:rPr>
        <w:t xml:space="preserve"> </w:t>
      </w:r>
    </w:p>
    <w:p w:rsidR="0062072B" w:rsidP="0068422E" w:rsidRDefault="0062072B" w14:paraId="03860FDD"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vertAlign w:val="superscript"/>
        </w:rPr>
      </w:pPr>
    </w:p>
    <w:p w:rsidRPr="002D5826" w:rsidR="004B4393" w:rsidP="0068422E" w:rsidRDefault="004B4393" w14:paraId="491B34A7" w14:textId="77777777">
      <w:pPr>
        <w:tabs>
          <w:tab w:val="left" w:pos="90"/>
        </w:tabs>
        <w:rPr>
          <w:b/>
          <w:i/>
          <w:sz w:val="22"/>
          <w:szCs w:val="22"/>
        </w:rPr>
      </w:pPr>
      <w:r w:rsidRPr="002D5826">
        <w:rPr>
          <w:b/>
          <w:i/>
          <w:sz w:val="22"/>
          <w:szCs w:val="22"/>
        </w:rPr>
        <w:lastRenderedPageBreak/>
        <w:t>Level of Incentive Payment</w:t>
      </w:r>
    </w:p>
    <w:p w:rsidRPr="00C22338" w:rsidR="004B4393" w:rsidP="0068422E" w:rsidRDefault="004B4393" w14:paraId="33BFBA51" w14:textId="77777777">
      <w:pPr>
        <w:tabs>
          <w:tab w:val="left" w:pos="90"/>
        </w:tabs>
        <w:rPr>
          <w:rFonts w:ascii="Times New Roman" w:hAnsi="Times New Roman"/>
          <w:sz w:val="22"/>
          <w:szCs w:val="22"/>
        </w:rPr>
      </w:pPr>
      <w:r w:rsidRPr="00C22338">
        <w:rPr>
          <w:rFonts w:ascii="Times New Roman" w:hAnsi="Times New Roman"/>
          <w:sz w:val="22"/>
          <w:szCs w:val="22"/>
        </w:rPr>
        <w:t>Despite its apparent logic, simply increasing the size of cash incentives to non</w:t>
      </w:r>
      <w:r>
        <w:rPr>
          <w:rFonts w:ascii="Times New Roman" w:hAnsi="Times New Roman"/>
          <w:sz w:val="22"/>
          <w:szCs w:val="22"/>
        </w:rPr>
        <w:t>-</w:t>
      </w:r>
      <w:r w:rsidRPr="00C22338">
        <w:rPr>
          <w:rFonts w:ascii="Times New Roman" w:hAnsi="Times New Roman"/>
          <w:sz w:val="22"/>
          <w:szCs w:val="22"/>
        </w:rPr>
        <w:t xml:space="preserve">respondents does not always result in proportional increases in response rates. In fact, there is some evidence of diminishing returns as incentive levels increase.  However, </w:t>
      </w:r>
      <w:smartTag w:uri="urn:schemas-microsoft-com:office:smarttags" w:element="City">
        <w:smartTag w:uri="urn:schemas-microsoft-com:office:smarttags" w:element="place">
          <w:r w:rsidRPr="00C22338">
            <w:rPr>
              <w:rFonts w:ascii="Times New Roman" w:hAnsi="Times New Roman"/>
              <w:sz w:val="22"/>
              <w:szCs w:val="22"/>
            </w:rPr>
            <w:t>Findlay</w:t>
          </w:r>
        </w:smartTag>
      </w:smartTag>
      <w:r w:rsidRPr="00C22338">
        <w:rPr>
          <w:rFonts w:ascii="Times New Roman" w:hAnsi="Times New Roman"/>
          <w:sz w:val="22"/>
          <w:szCs w:val="22"/>
        </w:rPr>
        <w:t xml:space="preserve"> and </w:t>
      </w:r>
      <w:proofErr w:type="spellStart"/>
      <w:r w:rsidRPr="00C22338">
        <w:rPr>
          <w:rFonts w:ascii="Times New Roman" w:hAnsi="Times New Roman"/>
          <w:sz w:val="22"/>
          <w:szCs w:val="22"/>
        </w:rPr>
        <w:t>Schaible</w:t>
      </w:r>
      <w:proofErr w:type="spellEnd"/>
      <w:r w:rsidRPr="00C22338">
        <w:rPr>
          <w:rStyle w:val="FootnoteReference"/>
          <w:rFonts w:ascii="Times New Roman" w:hAnsi="Times New Roman"/>
          <w:sz w:val="22"/>
          <w:szCs w:val="22"/>
          <w:vertAlign w:val="superscript"/>
        </w:rPr>
        <w:footnoteReference w:id="10"/>
      </w:r>
      <w:r w:rsidRPr="00C22338">
        <w:rPr>
          <w:rFonts w:ascii="Times New Roman" w:hAnsi="Times New Roman"/>
          <w:sz w:val="22"/>
          <w:szCs w:val="22"/>
        </w:rPr>
        <w:t xml:space="preserve"> found that increasing the incentive payments from $10 to $20 was successful in increasing overall response rates.  This incentive was often supported in the literature.  Meta-analyses conducted by Church noted incentives provided with initial mailings (i.e., not conditionally linked to the completion of the survey) were the most effective in encouraging increased response.  </w:t>
      </w:r>
    </w:p>
    <w:p w:rsidRPr="002D5826" w:rsidR="004B4393" w:rsidP="0068422E" w:rsidRDefault="004B4393" w14:paraId="5D5B927C"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sz w:val="22"/>
          <w:szCs w:val="22"/>
        </w:rPr>
      </w:pPr>
    </w:p>
    <w:p w:rsidRPr="002D5826" w:rsidR="004B4393" w:rsidP="0068422E" w:rsidRDefault="004B4393" w14:paraId="1D0F8FD1"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2D5826">
        <w:rPr>
          <w:rFonts w:ascii="Times New Roman" w:hAnsi="Times New Roman"/>
          <w:b/>
          <w:i/>
          <w:sz w:val="22"/>
          <w:szCs w:val="22"/>
        </w:rPr>
        <w:t>Reduced Data Collection Cost</w:t>
      </w:r>
      <w:r w:rsidRPr="002D5826">
        <w:rPr>
          <w:rFonts w:ascii="Times New Roman" w:hAnsi="Times New Roman"/>
          <w:b/>
          <w:sz w:val="22"/>
          <w:szCs w:val="22"/>
        </w:rPr>
        <w:t xml:space="preserve"> </w:t>
      </w:r>
    </w:p>
    <w:p w:rsidRPr="002D5826" w:rsidR="004B4393" w:rsidP="0068422E" w:rsidRDefault="004B4393" w14:paraId="790D068F"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2D5826">
        <w:rPr>
          <w:rFonts w:ascii="Times New Roman" w:hAnsi="Times New Roman"/>
          <w:sz w:val="22"/>
          <w:szCs w:val="22"/>
        </w:rPr>
        <w:t>Discussion of incentives as a technique to speed responses and expand response rates is not complete without mentioning the trade-off between the costs of incentives and the costs of reminders and other efforts to foster timely and complete participation</w:t>
      </w:r>
      <w:r w:rsidRPr="002D5826">
        <w:rPr>
          <w:rStyle w:val="FootnoteReference"/>
          <w:rFonts w:ascii="Times New Roman" w:hAnsi="Times New Roman"/>
          <w:sz w:val="22"/>
          <w:szCs w:val="22"/>
          <w:vertAlign w:val="superscript"/>
        </w:rPr>
        <w:footnoteReference w:id="11"/>
      </w:r>
      <w:r w:rsidRPr="002D5826">
        <w:rPr>
          <w:rFonts w:ascii="Times New Roman" w:hAnsi="Times New Roman"/>
          <w:sz w:val="22"/>
          <w:szCs w:val="22"/>
          <w:vertAlign w:val="superscript"/>
        </w:rPr>
        <w:t>.</w:t>
      </w:r>
      <w:r w:rsidRPr="002D5826">
        <w:rPr>
          <w:rFonts w:ascii="Times New Roman" w:hAnsi="Times New Roman"/>
          <w:sz w:val="22"/>
          <w:szCs w:val="22"/>
        </w:rPr>
        <w:t xml:space="preserve">  The goal is to find the highest response rate at the lowest overall cost to the government.  In the National Adult Literacy Survey by </w:t>
      </w:r>
      <w:smartTag w:uri="urn:schemas-microsoft-com:office:smarttags" w:element="State">
        <w:smartTag w:uri="urn:schemas-microsoft-com:office:smarttags" w:element="place">
          <w:r w:rsidRPr="002D5826">
            <w:rPr>
              <w:rFonts w:ascii="Times New Roman" w:hAnsi="Times New Roman"/>
              <w:sz w:val="22"/>
              <w:szCs w:val="22"/>
            </w:rPr>
            <w:t>Berlin</w:t>
          </w:r>
        </w:smartTag>
      </w:smartTag>
      <w:r w:rsidRPr="002D5826">
        <w:rPr>
          <w:rFonts w:ascii="Times New Roman" w:hAnsi="Times New Roman"/>
          <w:sz w:val="22"/>
          <w:szCs w:val="22"/>
        </w:rPr>
        <w:t xml:space="preserve"> and colleagues,</w:t>
      </w:r>
      <w:r w:rsidRPr="002D5826">
        <w:rPr>
          <w:rStyle w:val="FootnoteReference"/>
          <w:rFonts w:ascii="Times New Roman" w:hAnsi="Times New Roman"/>
          <w:sz w:val="22"/>
          <w:szCs w:val="22"/>
          <w:vertAlign w:val="superscript"/>
        </w:rPr>
        <w:footnoteReference w:id="12"/>
      </w:r>
      <w:r w:rsidRPr="002D5826">
        <w:rPr>
          <w:rFonts w:ascii="Times New Roman" w:hAnsi="Times New Roman"/>
          <w:sz w:val="22"/>
          <w:szCs w:val="22"/>
        </w:rPr>
        <w:t xml:space="preserve"> a $20 incentive resulted in not only higher response rates from the sample cohort, but also lower costs per completed case than the comparison group.  Importantly, the incentives provided higher response rates from adults with lower-than-average levels of education and basic literacy and numeracy skills</w:t>
      </w:r>
      <w:r w:rsidR="00867C37">
        <w:rPr>
          <w:rFonts w:ascii="Times New Roman" w:hAnsi="Times New Roman"/>
          <w:sz w:val="22"/>
          <w:szCs w:val="22"/>
        </w:rPr>
        <w:t>.</w:t>
      </w:r>
    </w:p>
    <w:p w:rsidRPr="002D5826" w:rsidR="004B4393" w:rsidP="0068422E" w:rsidRDefault="004B4393" w14:paraId="03C1A0A7"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rsidRPr="002D5826" w:rsidR="004B4393" w:rsidP="0068422E" w:rsidRDefault="004B4393" w14:paraId="363CCE28"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ind w:right="900"/>
        <w:rPr>
          <w:rFonts w:ascii="Times New Roman" w:hAnsi="Times New Roman"/>
          <w:b/>
          <w:i/>
          <w:sz w:val="22"/>
          <w:szCs w:val="22"/>
        </w:rPr>
      </w:pPr>
      <w:r w:rsidRPr="002D5826">
        <w:rPr>
          <w:rFonts w:ascii="Times New Roman" w:hAnsi="Times New Roman"/>
          <w:b/>
          <w:i/>
          <w:sz w:val="22"/>
          <w:szCs w:val="22"/>
        </w:rPr>
        <w:t xml:space="preserve">Reduced Bias </w:t>
      </w:r>
    </w:p>
    <w:p w:rsidRPr="002D5826" w:rsidR="004B4393" w:rsidP="0068422E" w:rsidRDefault="004B4393" w14:paraId="55BDA3CE" w14:textId="77777777">
      <w:pPr>
        <w:tabs>
          <w:tab w:val="left" w:pos="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The most important aspect of an incentive plan may be its potential for reducing response bias, underreporting bias, and similar sources of error.  Findings from the National Survey of Family Growth (a study in which highly sensitive and personal information is collected from young adults) demonstrated that incentives not only had positive effects on response rates, but they also increased the accuracy of reporting.  Incentives are necessary for message testing in order to ensure that those who are willing to participate </w:t>
      </w:r>
      <w:r w:rsidR="00867C37">
        <w:rPr>
          <w:rFonts w:ascii="Times New Roman" w:hAnsi="Times New Roman"/>
          <w:sz w:val="22"/>
          <w:szCs w:val="22"/>
        </w:rPr>
        <w:t xml:space="preserve">reflect the target audiences. </w:t>
      </w:r>
      <w:r w:rsidRPr="002D5826">
        <w:rPr>
          <w:rFonts w:ascii="Times New Roman" w:hAnsi="Times New Roman"/>
          <w:sz w:val="22"/>
          <w:szCs w:val="22"/>
        </w:rPr>
        <w:t xml:space="preserve"> Failure to provide a basic incentive is likely to bias samples in the direction of well-educated individuals who are generally predisposed to be helpful. </w:t>
      </w:r>
    </w:p>
    <w:p w:rsidR="004B4393" w:rsidP="0068422E" w:rsidRDefault="004B4393" w14:paraId="6741F66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004B4393" w:rsidP="0068422E" w:rsidRDefault="004B4393" w14:paraId="689745E1"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A.10.</w:t>
      </w:r>
      <w:r>
        <w:rPr>
          <w:rFonts w:ascii="Times New Roman" w:hAnsi="Times New Roman"/>
          <w:b/>
          <w:sz w:val="22"/>
          <w:szCs w:val="22"/>
        </w:rPr>
        <w:t xml:space="preserve">      </w:t>
      </w:r>
      <w:r w:rsidRPr="002D5826">
        <w:rPr>
          <w:rFonts w:ascii="Times New Roman" w:hAnsi="Times New Roman"/>
          <w:b/>
          <w:sz w:val="22"/>
          <w:szCs w:val="22"/>
        </w:rPr>
        <w:t>Assurance of Confidentiality Provided to Respondents</w:t>
      </w:r>
    </w:p>
    <w:p w:rsidR="00956F97" w:rsidP="0068422E" w:rsidRDefault="00956F97" w14:paraId="0E60AED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004B4393" w:rsidP="0068422E" w:rsidRDefault="004B4393" w14:paraId="2E21443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The CDC Privacy Act Officer has determined that the Privacy Act </w:t>
      </w:r>
      <w:r>
        <w:rPr>
          <w:rFonts w:ascii="Times New Roman" w:hAnsi="Times New Roman"/>
          <w:sz w:val="22"/>
          <w:szCs w:val="22"/>
        </w:rPr>
        <w:t xml:space="preserve">does not apply to data collections conducted according to the </w:t>
      </w:r>
      <w:r w:rsidRPr="00956F97">
        <w:rPr>
          <w:rFonts w:ascii="Times New Roman" w:hAnsi="Times New Roman"/>
          <w:sz w:val="22"/>
          <w:szCs w:val="22"/>
        </w:rPr>
        <w:t xml:space="preserve">procedures </w:t>
      </w:r>
      <w:r>
        <w:rPr>
          <w:rFonts w:ascii="Times New Roman" w:hAnsi="Times New Roman"/>
          <w:sz w:val="22"/>
          <w:szCs w:val="22"/>
        </w:rPr>
        <w:t xml:space="preserve">described in this application. </w:t>
      </w:r>
      <w:r w:rsidRPr="002D5826">
        <w:rPr>
          <w:rFonts w:ascii="Times New Roman" w:hAnsi="Times New Roman"/>
          <w:sz w:val="22"/>
          <w:szCs w:val="22"/>
        </w:rPr>
        <w:t xml:space="preserve"> Although personal information (e.g., gender, age, and race) will be gathered in message testing activities, no personal identifiers (e.g., full name, address or phone number, social security number, etc.) will be collected or maintained.  Surveys done through online panels will use already-established records systems</w:t>
      </w:r>
      <w:r>
        <w:rPr>
          <w:rFonts w:ascii="Times New Roman" w:hAnsi="Times New Roman"/>
          <w:sz w:val="22"/>
          <w:szCs w:val="22"/>
        </w:rPr>
        <w:t>.</w:t>
      </w:r>
    </w:p>
    <w:p w:rsidR="00956F97" w:rsidP="0068422E" w:rsidRDefault="00956F97" w14:paraId="4D434D25"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956F97" w:rsidP="0068422E" w:rsidRDefault="00956F97" w14:paraId="29F369B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956F97">
        <w:rPr>
          <w:rFonts w:ascii="Times New Roman" w:hAnsi="Times New Roman"/>
          <w:b/>
          <w:sz w:val="22"/>
          <w:szCs w:val="22"/>
        </w:rPr>
        <w:t>A.10.1</w:t>
      </w:r>
      <w:r>
        <w:rPr>
          <w:rFonts w:ascii="Times New Roman" w:hAnsi="Times New Roman"/>
          <w:b/>
          <w:sz w:val="22"/>
          <w:szCs w:val="22"/>
        </w:rPr>
        <w:tab/>
        <w:t>Privacy Impact Assessment Information</w:t>
      </w:r>
    </w:p>
    <w:p w:rsidR="00D20F65" w:rsidP="0068422E" w:rsidRDefault="00D20F65" w14:paraId="7A2C8E0A"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00D20F65" w:rsidP="0068422E" w:rsidRDefault="00D20F65" w14:paraId="1A5204A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Although personal information (e.g., gender, age, and race) will be gathered in message testing activities, no personal identifiers (e.g., full name, address or phone number, social security number, etc.) will be </w:t>
      </w:r>
      <w:r w:rsidRPr="002D5826">
        <w:rPr>
          <w:rFonts w:ascii="Times New Roman" w:hAnsi="Times New Roman"/>
          <w:sz w:val="22"/>
          <w:szCs w:val="22"/>
        </w:rPr>
        <w:lastRenderedPageBreak/>
        <w:t>collected or maintained.  Surveys done through online panels will use already-established records systems</w:t>
      </w:r>
      <w:r w:rsidR="00F276B2">
        <w:rPr>
          <w:rFonts w:ascii="Times New Roman" w:hAnsi="Times New Roman"/>
          <w:sz w:val="22"/>
          <w:szCs w:val="22"/>
        </w:rPr>
        <w:t>.</w:t>
      </w:r>
    </w:p>
    <w:p w:rsidR="00F276B2" w:rsidP="0068422E" w:rsidRDefault="00F276B2" w14:paraId="578A422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F276B2" w:rsidP="0068422E" w:rsidRDefault="00F276B2" w14:paraId="6E19B6AD"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AC513B">
        <w:rPr>
          <w:rFonts w:ascii="Times New Roman" w:hAnsi="Times New Roman"/>
          <w:sz w:val="22"/>
          <w:szCs w:val="22"/>
        </w:rPr>
        <w:t>All data provided by respondents will be treated in a secure manner and will not be disclosed, unless otherwise compelled by law.</w:t>
      </w:r>
      <w:r w:rsidRPr="002D5826">
        <w:rPr>
          <w:rFonts w:ascii="Times New Roman" w:hAnsi="Times New Roman"/>
          <w:sz w:val="22"/>
          <w:szCs w:val="22"/>
        </w:rPr>
        <w:t xml:space="preserve"> Respondents will be informed prior to participation that their responses will be treated in a </w:t>
      </w:r>
      <w:r>
        <w:rPr>
          <w:rFonts w:ascii="Times New Roman" w:hAnsi="Times New Roman"/>
          <w:sz w:val="22"/>
          <w:szCs w:val="22"/>
        </w:rPr>
        <w:t xml:space="preserve">secure </w:t>
      </w:r>
      <w:r w:rsidRPr="002D5826">
        <w:rPr>
          <w:rFonts w:ascii="Times New Roman" w:hAnsi="Times New Roman"/>
          <w:sz w:val="22"/>
          <w:szCs w:val="22"/>
        </w:rPr>
        <w:t>manner.</w:t>
      </w:r>
    </w:p>
    <w:p w:rsidR="00F276B2" w:rsidP="0068422E" w:rsidRDefault="00F276B2" w14:paraId="6B81EE2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009D1017" w:rsidP="0068422E" w:rsidRDefault="009D1017" w14:paraId="72993563"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009D1017" w:rsidP="0068422E" w:rsidRDefault="009D1017" w14:paraId="7AA2093A"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u w:val="single"/>
        </w:rPr>
        <w:t>Overview of the Data Collection System</w:t>
      </w:r>
    </w:p>
    <w:p w:rsidR="009D1017" w:rsidP="0068422E" w:rsidRDefault="009D1017" w14:paraId="3548F66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574EBF" w:rsidR="009D1017" w:rsidP="0068422E" w:rsidRDefault="009D1017" w14:paraId="4B226CE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An overview of the data collection system and methods of collection may vary with each </w:t>
      </w:r>
      <w:proofErr w:type="spellStart"/>
      <w:r>
        <w:rPr>
          <w:sz w:val="22"/>
          <w:szCs w:val="22"/>
        </w:rPr>
        <w:t>GenIC</w:t>
      </w:r>
      <w:proofErr w:type="spellEnd"/>
      <w:r w:rsidRPr="00574EBF">
        <w:rPr>
          <w:sz w:val="22"/>
          <w:szCs w:val="22"/>
        </w:rPr>
        <w:t>.  The approved template includes a section to identify the audience and methods for each data collection.  (Attachment 3)</w:t>
      </w:r>
    </w:p>
    <w:p w:rsidRPr="00574EBF" w:rsidR="009D1017" w:rsidP="0068422E" w:rsidRDefault="009D1017" w14:paraId="02B94B7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4B4393" w:rsidP="0068422E" w:rsidRDefault="004B4393" w14:paraId="1991C544"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M</w:t>
      </w:r>
      <w:r w:rsidR="0083777B">
        <w:rPr>
          <w:rFonts w:ascii="Times New Roman" w:hAnsi="Times New Roman"/>
          <w:sz w:val="22"/>
          <w:szCs w:val="22"/>
        </w:rPr>
        <w:t>any</w:t>
      </w:r>
      <w:r>
        <w:rPr>
          <w:rFonts w:ascii="Times New Roman" w:hAnsi="Times New Roman"/>
          <w:sz w:val="22"/>
          <w:szCs w:val="22"/>
        </w:rPr>
        <w:t xml:space="preserve"> of the </w:t>
      </w:r>
      <w:r w:rsidRPr="002D5826">
        <w:rPr>
          <w:rFonts w:ascii="Times New Roman" w:hAnsi="Times New Roman"/>
          <w:sz w:val="22"/>
          <w:szCs w:val="22"/>
        </w:rPr>
        <w:t xml:space="preserve">data collections in the HMTS will be conducted through either the </w:t>
      </w:r>
      <w:r>
        <w:rPr>
          <w:rFonts w:ascii="Times New Roman" w:hAnsi="Times New Roman"/>
          <w:sz w:val="22"/>
          <w:szCs w:val="22"/>
        </w:rPr>
        <w:t xml:space="preserve">Creative Domain or the Evaluation Domain of the </w:t>
      </w:r>
      <w:r w:rsidR="00A14095">
        <w:rPr>
          <w:rFonts w:ascii="Times New Roman" w:hAnsi="Times New Roman"/>
          <w:sz w:val="22"/>
          <w:szCs w:val="22"/>
        </w:rPr>
        <w:t>OADC</w:t>
      </w:r>
      <w:r>
        <w:rPr>
          <w:rFonts w:ascii="Times New Roman" w:hAnsi="Times New Roman"/>
          <w:sz w:val="22"/>
          <w:szCs w:val="22"/>
        </w:rPr>
        <w:t xml:space="preserve"> Communication Services Contract Mechanism managed by the </w:t>
      </w:r>
      <w:r w:rsidR="00A14095">
        <w:rPr>
          <w:rFonts w:ascii="Times New Roman" w:hAnsi="Times New Roman"/>
          <w:sz w:val="22"/>
          <w:szCs w:val="22"/>
        </w:rPr>
        <w:t>Strategic &amp; Proactive Communication Branch, Division of Communication Service, Office of the Associate Director for Communication</w:t>
      </w:r>
      <w:r>
        <w:rPr>
          <w:rFonts w:ascii="Times New Roman" w:hAnsi="Times New Roman"/>
          <w:sz w:val="22"/>
          <w:szCs w:val="22"/>
        </w:rPr>
        <w:t>.</w:t>
      </w:r>
      <w:r w:rsidRPr="002D5826">
        <w:rPr>
          <w:rFonts w:ascii="Times New Roman" w:hAnsi="Times New Roman"/>
          <w:sz w:val="22"/>
          <w:szCs w:val="22"/>
        </w:rPr>
        <w:t xml:space="preserve">  </w:t>
      </w:r>
    </w:p>
    <w:p w:rsidR="004B4393" w:rsidP="0068422E" w:rsidRDefault="004B4393" w14:paraId="084986C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2D5826" w:rsidR="004B4393" w:rsidP="0068422E" w:rsidRDefault="004B4393" w14:paraId="07C4CFF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Creat</w:t>
      </w:r>
      <w:r>
        <w:rPr>
          <w:rFonts w:ascii="Times New Roman" w:hAnsi="Times New Roman"/>
          <w:sz w:val="22"/>
          <w:szCs w:val="22"/>
        </w:rPr>
        <w:t>ive</w:t>
      </w:r>
      <w:r w:rsidRPr="002D5826">
        <w:rPr>
          <w:rFonts w:ascii="Times New Roman" w:hAnsi="Times New Roman"/>
          <w:sz w:val="22"/>
          <w:szCs w:val="22"/>
        </w:rPr>
        <w:t xml:space="preserve"> contractors</w:t>
      </w:r>
      <w:r>
        <w:rPr>
          <w:rFonts w:ascii="Times New Roman" w:hAnsi="Times New Roman"/>
          <w:sz w:val="22"/>
          <w:szCs w:val="22"/>
        </w:rPr>
        <w:t xml:space="preserve"> include AIR, </w:t>
      </w:r>
      <w:proofErr w:type="spellStart"/>
      <w:r>
        <w:rPr>
          <w:rFonts w:ascii="Times New Roman" w:hAnsi="Times New Roman"/>
          <w:sz w:val="22"/>
          <w:szCs w:val="22"/>
        </w:rPr>
        <w:t>Danya</w:t>
      </w:r>
      <w:proofErr w:type="spellEnd"/>
      <w:r>
        <w:rPr>
          <w:rFonts w:ascii="Times New Roman" w:hAnsi="Times New Roman"/>
          <w:sz w:val="22"/>
          <w:szCs w:val="22"/>
        </w:rPr>
        <w:t>, ESI, Hager Sharp, HMA, Ketchum, NOVA,</w:t>
      </w:r>
      <w:r w:rsidRPr="002D5826">
        <w:rPr>
          <w:rFonts w:ascii="Times New Roman" w:hAnsi="Times New Roman"/>
          <w:sz w:val="22"/>
          <w:szCs w:val="22"/>
        </w:rPr>
        <w:t xml:space="preserve"> Ogilvy PR, </w:t>
      </w:r>
      <w:r>
        <w:rPr>
          <w:rFonts w:ascii="Times New Roman" w:hAnsi="Times New Roman"/>
          <w:sz w:val="22"/>
          <w:szCs w:val="22"/>
        </w:rPr>
        <w:t xml:space="preserve">ORAU, Macro, PRR, RTI, </w:t>
      </w:r>
      <w:r w:rsidR="00A14095">
        <w:rPr>
          <w:rFonts w:ascii="Times New Roman" w:hAnsi="Times New Roman"/>
          <w:sz w:val="22"/>
          <w:szCs w:val="22"/>
        </w:rPr>
        <w:t xml:space="preserve">SRI International, </w:t>
      </w:r>
      <w:r>
        <w:rPr>
          <w:rFonts w:ascii="Times New Roman" w:hAnsi="Times New Roman"/>
          <w:sz w:val="22"/>
          <w:szCs w:val="22"/>
        </w:rPr>
        <w:t xml:space="preserve">Weber Shandwick, </w:t>
      </w:r>
      <w:proofErr w:type="spellStart"/>
      <w:r>
        <w:rPr>
          <w:rFonts w:ascii="Times New Roman" w:hAnsi="Times New Roman"/>
          <w:sz w:val="22"/>
          <w:szCs w:val="22"/>
        </w:rPr>
        <w:t>Westat</w:t>
      </w:r>
      <w:proofErr w:type="spellEnd"/>
      <w:r>
        <w:rPr>
          <w:rFonts w:ascii="Times New Roman" w:hAnsi="Times New Roman"/>
          <w:sz w:val="22"/>
          <w:szCs w:val="22"/>
        </w:rPr>
        <w:t xml:space="preserve"> </w:t>
      </w:r>
      <w:r w:rsidRPr="002D5826">
        <w:rPr>
          <w:rFonts w:ascii="Times New Roman" w:hAnsi="Times New Roman"/>
          <w:sz w:val="22"/>
          <w:szCs w:val="22"/>
        </w:rPr>
        <w:t>and the Academy for Educational Development</w:t>
      </w:r>
      <w:r>
        <w:rPr>
          <w:rFonts w:ascii="Times New Roman" w:hAnsi="Times New Roman"/>
          <w:sz w:val="22"/>
          <w:szCs w:val="22"/>
        </w:rPr>
        <w:t xml:space="preserve"> (AED)</w:t>
      </w:r>
      <w:r w:rsidRPr="002D5826">
        <w:rPr>
          <w:rFonts w:ascii="Times New Roman" w:hAnsi="Times New Roman"/>
          <w:sz w:val="22"/>
          <w:szCs w:val="22"/>
        </w:rPr>
        <w:t xml:space="preserve">.  </w:t>
      </w:r>
      <w:r>
        <w:rPr>
          <w:rFonts w:ascii="Times New Roman" w:hAnsi="Times New Roman"/>
          <w:sz w:val="22"/>
          <w:szCs w:val="22"/>
        </w:rPr>
        <w:t>E</w:t>
      </w:r>
      <w:r w:rsidRPr="002D5826">
        <w:rPr>
          <w:rFonts w:ascii="Times New Roman" w:hAnsi="Times New Roman"/>
          <w:sz w:val="22"/>
          <w:szCs w:val="22"/>
        </w:rPr>
        <w:t xml:space="preserve">valuation contractors include </w:t>
      </w:r>
      <w:r>
        <w:rPr>
          <w:rFonts w:ascii="Times New Roman" w:hAnsi="Times New Roman"/>
          <w:sz w:val="22"/>
          <w:szCs w:val="22"/>
        </w:rPr>
        <w:t xml:space="preserve">AED, AIR, Battelle, </w:t>
      </w:r>
      <w:proofErr w:type="spellStart"/>
      <w:r>
        <w:rPr>
          <w:rFonts w:ascii="Times New Roman" w:hAnsi="Times New Roman"/>
          <w:sz w:val="22"/>
          <w:szCs w:val="22"/>
        </w:rPr>
        <w:t>Danya</w:t>
      </w:r>
      <w:proofErr w:type="spellEnd"/>
      <w:r>
        <w:rPr>
          <w:rFonts w:ascii="Times New Roman" w:hAnsi="Times New Roman"/>
          <w:sz w:val="22"/>
          <w:szCs w:val="22"/>
        </w:rPr>
        <w:t xml:space="preserve">, NOVA, ORC </w:t>
      </w:r>
      <w:r w:rsidRPr="002D5826">
        <w:rPr>
          <w:rFonts w:ascii="Times New Roman" w:hAnsi="Times New Roman"/>
          <w:sz w:val="22"/>
          <w:szCs w:val="22"/>
        </w:rPr>
        <w:t xml:space="preserve">Macro International, Inc., </w:t>
      </w:r>
      <w:r>
        <w:rPr>
          <w:rFonts w:ascii="Times New Roman" w:hAnsi="Times New Roman"/>
          <w:sz w:val="22"/>
          <w:szCs w:val="22"/>
        </w:rPr>
        <w:t xml:space="preserve">RTI, and </w:t>
      </w:r>
      <w:proofErr w:type="spellStart"/>
      <w:r w:rsidRPr="002D5826">
        <w:rPr>
          <w:rFonts w:ascii="Times New Roman" w:hAnsi="Times New Roman"/>
          <w:sz w:val="22"/>
          <w:szCs w:val="22"/>
        </w:rPr>
        <w:t>Westat</w:t>
      </w:r>
      <w:proofErr w:type="spellEnd"/>
      <w:r>
        <w:rPr>
          <w:rFonts w:ascii="Times New Roman" w:hAnsi="Times New Roman"/>
          <w:sz w:val="22"/>
          <w:szCs w:val="22"/>
        </w:rPr>
        <w:t>.</w:t>
      </w:r>
      <w:r w:rsidRPr="002D5826">
        <w:rPr>
          <w:rFonts w:ascii="Times New Roman" w:hAnsi="Times New Roman"/>
          <w:sz w:val="22"/>
          <w:szCs w:val="22"/>
        </w:rPr>
        <w:t xml:space="preserve"> </w:t>
      </w:r>
      <w:r>
        <w:rPr>
          <w:rFonts w:ascii="Times New Roman" w:hAnsi="Times New Roman"/>
          <w:sz w:val="22"/>
          <w:szCs w:val="22"/>
        </w:rPr>
        <w:t>W</w:t>
      </w:r>
      <w:r w:rsidRPr="002D5826">
        <w:rPr>
          <w:rFonts w:ascii="Times New Roman" w:hAnsi="Times New Roman"/>
          <w:sz w:val="22"/>
          <w:szCs w:val="22"/>
        </w:rPr>
        <w:t xml:space="preserve">ork may be conducted through other contractors carrying out campaign activities but, in all cases, the </w:t>
      </w:r>
      <w:r w:rsidR="00A14095">
        <w:rPr>
          <w:rFonts w:ascii="Times New Roman" w:hAnsi="Times New Roman"/>
          <w:sz w:val="22"/>
          <w:szCs w:val="22"/>
        </w:rPr>
        <w:t xml:space="preserve">Strategic &amp; Proactive Communication Branch, Division of Communication Service </w:t>
      </w:r>
      <w:r>
        <w:rPr>
          <w:rFonts w:ascii="Times New Roman" w:hAnsi="Times New Roman"/>
          <w:sz w:val="22"/>
          <w:szCs w:val="22"/>
        </w:rPr>
        <w:t xml:space="preserve">will </w:t>
      </w:r>
      <w:r w:rsidRPr="002D5826">
        <w:rPr>
          <w:rFonts w:ascii="Times New Roman" w:hAnsi="Times New Roman"/>
          <w:sz w:val="22"/>
          <w:szCs w:val="22"/>
        </w:rPr>
        <w:t xml:space="preserve">require data management procedures be followed. </w:t>
      </w:r>
    </w:p>
    <w:p w:rsidRPr="002D5826" w:rsidR="004B4393" w:rsidP="0068422E" w:rsidRDefault="004B4393" w14:paraId="246C3099"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AC513B" w:rsidR="004B4393" w:rsidP="0068422E" w:rsidRDefault="004B4393" w14:paraId="65911195"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Also, this project is exempt from IRB requirements</w:t>
      </w:r>
      <w:r w:rsidRPr="00AC513B">
        <w:rPr>
          <w:rFonts w:ascii="Times New Roman" w:hAnsi="Times New Roman"/>
          <w:sz w:val="22"/>
          <w:szCs w:val="22"/>
        </w:rPr>
        <w:t>.</w:t>
      </w:r>
      <w:r w:rsidRPr="00AC513B" w:rsidR="000E7C7D">
        <w:rPr>
          <w:rFonts w:ascii="Times New Roman" w:hAnsi="Times New Roman"/>
          <w:sz w:val="22"/>
          <w:szCs w:val="22"/>
        </w:rPr>
        <w:t xml:space="preserve"> Formative research on health messages (ranging in topics from terrorism to colorectal cancer) is conducted to identify the clarity, salience, and persuasiveness of the message under review.  The information gathered in this process is then utilized to ta</w:t>
      </w:r>
      <w:r w:rsidR="006E722D">
        <w:rPr>
          <w:rFonts w:ascii="Times New Roman" w:hAnsi="Times New Roman"/>
          <w:sz w:val="22"/>
          <w:szCs w:val="22"/>
        </w:rPr>
        <w:t>rget</w:t>
      </w:r>
      <w:r w:rsidRPr="00AC513B" w:rsidR="000E7C7D">
        <w:rPr>
          <w:rFonts w:ascii="Times New Roman" w:hAnsi="Times New Roman"/>
          <w:sz w:val="22"/>
          <w:szCs w:val="22"/>
        </w:rPr>
        <w:t xml:space="preserve"> messages appropriately so in the unfortunate event of an urgent health threat, for example, messages then can be disseminated to the public in a clear and sensitive manner.  Time-sensitive data collection activities permitted under HMTS</w:t>
      </w:r>
      <w:r w:rsidR="00A14095">
        <w:rPr>
          <w:rFonts w:ascii="Times New Roman" w:hAnsi="Times New Roman"/>
          <w:sz w:val="22"/>
          <w:szCs w:val="22"/>
        </w:rPr>
        <w:t>,</w:t>
      </w:r>
      <w:r w:rsidRPr="00AC513B" w:rsidR="000E7C7D">
        <w:rPr>
          <w:rFonts w:ascii="Times New Roman" w:hAnsi="Times New Roman"/>
          <w:sz w:val="22"/>
          <w:szCs w:val="22"/>
        </w:rPr>
        <w:t xml:space="preserve"> OMB control number 0920-0572</w:t>
      </w:r>
      <w:r w:rsidR="00A14095">
        <w:rPr>
          <w:rFonts w:ascii="Times New Roman" w:hAnsi="Times New Roman"/>
          <w:sz w:val="22"/>
          <w:szCs w:val="22"/>
        </w:rPr>
        <w:t>,</w:t>
      </w:r>
      <w:r w:rsidRPr="00AC513B" w:rsidR="000E7C7D">
        <w:rPr>
          <w:rFonts w:ascii="Times New Roman" w:hAnsi="Times New Roman"/>
          <w:sz w:val="22"/>
          <w:szCs w:val="22"/>
        </w:rPr>
        <w:t xml:space="preserve"> are not research and, therefore, do not require IRB review. </w:t>
      </w:r>
    </w:p>
    <w:p w:rsidR="004B4393" w:rsidP="0068422E" w:rsidRDefault="004B4393" w14:paraId="095C5D38"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2D5826" w:rsidR="004B4393" w:rsidP="0068422E" w:rsidRDefault="004B4393" w14:paraId="3770E9E3"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b/>
          <w:i/>
          <w:sz w:val="22"/>
          <w:szCs w:val="22"/>
        </w:rPr>
        <w:t>Central Location Intercept Interviews</w:t>
      </w:r>
      <w:r w:rsidRPr="002D5826">
        <w:rPr>
          <w:rFonts w:ascii="Times New Roman" w:hAnsi="Times New Roman"/>
          <w:b/>
          <w:i/>
          <w:sz w:val="22"/>
          <w:szCs w:val="22"/>
        </w:rPr>
        <w:t xml:space="preserve"> </w:t>
      </w:r>
    </w:p>
    <w:p w:rsidR="004B4393" w:rsidP="0068422E" w:rsidRDefault="004B4393" w14:paraId="01C97A51"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Respondents will be advised of the nature of the activity, the length of time it will require, and that participation is purely voluntary.  Respondents will be assured that no penalties will occur if they wish not to respond to the information collection as a whole or to any specific questions.  These procedures conform to ethical practices for collecting data from human participants. </w:t>
      </w:r>
    </w:p>
    <w:p w:rsidR="004B4393" w:rsidP="0068422E" w:rsidRDefault="004B4393" w14:paraId="2966288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574EBF" w:rsidR="004B4393" w:rsidP="0068422E" w:rsidRDefault="004B4393" w14:paraId="4F2D983D"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However, because this activity is considered formative evaluation, the procedures normally do not meet the criteria for CDC IRB review </w:t>
      </w:r>
      <w:r w:rsidRPr="00574EBF">
        <w:rPr>
          <w:rFonts w:ascii="Times New Roman" w:hAnsi="Times New Roman"/>
          <w:sz w:val="22"/>
          <w:szCs w:val="22"/>
        </w:rPr>
        <w:t xml:space="preserve">(see </w:t>
      </w:r>
      <w:r w:rsidRPr="00574EBF">
        <w:rPr>
          <w:rFonts w:ascii="Times New Roman" w:hAnsi="Times New Roman"/>
          <w:i/>
          <w:sz w:val="22"/>
          <w:szCs w:val="22"/>
        </w:rPr>
        <w:t>Attachment 11</w:t>
      </w:r>
      <w:r w:rsidRPr="00574EBF">
        <w:rPr>
          <w:rFonts w:ascii="Times New Roman" w:hAnsi="Times New Roman"/>
          <w:b/>
          <w:i/>
          <w:sz w:val="22"/>
          <w:szCs w:val="22"/>
        </w:rPr>
        <w:t xml:space="preserve"> </w:t>
      </w:r>
      <w:r w:rsidRPr="00574EBF">
        <w:rPr>
          <w:rFonts w:ascii="Times New Roman" w:hAnsi="Times New Roman"/>
          <w:sz w:val="22"/>
          <w:szCs w:val="22"/>
        </w:rPr>
        <w:t xml:space="preserve">for the judgment from </w:t>
      </w:r>
      <w:r w:rsidRPr="00574EBF" w:rsidR="0083777B">
        <w:rPr>
          <w:rFonts w:ascii="Times New Roman" w:hAnsi="Times New Roman"/>
          <w:sz w:val="22"/>
          <w:szCs w:val="22"/>
        </w:rPr>
        <w:t>OADC</w:t>
      </w:r>
      <w:r w:rsidRPr="00574EBF" w:rsidR="00FF04E6">
        <w:rPr>
          <w:rFonts w:ascii="Times New Roman" w:hAnsi="Times New Roman"/>
          <w:sz w:val="22"/>
          <w:szCs w:val="22"/>
        </w:rPr>
        <w:t xml:space="preserve"> </w:t>
      </w:r>
      <w:r w:rsidRPr="00574EBF">
        <w:rPr>
          <w:rFonts w:ascii="Times New Roman" w:hAnsi="Times New Roman"/>
          <w:sz w:val="22"/>
          <w:szCs w:val="22"/>
        </w:rPr>
        <w:t>Associate Director for</w:t>
      </w:r>
      <w:r w:rsidRPr="00574EBF" w:rsidR="0083777B">
        <w:rPr>
          <w:rFonts w:ascii="Times New Roman" w:hAnsi="Times New Roman"/>
          <w:sz w:val="22"/>
          <w:szCs w:val="22"/>
        </w:rPr>
        <w:t xml:space="preserve"> Communication</w:t>
      </w:r>
      <w:r w:rsidRPr="00574EBF">
        <w:rPr>
          <w:rFonts w:ascii="Times New Roman" w:hAnsi="Times New Roman"/>
          <w:sz w:val="22"/>
          <w:szCs w:val="22"/>
        </w:rPr>
        <w:t xml:space="preserve"> Science). </w:t>
      </w:r>
    </w:p>
    <w:p w:rsidRPr="002D5826" w:rsidR="004B4393" w:rsidP="0068422E" w:rsidRDefault="004B4393" w14:paraId="23363AC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3016DA" w:rsidP="0068422E" w:rsidRDefault="004B4393" w14:paraId="727A6764"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If data are collected by means of paper questionnaires, the questionnaires will be kept in locked filing cabinets in the offices of project staff employed by CDC contractors.  When the data have been coded into electronic files and cleaned, the paper records will be destroyed.  Electronic files (whether generated </w:t>
      </w:r>
    </w:p>
    <w:p w:rsidR="003016DA" w:rsidP="0068422E" w:rsidRDefault="004B4393" w14:paraId="5CDD6BE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by touch-screen technology, email, or by coding paper records) will be handled as described in the section </w:t>
      </w:r>
    </w:p>
    <w:p w:rsidRPr="00937787" w:rsidR="004B4393" w:rsidP="0068422E" w:rsidRDefault="004B4393" w14:paraId="358056A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FF0000"/>
          <w:sz w:val="22"/>
          <w:szCs w:val="22"/>
        </w:rPr>
      </w:pPr>
      <w:r w:rsidRPr="002D5826">
        <w:rPr>
          <w:rFonts w:ascii="Times New Roman" w:hAnsi="Times New Roman"/>
          <w:sz w:val="22"/>
          <w:szCs w:val="22"/>
        </w:rPr>
        <w:t xml:space="preserve">on phone interviews below.  In reports, all presentation of data will be in aggregate form, and no links to individuals will be preserved.  </w:t>
      </w:r>
      <w:r w:rsidRPr="00AC513B">
        <w:rPr>
          <w:rFonts w:ascii="Times New Roman" w:hAnsi="Times New Roman"/>
          <w:sz w:val="22"/>
          <w:szCs w:val="22"/>
        </w:rPr>
        <w:t xml:space="preserve">Reports will </w:t>
      </w:r>
      <w:r w:rsidRPr="00AC513B" w:rsidR="0062072B">
        <w:rPr>
          <w:rFonts w:ascii="Times New Roman" w:hAnsi="Times New Roman"/>
          <w:sz w:val="22"/>
          <w:szCs w:val="22"/>
        </w:rPr>
        <w:t>not include identifiable information on respondents.</w:t>
      </w:r>
      <w:r w:rsidRPr="00937787" w:rsidR="0062072B">
        <w:rPr>
          <w:rFonts w:ascii="Times New Roman" w:hAnsi="Times New Roman"/>
          <w:color w:val="FF0000"/>
          <w:sz w:val="22"/>
          <w:szCs w:val="22"/>
        </w:rPr>
        <w:t xml:space="preserve"> </w:t>
      </w:r>
    </w:p>
    <w:p w:rsidR="0062072B" w:rsidP="0068422E" w:rsidRDefault="0062072B" w14:paraId="17891C3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2D5826" w:rsidR="004B4393" w:rsidP="0068422E" w:rsidRDefault="004B4393" w14:paraId="020B16E9"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2D5826">
        <w:rPr>
          <w:rFonts w:ascii="Times New Roman" w:hAnsi="Times New Roman"/>
          <w:b/>
          <w:i/>
          <w:sz w:val="22"/>
          <w:szCs w:val="22"/>
        </w:rPr>
        <w:lastRenderedPageBreak/>
        <w:t xml:space="preserve">Telephone Interviews </w:t>
      </w:r>
    </w:p>
    <w:p w:rsidRPr="002D5826" w:rsidR="004B4393" w:rsidP="0068422E" w:rsidRDefault="004B4393" w14:paraId="7E7AA855"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Phone interviews will employ a CATI system; no names or other information that could identify the respondent will be recorded.  A code number will be assigned to an individual’s responses.  It will not be possible to link these code numbers to respondents’ phone numbers.</w:t>
      </w:r>
    </w:p>
    <w:p w:rsidRPr="002D5826" w:rsidR="004B4393" w:rsidP="0068422E" w:rsidRDefault="004B4393" w14:paraId="4298ADD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2D5826" w:rsidR="004B4393" w:rsidP="0068422E" w:rsidRDefault="004B4393" w14:paraId="76528764" w14:textId="77777777">
      <w:pPr>
        <w:pStyle w:val="Foote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All selected participants will be informed at the beginning of the phone interview that their responses will be treated in a </w:t>
      </w:r>
      <w:r w:rsidR="00F276B2">
        <w:rPr>
          <w:rFonts w:ascii="Times New Roman" w:hAnsi="Times New Roman"/>
          <w:sz w:val="22"/>
          <w:szCs w:val="22"/>
        </w:rPr>
        <w:t>secure</w:t>
      </w:r>
      <w:r w:rsidRPr="002D5826">
        <w:rPr>
          <w:rFonts w:ascii="Times New Roman" w:hAnsi="Times New Roman"/>
          <w:sz w:val="22"/>
          <w:szCs w:val="22"/>
        </w:rPr>
        <w:t xml:space="preserve"> manner, that all data will be safeguarded closely, and that no individual identifiers </w:t>
      </w:r>
      <w:r w:rsidR="00F72B6D">
        <w:rPr>
          <w:rFonts w:ascii="Times New Roman" w:hAnsi="Times New Roman"/>
          <w:sz w:val="22"/>
          <w:szCs w:val="22"/>
        </w:rPr>
        <w:t xml:space="preserve">will be used in study reports. </w:t>
      </w:r>
      <w:r w:rsidRPr="002D5826">
        <w:rPr>
          <w:rFonts w:ascii="Times New Roman" w:hAnsi="Times New Roman"/>
          <w:sz w:val="22"/>
          <w:szCs w:val="22"/>
        </w:rPr>
        <w:t>Interviewers will be extensively trained to impart this information.</w:t>
      </w:r>
    </w:p>
    <w:p w:rsidRPr="002D5826" w:rsidR="004B4393" w:rsidP="0068422E" w:rsidRDefault="004B4393" w14:paraId="5721098D"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2D5826" w:rsidR="004B4393" w:rsidP="0068422E" w:rsidRDefault="004B4393" w14:paraId="29785ABD"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All data will be stored in secured electronic files at a contractor’s office and will be accessible only to staff directly involved in the project.  All members of the project will be required to sign a statement developed by the contractor pledging their personal commitment to guard the confidentiality of data.  Data files will be retained by the contractor for a period of no more than three years and then destroyed.  </w:t>
      </w:r>
    </w:p>
    <w:p w:rsidRPr="002D5826" w:rsidR="004B4393" w:rsidP="0068422E" w:rsidRDefault="004B4393" w14:paraId="093DC973" w14:textId="77777777">
      <w:pPr>
        <w:pStyle w:val="Heading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firstLine="0"/>
        <w:rPr>
          <w:b w:val="0"/>
          <w:i w:val="0"/>
          <w:sz w:val="22"/>
          <w:szCs w:val="22"/>
          <w:u w:val="single"/>
        </w:rPr>
      </w:pPr>
    </w:p>
    <w:p w:rsidR="004B4393" w:rsidP="0068422E" w:rsidRDefault="004B4393" w14:paraId="2265EA84" w14:textId="77777777">
      <w:pPr>
        <w:widowControl/>
        <w:tabs>
          <w:tab w:val="left" w:pos="-720"/>
        </w:tabs>
        <w:rPr>
          <w:rFonts w:ascii="Times New Roman" w:hAnsi="Times New Roman"/>
          <w:sz w:val="22"/>
          <w:szCs w:val="22"/>
        </w:rPr>
      </w:pPr>
      <w:r w:rsidRPr="002D5826">
        <w:rPr>
          <w:iCs/>
          <w:sz w:val="22"/>
          <w:szCs w:val="22"/>
        </w:rPr>
        <w:t xml:space="preserve">Online data collections </w:t>
      </w:r>
      <w:r w:rsidRPr="002D5826">
        <w:rPr>
          <w:rFonts w:ascii="Times New Roman" w:hAnsi="Times New Roman"/>
          <w:sz w:val="22"/>
          <w:szCs w:val="22"/>
        </w:rPr>
        <w:t>will conform totally to federal regulations [the Hawkins-Stafford Amendments of 1988 (P.L. 100-297) and the Computer Security Act of 1987] and will be required to have comprehensive, written plans to maintain confidentiality.   This plan will include having all personnel who will have access to individual identifiers sign confidentiality agreements.  They will also be trained in the meaning of confidentiality, particularly as it relates to handling requests for information from respondents, and in providing assurance to respondents about the protection of their responses.</w:t>
      </w:r>
    </w:p>
    <w:p w:rsidRPr="002D5826" w:rsidR="009738D2" w:rsidP="0068422E" w:rsidRDefault="009738D2" w14:paraId="3AE28419" w14:textId="77777777">
      <w:pPr>
        <w:widowControl/>
        <w:tabs>
          <w:tab w:val="left" w:pos="-720"/>
        </w:tabs>
        <w:rPr>
          <w:rFonts w:ascii="Times New Roman" w:hAnsi="Times New Roman"/>
          <w:sz w:val="22"/>
          <w:szCs w:val="22"/>
        </w:rPr>
      </w:pPr>
    </w:p>
    <w:p w:rsidRPr="002D5826" w:rsidR="004B4393" w:rsidP="0068422E" w:rsidRDefault="008F3126" w14:paraId="1EF28B20" w14:textId="77777777">
      <w:pPr>
        <w:widowControl/>
        <w:tabs>
          <w:tab w:val="left" w:pos="-720"/>
        </w:tabs>
        <w:rPr>
          <w:rFonts w:ascii="Times New Roman" w:hAnsi="Times New Roman"/>
          <w:sz w:val="22"/>
          <w:szCs w:val="22"/>
        </w:rPr>
      </w:pPr>
      <w:r w:rsidRPr="002D5826">
        <w:rPr>
          <w:rFonts w:ascii="Times New Roman" w:hAnsi="Times New Roman"/>
          <w:sz w:val="22"/>
          <w:szCs w:val="22"/>
        </w:rPr>
        <w:fldChar w:fldCharType="begin"/>
      </w:r>
      <w:r w:rsidRPr="002D5826" w:rsidR="004B4393">
        <w:rPr>
          <w:rFonts w:ascii="Times New Roman" w:hAnsi="Times New Roman"/>
          <w:sz w:val="22"/>
          <w:szCs w:val="22"/>
        </w:rPr>
        <w:instrText>ADVANCE \d4</w:instrText>
      </w:r>
      <w:r w:rsidRPr="002D5826">
        <w:rPr>
          <w:rFonts w:ascii="Times New Roman" w:hAnsi="Times New Roman"/>
          <w:sz w:val="22"/>
          <w:szCs w:val="22"/>
        </w:rPr>
        <w:fldChar w:fldCharType="end"/>
      </w:r>
      <w:r w:rsidRPr="002D5826" w:rsidR="004B4393">
        <w:rPr>
          <w:rFonts w:ascii="Times New Roman" w:hAnsi="Times New Roman"/>
          <w:sz w:val="22"/>
          <w:szCs w:val="22"/>
        </w:rPr>
        <w:t xml:space="preserve">Surveys sent electronically from the Web site will be sent to an </w:t>
      </w:r>
      <w:r w:rsidR="001E46BA">
        <w:rPr>
          <w:rFonts w:ascii="Times New Roman" w:hAnsi="Times New Roman"/>
          <w:sz w:val="22"/>
          <w:szCs w:val="22"/>
        </w:rPr>
        <w:t>e</w:t>
      </w:r>
      <w:r w:rsidRPr="002D5826" w:rsidR="004B4393">
        <w:rPr>
          <w:rFonts w:ascii="Times New Roman" w:hAnsi="Times New Roman"/>
          <w:sz w:val="22"/>
          <w:szCs w:val="22"/>
        </w:rPr>
        <w:t xml:space="preserve">mail address solely dedicated for the research project.  The electronic surveys will be received, a record of the receipt will be made, and the survey will be separated from any identifying information, including the </w:t>
      </w:r>
      <w:r w:rsidR="001E46BA">
        <w:rPr>
          <w:rFonts w:ascii="Times New Roman" w:hAnsi="Times New Roman"/>
          <w:sz w:val="22"/>
          <w:szCs w:val="22"/>
        </w:rPr>
        <w:t>e</w:t>
      </w:r>
      <w:r w:rsidRPr="002D5826" w:rsidR="004B4393">
        <w:rPr>
          <w:rFonts w:ascii="Times New Roman" w:hAnsi="Times New Roman"/>
          <w:sz w:val="22"/>
          <w:szCs w:val="22"/>
        </w:rPr>
        <w:t>mail address of the sender.  These surveys will be forwarded to other staff for data analysis.</w:t>
      </w:r>
    </w:p>
    <w:p w:rsidRPr="002D5826" w:rsidR="004B4393" w:rsidP="0068422E" w:rsidRDefault="004B4393" w14:paraId="59D00E8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2D5826" w:rsidR="004B4393" w:rsidP="0068422E" w:rsidRDefault="004B4393" w14:paraId="1DC980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Times New Roman" w:hAnsi="Times New Roman"/>
          <w:sz w:val="22"/>
          <w:szCs w:val="22"/>
        </w:rPr>
      </w:pPr>
      <w:r w:rsidRPr="00C4002F">
        <w:rPr>
          <w:rFonts w:ascii="Times New Roman" w:hAnsi="Times New Roman"/>
          <w:b/>
          <w:szCs w:val="24"/>
        </w:rPr>
        <w:t>A.11.</w:t>
      </w:r>
      <w:r>
        <w:rPr>
          <w:rFonts w:ascii="Times New Roman" w:hAnsi="Times New Roman"/>
          <w:b/>
          <w:sz w:val="22"/>
          <w:szCs w:val="22"/>
        </w:rPr>
        <w:t xml:space="preserve">       </w:t>
      </w:r>
      <w:r w:rsidRPr="00C5578B" w:rsidR="00CC37C3">
        <w:rPr>
          <w:rFonts w:ascii="Times New Roman" w:hAnsi="Times New Roman"/>
          <w:b/>
          <w:sz w:val="22"/>
          <w:szCs w:val="22"/>
        </w:rPr>
        <w:t>Institutional Review Board (IRB)</w:t>
      </w:r>
      <w:r w:rsidR="00CC37C3">
        <w:rPr>
          <w:rFonts w:ascii="Times New Roman" w:hAnsi="Times New Roman"/>
          <w:b/>
          <w:sz w:val="22"/>
          <w:szCs w:val="22"/>
        </w:rPr>
        <w:t xml:space="preserve"> and </w:t>
      </w:r>
      <w:r>
        <w:rPr>
          <w:rFonts w:ascii="Times New Roman" w:hAnsi="Times New Roman"/>
          <w:b/>
          <w:sz w:val="22"/>
          <w:szCs w:val="22"/>
        </w:rPr>
        <w:t xml:space="preserve">Justification for Sensitive </w:t>
      </w:r>
      <w:r w:rsidRPr="002D5826">
        <w:rPr>
          <w:rFonts w:ascii="Times New Roman" w:hAnsi="Times New Roman"/>
          <w:b/>
          <w:sz w:val="22"/>
          <w:szCs w:val="22"/>
        </w:rPr>
        <w:t xml:space="preserve">Questions </w:t>
      </w:r>
    </w:p>
    <w:p w:rsidRPr="002D5826" w:rsidR="004B4393" w:rsidP="0068422E" w:rsidRDefault="004B4393" w14:paraId="565ED758"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D747CA" w:rsidR="00CC37C3" w:rsidP="0068422E" w:rsidRDefault="00CC37C3" w14:paraId="0F781E84"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747CA">
        <w:rPr>
          <w:rFonts w:ascii="Times New Roman" w:hAnsi="Times New Roman"/>
          <w:sz w:val="22"/>
          <w:szCs w:val="22"/>
        </w:rPr>
        <w:t>IRB Approval</w:t>
      </w:r>
    </w:p>
    <w:p w:rsidR="00CC37C3" w:rsidP="0068422E" w:rsidRDefault="00D747CA" w14:paraId="0E3775BD"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747CA">
        <w:rPr>
          <w:rFonts w:ascii="Times New Roman" w:hAnsi="Times New Roman"/>
          <w:sz w:val="22"/>
          <w:szCs w:val="22"/>
        </w:rPr>
        <w:t>The</w:t>
      </w:r>
      <w:r w:rsidRPr="00D747CA" w:rsidR="00C5578B">
        <w:rPr>
          <w:rFonts w:ascii="Times New Roman" w:hAnsi="Times New Roman"/>
          <w:sz w:val="22"/>
          <w:szCs w:val="22"/>
        </w:rPr>
        <w:t xml:space="preserve"> activities undertaken </w:t>
      </w:r>
      <w:r w:rsidRPr="00D747CA">
        <w:rPr>
          <w:rFonts w:ascii="Times New Roman" w:hAnsi="Times New Roman"/>
          <w:sz w:val="22"/>
          <w:szCs w:val="22"/>
        </w:rPr>
        <w:t xml:space="preserve">under HMTS </w:t>
      </w:r>
      <w:r w:rsidRPr="00D747CA" w:rsidR="00C5578B">
        <w:rPr>
          <w:rFonts w:ascii="Times New Roman" w:hAnsi="Times New Roman"/>
          <w:sz w:val="22"/>
          <w:szCs w:val="22"/>
        </w:rPr>
        <w:t>are solely for the purpose of tailoring communication messages in a timely manner, and sometimes in emergency situations, they are non-research.  Therefore, they do not require IRB review.</w:t>
      </w:r>
    </w:p>
    <w:p w:rsidR="00CC37C3" w:rsidP="0068422E" w:rsidRDefault="00CC37C3" w14:paraId="00AC879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CC37C3" w:rsidP="0068422E" w:rsidRDefault="00CC37C3" w14:paraId="75DA5A9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Sensitive Question</w:t>
      </w:r>
    </w:p>
    <w:p w:rsidR="004B4393" w:rsidP="0068422E" w:rsidRDefault="004B4393" w14:paraId="54D2F9B3"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The majority of questions asked will not be of a sensitive nature.  </w:t>
      </w:r>
      <w:r>
        <w:rPr>
          <w:rFonts w:ascii="Times New Roman" w:hAnsi="Times New Roman"/>
          <w:sz w:val="22"/>
          <w:szCs w:val="22"/>
        </w:rPr>
        <w:t xml:space="preserve">There will be no request for a respondent’s Social Security Number (SSN). </w:t>
      </w:r>
    </w:p>
    <w:p w:rsidR="00383A88" w:rsidP="0068422E" w:rsidRDefault="00383A88" w14:paraId="3CC2241D"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AC513B" w:rsidR="004B4393" w:rsidP="0068422E" w:rsidRDefault="004B4393" w14:paraId="7EF04F7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It will, at times, be necessary to ask questions considered to be of a sensitive nature in order to test messages about health-relevant behavior.  Questions about messages concerning lifestyle (e.g., messages about dietary habits, smoking, drug use, and intimate partner issues), and questions about messages related to illnesses such as cancer or HIV could be considered sensitive.  To avoid fear of disclosure of sensitive information, respondents will be told that </w:t>
      </w:r>
      <w:r w:rsidRPr="00AC513B" w:rsidR="000E7C7D">
        <w:rPr>
          <w:rFonts w:ascii="Times New Roman" w:hAnsi="Times New Roman"/>
          <w:sz w:val="22"/>
          <w:szCs w:val="22"/>
        </w:rPr>
        <w:t xml:space="preserve">all data provided by respondents will be treated in a secure manner and will not be disclosed, unless otherwise compelled by law. </w:t>
      </w:r>
    </w:p>
    <w:p w:rsidRPr="000E7C7D" w:rsidR="000E7C7D" w:rsidP="0068422E" w:rsidRDefault="000E7C7D" w14:paraId="642472E6"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FF0000"/>
          <w:sz w:val="22"/>
          <w:szCs w:val="22"/>
        </w:rPr>
      </w:pPr>
    </w:p>
    <w:p w:rsidRPr="002D5826" w:rsidR="004B4393" w:rsidP="0068422E" w:rsidRDefault="004B4393" w14:paraId="6558BB18"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To avoid negative reactions to these questions, several steps will be taken:</w:t>
      </w:r>
    </w:p>
    <w:p w:rsidRPr="002D5826" w:rsidR="004B4393" w:rsidP="0068422E" w:rsidRDefault="004B4393" w14:paraId="180E63E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rsidRDefault="004B4393" w14:paraId="7B1A989C" w14:textId="77777777">
      <w:pPr>
        <w:numPr>
          <w:ilvl w:val="0"/>
          <w:numId w:val="3"/>
        </w:numPr>
        <w:tabs>
          <w:tab w:val="left" w:pos="0"/>
          <w:tab w:val="left" w:pos="720"/>
        </w:tabs>
        <w:outlineLvl w:val="1"/>
        <w:rPr>
          <w:rFonts w:ascii="Times New Roman" w:hAnsi="Times New Roman"/>
          <w:sz w:val="22"/>
          <w:szCs w:val="22"/>
        </w:rPr>
      </w:pPr>
      <w:r w:rsidRPr="002D5826">
        <w:rPr>
          <w:rFonts w:ascii="Times New Roman" w:hAnsi="Times New Roman"/>
          <w:sz w:val="22"/>
          <w:szCs w:val="22"/>
        </w:rPr>
        <w:t xml:space="preserve">Respondents will be informed that they need not answer any question that makes them feel uncomfortable or that they simply do not wish to answer.  </w:t>
      </w:r>
    </w:p>
    <w:p w:rsidRPr="002D5826" w:rsidR="00A11036" w:rsidP="0068422E" w:rsidRDefault="00A11036" w14:paraId="465D8BC3" w14:textId="77777777">
      <w:pPr>
        <w:tabs>
          <w:tab w:val="left" w:pos="0"/>
          <w:tab w:val="left" w:pos="720"/>
        </w:tabs>
        <w:ind w:left="1080"/>
        <w:outlineLvl w:val="1"/>
        <w:rPr>
          <w:rFonts w:ascii="Times New Roman" w:hAnsi="Times New Roman"/>
          <w:sz w:val="22"/>
          <w:szCs w:val="22"/>
        </w:rPr>
      </w:pPr>
    </w:p>
    <w:p w:rsidR="004B4393" w:rsidP="0068422E" w:rsidRDefault="004B4393" w14:paraId="0DC791AF" w14:textId="77777777">
      <w:pPr>
        <w:numPr>
          <w:ilvl w:val="0"/>
          <w:numId w:val="3"/>
        </w:numPr>
        <w:tabs>
          <w:tab w:val="left" w:pos="0"/>
          <w:tab w:val="left" w:pos="720"/>
        </w:tabs>
        <w:outlineLvl w:val="1"/>
        <w:rPr>
          <w:rFonts w:ascii="Times New Roman" w:hAnsi="Times New Roman"/>
          <w:sz w:val="22"/>
          <w:szCs w:val="22"/>
        </w:rPr>
      </w:pPr>
      <w:r w:rsidRPr="002D5826">
        <w:rPr>
          <w:rFonts w:ascii="Times New Roman" w:hAnsi="Times New Roman"/>
          <w:sz w:val="22"/>
          <w:szCs w:val="22"/>
        </w:rPr>
        <w:t xml:space="preserve">Where possible, use of touch-screen methodology or other self-directed techniques will </w:t>
      </w:r>
      <w:r w:rsidRPr="002D5826">
        <w:rPr>
          <w:rFonts w:ascii="Times New Roman" w:hAnsi="Times New Roman"/>
          <w:sz w:val="22"/>
          <w:szCs w:val="22"/>
        </w:rPr>
        <w:lastRenderedPageBreak/>
        <w:t>provide privacy; not having to verbalize a response may increase comfort.</w:t>
      </w:r>
    </w:p>
    <w:p w:rsidRPr="002D5826" w:rsidR="003016DA" w:rsidP="0068422E" w:rsidRDefault="003016DA" w14:paraId="3C2C91E2" w14:textId="77777777">
      <w:pPr>
        <w:tabs>
          <w:tab w:val="left" w:pos="0"/>
          <w:tab w:val="left" w:pos="720"/>
        </w:tabs>
        <w:ind w:left="1080"/>
        <w:outlineLvl w:val="1"/>
        <w:rPr>
          <w:rFonts w:ascii="Times New Roman" w:hAnsi="Times New Roman"/>
          <w:sz w:val="22"/>
          <w:szCs w:val="22"/>
        </w:rPr>
      </w:pPr>
    </w:p>
    <w:p w:rsidR="004B4393" w:rsidP="0068422E" w:rsidRDefault="004B4393" w14:paraId="14E5647E" w14:textId="77777777">
      <w:pPr>
        <w:numPr>
          <w:ilvl w:val="0"/>
          <w:numId w:val="3"/>
        </w:numPr>
        <w:tabs>
          <w:tab w:val="left" w:pos="0"/>
          <w:tab w:val="left" w:pos="720"/>
        </w:tabs>
        <w:outlineLvl w:val="1"/>
        <w:rPr>
          <w:rFonts w:ascii="Times New Roman" w:hAnsi="Times New Roman"/>
          <w:sz w:val="22"/>
          <w:szCs w:val="22"/>
        </w:rPr>
      </w:pPr>
      <w:r w:rsidRPr="002D5826">
        <w:rPr>
          <w:rFonts w:ascii="Times New Roman" w:hAnsi="Times New Roman"/>
          <w:sz w:val="22"/>
          <w:szCs w:val="22"/>
        </w:rPr>
        <w:t xml:space="preserve">When such numbers are available and appropriate, participants will be provided with specific agency hotline numbers to call in case they have a question or concern about the sensitive issue. </w:t>
      </w:r>
    </w:p>
    <w:p w:rsidRPr="002D5826" w:rsidR="005828BC" w:rsidP="0068422E" w:rsidRDefault="005828BC" w14:paraId="3F4D0400" w14:textId="77777777">
      <w:pPr>
        <w:tabs>
          <w:tab w:val="left" w:pos="0"/>
          <w:tab w:val="left" w:pos="720"/>
        </w:tabs>
        <w:outlineLvl w:val="1"/>
        <w:rPr>
          <w:rFonts w:ascii="Times New Roman" w:hAnsi="Times New Roman"/>
          <w:sz w:val="22"/>
          <w:szCs w:val="22"/>
        </w:rPr>
      </w:pPr>
    </w:p>
    <w:p w:rsidR="004B4393" w:rsidP="0068422E" w:rsidRDefault="004B4393" w14:paraId="089F3FC2" w14:textId="77777777">
      <w:pPr>
        <w:numPr>
          <w:ilvl w:val="0"/>
          <w:numId w:val="3"/>
        </w:numPr>
        <w:tabs>
          <w:tab w:val="left" w:pos="0"/>
          <w:tab w:val="left" w:pos="720"/>
        </w:tabs>
        <w:outlineLvl w:val="1"/>
        <w:rPr>
          <w:rFonts w:ascii="Times New Roman" w:hAnsi="Times New Roman"/>
          <w:sz w:val="22"/>
          <w:szCs w:val="22"/>
        </w:rPr>
      </w:pPr>
      <w:r w:rsidRPr="002D5826">
        <w:rPr>
          <w:rFonts w:ascii="Times New Roman" w:hAnsi="Times New Roman"/>
          <w:sz w:val="22"/>
          <w:szCs w:val="22"/>
        </w:rPr>
        <w:t>Interviewers will be trained to ask questions in a sensitive manner and to handle any subsequent discussion skillfully.  Where appropriate, interviewers and respondents will be matched for gender and other demographic criteria (e.g., age, preferred language use).</w:t>
      </w:r>
    </w:p>
    <w:p w:rsidRPr="002D5826" w:rsidR="004253D8" w:rsidP="0068422E" w:rsidRDefault="004253D8" w14:paraId="605D9B17" w14:textId="77777777">
      <w:pPr>
        <w:tabs>
          <w:tab w:val="left" w:pos="0"/>
          <w:tab w:val="left" w:pos="720"/>
        </w:tabs>
        <w:ind w:left="1080"/>
        <w:outlineLvl w:val="1"/>
        <w:rPr>
          <w:rFonts w:ascii="Times New Roman" w:hAnsi="Times New Roman"/>
          <w:sz w:val="22"/>
          <w:szCs w:val="22"/>
        </w:rPr>
      </w:pPr>
    </w:p>
    <w:p w:rsidRPr="002D5826" w:rsidR="004B4393" w:rsidP="0068422E" w:rsidRDefault="004B4393" w14:paraId="0213A23E" w14:textId="77777777">
      <w:pPr>
        <w:numPr>
          <w:ilvl w:val="0"/>
          <w:numId w:val="3"/>
        </w:numPr>
        <w:tabs>
          <w:tab w:val="left" w:pos="0"/>
          <w:tab w:val="left" w:pos="720"/>
        </w:tabs>
        <w:outlineLvl w:val="1"/>
        <w:rPr>
          <w:rFonts w:ascii="Times New Roman" w:hAnsi="Times New Roman"/>
          <w:sz w:val="22"/>
          <w:szCs w:val="22"/>
        </w:rPr>
      </w:pPr>
      <w:r w:rsidRPr="002D5826">
        <w:rPr>
          <w:rFonts w:ascii="Times New Roman" w:hAnsi="Times New Roman"/>
          <w:sz w:val="22"/>
          <w:szCs w:val="22"/>
        </w:rPr>
        <w:t>Questions included in these interviews will be pilot-tested with 9 individuals matching the characteristics of the target audience.</w:t>
      </w:r>
    </w:p>
    <w:p w:rsidRPr="002D5826" w:rsidR="004B4393" w:rsidP="0068422E" w:rsidRDefault="004B4393" w14:paraId="4643D2A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ascii="Times New Roman" w:hAnsi="Times New Roman"/>
          <w:sz w:val="22"/>
          <w:szCs w:val="22"/>
        </w:rPr>
      </w:pPr>
    </w:p>
    <w:p w:rsidRPr="009C076E" w:rsidR="004B4393" w:rsidP="0068422E" w:rsidRDefault="004B4393" w14:paraId="32F632DC" w14:textId="77777777">
      <w:pPr>
        <w:pStyle w:val="BodyTextIndent2"/>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sz w:val="22"/>
          <w:szCs w:val="22"/>
        </w:rPr>
      </w:pPr>
      <w:r w:rsidRPr="002D5826">
        <w:rPr>
          <w:sz w:val="22"/>
          <w:szCs w:val="22"/>
        </w:rPr>
        <w:t>All online panel surveys are self-administered</w:t>
      </w:r>
      <w:r>
        <w:rPr>
          <w:sz w:val="22"/>
          <w:szCs w:val="22"/>
        </w:rPr>
        <w:t xml:space="preserve"> and </w:t>
      </w:r>
      <w:r w:rsidRPr="002D5826">
        <w:rPr>
          <w:sz w:val="22"/>
          <w:szCs w:val="22"/>
        </w:rPr>
        <w:t xml:space="preserve">allow respondents to complete the surveys at their convenience, in the comfort and privacy of home.  If a survey asks about sensitive topics that respondents may not want other household members to know about, the respondents can protect their own privacy by answering questions on the digital device when other household members are not at home or are sleeping.  </w:t>
      </w:r>
      <w:r w:rsidRPr="009C076E">
        <w:rPr>
          <w:sz w:val="22"/>
          <w:szCs w:val="22"/>
        </w:rPr>
        <w:t xml:space="preserve">Additionally, respondents can toggle between the survey and another web page to further protect their </w:t>
      </w:r>
      <w:r w:rsidR="00915B9A">
        <w:rPr>
          <w:sz w:val="22"/>
          <w:szCs w:val="22"/>
        </w:rPr>
        <w:t xml:space="preserve">privacy </w:t>
      </w:r>
      <w:r w:rsidRPr="009C076E">
        <w:rPr>
          <w:sz w:val="22"/>
          <w:szCs w:val="22"/>
        </w:rPr>
        <w:t>and change the view on the screen if a household member enters the room. Analyses of response timing have shown that respondents take advantage of the ability to respond to surveys at any hour.</w:t>
      </w:r>
    </w:p>
    <w:p w:rsidRPr="002D5826" w:rsidR="004B4393" w:rsidP="0068422E" w:rsidRDefault="004B4393" w14:paraId="2A09DDA4" w14:textId="77777777">
      <w:pPr>
        <w:pStyle w:val="BodyTextIndent2"/>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pPr>
    </w:p>
    <w:p w:rsidR="009738D2" w:rsidP="0068422E" w:rsidRDefault="009738D2" w14:paraId="5788AD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9738D2" w:rsidP="0068422E" w:rsidRDefault="009738D2" w14:paraId="3174E7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9738D2" w:rsidP="0068422E" w:rsidRDefault="009738D2" w14:paraId="6CF28C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Pr="002D5826" w:rsidR="004B4393" w:rsidP="0068422E" w:rsidRDefault="004B4393" w14:paraId="30141B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4002F">
        <w:rPr>
          <w:rFonts w:ascii="Times New Roman" w:hAnsi="Times New Roman"/>
          <w:b/>
          <w:szCs w:val="24"/>
        </w:rPr>
        <w:t>A.12.</w:t>
      </w:r>
      <w:r>
        <w:rPr>
          <w:rFonts w:ascii="Times New Roman" w:hAnsi="Times New Roman"/>
          <w:b/>
          <w:sz w:val="22"/>
          <w:szCs w:val="22"/>
        </w:rPr>
        <w:t xml:space="preserve">       </w:t>
      </w:r>
      <w:r w:rsidRPr="002D5826">
        <w:rPr>
          <w:rFonts w:ascii="Times New Roman" w:hAnsi="Times New Roman"/>
          <w:b/>
          <w:sz w:val="22"/>
          <w:szCs w:val="22"/>
        </w:rPr>
        <w:t>Estimate</w:t>
      </w:r>
      <w:r w:rsidR="00CC37C3">
        <w:rPr>
          <w:rFonts w:ascii="Times New Roman" w:hAnsi="Times New Roman"/>
          <w:b/>
          <w:sz w:val="22"/>
          <w:szCs w:val="22"/>
        </w:rPr>
        <w:t>s</w:t>
      </w:r>
      <w:r w:rsidRPr="002D5826">
        <w:rPr>
          <w:rFonts w:ascii="Times New Roman" w:hAnsi="Times New Roman"/>
          <w:b/>
          <w:sz w:val="22"/>
          <w:szCs w:val="22"/>
        </w:rPr>
        <w:t xml:space="preserve"> Annualized Burden Hours and Cost</w:t>
      </w:r>
    </w:p>
    <w:p w:rsidRPr="002D5826" w:rsidR="004B4393" w:rsidP="0068422E" w:rsidRDefault="004B4393" w14:paraId="0E722C39"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Times New Roman" w:hAnsi="Times New Roman"/>
          <w:sz w:val="22"/>
          <w:szCs w:val="22"/>
        </w:rPr>
      </w:pPr>
    </w:p>
    <w:p w:rsidR="004B4393" w:rsidP="0068422E" w:rsidRDefault="004B4393" w14:paraId="4D173011"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Response burden and cost for each type of message testing method are summarized in </w:t>
      </w:r>
      <w:r w:rsidRPr="002D5826">
        <w:rPr>
          <w:rFonts w:ascii="Times New Roman" w:hAnsi="Times New Roman"/>
          <w:b/>
          <w:i/>
          <w:sz w:val="22"/>
          <w:szCs w:val="22"/>
        </w:rPr>
        <w:t>Table A12A</w:t>
      </w:r>
      <w:r w:rsidRPr="002D5826">
        <w:rPr>
          <w:rFonts w:ascii="Times New Roman" w:hAnsi="Times New Roman"/>
          <w:sz w:val="22"/>
          <w:szCs w:val="22"/>
        </w:rPr>
        <w:t xml:space="preserve"> and </w:t>
      </w:r>
      <w:r w:rsidRPr="002D5826">
        <w:rPr>
          <w:rFonts w:ascii="Times New Roman" w:hAnsi="Times New Roman"/>
          <w:b/>
          <w:i/>
          <w:sz w:val="22"/>
          <w:szCs w:val="22"/>
        </w:rPr>
        <w:t>Table A12B</w:t>
      </w:r>
      <w:r w:rsidRPr="002D5826">
        <w:rPr>
          <w:rFonts w:ascii="Times New Roman" w:hAnsi="Times New Roman"/>
          <w:sz w:val="22"/>
          <w:szCs w:val="22"/>
        </w:rPr>
        <w:t xml:space="preserve">.  </w:t>
      </w:r>
    </w:p>
    <w:p w:rsidR="00870F25" w:rsidP="0068422E" w:rsidRDefault="00870F25" w14:paraId="0D9BE035"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rsidRDefault="004B4393" w14:paraId="2FF5178A"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Table A12A.</w:t>
      </w:r>
      <w:r>
        <w:rPr>
          <w:rFonts w:ascii="Times New Roman" w:hAnsi="Times New Roman"/>
          <w:b/>
          <w:sz w:val="22"/>
          <w:szCs w:val="22"/>
        </w:rPr>
        <w:t xml:space="preserve">       </w:t>
      </w:r>
      <w:r w:rsidRPr="002D5826">
        <w:rPr>
          <w:rFonts w:ascii="Times New Roman" w:hAnsi="Times New Roman"/>
          <w:b/>
          <w:sz w:val="22"/>
          <w:szCs w:val="22"/>
        </w:rPr>
        <w:t>Estimat</w:t>
      </w:r>
      <w:r>
        <w:rPr>
          <w:rFonts w:ascii="Times New Roman" w:hAnsi="Times New Roman"/>
          <w:b/>
          <w:sz w:val="22"/>
          <w:szCs w:val="22"/>
        </w:rPr>
        <w:t>ed</w:t>
      </w:r>
      <w:r w:rsidRPr="002D5826">
        <w:rPr>
          <w:rFonts w:ascii="Times New Roman" w:hAnsi="Times New Roman"/>
          <w:b/>
          <w:sz w:val="22"/>
          <w:szCs w:val="22"/>
        </w:rPr>
        <w:t xml:space="preserve"> Annual</w:t>
      </w:r>
      <w:r>
        <w:rPr>
          <w:rFonts w:ascii="Times New Roman" w:hAnsi="Times New Roman"/>
          <w:b/>
          <w:sz w:val="22"/>
          <w:szCs w:val="22"/>
        </w:rPr>
        <w:t>ized</w:t>
      </w:r>
      <w:r w:rsidRPr="002D5826">
        <w:rPr>
          <w:rFonts w:ascii="Times New Roman" w:hAnsi="Times New Roman"/>
          <w:b/>
          <w:sz w:val="22"/>
          <w:szCs w:val="22"/>
        </w:rPr>
        <w:t xml:space="preserve"> Burden </w:t>
      </w:r>
      <w:r>
        <w:rPr>
          <w:rFonts w:ascii="Times New Roman" w:hAnsi="Times New Roman"/>
          <w:b/>
          <w:sz w:val="22"/>
          <w:szCs w:val="22"/>
        </w:rPr>
        <w:t>Hours</w:t>
      </w:r>
    </w:p>
    <w:p w:rsidRPr="002D5826" w:rsidR="004B4393" w:rsidP="0068422E" w:rsidRDefault="004B4393" w14:paraId="6894CB24"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2400"/>
        <w:gridCol w:w="1590"/>
        <w:gridCol w:w="1530"/>
        <w:gridCol w:w="1800"/>
        <w:gridCol w:w="1440"/>
      </w:tblGrid>
      <w:tr w:rsidRPr="002D5826" w:rsidR="004B4393" w:rsidTr="00AC513B" w14:paraId="60CCB328" w14:textId="77777777">
        <w:trPr>
          <w:jc w:val="center"/>
        </w:trPr>
        <w:tc>
          <w:tcPr>
            <w:tcW w:w="2400" w:type="dxa"/>
            <w:tcBorders>
              <w:top w:val="single" w:color="000000" w:sz="7" w:space="0"/>
              <w:left w:val="single" w:color="000000" w:sz="7" w:space="0"/>
              <w:bottom w:val="single" w:color="000000" w:sz="7" w:space="0"/>
              <w:right w:val="single" w:color="000000" w:sz="7" w:space="0"/>
            </w:tcBorders>
          </w:tcPr>
          <w:p w:rsidRPr="00C26A42" w:rsidR="004B4393" w:rsidP="0068422E" w:rsidRDefault="004B4393" w14:paraId="2F422541" w14:textId="77777777">
            <w:pPr>
              <w:spacing w:line="120" w:lineRule="exact"/>
              <w:rPr>
                <w:rFonts w:ascii="Times New Roman" w:hAnsi="Times New Roman"/>
                <w:i/>
                <w:sz w:val="20"/>
              </w:rPr>
            </w:pPr>
            <w:bookmarkStart w:name="_Hlk69070089" w:id="4"/>
          </w:p>
          <w:p w:rsidR="004B4393" w:rsidP="0068422E" w:rsidRDefault="004B4393" w14:paraId="179C0E26" w14:textId="77777777">
            <w:pPr>
              <w:spacing w:after="58"/>
              <w:rPr>
                <w:rFonts w:ascii="Times New Roman" w:hAnsi="Times New Roman"/>
                <w:i/>
                <w:sz w:val="20"/>
              </w:rPr>
            </w:pPr>
          </w:p>
          <w:p w:rsidRPr="00C26A42" w:rsidR="004B4393" w:rsidP="0068422E" w:rsidRDefault="004B4393" w14:paraId="58D791FC" w14:textId="77777777">
            <w:pPr>
              <w:spacing w:after="58"/>
              <w:rPr>
                <w:rFonts w:ascii="Times New Roman" w:hAnsi="Times New Roman"/>
                <w:i/>
                <w:sz w:val="20"/>
              </w:rPr>
            </w:pPr>
            <w:r w:rsidRPr="00C26A42">
              <w:rPr>
                <w:rFonts w:ascii="Times New Roman" w:hAnsi="Times New Roman"/>
                <w:i/>
                <w:sz w:val="20"/>
              </w:rPr>
              <w:t>Data Collection</w:t>
            </w:r>
            <w:r>
              <w:rPr>
                <w:rFonts w:ascii="Times New Roman" w:hAnsi="Times New Roman"/>
                <w:i/>
                <w:sz w:val="20"/>
              </w:rPr>
              <w:t xml:space="preserve"> Method</w:t>
            </w:r>
            <w:r w:rsidR="00E95B8A">
              <w:rPr>
                <w:rFonts w:ascii="Times New Roman" w:hAnsi="Times New Roman"/>
                <w:i/>
                <w:sz w:val="20"/>
              </w:rPr>
              <w:t>s</w:t>
            </w:r>
          </w:p>
        </w:tc>
        <w:tc>
          <w:tcPr>
            <w:tcW w:w="1590" w:type="dxa"/>
            <w:tcBorders>
              <w:top w:val="single" w:color="000000" w:sz="7" w:space="0"/>
              <w:left w:val="single" w:color="000000" w:sz="7" w:space="0"/>
              <w:bottom w:val="single" w:color="000000" w:sz="7" w:space="0"/>
              <w:right w:val="single" w:color="000000" w:sz="7" w:space="0"/>
            </w:tcBorders>
          </w:tcPr>
          <w:p w:rsidRPr="00C26A42" w:rsidR="004B4393" w:rsidP="0068422E" w:rsidRDefault="004B4393" w14:paraId="610843A4" w14:textId="77777777">
            <w:pPr>
              <w:spacing w:line="120" w:lineRule="exact"/>
              <w:rPr>
                <w:rFonts w:ascii="Times New Roman" w:hAnsi="Times New Roman"/>
                <w:i/>
                <w:sz w:val="20"/>
              </w:rPr>
            </w:pPr>
          </w:p>
          <w:p w:rsidRPr="00C26A42" w:rsidR="004B4393" w:rsidP="0068422E" w:rsidRDefault="004B4393" w14:paraId="1517D547" w14:textId="77777777">
            <w:pPr>
              <w:spacing w:after="58"/>
              <w:rPr>
                <w:rFonts w:ascii="Times New Roman" w:hAnsi="Times New Roman"/>
                <w:i/>
                <w:sz w:val="20"/>
              </w:rPr>
            </w:pPr>
            <w:r w:rsidRPr="00C26A42">
              <w:rPr>
                <w:rFonts w:ascii="Times New Roman" w:hAnsi="Times New Roman"/>
                <w:i/>
                <w:sz w:val="20"/>
              </w:rPr>
              <w:t>N</w:t>
            </w:r>
            <w:r>
              <w:rPr>
                <w:rFonts w:ascii="Times New Roman" w:hAnsi="Times New Roman"/>
                <w:i/>
                <w:sz w:val="20"/>
              </w:rPr>
              <w:t>o.</w:t>
            </w:r>
            <w:r w:rsidRPr="00C26A42">
              <w:rPr>
                <w:rFonts w:ascii="Times New Roman" w:hAnsi="Times New Roman"/>
                <w:i/>
                <w:sz w:val="20"/>
              </w:rPr>
              <w:t xml:space="preserve"> of Respondents per </w:t>
            </w:r>
            <w:r>
              <w:rPr>
                <w:rFonts w:ascii="Times New Roman" w:hAnsi="Times New Roman"/>
                <w:i/>
                <w:sz w:val="20"/>
              </w:rPr>
              <w:t>Method</w:t>
            </w:r>
          </w:p>
        </w:tc>
        <w:tc>
          <w:tcPr>
            <w:tcW w:w="1530" w:type="dxa"/>
            <w:tcBorders>
              <w:top w:val="single" w:color="000000" w:sz="7" w:space="0"/>
              <w:left w:val="single" w:color="000000" w:sz="7" w:space="0"/>
              <w:bottom w:val="single" w:color="000000" w:sz="7" w:space="0"/>
              <w:right w:val="single" w:color="000000" w:sz="7" w:space="0"/>
            </w:tcBorders>
          </w:tcPr>
          <w:p w:rsidRPr="00C26A42" w:rsidR="004B4393" w:rsidP="0068422E" w:rsidRDefault="004B4393" w14:paraId="4E5DD172" w14:textId="77777777">
            <w:pPr>
              <w:spacing w:line="120" w:lineRule="exact"/>
              <w:rPr>
                <w:rFonts w:ascii="Times New Roman" w:hAnsi="Times New Roman"/>
                <w:i/>
                <w:sz w:val="20"/>
              </w:rPr>
            </w:pPr>
          </w:p>
          <w:p w:rsidRPr="00C26A42" w:rsidR="004B4393" w:rsidP="0068422E" w:rsidRDefault="004B4393" w14:paraId="0038D54A" w14:textId="77777777">
            <w:pPr>
              <w:spacing w:after="58"/>
              <w:rPr>
                <w:rFonts w:ascii="Times New Roman" w:hAnsi="Times New Roman"/>
                <w:i/>
                <w:sz w:val="20"/>
              </w:rPr>
            </w:pPr>
            <w:r>
              <w:rPr>
                <w:rFonts w:ascii="Times New Roman" w:hAnsi="Times New Roman"/>
                <w:i/>
                <w:sz w:val="20"/>
              </w:rPr>
              <w:t xml:space="preserve">No. of Responses per </w:t>
            </w:r>
            <w:r w:rsidRPr="00C26A42">
              <w:rPr>
                <w:rFonts w:ascii="Times New Roman" w:hAnsi="Times New Roman"/>
                <w:i/>
                <w:sz w:val="20"/>
              </w:rPr>
              <w:t xml:space="preserve"> Respondent</w:t>
            </w:r>
          </w:p>
        </w:tc>
        <w:tc>
          <w:tcPr>
            <w:tcW w:w="1800" w:type="dxa"/>
            <w:tcBorders>
              <w:top w:val="single" w:color="000000" w:sz="7" w:space="0"/>
              <w:left w:val="single" w:color="000000" w:sz="7" w:space="0"/>
              <w:bottom w:val="single" w:color="000000" w:sz="7" w:space="0"/>
              <w:right w:val="single" w:color="000000" w:sz="7" w:space="0"/>
            </w:tcBorders>
          </w:tcPr>
          <w:p w:rsidRPr="00C26A42" w:rsidR="004B4393" w:rsidP="0068422E" w:rsidRDefault="004B4393" w14:paraId="1F5B2751" w14:textId="77777777">
            <w:pPr>
              <w:spacing w:line="120" w:lineRule="exact"/>
              <w:rPr>
                <w:rFonts w:ascii="Times New Roman" w:hAnsi="Times New Roman"/>
                <w:i/>
                <w:sz w:val="20"/>
              </w:rPr>
            </w:pPr>
          </w:p>
          <w:p w:rsidRPr="00C26A42" w:rsidR="004B4393" w:rsidP="0068422E" w:rsidRDefault="004B4393" w14:paraId="07000115" w14:textId="77777777">
            <w:pPr>
              <w:spacing w:after="58"/>
              <w:rPr>
                <w:rFonts w:ascii="Times New Roman" w:hAnsi="Times New Roman"/>
                <w:i/>
                <w:sz w:val="20"/>
              </w:rPr>
            </w:pPr>
            <w:r w:rsidRPr="00C26A42">
              <w:rPr>
                <w:rFonts w:ascii="Times New Roman" w:hAnsi="Times New Roman"/>
                <w:i/>
                <w:sz w:val="20"/>
              </w:rPr>
              <w:t>Average Burden Per Response</w:t>
            </w:r>
          </w:p>
          <w:p w:rsidRPr="00C26A42" w:rsidR="004B4393" w:rsidP="0068422E" w:rsidRDefault="004B4393" w14:paraId="26363C67" w14:textId="77777777">
            <w:pPr>
              <w:spacing w:after="58"/>
              <w:rPr>
                <w:rFonts w:ascii="Times New Roman" w:hAnsi="Times New Roman"/>
                <w:i/>
                <w:sz w:val="20"/>
              </w:rPr>
            </w:pPr>
            <w:r w:rsidRPr="00C26A42">
              <w:rPr>
                <w:rFonts w:ascii="Times New Roman" w:hAnsi="Times New Roman"/>
                <w:i/>
                <w:sz w:val="20"/>
              </w:rPr>
              <w:t>(in hours)</w:t>
            </w:r>
          </w:p>
        </w:tc>
        <w:tc>
          <w:tcPr>
            <w:tcW w:w="1440" w:type="dxa"/>
            <w:tcBorders>
              <w:top w:val="single" w:color="000000" w:sz="7" w:space="0"/>
              <w:left w:val="single" w:color="000000" w:sz="7" w:space="0"/>
              <w:bottom w:val="single" w:color="000000" w:sz="7" w:space="0"/>
              <w:right w:val="single" w:color="000000" w:sz="7" w:space="0"/>
            </w:tcBorders>
          </w:tcPr>
          <w:p w:rsidRPr="00C26A42" w:rsidR="004B4393" w:rsidP="0068422E" w:rsidRDefault="004B4393" w14:paraId="09B7F09F" w14:textId="77777777">
            <w:pPr>
              <w:spacing w:line="120" w:lineRule="exact"/>
              <w:rPr>
                <w:rFonts w:ascii="Times New Roman" w:hAnsi="Times New Roman"/>
                <w:i/>
                <w:sz w:val="20"/>
              </w:rPr>
            </w:pPr>
          </w:p>
          <w:p w:rsidRPr="00C26A42" w:rsidR="004B4393" w:rsidP="0068422E" w:rsidRDefault="004B4393" w14:paraId="7096B5E3" w14:textId="77777777">
            <w:pPr>
              <w:spacing w:after="58"/>
              <w:rPr>
                <w:rFonts w:ascii="Times New Roman" w:hAnsi="Times New Roman"/>
                <w:i/>
                <w:sz w:val="20"/>
              </w:rPr>
            </w:pPr>
            <w:r>
              <w:rPr>
                <w:rFonts w:ascii="Times New Roman" w:hAnsi="Times New Roman"/>
                <w:i/>
                <w:sz w:val="20"/>
              </w:rPr>
              <w:t xml:space="preserve">Total </w:t>
            </w:r>
            <w:r w:rsidRPr="00C26A42">
              <w:rPr>
                <w:rFonts w:ascii="Times New Roman" w:hAnsi="Times New Roman"/>
                <w:i/>
                <w:sz w:val="20"/>
              </w:rPr>
              <w:t>Burden  Hours</w:t>
            </w:r>
          </w:p>
        </w:tc>
      </w:tr>
      <w:tr w:rsidRPr="002D5826" w:rsidR="004B4393" w:rsidTr="00AC513B" w14:paraId="39AF0B85" w14:textId="77777777">
        <w:trPr>
          <w:jc w:val="center"/>
        </w:trPr>
        <w:tc>
          <w:tcPr>
            <w:tcW w:w="2400" w:type="dxa"/>
            <w:tcBorders>
              <w:top w:val="single" w:color="000000" w:sz="7" w:space="0"/>
              <w:left w:val="single" w:color="000000" w:sz="7" w:space="0"/>
              <w:bottom w:val="single" w:color="000000" w:sz="7" w:space="0"/>
              <w:right w:val="single" w:color="000000" w:sz="7" w:space="0"/>
            </w:tcBorders>
          </w:tcPr>
          <w:p w:rsidRPr="00C26A42" w:rsidR="004B4393" w:rsidP="0068422E" w:rsidRDefault="004B4393" w14:paraId="280202BD" w14:textId="77777777">
            <w:pPr>
              <w:spacing w:line="120" w:lineRule="exact"/>
              <w:rPr>
                <w:rFonts w:ascii="Times New Roman" w:hAnsi="Times New Roman"/>
                <w:sz w:val="20"/>
              </w:rPr>
            </w:pPr>
          </w:p>
          <w:p w:rsidRPr="00C26A42" w:rsidR="004B4393" w:rsidP="0068422E" w:rsidRDefault="003F4049" w14:paraId="702FD424" w14:textId="77777777">
            <w:pPr>
              <w:rPr>
                <w:rFonts w:ascii="Times New Roman" w:hAnsi="Times New Roman"/>
                <w:sz w:val="20"/>
              </w:rPr>
            </w:pPr>
            <w:r>
              <w:rPr>
                <w:rFonts w:ascii="Times New Roman" w:hAnsi="Times New Roman"/>
                <w:sz w:val="20"/>
              </w:rPr>
              <w:t>Central Location Intercept Interviews, Telephone Interviews, Individual In-depth Interview (Cognitive Interviews), Focus Group Screenings, Focus Groups, Online Surveys</w:t>
            </w:r>
          </w:p>
        </w:tc>
        <w:tc>
          <w:tcPr>
            <w:tcW w:w="1590" w:type="dxa"/>
            <w:tcBorders>
              <w:top w:val="single" w:color="000000" w:sz="7" w:space="0"/>
              <w:left w:val="single" w:color="000000" w:sz="7" w:space="0"/>
              <w:bottom w:val="single" w:color="000000" w:sz="7" w:space="0"/>
              <w:right w:val="single" w:color="000000" w:sz="7" w:space="0"/>
            </w:tcBorders>
          </w:tcPr>
          <w:p w:rsidRPr="00C26A42" w:rsidR="004B4393" w:rsidP="0068422E" w:rsidRDefault="00E95B8A" w14:paraId="75EA4DDB" w14:textId="77777777">
            <w:pPr>
              <w:spacing w:after="58"/>
              <w:rPr>
                <w:rFonts w:ascii="Times New Roman" w:hAnsi="Times New Roman"/>
                <w:sz w:val="20"/>
              </w:rPr>
            </w:pPr>
            <w:r>
              <w:rPr>
                <w:rFonts w:ascii="Times New Roman" w:hAnsi="Times New Roman"/>
                <w:sz w:val="20"/>
              </w:rPr>
              <w:t>18, 525</w:t>
            </w:r>
          </w:p>
        </w:tc>
        <w:tc>
          <w:tcPr>
            <w:tcW w:w="1530" w:type="dxa"/>
            <w:tcBorders>
              <w:top w:val="single" w:color="000000" w:sz="7" w:space="0"/>
              <w:left w:val="single" w:color="000000" w:sz="7" w:space="0"/>
              <w:bottom w:val="single" w:color="000000" w:sz="7" w:space="0"/>
              <w:right w:val="single" w:color="000000" w:sz="7" w:space="0"/>
            </w:tcBorders>
          </w:tcPr>
          <w:p w:rsidRPr="00C26A42" w:rsidR="004B4393" w:rsidP="0068422E" w:rsidRDefault="00E95B8A" w14:paraId="38B9B03D" w14:textId="77777777">
            <w:pPr>
              <w:spacing w:after="58"/>
              <w:rPr>
                <w:rFonts w:ascii="Times New Roman" w:hAnsi="Times New Roman"/>
                <w:sz w:val="20"/>
              </w:rPr>
            </w:pPr>
            <w:r>
              <w:rPr>
                <w:rFonts w:ascii="Times New Roman" w:hAnsi="Times New Roman"/>
                <w:sz w:val="20"/>
              </w:rPr>
              <w:t>1</w:t>
            </w:r>
          </w:p>
        </w:tc>
        <w:tc>
          <w:tcPr>
            <w:tcW w:w="1800" w:type="dxa"/>
            <w:tcBorders>
              <w:top w:val="single" w:color="000000" w:sz="7" w:space="0"/>
              <w:left w:val="single" w:color="000000" w:sz="7" w:space="0"/>
              <w:bottom w:val="single" w:color="000000" w:sz="7" w:space="0"/>
              <w:right w:val="single" w:color="000000" w:sz="7" w:space="0"/>
            </w:tcBorders>
          </w:tcPr>
          <w:p w:rsidRPr="00C26A42" w:rsidR="004B4393" w:rsidP="0068422E" w:rsidRDefault="00E95B8A" w14:paraId="46AADA5E" w14:textId="77777777">
            <w:pPr>
              <w:spacing w:after="58"/>
              <w:rPr>
                <w:rFonts w:ascii="Times New Roman" w:hAnsi="Times New Roman"/>
                <w:sz w:val="20"/>
              </w:rPr>
            </w:pPr>
            <w:r>
              <w:rPr>
                <w:rFonts w:ascii="Times New Roman" w:hAnsi="Times New Roman"/>
                <w:sz w:val="20"/>
              </w:rPr>
              <w:t>8/60</w:t>
            </w:r>
          </w:p>
        </w:tc>
        <w:tc>
          <w:tcPr>
            <w:tcW w:w="1440" w:type="dxa"/>
            <w:tcBorders>
              <w:top w:val="single" w:color="000000" w:sz="7" w:space="0"/>
              <w:left w:val="single" w:color="000000" w:sz="7" w:space="0"/>
              <w:bottom w:val="single" w:color="000000" w:sz="7" w:space="0"/>
              <w:right w:val="single" w:color="000000" w:sz="7" w:space="0"/>
            </w:tcBorders>
          </w:tcPr>
          <w:p w:rsidRPr="00F472DC" w:rsidR="004B4393" w:rsidP="0068422E" w:rsidRDefault="00E95B8A" w14:paraId="2388298F" w14:textId="77777777">
            <w:pPr>
              <w:rPr>
                <w:sz w:val="20"/>
              </w:rPr>
            </w:pPr>
            <w:r>
              <w:rPr>
                <w:sz w:val="20"/>
              </w:rPr>
              <w:t>2, 470</w:t>
            </w:r>
          </w:p>
        </w:tc>
      </w:tr>
      <w:tr w:rsidRPr="002D5826" w:rsidR="004B4393" w:rsidTr="00AC513B" w14:paraId="6E9361D5" w14:textId="77777777">
        <w:trPr>
          <w:jc w:val="center"/>
        </w:trPr>
        <w:tc>
          <w:tcPr>
            <w:tcW w:w="2400" w:type="dxa"/>
            <w:tcBorders>
              <w:top w:val="single" w:color="000000" w:sz="7" w:space="0"/>
              <w:left w:val="single" w:color="000000" w:sz="7" w:space="0"/>
              <w:bottom w:val="single" w:color="000000" w:sz="7" w:space="0"/>
              <w:right w:val="single" w:color="000000" w:sz="7" w:space="0"/>
            </w:tcBorders>
          </w:tcPr>
          <w:p w:rsidRPr="00C26A42" w:rsidR="004B4393" w:rsidP="0068422E" w:rsidRDefault="004B4393" w14:paraId="0B59CC7B" w14:textId="77777777">
            <w:pPr>
              <w:spacing w:line="120" w:lineRule="exact"/>
              <w:rPr>
                <w:rFonts w:ascii="Times New Roman" w:hAnsi="Times New Roman"/>
                <w:sz w:val="20"/>
              </w:rPr>
            </w:pPr>
          </w:p>
          <w:p w:rsidRPr="00C26A42" w:rsidR="004B4393" w:rsidP="0068422E" w:rsidRDefault="004B4393" w14:paraId="0F063206" w14:textId="77777777">
            <w:pPr>
              <w:spacing w:after="58"/>
              <w:rPr>
                <w:rFonts w:ascii="Times New Roman" w:hAnsi="Times New Roman"/>
                <w:sz w:val="20"/>
              </w:rPr>
            </w:pPr>
            <w:r w:rsidRPr="00C26A42">
              <w:rPr>
                <w:rFonts w:ascii="Times New Roman" w:hAnsi="Times New Roman"/>
                <w:sz w:val="20"/>
              </w:rPr>
              <w:t>Total</w:t>
            </w:r>
          </w:p>
        </w:tc>
        <w:tc>
          <w:tcPr>
            <w:tcW w:w="1590" w:type="dxa"/>
            <w:tcBorders>
              <w:top w:val="single" w:color="000000" w:sz="7" w:space="0"/>
              <w:left w:val="single" w:color="000000" w:sz="7" w:space="0"/>
              <w:bottom w:val="single" w:color="000000" w:sz="7" w:space="0"/>
              <w:right w:val="single" w:color="000000" w:sz="7" w:space="0"/>
            </w:tcBorders>
          </w:tcPr>
          <w:p w:rsidRPr="00C26A42" w:rsidR="004B4393" w:rsidP="0068422E" w:rsidRDefault="004B4393" w14:paraId="7BB9D184" w14:textId="77777777">
            <w:pPr>
              <w:spacing w:line="120" w:lineRule="exact"/>
              <w:rPr>
                <w:rFonts w:ascii="Times New Roman" w:hAnsi="Times New Roman"/>
                <w:sz w:val="20"/>
              </w:rPr>
            </w:pPr>
          </w:p>
          <w:p w:rsidRPr="00C26A42" w:rsidR="004B4393" w:rsidP="0068422E" w:rsidRDefault="003F4049" w14:paraId="22A79DC8" w14:textId="77777777">
            <w:pPr>
              <w:spacing w:after="58"/>
              <w:rPr>
                <w:rFonts w:ascii="Times New Roman" w:hAnsi="Times New Roman"/>
                <w:sz w:val="20"/>
              </w:rPr>
            </w:pPr>
            <w:r>
              <w:rPr>
                <w:rFonts w:ascii="Times New Roman" w:hAnsi="Times New Roman"/>
                <w:sz w:val="20"/>
              </w:rPr>
              <w:t>18, 525</w:t>
            </w:r>
          </w:p>
        </w:tc>
        <w:tc>
          <w:tcPr>
            <w:tcW w:w="1530" w:type="dxa"/>
            <w:tcBorders>
              <w:top w:val="single" w:color="000000" w:sz="7" w:space="0"/>
              <w:left w:val="single" w:color="000000" w:sz="7" w:space="0"/>
              <w:bottom w:val="single" w:color="000000" w:sz="7" w:space="0"/>
              <w:right w:val="single" w:color="000000" w:sz="7" w:space="0"/>
            </w:tcBorders>
          </w:tcPr>
          <w:p w:rsidRPr="00C26A42" w:rsidR="004B4393" w:rsidP="0068422E" w:rsidRDefault="004B4393" w14:paraId="135CB9A1" w14:textId="77777777">
            <w:pPr>
              <w:spacing w:line="120" w:lineRule="exact"/>
              <w:rPr>
                <w:rFonts w:ascii="Times New Roman" w:hAnsi="Times New Roman"/>
                <w:sz w:val="20"/>
              </w:rPr>
            </w:pPr>
          </w:p>
          <w:p w:rsidRPr="00C26A42" w:rsidR="004B4393" w:rsidP="0068422E" w:rsidRDefault="004B4393" w14:paraId="674A2343" w14:textId="77777777">
            <w:pPr>
              <w:spacing w:after="58"/>
              <w:rPr>
                <w:rFonts w:ascii="Times New Roman" w:hAnsi="Times New Roman"/>
                <w:sz w:val="20"/>
              </w:rPr>
            </w:pPr>
          </w:p>
        </w:tc>
        <w:tc>
          <w:tcPr>
            <w:tcW w:w="1800" w:type="dxa"/>
            <w:tcBorders>
              <w:top w:val="single" w:color="000000" w:sz="7" w:space="0"/>
              <w:left w:val="single" w:color="000000" w:sz="7" w:space="0"/>
              <w:bottom w:val="single" w:color="000000" w:sz="7" w:space="0"/>
              <w:right w:val="single" w:color="000000" w:sz="7" w:space="0"/>
            </w:tcBorders>
          </w:tcPr>
          <w:p w:rsidRPr="00C26A42" w:rsidR="004B4393" w:rsidP="0068422E" w:rsidRDefault="004B4393" w14:paraId="2237B003" w14:textId="77777777">
            <w:pPr>
              <w:spacing w:line="120" w:lineRule="exact"/>
              <w:rPr>
                <w:rFonts w:ascii="Times New Roman" w:hAnsi="Times New Roman"/>
                <w:sz w:val="20"/>
              </w:rPr>
            </w:pPr>
          </w:p>
          <w:p w:rsidRPr="00C26A42" w:rsidR="004B4393" w:rsidP="0068422E" w:rsidRDefault="004B4393" w14:paraId="4D68216E" w14:textId="77777777">
            <w:pPr>
              <w:spacing w:after="58"/>
              <w:rPr>
                <w:rFonts w:ascii="Times New Roman" w:hAnsi="Times New Roman"/>
                <w:sz w:val="20"/>
              </w:rPr>
            </w:pPr>
          </w:p>
        </w:tc>
        <w:tc>
          <w:tcPr>
            <w:tcW w:w="1440" w:type="dxa"/>
            <w:tcBorders>
              <w:top w:val="single" w:color="000000" w:sz="7" w:space="0"/>
              <w:left w:val="single" w:color="000000" w:sz="7" w:space="0"/>
              <w:bottom w:val="single" w:color="000000" w:sz="7" w:space="0"/>
              <w:right w:val="single" w:color="000000" w:sz="7" w:space="0"/>
            </w:tcBorders>
          </w:tcPr>
          <w:p w:rsidRPr="00924958" w:rsidR="004B4393" w:rsidP="0068422E" w:rsidRDefault="004B4393" w14:paraId="2ED75799" w14:textId="77777777">
            <w:pPr>
              <w:rPr>
                <w:sz w:val="12"/>
                <w:szCs w:val="12"/>
              </w:rPr>
            </w:pPr>
          </w:p>
          <w:p w:rsidRPr="00924958" w:rsidR="004B4393" w:rsidP="0068422E" w:rsidRDefault="003347BB" w14:paraId="16484BDF" w14:textId="77777777">
            <w:pPr>
              <w:rPr>
                <w:sz w:val="20"/>
              </w:rPr>
            </w:pPr>
            <w:r>
              <w:rPr>
                <w:sz w:val="20"/>
              </w:rPr>
              <w:t>2</w:t>
            </w:r>
            <w:r w:rsidR="004B4393">
              <w:rPr>
                <w:sz w:val="20"/>
              </w:rPr>
              <w:t>,</w:t>
            </w:r>
            <w:r>
              <w:rPr>
                <w:sz w:val="20"/>
              </w:rPr>
              <w:t>470</w:t>
            </w:r>
          </w:p>
        </w:tc>
      </w:tr>
      <w:bookmarkEnd w:id="4"/>
    </w:tbl>
    <w:p w:rsidR="004B4393" w:rsidP="0068422E" w:rsidRDefault="004B4393" w14:paraId="271D0E95"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F91B2A" w:rsidR="004B4393" w:rsidP="0068422E" w:rsidRDefault="004B4393" w14:paraId="20C53AAE" w14:textId="22EF5D7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bookmarkStart w:name="_Hlk69070196" w:id="5"/>
      <w:r w:rsidRPr="00F91B2A">
        <w:rPr>
          <w:rFonts w:ascii="Times New Roman" w:hAnsi="Times New Roman"/>
          <w:sz w:val="22"/>
          <w:szCs w:val="22"/>
        </w:rPr>
        <w:t>The total estimated annualized</w:t>
      </w:r>
      <w:r w:rsidRPr="00F91B2A" w:rsidR="00245AC3">
        <w:rPr>
          <w:rFonts w:ascii="Times New Roman" w:hAnsi="Times New Roman"/>
          <w:sz w:val="22"/>
          <w:szCs w:val="22"/>
        </w:rPr>
        <w:t xml:space="preserve"> </w:t>
      </w:r>
      <w:r w:rsidRPr="00F91B2A">
        <w:rPr>
          <w:rFonts w:ascii="Times New Roman" w:hAnsi="Times New Roman"/>
          <w:sz w:val="22"/>
          <w:szCs w:val="22"/>
        </w:rPr>
        <w:t xml:space="preserve">hourly burden anticipated for all data collection methods would be approximately </w:t>
      </w:r>
      <w:r w:rsidRPr="00F91B2A" w:rsidR="003347BB">
        <w:rPr>
          <w:rFonts w:ascii="Times New Roman" w:hAnsi="Times New Roman"/>
          <w:sz w:val="22"/>
          <w:szCs w:val="22"/>
        </w:rPr>
        <w:t>2,470</w:t>
      </w:r>
      <w:r w:rsidRPr="00F91B2A">
        <w:rPr>
          <w:rFonts w:ascii="Times New Roman" w:hAnsi="Times New Roman"/>
          <w:sz w:val="22"/>
          <w:szCs w:val="22"/>
        </w:rPr>
        <w:t xml:space="preserve"> hours.  </w:t>
      </w:r>
      <w:r w:rsidRPr="0009379E">
        <w:rPr>
          <w:rFonts w:ascii="Times New Roman" w:hAnsi="Times New Roman"/>
          <w:sz w:val="22"/>
          <w:szCs w:val="22"/>
        </w:rPr>
        <w:t>A total of 7,</w:t>
      </w:r>
      <w:r w:rsidRPr="0009379E" w:rsidR="006E722D">
        <w:rPr>
          <w:rFonts w:ascii="Times New Roman" w:hAnsi="Times New Roman"/>
          <w:sz w:val="22"/>
          <w:szCs w:val="22"/>
        </w:rPr>
        <w:t>41</w:t>
      </w:r>
      <w:r w:rsidRPr="0009379E">
        <w:rPr>
          <w:rFonts w:ascii="Times New Roman" w:hAnsi="Times New Roman"/>
          <w:sz w:val="22"/>
          <w:szCs w:val="22"/>
        </w:rPr>
        <w:t>0 burden hours w</w:t>
      </w:r>
      <w:r w:rsidRPr="0009379E" w:rsidR="00574EBF">
        <w:rPr>
          <w:rFonts w:ascii="Times New Roman" w:hAnsi="Times New Roman"/>
          <w:sz w:val="22"/>
          <w:szCs w:val="22"/>
        </w:rPr>
        <w:t>as</w:t>
      </w:r>
      <w:r w:rsidRPr="0009379E">
        <w:rPr>
          <w:rFonts w:ascii="Times New Roman" w:hAnsi="Times New Roman"/>
          <w:sz w:val="22"/>
          <w:szCs w:val="22"/>
        </w:rPr>
        <w:t xml:space="preserve"> approved under the existing HMTS package covering a three-year period from </w:t>
      </w:r>
      <w:bookmarkStart w:name="_Hlk71552130" w:id="6"/>
      <w:r w:rsidRPr="0009379E" w:rsidR="0009379E">
        <w:rPr>
          <w:rFonts w:ascii="Times New Roman" w:hAnsi="Times New Roman"/>
          <w:sz w:val="22"/>
          <w:szCs w:val="22"/>
        </w:rPr>
        <w:t>August 13, 2018</w:t>
      </w:r>
      <w:r w:rsidRPr="0009379E" w:rsidR="00F91B2A">
        <w:rPr>
          <w:rFonts w:ascii="Times New Roman" w:hAnsi="Times New Roman"/>
          <w:sz w:val="22"/>
          <w:szCs w:val="22"/>
        </w:rPr>
        <w:t xml:space="preserve"> – </w:t>
      </w:r>
      <w:r w:rsidRPr="0009379E" w:rsidR="0009379E">
        <w:rPr>
          <w:rFonts w:ascii="Times New Roman" w:hAnsi="Times New Roman"/>
          <w:sz w:val="22"/>
          <w:szCs w:val="22"/>
        </w:rPr>
        <w:t xml:space="preserve">August </w:t>
      </w:r>
      <w:r w:rsidRPr="0009379E" w:rsidR="00FD14AF">
        <w:rPr>
          <w:rFonts w:ascii="Times New Roman" w:hAnsi="Times New Roman"/>
          <w:sz w:val="22"/>
          <w:szCs w:val="22"/>
        </w:rPr>
        <w:t>31, 20</w:t>
      </w:r>
      <w:r w:rsidRPr="0009379E" w:rsidR="0009379E">
        <w:rPr>
          <w:rFonts w:ascii="Times New Roman" w:hAnsi="Times New Roman"/>
          <w:sz w:val="22"/>
          <w:szCs w:val="22"/>
        </w:rPr>
        <w:t>21</w:t>
      </w:r>
      <w:bookmarkEnd w:id="6"/>
      <w:r w:rsidRPr="0009379E" w:rsidR="00F91B2A">
        <w:rPr>
          <w:rFonts w:ascii="Times New Roman" w:hAnsi="Times New Roman"/>
          <w:sz w:val="22"/>
          <w:szCs w:val="22"/>
        </w:rPr>
        <w:t>.</w:t>
      </w:r>
      <w:r w:rsidRPr="00F91B2A" w:rsidR="00F91B2A">
        <w:rPr>
          <w:rFonts w:ascii="Times New Roman" w:hAnsi="Times New Roman"/>
          <w:sz w:val="22"/>
          <w:szCs w:val="22"/>
        </w:rPr>
        <w:t xml:space="preserve"> </w:t>
      </w:r>
      <w:r w:rsidRPr="00F91B2A" w:rsidR="003347BB">
        <w:rPr>
          <w:rFonts w:ascii="Times New Roman" w:hAnsi="Times New Roman"/>
          <w:sz w:val="22"/>
          <w:szCs w:val="22"/>
        </w:rPr>
        <w:t>Based on our projections, we</w:t>
      </w:r>
      <w:r w:rsidRPr="00F91B2A">
        <w:rPr>
          <w:rFonts w:ascii="Times New Roman" w:hAnsi="Times New Roman"/>
          <w:sz w:val="22"/>
          <w:szCs w:val="22"/>
        </w:rPr>
        <w:t xml:space="preserve"> request </w:t>
      </w:r>
      <w:r w:rsidRPr="00F91B2A" w:rsidR="00712974">
        <w:rPr>
          <w:rFonts w:ascii="Times New Roman" w:hAnsi="Times New Roman"/>
          <w:sz w:val="22"/>
          <w:szCs w:val="22"/>
        </w:rPr>
        <w:t xml:space="preserve">7,410 </w:t>
      </w:r>
      <w:r w:rsidRPr="00F91B2A">
        <w:rPr>
          <w:rFonts w:ascii="Times New Roman" w:hAnsi="Times New Roman"/>
          <w:sz w:val="22"/>
          <w:szCs w:val="22"/>
        </w:rPr>
        <w:t xml:space="preserve">burden hours </w:t>
      </w:r>
      <w:r w:rsidRPr="00F91B2A" w:rsidR="003347BB">
        <w:rPr>
          <w:rFonts w:ascii="Times New Roman" w:hAnsi="Times New Roman"/>
          <w:sz w:val="22"/>
          <w:szCs w:val="22"/>
        </w:rPr>
        <w:t>for this revised</w:t>
      </w:r>
      <w:r w:rsidRPr="00F91B2A">
        <w:rPr>
          <w:rFonts w:ascii="Times New Roman" w:hAnsi="Times New Roman"/>
          <w:sz w:val="22"/>
          <w:szCs w:val="22"/>
        </w:rPr>
        <w:t xml:space="preserve"> HMTS package covering a three-year period</w:t>
      </w:r>
      <w:r w:rsidRPr="00F91B2A" w:rsidR="00712974">
        <w:rPr>
          <w:rFonts w:ascii="Times New Roman" w:hAnsi="Times New Roman"/>
          <w:sz w:val="22"/>
          <w:szCs w:val="22"/>
        </w:rPr>
        <w:t>.</w:t>
      </w:r>
      <w:r w:rsidRPr="00F91B2A">
        <w:rPr>
          <w:rFonts w:ascii="Times New Roman" w:hAnsi="Times New Roman"/>
          <w:sz w:val="22"/>
          <w:szCs w:val="22"/>
        </w:rPr>
        <w:t xml:space="preserve"> </w:t>
      </w:r>
    </w:p>
    <w:bookmarkEnd w:id="5"/>
    <w:p w:rsidRPr="00F91B2A" w:rsidR="004B4393" w:rsidP="0068422E" w:rsidRDefault="004B4393" w14:paraId="4968E2CD"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F91B2A" w:rsidR="004253D8" w:rsidP="0068422E" w:rsidRDefault="004B4393" w14:paraId="57D1B826"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91B2A">
        <w:rPr>
          <w:rFonts w:ascii="Times New Roman" w:hAnsi="Times New Roman"/>
          <w:sz w:val="22"/>
          <w:szCs w:val="22"/>
        </w:rPr>
        <w:lastRenderedPageBreak/>
        <w:t xml:space="preserve">Each National Center or </w:t>
      </w:r>
      <w:r w:rsidRPr="00F91B2A" w:rsidR="003347BB">
        <w:rPr>
          <w:rFonts w:ascii="Times New Roman" w:hAnsi="Times New Roman"/>
          <w:sz w:val="22"/>
          <w:szCs w:val="22"/>
        </w:rPr>
        <w:t xml:space="preserve">National Institute (see page </w:t>
      </w:r>
      <w:r w:rsidRPr="00F91B2A" w:rsidR="00152E4F">
        <w:rPr>
          <w:rFonts w:ascii="Times New Roman" w:hAnsi="Times New Roman"/>
          <w:sz w:val="22"/>
          <w:szCs w:val="22"/>
        </w:rPr>
        <w:t>8</w:t>
      </w:r>
      <w:r w:rsidRPr="00F91B2A" w:rsidR="003347BB">
        <w:rPr>
          <w:rFonts w:ascii="Times New Roman" w:hAnsi="Times New Roman"/>
          <w:sz w:val="22"/>
          <w:szCs w:val="22"/>
        </w:rPr>
        <w:t xml:space="preserve">) </w:t>
      </w:r>
      <w:r w:rsidRPr="00F91B2A">
        <w:rPr>
          <w:rFonts w:ascii="Times New Roman" w:hAnsi="Times New Roman"/>
          <w:sz w:val="22"/>
          <w:szCs w:val="22"/>
        </w:rPr>
        <w:t xml:space="preserve">specializes in a particular health area (e.g., chronic disease prevention, environmental health).  It is assumed that 10 of the </w:t>
      </w:r>
      <w:r w:rsidRPr="00F91B2A" w:rsidR="00152E4F">
        <w:rPr>
          <w:rFonts w:ascii="Times New Roman" w:hAnsi="Times New Roman"/>
          <w:sz w:val="22"/>
          <w:szCs w:val="22"/>
        </w:rPr>
        <w:t>2</w:t>
      </w:r>
      <w:r w:rsidRPr="00F91B2A">
        <w:rPr>
          <w:rFonts w:ascii="Times New Roman" w:hAnsi="Times New Roman"/>
          <w:sz w:val="22"/>
          <w:szCs w:val="22"/>
        </w:rPr>
        <w:t xml:space="preserve">1 would initiate two or three message-testing activities each over the course of a year.    </w:t>
      </w:r>
    </w:p>
    <w:p w:rsidR="00F91B2A" w:rsidP="0068422E" w:rsidRDefault="00F91B2A" w14:paraId="2392764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9738D2" w:rsidP="0068422E" w:rsidRDefault="009738D2" w14:paraId="44D14269"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rsidRDefault="004B4393" w14:paraId="2AED9934"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2D5826">
        <w:rPr>
          <w:rFonts w:ascii="Times New Roman" w:hAnsi="Times New Roman"/>
          <w:b/>
          <w:sz w:val="22"/>
          <w:szCs w:val="22"/>
        </w:rPr>
        <w:t>Table A12B.</w:t>
      </w:r>
      <w:r>
        <w:rPr>
          <w:rFonts w:ascii="Times New Roman" w:hAnsi="Times New Roman"/>
          <w:b/>
          <w:sz w:val="22"/>
          <w:szCs w:val="22"/>
        </w:rPr>
        <w:t xml:space="preserve">       </w:t>
      </w:r>
      <w:r w:rsidRPr="002D5826">
        <w:rPr>
          <w:rFonts w:ascii="Times New Roman" w:hAnsi="Times New Roman"/>
          <w:b/>
          <w:sz w:val="22"/>
          <w:szCs w:val="22"/>
        </w:rPr>
        <w:t>Estimated Annual</w:t>
      </w:r>
      <w:r>
        <w:rPr>
          <w:rFonts w:ascii="Times New Roman" w:hAnsi="Times New Roman"/>
          <w:b/>
          <w:sz w:val="22"/>
          <w:szCs w:val="22"/>
        </w:rPr>
        <w:t>ized Burden</w:t>
      </w:r>
      <w:r w:rsidRPr="002D5826">
        <w:rPr>
          <w:rFonts w:ascii="Times New Roman" w:hAnsi="Times New Roman"/>
          <w:b/>
          <w:sz w:val="22"/>
          <w:szCs w:val="22"/>
        </w:rPr>
        <w:t xml:space="preserve"> Cost</w:t>
      </w:r>
      <w:r>
        <w:rPr>
          <w:rFonts w:ascii="Times New Roman" w:hAnsi="Times New Roman"/>
          <w:b/>
          <w:sz w:val="22"/>
          <w:szCs w:val="22"/>
        </w:rPr>
        <w:t>s</w:t>
      </w:r>
      <w:r w:rsidRPr="002D5826">
        <w:rPr>
          <w:rFonts w:ascii="Times New Roman" w:hAnsi="Times New Roman"/>
          <w:b/>
          <w:sz w:val="22"/>
          <w:szCs w:val="22"/>
        </w:rPr>
        <w:t xml:space="preserve"> </w:t>
      </w:r>
    </w:p>
    <w:p w:rsidRPr="002D5826" w:rsidR="004B4393" w:rsidP="0068422E" w:rsidRDefault="004B4393" w14:paraId="781B184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tbl>
      <w:tblPr>
        <w:tblW w:w="9120" w:type="dxa"/>
        <w:jc w:val="center"/>
        <w:tblLayout w:type="fixed"/>
        <w:tblCellMar>
          <w:left w:w="122" w:type="dxa"/>
          <w:right w:w="122" w:type="dxa"/>
        </w:tblCellMar>
        <w:tblLook w:val="0000" w:firstRow="0" w:lastRow="0" w:firstColumn="0" w:lastColumn="0" w:noHBand="0" w:noVBand="0"/>
      </w:tblPr>
      <w:tblGrid>
        <w:gridCol w:w="2280"/>
        <w:gridCol w:w="1320"/>
        <w:gridCol w:w="1320"/>
        <w:gridCol w:w="1200"/>
        <w:gridCol w:w="840"/>
        <w:gridCol w:w="840"/>
        <w:gridCol w:w="1320"/>
      </w:tblGrid>
      <w:tr w:rsidRPr="008B1849" w:rsidR="004B4393" w:rsidTr="00AC513B" w14:paraId="71519055" w14:textId="77777777">
        <w:trPr>
          <w:jc w:val="center"/>
        </w:trPr>
        <w:tc>
          <w:tcPr>
            <w:tcW w:w="2280" w:type="dxa"/>
            <w:tcBorders>
              <w:top w:val="single" w:color="000000" w:sz="8" w:space="0"/>
              <w:left w:val="single" w:color="000000" w:sz="8" w:space="0"/>
              <w:bottom w:val="single" w:color="000000" w:sz="8" w:space="0"/>
              <w:right w:val="single" w:color="000000" w:sz="8" w:space="0"/>
            </w:tcBorders>
            <w:shd w:val="clear" w:color="auto" w:fill="FFFFFF"/>
          </w:tcPr>
          <w:p w:rsidRPr="00B3517B" w:rsidR="004B4393" w:rsidP="0068422E" w:rsidRDefault="004B4393" w14:paraId="42808649" w14:textId="77777777">
            <w:pPr>
              <w:spacing w:line="19" w:lineRule="exact"/>
              <w:rPr>
                <w:rFonts w:ascii="Times New Roman" w:hAnsi="Times New Roman"/>
                <w:i/>
                <w:sz w:val="20"/>
              </w:rPr>
            </w:pPr>
          </w:p>
          <w:p w:rsidR="004B4393" w:rsidP="0068422E" w:rsidRDefault="004B4393" w14:paraId="57AC7476"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0"/>
              </w:rPr>
            </w:pPr>
          </w:p>
          <w:p w:rsidRPr="00B3517B" w:rsidR="004B4393" w:rsidP="0068422E" w:rsidRDefault="004B4393" w14:paraId="0DFCB9D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0"/>
              </w:rPr>
            </w:pPr>
            <w:r w:rsidRPr="00B3517B">
              <w:rPr>
                <w:rFonts w:ascii="Times New Roman" w:hAnsi="Times New Roman"/>
                <w:i/>
                <w:sz w:val="20"/>
              </w:rPr>
              <w:t>Data</w:t>
            </w:r>
          </w:p>
          <w:p w:rsidRPr="00B3517B" w:rsidR="004B4393" w:rsidP="0068422E" w:rsidRDefault="004B4393" w14:paraId="337176C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0"/>
              </w:rPr>
            </w:pPr>
            <w:r w:rsidRPr="00B3517B">
              <w:rPr>
                <w:rFonts w:ascii="Times New Roman" w:hAnsi="Times New Roman"/>
                <w:i/>
                <w:sz w:val="20"/>
              </w:rPr>
              <w:t>Collection</w:t>
            </w:r>
            <w:r>
              <w:rPr>
                <w:rFonts w:ascii="Times New Roman" w:hAnsi="Times New Roman"/>
                <w:i/>
                <w:sz w:val="20"/>
              </w:rPr>
              <w:t xml:space="preserve"> Method</w:t>
            </w:r>
            <w:r w:rsidR="00426173">
              <w:rPr>
                <w:rFonts w:ascii="Times New Roman" w:hAnsi="Times New Roman"/>
                <w:i/>
                <w:sz w:val="20"/>
              </w:rPr>
              <w:t>s</w:t>
            </w:r>
          </w:p>
        </w:tc>
        <w:tc>
          <w:tcPr>
            <w:tcW w:w="1320" w:type="dxa"/>
            <w:tcBorders>
              <w:top w:val="single" w:color="000000" w:sz="8" w:space="0"/>
              <w:left w:val="single" w:color="000000" w:sz="8" w:space="0"/>
              <w:bottom w:val="single" w:color="000000" w:sz="8" w:space="0"/>
              <w:right w:val="single" w:color="000000" w:sz="8" w:space="0"/>
            </w:tcBorders>
            <w:shd w:val="clear" w:color="auto" w:fill="FFFFFF"/>
          </w:tcPr>
          <w:p w:rsidRPr="00B3517B" w:rsidR="004B4393" w:rsidP="0068422E" w:rsidRDefault="004B4393" w14:paraId="22E72ADB" w14:textId="77777777">
            <w:pPr>
              <w:spacing w:line="19" w:lineRule="exact"/>
              <w:rPr>
                <w:rFonts w:ascii="Times New Roman" w:hAnsi="Times New Roman"/>
                <w:i/>
                <w:sz w:val="20"/>
              </w:rPr>
            </w:pPr>
          </w:p>
          <w:p w:rsidRPr="00B3517B" w:rsidR="004B4393" w:rsidP="0068422E" w:rsidRDefault="004B4393" w14:paraId="1963D69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0"/>
              </w:rPr>
            </w:pPr>
            <w:r w:rsidRPr="00B3517B">
              <w:rPr>
                <w:rFonts w:ascii="Times New Roman" w:hAnsi="Times New Roman"/>
                <w:i/>
                <w:sz w:val="20"/>
              </w:rPr>
              <w:t>N</w:t>
            </w:r>
            <w:r>
              <w:rPr>
                <w:rFonts w:ascii="Times New Roman" w:hAnsi="Times New Roman"/>
                <w:i/>
                <w:sz w:val="20"/>
              </w:rPr>
              <w:t>o.</w:t>
            </w:r>
            <w:r w:rsidRPr="00B3517B">
              <w:rPr>
                <w:rFonts w:ascii="Times New Roman" w:hAnsi="Times New Roman"/>
                <w:i/>
                <w:sz w:val="20"/>
              </w:rPr>
              <w:t xml:space="preserve"> of Respondents</w:t>
            </w:r>
            <w:r>
              <w:rPr>
                <w:rFonts w:ascii="Times New Roman" w:hAnsi="Times New Roman"/>
                <w:i/>
                <w:sz w:val="20"/>
              </w:rPr>
              <w:t xml:space="preserve"> per Method</w:t>
            </w:r>
          </w:p>
        </w:tc>
        <w:tc>
          <w:tcPr>
            <w:tcW w:w="1320" w:type="dxa"/>
            <w:tcBorders>
              <w:top w:val="single" w:color="000000" w:sz="8" w:space="0"/>
              <w:left w:val="single" w:color="000000" w:sz="8" w:space="0"/>
              <w:bottom w:val="single" w:color="000000" w:sz="8" w:space="0"/>
              <w:right w:val="single" w:color="000000" w:sz="8" w:space="0"/>
            </w:tcBorders>
            <w:shd w:val="clear" w:color="auto" w:fill="FFFFFF"/>
          </w:tcPr>
          <w:p w:rsidRPr="00C26A42" w:rsidR="004B4393" w:rsidP="0068422E" w:rsidRDefault="004B4393" w14:paraId="262D5B0B" w14:textId="77777777">
            <w:pPr>
              <w:spacing w:line="120" w:lineRule="exact"/>
              <w:rPr>
                <w:rFonts w:ascii="Times New Roman" w:hAnsi="Times New Roman"/>
                <w:i/>
                <w:sz w:val="20"/>
              </w:rPr>
            </w:pPr>
          </w:p>
          <w:p w:rsidR="0086551F" w:rsidP="0068422E" w:rsidRDefault="0086551F" w14:paraId="350A8133" w14:textId="77777777">
            <w:pPr>
              <w:spacing w:after="58"/>
              <w:rPr>
                <w:rFonts w:ascii="Times New Roman" w:hAnsi="Times New Roman"/>
                <w:i/>
                <w:sz w:val="20"/>
              </w:rPr>
            </w:pPr>
            <w:r>
              <w:rPr>
                <w:rFonts w:ascii="Times New Roman" w:hAnsi="Times New Roman"/>
                <w:i/>
                <w:sz w:val="20"/>
              </w:rPr>
              <w:t>No. Responses per</w:t>
            </w:r>
          </w:p>
          <w:p w:rsidRPr="00C26A42" w:rsidR="004B4393" w:rsidP="0068422E" w:rsidRDefault="004B4393" w14:paraId="6F0B50F3" w14:textId="77777777">
            <w:pPr>
              <w:spacing w:after="58"/>
              <w:rPr>
                <w:rFonts w:ascii="Times New Roman" w:hAnsi="Times New Roman"/>
                <w:i/>
                <w:sz w:val="20"/>
              </w:rPr>
            </w:pPr>
            <w:r w:rsidRPr="00C26A42">
              <w:rPr>
                <w:rFonts w:ascii="Times New Roman" w:hAnsi="Times New Roman"/>
                <w:i/>
                <w:sz w:val="20"/>
              </w:rPr>
              <w:t>Respondent</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Pr>
          <w:p w:rsidRPr="00B3517B" w:rsidR="004B4393" w:rsidP="0068422E" w:rsidRDefault="004B4393" w14:paraId="202D68CD" w14:textId="77777777">
            <w:pPr>
              <w:spacing w:line="19" w:lineRule="exact"/>
              <w:rPr>
                <w:rFonts w:ascii="Times New Roman" w:hAnsi="Times New Roman"/>
                <w:i/>
                <w:sz w:val="20"/>
              </w:rPr>
            </w:pPr>
          </w:p>
          <w:p w:rsidR="004B4393" w:rsidP="0068422E" w:rsidRDefault="004B4393" w14:paraId="091A30F4"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0"/>
              </w:rPr>
            </w:pPr>
            <w:r>
              <w:rPr>
                <w:rFonts w:ascii="Times New Roman" w:hAnsi="Times New Roman"/>
                <w:i/>
                <w:sz w:val="20"/>
              </w:rPr>
              <w:t>Average</w:t>
            </w:r>
          </w:p>
          <w:p w:rsidRPr="00B3517B" w:rsidR="004B4393" w:rsidP="0068422E" w:rsidRDefault="004B4393" w14:paraId="4CD4C81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0"/>
              </w:rPr>
            </w:pPr>
            <w:r>
              <w:rPr>
                <w:rFonts w:ascii="Times New Roman" w:hAnsi="Times New Roman"/>
                <w:i/>
                <w:sz w:val="20"/>
              </w:rPr>
              <w:t>Burden per Response</w:t>
            </w:r>
          </w:p>
        </w:tc>
        <w:tc>
          <w:tcPr>
            <w:tcW w:w="840" w:type="dxa"/>
            <w:tcBorders>
              <w:top w:val="single" w:color="000000" w:sz="8" w:space="0"/>
              <w:left w:val="single" w:color="000000" w:sz="8" w:space="0"/>
              <w:bottom w:val="single" w:color="000000" w:sz="8" w:space="0"/>
              <w:right w:val="single" w:color="000000" w:sz="8" w:space="0"/>
            </w:tcBorders>
            <w:shd w:val="clear" w:color="auto" w:fill="FFFFFF"/>
          </w:tcPr>
          <w:p w:rsidR="004B4393" w:rsidP="0068422E" w:rsidRDefault="004B4393" w14:paraId="1A0E320B" w14:textId="77777777">
            <w:pPr>
              <w:spacing w:line="19" w:lineRule="exact"/>
              <w:rPr>
                <w:rFonts w:ascii="Times New Roman" w:hAnsi="Times New Roman"/>
                <w:i/>
                <w:sz w:val="20"/>
              </w:rPr>
            </w:pPr>
          </w:p>
          <w:p w:rsidRPr="004C0F4B" w:rsidR="004B4393" w:rsidP="0068422E" w:rsidRDefault="004B4393" w14:paraId="2DA28F3D" w14:textId="77777777">
            <w:pPr>
              <w:rPr>
                <w:rFonts w:ascii="Times New Roman" w:hAnsi="Times New Roman"/>
                <w:sz w:val="20"/>
              </w:rPr>
            </w:pPr>
            <w:r>
              <w:rPr>
                <w:rFonts w:ascii="Times New Roman" w:hAnsi="Times New Roman"/>
                <w:i/>
                <w:sz w:val="20"/>
              </w:rPr>
              <w:t xml:space="preserve">Total </w:t>
            </w:r>
            <w:r w:rsidRPr="00C26A42">
              <w:rPr>
                <w:rFonts w:ascii="Times New Roman" w:hAnsi="Times New Roman"/>
                <w:i/>
                <w:sz w:val="20"/>
              </w:rPr>
              <w:t>Burden  Hours</w:t>
            </w:r>
          </w:p>
        </w:tc>
        <w:tc>
          <w:tcPr>
            <w:tcW w:w="840" w:type="dxa"/>
            <w:tcBorders>
              <w:top w:val="single" w:color="000000" w:sz="8" w:space="0"/>
              <w:left w:val="single" w:color="000000" w:sz="8" w:space="0"/>
              <w:bottom w:val="single" w:color="000000" w:sz="8" w:space="0"/>
              <w:right w:val="single" w:color="000000" w:sz="8" w:space="0"/>
            </w:tcBorders>
            <w:shd w:val="clear" w:color="auto" w:fill="FFFFFF"/>
          </w:tcPr>
          <w:p w:rsidRPr="00B3517B" w:rsidR="004B4393" w:rsidP="0068422E" w:rsidRDefault="004B4393" w14:paraId="505DD653" w14:textId="77777777">
            <w:pPr>
              <w:spacing w:line="19" w:lineRule="exact"/>
              <w:rPr>
                <w:rFonts w:ascii="Times New Roman" w:hAnsi="Times New Roman"/>
                <w:i/>
                <w:sz w:val="20"/>
              </w:rPr>
            </w:pPr>
          </w:p>
          <w:p w:rsidRPr="00B3517B" w:rsidR="004B4393" w:rsidP="0068422E" w:rsidRDefault="004B4393" w14:paraId="3AF40CB6"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0"/>
              </w:rPr>
            </w:pPr>
            <w:r>
              <w:rPr>
                <w:rFonts w:ascii="Times New Roman" w:hAnsi="Times New Roman"/>
                <w:i/>
                <w:sz w:val="20"/>
              </w:rPr>
              <w:t>Hourly Wage Rage</w:t>
            </w:r>
          </w:p>
        </w:tc>
        <w:tc>
          <w:tcPr>
            <w:tcW w:w="1320" w:type="dxa"/>
            <w:tcBorders>
              <w:top w:val="single" w:color="000000" w:sz="8" w:space="0"/>
              <w:left w:val="single" w:color="000000" w:sz="8" w:space="0"/>
              <w:bottom w:val="single" w:color="000000" w:sz="8" w:space="0"/>
              <w:right w:val="single" w:color="000000" w:sz="8" w:space="0"/>
            </w:tcBorders>
            <w:shd w:val="clear" w:color="auto" w:fill="FFFFFF"/>
          </w:tcPr>
          <w:p w:rsidR="004B4393" w:rsidP="0068422E" w:rsidRDefault="004B4393" w14:paraId="3F9884CC" w14:textId="77777777">
            <w:pPr>
              <w:spacing w:line="19" w:lineRule="exact"/>
              <w:rPr>
                <w:rFonts w:ascii="Times New Roman" w:hAnsi="Times New Roman"/>
                <w:i/>
                <w:sz w:val="20"/>
              </w:rPr>
            </w:pPr>
          </w:p>
          <w:p w:rsidRPr="009A0CAD" w:rsidR="004B4393" w:rsidP="0068422E" w:rsidRDefault="004B4393" w14:paraId="592B686A" w14:textId="77777777">
            <w:pPr>
              <w:rPr>
                <w:rFonts w:ascii="Times New Roman" w:hAnsi="Times New Roman"/>
                <w:i/>
                <w:sz w:val="20"/>
              </w:rPr>
            </w:pPr>
            <w:r>
              <w:rPr>
                <w:rFonts w:ascii="Times New Roman" w:hAnsi="Times New Roman"/>
                <w:i/>
                <w:sz w:val="20"/>
              </w:rPr>
              <w:t>Total Respondents Costs</w:t>
            </w:r>
          </w:p>
        </w:tc>
      </w:tr>
      <w:tr w:rsidRPr="008B1849" w:rsidR="004B4393" w:rsidTr="00AC513B" w14:paraId="75E1C44F" w14:textId="77777777">
        <w:trPr>
          <w:trHeight w:val="385"/>
          <w:jc w:val="center"/>
        </w:trPr>
        <w:tc>
          <w:tcPr>
            <w:tcW w:w="2280" w:type="dxa"/>
            <w:tcBorders>
              <w:top w:val="single" w:color="000000" w:sz="8" w:space="0"/>
              <w:left w:val="single" w:color="000000" w:sz="7" w:space="0"/>
              <w:bottom w:val="single" w:color="FFFFFF" w:sz="6" w:space="0"/>
              <w:right w:val="single" w:color="FFFFFF" w:sz="6" w:space="0"/>
            </w:tcBorders>
          </w:tcPr>
          <w:p w:rsidRPr="00B3517B" w:rsidR="004B4393" w:rsidP="0068422E" w:rsidRDefault="00426173" w14:paraId="611B074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sz w:val="20"/>
              </w:rPr>
              <w:t>Central Location Intercept Interviews, Telephone Interviews, Individual In-depth Interview (Cognitive Interviews) Focus Group Screenings, Focus Groups, Online Surveys</w:t>
            </w:r>
          </w:p>
        </w:tc>
        <w:tc>
          <w:tcPr>
            <w:tcW w:w="1320" w:type="dxa"/>
            <w:tcBorders>
              <w:top w:val="single" w:color="000000" w:sz="8" w:space="0"/>
              <w:left w:val="single" w:color="000000" w:sz="7" w:space="0"/>
              <w:bottom w:val="single" w:color="FFFFFF" w:sz="6" w:space="0"/>
              <w:right w:val="single" w:color="FFFFFF" w:sz="6" w:space="0"/>
            </w:tcBorders>
          </w:tcPr>
          <w:p w:rsidRPr="00C26A42" w:rsidR="004B4393" w:rsidP="0068422E" w:rsidRDefault="00426173" w14:paraId="64F45A68" w14:textId="77777777">
            <w:pPr>
              <w:spacing w:after="58"/>
              <w:rPr>
                <w:rFonts w:ascii="Times New Roman" w:hAnsi="Times New Roman"/>
                <w:sz w:val="20"/>
              </w:rPr>
            </w:pPr>
            <w:r>
              <w:rPr>
                <w:rFonts w:ascii="Times New Roman" w:hAnsi="Times New Roman"/>
                <w:sz w:val="20"/>
              </w:rPr>
              <w:t>18, 525</w:t>
            </w:r>
          </w:p>
        </w:tc>
        <w:tc>
          <w:tcPr>
            <w:tcW w:w="1320" w:type="dxa"/>
            <w:tcBorders>
              <w:top w:val="single" w:color="000000" w:sz="8" w:space="0"/>
              <w:left w:val="single" w:color="000000" w:sz="7" w:space="0"/>
              <w:bottom w:val="single" w:color="FFFFFF" w:sz="6" w:space="0"/>
              <w:right w:val="single" w:color="000000" w:sz="7" w:space="0"/>
            </w:tcBorders>
          </w:tcPr>
          <w:p w:rsidRPr="00C26A42" w:rsidR="004B4393" w:rsidP="0068422E" w:rsidRDefault="00426173" w14:paraId="0D3D3987" w14:textId="77777777">
            <w:pPr>
              <w:spacing w:after="58"/>
              <w:rPr>
                <w:rFonts w:ascii="Times New Roman" w:hAnsi="Times New Roman"/>
                <w:sz w:val="20"/>
              </w:rPr>
            </w:pPr>
            <w:r>
              <w:rPr>
                <w:rFonts w:ascii="Times New Roman" w:hAnsi="Times New Roman"/>
                <w:sz w:val="20"/>
              </w:rPr>
              <w:t>1</w:t>
            </w:r>
          </w:p>
        </w:tc>
        <w:tc>
          <w:tcPr>
            <w:tcW w:w="1200" w:type="dxa"/>
            <w:tcBorders>
              <w:top w:val="single" w:color="000000" w:sz="8" w:space="0"/>
              <w:left w:val="single" w:color="000000" w:sz="7" w:space="0"/>
              <w:bottom w:val="single" w:color="FFFFFF" w:sz="6" w:space="0"/>
              <w:right w:val="single" w:color="000000" w:sz="7" w:space="0"/>
            </w:tcBorders>
          </w:tcPr>
          <w:p w:rsidRPr="00C26A42" w:rsidR="004B4393" w:rsidP="0068422E" w:rsidRDefault="00426173" w14:paraId="00D4992F" w14:textId="77777777">
            <w:pPr>
              <w:spacing w:after="58"/>
              <w:rPr>
                <w:rFonts w:ascii="Times New Roman" w:hAnsi="Times New Roman"/>
                <w:sz w:val="20"/>
              </w:rPr>
            </w:pPr>
            <w:r>
              <w:rPr>
                <w:rFonts w:ascii="Times New Roman" w:hAnsi="Times New Roman"/>
                <w:sz w:val="20"/>
              </w:rPr>
              <w:t>8/60</w:t>
            </w:r>
          </w:p>
        </w:tc>
        <w:tc>
          <w:tcPr>
            <w:tcW w:w="840" w:type="dxa"/>
            <w:tcBorders>
              <w:top w:val="single" w:color="000000" w:sz="8" w:space="0"/>
              <w:left w:val="single" w:color="000000" w:sz="7" w:space="0"/>
              <w:bottom w:val="single" w:color="FFFFFF" w:sz="6" w:space="0"/>
              <w:right w:val="single" w:color="000000" w:sz="7" w:space="0"/>
            </w:tcBorders>
          </w:tcPr>
          <w:p w:rsidRPr="00F472DC" w:rsidR="004B4393" w:rsidP="0068422E" w:rsidRDefault="00426173" w14:paraId="770548D5" w14:textId="77777777">
            <w:pPr>
              <w:rPr>
                <w:sz w:val="20"/>
              </w:rPr>
            </w:pPr>
            <w:r>
              <w:rPr>
                <w:sz w:val="20"/>
              </w:rPr>
              <w:t>2, 470</w:t>
            </w:r>
          </w:p>
        </w:tc>
        <w:tc>
          <w:tcPr>
            <w:tcW w:w="840" w:type="dxa"/>
            <w:tcBorders>
              <w:top w:val="single" w:color="000000" w:sz="8" w:space="0"/>
              <w:left w:val="single" w:color="000000" w:sz="7" w:space="0"/>
              <w:bottom w:val="single" w:color="FFFFFF" w:sz="6" w:space="0"/>
              <w:right w:val="single" w:color="000000" w:sz="7" w:space="0"/>
            </w:tcBorders>
          </w:tcPr>
          <w:p w:rsidRPr="00CD76F7" w:rsidR="004B4393" w:rsidP="0068422E" w:rsidRDefault="00334C6B" w14:paraId="20C80C64" w14:textId="77777777">
            <w:pPr>
              <w:rPr>
                <w:sz w:val="20"/>
              </w:rPr>
            </w:pPr>
            <w:r w:rsidRPr="00CD76F7">
              <w:rPr>
                <w:sz w:val="20"/>
              </w:rPr>
              <w:t>$</w:t>
            </w:r>
            <w:r w:rsidRPr="00CD76F7" w:rsidR="00F41752">
              <w:rPr>
                <w:sz w:val="20"/>
              </w:rPr>
              <w:t>2</w:t>
            </w:r>
            <w:r w:rsidRPr="00CD76F7" w:rsidR="00257A00">
              <w:rPr>
                <w:sz w:val="20"/>
              </w:rPr>
              <w:t>2.33</w:t>
            </w:r>
          </w:p>
        </w:tc>
        <w:tc>
          <w:tcPr>
            <w:tcW w:w="1320" w:type="dxa"/>
            <w:tcBorders>
              <w:top w:val="single" w:color="000000" w:sz="8" w:space="0"/>
              <w:left w:val="single" w:color="000000" w:sz="7" w:space="0"/>
              <w:bottom w:val="single" w:color="FFFFFF" w:sz="6" w:space="0"/>
              <w:right w:val="single" w:color="000000" w:sz="7" w:space="0"/>
            </w:tcBorders>
          </w:tcPr>
          <w:p w:rsidRPr="00CD76F7" w:rsidR="004B4393" w:rsidP="0068422E" w:rsidRDefault="00334C6B" w14:paraId="359024D5" w14:textId="77777777">
            <w:pPr>
              <w:rPr>
                <w:sz w:val="20"/>
              </w:rPr>
            </w:pPr>
            <w:r w:rsidRPr="00CD76F7">
              <w:rPr>
                <w:sz w:val="20"/>
              </w:rPr>
              <w:t>$</w:t>
            </w:r>
            <w:r w:rsidRPr="00CD76F7" w:rsidR="00F41752">
              <w:rPr>
                <w:sz w:val="20"/>
              </w:rPr>
              <w:t>5</w:t>
            </w:r>
            <w:r w:rsidRPr="00CD76F7" w:rsidR="00F91B2A">
              <w:rPr>
                <w:sz w:val="20"/>
              </w:rPr>
              <w:t>5,155.10</w:t>
            </w:r>
          </w:p>
        </w:tc>
      </w:tr>
      <w:tr w:rsidRPr="008B1849" w:rsidR="004B4393" w:rsidTr="00AC513B" w14:paraId="31A0FC0C" w14:textId="77777777">
        <w:trPr>
          <w:trHeight w:val="523"/>
          <w:jc w:val="center"/>
        </w:trPr>
        <w:tc>
          <w:tcPr>
            <w:tcW w:w="2280" w:type="dxa"/>
            <w:tcBorders>
              <w:top w:val="single" w:color="000000" w:sz="7" w:space="0"/>
              <w:left w:val="single" w:color="000000" w:sz="7" w:space="0"/>
              <w:bottom w:val="single" w:color="000000" w:sz="7" w:space="0"/>
              <w:right w:val="single" w:color="FFFFFF" w:sz="6" w:space="0"/>
            </w:tcBorders>
          </w:tcPr>
          <w:p w:rsidRPr="009A0CAD" w:rsidR="004B4393" w:rsidP="0068422E" w:rsidRDefault="004B4393" w14:paraId="71350F18"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2"/>
                <w:szCs w:val="12"/>
              </w:rPr>
            </w:pPr>
          </w:p>
          <w:p w:rsidRPr="00B3517B" w:rsidR="004B4393" w:rsidP="0068422E" w:rsidRDefault="004B4393" w14:paraId="1B910A6D"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sidRPr="00B3517B">
              <w:rPr>
                <w:rFonts w:ascii="Times New Roman" w:hAnsi="Times New Roman"/>
                <w:sz w:val="20"/>
              </w:rPr>
              <w:t>Total</w:t>
            </w:r>
          </w:p>
        </w:tc>
        <w:tc>
          <w:tcPr>
            <w:tcW w:w="1320" w:type="dxa"/>
            <w:tcBorders>
              <w:top w:val="single" w:color="000000" w:sz="7" w:space="0"/>
              <w:left w:val="single" w:color="000000" w:sz="7" w:space="0"/>
              <w:bottom w:val="single" w:color="000000" w:sz="7" w:space="0"/>
              <w:right w:val="single" w:color="FFFFFF" w:sz="6" w:space="0"/>
            </w:tcBorders>
          </w:tcPr>
          <w:p w:rsidRPr="00C26A42" w:rsidR="004B4393" w:rsidP="0068422E" w:rsidRDefault="004B4393" w14:paraId="2649B112" w14:textId="77777777">
            <w:pPr>
              <w:spacing w:line="120" w:lineRule="exact"/>
              <w:rPr>
                <w:rFonts w:ascii="Times New Roman" w:hAnsi="Times New Roman"/>
                <w:sz w:val="20"/>
              </w:rPr>
            </w:pPr>
          </w:p>
          <w:p w:rsidRPr="00C26A42" w:rsidR="004B4393" w:rsidP="0068422E" w:rsidRDefault="00426173" w14:paraId="741ABF3A" w14:textId="77777777">
            <w:pPr>
              <w:spacing w:after="58"/>
              <w:rPr>
                <w:rFonts w:ascii="Times New Roman" w:hAnsi="Times New Roman"/>
                <w:sz w:val="20"/>
              </w:rPr>
            </w:pPr>
            <w:r>
              <w:rPr>
                <w:rFonts w:ascii="Times New Roman" w:hAnsi="Times New Roman"/>
                <w:sz w:val="20"/>
              </w:rPr>
              <w:t>18, 525</w:t>
            </w:r>
          </w:p>
        </w:tc>
        <w:tc>
          <w:tcPr>
            <w:tcW w:w="1320" w:type="dxa"/>
            <w:tcBorders>
              <w:top w:val="single" w:color="000000" w:sz="7" w:space="0"/>
              <w:left w:val="single" w:color="000000" w:sz="7" w:space="0"/>
              <w:bottom w:val="single" w:color="000000" w:sz="7" w:space="0"/>
              <w:right w:val="single" w:color="000000" w:sz="7" w:space="0"/>
            </w:tcBorders>
          </w:tcPr>
          <w:p w:rsidRPr="00B3517B" w:rsidR="004B4393" w:rsidP="0068422E" w:rsidRDefault="004B4393" w14:paraId="4126FD0C" w14:textId="77777777">
            <w:pPr>
              <w:spacing w:line="19" w:lineRule="exact"/>
              <w:rPr>
                <w:rFonts w:ascii="Times New Roman" w:hAnsi="Times New Roman"/>
                <w:sz w:val="20"/>
              </w:rPr>
            </w:pPr>
          </w:p>
        </w:tc>
        <w:tc>
          <w:tcPr>
            <w:tcW w:w="1200" w:type="dxa"/>
            <w:tcBorders>
              <w:top w:val="single" w:color="000000" w:sz="7" w:space="0"/>
              <w:left w:val="single" w:color="000000" w:sz="7" w:space="0"/>
              <w:bottom w:val="single" w:color="000000" w:sz="7" w:space="0"/>
              <w:right w:val="single" w:color="000000" w:sz="7" w:space="0"/>
            </w:tcBorders>
          </w:tcPr>
          <w:p w:rsidRPr="00C26A42" w:rsidR="004B4393" w:rsidP="0068422E" w:rsidRDefault="004B4393" w14:paraId="0FC67B45" w14:textId="77777777">
            <w:pPr>
              <w:spacing w:line="120" w:lineRule="exact"/>
              <w:rPr>
                <w:rFonts w:ascii="Times New Roman" w:hAnsi="Times New Roman"/>
                <w:sz w:val="20"/>
              </w:rPr>
            </w:pPr>
          </w:p>
          <w:p w:rsidRPr="00C26A42" w:rsidR="004B4393" w:rsidP="0068422E" w:rsidRDefault="004B4393" w14:paraId="4C73CB99" w14:textId="77777777">
            <w:pPr>
              <w:spacing w:after="58"/>
              <w:rPr>
                <w:rFonts w:ascii="Times New Roman" w:hAnsi="Times New Roman"/>
                <w:sz w:val="20"/>
              </w:rPr>
            </w:pPr>
          </w:p>
        </w:tc>
        <w:tc>
          <w:tcPr>
            <w:tcW w:w="840" w:type="dxa"/>
            <w:tcBorders>
              <w:top w:val="single" w:color="000000" w:sz="7" w:space="0"/>
              <w:left w:val="single" w:color="000000" w:sz="7" w:space="0"/>
              <w:bottom w:val="single" w:color="000000" w:sz="7" w:space="0"/>
              <w:right w:val="single" w:color="000000" w:sz="7" w:space="0"/>
            </w:tcBorders>
          </w:tcPr>
          <w:p w:rsidRPr="00924958" w:rsidR="004B4393" w:rsidP="0068422E" w:rsidRDefault="004B4393" w14:paraId="11569C01" w14:textId="77777777">
            <w:pPr>
              <w:rPr>
                <w:sz w:val="12"/>
                <w:szCs w:val="12"/>
              </w:rPr>
            </w:pPr>
          </w:p>
          <w:p w:rsidRPr="00924958" w:rsidR="004B4393" w:rsidP="0068422E" w:rsidRDefault="004B4393" w14:paraId="42AB89A9" w14:textId="77777777">
            <w:pPr>
              <w:rPr>
                <w:sz w:val="20"/>
              </w:rPr>
            </w:pPr>
          </w:p>
        </w:tc>
        <w:tc>
          <w:tcPr>
            <w:tcW w:w="840" w:type="dxa"/>
            <w:tcBorders>
              <w:top w:val="single" w:color="000000" w:sz="7" w:space="0"/>
              <w:left w:val="single" w:color="000000" w:sz="7" w:space="0"/>
              <w:bottom w:val="single" w:color="000000" w:sz="7" w:space="0"/>
              <w:right w:val="single" w:color="000000" w:sz="7" w:space="0"/>
            </w:tcBorders>
          </w:tcPr>
          <w:p w:rsidRPr="00CD76F7" w:rsidR="004B4393" w:rsidP="0068422E" w:rsidRDefault="004B4393" w14:paraId="49CCF42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sz w:val="20"/>
              </w:rPr>
            </w:pPr>
          </w:p>
        </w:tc>
        <w:tc>
          <w:tcPr>
            <w:tcW w:w="1320" w:type="dxa"/>
            <w:tcBorders>
              <w:top w:val="single" w:color="000000" w:sz="7" w:space="0"/>
              <w:left w:val="single" w:color="000000" w:sz="7" w:space="0"/>
              <w:bottom w:val="single" w:color="000000" w:sz="7" w:space="0"/>
              <w:right w:val="single" w:color="000000" w:sz="7" w:space="0"/>
            </w:tcBorders>
          </w:tcPr>
          <w:p w:rsidRPr="00CD76F7" w:rsidR="001A691B" w:rsidP="0068422E" w:rsidRDefault="001A691B" w14:paraId="56C0761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sz w:val="12"/>
                <w:szCs w:val="12"/>
              </w:rPr>
            </w:pPr>
          </w:p>
          <w:p w:rsidRPr="00CD76F7" w:rsidR="004B4393" w:rsidP="0068422E" w:rsidRDefault="00426173" w14:paraId="307FCB24"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sz w:val="20"/>
              </w:rPr>
            </w:pPr>
            <w:r w:rsidRPr="00CD76F7">
              <w:rPr>
                <w:rFonts w:ascii="Times New Roman" w:hAnsi="Times New Roman"/>
                <w:sz w:val="20"/>
              </w:rPr>
              <w:t>$</w:t>
            </w:r>
            <w:r w:rsidRPr="00CD76F7" w:rsidR="00F91B2A">
              <w:rPr>
                <w:rFonts w:ascii="Times New Roman" w:hAnsi="Times New Roman"/>
                <w:sz w:val="20"/>
              </w:rPr>
              <w:t>55,155.10</w:t>
            </w:r>
          </w:p>
        </w:tc>
      </w:tr>
    </w:tbl>
    <w:p w:rsidR="004B4393" w:rsidP="0068422E" w:rsidRDefault="004B4393" w14:paraId="07F21548" w14:textId="77777777">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rPr>
          <w:rFonts w:ascii="Times New Roman" w:hAnsi="Times New Roman"/>
          <w:sz w:val="22"/>
          <w:szCs w:val="22"/>
        </w:rPr>
      </w:pPr>
    </w:p>
    <w:p w:rsidR="006E722D" w:rsidP="0068422E" w:rsidRDefault="004B4393" w14:paraId="6D27121E" w14:textId="77777777">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Because the time required for responding to a survey</w:t>
      </w:r>
      <w:r>
        <w:rPr>
          <w:rFonts w:ascii="Times New Roman" w:hAnsi="Times New Roman"/>
          <w:sz w:val="22"/>
          <w:szCs w:val="22"/>
        </w:rPr>
        <w:t xml:space="preserve"> or interview, and to participate in a focus group</w:t>
      </w:r>
      <w:r w:rsidRPr="002D5826">
        <w:rPr>
          <w:rFonts w:ascii="Times New Roman" w:hAnsi="Times New Roman"/>
          <w:sz w:val="22"/>
          <w:szCs w:val="22"/>
        </w:rPr>
        <w:t xml:space="preserve"> has a monetary value, this table estimates the total annual cost to the respondents for all activities</w:t>
      </w:r>
      <w:r w:rsidR="006E722D">
        <w:rPr>
          <w:rFonts w:ascii="Times New Roman" w:hAnsi="Times New Roman"/>
          <w:sz w:val="22"/>
          <w:szCs w:val="22"/>
        </w:rPr>
        <w:t>.</w:t>
      </w:r>
    </w:p>
    <w:p w:rsidRPr="002D5826" w:rsidR="004B4393" w:rsidP="0068422E" w:rsidRDefault="004B4393" w14:paraId="0EEEF420" w14:textId="77777777">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According to the U.S. Department of Labor</w:t>
      </w:r>
      <w:r>
        <w:rPr>
          <w:rFonts w:ascii="Times New Roman" w:hAnsi="Times New Roman"/>
          <w:sz w:val="22"/>
          <w:szCs w:val="22"/>
        </w:rPr>
        <w:t xml:space="preserve"> (DOL</w:t>
      </w:r>
      <w:r w:rsidRPr="00CD76F7">
        <w:rPr>
          <w:rFonts w:ascii="Times New Roman" w:hAnsi="Times New Roman"/>
          <w:sz w:val="22"/>
          <w:szCs w:val="22"/>
        </w:rPr>
        <w:t xml:space="preserve">) </w:t>
      </w:r>
      <w:r w:rsidRPr="00CD76F7" w:rsidR="00F41752">
        <w:rPr>
          <w:rFonts w:ascii="Times New Roman" w:hAnsi="Times New Roman"/>
          <w:sz w:val="22"/>
          <w:szCs w:val="22"/>
        </w:rPr>
        <w:t>May 201</w:t>
      </w:r>
      <w:r w:rsidRPr="00CD76F7" w:rsidR="00257A00">
        <w:rPr>
          <w:rFonts w:ascii="Times New Roman" w:hAnsi="Times New Roman"/>
          <w:sz w:val="22"/>
          <w:szCs w:val="22"/>
        </w:rPr>
        <w:t>3</w:t>
      </w:r>
      <w:r w:rsidRPr="00CD76F7" w:rsidR="00F41752">
        <w:rPr>
          <w:rFonts w:ascii="Times New Roman" w:hAnsi="Times New Roman"/>
          <w:sz w:val="22"/>
          <w:szCs w:val="22"/>
        </w:rPr>
        <w:t xml:space="preserve"> National Occupational Employment and Wage Estimates </w:t>
      </w:r>
      <w:r w:rsidRPr="00CD76F7">
        <w:rPr>
          <w:rFonts w:ascii="Times New Roman" w:hAnsi="Times New Roman"/>
          <w:sz w:val="22"/>
          <w:szCs w:val="22"/>
        </w:rPr>
        <w:t>the average hourly wage is $</w:t>
      </w:r>
      <w:r w:rsidRPr="00CD76F7" w:rsidR="00E762E2">
        <w:rPr>
          <w:rFonts w:ascii="Times New Roman" w:hAnsi="Times New Roman"/>
          <w:sz w:val="22"/>
          <w:szCs w:val="22"/>
        </w:rPr>
        <w:t>2</w:t>
      </w:r>
      <w:r w:rsidRPr="00CD76F7" w:rsidR="00257A00">
        <w:rPr>
          <w:rFonts w:ascii="Times New Roman" w:hAnsi="Times New Roman"/>
          <w:sz w:val="22"/>
          <w:szCs w:val="22"/>
        </w:rPr>
        <w:t>2.33</w:t>
      </w:r>
      <w:r w:rsidRPr="00CD76F7">
        <w:rPr>
          <w:rFonts w:ascii="Times New Roman" w:hAnsi="Times New Roman"/>
          <w:sz w:val="22"/>
          <w:szCs w:val="22"/>
        </w:rPr>
        <w:t>. Because of the scope of this generic clearance and the variety of the types of participants, this average salary</w:t>
      </w:r>
      <w:r>
        <w:rPr>
          <w:rFonts w:ascii="Times New Roman" w:hAnsi="Times New Roman"/>
          <w:sz w:val="22"/>
          <w:szCs w:val="22"/>
        </w:rPr>
        <w:t xml:space="preserve"> was utilized rather than attempting to estimate salaries for groups of audiences.  </w:t>
      </w:r>
      <w:r w:rsidRPr="002D5826">
        <w:rPr>
          <w:rFonts w:ascii="Times New Roman" w:hAnsi="Times New Roman"/>
          <w:sz w:val="22"/>
          <w:szCs w:val="22"/>
        </w:rPr>
        <w:t xml:space="preserve">The total </w:t>
      </w:r>
      <w:r>
        <w:rPr>
          <w:rFonts w:ascii="Times New Roman" w:hAnsi="Times New Roman"/>
          <w:sz w:val="22"/>
          <w:szCs w:val="22"/>
        </w:rPr>
        <w:t xml:space="preserve">annualized burden </w:t>
      </w:r>
      <w:r w:rsidRPr="002D5826">
        <w:rPr>
          <w:rFonts w:ascii="Times New Roman" w:hAnsi="Times New Roman"/>
          <w:sz w:val="22"/>
          <w:szCs w:val="22"/>
        </w:rPr>
        <w:t xml:space="preserve">cost </w:t>
      </w:r>
      <w:r>
        <w:rPr>
          <w:rFonts w:ascii="Times New Roman" w:hAnsi="Times New Roman"/>
          <w:sz w:val="22"/>
          <w:szCs w:val="22"/>
        </w:rPr>
        <w:t>is</w:t>
      </w:r>
      <w:r w:rsidRPr="002D5826">
        <w:rPr>
          <w:rFonts w:ascii="Times New Roman" w:hAnsi="Times New Roman"/>
          <w:sz w:val="22"/>
          <w:szCs w:val="22"/>
        </w:rPr>
        <w:t xml:space="preserve"> estimated at $</w:t>
      </w:r>
      <w:r w:rsidR="00E762E2">
        <w:rPr>
          <w:rFonts w:ascii="Times New Roman" w:hAnsi="Times New Roman"/>
          <w:sz w:val="22"/>
          <w:szCs w:val="22"/>
        </w:rPr>
        <w:t>5</w:t>
      </w:r>
      <w:r w:rsidR="00F91B2A">
        <w:rPr>
          <w:rFonts w:ascii="Times New Roman" w:hAnsi="Times New Roman"/>
          <w:sz w:val="22"/>
          <w:szCs w:val="22"/>
        </w:rPr>
        <w:t>5,155.10</w:t>
      </w:r>
      <w:r w:rsidRPr="002D5826">
        <w:rPr>
          <w:rFonts w:ascii="Times New Roman" w:hAnsi="Times New Roman"/>
          <w:sz w:val="22"/>
          <w:szCs w:val="22"/>
        </w:rPr>
        <w:t xml:space="preserve"> per year. </w:t>
      </w:r>
    </w:p>
    <w:p w:rsidRPr="002D5826" w:rsidR="004B4393" w:rsidP="0068422E" w:rsidRDefault="004B4393" w14:paraId="00182068"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2D5826" w:rsidR="004B4393" w:rsidP="0068422E" w:rsidRDefault="004B4393" w14:paraId="389FF2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A.13.</w:t>
      </w:r>
      <w:r>
        <w:rPr>
          <w:rFonts w:ascii="Times New Roman" w:hAnsi="Times New Roman"/>
          <w:b/>
          <w:sz w:val="22"/>
          <w:szCs w:val="22"/>
        </w:rPr>
        <w:t xml:space="preserve">       </w:t>
      </w:r>
      <w:r w:rsidRPr="002D5826">
        <w:rPr>
          <w:rFonts w:ascii="Times New Roman" w:hAnsi="Times New Roman"/>
          <w:b/>
          <w:sz w:val="22"/>
          <w:szCs w:val="22"/>
        </w:rPr>
        <w:t>Estimates of Annualized Respondent Capital and Maintenance Costs</w:t>
      </w:r>
    </w:p>
    <w:p w:rsidR="00044D80" w:rsidP="00044D80" w:rsidRDefault="00044D80" w14:paraId="6B316A39" w14:textId="77777777">
      <w:pPr>
        <w:snapToGrid w:val="0"/>
        <w:ind w:left="361"/>
        <w:rPr>
          <w:rFonts w:ascii="Times New Roman" w:hAnsi="Times New Roman"/>
          <w:szCs w:val="24"/>
        </w:rPr>
      </w:pPr>
    </w:p>
    <w:p w:rsidR="00044D80" w:rsidP="00044D80" w:rsidRDefault="00044D80" w14:paraId="61C50172" w14:textId="77777777">
      <w:pPr>
        <w:snapToGrid w:val="0"/>
        <w:rPr>
          <w:rFonts w:ascii="Times New Roman" w:hAnsi="Times New Roman"/>
          <w:szCs w:val="24"/>
        </w:rPr>
      </w:pPr>
      <w:r>
        <w:rPr>
          <w:rFonts w:ascii="Times New Roman" w:hAnsi="Times New Roman"/>
          <w:szCs w:val="24"/>
        </w:rPr>
        <w:t>There are no capital/start-up or ongoing operation/maintenance costs associated with this information collection.</w:t>
      </w:r>
    </w:p>
    <w:p w:rsidR="00044D80" w:rsidP="0068422E" w:rsidRDefault="00044D80" w14:paraId="5DD54C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Pr="002D5826" w:rsidR="004B4393" w:rsidP="0068422E" w:rsidRDefault="004B4393" w14:paraId="5ADB2B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A.14.</w:t>
      </w:r>
      <w:r>
        <w:rPr>
          <w:rFonts w:ascii="Times New Roman" w:hAnsi="Times New Roman"/>
          <w:b/>
          <w:sz w:val="22"/>
          <w:szCs w:val="22"/>
        </w:rPr>
        <w:t xml:space="preserve">       </w:t>
      </w:r>
      <w:r w:rsidRPr="002D5826">
        <w:rPr>
          <w:rFonts w:ascii="Times New Roman" w:hAnsi="Times New Roman"/>
          <w:b/>
          <w:sz w:val="22"/>
          <w:szCs w:val="22"/>
        </w:rPr>
        <w:t>Estimates of Annualized Cost to the Federal Government</w:t>
      </w:r>
    </w:p>
    <w:p w:rsidRPr="002D5826" w:rsidR="004B4393" w:rsidP="0068422E" w:rsidRDefault="004B4393" w14:paraId="251868E9"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rsidRDefault="004B4393" w14:paraId="347D80D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The average estimated annual cost to the Federal government for conducting the 2</w:t>
      </w:r>
      <w:r>
        <w:rPr>
          <w:rFonts w:ascii="Times New Roman" w:hAnsi="Times New Roman"/>
          <w:sz w:val="22"/>
          <w:szCs w:val="22"/>
        </w:rPr>
        <w:t>8</w:t>
      </w:r>
      <w:r w:rsidRPr="002D5826">
        <w:rPr>
          <w:rFonts w:ascii="Times New Roman" w:hAnsi="Times New Roman"/>
          <w:sz w:val="22"/>
          <w:szCs w:val="22"/>
        </w:rPr>
        <w:t xml:space="preserve"> message testing activities proposed in Table A12B is $1,</w:t>
      </w:r>
      <w:r w:rsidR="001A691B">
        <w:rPr>
          <w:rFonts w:ascii="Times New Roman" w:hAnsi="Times New Roman"/>
          <w:sz w:val="22"/>
          <w:szCs w:val="22"/>
        </w:rPr>
        <w:t>5</w:t>
      </w:r>
      <w:r w:rsidR="00F72B6D">
        <w:rPr>
          <w:rFonts w:ascii="Times New Roman" w:hAnsi="Times New Roman"/>
          <w:sz w:val="22"/>
          <w:szCs w:val="22"/>
        </w:rPr>
        <w:t>5</w:t>
      </w:r>
      <w:r w:rsidRPr="002D5826">
        <w:rPr>
          <w:rFonts w:ascii="Times New Roman" w:hAnsi="Times New Roman"/>
          <w:sz w:val="22"/>
          <w:szCs w:val="22"/>
        </w:rPr>
        <w:t>0,000.  This total cost includes approximately $1,</w:t>
      </w:r>
      <w:r w:rsidR="001A691B">
        <w:rPr>
          <w:rFonts w:ascii="Times New Roman" w:hAnsi="Times New Roman"/>
          <w:sz w:val="22"/>
          <w:szCs w:val="22"/>
        </w:rPr>
        <w:t>4</w:t>
      </w:r>
      <w:r w:rsidR="00F72B6D">
        <w:rPr>
          <w:rFonts w:ascii="Times New Roman" w:hAnsi="Times New Roman"/>
          <w:sz w:val="22"/>
          <w:szCs w:val="22"/>
        </w:rPr>
        <w:t>25</w:t>
      </w:r>
      <w:r w:rsidRPr="002D5826">
        <w:rPr>
          <w:rFonts w:ascii="Times New Roman" w:hAnsi="Times New Roman"/>
          <w:sz w:val="22"/>
          <w:szCs w:val="22"/>
        </w:rPr>
        <w:t>,000 for contractual costs</w:t>
      </w:r>
      <w:r w:rsidRPr="002D5826">
        <w:rPr>
          <w:rFonts w:ascii="Times New Roman" w:hAnsi="Times New Roman"/>
          <w:color w:val="FF0000"/>
          <w:sz w:val="22"/>
          <w:szCs w:val="22"/>
        </w:rPr>
        <w:t xml:space="preserve"> </w:t>
      </w:r>
      <w:r w:rsidRPr="002D5826">
        <w:rPr>
          <w:rFonts w:ascii="Times New Roman" w:hAnsi="Times New Roman"/>
          <w:sz w:val="22"/>
          <w:szCs w:val="22"/>
        </w:rPr>
        <w:t>(e.g.,</w:t>
      </w:r>
      <w:r w:rsidRPr="002D5826">
        <w:rPr>
          <w:rFonts w:ascii="Times New Roman" w:hAnsi="Times New Roman"/>
          <w:color w:val="FF0000"/>
          <w:sz w:val="22"/>
          <w:szCs w:val="22"/>
        </w:rPr>
        <w:t xml:space="preserve"> </w:t>
      </w:r>
      <w:r w:rsidRPr="002D5826">
        <w:rPr>
          <w:rFonts w:ascii="Times New Roman" w:hAnsi="Times New Roman"/>
          <w:sz w:val="22"/>
          <w:szCs w:val="22"/>
        </w:rPr>
        <w:t>test design, data collection, analysis, and reporting), and $</w:t>
      </w:r>
      <w:r w:rsidR="001A691B">
        <w:rPr>
          <w:rFonts w:ascii="Times New Roman" w:hAnsi="Times New Roman"/>
          <w:sz w:val="22"/>
          <w:szCs w:val="22"/>
        </w:rPr>
        <w:t>1</w:t>
      </w:r>
      <w:r w:rsidR="00F72B6D">
        <w:rPr>
          <w:rFonts w:ascii="Times New Roman" w:hAnsi="Times New Roman"/>
          <w:sz w:val="22"/>
          <w:szCs w:val="22"/>
        </w:rPr>
        <w:t>25</w:t>
      </w:r>
      <w:r w:rsidRPr="002D5826">
        <w:rPr>
          <w:rFonts w:ascii="Times New Roman" w:hAnsi="Times New Roman"/>
          <w:sz w:val="22"/>
          <w:szCs w:val="22"/>
        </w:rPr>
        <w:t xml:space="preserve">,000 for personnel costs for Federal employees involved in project oversight activities (20% time for a HMTS project officer and .80 FTE for data collection project staff).  </w:t>
      </w:r>
    </w:p>
    <w:p w:rsidR="004B4393" w:rsidP="0068422E" w:rsidRDefault="004B4393" w14:paraId="4DC5B6C4"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rsidRDefault="004B4393" w14:paraId="3501492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T</w:t>
      </w:r>
      <w:r w:rsidRPr="002D5826">
        <w:rPr>
          <w:rFonts w:ascii="Times New Roman" w:hAnsi="Times New Roman"/>
          <w:sz w:val="22"/>
          <w:szCs w:val="22"/>
        </w:rPr>
        <w:t xml:space="preserve">he </w:t>
      </w:r>
      <w:r w:rsidR="005B0588">
        <w:rPr>
          <w:rFonts w:ascii="Times New Roman" w:hAnsi="Times New Roman"/>
          <w:sz w:val="22"/>
          <w:szCs w:val="22"/>
        </w:rPr>
        <w:t xml:space="preserve">Office of the Associate Director for Communication </w:t>
      </w:r>
      <w:r w:rsidRPr="002D5826">
        <w:rPr>
          <w:rFonts w:ascii="Times New Roman" w:hAnsi="Times New Roman"/>
          <w:sz w:val="22"/>
          <w:szCs w:val="22"/>
        </w:rPr>
        <w:t>manages a multi-vendor contract appropriate for message testing; the $1,</w:t>
      </w:r>
      <w:r w:rsidR="001A691B">
        <w:rPr>
          <w:rFonts w:ascii="Times New Roman" w:hAnsi="Times New Roman"/>
          <w:sz w:val="22"/>
          <w:szCs w:val="22"/>
        </w:rPr>
        <w:t>4</w:t>
      </w:r>
      <w:r w:rsidR="00F72B6D">
        <w:rPr>
          <w:rFonts w:ascii="Times New Roman" w:hAnsi="Times New Roman"/>
          <w:sz w:val="22"/>
          <w:szCs w:val="22"/>
        </w:rPr>
        <w:t>25</w:t>
      </w:r>
      <w:r w:rsidRPr="002D5826">
        <w:rPr>
          <w:rFonts w:ascii="Times New Roman" w:hAnsi="Times New Roman"/>
          <w:sz w:val="22"/>
          <w:szCs w:val="22"/>
        </w:rPr>
        <w:t xml:space="preserve">,000 figure reflects typical costs for such activities under the contract.  Any vendor covered by the contract might conduct the actual work.  </w:t>
      </w:r>
    </w:p>
    <w:p w:rsidRPr="002D5826" w:rsidR="004B4393" w:rsidP="0068422E" w:rsidRDefault="004B4393" w14:paraId="0D614A99"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2D5826" w:rsidR="004B4393" w:rsidP="0068422E" w:rsidRDefault="004B4393" w14:paraId="68777D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A.15.</w:t>
      </w:r>
      <w:r>
        <w:rPr>
          <w:rFonts w:ascii="Times New Roman" w:hAnsi="Times New Roman"/>
          <w:b/>
          <w:sz w:val="22"/>
          <w:szCs w:val="22"/>
        </w:rPr>
        <w:t xml:space="preserve">       Explanation for Program Changes or Adjustments</w:t>
      </w:r>
    </w:p>
    <w:p w:rsidRPr="002D5826" w:rsidR="004B4393" w:rsidP="0068422E" w:rsidRDefault="004B4393" w14:paraId="4B1F914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004253D8" w:rsidP="0068422E" w:rsidRDefault="004B4393" w14:paraId="1516286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bookmarkStart w:name="_Hlk69070302" w:id="7"/>
      <w:r w:rsidRPr="002D5826">
        <w:rPr>
          <w:rFonts w:ascii="Times New Roman" w:hAnsi="Times New Roman"/>
          <w:sz w:val="22"/>
          <w:szCs w:val="22"/>
        </w:rPr>
        <w:t xml:space="preserve">This is a </w:t>
      </w:r>
      <w:r w:rsidR="00481B52">
        <w:rPr>
          <w:rFonts w:ascii="Times New Roman" w:hAnsi="Times New Roman"/>
          <w:sz w:val="22"/>
          <w:szCs w:val="22"/>
        </w:rPr>
        <w:t xml:space="preserve">request for approval of a </w:t>
      </w:r>
      <w:r w:rsidRPr="002D5826">
        <w:rPr>
          <w:rFonts w:ascii="Times New Roman" w:hAnsi="Times New Roman"/>
          <w:sz w:val="22"/>
          <w:szCs w:val="22"/>
        </w:rPr>
        <w:t xml:space="preserve">currently approved </w:t>
      </w:r>
      <w:r w:rsidR="00481B52">
        <w:rPr>
          <w:rFonts w:ascii="Times New Roman" w:hAnsi="Times New Roman"/>
          <w:sz w:val="22"/>
          <w:szCs w:val="22"/>
        </w:rPr>
        <w:t xml:space="preserve">GENERIC </w:t>
      </w:r>
      <w:r w:rsidRPr="002D5826">
        <w:rPr>
          <w:rFonts w:ascii="Times New Roman" w:hAnsi="Times New Roman"/>
          <w:sz w:val="22"/>
          <w:szCs w:val="22"/>
        </w:rPr>
        <w:t>data collection</w:t>
      </w:r>
      <w:r w:rsidR="00E42592">
        <w:rPr>
          <w:rFonts w:ascii="Times New Roman" w:hAnsi="Times New Roman"/>
          <w:sz w:val="22"/>
          <w:szCs w:val="22"/>
        </w:rPr>
        <w:t xml:space="preserve">.  Each </w:t>
      </w:r>
      <w:proofErr w:type="spellStart"/>
      <w:r w:rsidR="00E42592">
        <w:rPr>
          <w:rFonts w:ascii="Times New Roman" w:hAnsi="Times New Roman"/>
          <w:sz w:val="22"/>
          <w:szCs w:val="22"/>
        </w:rPr>
        <w:t>GenIC</w:t>
      </w:r>
      <w:proofErr w:type="spellEnd"/>
      <w:r w:rsidR="00E42592">
        <w:rPr>
          <w:rFonts w:ascii="Times New Roman" w:hAnsi="Times New Roman"/>
          <w:sz w:val="22"/>
          <w:szCs w:val="22"/>
        </w:rPr>
        <w:t xml:space="preserve"> will</w:t>
      </w:r>
      <w:r w:rsidR="00F6111D">
        <w:rPr>
          <w:rFonts w:ascii="Times New Roman" w:hAnsi="Times New Roman"/>
          <w:sz w:val="22"/>
          <w:szCs w:val="22"/>
        </w:rPr>
        <w:t xml:space="preserve"> be </w:t>
      </w:r>
      <w:r w:rsidR="00E42592">
        <w:rPr>
          <w:rFonts w:ascii="Times New Roman" w:hAnsi="Times New Roman"/>
          <w:sz w:val="22"/>
          <w:szCs w:val="22"/>
        </w:rPr>
        <w:t xml:space="preserve">submitted using a template approved by OMB during a conference call on June 8, 2011.  This template, </w:t>
      </w:r>
      <w:r w:rsidR="00481B52">
        <w:rPr>
          <w:rFonts w:ascii="Times New Roman" w:hAnsi="Times New Roman"/>
          <w:sz w:val="22"/>
          <w:szCs w:val="22"/>
        </w:rPr>
        <w:lastRenderedPageBreak/>
        <w:t>“Health Message Testing System Expedited Review Form” (Attachment 3), w</w:t>
      </w:r>
      <w:r w:rsidR="00E42592">
        <w:rPr>
          <w:rFonts w:ascii="Times New Roman" w:hAnsi="Times New Roman"/>
          <w:sz w:val="22"/>
          <w:szCs w:val="22"/>
        </w:rPr>
        <w:t xml:space="preserve">ill contain </w:t>
      </w:r>
      <w:r w:rsidR="005B0588">
        <w:rPr>
          <w:rFonts w:ascii="Times New Roman" w:hAnsi="Times New Roman"/>
          <w:sz w:val="22"/>
          <w:szCs w:val="22"/>
        </w:rPr>
        <w:t xml:space="preserve">relevant information about </w:t>
      </w:r>
      <w:r w:rsidR="00481B52">
        <w:rPr>
          <w:rFonts w:ascii="Times New Roman" w:hAnsi="Times New Roman"/>
          <w:sz w:val="22"/>
          <w:szCs w:val="22"/>
        </w:rPr>
        <w:t>the proposed</w:t>
      </w:r>
      <w:r w:rsidR="005B0588">
        <w:rPr>
          <w:rFonts w:ascii="Times New Roman" w:hAnsi="Times New Roman"/>
          <w:sz w:val="22"/>
          <w:szCs w:val="22"/>
        </w:rPr>
        <w:t xml:space="preserve"> </w:t>
      </w:r>
      <w:r w:rsidR="00481B52">
        <w:rPr>
          <w:rFonts w:ascii="Times New Roman" w:hAnsi="Times New Roman"/>
          <w:sz w:val="22"/>
          <w:szCs w:val="22"/>
        </w:rPr>
        <w:t>information</w:t>
      </w:r>
      <w:r w:rsidR="005B0588">
        <w:rPr>
          <w:rFonts w:ascii="Times New Roman" w:hAnsi="Times New Roman"/>
          <w:sz w:val="22"/>
          <w:szCs w:val="22"/>
        </w:rPr>
        <w:t xml:space="preserve"> collection </w:t>
      </w:r>
      <w:r w:rsidR="00870E75">
        <w:rPr>
          <w:rFonts w:ascii="Times New Roman" w:hAnsi="Times New Roman"/>
          <w:sz w:val="22"/>
          <w:szCs w:val="22"/>
        </w:rPr>
        <w:t>and</w:t>
      </w:r>
      <w:r w:rsidR="005B0588">
        <w:rPr>
          <w:rFonts w:ascii="Times New Roman" w:hAnsi="Times New Roman"/>
          <w:sz w:val="22"/>
          <w:szCs w:val="22"/>
        </w:rPr>
        <w:t xml:space="preserve"> </w:t>
      </w:r>
      <w:r w:rsidR="00E42592">
        <w:rPr>
          <w:rFonts w:ascii="Times New Roman" w:hAnsi="Times New Roman"/>
          <w:sz w:val="22"/>
          <w:szCs w:val="22"/>
        </w:rPr>
        <w:t xml:space="preserve">will be submitted along with </w:t>
      </w:r>
      <w:r w:rsidR="005B0588">
        <w:rPr>
          <w:rFonts w:ascii="Times New Roman" w:hAnsi="Times New Roman"/>
          <w:sz w:val="22"/>
          <w:szCs w:val="22"/>
        </w:rPr>
        <w:t>copies of the data collection instruments</w:t>
      </w:r>
      <w:r w:rsidR="00E42592">
        <w:rPr>
          <w:rFonts w:ascii="Times New Roman" w:hAnsi="Times New Roman"/>
          <w:sz w:val="22"/>
          <w:szCs w:val="22"/>
        </w:rPr>
        <w:t xml:space="preserve"> and other pertinent information</w:t>
      </w:r>
      <w:r w:rsidR="005B0588">
        <w:rPr>
          <w:rFonts w:ascii="Times New Roman" w:hAnsi="Times New Roman"/>
          <w:sz w:val="22"/>
          <w:szCs w:val="22"/>
        </w:rPr>
        <w:t>.</w:t>
      </w:r>
      <w:r w:rsidR="004C18D0">
        <w:rPr>
          <w:rFonts w:ascii="Times New Roman" w:hAnsi="Times New Roman"/>
          <w:sz w:val="22"/>
          <w:szCs w:val="22"/>
        </w:rPr>
        <w:t xml:space="preserve">  </w:t>
      </w:r>
    </w:p>
    <w:bookmarkEnd w:id="7"/>
    <w:p w:rsidRPr="002D5826" w:rsidR="004B4393" w:rsidP="0068422E" w:rsidRDefault="004B4393" w14:paraId="0E19448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FFFF00"/>
          <w:sz w:val="22"/>
          <w:szCs w:val="22"/>
        </w:rPr>
      </w:pPr>
    </w:p>
    <w:p w:rsidRPr="002D5826" w:rsidR="004B4393" w:rsidP="0068422E" w:rsidRDefault="004B4393" w14:paraId="7A659B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Times New Roman" w:hAnsi="Times New Roman"/>
          <w:sz w:val="22"/>
          <w:szCs w:val="22"/>
        </w:rPr>
      </w:pPr>
      <w:r w:rsidRPr="00C4002F">
        <w:rPr>
          <w:rFonts w:ascii="Times New Roman" w:hAnsi="Times New Roman"/>
          <w:b/>
          <w:szCs w:val="24"/>
        </w:rPr>
        <w:t>A.16.</w:t>
      </w:r>
      <w:r>
        <w:rPr>
          <w:rFonts w:ascii="Times New Roman" w:hAnsi="Times New Roman"/>
          <w:b/>
          <w:sz w:val="22"/>
          <w:szCs w:val="22"/>
        </w:rPr>
        <w:t xml:space="preserve">       </w:t>
      </w:r>
      <w:r w:rsidRPr="002D5826">
        <w:rPr>
          <w:rFonts w:ascii="Times New Roman" w:hAnsi="Times New Roman"/>
          <w:b/>
          <w:sz w:val="22"/>
          <w:szCs w:val="22"/>
        </w:rPr>
        <w:t>Plans for Tabulation and Publication and Project Time Schedule</w:t>
      </w:r>
    </w:p>
    <w:p w:rsidRPr="002D5826" w:rsidR="004B4393" w:rsidP="0068422E" w:rsidRDefault="004B4393" w14:paraId="2714BF89"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2D5826" w:rsidR="004B4393" w:rsidP="0068422E" w:rsidRDefault="004B4393" w14:paraId="6204B9D1"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In most cases, the results of tests of messages and materials will not be published; instead, the information will be used to inform health promotion activities across CDC.  Project timelines will vary, depending on the program requirements</w:t>
      </w:r>
      <w:r w:rsidR="004C18D0">
        <w:rPr>
          <w:rFonts w:ascii="Times New Roman" w:hAnsi="Times New Roman"/>
          <w:sz w:val="22"/>
          <w:szCs w:val="22"/>
        </w:rPr>
        <w:t xml:space="preserve"> and the program</w:t>
      </w:r>
      <w:r>
        <w:rPr>
          <w:rFonts w:ascii="Times New Roman" w:hAnsi="Times New Roman"/>
          <w:sz w:val="22"/>
          <w:szCs w:val="22"/>
        </w:rPr>
        <w:t xml:space="preserve"> itself</w:t>
      </w:r>
      <w:r w:rsidRPr="002D5826">
        <w:rPr>
          <w:rFonts w:ascii="Times New Roman" w:hAnsi="Times New Roman"/>
          <w:sz w:val="22"/>
          <w:szCs w:val="22"/>
        </w:rPr>
        <w:t>.</w:t>
      </w:r>
      <w:r w:rsidRPr="002D5826" w:rsidDel="005626D1">
        <w:rPr>
          <w:rFonts w:ascii="Times New Roman" w:hAnsi="Times New Roman"/>
          <w:sz w:val="22"/>
          <w:szCs w:val="22"/>
        </w:rPr>
        <w:t xml:space="preserve"> </w:t>
      </w:r>
      <w:r>
        <w:rPr>
          <w:rFonts w:ascii="Times New Roman" w:hAnsi="Times New Roman"/>
          <w:sz w:val="22"/>
          <w:szCs w:val="22"/>
        </w:rPr>
        <w:t xml:space="preserve"> </w:t>
      </w:r>
      <w:r w:rsidRPr="002D5826">
        <w:rPr>
          <w:rFonts w:ascii="Times New Roman" w:hAnsi="Times New Roman"/>
          <w:sz w:val="22"/>
          <w:szCs w:val="22"/>
        </w:rPr>
        <w:t>Message testing ordinarily requires at least one</w:t>
      </w:r>
      <w:r>
        <w:rPr>
          <w:rFonts w:ascii="Times New Roman" w:hAnsi="Times New Roman"/>
          <w:sz w:val="22"/>
          <w:szCs w:val="22"/>
        </w:rPr>
        <w:t>-two</w:t>
      </w:r>
      <w:r w:rsidRPr="002D5826">
        <w:rPr>
          <w:rFonts w:ascii="Times New Roman" w:hAnsi="Times New Roman"/>
          <w:sz w:val="22"/>
          <w:szCs w:val="22"/>
        </w:rPr>
        <w:t xml:space="preserve"> week</w:t>
      </w:r>
      <w:r>
        <w:rPr>
          <w:rFonts w:ascii="Times New Roman" w:hAnsi="Times New Roman"/>
          <w:sz w:val="22"/>
          <w:szCs w:val="22"/>
        </w:rPr>
        <w:t>s</w:t>
      </w:r>
      <w:r w:rsidRPr="002D5826">
        <w:rPr>
          <w:rFonts w:ascii="Times New Roman" w:hAnsi="Times New Roman"/>
          <w:sz w:val="22"/>
          <w:szCs w:val="22"/>
        </w:rPr>
        <w:t xml:space="preserve"> to organize, and at least one</w:t>
      </w:r>
      <w:r>
        <w:rPr>
          <w:rFonts w:ascii="Times New Roman" w:hAnsi="Times New Roman"/>
          <w:sz w:val="22"/>
          <w:szCs w:val="22"/>
        </w:rPr>
        <w:t>-two</w:t>
      </w:r>
      <w:r w:rsidRPr="002D5826">
        <w:rPr>
          <w:rFonts w:ascii="Times New Roman" w:hAnsi="Times New Roman"/>
          <w:sz w:val="22"/>
          <w:szCs w:val="22"/>
        </w:rPr>
        <w:t xml:space="preserve"> week</w:t>
      </w:r>
      <w:r>
        <w:rPr>
          <w:rFonts w:ascii="Times New Roman" w:hAnsi="Times New Roman"/>
          <w:sz w:val="22"/>
          <w:szCs w:val="22"/>
        </w:rPr>
        <w:t>s</w:t>
      </w:r>
      <w:r w:rsidRPr="002D5826">
        <w:rPr>
          <w:rFonts w:ascii="Times New Roman" w:hAnsi="Times New Roman"/>
          <w:sz w:val="22"/>
          <w:szCs w:val="22"/>
        </w:rPr>
        <w:t xml:space="preserve"> to </w:t>
      </w:r>
      <w:r>
        <w:rPr>
          <w:rFonts w:ascii="Times New Roman" w:hAnsi="Times New Roman"/>
          <w:sz w:val="22"/>
          <w:szCs w:val="22"/>
        </w:rPr>
        <w:t>implement</w:t>
      </w:r>
      <w:r w:rsidRPr="002D5826">
        <w:rPr>
          <w:rFonts w:ascii="Times New Roman" w:hAnsi="Times New Roman"/>
          <w:sz w:val="22"/>
          <w:szCs w:val="22"/>
        </w:rPr>
        <w:t xml:space="preserve">.  </w:t>
      </w:r>
    </w:p>
    <w:p w:rsidRPr="002D5826" w:rsidR="004B4393" w:rsidP="0068422E" w:rsidRDefault="004B4393" w14:paraId="6A5978F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2D5826" w:rsidR="004B4393" w:rsidP="0068422E" w:rsidRDefault="004B4393" w14:paraId="0582871B" w14:textId="77777777">
      <w:pPr>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4002F">
        <w:rPr>
          <w:rFonts w:ascii="Times New Roman" w:hAnsi="Times New Roman"/>
          <w:b/>
          <w:szCs w:val="24"/>
        </w:rPr>
        <w:t>A.17.</w:t>
      </w:r>
      <w:r>
        <w:rPr>
          <w:rFonts w:ascii="Times New Roman" w:hAnsi="Times New Roman"/>
          <w:b/>
          <w:sz w:val="22"/>
          <w:szCs w:val="22"/>
        </w:rPr>
        <w:t xml:space="preserve">       Reason(s) Display of OMB Expiration Date is Inappropriate</w:t>
      </w:r>
    </w:p>
    <w:p w:rsidRPr="002D5826" w:rsidR="004B4393" w:rsidP="0068422E" w:rsidRDefault="004B4393" w14:paraId="7B85D572" w14:textId="77777777">
      <w:pPr>
        <w:pBdr>
          <w:top w:val="single" w:color="FFFFFF" w:sz="6" w:space="0"/>
          <w:left w:val="single" w:color="FFFFFF" w:sz="6" w:space="0"/>
          <w:bottom w:val="single" w:color="FFFFFF" w:sz="6" w:space="0"/>
          <w:right w:val="single" w:color="FFFFFF" w:sz="6" w:space="0"/>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2D5826" w:rsidR="004B4393" w:rsidP="0068422E" w:rsidRDefault="004B4393" w14:paraId="585A70EC" w14:textId="77777777">
      <w:pPr>
        <w:pStyle w:val="BodyText2"/>
        <w:tabs>
          <w:tab w:val="left" w:pos="1170"/>
        </w:tabs>
        <w:rPr>
          <w:sz w:val="22"/>
          <w:szCs w:val="22"/>
        </w:rPr>
      </w:pPr>
      <w:r w:rsidRPr="002D5826">
        <w:rPr>
          <w:sz w:val="22"/>
          <w:szCs w:val="22"/>
        </w:rPr>
        <w:t xml:space="preserve">All data collection instruments will display the expiration date for OMB approval of the information collection. </w:t>
      </w:r>
    </w:p>
    <w:p w:rsidR="004B4393" w:rsidP="0068422E" w:rsidRDefault="004B4393" w14:paraId="20AAE6FA" w14:textId="77777777">
      <w:pPr>
        <w:pBdr>
          <w:top w:val="single" w:color="FFFFFF" w:sz="6" w:space="0"/>
          <w:left w:val="single" w:color="FFFFFF" w:sz="6" w:space="0"/>
          <w:bottom w:val="single" w:color="FFFFFF" w:sz="6" w:space="0"/>
          <w:right w:val="single" w:color="FFFFFF" w:sz="6" w:space="0"/>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2D5826" w:rsidR="004B4393" w:rsidP="0068422E" w:rsidRDefault="004B4393" w14:paraId="576BC51C" w14:textId="77777777">
      <w:pPr>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4002F">
        <w:rPr>
          <w:rFonts w:ascii="Times New Roman" w:hAnsi="Times New Roman"/>
          <w:b/>
          <w:szCs w:val="24"/>
        </w:rPr>
        <w:t>A.18.</w:t>
      </w:r>
      <w:r>
        <w:rPr>
          <w:rFonts w:ascii="Times New Roman" w:hAnsi="Times New Roman"/>
          <w:b/>
          <w:sz w:val="22"/>
          <w:szCs w:val="22"/>
        </w:rPr>
        <w:t xml:space="preserve">       </w:t>
      </w:r>
      <w:r w:rsidRPr="002D5826">
        <w:rPr>
          <w:rFonts w:ascii="Times New Roman" w:hAnsi="Times New Roman"/>
          <w:b/>
          <w:sz w:val="22"/>
          <w:szCs w:val="22"/>
        </w:rPr>
        <w:t>Exceptions to the Certification Statement</w:t>
      </w:r>
    </w:p>
    <w:p w:rsidRPr="002D5826" w:rsidR="004B4393" w:rsidP="0068422E" w:rsidRDefault="004B4393" w14:paraId="5C75972A" w14:textId="77777777">
      <w:pPr>
        <w:pBdr>
          <w:top w:val="single" w:color="FFFFFF" w:sz="6" w:space="0"/>
          <w:left w:val="single" w:color="FFFFFF" w:sz="6" w:space="0"/>
          <w:bottom w:val="single" w:color="FFFFFF" w:sz="6" w:space="0"/>
          <w:right w:val="single" w:color="FFFFFF" w:sz="6" w:space="0"/>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1"/>
        <w:rPr>
          <w:rFonts w:ascii="Times New Roman" w:hAnsi="Times New Roman"/>
          <w:sz w:val="22"/>
          <w:szCs w:val="22"/>
        </w:rPr>
      </w:pPr>
    </w:p>
    <w:p w:rsidR="004B4393" w:rsidP="0068422E" w:rsidRDefault="004B4393" w14:paraId="263517DA" w14:textId="77777777">
      <w:pPr>
        <w:pStyle w:val="BodyText2"/>
        <w:tabs>
          <w:tab w:val="left" w:pos="1170"/>
        </w:tabs>
        <w:rPr>
          <w:sz w:val="22"/>
          <w:szCs w:val="22"/>
        </w:rPr>
      </w:pPr>
      <w:r w:rsidRPr="002D5826">
        <w:rPr>
          <w:sz w:val="22"/>
          <w:szCs w:val="22"/>
        </w:rPr>
        <w:t>No exceptions to the certification statement are being sought.</w:t>
      </w:r>
    </w:p>
    <w:p w:rsidR="002E3632" w:rsidP="0068422E" w:rsidRDefault="002E3632" w14:paraId="5DE0C7C2" w14:textId="77777777">
      <w:pPr>
        <w:pStyle w:val="BodyText2"/>
        <w:tabs>
          <w:tab w:val="left" w:pos="1170"/>
        </w:tabs>
        <w:rPr>
          <w:sz w:val="22"/>
          <w:szCs w:val="22"/>
        </w:rPr>
      </w:pPr>
    </w:p>
    <w:p w:rsidR="002E3632" w:rsidP="0068422E" w:rsidRDefault="00870F25" w14:paraId="135C34D9" w14:textId="77777777">
      <w:pPr>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 xml:space="preserve"> </w:t>
      </w:r>
    </w:p>
    <w:p w:rsidR="00903A85" w:rsidP="0068422E" w:rsidRDefault="00903A85" w14:paraId="5364145D" w14:textId="77777777"/>
    <w:p w:rsidRPr="00D5435D" w:rsidR="00903A85" w:rsidP="0068422E" w:rsidRDefault="00903A85" w14:paraId="416E2214" w14:textId="77777777">
      <w:pPr>
        <w:rPr>
          <w:b/>
          <w:sz w:val="26"/>
          <w:szCs w:val="26"/>
        </w:rPr>
      </w:pPr>
      <w:r>
        <w:br w:type="page"/>
      </w:r>
      <w:r w:rsidRPr="00D5435D">
        <w:rPr>
          <w:b/>
          <w:sz w:val="26"/>
          <w:szCs w:val="26"/>
        </w:rPr>
        <w:lastRenderedPageBreak/>
        <w:t>List of Attachments</w:t>
      </w:r>
    </w:p>
    <w:p w:rsidRPr="002D5826" w:rsidR="00903A85" w:rsidP="0068422E" w:rsidRDefault="00903A85" w14:paraId="391E417E" w14:textId="77777777">
      <w:pPr>
        <w:rPr>
          <w:b/>
          <w:sz w:val="22"/>
          <w:szCs w:val="22"/>
        </w:rPr>
      </w:pPr>
    </w:p>
    <w:p w:rsidR="00903A85" w:rsidP="0068422E" w:rsidRDefault="00903A85" w14:paraId="58C34BA6" w14:textId="77777777">
      <w:pPr>
        <w:rPr>
          <w:szCs w:val="24"/>
        </w:rPr>
      </w:pPr>
      <w:r w:rsidRPr="00D5435D">
        <w:rPr>
          <w:szCs w:val="24"/>
        </w:rPr>
        <w:t>Attachment 1:</w:t>
      </w:r>
      <w:r w:rsidRPr="00D5435D">
        <w:rPr>
          <w:szCs w:val="24"/>
        </w:rPr>
        <w:tab/>
        <w:t xml:space="preserve">Authorizing Legislation </w:t>
      </w:r>
    </w:p>
    <w:p w:rsidRPr="007E492C" w:rsidR="00903A85" w:rsidP="0068422E" w:rsidRDefault="00903A85" w14:paraId="573A0714" w14:textId="77777777">
      <w:pPr>
        <w:rPr>
          <w:sz w:val="16"/>
          <w:szCs w:val="16"/>
        </w:rPr>
      </w:pPr>
    </w:p>
    <w:p w:rsidR="00903A85" w:rsidP="0068422E" w:rsidRDefault="00903A85" w14:paraId="682E7A0E" w14:textId="77777777">
      <w:pPr>
        <w:rPr>
          <w:szCs w:val="24"/>
        </w:rPr>
      </w:pPr>
      <w:r w:rsidRPr="00D5435D">
        <w:rPr>
          <w:szCs w:val="24"/>
        </w:rPr>
        <w:t>A</w:t>
      </w:r>
      <w:r>
        <w:rPr>
          <w:szCs w:val="24"/>
        </w:rPr>
        <w:t>ttachment 2</w:t>
      </w:r>
      <w:r w:rsidRPr="00D5435D">
        <w:rPr>
          <w:szCs w:val="24"/>
        </w:rPr>
        <w:t>:</w:t>
      </w:r>
      <w:r w:rsidRPr="00D5435D">
        <w:rPr>
          <w:szCs w:val="24"/>
        </w:rPr>
        <w:tab/>
        <w:t>Federal Register Notice</w:t>
      </w:r>
    </w:p>
    <w:p w:rsidRPr="00D5435D" w:rsidR="00903A85" w:rsidP="0068422E" w:rsidRDefault="00903A85" w14:paraId="5A0D6B96" w14:textId="77777777">
      <w:pPr>
        <w:rPr>
          <w:sz w:val="16"/>
          <w:szCs w:val="16"/>
        </w:rPr>
      </w:pPr>
    </w:p>
    <w:p w:rsidR="00903A85" w:rsidP="0068422E" w:rsidRDefault="00903A85" w14:paraId="4FE54709" w14:textId="77777777">
      <w:pPr>
        <w:rPr>
          <w:szCs w:val="24"/>
        </w:rPr>
      </w:pPr>
      <w:r w:rsidRPr="00D5435D">
        <w:rPr>
          <w:szCs w:val="24"/>
        </w:rPr>
        <w:t xml:space="preserve">Attachment </w:t>
      </w:r>
      <w:r>
        <w:rPr>
          <w:szCs w:val="24"/>
        </w:rPr>
        <w:t>3</w:t>
      </w:r>
      <w:r w:rsidRPr="00D5435D">
        <w:rPr>
          <w:szCs w:val="24"/>
        </w:rPr>
        <w:t>:</w:t>
      </w:r>
      <w:r w:rsidRPr="00D5435D">
        <w:rPr>
          <w:szCs w:val="24"/>
        </w:rPr>
        <w:tab/>
        <w:t>Health Message Testing System Expedited Review Form</w:t>
      </w:r>
    </w:p>
    <w:p w:rsidRPr="00D5435D" w:rsidR="00903A85" w:rsidP="0068422E" w:rsidRDefault="00903A85" w14:paraId="29E3138A" w14:textId="77777777">
      <w:pPr>
        <w:rPr>
          <w:sz w:val="16"/>
          <w:szCs w:val="16"/>
        </w:rPr>
      </w:pPr>
    </w:p>
    <w:p w:rsidR="00903A85" w:rsidP="0068422E" w:rsidRDefault="00903A85" w14:paraId="077164DC" w14:textId="77777777">
      <w:pPr>
        <w:rPr>
          <w:szCs w:val="24"/>
        </w:rPr>
      </w:pPr>
      <w:r w:rsidRPr="00D5435D">
        <w:rPr>
          <w:szCs w:val="24"/>
        </w:rPr>
        <w:t>A</w:t>
      </w:r>
      <w:r>
        <w:rPr>
          <w:szCs w:val="24"/>
        </w:rPr>
        <w:t>ttachment 4</w:t>
      </w:r>
      <w:r w:rsidRPr="00D5435D">
        <w:rPr>
          <w:szCs w:val="24"/>
        </w:rPr>
        <w:t>:</w:t>
      </w:r>
      <w:r w:rsidRPr="00D5435D">
        <w:rPr>
          <w:szCs w:val="24"/>
        </w:rPr>
        <w:tab/>
        <w:t>Demographic Questions</w:t>
      </w:r>
    </w:p>
    <w:p w:rsidRPr="00D5435D" w:rsidR="00903A85" w:rsidP="0068422E" w:rsidRDefault="00903A85" w14:paraId="24370997" w14:textId="77777777">
      <w:pPr>
        <w:rPr>
          <w:sz w:val="16"/>
          <w:szCs w:val="16"/>
        </w:rPr>
      </w:pPr>
    </w:p>
    <w:p w:rsidR="00903A85" w:rsidP="0068422E" w:rsidRDefault="00903A85" w14:paraId="6E77AC23" w14:textId="77777777">
      <w:pPr>
        <w:rPr>
          <w:szCs w:val="24"/>
        </w:rPr>
      </w:pPr>
      <w:r w:rsidRPr="00D5435D">
        <w:rPr>
          <w:szCs w:val="24"/>
        </w:rPr>
        <w:t>A</w:t>
      </w:r>
      <w:r>
        <w:rPr>
          <w:szCs w:val="24"/>
        </w:rPr>
        <w:t>ttachment 5</w:t>
      </w:r>
      <w:r w:rsidRPr="00D5435D">
        <w:rPr>
          <w:szCs w:val="24"/>
        </w:rPr>
        <w:t>:</w:t>
      </w:r>
      <w:r w:rsidRPr="00D5435D">
        <w:rPr>
          <w:szCs w:val="24"/>
        </w:rPr>
        <w:tab/>
        <w:t xml:space="preserve">Market Research </w:t>
      </w:r>
      <w:r>
        <w:rPr>
          <w:szCs w:val="24"/>
        </w:rPr>
        <w:t xml:space="preserve">Experience </w:t>
      </w:r>
      <w:r w:rsidRPr="00D5435D">
        <w:rPr>
          <w:szCs w:val="24"/>
        </w:rPr>
        <w:t>Questions</w:t>
      </w:r>
    </w:p>
    <w:p w:rsidRPr="007E492C" w:rsidR="00903A85" w:rsidP="0068422E" w:rsidRDefault="00903A85" w14:paraId="0013A318" w14:textId="77777777">
      <w:pPr>
        <w:rPr>
          <w:sz w:val="16"/>
          <w:szCs w:val="16"/>
        </w:rPr>
      </w:pPr>
    </w:p>
    <w:p w:rsidR="00903A85" w:rsidP="0068422E" w:rsidRDefault="00903A85" w14:paraId="0C64843F" w14:textId="77777777">
      <w:pPr>
        <w:rPr>
          <w:szCs w:val="24"/>
        </w:rPr>
      </w:pPr>
      <w:r>
        <w:rPr>
          <w:szCs w:val="24"/>
        </w:rPr>
        <w:t>Attachment 6:  Introductory Questions</w:t>
      </w:r>
    </w:p>
    <w:p w:rsidRPr="007E492C" w:rsidR="00903A85" w:rsidP="0068422E" w:rsidRDefault="00903A85" w14:paraId="07322508" w14:textId="77777777">
      <w:pPr>
        <w:rPr>
          <w:sz w:val="16"/>
          <w:szCs w:val="16"/>
        </w:rPr>
      </w:pPr>
    </w:p>
    <w:p w:rsidR="00903A85" w:rsidP="0068422E" w:rsidRDefault="00903A85" w14:paraId="29C35142" w14:textId="77777777">
      <w:pPr>
        <w:rPr>
          <w:szCs w:val="24"/>
        </w:rPr>
      </w:pPr>
      <w:r>
        <w:rPr>
          <w:szCs w:val="24"/>
        </w:rPr>
        <w:t>Attachment 7:  Core Questions</w:t>
      </w:r>
    </w:p>
    <w:p w:rsidRPr="00D5435D" w:rsidR="00903A85" w:rsidP="0068422E" w:rsidRDefault="00903A85" w14:paraId="45111ED9" w14:textId="77777777">
      <w:pPr>
        <w:rPr>
          <w:sz w:val="16"/>
          <w:szCs w:val="16"/>
        </w:rPr>
      </w:pPr>
    </w:p>
    <w:p w:rsidR="00903A85" w:rsidP="0068422E" w:rsidRDefault="00903A85" w14:paraId="3CD9323D" w14:textId="77777777">
      <w:pPr>
        <w:rPr>
          <w:szCs w:val="24"/>
        </w:rPr>
      </w:pPr>
      <w:r w:rsidRPr="00D5435D">
        <w:rPr>
          <w:szCs w:val="24"/>
        </w:rPr>
        <w:t>A</w:t>
      </w:r>
      <w:r>
        <w:rPr>
          <w:szCs w:val="24"/>
        </w:rPr>
        <w:t>ttachment 8</w:t>
      </w:r>
      <w:r w:rsidRPr="00D5435D">
        <w:rPr>
          <w:szCs w:val="24"/>
        </w:rPr>
        <w:t>:</w:t>
      </w:r>
      <w:r w:rsidRPr="00D5435D">
        <w:rPr>
          <w:szCs w:val="24"/>
        </w:rPr>
        <w:tab/>
        <w:t>Activity/Task Questions</w:t>
      </w:r>
    </w:p>
    <w:p w:rsidRPr="00D5435D" w:rsidR="00903A85" w:rsidP="0068422E" w:rsidRDefault="00903A85" w14:paraId="73692BF8" w14:textId="77777777">
      <w:pPr>
        <w:rPr>
          <w:sz w:val="16"/>
          <w:szCs w:val="16"/>
        </w:rPr>
      </w:pPr>
    </w:p>
    <w:p w:rsidR="00903A85" w:rsidP="0068422E" w:rsidRDefault="00903A85" w14:paraId="24C8B2D2" w14:textId="77777777">
      <w:pPr>
        <w:rPr>
          <w:szCs w:val="24"/>
        </w:rPr>
      </w:pPr>
      <w:r w:rsidRPr="00D5435D">
        <w:rPr>
          <w:szCs w:val="24"/>
        </w:rPr>
        <w:t>A</w:t>
      </w:r>
      <w:r>
        <w:rPr>
          <w:szCs w:val="24"/>
        </w:rPr>
        <w:t>ttachment 9</w:t>
      </w:r>
      <w:r w:rsidRPr="00D5435D">
        <w:rPr>
          <w:szCs w:val="24"/>
        </w:rPr>
        <w:t>:</w:t>
      </w:r>
      <w:r w:rsidRPr="00D5435D">
        <w:rPr>
          <w:szCs w:val="24"/>
        </w:rPr>
        <w:tab/>
        <w:t>Follow-Up Questions</w:t>
      </w:r>
    </w:p>
    <w:p w:rsidRPr="00D5435D" w:rsidR="00903A85" w:rsidP="0068422E" w:rsidRDefault="00903A85" w14:paraId="4280E127" w14:textId="77777777">
      <w:pPr>
        <w:rPr>
          <w:sz w:val="16"/>
          <w:szCs w:val="16"/>
        </w:rPr>
      </w:pPr>
    </w:p>
    <w:p w:rsidR="00903A85" w:rsidP="0068422E" w:rsidRDefault="00903A85" w14:paraId="654A7E37" w14:textId="77777777">
      <w:pPr>
        <w:rPr>
          <w:szCs w:val="24"/>
        </w:rPr>
      </w:pPr>
      <w:r w:rsidRPr="00D5435D">
        <w:rPr>
          <w:szCs w:val="24"/>
        </w:rPr>
        <w:t>A</w:t>
      </w:r>
      <w:r>
        <w:rPr>
          <w:szCs w:val="24"/>
        </w:rPr>
        <w:t xml:space="preserve">ttachment 10:  </w:t>
      </w:r>
      <w:r w:rsidRPr="00D5435D">
        <w:rPr>
          <w:szCs w:val="24"/>
        </w:rPr>
        <w:t>Examples:</w:t>
      </w:r>
    </w:p>
    <w:p w:rsidRPr="00D5435D" w:rsidR="00903A85" w:rsidP="0068422E" w:rsidRDefault="00903A85" w14:paraId="75D8F724" w14:textId="77777777">
      <w:pPr>
        <w:rPr>
          <w:szCs w:val="24"/>
        </w:rPr>
      </w:pPr>
    </w:p>
    <w:p w:rsidRPr="00D5435D" w:rsidR="00903A85" w:rsidP="0068422E" w:rsidRDefault="00903A85" w14:paraId="1F8E2740" w14:textId="77777777">
      <w:pPr>
        <w:rPr>
          <w:szCs w:val="24"/>
        </w:rPr>
      </w:pPr>
      <w:r>
        <w:rPr>
          <w:szCs w:val="24"/>
        </w:rPr>
        <w:tab/>
      </w:r>
      <w:r w:rsidRPr="00D5435D">
        <w:rPr>
          <w:szCs w:val="24"/>
        </w:rPr>
        <w:t xml:space="preserve">Example </w:t>
      </w:r>
      <w:r>
        <w:rPr>
          <w:szCs w:val="24"/>
        </w:rPr>
        <w:t>1</w:t>
      </w:r>
      <w:r w:rsidRPr="00D5435D">
        <w:rPr>
          <w:szCs w:val="24"/>
        </w:rPr>
        <w:t xml:space="preserve">: </w:t>
      </w:r>
      <w:r>
        <w:rPr>
          <w:szCs w:val="24"/>
        </w:rPr>
        <w:t xml:space="preserve">Central Location </w:t>
      </w:r>
      <w:r w:rsidRPr="00D5435D">
        <w:rPr>
          <w:szCs w:val="24"/>
        </w:rPr>
        <w:t>Intercept Interview</w:t>
      </w:r>
    </w:p>
    <w:p w:rsidR="00903A85" w:rsidP="0068422E" w:rsidRDefault="00903A85" w14:paraId="2B848FCD" w14:textId="77777777">
      <w:pPr>
        <w:rPr>
          <w:szCs w:val="24"/>
        </w:rPr>
      </w:pPr>
      <w:r w:rsidRPr="00D5435D">
        <w:rPr>
          <w:szCs w:val="24"/>
        </w:rPr>
        <w:tab/>
        <w:t xml:space="preserve">Example </w:t>
      </w:r>
      <w:r>
        <w:rPr>
          <w:szCs w:val="24"/>
        </w:rPr>
        <w:t>2</w:t>
      </w:r>
      <w:r w:rsidRPr="00D5435D">
        <w:rPr>
          <w:szCs w:val="24"/>
        </w:rPr>
        <w:t>: Telephone Interview</w:t>
      </w:r>
    </w:p>
    <w:p w:rsidRPr="00D5435D" w:rsidR="00903A85" w:rsidP="0068422E" w:rsidRDefault="00903A85" w14:paraId="178D853D" w14:textId="77777777">
      <w:pPr>
        <w:rPr>
          <w:szCs w:val="24"/>
        </w:rPr>
      </w:pPr>
      <w:r>
        <w:rPr>
          <w:szCs w:val="24"/>
        </w:rPr>
        <w:tab/>
        <w:t>Example 3:  Individual In-depth Interview (Cognitive Interview)</w:t>
      </w:r>
    </w:p>
    <w:p w:rsidRPr="00D5435D" w:rsidR="00903A85" w:rsidP="0068422E" w:rsidRDefault="00903A85" w14:paraId="2B3D3FDE" w14:textId="77777777">
      <w:pPr>
        <w:rPr>
          <w:szCs w:val="24"/>
        </w:rPr>
      </w:pPr>
      <w:r w:rsidRPr="00D5435D">
        <w:rPr>
          <w:szCs w:val="24"/>
        </w:rPr>
        <w:tab/>
        <w:t xml:space="preserve">Example </w:t>
      </w:r>
      <w:r>
        <w:rPr>
          <w:szCs w:val="24"/>
        </w:rPr>
        <w:t>4</w:t>
      </w:r>
      <w:r w:rsidRPr="00D5435D">
        <w:rPr>
          <w:szCs w:val="24"/>
        </w:rPr>
        <w:t>: Screener Questions for Focus Group Testing</w:t>
      </w:r>
    </w:p>
    <w:p w:rsidR="00903A85" w:rsidP="0068422E" w:rsidRDefault="00903A85" w14:paraId="67C7DECB" w14:textId="77777777">
      <w:pPr>
        <w:rPr>
          <w:rFonts w:eastAsia="SimSun"/>
          <w:szCs w:val="24"/>
        </w:rPr>
      </w:pPr>
      <w:r>
        <w:rPr>
          <w:szCs w:val="24"/>
        </w:rPr>
        <w:tab/>
      </w:r>
      <w:r w:rsidRPr="00D5435D">
        <w:rPr>
          <w:szCs w:val="24"/>
        </w:rPr>
        <w:t xml:space="preserve">Example </w:t>
      </w:r>
      <w:r>
        <w:rPr>
          <w:szCs w:val="24"/>
        </w:rPr>
        <w:t>5</w:t>
      </w:r>
      <w:r w:rsidRPr="00D5435D">
        <w:rPr>
          <w:szCs w:val="24"/>
        </w:rPr>
        <w:t>: F</w:t>
      </w:r>
      <w:r w:rsidRPr="00D5435D">
        <w:rPr>
          <w:rFonts w:eastAsia="SimSun"/>
          <w:szCs w:val="24"/>
        </w:rPr>
        <w:t>ocus Group Moderator’s Guide</w:t>
      </w:r>
    </w:p>
    <w:p w:rsidR="00903A85" w:rsidP="0068422E" w:rsidRDefault="00903A85" w14:paraId="79BB05F5" w14:textId="77777777">
      <w:pPr>
        <w:rPr>
          <w:szCs w:val="24"/>
        </w:rPr>
      </w:pPr>
      <w:r>
        <w:rPr>
          <w:rFonts w:eastAsia="SimSun"/>
          <w:b/>
          <w:szCs w:val="24"/>
        </w:rPr>
        <w:tab/>
      </w:r>
      <w:r w:rsidRPr="00D5435D">
        <w:rPr>
          <w:szCs w:val="24"/>
        </w:rPr>
        <w:t xml:space="preserve">Example </w:t>
      </w:r>
      <w:r>
        <w:rPr>
          <w:szCs w:val="24"/>
        </w:rPr>
        <w:t>6</w:t>
      </w:r>
      <w:r w:rsidRPr="00D5435D">
        <w:rPr>
          <w:szCs w:val="24"/>
        </w:rPr>
        <w:t>: Online Interview</w:t>
      </w:r>
    </w:p>
    <w:p w:rsidRPr="00571393" w:rsidR="00903A85" w:rsidP="0068422E" w:rsidRDefault="00903A85" w14:paraId="16E07DA5" w14:textId="77777777">
      <w:pPr>
        <w:rPr>
          <w:sz w:val="16"/>
          <w:szCs w:val="16"/>
        </w:rPr>
      </w:pPr>
    </w:p>
    <w:p w:rsidR="00903A85" w:rsidP="0068422E" w:rsidRDefault="00903A85" w14:paraId="3D40DD50" w14:textId="77777777">
      <w:pPr>
        <w:pBdr>
          <w:top w:val="single" w:color="FFFFFF" w:sz="6" w:space="0"/>
          <w:left w:val="single" w:color="FFFFFF" w:sz="6" w:space="0"/>
          <w:bottom w:val="single" w:color="FFFFFF" w:sz="6" w:space="1"/>
          <w:right w:val="single" w:color="FFFFFF" w:sz="6" w:space="0"/>
        </w:pBdr>
        <w:tabs>
          <w:tab w:val="left" w:pos="0"/>
          <w:tab w:val="left" w:pos="1170"/>
          <w:tab w:val="right" w:leader="dot" w:pos="8208"/>
          <w:tab w:val="left" w:pos="8640"/>
          <w:tab w:val="left" w:pos="9360"/>
        </w:tabs>
        <w:rPr>
          <w:szCs w:val="24"/>
        </w:rPr>
      </w:pPr>
      <w:r w:rsidRPr="00D5435D">
        <w:rPr>
          <w:szCs w:val="24"/>
        </w:rPr>
        <w:t>A</w:t>
      </w:r>
      <w:r>
        <w:rPr>
          <w:szCs w:val="24"/>
        </w:rPr>
        <w:t xml:space="preserve">ttachment 11: </w:t>
      </w:r>
      <w:r w:rsidRPr="00D5435D">
        <w:rPr>
          <w:szCs w:val="24"/>
        </w:rPr>
        <w:t xml:space="preserve"> IRB Ruling</w:t>
      </w:r>
    </w:p>
    <w:p w:rsidR="00903A85" w:rsidP="0068422E" w:rsidRDefault="00903A85" w14:paraId="7C770CA4" w14:textId="77777777">
      <w:pPr>
        <w:pBdr>
          <w:top w:val="single" w:color="FFFFFF" w:sz="6" w:space="0"/>
          <w:left w:val="single" w:color="FFFFFF" w:sz="6" w:space="0"/>
          <w:bottom w:val="single" w:color="FFFFFF" w:sz="6" w:space="1"/>
          <w:right w:val="single" w:color="FFFFFF" w:sz="6" w:space="0"/>
        </w:pBdr>
        <w:tabs>
          <w:tab w:val="left" w:pos="0"/>
          <w:tab w:val="left" w:pos="1170"/>
          <w:tab w:val="right" w:leader="dot" w:pos="8208"/>
          <w:tab w:val="left" w:pos="8640"/>
          <w:tab w:val="left" w:pos="9360"/>
        </w:tabs>
        <w:rPr>
          <w:szCs w:val="24"/>
        </w:rPr>
      </w:pPr>
    </w:p>
    <w:p w:rsidR="00903A85" w:rsidP="0068422E" w:rsidRDefault="00903A85" w14:paraId="7E2CF3D3" w14:textId="77777777"/>
    <w:p w:rsidR="004B4393" w:rsidP="0068422E" w:rsidRDefault="004B4393" w14:paraId="1D92D66C" w14:textId="77777777"/>
    <w:sectPr w:rsidR="004B4393" w:rsidSect="00F72B6D">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946333" w14:textId="77777777" w:rsidR="000A3B49" w:rsidRDefault="000A3B49">
      <w:r>
        <w:separator/>
      </w:r>
    </w:p>
  </w:endnote>
  <w:endnote w:type="continuationSeparator" w:id="0">
    <w:p w14:paraId="07DFD69B" w14:textId="77777777" w:rsidR="000A3B49" w:rsidRDefault="000A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ewBskvll BT">
    <w:altName w:val="Times New Roman"/>
    <w:charset w:val="00"/>
    <w:family w:val="roman"/>
    <w:pitch w:val="variable"/>
    <w:sig w:usb0="0000000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606A6" w14:textId="77777777" w:rsidR="000A1F36" w:rsidRDefault="000A1F36" w:rsidP="004B43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8A09F0" w14:textId="77777777" w:rsidR="000A1F36" w:rsidRDefault="000A1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C6F5C" w14:textId="77777777" w:rsidR="000A1F36" w:rsidRPr="004B4393" w:rsidRDefault="000A1F36" w:rsidP="004B4393">
    <w:pPr>
      <w:pStyle w:val="Footer"/>
      <w:framePr w:wrap="around" w:vAnchor="text" w:hAnchor="margin" w:xAlign="center" w:y="1"/>
      <w:rPr>
        <w:rStyle w:val="PageNumber"/>
        <w:sz w:val="18"/>
        <w:szCs w:val="18"/>
      </w:rPr>
    </w:pPr>
    <w:r w:rsidRPr="004B4393">
      <w:rPr>
        <w:rStyle w:val="PageNumber"/>
        <w:sz w:val="18"/>
        <w:szCs w:val="18"/>
      </w:rPr>
      <w:fldChar w:fldCharType="begin"/>
    </w:r>
    <w:r w:rsidRPr="004B4393">
      <w:rPr>
        <w:rStyle w:val="PageNumber"/>
        <w:sz w:val="18"/>
        <w:szCs w:val="18"/>
      </w:rPr>
      <w:instrText xml:space="preserve">PAGE  </w:instrText>
    </w:r>
    <w:r w:rsidRPr="004B4393">
      <w:rPr>
        <w:rStyle w:val="PageNumber"/>
        <w:sz w:val="18"/>
        <w:szCs w:val="18"/>
      </w:rPr>
      <w:fldChar w:fldCharType="separate"/>
    </w:r>
    <w:r>
      <w:rPr>
        <w:rStyle w:val="PageNumber"/>
        <w:noProof/>
        <w:sz w:val="18"/>
        <w:szCs w:val="18"/>
      </w:rPr>
      <w:t>3</w:t>
    </w:r>
    <w:r w:rsidRPr="004B4393">
      <w:rPr>
        <w:rStyle w:val="PageNumber"/>
        <w:sz w:val="18"/>
        <w:szCs w:val="18"/>
      </w:rPr>
      <w:fldChar w:fldCharType="end"/>
    </w:r>
  </w:p>
  <w:p w14:paraId="71B8CBB3" w14:textId="77777777" w:rsidR="000A1F36" w:rsidRDefault="000A1F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5DDA9" w14:textId="77777777" w:rsidR="000A1F36" w:rsidRDefault="000A1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AD434" w14:textId="77777777" w:rsidR="000A3B49" w:rsidRDefault="000A3B49">
      <w:r>
        <w:separator/>
      </w:r>
    </w:p>
  </w:footnote>
  <w:footnote w:type="continuationSeparator" w:id="0">
    <w:p w14:paraId="434BDA52" w14:textId="77777777" w:rsidR="000A3B49" w:rsidRDefault="000A3B49">
      <w:r>
        <w:continuationSeparator/>
      </w:r>
    </w:p>
  </w:footnote>
  <w:footnote w:id="1">
    <w:p w14:paraId="5B1B2F7A" w14:textId="77777777" w:rsidR="000A1F36" w:rsidRDefault="000A1F36" w:rsidP="004B4393">
      <w:pPr>
        <w:pStyle w:val="FootnoteText"/>
        <w:rPr>
          <w:rFonts w:ascii="Times New Roman" w:hAnsi="Times New Roman"/>
        </w:rPr>
      </w:pPr>
      <w:r>
        <w:rPr>
          <w:rFonts w:ascii="Times New Roman" w:hAnsi="Times New Roman"/>
        </w:rPr>
        <w:tab/>
      </w:r>
      <w:r>
        <w:rPr>
          <w:rStyle w:val="FootnoteReference"/>
          <w:rFonts w:ascii="Times New Roman" w:hAnsi="Times New Roman"/>
          <w:vertAlign w:val="superscript"/>
        </w:rPr>
        <w:footnoteRef/>
      </w:r>
      <w:r>
        <w:rPr>
          <w:rFonts w:ascii="Times New Roman" w:hAnsi="Times New Roman"/>
        </w:rPr>
        <w:t xml:space="preserve"> </w:t>
      </w:r>
      <w:proofErr w:type="spellStart"/>
      <w:r>
        <w:rPr>
          <w:rFonts w:ascii="Times New Roman" w:hAnsi="Times New Roman"/>
        </w:rPr>
        <w:t>Pechman</w:t>
      </w:r>
      <w:proofErr w:type="spellEnd"/>
      <w:r>
        <w:rPr>
          <w:rFonts w:ascii="Times New Roman" w:hAnsi="Times New Roman"/>
        </w:rPr>
        <w:t xml:space="preserve">, C. (2001) A comparison of health communication models: Risk learning versus stereotype priming.  </w:t>
      </w:r>
      <w:r>
        <w:rPr>
          <w:rFonts w:ascii="Times New Roman" w:hAnsi="Times New Roman"/>
          <w:i/>
        </w:rPr>
        <w:t>Media Psychology, 3(2)</w:t>
      </w:r>
      <w:r>
        <w:rPr>
          <w:rFonts w:ascii="Times New Roman" w:hAnsi="Times New Roman"/>
        </w:rPr>
        <w:t xml:space="preserve">: 189-210. </w:t>
      </w:r>
    </w:p>
    <w:p w14:paraId="3CF94A97" w14:textId="77777777" w:rsidR="000A1F36" w:rsidRDefault="000A1F36" w:rsidP="004B4393">
      <w:pPr>
        <w:pStyle w:val="FootnoteText"/>
        <w:rPr>
          <w:rFonts w:ascii="Times New Roman" w:hAnsi="Times New Roman"/>
        </w:rPr>
      </w:pPr>
    </w:p>
  </w:footnote>
  <w:footnote w:id="2">
    <w:p w14:paraId="42AF5294" w14:textId="77777777" w:rsidR="000A1F36" w:rsidRDefault="000A1F36" w:rsidP="004B4393">
      <w:pPr>
        <w:pStyle w:val="FootnoteText"/>
        <w:rPr>
          <w:rFonts w:ascii="Times New Roman" w:hAnsi="Times New Roman"/>
        </w:rPr>
      </w:pPr>
      <w:r>
        <w:rPr>
          <w:rFonts w:ascii="Times New Roman" w:hAnsi="Times New Roman"/>
        </w:rPr>
        <w:tab/>
      </w:r>
      <w:r>
        <w:rPr>
          <w:rStyle w:val="FootnoteReference"/>
          <w:rFonts w:ascii="Times New Roman" w:hAnsi="Times New Roman"/>
          <w:vertAlign w:val="superscript"/>
        </w:rPr>
        <w:footnoteRef/>
      </w:r>
      <w:r>
        <w:rPr>
          <w:rFonts w:ascii="Times New Roman" w:hAnsi="Times New Roman"/>
        </w:rPr>
        <w:t xml:space="preserve"> Delong, D.W., &amp; Fahey, L. (2000) Diagnosing cultural barriers to knowledge management.  </w:t>
      </w:r>
      <w:r>
        <w:rPr>
          <w:rFonts w:ascii="Times New Roman" w:hAnsi="Times New Roman"/>
          <w:i/>
        </w:rPr>
        <w:t xml:space="preserve">The </w:t>
      </w:r>
      <w:smartTag w:uri="urn:schemas-microsoft-com:office:smarttags" w:element="place">
        <w:smartTag w:uri="urn:schemas-microsoft-com:office:smarttags" w:element="PlaceType">
          <w:r>
            <w:rPr>
              <w:rFonts w:ascii="Times New Roman" w:hAnsi="Times New Roman"/>
              <w:i/>
            </w:rPr>
            <w:t>Academy</w:t>
          </w:r>
        </w:smartTag>
        <w:r>
          <w:rPr>
            <w:rFonts w:ascii="Times New Roman" w:hAnsi="Times New Roman"/>
            <w:i/>
          </w:rPr>
          <w:t xml:space="preserve"> of </w:t>
        </w:r>
        <w:smartTag w:uri="urn:schemas-microsoft-com:office:smarttags" w:element="PlaceName">
          <w:r>
            <w:rPr>
              <w:rFonts w:ascii="Times New Roman" w:hAnsi="Times New Roman"/>
              <w:i/>
            </w:rPr>
            <w:t>Management</w:t>
          </w:r>
        </w:smartTag>
      </w:smartTag>
      <w:r>
        <w:rPr>
          <w:rFonts w:ascii="Times New Roman" w:hAnsi="Times New Roman"/>
          <w:i/>
        </w:rPr>
        <w:t xml:space="preserve"> Executive, 14(4)</w:t>
      </w:r>
      <w:r>
        <w:rPr>
          <w:rFonts w:ascii="Times New Roman" w:hAnsi="Times New Roman"/>
        </w:rPr>
        <w:t>: 113-127.</w:t>
      </w:r>
    </w:p>
    <w:p w14:paraId="5AFFDBCB" w14:textId="77777777" w:rsidR="000A1F36" w:rsidRDefault="000A1F36" w:rsidP="004B4393">
      <w:pPr>
        <w:pStyle w:val="FootnoteText"/>
        <w:rPr>
          <w:rFonts w:ascii="Times New Roman" w:hAnsi="Times New Roman"/>
        </w:rPr>
      </w:pPr>
    </w:p>
  </w:footnote>
  <w:footnote w:id="3">
    <w:p w14:paraId="249FE765" w14:textId="77777777" w:rsidR="000A1F36" w:rsidRDefault="000A1F36" w:rsidP="004B4393">
      <w:pPr>
        <w:spacing w:after="240"/>
        <w:rPr>
          <w:rFonts w:ascii="Times New Roman" w:hAnsi="Times New Roman"/>
          <w:sz w:val="20"/>
        </w:rPr>
      </w:pPr>
      <w:r>
        <w:rPr>
          <w:rFonts w:ascii="Times New Roman" w:hAnsi="Times New Roman"/>
          <w:sz w:val="20"/>
        </w:rPr>
        <w:tab/>
      </w:r>
      <w:r>
        <w:rPr>
          <w:rStyle w:val="FootnoteReference"/>
          <w:rFonts w:ascii="Times New Roman" w:hAnsi="Times New Roman"/>
          <w:sz w:val="20"/>
          <w:vertAlign w:val="superscript"/>
        </w:rPr>
        <w:footnoteRef/>
      </w:r>
      <w:r>
        <w:rPr>
          <w:rFonts w:ascii="Times New Roman" w:hAnsi="Times New Roman"/>
          <w:sz w:val="20"/>
        </w:rPr>
        <w:t xml:space="preserve">Andreasen, A. 1995 </w:t>
      </w:r>
      <w:r>
        <w:rPr>
          <w:rFonts w:ascii="Times New Roman" w:hAnsi="Times New Roman"/>
          <w:i/>
          <w:sz w:val="20"/>
        </w:rPr>
        <w:t>Marketing Social Change</w:t>
      </w:r>
      <w:r>
        <w:rPr>
          <w:rFonts w:ascii="Times New Roman" w:hAnsi="Times New Roman"/>
          <w:sz w:val="20"/>
        </w:rPr>
        <w:t xml:space="preserve">. San Francisco, Jossey-Bass.  </w:t>
      </w:r>
    </w:p>
  </w:footnote>
  <w:footnote w:id="4">
    <w:p w14:paraId="257CCFB5" w14:textId="77777777" w:rsidR="000A1F36" w:rsidRDefault="000A1F36" w:rsidP="004B4393">
      <w:pPr>
        <w:pStyle w:val="FootnoteText"/>
        <w:rPr>
          <w:rFonts w:ascii="Times New Roman" w:hAnsi="Times New Roman"/>
        </w:rPr>
      </w:pPr>
      <w:r>
        <w:rPr>
          <w:rFonts w:ascii="Times New Roman" w:hAnsi="Times New Roman"/>
        </w:rPr>
        <w:tab/>
      </w:r>
      <w:r>
        <w:rPr>
          <w:rStyle w:val="FootnoteReference"/>
          <w:rFonts w:ascii="Times New Roman" w:hAnsi="Times New Roman"/>
          <w:vertAlign w:val="superscript"/>
        </w:rPr>
        <w:footnoteRef/>
      </w:r>
      <w:r>
        <w:rPr>
          <w:rFonts w:ascii="Times New Roman" w:hAnsi="Times New Roman"/>
        </w:rPr>
        <w:t xml:space="preserve"> Black, D.R., Blue, C.L., &amp; </w:t>
      </w:r>
      <w:proofErr w:type="spellStart"/>
      <w:r>
        <w:rPr>
          <w:rFonts w:ascii="Times New Roman" w:hAnsi="Times New Roman"/>
        </w:rPr>
        <w:t>Coster</w:t>
      </w:r>
      <w:proofErr w:type="spellEnd"/>
      <w:r>
        <w:rPr>
          <w:rFonts w:ascii="Times New Roman" w:hAnsi="Times New Roman"/>
        </w:rPr>
        <w:t xml:space="preserve">, D.C. (2001) Using social marketing to develop and test tailored messages.  </w:t>
      </w:r>
      <w:r>
        <w:rPr>
          <w:rFonts w:ascii="Times New Roman" w:hAnsi="Times New Roman"/>
          <w:i/>
        </w:rPr>
        <w:t>American Journal of Health Behavior, 25(3)</w:t>
      </w:r>
      <w:r>
        <w:rPr>
          <w:rFonts w:ascii="Times New Roman" w:hAnsi="Times New Roman"/>
        </w:rPr>
        <w:t>: 260-271.</w:t>
      </w:r>
    </w:p>
    <w:p w14:paraId="40390734" w14:textId="77777777" w:rsidR="000A1F36" w:rsidRDefault="000A1F36" w:rsidP="004B4393">
      <w:pPr>
        <w:pStyle w:val="FootnoteText"/>
        <w:rPr>
          <w:rFonts w:ascii="Times New Roman" w:hAnsi="Times New Roman"/>
        </w:rPr>
      </w:pPr>
    </w:p>
  </w:footnote>
  <w:footnote w:id="5">
    <w:p w14:paraId="66D6356C" w14:textId="77777777" w:rsidR="000A1F36" w:rsidRDefault="000A1F36" w:rsidP="004B4393">
      <w:pPr>
        <w:pStyle w:val="FootnoteText"/>
        <w:rPr>
          <w:rFonts w:ascii="Times New Roman" w:hAnsi="Times New Roman"/>
        </w:rPr>
      </w:pPr>
      <w:r>
        <w:rPr>
          <w:rFonts w:ascii="Times New Roman" w:hAnsi="Times New Roman"/>
        </w:rPr>
        <w:tab/>
      </w:r>
      <w:r>
        <w:rPr>
          <w:rStyle w:val="FootnoteReference"/>
          <w:rFonts w:ascii="Times New Roman" w:hAnsi="Times New Roman"/>
          <w:vertAlign w:val="superscript"/>
        </w:rPr>
        <w:footnoteRef/>
      </w:r>
      <w:r>
        <w:rPr>
          <w:rFonts w:ascii="Times New Roman" w:hAnsi="Times New Roman"/>
        </w:rPr>
        <w:t xml:space="preserve"> </w:t>
      </w:r>
      <w:proofErr w:type="spellStart"/>
      <w:r>
        <w:rPr>
          <w:rFonts w:ascii="Times New Roman" w:hAnsi="Times New Roman"/>
        </w:rPr>
        <w:t>Wallendorf</w:t>
      </w:r>
      <w:proofErr w:type="spellEnd"/>
      <w:r>
        <w:rPr>
          <w:rFonts w:ascii="Times New Roman" w:hAnsi="Times New Roman"/>
        </w:rPr>
        <w:t xml:space="preserve">, M. (2001) Literally literacy.  </w:t>
      </w:r>
      <w:r>
        <w:rPr>
          <w:rFonts w:ascii="Times New Roman" w:hAnsi="Times New Roman"/>
          <w:i/>
        </w:rPr>
        <w:t>The Journal of Consumer Research, 27(4)</w:t>
      </w:r>
      <w:r>
        <w:rPr>
          <w:rFonts w:ascii="Times New Roman" w:hAnsi="Times New Roman"/>
        </w:rPr>
        <w:t>: 505-511.</w:t>
      </w:r>
    </w:p>
    <w:p w14:paraId="42CC60C7" w14:textId="77777777" w:rsidR="000A1F36" w:rsidRDefault="000A1F36" w:rsidP="004B4393">
      <w:pPr>
        <w:pStyle w:val="FootnoteText"/>
        <w:rPr>
          <w:rFonts w:ascii="Times New Roman" w:hAnsi="Times New Roman"/>
        </w:rPr>
      </w:pPr>
    </w:p>
  </w:footnote>
  <w:footnote w:id="6">
    <w:p w14:paraId="35A98564" w14:textId="77777777" w:rsidR="000A1F36" w:rsidRDefault="000A1F36" w:rsidP="004B4393">
      <w:pPr>
        <w:pStyle w:val="FootnoteText"/>
        <w:rPr>
          <w:rFonts w:ascii="Times New Roman" w:hAnsi="Times New Roman"/>
        </w:rPr>
      </w:pPr>
      <w:r>
        <w:rPr>
          <w:rFonts w:ascii="Times New Roman" w:hAnsi="Times New Roman"/>
        </w:rPr>
        <w:tab/>
      </w:r>
      <w:r>
        <w:rPr>
          <w:rStyle w:val="FootnoteReference"/>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Harris-</w:t>
      </w:r>
      <w:proofErr w:type="spellStart"/>
      <w:r>
        <w:rPr>
          <w:rFonts w:ascii="Times New Roman" w:hAnsi="Times New Roman"/>
        </w:rPr>
        <w:t>Kojetin</w:t>
      </w:r>
      <w:proofErr w:type="spellEnd"/>
      <w:r>
        <w:rPr>
          <w:rFonts w:ascii="Times New Roman" w:hAnsi="Times New Roman"/>
        </w:rPr>
        <w:t xml:space="preserve">, D., McCormack, </w:t>
      </w:r>
      <w:smartTag w:uri="urn:schemas-microsoft-com:office:smarttags" w:element="City">
        <w:r>
          <w:rPr>
            <w:rFonts w:ascii="Times New Roman" w:hAnsi="Times New Roman"/>
          </w:rPr>
          <w:t>L.A.</w:t>
        </w:r>
      </w:smartTag>
      <w:r>
        <w:rPr>
          <w:rFonts w:ascii="Times New Roman" w:hAnsi="Times New Roman"/>
        </w:rPr>
        <w:t xml:space="preserve">, Jael, </w:t>
      </w:r>
      <w:smartTag w:uri="urn:schemas-microsoft-com:office:smarttags" w:element="City">
        <w:r>
          <w:rPr>
            <w:rFonts w:ascii="Times New Roman" w:hAnsi="Times New Roman"/>
          </w:rPr>
          <w:t>L.A.</w:t>
        </w:r>
      </w:smartTag>
      <w:r>
        <w:rPr>
          <w:rFonts w:ascii="Times New Roman" w:hAnsi="Times New Roman"/>
        </w:rPr>
        <w:t xml:space="preserve">, </w:t>
      </w:r>
      <w:proofErr w:type="spellStart"/>
      <w:r>
        <w:rPr>
          <w:rFonts w:ascii="Times New Roman" w:hAnsi="Times New Roman"/>
        </w:rPr>
        <w:t>Sangl</w:t>
      </w:r>
      <w:proofErr w:type="spellEnd"/>
      <w:r>
        <w:rPr>
          <w:rFonts w:ascii="Times New Roman" w:hAnsi="Times New Roman"/>
        </w:rPr>
        <w:t xml:space="preserve">, E.F., &amp; </w:t>
      </w:r>
      <w:smartTag w:uri="urn:schemas-microsoft-com:office:smarttags" w:element="place">
        <w:smartTag w:uri="urn:schemas-microsoft-com:office:smarttags" w:element="City">
          <w:r>
            <w:rPr>
              <w:rFonts w:ascii="Times New Roman" w:hAnsi="Times New Roman"/>
            </w:rPr>
            <w:t>Garfinkel</w:t>
          </w:r>
        </w:smartTag>
        <w:r>
          <w:rPr>
            <w:rFonts w:ascii="Times New Roman" w:hAnsi="Times New Roman"/>
          </w:rPr>
          <w:t xml:space="preserve">, </w:t>
        </w:r>
        <w:smartTag w:uri="urn:schemas-microsoft-com:office:smarttags" w:element="country-region">
          <w:r>
            <w:rPr>
              <w:rFonts w:ascii="Times New Roman" w:hAnsi="Times New Roman"/>
            </w:rPr>
            <w:t>S.A.</w:t>
          </w:r>
        </w:smartTag>
      </w:smartTag>
      <w:r>
        <w:rPr>
          <w:rFonts w:ascii="Times New Roman" w:hAnsi="Times New Roman"/>
        </w:rPr>
        <w:t xml:space="preserve"> (2001) Creating more effective health plan quality reports for consumers: Lessons from a synthesis of quality testing.  </w:t>
      </w:r>
      <w:r>
        <w:rPr>
          <w:rFonts w:ascii="Times New Roman" w:hAnsi="Times New Roman"/>
          <w:i/>
        </w:rPr>
        <w:t>Health Services Research, 36(3)</w:t>
      </w:r>
      <w:r>
        <w:rPr>
          <w:rFonts w:ascii="Times New Roman" w:hAnsi="Times New Roman"/>
        </w:rPr>
        <w:t>: 447-476.</w:t>
      </w:r>
    </w:p>
  </w:footnote>
  <w:footnote w:id="7">
    <w:p w14:paraId="436F11AA" w14:textId="77777777" w:rsidR="000A1F36" w:rsidRDefault="000A1F36" w:rsidP="004B4393">
      <w:pPr>
        <w:pStyle w:val="FootnoteText"/>
        <w:ind w:firstLine="720"/>
        <w:rPr>
          <w:rFonts w:ascii="Times New Roman" w:hAnsi="Times New Roman"/>
        </w:rPr>
      </w:pPr>
      <w:r>
        <w:rPr>
          <w:rStyle w:val="FootnoteReference"/>
          <w:rFonts w:ascii="Times New Roman" w:hAnsi="Times New Roman"/>
          <w:vertAlign w:val="superscript"/>
        </w:rPr>
        <w:footnoteRef/>
      </w:r>
      <w:r>
        <w:rPr>
          <w:rFonts w:ascii="Times New Roman" w:hAnsi="Times New Roman"/>
          <w:vertAlign w:val="superscript"/>
        </w:rPr>
        <w:t xml:space="preserve"> </w:t>
      </w:r>
      <w:proofErr w:type="spellStart"/>
      <w:r>
        <w:rPr>
          <w:rFonts w:ascii="Times New Roman" w:hAnsi="Times New Roman"/>
        </w:rPr>
        <w:t>Stempel</w:t>
      </w:r>
      <w:proofErr w:type="spellEnd"/>
      <w:r>
        <w:rPr>
          <w:rFonts w:ascii="Times New Roman" w:hAnsi="Times New Roman"/>
        </w:rPr>
        <w:t xml:space="preserve">, G.H., Stewart, R.K. (2000) The internet provides both opportunities and challenges for mass communication researchers.  </w:t>
      </w:r>
      <w:r>
        <w:rPr>
          <w:rFonts w:ascii="Times New Roman" w:hAnsi="Times New Roman"/>
          <w:i/>
        </w:rPr>
        <w:t>Journalism and Mass Communication Quarterly, 77(3):</w:t>
      </w:r>
      <w:r>
        <w:rPr>
          <w:rFonts w:ascii="Times New Roman" w:hAnsi="Times New Roman"/>
        </w:rPr>
        <w:t>541-548.</w:t>
      </w:r>
    </w:p>
  </w:footnote>
  <w:footnote w:id="8">
    <w:p w14:paraId="1705736A" w14:textId="77777777" w:rsidR="000A1F36" w:rsidRDefault="000A1F36" w:rsidP="004B4393">
      <w:pPr>
        <w:pStyle w:val="FootnoteText"/>
        <w:ind w:firstLine="720"/>
        <w:rPr>
          <w:rFonts w:ascii="Times New Roman" w:hAnsi="Times New Roman"/>
        </w:rPr>
      </w:pPr>
      <w:r>
        <w:rPr>
          <w:rStyle w:val="FootnoteReference"/>
          <w:rFonts w:ascii="Times New Roman" w:hAnsi="Times New Roman"/>
          <w:vertAlign w:val="superscript"/>
        </w:rPr>
        <w:footnoteRef/>
      </w:r>
      <w:r>
        <w:rPr>
          <w:rFonts w:ascii="Times New Roman" w:hAnsi="Times New Roman"/>
        </w:rPr>
        <w:t xml:space="preserve"> Bourque, L.B. &amp; Fielder, E.P. (1995) </w:t>
      </w:r>
      <w:r>
        <w:rPr>
          <w:rFonts w:ascii="Times New Roman" w:hAnsi="Times New Roman"/>
          <w:i/>
        </w:rPr>
        <w:t>How to Conduct Self-Administered and Mail Surveys</w:t>
      </w:r>
      <w:r>
        <w:rPr>
          <w:rFonts w:ascii="Times New Roman" w:hAnsi="Times New Roman"/>
        </w:rPr>
        <w:t xml:space="preserve">. Sage: </w:t>
      </w:r>
      <w:smartTag w:uri="urn:schemas-microsoft-com:office:smarttags" w:element="place">
        <w:smartTag w:uri="urn:schemas-microsoft-com:office:smarttags" w:element="City">
          <w:r>
            <w:rPr>
              <w:rFonts w:ascii="Times New Roman" w:hAnsi="Times New Roman"/>
            </w:rPr>
            <w:t>Thousand Oaks</w:t>
          </w:r>
        </w:smartTag>
        <w:r>
          <w:rPr>
            <w:rFonts w:ascii="Times New Roman" w:hAnsi="Times New Roman"/>
          </w:rPr>
          <w:t xml:space="preserve">, </w:t>
        </w:r>
        <w:smartTag w:uri="urn:schemas-microsoft-com:office:smarttags" w:element="State">
          <w:r>
            <w:rPr>
              <w:rFonts w:ascii="Times New Roman" w:hAnsi="Times New Roman"/>
            </w:rPr>
            <w:t>CA</w:t>
          </w:r>
        </w:smartTag>
      </w:smartTag>
      <w:r>
        <w:rPr>
          <w:rFonts w:ascii="Times New Roman" w:hAnsi="Times New Roman"/>
        </w:rPr>
        <w:t>.</w:t>
      </w:r>
    </w:p>
  </w:footnote>
  <w:footnote w:id="9">
    <w:p w14:paraId="47295604" w14:textId="77777777" w:rsidR="000A1F36" w:rsidRDefault="000A1F36" w:rsidP="004B4393">
      <w:pPr>
        <w:spacing w:after="120"/>
        <w:ind w:firstLine="720"/>
        <w:rPr>
          <w:sz w:val="20"/>
        </w:rPr>
      </w:pPr>
      <w:r>
        <w:rPr>
          <w:rStyle w:val="FootnoteReference"/>
          <w:rFonts w:ascii="Times New Roman" w:hAnsi="Times New Roman"/>
          <w:sz w:val="20"/>
          <w:vertAlign w:val="superscript"/>
        </w:rPr>
        <w:footnoteRef/>
      </w:r>
      <w:r>
        <w:rPr>
          <w:sz w:val="20"/>
          <w:vertAlign w:val="superscript"/>
        </w:rPr>
        <w:t xml:space="preserve"> </w:t>
      </w:r>
      <w:r>
        <w:rPr>
          <w:sz w:val="20"/>
        </w:rPr>
        <w:t xml:space="preserve">Church, A.H. (1993).  Estimating the Effect of Incentives on </w:t>
      </w:r>
      <w:proofErr w:type="gramStart"/>
      <w:r>
        <w:rPr>
          <w:sz w:val="20"/>
        </w:rPr>
        <w:t>Mail  Survey</w:t>
      </w:r>
      <w:proofErr w:type="gramEnd"/>
      <w:r>
        <w:rPr>
          <w:sz w:val="20"/>
        </w:rPr>
        <w:t xml:space="preserve"> Response Rates:  A</w:t>
      </w:r>
      <w:r>
        <w:rPr>
          <w:i/>
          <w:sz w:val="20"/>
        </w:rPr>
        <w:t xml:space="preserve"> </w:t>
      </w:r>
      <w:r>
        <w:rPr>
          <w:sz w:val="20"/>
        </w:rPr>
        <w:t>Meta</w:t>
      </w:r>
      <w:r>
        <w:rPr>
          <w:sz w:val="20"/>
        </w:rPr>
        <w:noBreakHyphen/>
        <w:t xml:space="preserve">Analysis.  </w:t>
      </w:r>
      <w:r>
        <w:rPr>
          <w:i/>
          <w:sz w:val="20"/>
        </w:rPr>
        <w:t>Public Opinion Quarterly, 57,</w:t>
      </w:r>
      <w:r>
        <w:rPr>
          <w:sz w:val="20"/>
        </w:rPr>
        <w:t xml:space="preserve"> 62</w:t>
      </w:r>
      <w:r>
        <w:rPr>
          <w:sz w:val="20"/>
        </w:rPr>
        <w:noBreakHyphen/>
        <w:t>79.</w:t>
      </w:r>
    </w:p>
  </w:footnote>
  <w:footnote w:id="10">
    <w:p w14:paraId="17D5AD40" w14:textId="77777777" w:rsidR="000A1F36" w:rsidRDefault="000A1F36" w:rsidP="004B4393">
      <w:pPr>
        <w:pStyle w:val="FootnoteText"/>
        <w:ind w:firstLine="720"/>
      </w:pPr>
      <w:r>
        <w:rPr>
          <w:rStyle w:val="FootnoteReference"/>
          <w:vertAlign w:val="superscript"/>
        </w:rPr>
        <w:footnoteRef/>
      </w:r>
      <w:r>
        <w:t xml:space="preserve"> Findlay, J.S., &amp; </w:t>
      </w:r>
      <w:proofErr w:type="spellStart"/>
      <w:r>
        <w:t>Shaible</w:t>
      </w:r>
      <w:proofErr w:type="spellEnd"/>
      <w:r>
        <w:t xml:space="preserve">, W. L.  (1980). A Study of the Effect of Increased Remuneration on Response in a Health and Nutrition Examination Survey. </w:t>
      </w:r>
      <w:r>
        <w:rPr>
          <w:rFonts w:ascii="Times New Roman" w:hAnsi="Times New Roman"/>
        </w:rPr>
        <w:t xml:space="preserve">In the American Statistical Association (ed.), </w:t>
      </w:r>
      <w:r>
        <w:rPr>
          <w:rFonts w:ascii="Times New Roman" w:hAnsi="Times New Roman"/>
          <w:i/>
        </w:rPr>
        <w:t>Proceedings of the American Statistical Association Section on Survey Research Method</w:t>
      </w:r>
      <w:r>
        <w:t xml:space="preserve">. (pp. 590-594).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American Statistical Association.</w:t>
      </w:r>
    </w:p>
    <w:p w14:paraId="7B6422E6" w14:textId="77777777" w:rsidR="000A1F36" w:rsidRPr="00A848BC" w:rsidRDefault="000A1F36" w:rsidP="004B4393">
      <w:pPr>
        <w:pStyle w:val="FootnoteText"/>
        <w:ind w:firstLine="720"/>
        <w:rPr>
          <w:sz w:val="12"/>
          <w:szCs w:val="12"/>
        </w:rPr>
      </w:pPr>
    </w:p>
  </w:footnote>
  <w:footnote w:id="11">
    <w:p w14:paraId="4B9BC9AA" w14:textId="77777777" w:rsidR="000A1F36" w:rsidRDefault="000A1F36" w:rsidP="004B4393">
      <w:pPr>
        <w:pStyle w:val="FootnoteText"/>
        <w:ind w:firstLine="720"/>
      </w:pPr>
      <w:r>
        <w:rPr>
          <w:rStyle w:val="FootnoteReference"/>
          <w:vertAlign w:val="superscript"/>
        </w:rPr>
        <w:footnoteRef/>
      </w:r>
      <w:r>
        <w:rPr>
          <w:vertAlign w:val="superscript"/>
        </w:rPr>
        <w:t xml:space="preserve"> </w:t>
      </w:r>
      <w:proofErr w:type="spellStart"/>
      <w:r>
        <w:t>Kulka</w:t>
      </w:r>
      <w:proofErr w:type="spellEnd"/>
      <w:r>
        <w:t xml:space="preserve"> (1994).</w:t>
      </w:r>
    </w:p>
    <w:p w14:paraId="32945F31" w14:textId="77777777" w:rsidR="000A1F36" w:rsidRPr="00A848BC" w:rsidRDefault="000A1F36" w:rsidP="004B4393">
      <w:pPr>
        <w:pStyle w:val="FootnoteText"/>
        <w:ind w:firstLine="720"/>
        <w:rPr>
          <w:sz w:val="12"/>
          <w:szCs w:val="12"/>
        </w:rPr>
      </w:pPr>
    </w:p>
  </w:footnote>
  <w:footnote w:id="12">
    <w:p w14:paraId="0114ABE1" w14:textId="77777777" w:rsidR="000A1F36" w:rsidRDefault="000A1F36" w:rsidP="004B4393">
      <w:pPr>
        <w:spacing w:after="120"/>
        <w:ind w:firstLine="720"/>
        <w:rPr>
          <w:rFonts w:ascii="Times New Roman" w:hAnsi="Times New Roman"/>
          <w:sz w:val="20"/>
        </w:rPr>
      </w:pPr>
      <w:r>
        <w:rPr>
          <w:rStyle w:val="FootnoteReference"/>
          <w:rFonts w:ascii="Times New Roman" w:hAnsi="Times New Roman"/>
          <w:sz w:val="20"/>
          <w:vertAlign w:val="superscript"/>
        </w:rPr>
        <w:footnoteRef/>
      </w:r>
      <w:r>
        <w:rPr>
          <w:rFonts w:ascii="Times New Roman" w:hAnsi="Times New Roman"/>
          <w:sz w:val="20"/>
          <w:vertAlign w:val="superscript"/>
        </w:rPr>
        <w:t xml:space="preserve"> </w:t>
      </w:r>
      <w:r>
        <w:rPr>
          <w:rFonts w:ascii="Times New Roman" w:hAnsi="Times New Roman"/>
          <w:sz w:val="20"/>
        </w:rPr>
        <w:t xml:space="preserve">Berlin, M., </w:t>
      </w:r>
      <w:proofErr w:type="spellStart"/>
      <w:r>
        <w:rPr>
          <w:rFonts w:ascii="Times New Roman" w:hAnsi="Times New Roman"/>
          <w:sz w:val="20"/>
        </w:rPr>
        <w:t>Mohadjer</w:t>
      </w:r>
      <w:proofErr w:type="spellEnd"/>
      <w:r>
        <w:rPr>
          <w:rFonts w:ascii="Times New Roman" w:hAnsi="Times New Roman"/>
          <w:sz w:val="20"/>
        </w:rPr>
        <w:t xml:space="preserve">, L., </w:t>
      </w:r>
      <w:proofErr w:type="spellStart"/>
      <w:r>
        <w:rPr>
          <w:rFonts w:ascii="Times New Roman" w:hAnsi="Times New Roman"/>
          <w:sz w:val="20"/>
        </w:rPr>
        <w:t>Waksberg</w:t>
      </w:r>
      <w:proofErr w:type="spellEnd"/>
      <w:r>
        <w:rPr>
          <w:rFonts w:ascii="Times New Roman" w:hAnsi="Times New Roman"/>
          <w:sz w:val="20"/>
        </w:rPr>
        <w:t xml:space="preserve">, J., Kolstad, A., Kirsch, I., Rock, D., &amp; Yamamoto, K. (1992).  An experiment in monetary incentives. In the American Statistical Association (ed.), </w:t>
      </w:r>
      <w:r>
        <w:rPr>
          <w:rFonts w:ascii="Times New Roman" w:hAnsi="Times New Roman"/>
          <w:i/>
          <w:sz w:val="20"/>
        </w:rPr>
        <w:t xml:space="preserve">Proceedings of the American Statistical Association Section on Survey Research Methods </w:t>
      </w:r>
      <w:r>
        <w:rPr>
          <w:rFonts w:ascii="Times New Roman" w:hAnsi="Times New Roman"/>
          <w:sz w:val="20"/>
        </w:rPr>
        <w:t xml:space="preserve">(pp. 393-398).  </w:t>
      </w:r>
      <w:smartTag w:uri="urn:schemas-microsoft-com:office:smarttags" w:element="place">
        <w:smartTag w:uri="urn:schemas-microsoft-com:office:smarttags" w:element="City">
          <w:r>
            <w:rPr>
              <w:rFonts w:ascii="Times New Roman" w:hAnsi="Times New Roman"/>
              <w:sz w:val="20"/>
            </w:rPr>
            <w:t>Alexandria</w:t>
          </w:r>
        </w:smartTag>
        <w:r>
          <w:rPr>
            <w:rFonts w:ascii="Times New Roman" w:hAnsi="Times New Roman"/>
            <w:sz w:val="20"/>
          </w:rPr>
          <w:t xml:space="preserve">, </w:t>
        </w:r>
        <w:smartTag w:uri="urn:schemas-microsoft-com:office:smarttags" w:element="State">
          <w:r>
            <w:rPr>
              <w:rFonts w:ascii="Times New Roman" w:hAnsi="Times New Roman"/>
              <w:sz w:val="20"/>
            </w:rPr>
            <w:t>VA</w:t>
          </w:r>
        </w:smartTag>
      </w:smartTag>
      <w:r>
        <w:rPr>
          <w:rFonts w:ascii="Times New Roman" w:hAnsi="Times New Roman"/>
          <w:sz w:val="20"/>
        </w:rPr>
        <w:t xml:space="preserve">:  American Statistical Association. </w:t>
      </w:r>
    </w:p>
    <w:p w14:paraId="11127862" w14:textId="77777777" w:rsidR="000A1F36" w:rsidRDefault="000A1F36" w:rsidP="004B439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AFB83" w14:textId="77777777" w:rsidR="000A1F36" w:rsidRDefault="000A1F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066B5" w14:textId="77777777" w:rsidR="000A1F36" w:rsidRDefault="000A1F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FFD9B" w14:textId="77777777" w:rsidR="000A1F36" w:rsidRDefault="000A1F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270"/>
      </w:pPr>
      <w:rPr>
        <w:rFonts w:ascii="NewBskvll BT" w:hAnsi="NewBskvll BT"/>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A862AC"/>
    <w:multiLevelType w:val="hybridMultilevel"/>
    <w:tmpl w:val="3E70A408"/>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DE6565"/>
    <w:multiLevelType w:val="hybridMultilevel"/>
    <w:tmpl w:val="1DE05CFE"/>
    <w:lvl w:ilvl="0" w:tplc="A44EE664">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045E4347"/>
    <w:multiLevelType w:val="hybridMultilevel"/>
    <w:tmpl w:val="28522F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B06735"/>
    <w:multiLevelType w:val="hybridMultilevel"/>
    <w:tmpl w:val="53E4C2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0C22E6"/>
    <w:multiLevelType w:val="hybridMultilevel"/>
    <w:tmpl w:val="BFC6939A"/>
    <w:lvl w:ilvl="0" w:tplc="13340088">
      <w:start w:val="1"/>
      <w:numFmt w:val="decimal"/>
      <w:lvlText w:val="%1."/>
      <w:lvlJc w:val="left"/>
      <w:pPr>
        <w:tabs>
          <w:tab w:val="num" w:pos="720"/>
        </w:tabs>
        <w:ind w:left="720" w:hanging="360"/>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216CCE"/>
    <w:multiLevelType w:val="hybridMultilevel"/>
    <w:tmpl w:val="DD8035EC"/>
    <w:lvl w:ilvl="0" w:tplc="A9A0D852">
      <w:start w:val="1"/>
      <w:numFmt w:val="bullet"/>
      <w:lvlText w:val=""/>
      <w:lvlJc w:val="left"/>
      <w:pPr>
        <w:tabs>
          <w:tab w:val="num" w:pos="1080"/>
        </w:tabs>
        <w:ind w:left="1080" w:hanging="288"/>
      </w:pPr>
      <w:rPr>
        <w:rFonts w:ascii="Wingdings" w:hAnsi="Wingdings"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0456CCB"/>
    <w:multiLevelType w:val="hybridMultilevel"/>
    <w:tmpl w:val="0EBC843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471E20"/>
    <w:multiLevelType w:val="hybridMultilevel"/>
    <w:tmpl w:val="C7442D6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84403D"/>
    <w:multiLevelType w:val="hybridMultilevel"/>
    <w:tmpl w:val="2C505814"/>
    <w:lvl w:ilvl="0" w:tplc="7B8E88CE">
      <w:start w:val="1"/>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3206A22"/>
    <w:multiLevelType w:val="hybridMultilevel"/>
    <w:tmpl w:val="53B6BC90"/>
    <w:lvl w:ilvl="0" w:tplc="0409000F">
      <w:start w:val="1"/>
      <w:numFmt w:val="decimal"/>
      <w:lvlText w:val="%1."/>
      <w:lvlJc w:val="left"/>
      <w:pPr>
        <w:tabs>
          <w:tab w:val="num" w:pos="720"/>
        </w:tabs>
        <w:ind w:left="720" w:hanging="360"/>
      </w:pPr>
    </w:lvl>
    <w:lvl w:ilvl="1" w:tplc="33DC0F18">
      <w:start w:val="2"/>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5854BDC"/>
    <w:multiLevelType w:val="hybridMultilevel"/>
    <w:tmpl w:val="1B8E78A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732217B"/>
    <w:multiLevelType w:val="hybridMultilevel"/>
    <w:tmpl w:val="D7FEC766"/>
    <w:lvl w:ilvl="0" w:tplc="E22436F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901033E8">
      <w:start w:val="1"/>
      <w:numFmt w:val="decimal"/>
      <w:lvlText w:val="%3."/>
      <w:lvlJc w:val="left"/>
      <w:pPr>
        <w:tabs>
          <w:tab w:val="num" w:pos="2628"/>
        </w:tabs>
        <w:ind w:left="2628" w:hanging="288"/>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7CF09BA"/>
    <w:multiLevelType w:val="hybridMultilevel"/>
    <w:tmpl w:val="ACC69B64"/>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F113F"/>
    <w:multiLevelType w:val="hybridMultilevel"/>
    <w:tmpl w:val="7E365B3C"/>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91022D0"/>
    <w:multiLevelType w:val="hybridMultilevel"/>
    <w:tmpl w:val="94AE5EB4"/>
    <w:lvl w:ilvl="0" w:tplc="7B8E88CE">
      <w:start w:val="1"/>
      <w:numFmt w:val="bullet"/>
      <w:lvlText w:val=""/>
      <w:lvlJc w:val="left"/>
      <w:pPr>
        <w:tabs>
          <w:tab w:val="num" w:pos="648"/>
        </w:tabs>
        <w:ind w:left="648" w:hanging="360"/>
      </w:pPr>
      <w:rPr>
        <w:rFonts w:ascii="Symbol" w:hAnsi="Symbol" w:hint="default"/>
        <w:sz w:val="18"/>
      </w:rPr>
    </w:lvl>
    <w:lvl w:ilvl="1" w:tplc="04090003">
      <w:start w:val="1"/>
      <w:numFmt w:val="bullet"/>
      <w:lvlText w:val="o"/>
      <w:lvlJc w:val="left"/>
      <w:pPr>
        <w:tabs>
          <w:tab w:val="num" w:pos="648"/>
        </w:tabs>
        <w:ind w:left="648" w:hanging="360"/>
      </w:pPr>
      <w:rPr>
        <w:rFonts w:ascii="Courier New" w:hAnsi="Courier New" w:cs="Courier New" w:hint="default"/>
      </w:rPr>
    </w:lvl>
    <w:lvl w:ilvl="2" w:tplc="04090005">
      <w:start w:val="1"/>
      <w:numFmt w:val="bullet"/>
      <w:lvlText w:val=""/>
      <w:lvlJc w:val="left"/>
      <w:pPr>
        <w:tabs>
          <w:tab w:val="num" w:pos="1368"/>
        </w:tabs>
        <w:ind w:left="1368" w:hanging="360"/>
      </w:pPr>
      <w:rPr>
        <w:rFonts w:ascii="Wingdings" w:hAnsi="Wingdings" w:hint="default"/>
      </w:rPr>
    </w:lvl>
    <w:lvl w:ilvl="3" w:tplc="04090001"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cs="Courier New"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Courier New"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16" w15:restartNumberingAfterBreak="0">
    <w:nsid w:val="228F0DD5"/>
    <w:multiLevelType w:val="hybridMultilevel"/>
    <w:tmpl w:val="D24C3F8E"/>
    <w:lvl w:ilvl="0" w:tplc="A44EE664">
      <w:start w:val="1"/>
      <w:numFmt w:val="bullet"/>
      <w:lvlText w:val=""/>
      <w:lvlJc w:val="left"/>
      <w:pPr>
        <w:tabs>
          <w:tab w:val="num" w:pos="720"/>
        </w:tabs>
        <w:ind w:left="720" w:hanging="360"/>
      </w:pPr>
      <w:rPr>
        <w:rFonts w:ascii="Symbol" w:hAnsi="Symbol" w:hint="default"/>
        <w:b w:val="0"/>
        <w:i w:val="0"/>
        <w:sz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A025720"/>
    <w:multiLevelType w:val="hybridMultilevel"/>
    <w:tmpl w:val="4C16761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443256"/>
    <w:multiLevelType w:val="hybridMultilevel"/>
    <w:tmpl w:val="96D4F2D2"/>
    <w:lvl w:ilvl="0" w:tplc="BCDAAD82">
      <w:start w:val="1"/>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ABB7A30"/>
    <w:multiLevelType w:val="hybridMultilevel"/>
    <w:tmpl w:val="D12650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C155484"/>
    <w:multiLevelType w:val="hybridMultilevel"/>
    <w:tmpl w:val="D826B41E"/>
    <w:lvl w:ilvl="0" w:tplc="A44EE664">
      <w:start w:val="1"/>
      <w:numFmt w:val="bullet"/>
      <w:lvlText w:val=""/>
      <w:lvlJc w:val="left"/>
      <w:pPr>
        <w:tabs>
          <w:tab w:val="num" w:pos="1080"/>
        </w:tabs>
        <w:ind w:left="1080" w:hanging="360"/>
      </w:pPr>
      <w:rPr>
        <w:rFonts w:ascii="Symbol" w:hAnsi="Symbol" w:hint="default"/>
        <w:sz w:val="18"/>
      </w:rPr>
    </w:lvl>
    <w:lvl w:ilvl="1" w:tplc="8B2C8FE0" w:tentative="1">
      <w:start w:val="1"/>
      <w:numFmt w:val="lowerLetter"/>
      <w:lvlText w:val="%2."/>
      <w:lvlJc w:val="left"/>
      <w:pPr>
        <w:tabs>
          <w:tab w:val="num" w:pos="1800"/>
        </w:tabs>
        <w:ind w:left="1800" w:hanging="360"/>
      </w:pPr>
    </w:lvl>
    <w:lvl w:ilvl="2" w:tplc="10222A1C" w:tentative="1">
      <w:start w:val="1"/>
      <w:numFmt w:val="lowerRoman"/>
      <w:lvlText w:val="%3."/>
      <w:lvlJc w:val="right"/>
      <w:pPr>
        <w:tabs>
          <w:tab w:val="num" w:pos="2520"/>
        </w:tabs>
        <w:ind w:left="2520" w:hanging="180"/>
      </w:pPr>
    </w:lvl>
    <w:lvl w:ilvl="3" w:tplc="037E3BFA" w:tentative="1">
      <w:start w:val="1"/>
      <w:numFmt w:val="decimal"/>
      <w:lvlText w:val="%4."/>
      <w:lvlJc w:val="left"/>
      <w:pPr>
        <w:tabs>
          <w:tab w:val="num" w:pos="3240"/>
        </w:tabs>
        <w:ind w:left="3240" w:hanging="360"/>
      </w:pPr>
    </w:lvl>
    <w:lvl w:ilvl="4" w:tplc="5B543716" w:tentative="1">
      <w:start w:val="1"/>
      <w:numFmt w:val="lowerLetter"/>
      <w:lvlText w:val="%5."/>
      <w:lvlJc w:val="left"/>
      <w:pPr>
        <w:tabs>
          <w:tab w:val="num" w:pos="3960"/>
        </w:tabs>
        <w:ind w:left="3960" w:hanging="360"/>
      </w:pPr>
    </w:lvl>
    <w:lvl w:ilvl="5" w:tplc="AA82E764" w:tentative="1">
      <w:start w:val="1"/>
      <w:numFmt w:val="lowerRoman"/>
      <w:lvlText w:val="%6."/>
      <w:lvlJc w:val="right"/>
      <w:pPr>
        <w:tabs>
          <w:tab w:val="num" w:pos="4680"/>
        </w:tabs>
        <w:ind w:left="4680" w:hanging="180"/>
      </w:pPr>
    </w:lvl>
    <w:lvl w:ilvl="6" w:tplc="A6D6D02C" w:tentative="1">
      <w:start w:val="1"/>
      <w:numFmt w:val="decimal"/>
      <w:lvlText w:val="%7."/>
      <w:lvlJc w:val="left"/>
      <w:pPr>
        <w:tabs>
          <w:tab w:val="num" w:pos="5400"/>
        </w:tabs>
        <w:ind w:left="5400" w:hanging="360"/>
      </w:pPr>
    </w:lvl>
    <w:lvl w:ilvl="7" w:tplc="BD9EFA68" w:tentative="1">
      <w:start w:val="1"/>
      <w:numFmt w:val="lowerLetter"/>
      <w:lvlText w:val="%8."/>
      <w:lvlJc w:val="left"/>
      <w:pPr>
        <w:tabs>
          <w:tab w:val="num" w:pos="6120"/>
        </w:tabs>
        <w:ind w:left="6120" w:hanging="360"/>
      </w:pPr>
    </w:lvl>
    <w:lvl w:ilvl="8" w:tplc="14625B2E" w:tentative="1">
      <w:start w:val="1"/>
      <w:numFmt w:val="lowerRoman"/>
      <w:lvlText w:val="%9."/>
      <w:lvlJc w:val="right"/>
      <w:pPr>
        <w:tabs>
          <w:tab w:val="num" w:pos="6840"/>
        </w:tabs>
        <w:ind w:left="6840" w:hanging="180"/>
      </w:pPr>
    </w:lvl>
  </w:abstractNum>
  <w:abstractNum w:abstractNumId="21" w15:restartNumberingAfterBreak="0">
    <w:nsid w:val="2C9057AA"/>
    <w:multiLevelType w:val="hybridMultilevel"/>
    <w:tmpl w:val="CC30F91A"/>
    <w:lvl w:ilvl="0" w:tplc="E22436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E9F5258"/>
    <w:multiLevelType w:val="hybridMultilevel"/>
    <w:tmpl w:val="94286EC4"/>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75327BF"/>
    <w:multiLevelType w:val="hybridMultilevel"/>
    <w:tmpl w:val="0C6A7F7A"/>
    <w:lvl w:ilvl="0" w:tplc="3356B1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917668B"/>
    <w:multiLevelType w:val="hybridMultilevel"/>
    <w:tmpl w:val="5FC8EE5E"/>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CFE2931"/>
    <w:multiLevelType w:val="hybridMultilevel"/>
    <w:tmpl w:val="A2D41528"/>
    <w:lvl w:ilvl="0" w:tplc="0409000F">
      <w:start w:val="1"/>
      <w:numFmt w:val="decimal"/>
      <w:lvlText w:val="%1."/>
      <w:lvlJc w:val="left"/>
      <w:pPr>
        <w:tabs>
          <w:tab w:val="num" w:pos="720"/>
        </w:tabs>
        <w:ind w:left="720" w:hanging="360"/>
      </w:pPr>
    </w:lvl>
    <w:lvl w:ilvl="1" w:tplc="DC1CA03A">
      <w:start w:val="1"/>
      <w:numFmt w:val="bullet"/>
      <w:lvlText w:val="-"/>
      <w:lvlJc w:val="left"/>
      <w:pPr>
        <w:tabs>
          <w:tab w:val="num" w:pos="1080"/>
        </w:tabs>
        <w:ind w:left="1080" w:hanging="288"/>
      </w:pPr>
      <w:rPr>
        <w:rFonts w:ascii="Courier New" w:hAnsi="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E3A097C"/>
    <w:multiLevelType w:val="hybridMultilevel"/>
    <w:tmpl w:val="381849A2"/>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3961E5A"/>
    <w:multiLevelType w:val="hybridMultilevel"/>
    <w:tmpl w:val="28EEAF7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3C5880"/>
    <w:multiLevelType w:val="hybridMultilevel"/>
    <w:tmpl w:val="01F0B4DA"/>
    <w:lvl w:ilvl="0" w:tplc="901033E8">
      <w:start w:val="1"/>
      <w:numFmt w:val="decimal"/>
      <w:lvlText w:val="%1."/>
      <w:lvlJc w:val="left"/>
      <w:pPr>
        <w:tabs>
          <w:tab w:val="num" w:pos="288"/>
        </w:tabs>
        <w:ind w:left="288" w:hanging="288"/>
      </w:pPr>
      <w:rPr>
        <w:rFonts w:hint="default"/>
      </w:rPr>
    </w:lvl>
    <w:lvl w:ilvl="1" w:tplc="B6B0F134">
      <w:start w:val="1"/>
      <w:numFmt w:val="upperLetter"/>
      <w:lvlText w:val="%2."/>
      <w:lvlJc w:val="left"/>
      <w:pPr>
        <w:tabs>
          <w:tab w:val="num" w:pos="864"/>
        </w:tabs>
        <w:ind w:left="864" w:hanging="360"/>
      </w:pPr>
      <w:rPr>
        <w:rFonts w:hint="default"/>
      </w:r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29" w15:restartNumberingAfterBreak="0">
    <w:nsid w:val="50EC27B7"/>
    <w:multiLevelType w:val="hybridMultilevel"/>
    <w:tmpl w:val="BE58CFAE"/>
    <w:lvl w:ilvl="0" w:tplc="30383C8A">
      <w:start w:val="1"/>
      <w:numFmt w:val="upperRoman"/>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7895FAF"/>
    <w:multiLevelType w:val="hybridMultilevel"/>
    <w:tmpl w:val="293E8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195866"/>
    <w:multiLevelType w:val="hybridMultilevel"/>
    <w:tmpl w:val="F620E0A4"/>
    <w:lvl w:ilvl="0" w:tplc="3356B1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C1673F4"/>
    <w:multiLevelType w:val="hybridMultilevel"/>
    <w:tmpl w:val="7D5824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1902DA7"/>
    <w:multiLevelType w:val="hybridMultilevel"/>
    <w:tmpl w:val="3ADC5DF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8433178"/>
    <w:multiLevelType w:val="hybridMultilevel"/>
    <w:tmpl w:val="74FEC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E474E7"/>
    <w:multiLevelType w:val="hybridMultilevel"/>
    <w:tmpl w:val="20F23E5E"/>
    <w:lvl w:ilvl="0" w:tplc="E22436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6" w15:restartNumberingAfterBreak="0">
    <w:nsid w:val="6B9C0883"/>
    <w:multiLevelType w:val="hybridMultilevel"/>
    <w:tmpl w:val="739A5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C055890"/>
    <w:multiLevelType w:val="hybridMultilevel"/>
    <w:tmpl w:val="AA921346"/>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C751D0B"/>
    <w:multiLevelType w:val="hybridMultilevel"/>
    <w:tmpl w:val="E3A49B4E"/>
    <w:lvl w:ilvl="0" w:tplc="3356B1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D0F1FC0"/>
    <w:multiLevelType w:val="hybridMultilevel"/>
    <w:tmpl w:val="161801E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C111D1"/>
    <w:multiLevelType w:val="hybridMultilevel"/>
    <w:tmpl w:val="DA8CC902"/>
    <w:lvl w:ilvl="0" w:tplc="E22436F6">
      <w:start w:val="1"/>
      <w:numFmt w:val="decimal"/>
      <w:lvlText w:val="%1."/>
      <w:lvlJc w:val="left"/>
      <w:pPr>
        <w:tabs>
          <w:tab w:val="num" w:pos="1080"/>
        </w:tabs>
        <w:ind w:left="1080" w:hanging="360"/>
      </w:pPr>
      <w:rPr>
        <w:rFonts w:hint="default"/>
      </w:rPr>
    </w:lvl>
    <w:lvl w:ilvl="1" w:tplc="7B8E88CE">
      <w:start w:val="1"/>
      <w:numFmt w:val="bullet"/>
      <w:lvlText w:val=""/>
      <w:lvlJc w:val="left"/>
      <w:pPr>
        <w:tabs>
          <w:tab w:val="num" w:pos="1440"/>
        </w:tabs>
        <w:ind w:left="1440" w:hanging="360"/>
      </w:pPr>
      <w:rPr>
        <w:rFonts w:ascii="Symbol" w:hAnsi="Symbol" w:hint="default"/>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1853F7A"/>
    <w:multiLevelType w:val="hybridMultilevel"/>
    <w:tmpl w:val="D0D63468"/>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7D1536D"/>
    <w:multiLevelType w:val="hybridMultilevel"/>
    <w:tmpl w:val="9190B366"/>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C481917"/>
    <w:multiLevelType w:val="hybridMultilevel"/>
    <w:tmpl w:val="771CE1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num>
  <w:num w:numId="3">
    <w:abstractNumId w:val="20"/>
  </w:num>
  <w:num w:numId="4">
    <w:abstractNumId w:val="2"/>
  </w:num>
  <w:num w:numId="5">
    <w:abstractNumId w:val="28"/>
  </w:num>
  <w:num w:numId="6">
    <w:abstractNumId w:val="15"/>
  </w:num>
  <w:num w:numId="7">
    <w:abstractNumId w:val="39"/>
  </w:num>
  <w:num w:numId="8">
    <w:abstractNumId w:val="26"/>
  </w:num>
  <w:num w:numId="9">
    <w:abstractNumId w:val="10"/>
  </w:num>
  <w:num w:numId="10">
    <w:abstractNumId w:val="3"/>
  </w:num>
  <w:num w:numId="11">
    <w:abstractNumId w:val="19"/>
  </w:num>
  <w:num w:numId="12">
    <w:abstractNumId w:val="17"/>
  </w:num>
  <w:num w:numId="13">
    <w:abstractNumId w:val="43"/>
  </w:num>
  <w:num w:numId="14">
    <w:abstractNumId w:val="18"/>
  </w:num>
  <w:num w:numId="15">
    <w:abstractNumId w:val="7"/>
  </w:num>
  <w:num w:numId="16">
    <w:abstractNumId w:val="32"/>
  </w:num>
  <w:num w:numId="17">
    <w:abstractNumId w:val="36"/>
  </w:num>
  <w:num w:numId="18">
    <w:abstractNumId w:val="5"/>
  </w:num>
  <w:num w:numId="19">
    <w:abstractNumId w:val="4"/>
  </w:num>
  <w:num w:numId="20">
    <w:abstractNumId w:val="35"/>
  </w:num>
  <w:num w:numId="21">
    <w:abstractNumId w:val="25"/>
  </w:num>
  <w:num w:numId="22">
    <w:abstractNumId w:val="8"/>
  </w:num>
  <w:num w:numId="23">
    <w:abstractNumId w:val="14"/>
  </w:num>
  <w:num w:numId="24">
    <w:abstractNumId w:val="37"/>
  </w:num>
  <w:num w:numId="25">
    <w:abstractNumId w:val="1"/>
  </w:num>
  <w:num w:numId="26">
    <w:abstractNumId w:val="27"/>
  </w:num>
  <w:num w:numId="27">
    <w:abstractNumId w:val="13"/>
  </w:num>
  <w:num w:numId="28">
    <w:abstractNumId w:val="22"/>
  </w:num>
  <w:num w:numId="29">
    <w:abstractNumId w:val="33"/>
  </w:num>
  <w:num w:numId="30">
    <w:abstractNumId w:val="41"/>
  </w:num>
  <w:num w:numId="31">
    <w:abstractNumId w:val="24"/>
  </w:num>
  <w:num w:numId="32">
    <w:abstractNumId w:val="12"/>
  </w:num>
  <w:num w:numId="33">
    <w:abstractNumId w:val="23"/>
  </w:num>
  <w:num w:numId="34">
    <w:abstractNumId w:val="31"/>
  </w:num>
  <w:num w:numId="35">
    <w:abstractNumId w:val="38"/>
  </w:num>
  <w:num w:numId="36">
    <w:abstractNumId w:val="9"/>
  </w:num>
  <w:num w:numId="37">
    <w:abstractNumId w:val="21"/>
  </w:num>
  <w:num w:numId="38">
    <w:abstractNumId w:val="11"/>
  </w:num>
  <w:num w:numId="39">
    <w:abstractNumId w:val="40"/>
  </w:num>
  <w:num w:numId="40">
    <w:abstractNumId w:val="42"/>
  </w:num>
  <w:num w:numId="41">
    <w:abstractNumId w:val="16"/>
  </w:num>
  <w:num w:numId="42">
    <w:abstractNumId w:val="29"/>
  </w:num>
  <w:num w:numId="4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393"/>
    <w:rsid w:val="00010594"/>
    <w:rsid w:val="000404D9"/>
    <w:rsid w:val="00044D80"/>
    <w:rsid w:val="00053759"/>
    <w:rsid w:val="00053E08"/>
    <w:rsid w:val="00063E45"/>
    <w:rsid w:val="000804DB"/>
    <w:rsid w:val="0009379E"/>
    <w:rsid w:val="00093F1B"/>
    <w:rsid w:val="000A1F36"/>
    <w:rsid w:val="000A3B49"/>
    <w:rsid w:val="000B7923"/>
    <w:rsid w:val="000C10A6"/>
    <w:rsid w:val="000C48BA"/>
    <w:rsid w:val="000D0CCE"/>
    <w:rsid w:val="000D761F"/>
    <w:rsid w:val="000E1E55"/>
    <w:rsid w:val="000E38CC"/>
    <w:rsid w:val="000E5361"/>
    <w:rsid w:val="000E7C7D"/>
    <w:rsid w:val="000F01B9"/>
    <w:rsid w:val="000F069E"/>
    <w:rsid w:val="000F48FA"/>
    <w:rsid w:val="000F748C"/>
    <w:rsid w:val="00121B5A"/>
    <w:rsid w:val="00124AF5"/>
    <w:rsid w:val="00127360"/>
    <w:rsid w:val="00147E4C"/>
    <w:rsid w:val="00150C47"/>
    <w:rsid w:val="00152E4F"/>
    <w:rsid w:val="0015576E"/>
    <w:rsid w:val="001741DA"/>
    <w:rsid w:val="001850F9"/>
    <w:rsid w:val="00193876"/>
    <w:rsid w:val="00194CAB"/>
    <w:rsid w:val="001A1CB5"/>
    <w:rsid w:val="001A691B"/>
    <w:rsid w:val="001C394F"/>
    <w:rsid w:val="001D43F3"/>
    <w:rsid w:val="001D4656"/>
    <w:rsid w:val="001E46BA"/>
    <w:rsid w:val="001F521C"/>
    <w:rsid w:val="00200287"/>
    <w:rsid w:val="00202526"/>
    <w:rsid w:val="00204CD5"/>
    <w:rsid w:val="00210D32"/>
    <w:rsid w:val="002118D1"/>
    <w:rsid w:val="00245AC3"/>
    <w:rsid w:val="00257A00"/>
    <w:rsid w:val="0028004B"/>
    <w:rsid w:val="00281AA1"/>
    <w:rsid w:val="00287102"/>
    <w:rsid w:val="002B0171"/>
    <w:rsid w:val="002B0F40"/>
    <w:rsid w:val="002B74C5"/>
    <w:rsid w:val="002C5E09"/>
    <w:rsid w:val="002D7574"/>
    <w:rsid w:val="002E2EF5"/>
    <w:rsid w:val="002E3632"/>
    <w:rsid w:val="003016DA"/>
    <w:rsid w:val="00310105"/>
    <w:rsid w:val="00315948"/>
    <w:rsid w:val="003347BB"/>
    <w:rsid w:val="00334C6B"/>
    <w:rsid w:val="00377870"/>
    <w:rsid w:val="00383A88"/>
    <w:rsid w:val="00384EB0"/>
    <w:rsid w:val="00387879"/>
    <w:rsid w:val="003930DC"/>
    <w:rsid w:val="003B241E"/>
    <w:rsid w:val="003B6395"/>
    <w:rsid w:val="003E245A"/>
    <w:rsid w:val="003E4314"/>
    <w:rsid w:val="003E4706"/>
    <w:rsid w:val="003F4049"/>
    <w:rsid w:val="004042FA"/>
    <w:rsid w:val="00413A66"/>
    <w:rsid w:val="004253D8"/>
    <w:rsid w:val="00426173"/>
    <w:rsid w:val="00433E82"/>
    <w:rsid w:val="00460B7F"/>
    <w:rsid w:val="00481B52"/>
    <w:rsid w:val="004839C2"/>
    <w:rsid w:val="004923AD"/>
    <w:rsid w:val="004B4393"/>
    <w:rsid w:val="004B67EA"/>
    <w:rsid w:val="004C18D0"/>
    <w:rsid w:val="004E47D0"/>
    <w:rsid w:val="004F4C17"/>
    <w:rsid w:val="00516943"/>
    <w:rsid w:val="00520677"/>
    <w:rsid w:val="00526A3C"/>
    <w:rsid w:val="00574EBF"/>
    <w:rsid w:val="005828BC"/>
    <w:rsid w:val="005864B7"/>
    <w:rsid w:val="005A154E"/>
    <w:rsid w:val="005A24E3"/>
    <w:rsid w:val="005A37CB"/>
    <w:rsid w:val="005A457B"/>
    <w:rsid w:val="005B04F9"/>
    <w:rsid w:val="005B0588"/>
    <w:rsid w:val="005B3890"/>
    <w:rsid w:val="005C2A9F"/>
    <w:rsid w:val="005D0B07"/>
    <w:rsid w:val="005E0482"/>
    <w:rsid w:val="005E2253"/>
    <w:rsid w:val="005F108F"/>
    <w:rsid w:val="005F54ED"/>
    <w:rsid w:val="006057D5"/>
    <w:rsid w:val="0062072B"/>
    <w:rsid w:val="00621EE6"/>
    <w:rsid w:val="00640997"/>
    <w:rsid w:val="00645414"/>
    <w:rsid w:val="0065453C"/>
    <w:rsid w:val="00673A24"/>
    <w:rsid w:val="00677134"/>
    <w:rsid w:val="00681EE8"/>
    <w:rsid w:val="0068422E"/>
    <w:rsid w:val="00686FBD"/>
    <w:rsid w:val="00686FDA"/>
    <w:rsid w:val="006A4BC9"/>
    <w:rsid w:val="006B0B15"/>
    <w:rsid w:val="006C6606"/>
    <w:rsid w:val="006D333E"/>
    <w:rsid w:val="006D6B61"/>
    <w:rsid w:val="006E3692"/>
    <w:rsid w:val="006E722D"/>
    <w:rsid w:val="007024FD"/>
    <w:rsid w:val="00712974"/>
    <w:rsid w:val="00731174"/>
    <w:rsid w:val="007452BF"/>
    <w:rsid w:val="00750AD2"/>
    <w:rsid w:val="00773859"/>
    <w:rsid w:val="00785146"/>
    <w:rsid w:val="007A73A3"/>
    <w:rsid w:val="007B0950"/>
    <w:rsid w:val="007C1042"/>
    <w:rsid w:val="007C5F92"/>
    <w:rsid w:val="007E421E"/>
    <w:rsid w:val="007F4847"/>
    <w:rsid w:val="00805C76"/>
    <w:rsid w:val="00814472"/>
    <w:rsid w:val="00815FE9"/>
    <w:rsid w:val="008303E2"/>
    <w:rsid w:val="008335D7"/>
    <w:rsid w:val="0083777B"/>
    <w:rsid w:val="00850A82"/>
    <w:rsid w:val="00851330"/>
    <w:rsid w:val="00856934"/>
    <w:rsid w:val="008617BC"/>
    <w:rsid w:val="0086551F"/>
    <w:rsid w:val="00867C37"/>
    <w:rsid w:val="00870E75"/>
    <w:rsid w:val="00870F25"/>
    <w:rsid w:val="008854D6"/>
    <w:rsid w:val="008B1E2B"/>
    <w:rsid w:val="008B6D07"/>
    <w:rsid w:val="008C004A"/>
    <w:rsid w:val="008D0767"/>
    <w:rsid w:val="008D3811"/>
    <w:rsid w:val="008F3126"/>
    <w:rsid w:val="0090330A"/>
    <w:rsid w:val="00903A85"/>
    <w:rsid w:val="00905B74"/>
    <w:rsid w:val="00913368"/>
    <w:rsid w:val="00915B9A"/>
    <w:rsid w:val="00920DFB"/>
    <w:rsid w:val="009261B3"/>
    <w:rsid w:val="00937787"/>
    <w:rsid w:val="00955C3B"/>
    <w:rsid w:val="00956F97"/>
    <w:rsid w:val="00963891"/>
    <w:rsid w:val="00964E2C"/>
    <w:rsid w:val="009738D2"/>
    <w:rsid w:val="009903AC"/>
    <w:rsid w:val="00994AC9"/>
    <w:rsid w:val="0099709C"/>
    <w:rsid w:val="009A41A2"/>
    <w:rsid w:val="009A5235"/>
    <w:rsid w:val="009C0EC6"/>
    <w:rsid w:val="009D1017"/>
    <w:rsid w:val="009D59B1"/>
    <w:rsid w:val="009D7C2A"/>
    <w:rsid w:val="009E08E9"/>
    <w:rsid w:val="00A11036"/>
    <w:rsid w:val="00A14095"/>
    <w:rsid w:val="00A21798"/>
    <w:rsid w:val="00A221DC"/>
    <w:rsid w:val="00A66D8D"/>
    <w:rsid w:val="00A772F8"/>
    <w:rsid w:val="00A778A6"/>
    <w:rsid w:val="00A94E7E"/>
    <w:rsid w:val="00AB60DD"/>
    <w:rsid w:val="00AC513B"/>
    <w:rsid w:val="00AE15A8"/>
    <w:rsid w:val="00AE2B0C"/>
    <w:rsid w:val="00AF0CB1"/>
    <w:rsid w:val="00B0024C"/>
    <w:rsid w:val="00B01A17"/>
    <w:rsid w:val="00B12E23"/>
    <w:rsid w:val="00B25EE2"/>
    <w:rsid w:val="00B402E0"/>
    <w:rsid w:val="00B57312"/>
    <w:rsid w:val="00B6068A"/>
    <w:rsid w:val="00B6088F"/>
    <w:rsid w:val="00B64151"/>
    <w:rsid w:val="00B704E4"/>
    <w:rsid w:val="00B82BBE"/>
    <w:rsid w:val="00B83DC8"/>
    <w:rsid w:val="00B93372"/>
    <w:rsid w:val="00B96461"/>
    <w:rsid w:val="00BC19D9"/>
    <w:rsid w:val="00BD1AD4"/>
    <w:rsid w:val="00BE53A6"/>
    <w:rsid w:val="00BF5842"/>
    <w:rsid w:val="00BF6893"/>
    <w:rsid w:val="00C22847"/>
    <w:rsid w:val="00C264F7"/>
    <w:rsid w:val="00C440E7"/>
    <w:rsid w:val="00C44CC5"/>
    <w:rsid w:val="00C5338D"/>
    <w:rsid w:val="00C5578B"/>
    <w:rsid w:val="00C57B30"/>
    <w:rsid w:val="00C7028B"/>
    <w:rsid w:val="00C83D0E"/>
    <w:rsid w:val="00C95ECB"/>
    <w:rsid w:val="00CA2048"/>
    <w:rsid w:val="00CA5E86"/>
    <w:rsid w:val="00CC37C3"/>
    <w:rsid w:val="00CC6BEE"/>
    <w:rsid w:val="00CD4AF3"/>
    <w:rsid w:val="00CD76F7"/>
    <w:rsid w:val="00CE1462"/>
    <w:rsid w:val="00CF1974"/>
    <w:rsid w:val="00D047B6"/>
    <w:rsid w:val="00D13C10"/>
    <w:rsid w:val="00D20F65"/>
    <w:rsid w:val="00D4233F"/>
    <w:rsid w:val="00D5180A"/>
    <w:rsid w:val="00D54291"/>
    <w:rsid w:val="00D649A7"/>
    <w:rsid w:val="00D7471A"/>
    <w:rsid w:val="00D747CA"/>
    <w:rsid w:val="00D97422"/>
    <w:rsid w:val="00DB23FC"/>
    <w:rsid w:val="00DC310F"/>
    <w:rsid w:val="00DD333C"/>
    <w:rsid w:val="00DD3B1F"/>
    <w:rsid w:val="00DD6DD4"/>
    <w:rsid w:val="00DE3927"/>
    <w:rsid w:val="00DE501F"/>
    <w:rsid w:val="00E00948"/>
    <w:rsid w:val="00E011A8"/>
    <w:rsid w:val="00E015C2"/>
    <w:rsid w:val="00E055C2"/>
    <w:rsid w:val="00E106F5"/>
    <w:rsid w:val="00E2343E"/>
    <w:rsid w:val="00E30E9D"/>
    <w:rsid w:val="00E30FAA"/>
    <w:rsid w:val="00E3615E"/>
    <w:rsid w:val="00E42592"/>
    <w:rsid w:val="00E62AD5"/>
    <w:rsid w:val="00E64620"/>
    <w:rsid w:val="00E762E2"/>
    <w:rsid w:val="00E76D39"/>
    <w:rsid w:val="00E76EAD"/>
    <w:rsid w:val="00E83198"/>
    <w:rsid w:val="00E95928"/>
    <w:rsid w:val="00E95B8A"/>
    <w:rsid w:val="00EA7E06"/>
    <w:rsid w:val="00EB3969"/>
    <w:rsid w:val="00EB6A55"/>
    <w:rsid w:val="00EC1942"/>
    <w:rsid w:val="00EC4D4E"/>
    <w:rsid w:val="00ED4365"/>
    <w:rsid w:val="00ED77F2"/>
    <w:rsid w:val="00EE25C2"/>
    <w:rsid w:val="00EE5434"/>
    <w:rsid w:val="00F07C5A"/>
    <w:rsid w:val="00F13FFC"/>
    <w:rsid w:val="00F243F9"/>
    <w:rsid w:val="00F2472C"/>
    <w:rsid w:val="00F276B2"/>
    <w:rsid w:val="00F27E22"/>
    <w:rsid w:val="00F41315"/>
    <w:rsid w:val="00F41752"/>
    <w:rsid w:val="00F4185B"/>
    <w:rsid w:val="00F6111D"/>
    <w:rsid w:val="00F72B6D"/>
    <w:rsid w:val="00F82070"/>
    <w:rsid w:val="00F90E68"/>
    <w:rsid w:val="00F91B2A"/>
    <w:rsid w:val="00FA17D8"/>
    <w:rsid w:val="00FA78AC"/>
    <w:rsid w:val="00FB40A9"/>
    <w:rsid w:val="00FB5668"/>
    <w:rsid w:val="00FB64B9"/>
    <w:rsid w:val="00FC0DAB"/>
    <w:rsid w:val="00FC263D"/>
    <w:rsid w:val="00FC3DAA"/>
    <w:rsid w:val="00FD14AF"/>
    <w:rsid w:val="00FF04E6"/>
    <w:rsid w:val="00FF5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75D18415"/>
  <w15:docId w15:val="{836874D0-5BD1-4944-AE19-BC1352B8E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4393"/>
    <w:pPr>
      <w:widowControl w:val="0"/>
    </w:pPr>
    <w:rPr>
      <w:rFonts w:ascii="NewBskvll BT" w:hAnsi="NewBskvll BT"/>
      <w:snapToGrid w:val="0"/>
      <w:sz w:val="24"/>
    </w:rPr>
  </w:style>
  <w:style w:type="paragraph" w:styleId="Heading1">
    <w:name w:val="heading 1"/>
    <w:basedOn w:val="Normal"/>
    <w:next w:val="Normal"/>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qFormat/>
    <w:rsid w:val="004B4393"/>
    <w:pPr>
      <w:keepNext/>
      <w:widowControl/>
      <w:outlineLvl w:val="2"/>
    </w:pPr>
    <w:rPr>
      <w:i/>
      <w:iCs/>
    </w:rPr>
  </w:style>
  <w:style w:type="paragraph" w:styleId="Heading4">
    <w:name w:val="heading 4"/>
    <w:basedOn w:val="Normal"/>
    <w:next w:val="Normal"/>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qFormat/>
    <w:rsid w:val="004B4393"/>
    <w:pPr>
      <w:keepNext/>
      <w:ind w:firstLine="720"/>
      <w:outlineLvl w:val="4"/>
    </w:pPr>
    <w:rPr>
      <w:rFonts w:ascii="Times New Roman" w:hAnsi="Times New Roman"/>
      <w:b/>
      <w:i/>
    </w:rPr>
  </w:style>
  <w:style w:type="paragraph" w:styleId="Heading6">
    <w:name w:val="heading 6"/>
    <w:basedOn w:val="Normal"/>
    <w:next w:val="Normal"/>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B4393"/>
  </w:style>
  <w:style w:type="paragraph" w:styleId="Footer">
    <w:name w:val="footer"/>
    <w:basedOn w:val="Normal"/>
    <w:rsid w:val="004B4393"/>
    <w:pPr>
      <w:tabs>
        <w:tab w:val="center" w:pos="4320"/>
        <w:tab w:val="right" w:pos="8640"/>
      </w:tabs>
    </w:pPr>
  </w:style>
  <w:style w:type="character" w:styleId="PageNumber">
    <w:name w:val="page number"/>
    <w:rsid w:val="004B4393"/>
    <w:rPr>
      <w:rFonts w:ascii="NewBskvll BT" w:hAnsi="NewBskvll BT"/>
      <w:sz w:val="24"/>
    </w:rPr>
  </w:style>
  <w:style w:type="paragraph" w:customStyle="1" w:styleId="Level1">
    <w:name w:val="Level 1"/>
    <w:basedOn w:val="Normal"/>
    <w:rsid w:val="004B4393"/>
    <w:pPr>
      <w:ind w:left="1440" w:hanging="270"/>
    </w:pPr>
  </w:style>
  <w:style w:type="character" w:customStyle="1" w:styleId="footnotetex">
    <w:name w:val="footnote tex"/>
    <w:rsid w:val="004B4393"/>
  </w:style>
  <w:style w:type="character" w:customStyle="1" w:styleId="footnoteref">
    <w:name w:val="footnote ref"/>
    <w:rsid w:val="004B4393"/>
    <w:rPr>
      <w:rFonts w:ascii="NewBskvll BT" w:hAnsi="NewBskvll BT"/>
      <w:sz w:val="30"/>
      <w:vertAlign w:val="superscript"/>
    </w:rPr>
  </w:style>
  <w:style w:type="paragraph" w:customStyle="1" w:styleId="Level2">
    <w:name w:val="Level 2"/>
    <w:basedOn w:val="Normal"/>
    <w:rsid w:val="004B4393"/>
    <w:pPr>
      <w:numPr>
        <w:ilvl w:val="1"/>
        <w:numId w:val="1"/>
      </w:numPr>
      <w:ind w:left="1440" w:hanging="270"/>
      <w:outlineLvl w:val="1"/>
    </w:pPr>
  </w:style>
  <w:style w:type="paragraph" w:styleId="BodyText">
    <w:name w:val="Body Text"/>
    <w:basedOn w:val="Normal"/>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styleId="Hyperlink">
    <w:name w:val="Hyperlink"/>
    <w:rsid w:val="004B4393"/>
    <w:rPr>
      <w:color w:val="0000FF"/>
      <w:u w:val="single"/>
    </w:rPr>
  </w:style>
  <w:style w:type="paragraph" w:styleId="FootnoteText">
    <w:name w:val="footnote text"/>
    <w:basedOn w:val="Normal"/>
    <w:semiHidden/>
    <w:rsid w:val="004B4393"/>
    <w:rPr>
      <w:sz w:val="20"/>
    </w:rPr>
  </w:style>
  <w:style w:type="character" w:styleId="FollowedHyperlink">
    <w:name w:val="FollowedHyperlink"/>
    <w:rsid w:val="004B4393"/>
    <w:rPr>
      <w:color w:val="800080"/>
      <w:u w:val="single"/>
    </w:rPr>
  </w:style>
  <w:style w:type="paragraph" w:styleId="BodyTextIndent2">
    <w:name w:val="Body Text Indent 2"/>
    <w:basedOn w:val="Normal"/>
    <w:rsid w:val="004B4393"/>
    <w:pPr>
      <w:ind w:firstLine="720"/>
    </w:pPr>
    <w:rPr>
      <w:rFonts w:ascii="Times New Roman" w:hAnsi="Times New Roman"/>
    </w:rPr>
  </w:style>
  <w:style w:type="paragraph" w:styleId="PlainText">
    <w:name w:val="Plain Text"/>
    <w:basedOn w:val="Normal"/>
    <w:rsid w:val="004B4393"/>
    <w:rPr>
      <w:rFonts w:ascii="Courier New" w:hAnsi="Courier New"/>
      <w:sz w:val="20"/>
    </w:rPr>
  </w:style>
  <w:style w:type="paragraph" w:styleId="BodyTextIndent">
    <w:name w:val="Body Text Indent"/>
    <w:basedOn w:val="Normal"/>
    <w:rsid w:val="004B4393"/>
    <w:pPr>
      <w:ind w:firstLine="720"/>
    </w:pPr>
    <w:rPr>
      <w:rFonts w:ascii="Times New Roman" w:hAnsi="Times New Roman"/>
      <w:sz w:val="22"/>
    </w:rPr>
  </w:style>
  <w:style w:type="paragraph" w:styleId="BodyTextIndent3">
    <w:name w:val="Body Text Indent 3"/>
    <w:basedOn w:val="Normal"/>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paragraph" w:styleId="BodyText2">
    <w:name w:val="Body Text 2"/>
    <w:basedOn w:val="Normal"/>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paragraph" w:styleId="BodyText3">
    <w:name w:val="Body Text 3"/>
    <w:basedOn w:val="Normal"/>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paragraph" w:styleId="Header">
    <w:name w:val="header"/>
    <w:basedOn w:val="Normal"/>
    <w:rsid w:val="004B4393"/>
    <w:pPr>
      <w:tabs>
        <w:tab w:val="center" w:pos="4320"/>
        <w:tab w:val="right" w:pos="8640"/>
      </w:tabs>
    </w:pPr>
  </w:style>
  <w:style w:type="character" w:styleId="Emphasis">
    <w:name w:val="Emphasis"/>
    <w:qFormat/>
    <w:rsid w:val="004B4393"/>
    <w:rPr>
      <w:i/>
      <w:iCs/>
    </w:rPr>
  </w:style>
  <w:style w:type="paragraph" w:styleId="BlockText">
    <w:name w:val="Block Text"/>
    <w:basedOn w:val="Normal"/>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qFormat/>
    <w:rsid w:val="004B4393"/>
    <w:rPr>
      <w:b/>
      <w:bCs/>
    </w:rPr>
  </w:style>
  <w:style w:type="paragraph" w:customStyle="1" w:styleId="Question">
    <w:name w:val="Question"/>
    <w:basedOn w:val="Normal"/>
    <w:link w:val="QuestionChar"/>
    <w:rsid w:val="004B4393"/>
    <w:pPr>
      <w:keepLines/>
      <w:widowControl/>
      <w:spacing w:after="240"/>
      <w:ind w:left="720" w:hanging="720"/>
    </w:pPr>
    <w:rPr>
      <w:rFonts w:ascii="Tahoma" w:hAnsi="Tahoma"/>
      <w:snapToGrid/>
      <w:sz w:val="22"/>
    </w:rPr>
  </w:style>
  <w:style w:type="character" w:customStyle="1" w:styleId="QuestionChar">
    <w:name w:val="Question Char"/>
    <w:link w:val="Question"/>
    <w:locked/>
    <w:rsid w:val="004B4393"/>
    <w:rPr>
      <w:rFonts w:ascii="Tahoma" w:hAnsi="Tahoma"/>
      <w:sz w:val="22"/>
      <w:lang w:val="en-US" w:eastAsia="en-US" w:bidi="ar-SA"/>
    </w:rPr>
  </w:style>
  <w:style w:type="paragraph" w:customStyle="1" w:styleId="CRCBodytextregular">
    <w:name w:val="CRC Body text regular"/>
    <w:basedOn w:val="Normal"/>
    <w:next w:val="Normal"/>
    <w:rsid w:val="004B4393"/>
    <w:pPr>
      <w:widowControl/>
      <w:tabs>
        <w:tab w:val="center" w:pos="2178"/>
        <w:tab w:val="left" w:pos="3480"/>
      </w:tabs>
    </w:pPr>
    <w:rPr>
      <w:rFonts w:ascii="Times New Roman" w:hAnsi="Times New Roman"/>
      <w:snapToGrid/>
    </w:rPr>
  </w:style>
  <w:style w:type="paragraph" w:customStyle="1" w:styleId="CRCQuestionnaireSubheading">
    <w:name w:val="CRC Questionnaire Subheading"/>
    <w:rsid w:val="004B4393"/>
    <w:pPr>
      <w:spacing w:before="240" w:after="60"/>
    </w:pPr>
    <w:rPr>
      <w:rFonts w:ascii="Arial" w:hAnsi="Arial"/>
      <w:noProof/>
      <w:color w:val="000080"/>
      <w:sz w:val="28"/>
    </w:rPr>
  </w:style>
  <w:style w:type="paragraph" w:customStyle="1" w:styleId="CRCQuestionnaireQuestions">
    <w:name w:val="CRC Questionnaire Questions"/>
    <w:rsid w:val="004B4393"/>
    <w:pPr>
      <w:tabs>
        <w:tab w:val="left" w:pos="360"/>
        <w:tab w:val="right" w:leader="underscore" w:pos="9000"/>
      </w:tabs>
      <w:spacing w:before="240" w:after="240"/>
      <w:ind w:left="360" w:hanging="360"/>
    </w:pPr>
    <w:rPr>
      <w:noProof/>
      <w:sz w:val="24"/>
    </w:rPr>
  </w:style>
  <w:style w:type="character" w:customStyle="1" w:styleId="CRCBox">
    <w:name w:val="CRC Box"/>
    <w:rsid w:val="004B4393"/>
    <w:rPr>
      <w:rFonts w:ascii="Wingdings" w:hAnsi="Wingdings"/>
    </w:rPr>
  </w:style>
  <w:style w:type="paragraph" w:customStyle="1" w:styleId="CRCQuestionnaireChecklist">
    <w:name w:val="CRC  Questionnaire Checklist"/>
    <w:rsid w:val="004B4393"/>
    <w:pPr>
      <w:tabs>
        <w:tab w:val="right" w:leader="dot" w:pos="9000"/>
      </w:tabs>
      <w:spacing w:after="120"/>
      <w:ind w:left="360"/>
    </w:pPr>
    <w:rPr>
      <w:noProof/>
      <w:sz w:val="24"/>
    </w:rPr>
  </w:style>
  <w:style w:type="paragraph" w:styleId="BalloonText">
    <w:name w:val="Balloon Text"/>
    <w:basedOn w:val="Normal"/>
    <w:semiHidden/>
    <w:rsid w:val="00383A88"/>
    <w:rPr>
      <w:rFonts w:ascii="Tahoma" w:hAnsi="Tahoma" w:cs="Tahoma"/>
      <w:sz w:val="16"/>
      <w:szCs w:val="16"/>
    </w:rPr>
  </w:style>
  <w:style w:type="character" w:styleId="CommentReference">
    <w:name w:val="annotation reference"/>
    <w:semiHidden/>
    <w:rsid w:val="00377870"/>
    <w:rPr>
      <w:sz w:val="16"/>
      <w:szCs w:val="16"/>
    </w:rPr>
  </w:style>
  <w:style w:type="paragraph" w:styleId="CommentText">
    <w:name w:val="annotation text"/>
    <w:basedOn w:val="Normal"/>
    <w:semiHidden/>
    <w:rsid w:val="00377870"/>
    <w:rPr>
      <w:sz w:val="20"/>
    </w:rPr>
  </w:style>
  <w:style w:type="paragraph" w:styleId="CommentSubject">
    <w:name w:val="annotation subject"/>
    <w:basedOn w:val="CommentText"/>
    <w:next w:val="CommentText"/>
    <w:semiHidden/>
    <w:rsid w:val="00377870"/>
    <w:rPr>
      <w:b/>
      <w:bCs/>
    </w:rPr>
  </w:style>
  <w:style w:type="table" w:styleId="TableGrid">
    <w:name w:val="Table Grid"/>
    <w:basedOn w:val="TableNormal"/>
    <w:uiPriority w:val="59"/>
    <w:rsid w:val="000D0CC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3811"/>
    <w:pPr>
      <w:ind w:left="720"/>
    </w:pPr>
  </w:style>
  <w:style w:type="character" w:styleId="UnresolvedMention">
    <w:name w:val="Unresolved Mention"/>
    <w:basedOn w:val="DefaultParagraphFont"/>
    <w:uiPriority w:val="99"/>
    <w:semiHidden/>
    <w:unhideWhenUsed/>
    <w:rsid w:val="004B6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9184767">
      <w:bodyDiv w:val="1"/>
      <w:marLeft w:val="0"/>
      <w:marRight w:val="0"/>
      <w:marTop w:val="0"/>
      <w:marBottom w:val="0"/>
      <w:divBdr>
        <w:top w:val="none" w:sz="0" w:space="0" w:color="auto"/>
        <w:left w:val="none" w:sz="0" w:space="0" w:color="auto"/>
        <w:bottom w:val="none" w:sz="0" w:space="0" w:color="auto"/>
        <w:right w:val="none" w:sz="0" w:space="0" w:color="auto"/>
      </w:divBdr>
    </w:div>
    <w:div w:id="1381201145">
      <w:bodyDiv w:val="1"/>
      <w:marLeft w:val="0"/>
      <w:marRight w:val="0"/>
      <w:marTop w:val="0"/>
      <w:marBottom w:val="0"/>
      <w:divBdr>
        <w:top w:val="none" w:sz="0" w:space="0" w:color="auto"/>
        <w:left w:val="none" w:sz="0" w:space="0" w:color="auto"/>
        <w:bottom w:val="none" w:sz="0" w:space="0" w:color="auto"/>
        <w:right w:val="none" w:sz="0" w:space="0" w:color="auto"/>
      </w:divBdr>
    </w:div>
    <w:div w:id="1548639036">
      <w:bodyDiv w:val="1"/>
      <w:marLeft w:val="0"/>
      <w:marRight w:val="0"/>
      <w:marTop w:val="0"/>
      <w:marBottom w:val="0"/>
      <w:divBdr>
        <w:top w:val="none" w:sz="0" w:space="0" w:color="auto"/>
        <w:left w:val="none" w:sz="0" w:space="0" w:color="auto"/>
        <w:bottom w:val="none" w:sz="0" w:space="0" w:color="auto"/>
        <w:right w:val="none" w:sz="0" w:space="0" w:color="auto"/>
      </w:divBdr>
    </w:div>
    <w:div w:id="214284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qj0@cdc.gov" TargetMode="External"/><Relationship Id="rId18" Type="http://schemas.openxmlformats.org/officeDocument/2006/relationships/hyperlink" Target="mailto:hhb9@cdc.gov" TargetMode="External"/><Relationship Id="rId26" Type="http://schemas.openxmlformats.org/officeDocument/2006/relationships/hyperlink" Target="mailto:cfi0@cdc.gov" TargetMode="External"/><Relationship Id="rId21" Type="http://schemas.openxmlformats.org/officeDocument/2006/relationships/hyperlink" Target="mailto:dvp2@cdc.gov"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vte0@cdc.gov" TargetMode="External"/><Relationship Id="rId17" Type="http://schemas.openxmlformats.org/officeDocument/2006/relationships/hyperlink" Target="mailto:era6@cdc.gov" TargetMode="External"/><Relationship Id="rId25" Type="http://schemas.openxmlformats.org/officeDocument/2006/relationships/hyperlink" Target="mailto:dde@cdc.gov"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hm0@cdc.gov" TargetMode="External"/><Relationship Id="rId20" Type="http://schemas.openxmlformats.org/officeDocument/2006/relationships/hyperlink" Target="mailto:cut0@cdc.gov" TargetMode="External"/><Relationship Id="rId29" Type="http://schemas.openxmlformats.org/officeDocument/2006/relationships/hyperlink" Target="mailto:lfj4@cd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wg7@cdc.gov" TargetMode="External"/><Relationship Id="rId24" Type="http://schemas.openxmlformats.org/officeDocument/2006/relationships/hyperlink" Target="mailto:dsa9@cdc.gov"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gqo1@cdc.gov" TargetMode="External"/><Relationship Id="rId23" Type="http://schemas.openxmlformats.org/officeDocument/2006/relationships/hyperlink" Target="mailto:ark2@cdc.gov" TargetMode="External"/><Relationship Id="rId28" Type="http://schemas.openxmlformats.org/officeDocument/2006/relationships/hyperlink" Target="mailto:ite6@cdc.gov" TargetMode="External"/><Relationship Id="rId36" Type="http://schemas.openxmlformats.org/officeDocument/2006/relationships/footer" Target="footer3.xml"/><Relationship Id="rId10" Type="http://schemas.openxmlformats.org/officeDocument/2006/relationships/hyperlink" Target="mailto:bwf7@cdc.gov" TargetMode="External"/><Relationship Id="rId19" Type="http://schemas.openxmlformats.org/officeDocument/2006/relationships/hyperlink" Target="mailto:jpo2@cdc.gov"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pa0@cdc.gov" TargetMode="External"/><Relationship Id="rId14" Type="http://schemas.openxmlformats.org/officeDocument/2006/relationships/hyperlink" Target="mailto:ftm1@cdc.gov" TargetMode="External"/><Relationship Id="rId22" Type="http://schemas.openxmlformats.org/officeDocument/2006/relationships/hyperlink" Target="mailto:nfh5@cdc.gov" TargetMode="External"/><Relationship Id="rId27" Type="http://schemas.openxmlformats.org/officeDocument/2006/relationships/hyperlink" Target="mailto:byi8@cdc.gov" TargetMode="External"/><Relationship Id="rId30" Type="http://schemas.openxmlformats.org/officeDocument/2006/relationships/hyperlink" Target="mailto:guh3@cdc.gov" TargetMode="External"/><Relationship Id="rId35" Type="http://schemas.openxmlformats.org/officeDocument/2006/relationships/header" Target="header3.xml"/><Relationship Id="rId8" Type="http://schemas.openxmlformats.org/officeDocument/2006/relationships/hyperlink" Target="mailto:voy1@cdc.gov"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033D8-EE63-4EA1-86BA-74955E20B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6442</Words>
  <Characters>36723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Center for Disease Control and Prevention and</vt:lpstr>
    </vt:vector>
  </TitlesOfParts>
  <Company>ITSO</Company>
  <LinksUpToDate>false</LinksUpToDate>
  <CharactersWithSpaces>43079</CharactersWithSpaces>
  <SharedDoc>false</SharedDoc>
  <HLinks>
    <vt:vector size="144" baseType="variant">
      <vt:variant>
        <vt:i4>7798857</vt:i4>
      </vt:variant>
      <vt:variant>
        <vt:i4>71</vt:i4>
      </vt:variant>
      <vt:variant>
        <vt:i4>0</vt:i4>
      </vt:variant>
      <vt:variant>
        <vt:i4>5</vt:i4>
      </vt:variant>
      <vt:variant>
        <vt:lpwstr>mailto:deroglu@cdc.gov</vt:lpwstr>
      </vt:variant>
      <vt:variant>
        <vt:lpwstr/>
      </vt:variant>
      <vt:variant>
        <vt:i4>4653086</vt:i4>
      </vt:variant>
      <vt:variant>
        <vt:i4>68</vt:i4>
      </vt:variant>
      <vt:variant>
        <vt:i4>0</vt:i4>
      </vt:variant>
      <vt:variant>
        <vt:i4>5</vt:i4>
      </vt:variant>
      <vt:variant>
        <vt:lpwstr>http://www.cinfo.com/</vt:lpwstr>
      </vt:variant>
      <vt:variant>
        <vt:lpwstr/>
      </vt:variant>
      <vt:variant>
        <vt:i4>1441856</vt:i4>
      </vt:variant>
      <vt:variant>
        <vt:i4>65</vt:i4>
      </vt:variant>
      <vt:variant>
        <vt:i4>0</vt:i4>
      </vt:variant>
      <vt:variant>
        <vt:i4>5</vt:i4>
      </vt:variant>
      <vt:variant>
        <vt:lpwstr>http://www.intersurvey.com/ganp/</vt:lpwstr>
      </vt:variant>
      <vt:variant>
        <vt:lpwstr/>
      </vt:variant>
      <vt:variant>
        <vt:i4>5636121</vt:i4>
      </vt:variant>
      <vt:variant>
        <vt:i4>62</vt:i4>
      </vt:variant>
      <vt:variant>
        <vt:i4>0</vt:i4>
      </vt:variant>
      <vt:variant>
        <vt:i4>5</vt:i4>
      </vt:variant>
      <vt:variant>
        <vt:lpwstr>http://www.harrisinteractive.com/</vt:lpwstr>
      </vt:variant>
      <vt:variant>
        <vt:lpwstr/>
      </vt:variant>
      <vt:variant>
        <vt:i4>458859</vt:i4>
      </vt:variant>
      <vt:variant>
        <vt:i4>57</vt:i4>
      </vt:variant>
      <vt:variant>
        <vt:i4>0</vt:i4>
      </vt:variant>
      <vt:variant>
        <vt:i4>5</vt:i4>
      </vt:variant>
      <vt:variant>
        <vt:lpwstr>mailto:Drd4@cdc.gov</vt:lpwstr>
      </vt:variant>
      <vt:variant>
        <vt:lpwstr/>
      </vt:variant>
      <vt:variant>
        <vt:i4>393333</vt:i4>
      </vt:variant>
      <vt:variant>
        <vt:i4>54</vt:i4>
      </vt:variant>
      <vt:variant>
        <vt:i4>0</vt:i4>
      </vt:variant>
      <vt:variant>
        <vt:i4>5</vt:i4>
      </vt:variant>
      <vt:variant>
        <vt:lpwstr>mailto:Sjr2@cdc.gov</vt:lpwstr>
      </vt:variant>
      <vt:variant>
        <vt:lpwstr/>
      </vt:variant>
      <vt:variant>
        <vt:i4>131183</vt:i4>
      </vt:variant>
      <vt:variant>
        <vt:i4>51</vt:i4>
      </vt:variant>
      <vt:variant>
        <vt:i4>0</vt:i4>
      </vt:variant>
      <vt:variant>
        <vt:i4>5</vt:i4>
      </vt:variant>
      <vt:variant>
        <vt:lpwstr>mailto:Jpo2@cdc.gov</vt:lpwstr>
      </vt:variant>
      <vt:variant>
        <vt:lpwstr/>
      </vt:variant>
      <vt:variant>
        <vt:i4>2031743</vt:i4>
      </vt:variant>
      <vt:variant>
        <vt:i4>48</vt:i4>
      </vt:variant>
      <vt:variant>
        <vt:i4>0</vt:i4>
      </vt:variant>
      <vt:variant>
        <vt:i4>5</vt:i4>
      </vt:variant>
      <vt:variant>
        <vt:lpwstr>mailto:Kjs8@cdc.gov</vt:lpwstr>
      </vt:variant>
      <vt:variant>
        <vt:lpwstr/>
      </vt:variant>
      <vt:variant>
        <vt:i4>524409</vt:i4>
      </vt:variant>
      <vt:variant>
        <vt:i4>45</vt:i4>
      </vt:variant>
      <vt:variant>
        <vt:i4>0</vt:i4>
      </vt:variant>
      <vt:variant>
        <vt:i4>5</vt:i4>
      </vt:variant>
      <vt:variant>
        <vt:lpwstr>mailto:Wfx2@cdc.gov</vt:lpwstr>
      </vt:variant>
      <vt:variant>
        <vt:lpwstr/>
      </vt:variant>
      <vt:variant>
        <vt:i4>1638509</vt:i4>
      </vt:variant>
      <vt:variant>
        <vt:i4>42</vt:i4>
      </vt:variant>
      <vt:variant>
        <vt:i4>0</vt:i4>
      </vt:variant>
      <vt:variant>
        <vt:i4>5</vt:i4>
      </vt:variant>
      <vt:variant>
        <vt:lpwstr>mailto:Jqt1@cdc.gov</vt:lpwstr>
      </vt:variant>
      <vt:variant>
        <vt:lpwstr/>
      </vt:variant>
      <vt:variant>
        <vt:i4>786558</vt:i4>
      </vt:variant>
      <vt:variant>
        <vt:i4>39</vt:i4>
      </vt:variant>
      <vt:variant>
        <vt:i4>0</vt:i4>
      </vt:variant>
      <vt:variant>
        <vt:i4>5</vt:i4>
      </vt:variant>
      <vt:variant>
        <vt:lpwstr>mailto:ifb5@cdc.gov</vt:lpwstr>
      </vt:variant>
      <vt:variant>
        <vt:lpwstr/>
      </vt:variant>
      <vt:variant>
        <vt:i4>106</vt:i4>
      </vt:variant>
      <vt:variant>
        <vt:i4>36</vt:i4>
      </vt:variant>
      <vt:variant>
        <vt:i4>0</vt:i4>
      </vt:variant>
      <vt:variant>
        <vt:i4>5</vt:i4>
      </vt:variant>
      <vt:variant>
        <vt:lpwstr>mailto:Jwm0@cdc.gov</vt:lpwstr>
      </vt:variant>
      <vt:variant>
        <vt:lpwstr/>
      </vt:variant>
      <vt:variant>
        <vt:i4>721012</vt:i4>
      </vt:variant>
      <vt:variant>
        <vt:i4>33</vt:i4>
      </vt:variant>
      <vt:variant>
        <vt:i4>0</vt:i4>
      </vt:variant>
      <vt:variant>
        <vt:i4>5</vt:i4>
      </vt:variant>
      <vt:variant>
        <vt:lpwstr>mailto:Kkg2@cdc.gov</vt:lpwstr>
      </vt:variant>
      <vt:variant>
        <vt:lpwstr/>
      </vt:variant>
      <vt:variant>
        <vt:i4>196735</vt:i4>
      </vt:variant>
      <vt:variant>
        <vt:i4>30</vt:i4>
      </vt:variant>
      <vt:variant>
        <vt:i4>0</vt:i4>
      </vt:variant>
      <vt:variant>
        <vt:i4>5</vt:i4>
      </vt:variant>
      <vt:variant>
        <vt:lpwstr>mailto:Fbb0@cdc.gov</vt:lpwstr>
      </vt:variant>
      <vt:variant>
        <vt:lpwstr/>
      </vt:variant>
      <vt:variant>
        <vt:i4>1835135</vt:i4>
      </vt:variant>
      <vt:variant>
        <vt:i4>27</vt:i4>
      </vt:variant>
      <vt:variant>
        <vt:i4>0</vt:i4>
      </vt:variant>
      <vt:variant>
        <vt:i4>5</vt:i4>
      </vt:variant>
      <vt:variant>
        <vt:lpwstr>mailto:Mev7@cdc.gov</vt:lpwstr>
      </vt:variant>
      <vt:variant>
        <vt:lpwstr/>
      </vt:variant>
      <vt:variant>
        <vt:i4>1966200</vt:i4>
      </vt:variant>
      <vt:variant>
        <vt:i4>24</vt:i4>
      </vt:variant>
      <vt:variant>
        <vt:i4>0</vt:i4>
      </vt:variant>
      <vt:variant>
        <vt:i4>5</vt:i4>
      </vt:variant>
      <vt:variant>
        <vt:lpwstr>mailto:Kdr1@cdc.gov</vt:lpwstr>
      </vt:variant>
      <vt:variant>
        <vt:lpwstr/>
      </vt:variant>
      <vt:variant>
        <vt:i4>1376379</vt:i4>
      </vt:variant>
      <vt:variant>
        <vt:i4>21</vt:i4>
      </vt:variant>
      <vt:variant>
        <vt:i4>0</vt:i4>
      </vt:variant>
      <vt:variant>
        <vt:i4>5</vt:i4>
      </vt:variant>
      <vt:variant>
        <vt:lpwstr>mailto:Pdb2@cdc.gov</vt:lpwstr>
      </vt:variant>
      <vt:variant>
        <vt:lpwstr/>
      </vt:variant>
      <vt:variant>
        <vt:i4>786541</vt:i4>
      </vt:variant>
      <vt:variant>
        <vt:i4>18</vt:i4>
      </vt:variant>
      <vt:variant>
        <vt:i4>0</vt:i4>
      </vt:variant>
      <vt:variant>
        <vt:i4>5</vt:i4>
      </vt:variant>
      <vt:variant>
        <vt:lpwstr>mailto:Jpa0@cdc.gov</vt:lpwstr>
      </vt:variant>
      <vt:variant>
        <vt:lpwstr/>
      </vt:variant>
      <vt:variant>
        <vt:i4>1572985</vt:i4>
      </vt:variant>
      <vt:variant>
        <vt:i4>15</vt:i4>
      </vt:variant>
      <vt:variant>
        <vt:i4>0</vt:i4>
      </vt:variant>
      <vt:variant>
        <vt:i4>5</vt:i4>
      </vt:variant>
      <vt:variant>
        <vt:lpwstr>mailto:Oap5@cdc.gov</vt:lpwstr>
      </vt:variant>
      <vt:variant>
        <vt:lpwstr/>
      </vt:variant>
      <vt:variant>
        <vt:i4>2031726</vt:i4>
      </vt:variant>
      <vt:variant>
        <vt:i4>12</vt:i4>
      </vt:variant>
      <vt:variant>
        <vt:i4>0</vt:i4>
      </vt:variant>
      <vt:variant>
        <vt:i4>5</vt:i4>
      </vt:variant>
      <vt:variant>
        <vt:lpwstr>mailto:Bqz2@cdc.gov</vt:lpwstr>
      </vt:variant>
      <vt:variant>
        <vt:lpwstr/>
      </vt:variant>
      <vt:variant>
        <vt:i4>524390</vt:i4>
      </vt:variant>
      <vt:variant>
        <vt:i4>9</vt:i4>
      </vt:variant>
      <vt:variant>
        <vt:i4>0</vt:i4>
      </vt:variant>
      <vt:variant>
        <vt:i4>5</vt:i4>
      </vt:variant>
      <vt:variant>
        <vt:lpwstr>mailto:Lxc3@cdc.gov</vt:lpwstr>
      </vt:variant>
      <vt:variant>
        <vt:lpwstr/>
      </vt:variant>
      <vt:variant>
        <vt:i4>65652</vt:i4>
      </vt:variant>
      <vt:variant>
        <vt:i4>6</vt:i4>
      </vt:variant>
      <vt:variant>
        <vt:i4>0</vt:i4>
      </vt:variant>
      <vt:variant>
        <vt:i4>5</vt:i4>
      </vt:variant>
      <vt:variant>
        <vt:lpwstr>mailto:Jhl1@cdc.gov</vt:lpwstr>
      </vt:variant>
      <vt:variant>
        <vt:lpwstr/>
      </vt:variant>
      <vt:variant>
        <vt:i4>2031740</vt:i4>
      </vt:variant>
      <vt:variant>
        <vt:i4>3</vt:i4>
      </vt:variant>
      <vt:variant>
        <vt:i4>0</vt:i4>
      </vt:variant>
      <vt:variant>
        <vt:i4>5</vt:i4>
      </vt:variant>
      <vt:variant>
        <vt:lpwstr>mailto:Hdp5@cdc.gov</vt:lpwstr>
      </vt:variant>
      <vt:variant>
        <vt:lpwstr/>
      </vt:variant>
      <vt:variant>
        <vt:i4>7471179</vt:i4>
      </vt:variant>
      <vt:variant>
        <vt:i4>0</vt:i4>
      </vt:variant>
      <vt:variant>
        <vt:i4>0</vt:i4>
      </vt:variant>
      <vt:variant>
        <vt:i4>5</vt:i4>
      </vt:variant>
      <vt:variant>
        <vt:lpwstr>mailto:Dde@cdc.gov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Disease Control and Prevention and</dc:title>
  <dc:creator>Angela Ryan</dc:creator>
  <cp:lastModifiedBy>Dawn</cp:lastModifiedBy>
  <cp:revision>3</cp:revision>
  <cp:lastPrinted>2018-06-07T17:36:00Z</cp:lastPrinted>
  <dcterms:created xsi:type="dcterms:W3CDTF">2021-05-10T19:24:00Z</dcterms:created>
  <dcterms:modified xsi:type="dcterms:W3CDTF">2021-08-30T21:42:00Z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2021-03-24T14:53:09Z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ebc15646-fbe2-417f-8eff-25a008d8515a</vt:lpwstr>
  </property>
  <property fmtid="{D5CDD505-2E9C-101B-9397-08002B2CF9AE}" pid="8" name="MSIP_Label_8af03ff0-41c5-4c41-b55e-fabb8fae94be_ContentBits">
    <vt:lpwstr>0</vt:lpwstr>
  </property>
</Properties>
</file>