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80758" w:rsidR="002E6BC4" w:rsidP="00793731" w:rsidRDefault="007B0DC5" w14:paraId="1A52571B" w14:textId="7AF86AA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Summary of Feasibility Study for a </w:t>
      </w:r>
      <w:r w:rsidRPr="00580758" w:rsidR="00D7488F">
        <w:rPr>
          <w:b/>
          <w:sz w:val="28"/>
          <w:szCs w:val="28"/>
        </w:rPr>
        <w:t>Phase 2 Boundary Shift</w:t>
      </w:r>
    </w:p>
    <w:p w:rsidR="00893131" w:rsidP="002E6BC4" w:rsidRDefault="00893131" w14:paraId="10BD094E" w14:textId="46788A93">
      <w:pPr>
        <w:pStyle w:val="NoSpacing"/>
      </w:pPr>
    </w:p>
    <w:p w:rsidR="007C27ED" w:rsidP="00144BF3" w:rsidRDefault="005C35D4" w14:paraId="61CE11D8" w14:textId="4D0EBACB">
      <w:pPr>
        <w:pStyle w:val="NoSpacing"/>
      </w:pPr>
      <w:r>
        <w:rPr>
          <w:u w:val="single"/>
        </w:rPr>
        <w:t>Background and rationale:</w:t>
      </w:r>
    </w:p>
    <w:p w:rsidR="00824179" w:rsidP="00144BF3" w:rsidRDefault="007C27ED" w14:paraId="3138ABB5" w14:textId="64256F17">
      <w:pPr>
        <w:pStyle w:val="NoSpacing"/>
      </w:pPr>
      <w:r>
        <w:t>T</w:t>
      </w:r>
      <w:r w:rsidRPr="002E6BC4" w:rsidR="002E6BC4">
        <w:t>he standard</w:t>
      </w:r>
      <w:r w:rsidR="00824179">
        <w:t>, approved</w:t>
      </w:r>
      <w:r w:rsidRPr="002E6BC4" w:rsidR="002E6BC4">
        <w:t xml:space="preserve"> </w:t>
      </w:r>
      <w:r w:rsidR="00824179">
        <w:t xml:space="preserve">fieldwork </w:t>
      </w:r>
      <w:r w:rsidRPr="002E6BC4" w:rsidR="002E6BC4">
        <w:t xml:space="preserve">protocol </w:t>
      </w:r>
      <w:r w:rsidR="00824179">
        <w:t xml:space="preserve">for phase 1 (weeks 1-10) of each 12-week </w:t>
      </w:r>
      <w:r w:rsidRPr="002E6BC4" w:rsidR="002E6BC4">
        <w:t xml:space="preserve">NSFG </w:t>
      </w:r>
      <w:r w:rsidR="00824179">
        <w:t xml:space="preserve">fieldwork period </w:t>
      </w:r>
      <w:r w:rsidRPr="002E6BC4" w:rsidR="002E6BC4">
        <w:t>is to</w:t>
      </w:r>
      <w:r w:rsidR="00DF63D6">
        <w:t xml:space="preserve"> send a pre</w:t>
      </w:r>
      <w:r w:rsidR="00DA2E6F">
        <w:t>-</w:t>
      </w:r>
      <w:r w:rsidR="00DF63D6">
        <w:t>notification letter as a standard USPS letter,</w:t>
      </w:r>
      <w:r w:rsidRPr="002E6BC4" w:rsidR="002E6BC4">
        <w:t xml:space="preserve"> provide</w:t>
      </w:r>
      <w:r w:rsidR="00DF63D6">
        <w:t xml:space="preserve"> no incentive for </w:t>
      </w:r>
      <w:r w:rsidR="00824179">
        <w:t xml:space="preserve">completion of the household </w:t>
      </w:r>
      <w:r w:rsidR="00DF63D6">
        <w:t>screening interview, and provide</w:t>
      </w:r>
      <w:r w:rsidRPr="002E6BC4" w:rsidR="002E6BC4">
        <w:t xml:space="preserve"> a $40 incentive </w:t>
      </w:r>
      <w:r w:rsidR="00145480">
        <w:t>for the main interview</w:t>
      </w:r>
      <w:r w:rsidR="00824179">
        <w:t xml:space="preserve"> with the selected respondent</w:t>
      </w:r>
      <w:r w:rsidR="006505F6">
        <w:t>, at the time she or he is beginning the interview</w:t>
      </w:r>
      <w:r w:rsidR="00145480">
        <w:t xml:space="preserve">. The </w:t>
      </w:r>
      <w:r w:rsidR="006505F6">
        <w:t>Phase 2</w:t>
      </w:r>
      <w:r w:rsidRPr="002E6BC4" w:rsidR="002E6BC4">
        <w:t xml:space="preserve"> </w:t>
      </w:r>
      <w:r>
        <w:t>protocol</w:t>
      </w:r>
      <w:r w:rsidR="00824179">
        <w:t xml:space="preserve">, used for weeks 11-12 of the quarter, </w:t>
      </w:r>
      <w:r w:rsidR="00DF63D6">
        <w:t>begins by selecting a subsample of about 1/3 of the remaining active</w:t>
      </w:r>
      <w:r w:rsidR="006505F6">
        <w:t>, nonresponding</w:t>
      </w:r>
      <w:r w:rsidR="00DF63D6">
        <w:t xml:space="preserve"> cases at that point, </w:t>
      </w:r>
      <w:r w:rsidR="006505F6">
        <w:t>for the interviewers to continue working on.  Phase 2</w:t>
      </w:r>
      <w:r w:rsidR="00AA0027">
        <w:t xml:space="preserve"> </w:t>
      </w:r>
      <w:r w:rsidR="00145480">
        <w:t>adds</w:t>
      </w:r>
      <w:r w:rsidRPr="002E6BC4" w:rsidR="00145480">
        <w:t xml:space="preserve"> </w:t>
      </w:r>
      <w:r w:rsidR="00DF63D6">
        <w:t xml:space="preserve">a </w:t>
      </w:r>
      <w:r w:rsidR="006505F6">
        <w:t xml:space="preserve">pre-paid </w:t>
      </w:r>
      <w:r w:rsidR="00DF63D6">
        <w:t xml:space="preserve">$5 incentive for the </w:t>
      </w:r>
      <w:r w:rsidR="00824179">
        <w:t xml:space="preserve">household </w:t>
      </w:r>
      <w:r w:rsidR="00DF63D6">
        <w:t>screening interview</w:t>
      </w:r>
      <w:r w:rsidR="006505F6">
        <w:t xml:space="preserve"> and a</w:t>
      </w:r>
      <w:r w:rsidRPr="002E6BC4" w:rsidR="002E6BC4">
        <w:t xml:space="preserve"> </w:t>
      </w:r>
      <w:r w:rsidR="006505F6">
        <w:t xml:space="preserve">pre-paid </w:t>
      </w:r>
      <w:r w:rsidRPr="002E6BC4" w:rsidR="002E6BC4">
        <w:t>$40</w:t>
      </w:r>
      <w:r w:rsidR="00145480">
        <w:t xml:space="preserve"> for the main interview</w:t>
      </w:r>
      <w:r w:rsidR="006505F6">
        <w:t xml:space="preserve">, in addition to the $40 provided in person to the respondent at </w:t>
      </w:r>
      <w:r w:rsidR="00580758">
        <w:t xml:space="preserve">the </w:t>
      </w:r>
      <w:r w:rsidR="006505F6">
        <w:t xml:space="preserve">time of </w:t>
      </w:r>
      <w:r w:rsidR="00580758">
        <w:t xml:space="preserve">the </w:t>
      </w:r>
      <w:r w:rsidR="006505F6">
        <w:t>interview</w:t>
      </w:r>
      <w:r w:rsidR="00824179">
        <w:t>. The Phase 2</w:t>
      </w:r>
      <w:r w:rsidR="00145480">
        <w:t xml:space="preserve"> </w:t>
      </w:r>
      <w:r w:rsidR="00824179">
        <w:t>advance materials are</w:t>
      </w:r>
      <w:r w:rsidR="00145480">
        <w:t xml:space="preserve"> delivered</w:t>
      </w:r>
      <w:r w:rsidR="00824179">
        <w:t xml:space="preserve"> at additional cost</w:t>
      </w:r>
      <w:r w:rsidR="00145480">
        <w:t xml:space="preserve"> in a UPS mailer</w:t>
      </w:r>
      <w:r w:rsidR="00824179">
        <w:t>, as they contain the advance incentives of $5 for the household screener or $40 for the main interview</w:t>
      </w:r>
      <w:r w:rsidRPr="002E6BC4" w:rsidR="002E6BC4">
        <w:t xml:space="preserve">. </w:t>
      </w:r>
    </w:p>
    <w:p w:rsidR="00824179" w:rsidP="00144BF3" w:rsidRDefault="00824179" w14:paraId="73E4445C" w14:textId="77777777">
      <w:pPr>
        <w:pStyle w:val="NoSpacing"/>
      </w:pPr>
    </w:p>
    <w:p w:rsidR="00144BF3" w:rsidP="00144BF3" w:rsidRDefault="002E6BC4" w14:paraId="28E707D9" w14:textId="671FFBB5">
      <w:pPr>
        <w:pStyle w:val="NoSpacing"/>
      </w:pPr>
      <w:r w:rsidRPr="002E6BC4">
        <w:t xml:space="preserve">We have observed that </w:t>
      </w:r>
      <w:r w:rsidR="000A3D4F">
        <w:t xml:space="preserve">NSFG </w:t>
      </w:r>
      <w:r w:rsidRPr="002E6BC4">
        <w:t xml:space="preserve">response rates </w:t>
      </w:r>
      <w:r w:rsidR="00B86D1F">
        <w:t>have been</w:t>
      </w:r>
      <w:r w:rsidRPr="002E6BC4" w:rsidR="00B86D1F">
        <w:t xml:space="preserve"> </w:t>
      </w:r>
      <w:r w:rsidRPr="002E6BC4">
        <w:t xml:space="preserve">declining </w:t>
      </w:r>
      <w:r w:rsidR="000A3D4F">
        <w:t>since the start of NSFG fieldwork under the current contract</w:t>
      </w:r>
      <w:r w:rsidRPr="002E6BC4">
        <w:t>, but this has been especially true for the phase 1 response rates.</w:t>
      </w:r>
      <w:r w:rsidR="00453A2F">
        <w:t xml:space="preserve"> </w:t>
      </w:r>
      <w:r w:rsidRPr="00ED73E8" w:rsidR="007C27ED">
        <w:rPr>
          <w:b/>
        </w:rPr>
        <w:t>Figure 1</w:t>
      </w:r>
      <w:r w:rsidR="007C27ED">
        <w:t xml:space="preserve"> </w:t>
      </w:r>
      <w:r w:rsidR="00406C69">
        <w:t>shows the phase 1 response rate</w:t>
      </w:r>
      <w:r w:rsidR="00350030">
        <w:t xml:space="preserve"> (Phase 1 RR)</w:t>
      </w:r>
      <w:r w:rsidR="00406C69">
        <w:t>, the final response rate</w:t>
      </w:r>
      <w:r w:rsidR="00350030">
        <w:t xml:space="preserve"> (Final RR)</w:t>
      </w:r>
      <w:r w:rsidR="00406C69">
        <w:t>, and the difference between the two</w:t>
      </w:r>
      <w:r w:rsidR="001B680D">
        <w:t xml:space="preserve"> (essentially, the phase 2 rate</w:t>
      </w:r>
      <w:r w:rsidR="00350030">
        <w:t>, (Final RR</w:t>
      </w:r>
      <w:r w:rsidR="007C27ED">
        <w:t xml:space="preserve"> minus </w:t>
      </w:r>
      <w:r w:rsidR="00350030">
        <w:t>Phase 1 RR)</w:t>
      </w:r>
      <w:r w:rsidR="001B680D">
        <w:t>)</w:t>
      </w:r>
      <w:r w:rsidR="00406C69">
        <w:t xml:space="preserve"> for each quarter</w:t>
      </w:r>
      <w:r w:rsidR="001B680D">
        <w:t xml:space="preserve"> from 1 through 2</w:t>
      </w:r>
      <w:r w:rsidR="006206F5">
        <w:t>2</w:t>
      </w:r>
      <w:r w:rsidR="006505F6">
        <w:t xml:space="preserve">, conducted </w:t>
      </w:r>
      <w:r w:rsidR="002B4E3D">
        <w:t xml:space="preserve">from Sept 2011 through </w:t>
      </w:r>
      <w:r w:rsidR="00B60AA8">
        <w:t>March</w:t>
      </w:r>
      <w:r w:rsidR="002B4E3D">
        <w:t xml:space="preserve"> 2017 (</w:t>
      </w:r>
      <w:proofErr w:type="spellStart"/>
      <w:r w:rsidR="002B4E3D">
        <w:t>i.e</w:t>
      </w:r>
      <w:proofErr w:type="spellEnd"/>
      <w:r w:rsidR="002B4E3D">
        <w:t>, under the current NSFG contract which spans the current and prior NSFG ERB protocols)</w:t>
      </w:r>
      <w:r w:rsidR="00406C69">
        <w:t xml:space="preserve">. </w:t>
      </w:r>
      <w:r w:rsidR="007C27ED">
        <w:t xml:space="preserve"> For each rate, t</w:t>
      </w:r>
      <w:r w:rsidR="00406C69">
        <w:t xml:space="preserve">here </w:t>
      </w:r>
      <w:r w:rsidR="007C27ED">
        <w:t xml:space="preserve">is </w:t>
      </w:r>
      <w:r w:rsidR="00406C69">
        <w:t xml:space="preserve">also </w:t>
      </w:r>
      <w:r w:rsidR="007C27ED">
        <w:t xml:space="preserve">a </w:t>
      </w:r>
      <w:r w:rsidR="00406C69">
        <w:t>line based on the estimated slope from the regression of the rate on the quarter. The slope coefficient</w:t>
      </w:r>
      <w:r w:rsidR="001B680D">
        <w:t xml:space="preserve"> for phase 1 is negative and significant, indicating a downward trend in response rates for phase 1.  The slope coefficient for the final response rate is also negative and significant, indicating a negative impact of phase 1’s decline on the final response rate</w:t>
      </w:r>
      <w:r w:rsidR="00406C69">
        <w:t xml:space="preserve">. </w:t>
      </w:r>
      <w:r w:rsidR="001B680D">
        <w:t>However, t</w:t>
      </w:r>
      <w:r w:rsidR="00406C69">
        <w:t xml:space="preserve">he slope coefficient for the difference </w:t>
      </w:r>
      <w:r w:rsidR="001B680D">
        <w:t xml:space="preserve">(the phase 2 response rate) </w:t>
      </w:r>
      <w:r w:rsidR="00406C69">
        <w:t>is positive but not significant</w:t>
      </w:r>
      <w:r w:rsidR="001B680D">
        <w:t xml:space="preserve">, </w:t>
      </w:r>
      <w:r w:rsidR="005C35D4">
        <w:t xml:space="preserve">indicating </w:t>
      </w:r>
      <w:r w:rsidR="001B680D">
        <w:t>that it did not decrease over time</w:t>
      </w:r>
      <w:r w:rsidR="00406C69">
        <w:t xml:space="preserve">. </w:t>
      </w:r>
      <w:r w:rsidRPr="002E6BC4" w:rsidR="00144BF3">
        <w:t xml:space="preserve">Thus, </w:t>
      </w:r>
      <w:r w:rsidR="00144BF3">
        <w:t>while the effectiveness of the phase 1 protocol has been declining, the phase 2 protocol has remained fairly consistent</w:t>
      </w:r>
      <w:r w:rsidRPr="002E6BC4" w:rsidR="00144BF3">
        <w:t xml:space="preserve">. </w:t>
      </w:r>
    </w:p>
    <w:p w:rsidR="00D309F8" w:rsidP="002E6BC4" w:rsidRDefault="00D309F8" w14:paraId="70354A04" w14:textId="2B74D854">
      <w:pPr>
        <w:pStyle w:val="NoSpacing"/>
      </w:pPr>
    </w:p>
    <w:p w:rsidR="00813CE4" w:rsidP="002E6BC4" w:rsidRDefault="00602B4F" w14:paraId="493F4FD2" w14:textId="569BB27B">
      <w:pPr>
        <w:pStyle w:val="NoSpacing"/>
      </w:pPr>
      <w:r>
        <w:t>The initial design</w:t>
      </w:r>
      <w:r w:rsidR="00751950">
        <w:t>,</w:t>
      </w:r>
      <w:r w:rsidR="004E04C9">
        <w:t xml:space="preserve"> </w:t>
      </w:r>
      <w:r w:rsidR="00751950">
        <w:t xml:space="preserve">implemented at the start of continuous interviewing in </w:t>
      </w:r>
      <w:r w:rsidR="00D03E5C">
        <w:t xml:space="preserve">June </w:t>
      </w:r>
      <w:r w:rsidR="00751950">
        <w:t xml:space="preserve">2006, </w:t>
      </w:r>
      <w:r>
        <w:t>call</w:t>
      </w:r>
      <w:r w:rsidR="00D03E5C">
        <w:t>ed</w:t>
      </w:r>
      <w:r>
        <w:t xml:space="preserve"> for a 10-week phase 1 </w:t>
      </w:r>
      <w:r w:rsidR="00D03E5C">
        <w:t xml:space="preserve">and a 2-week phase 2.  This phase 1 duration within the 12 –week quarter </w:t>
      </w:r>
      <w:r>
        <w:t xml:space="preserve">represented </w:t>
      </w:r>
      <w:r w:rsidR="003B361A">
        <w:t xml:space="preserve">approximately </w:t>
      </w:r>
      <w:r>
        <w:t>the amount of time during which interviewer hours remained efficient and cost-effective and key indicators from the NSFG achieved stability</w:t>
      </w:r>
      <w:r w:rsidR="00751950">
        <w:t xml:space="preserve">.  This </w:t>
      </w:r>
      <w:r w:rsidR="00D03E5C">
        <w:t xml:space="preserve">threshold </w:t>
      </w:r>
      <w:r w:rsidR="00751950">
        <w:t>was based on extensive analysis of calls, yield, response rates</w:t>
      </w:r>
      <w:r w:rsidR="000A78D6">
        <w:t xml:space="preserve"> and key indicators</w:t>
      </w:r>
      <w:r w:rsidR="00751950">
        <w:t xml:space="preserve"> from data collection for the 2002 NSFG (</w:t>
      </w:r>
      <w:r w:rsidR="004E04C9">
        <w:t>Groves et al, 2005)</w:t>
      </w:r>
      <w:r>
        <w:t xml:space="preserve">. </w:t>
      </w:r>
      <w:r w:rsidRPr="002E6BC4" w:rsidR="002E6BC4">
        <w:t xml:space="preserve">Moving the phase boundary earlier </w:t>
      </w:r>
      <w:r>
        <w:t>by one week</w:t>
      </w:r>
      <w:r w:rsidRPr="002E6BC4" w:rsidR="002E6BC4">
        <w:t xml:space="preserve"> </w:t>
      </w:r>
      <w:r>
        <w:t xml:space="preserve">is </w:t>
      </w:r>
      <w:r w:rsidR="00D03E5C">
        <w:t xml:space="preserve">now proposed as </w:t>
      </w:r>
      <w:r>
        <w:t>a</w:t>
      </w:r>
      <w:r w:rsidR="00813CE4">
        <w:t xml:space="preserve"> relatively</w:t>
      </w:r>
      <w:r>
        <w:t xml:space="preserve"> conservative </w:t>
      </w:r>
      <w:r w:rsidR="00813CE4">
        <w:t xml:space="preserve">but meaningful </w:t>
      </w:r>
      <w:r>
        <w:t xml:space="preserve">change to this design, </w:t>
      </w:r>
      <w:r w:rsidRPr="002E6BC4" w:rsidR="002E6BC4">
        <w:t>increas</w:t>
      </w:r>
      <w:r>
        <w:t>ing</w:t>
      </w:r>
      <w:r w:rsidRPr="002E6BC4" w:rsidR="002E6BC4">
        <w:t xml:space="preserve"> the amount of time spent in phase 2, </w:t>
      </w:r>
      <w:r>
        <w:t>thereby potentially</w:t>
      </w:r>
      <w:r w:rsidRPr="002E6BC4" w:rsidR="002E6BC4">
        <w:t xml:space="preserve"> address</w:t>
      </w:r>
      <w:r>
        <w:t>ing</w:t>
      </w:r>
      <w:r w:rsidRPr="002E6BC4" w:rsidR="002E6BC4">
        <w:t xml:space="preserve"> the declining </w:t>
      </w:r>
      <w:r w:rsidR="00F000B3">
        <w:t>overall</w:t>
      </w:r>
      <w:r w:rsidRPr="002E6BC4" w:rsidR="002E6BC4">
        <w:t xml:space="preserve"> response rates</w:t>
      </w:r>
      <w:r w:rsidR="00F000B3">
        <w:t xml:space="preserve"> due to phase 1</w:t>
      </w:r>
      <w:r w:rsidR="002B4E3D">
        <w:t xml:space="preserve"> </w:t>
      </w:r>
      <w:r w:rsidR="00F000B3">
        <w:t>response rate declines</w:t>
      </w:r>
      <w:r>
        <w:t>, without large risk to the benefits of phase 1 for the stability of indicators</w:t>
      </w:r>
      <w:r w:rsidRPr="002E6BC4" w:rsidR="002E6BC4">
        <w:t xml:space="preserve">. A larger portion of the sample will be exposed to the phase 2 protocol and less time will be spent </w:t>
      </w:r>
      <w:r w:rsidR="00AA0027">
        <w:t>attempting to complete the survey</w:t>
      </w:r>
      <w:r w:rsidRPr="002E6BC4" w:rsidR="002E6BC4">
        <w:t xml:space="preserve"> under a </w:t>
      </w:r>
      <w:r w:rsidR="005C35D4">
        <w:t xml:space="preserve">phase 1 </w:t>
      </w:r>
      <w:r w:rsidRPr="002E6BC4" w:rsidR="002E6BC4">
        <w:t>protocol that has become less effective</w:t>
      </w:r>
      <w:r w:rsidR="002B4E3D">
        <w:t xml:space="preserve"> over time</w:t>
      </w:r>
      <w:r w:rsidRPr="002E6BC4" w:rsidR="002E6BC4">
        <w:t xml:space="preserve">. </w:t>
      </w:r>
      <w:r w:rsidR="002B4E3D">
        <w:t>While increased time spent in phase 2 may bring some additional costs of the additional incentives, we hypothesize that the benefits for the overall response rate and efficiency of fieldwork will outweigh those costs.</w:t>
      </w:r>
      <w:r w:rsidR="00AB50FB">
        <w:t xml:space="preserve"> </w:t>
      </w:r>
    </w:p>
    <w:p w:rsidR="00813CE4" w:rsidP="002E6BC4" w:rsidRDefault="00813CE4" w14:paraId="21365D32" w14:textId="77777777">
      <w:pPr>
        <w:pStyle w:val="NoSpacing"/>
      </w:pPr>
    </w:p>
    <w:p w:rsidR="002E6BC4" w:rsidP="002E6BC4" w:rsidRDefault="00813CE4" w14:paraId="63E46659" w14:textId="7A5070FB">
      <w:pPr>
        <w:pStyle w:val="NoSpacing"/>
      </w:pPr>
      <w:r>
        <w:t>Regardless of the results of this feasibility pilot test, w</w:t>
      </w:r>
      <w:r w:rsidR="00AB50FB">
        <w:t xml:space="preserve">e </w:t>
      </w:r>
      <w:r w:rsidR="00751950">
        <w:t>will</w:t>
      </w:r>
      <w:r w:rsidR="00AB50FB">
        <w:t xml:space="preserve"> not propose </w:t>
      </w:r>
      <w:r>
        <w:t xml:space="preserve">any further </w:t>
      </w:r>
      <w:r w:rsidR="00AB50FB">
        <w:t>shift</w:t>
      </w:r>
      <w:r>
        <w:t>s</w:t>
      </w:r>
      <w:r w:rsidR="00AB50FB">
        <w:t xml:space="preserve"> to </w:t>
      </w:r>
      <w:r>
        <w:t xml:space="preserve">the </w:t>
      </w:r>
      <w:r w:rsidR="00AB50FB">
        <w:t xml:space="preserve">phase 2 </w:t>
      </w:r>
      <w:r>
        <w:t>boundary</w:t>
      </w:r>
      <w:r w:rsidR="004E04C9">
        <w:t>.</w:t>
      </w:r>
      <w:r>
        <w:t xml:space="preserve">  The only possible modification we will make is to propose a full experiment of this phase boundary (at the experimental 10-week mark or current protocol’s 11-week mark</w:t>
      </w:r>
      <w:r w:rsidR="004E04C9">
        <w:t>)</w:t>
      </w:r>
      <w:r>
        <w:t>.</w:t>
      </w:r>
    </w:p>
    <w:p w:rsidRPr="007C27ED" w:rsidR="00127DC6" w:rsidP="002E6BC4" w:rsidRDefault="00127DC6" w14:paraId="5FB0A642" w14:textId="6D5FA4A6">
      <w:pPr>
        <w:pStyle w:val="NoSpacing"/>
        <w:rPr>
          <w:u w:val="single"/>
        </w:rPr>
      </w:pPr>
    </w:p>
    <w:p w:rsidRPr="007C27ED" w:rsidR="005C35D4" w:rsidP="002E6BC4" w:rsidRDefault="005C35D4" w14:paraId="0821EEB5" w14:textId="0B506331">
      <w:pPr>
        <w:pStyle w:val="NoSpacing"/>
        <w:rPr>
          <w:u w:val="single"/>
        </w:rPr>
      </w:pPr>
      <w:r w:rsidRPr="007C27ED">
        <w:rPr>
          <w:u w:val="single"/>
        </w:rPr>
        <w:t>Pro</w:t>
      </w:r>
      <w:r w:rsidRPr="007C27ED" w:rsidR="009E5DA3">
        <w:rPr>
          <w:u w:val="single"/>
        </w:rPr>
        <w:t>p</w:t>
      </w:r>
      <w:r w:rsidRPr="007C27ED">
        <w:rPr>
          <w:u w:val="single"/>
        </w:rPr>
        <w:t>osed pilot test:</w:t>
      </w:r>
    </w:p>
    <w:p w:rsidR="002E6BC4" w:rsidP="002E6BC4" w:rsidRDefault="002E6BC4" w14:paraId="7E86ED95" w14:textId="0E00AAD1">
      <w:pPr>
        <w:pStyle w:val="NoSpacing"/>
      </w:pPr>
      <w:r>
        <w:t>W</w:t>
      </w:r>
      <w:r w:rsidRPr="002E6BC4">
        <w:t xml:space="preserve">e propose a conservative, </w:t>
      </w:r>
      <w:r w:rsidR="009F6D1D">
        <w:t>feasibility</w:t>
      </w:r>
      <w:r w:rsidR="00EF5383">
        <w:t xml:space="preserve"> pilot</w:t>
      </w:r>
      <w:r w:rsidR="009F6D1D">
        <w:t xml:space="preserve"> </w:t>
      </w:r>
      <w:r w:rsidRPr="002E6BC4">
        <w:t xml:space="preserve">test of moving the phase boundary to </w:t>
      </w:r>
      <w:r w:rsidR="002B4E3D">
        <w:t>1 week earlier in the quarter</w:t>
      </w:r>
      <w:r w:rsidRPr="002E6BC4">
        <w:t xml:space="preserve">. </w:t>
      </w:r>
      <w:r w:rsidRPr="005A0071">
        <w:t xml:space="preserve">This </w:t>
      </w:r>
      <w:r w:rsidR="002B4E3D">
        <w:t xml:space="preserve">test </w:t>
      </w:r>
      <w:r w:rsidRPr="005A0071">
        <w:t xml:space="preserve">would be done on a small scale </w:t>
      </w:r>
      <w:r w:rsidRPr="005A0071" w:rsidR="00EA39BA">
        <w:t xml:space="preserve">(one quarter) </w:t>
      </w:r>
      <w:r w:rsidRPr="005A0071">
        <w:t xml:space="preserve">in order to determine if the data collection </w:t>
      </w:r>
      <w:r w:rsidR="00406C69">
        <w:t>produces lower response rates or higher costs</w:t>
      </w:r>
      <w:r w:rsidRPr="005A0071" w:rsidR="00EA39BA">
        <w:t>, which would rule out subsequent testing or implementation</w:t>
      </w:r>
      <w:r w:rsidRPr="005A0071">
        <w:t xml:space="preserve">. If neither of these outcomes occurs, then we </w:t>
      </w:r>
      <w:r w:rsidRPr="005A0071" w:rsidR="00EA39BA">
        <w:t xml:space="preserve">would </w:t>
      </w:r>
      <w:r w:rsidR="00E23F5F">
        <w:t>propose</w:t>
      </w:r>
      <w:r w:rsidR="002B4E3D">
        <w:t xml:space="preserve"> in a separate ERB amendment to </w:t>
      </w:r>
      <w:r w:rsidRPr="005A0071" w:rsidR="00EA39BA">
        <w:t xml:space="preserve">conduct </w:t>
      </w:r>
      <w:r w:rsidR="009F6D1D">
        <w:t>an</w:t>
      </w:r>
      <w:r w:rsidRPr="005A0071" w:rsidR="00EA39BA">
        <w:t xml:space="preserve"> experiment in </w:t>
      </w:r>
      <w:r w:rsidRPr="005A0071" w:rsidR="00EA39BA">
        <w:lastRenderedPageBreak/>
        <w:t xml:space="preserve">additional quarters, accumulating results after each quarter. </w:t>
      </w:r>
      <w:r w:rsidRPr="005A0071" w:rsidR="00DE708D">
        <w:t xml:space="preserve"> </w:t>
      </w:r>
      <w:r w:rsidR="009F6D1D">
        <w:t>A preliminary description of such an experiment</w:t>
      </w:r>
      <w:r w:rsidRPr="005A0071" w:rsidR="00DE708D">
        <w:t xml:space="preserve"> is </w:t>
      </w:r>
      <w:r w:rsidR="00AA0027">
        <w:t>d</w:t>
      </w:r>
      <w:r w:rsidRPr="005A0071" w:rsidR="00DE708D">
        <w:t xml:space="preserve">escribed in the </w:t>
      </w:r>
      <w:r w:rsidR="0034412E">
        <w:t xml:space="preserve">“Comparisons” </w:t>
      </w:r>
      <w:r w:rsidRPr="005A0071" w:rsidR="00DE708D">
        <w:t>section below.</w:t>
      </w:r>
      <w:r w:rsidR="00DE708D">
        <w:rPr>
          <w:highlight w:val="yellow"/>
        </w:rPr>
        <w:t xml:space="preserve"> </w:t>
      </w:r>
    </w:p>
    <w:p w:rsidRPr="002E6BC4" w:rsidR="00E23F5F" w:rsidP="002E6BC4" w:rsidRDefault="00E23F5F" w14:paraId="257A20BE" w14:textId="77777777">
      <w:pPr>
        <w:pStyle w:val="NoSpacing"/>
      </w:pPr>
    </w:p>
    <w:p w:rsidRPr="002E6BC4" w:rsidR="002E6BC4" w:rsidP="002E6BC4" w:rsidRDefault="002E6BC4" w14:paraId="195577AD" w14:textId="63B54EBB">
      <w:pPr>
        <w:pStyle w:val="NoSpacing"/>
      </w:pPr>
      <w:r w:rsidRPr="002E6BC4">
        <w:t xml:space="preserve">The proposed </w:t>
      </w:r>
      <w:r w:rsidR="005C35D4">
        <w:t xml:space="preserve">pilot </w:t>
      </w:r>
      <w:r w:rsidRPr="002E6BC4">
        <w:t xml:space="preserve">test has some </w:t>
      </w:r>
      <w:r w:rsidR="009464F2">
        <w:t xml:space="preserve">direct </w:t>
      </w:r>
      <w:r w:rsidRPr="002E6BC4">
        <w:t xml:space="preserve">costs associated with it. In order to change the boundary of when </w:t>
      </w:r>
      <w:r w:rsidR="00D01F5D">
        <w:t>the second phase begins, we would</w:t>
      </w:r>
      <w:r w:rsidRPr="002E6BC4">
        <w:t xml:space="preserve"> need to conduct the sampling and subsequent implementation of the second phase design differentially across the sample. That is</w:t>
      </w:r>
      <w:r w:rsidR="00D01F5D">
        <w:t>, we would</w:t>
      </w:r>
      <w:r w:rsidRPr="002E6BC4">
        <w:t xml:space="preserve"> need to select two samples for the second phase</w:t>
      </w:r>
      <w:r w:rsidR="0068469C">
        <w:t xml:space="preserve"> (1 starting at week 10 per current protocol, and 1 starting at week 9)</w:t>
      </w:r>
      <w:r w:rsidRPr="002E6BC4">
        <w:t xml:space="preserve">, </w:t>
      </w:r>
      <w:r w:rsidR="00E531A1">
        <w:t xml:space="preserve">organize the phase 2 advance mailings to be sent at 2 different times in the quarter, </w:t>
      </w:r>
      <w:r w:rsidRPr="002E6BC4">
        <w:t xml:space="preserve">and update interviewers’ </w:t>
      </w:r>
      <w:proofErr w:type="spellStart"/>
      <w:r w:rsidRPr="002E6BC4">
        <w:t>SurveyTrak</w:t>
      </w:r>
      <w:proofErr w:type="spellEnd"/>
      <w:r w:rsidRPr="002E6BC4">
        <w:t xml:space="preserve"> data </w:t>
      </w:r>
      <w:r w:rsidR="00D01F5D">
        <w:t>(</w:t>
      </w:r>
      <w:proofErr w:type="spellStart"/>
      <w:r w:rsidR="00D01F5D">
        <w:t>SurveyTrak</w:t>
      </w:r>
      <w:proofErr w:type="spellEnd"/>
      <w:r w:rsidR="00D01F5D">
        <w:t xml:space="preserve"> is t</w:t>
      </w:r>
      <w:r w:rsidRPr="00D01F5D" w:rsidR="00D01F5D">
        <w:t>he electronic sample management system used to keep track of the progress and status of sample lines</w:t>
      </w:r>
      <w:r w:rsidR="00D01F5D">
        <w:t>)</w:t>
      </w:r>
      <w:r w:rsidRPr="00D01F5D" w:rsidR="00D01F5D">
        <w:t xml:space="preserve"> </w:t>
      </w:r>
      <w:r w:rsidRPr="002E6BC4">
        <w:t xml:space="preserve">at two different times. </w:t>
      </w:r>
      <w:r w:rsidR="00F55D17">
        <w:t xml:space="preserve"> </w:t>
      </w:r>
      <w:r w:rsidR="00E531A1">
        <w:t xml:space="preserve">Note that </w:t>
      </w:r>
      <w:r w:rsidR="009A282C">
        <w:t xml:space="preserve">the content of </w:t>
      </w:r>
      <w:r w:rsidR="00E531A1">
        <w:t xml:space="preserve">the advance mailings for phase 2 will be identical for the “early” and “normal” timing groups, </w:t>
      </w:r>
      <w:r w:rsidR="00443130">
        <w:t>and unchanged from</w:t>
      </w:r>
      <w:r w:rsidR="00E531A1">
        <w:t xml:space="preserve"> what is currently approved for use in phase 2 – only the timing would change.</w:t>
      </w:r>
    </w:p>
    <w:p w:rsidR="00D01F5D" w:rsidP="00D01F5D" w:rsidRDefault="00D01F5D" w14:paraId="7EDCD5C6" w14:textId="77777777">
      <w:pPr>
        <w:pStyle w:val="NoSpacing"/>
      </w:pPr>
    </w:p>
    <w:p w:rsidRPr="002E6BC4" w:rsidR="002E6BC4" w:rsidP="002E6BC4" w:rsidRDefault="002E6BC4" w14:paraId="79021A64" w14:textId="51083987">
      <w:pPr>
        <w:pStyle w:val="NoSpacing"/>
      </w:pPr>
      <w:r w:rsidRPr="00ED73E8">
        <w:rPr>
          <w:b/>
        </w:rPr>
        <w:t>T</w:t>
      </w:r>
      <w:r w:rsidRPr="00ED73E8" w:rsidR="00443130">
        <w:rPr>
          <w:b/>
        </w:rPr>
        <w:t>able 1</w:t>
      </w:r>
      <w:r w:rsidRPr="002E6BC4">
        <w:t xml:space="preserve"> includes each of the steps in the process, </w:t>
      </w:r>
      <w:r w:rsidR="0034412E">
        <w:t xml:space="preserve">showing </w:t>
      </w:r>
      <w:r w:rsidR="005C35D4">
        <w:t>the timing of these steps under our current fieldwork protocol with the phase boundary at week 10</w:t>
      </w:r>
      <w:r w:rsidRPr="002E6BC4">
        <w:t xml:space="preserve"> and</w:t>
      </w:r>
      <w:r w:rsidR="005C35D4">
        <w:t xml:space="preserve"> the</w:t>
      </w:r>
      <w:r w:rsidRPr="002E6BC4">
        <w:t xml:space="preserve"> proposed </w:t>
      </w:r>
      <w:r w:rsidR="005C35D4">
        <w:t>timing of these steps when the phase boundary is moved 1 week earlier</w:t>
      </w:r>
      <w:r w:rsidRPr="002E6BC4">
        <w:t>. The numbers in parentheses are the weeks/days of the</w:t>
      </w:r>
      <w:r w:rsidR="005C35D4">
        <w:t xml:space="preserve"> </w:t>
      </w:r>
      <w:proofErr w:type="gramStart"/>
      <w:r w:rsidR="005C35D4">
        <w:t>12 week</w:t>
      </w:r>
      <w:proofErr w:type="gramEnd"/>
      <w:r w:rsidR="005C35D4">
        <w:t xml:space="preserve"> (</w:t>
      </w:r>
      <w:r w:rsidRPr="002E6BC4">
        <w:t>84-day</w:t>
      </w:r>
      <w:r w:rsidR="005C35D4">
        <w:t>)</w:t>
      </w:r>
      <w:r w:rsidRPr="002E6BC4">
        <w:t xml:space="preserve"> quarter. </w:t>
      </w:r>
      <w:r w:rsidR="00D01F5D">
        <w:t xml:space="preserve"> </w:t>
      </w:r>
      <w:r w:rsidRPr="002E6BC4" w:rsidR="00D01F5D">
        <w:t xml:space="preserve">Under the current procedure, the </w:t>
      </w:r>
      <w:r w:rsidR="0068469C">
        <w:t xml:space="preserve">Phase 2 </w:t>
      </w:r>
      <w:r w:rsidRPr="002E6BC4" w:rsidR="00D01F5D">
        <w:t>sample is selected on Tuesday (or early Wednesday) of week 10. The mailings are assembled and sent on Wednesday</w:t>
      </w:r>
      <w:r w:rsidR="0068469C">
        <w:t xml:space="preserve"> via UPS</w:t>
      </w:r>
      <w:r w:rsidRPr="002E6BC4" w:rsidR="00D01F5D">
        <w:t xml:space="preserve">. Updates to the interviewers’ </w:t>
      </w:r>
      <w:proofErr w:type="spellStart"/>
      <w:r w:rsidRPr="002E6BC4" w:rsidR="00D01F5D">
        <w:t>SurveyTrak</w:t>
      </w:r>
      <w:proofErr w:type="spellEnd"/>
      <w:r w:rsidRPr="002E6BC4" w:rsidR="00D01F5D">
        <w:t xml:space="preserve"> data occur on Sunday morning (7am EST). The second phase </w:t>
      </w:r>
      <w:r w:rsidR="00BF2F35">
        <w:t xml:space="preserve">of the quarter </w:t>
      </w:r>
      <w:r w:rsidRPr="002E6BC4" w:rsidR="00D01F5D">
        <w:t>begins on Sunday morning.</w:t>
      </w:r>
      <w:r w:rsidR="006F08FC">
        <w:t xml:space="preserve">  Under the experimental design, each of these dates is shifted earlier by one week.  </w:t>
      </w:r>
    </w:p>
    <w:p w:rsidR="00D01F5D" w:rsidP="002E6BC4" w:rsidRDefault="00D01F5D" w14:paraId="60BB6C22" w14:textId="77777777">
      <w:pPr>
        <w:pStyle w:val="NoSpacing"/>
      </w:pPr>
    </w:p>
    <w:p w:rsidR="002E6BC4" w:rsidP="002E6BC4" w:rsidRDefault="002E6BC4" w14:paraId="11302D4B" w14:textId="2B8F9069">
      <w:pPr>
        <w:pStyle w:val="NoSpacing"/>
      </w:pPr>
      <w:r w:rsidRPr="002E6BC4">
        <w:t xml:space="preserve">Our proposal is to select five </w:t>
      </w:r>
      <w:r w:rsidR="00EA39BA">
        <w:t xml:space="preserve">(out of </w:t>
      </w:r>
      <w:r w:rsidR="00127DC6">
        <w:t>3</w:t>
      </w:r>
      <w:r w:rsidR="009A7864">
        <w:t>5</w:t>
      </w:r>
      <w:r w:rsidR="00EA39BA">
        <w:t xml:space="preserve">) </w:t>
      </w:r>
      <w:r w:rsidRPr="002E6BC4">
        <w:t xml:space="preserve">PSUs to implement the </w:t>
      </w:r>
      <w:r w:rsidR="00443130">
        <w:t>p</w:t>
      </w:r>
      <w:r w:rsidR="00003B7F">
        <w:t>hase</w:t>
      </w:r>
      <w:r w:rsidRPr="002E6BC4">
        <w:t xml:space="preserve"> 2</w:t>
      </w:r>
      <w:r w:rsidR="00003B7F">
        <w:t xml:space="preserve"> boundary shift</w:t>
      </w:r>
      <w:r w:rsidRPr="002E6BC4">
        <w:t xml:space="preserve">. These PSUs will be selected randomly using a stratified design. We will form the strata using some broad characteristics, including </w:t>
      </w:r>
      <w:r w:rsidR="00397C12">
        <w:t>patterns in the primary cost/efficiency indicator</w:t>
      </w:r>
      <w:r w:rsidR="00852CCF">
        <w:t>:</w:t>
      </w:r>
      <w:r w:rsidR="00397C12">
        <w:t xml:space="preserve"> hours per interview (</w:t>
      </w:r>
      <w:r w:rsidRPr="002E6BC4">
        <w:t>HPI</w:t>
      </w:r>
      <w:r w:rsidR="00397C12">
        <w:t>)</w:t>
      </w:r>
      <w:r w:rsidR="00852CCF">
        <w:t xml:space="preserve">.  The trend in HPI in weeks 1 through 8 will be </w:t>
      </w:r>
      <w:r w:rsidR="00175948">
        <w:t xml:space="preserve">monitored to determine </w:t>
      </w:r>
      <w:r w:rsidR="00397C12">
        <w:t>whether</w:t>
      </w:r>
      <w:r w:rsidRPr="002E6BC4">
        <w:t xml:space="preserve"> </w:t>
      </w:r>
      <w:r w:rsidR="00852CCF">
        <w:t xml:space="preserve">it </w:t>
      </w:r>
      <w:r w:rsidRPr="002E6BC4">
        <w:t xml:space="preserve">is going up during week 8 relative </w:t>
      </w:r>
      <w:r w:rsidR="00397C12">
        <w:t>to previous weeks or whether it</w:t>
      </w:r>
      <w:r w:rsidRPr="002E6BC4">
        <w:t xml:space="preserve"> is holding steady or going down during week 8. These strata will be further refined using the size and urbanicity of the PSUs to create 5 strata and then draw 1 PSU from each stratum for the experimental treatment.  This approach will allow us to assess the phase boundary </w:t>
      </w:r>
      <w:r w:rsidR="00003B7F">
        <w:t>shift</w:t>
      </w:r>
      <w:r w:rsidRPr="002E6BC4" w:rsidR="00003B7F">
        <w:t xml:space="preserve"> </w:t>
      </w:r>
      <w:r w:rsidRPr="002E6BC4">
        <w:t>in a variety of circumstances</w:t>
      </w:r>
      <w:r w:rsidR="009A282C">
        <w:t xml:space="preserve"> related to HPI patterns in weeks 1 through 8</w:t>
      </w:r>
      <w:r w:rsidRPr="002E6BC4">
        <w:t>. However, we will not have the power to make firm statistical conclusions</w:t>
      </w:r>
      <w:r w:rsidR="00852CCF">
        <w:t xml:space="preserve"> in this small-scale </w:t>
      </w:r>
      <w:r w:rsidR="009F6D1D">
        <w:t>test</w:t>
      </w:r>
      <w:r w:rsidR="00852CCF">
        <w:t xml:space="preserve"> lasting one quarter</w:t>
      </w:r>
      <w:r w:rsidR="00003B7F">
        <w:t xml:space="preserve"> and based on 5 PSUs</w:t>
      </w:r>
      <w:r w:rsidRPr="002E6BC4">
        <w:t>.</w:t>
      </w:r>
    </w:p>
    <w:p w:rsidR="00397C12" w:rsidP="002E6BC4" w:rsidRDefault="00397C12" w14:paraId="00466107" w14:textId="77777777">
      <w:pPr>
        <w:pStyle w:val="NoSpacing"/>
      </w:pPr>
    </w:p>
    <w:p w:rsidR="00795AA7" w:rsidP="002E6BC4" w:rsidRDefault="00795AA7" w14:paraId="0ED1C931" w14:textId="05DF6B61">
      <w:pPr>
        <w:pStyle w:val="NoSpacing"/>
      </w:pPr>
      <w:r>
        <w:t>This pilot test will be run concurrently with</w:t>
      </w:r>
      <w:r w:rsidR="00FA0179">
        <w:t xml:space="preserve">, but independently from, </w:t>
      </w:r>
      <w:r w:rsidR="00943C20">
        <w:t>the recently approved</w:t>
      </w:r>
      <w:r>
        <w:t xml:space="preserve"> mailed screener experiment</w:t>
      </w:r>
      <w:r w:rsidR="00003B7F">
        <w:t xml:space="preserve"> (amendment 3 approved by ERB 3/21/17)</w:t>
      </w:r>
      <w:r>
        <w:t xml:space="preserve">. </w:t>
      </w:r>
      <w:r w:rsidR="00D47940">
        <w:t>W</w:t>
      </w:r>
      <w:r>
        <w:t xml:space="preserve">e will randomly select the five PSUs for the pilot test and </w:t>
      </w:r>
      <w:r w:rsidR="00003B7F">
        <w:t>ensure no overlap with the areas used for</w:t>
      </w:r>
      <w:r>
        <w:t xml:space="preserve"> the mailed screener experiment. </w:t>
      </w:r>
      <w:r w:rsidR="00443130">
        <w:t>Excluding only</w:t>
      </w:r>
      <w:r w:rsidR="00145480">
        <w:t xml:space="preserve"> five PSUs should not interfere with the sample size needed for the </w:t>
      </w:r>
      <w:r w:rsidR="00003B7F">
        <w:t xml:space="preserve">mailed </w:t>
      </w:r>
      <w:r w:rsidR="00436488">
        <w:t xml:space="preserve">screener </w:t>
      </w:r>
      <w:r w:rsidR="00145480">
        <w:t xml:space="preserve">experiment. </w:t>
      </w:r>
    </w:p>
    <w:p w:rsidRPr="002E6BC4" w:rsidR="00795AA7" w:rsidP="002E6BC4" w:rsidRDefault="00795AA7" w14:paraId="21200C62" w14:textId="77777777">
      <w:pPr>
        <w:pStyle w:val="NoSpacing"/>
      </w:pPr>
    </w:p>
    <w:p w:rsidRPr="000E2006" w:rsidR="000E2006" w:rsidP="002E6BC4" w:rsidRDefault="000E2006" w14:paraId="270507A9" w14:textId="77777777">
      <w:pPr>
        <w:pStyle w:val="NoSpacing"/>
        <w:rPr>
          <w:u w:val="single"/>
        </w:rPr>
      </w:pPr>
      <w:r w:rsidRPr="000E2006">
        <w:rPr>
          <w:u w:val="single"/>
        </w:rPr>
        <w:t>Comparisons:</w:t>
      </w:r>
    </w:p>
    <w:p w:rsidR="00B86D1F" w:rsidP="002E6BC4" w:rsidRDefault="002E6BC4" w14:paraId="1357B31C" w14:textId="19F1072A">
      <w:pPr>
        <w:pStyle w:val="NoSpacing"/>
      </w:pPr>
      <w:r w:rsidRPr="002E6BC4">
        <w:t xml:space="preserve">Once </w:t>
      </w:r>
      <w:r w:rsidR="00397C12">
        <w:t xml:space="preserve">the </w:t>
      </w:r>
      <w:r w:rsidR="009F6D1D">
        <w:t xml:space="preserve">feasibility </w:t>
      </w:r>
      <w:r w:rsidR="00A20254">
        <w:t xml:space="preserve">pilot </w:t>
      </w:r>
      <w:r w:rsidR="009F6D1D">
        <w:t>test</w:t>
      </w:r>
      <w:r w:rsidRPr="002E6BC4">
        <w:t xml:space="preserve"> has been implemented</w:t>
      </w:r>
      <w:r w:rsidR="000E2006">
        <w:t xml:space="preserve"> for one quarter</w:t>
      </w:r>
      <w:r w:rsidRPr="002E6BC4">
        <w:t xml:space="preserve">, we will compare the five PSUs to their own past performance as well as to that of other PSUs in the current quarter. The metrics for the comparison will be </w:t>
      </w:r>
      <w:r w:rsidRPr="003F361D">
        <w:t>HPI</w:t>
      </w:r>
      <w:r w:rsidRPr="003F361D" w:rsidR="00406C69">
        <w:t xml:space="preserve"> and</w:t>
      </w:r>
      <w:r w:rsidRPr="003F361D">
        <w:t xml:space="preserve"> response rate.</w:t>
      </w:r>
      <w:r w:rsidRPr="002E6BC4">
        <w:t xml:space="preserve"> </w:t>
      </w:r>
      <w:r w:rsidR="00397C12">
        <w:t xml:space="preserve">  </w:t>
      </w:r>
    </w:p>
    <w:p w:rsidR="00B86D1F" w:rsidP="002E6BC4" w:rsidRDefault="00B86D1F" w14:paraId="6FD61C21" w14:textId="77777777">
      <w:pPr>
        <w:pStyle w:val="NoSpacing"/>
      </w:pPr>
    </w:p>
    <w:p w:rsidRPr="002E6BC4" w:rsidR="002E6BC4" w:rsidP="002E6BC4" w:rsidRDefault="002E6BC4" w14:paraId="0703A821" w14:textId="296B897E">
      <w:pPr>
        <w:pStyle w:val="NoSpacing"/>
      </w:pPr>
      <w:r w:rsidRPr="002E6BC4">
        <w:t xml:space="preserve">If data collection operations do not </w:t>
      </w:r>
      <w:r w:rsidR="00406C69">
        <w:t>produce substantially lower response rates or higher costs</w:t>
      </w:r>
      <w:r w:rsidRPr="002E6BC4">
        <w:t xml:space="preserve"> in the </w:t>
      </w:r>
      <w:r w:rsidR="009F6D1D">
        <w:t>test</w:t>
      </w:r>
      <w:r w:rsidRPr="002E6BC4" w:rsidR="009F6D1D">
        <w:t xml:space="preserve"> </w:t>
      </w:r>
      <w:r w:rsidRPr="002E6BC4">
        <w:t>quarter, we will the</w:t>
      </w:r>
      <w:r w:rsidR="009F6D1D">
        <w:t>n</w:t>
      </w:r>
      <w:r w:rsidR="00003B7F">
        <w:t xml:space="preserve"> submit a separate amendment to</w:t>
      </w:r>
      <w:r w:rsidR="009F6D1D">
        <w:t xml:space="preserve"> propose a full-scale</w:t>
      </w:r>
      <w:r w:rsidRPr="002E6BC4">
        <w:t xml:space="preserve"> experiment. </w:t>
      </w:r>
      <w:r w:rsidR="009F6D1D">
        <w:t xml:space="preserve">The </w:t>
      </w:r>
      <w:r w:rsidR="00003B7F">
        <w:t xml:space="preserve">full-scale </w:t>
      </w:r>
      <w:r w:rsidR="009F6D1D">
        <w:t xml:space="preserve">experiment </w:t>
      </w:r>
      <w:r w:rsidR="00003B7F">
        <w:t xml:space="preserve">would </w:t>
      </w:r>
      <w:r w:rsidR="009F6D1D">
        <w:t xml:space="preserve">be powered based on the results of the feasibility </w:t>
      </w:r>
      <w:r w:rsidR="00003B7F">
        <w:t xml:space="preserve">pilot </w:t>
      </w:r>
      <w:r w:rsidR="009F6D1D">
        <w:t>test and may run for several quarters with large sample sizes in the experimental condition</w:t>
      </w:r>
      <w:r w:rsidRPr="002E6BC4">
        <w:t>.</w:t>
      </w:r>
      <w:r w:rsidR="009F6D1D">
        <w:t xml:space="preserve"> </w:t>
      </w:r>
      <w:r w:rsidR="00EA39BA">
        <w:t xml:space="preserve"> A decision </w:t>
      </w:r>
      <w:r w:rsidR="003133EC">
        <w:t xml:space="preserve">would then be made </w:t>
      </w:r>
      <w:r w:rsidR="00EA39BA">
        <w:t>on</w:t>
      </w:r>
      <w:r w:rsidR="004C1608">
        <w:t xml:space="preserve"> whether or not to</w:t>
      </w:r>
      <w:r w:rsidR="00EA39BA">
        <w:t xml:space="preserve"> request approval to implement</w:t>
      </w:r>
      <w:r w:rsidR="00B86D1F">
        <w:t xml:space="preserve"> this </w:t>
      </w:r>
      <w:r w:rsidR="0029180D">
        <w:t xml:space="preserve">phase boundary </w:t>
      </w:r>
      <w:r w:rsidR="00B86D1F">
        <w:t>change</w:t>
      </w:r>
      <w:r w:rsidR="00EA39BA">
        <w:t xml:space="preserve"> into the </w:t>
      </w:r>
      <w:r w:rsidR="0029180D">
        <w:t>main NSFG fieldwork protocol</w:t>
      </w:r>
      <w:r w:rsidR="009F6D1D">
        <w:t>, based on the efficiency and response rate outcomes</w:t>
      </w:r>
      <w:r w:rsidR="00EA39BA">
        <w:t>.</w:t>
      </w:r>
      <w:r w:rsidR="009F6D1D">
        <w:t xml:space="preserve"> </w:t>
      </w:r>
    </w:p>
    <w:p w:rsidR="00D01F5D" w:rsidP="002E6BC4" w:rsidRDefault="00D01F5D" w14:paraId="3255B1A9" w14:textId="77777777">
      <w:pPr>
        <w:pStyle w:val="NoSpacing"/>
      </w:pPr>
    </w:p>
    <w:p w:rsidRPr="00D01F5D" w:rsidR="002E6BC4" w:rsidP="002E6BC4" w:rsidRDefault="007222BE" w14:paraId="1C8D78AA" w14:textId="2E00A723">
      <w:pPr>
        <w:pStyle w:val="NoSpacing"/>
        <w:rPr>
          <w:u w:val="single"/>
        </w:rPr>
      </w:pPr>
      <w:r>
        <w:rPr>
          <w:u w:val="single"/>
        </w:rPr>
        <w:t>Direct</w:t>
      </w:r>
      <w:r w:rsidR="000614F3">
        <w:rPr>
          <w:u w:val="single"/>
        </w:rPr>
        <w:t xml:space="preserve"> </w:t>
      </w:r>
      <w:r w:rsidRPr="00D01F5D" w:rsidR="002E6BC4">
        <w:rPr>
          <w:u w:val="single"/>
        </w:rPr>
        <w:t>Costs</w:t>
      </w:r>
    </w:p>
    <w:p w:rsidR="00F92197" w:rsidP="002E6BC4" w:rsidRDefault="002E6BC4" w14:paraId="6C95C436" w14:textId="58737070">
      <w:pPr>
        <w:pStyle w:val="NoSpacing"/>
      </w:pPr>
      <w:r w:rsidRPr="002E6BC4">
        <w:lastRenderedPageBreak/>
        <w:t>The assumptions underlying estimated direct costs are as follows: We assume that the sample sizes for phase 2 would increase by 70%, given that the phase 2 field period was increased from two weeks to three weeks</w:t>
      </w:r>
      <w:r w:rsidR="00875F6A">
        <w:t>, and assuming</w:t>
      </w:r>
      <w:r w:rsidRPr="002E6BC4">
        <w:t xml:space="preserve"> a somewhat higher per-week yield in phase 2</w:t>
      </w:r>
      <w:r w:rsidR="00F92197">
        <w:t xml:space="preserve"> compared to current phase 2 yield</w:t>
      </w:r>
      <w:r w:rsidRPr="002E6BC4">
        <w:t xml:space="preserve">. For five PSUs, this represents an increase of 28 screener lines and 23 main lines that will now get the phase 2 incentives. The pre-paid incentives cost $1,060 (28*$5 +23*$40) for these additional cases. </w:t>
      </w:r>
      <w:r w:rsidRPr="00F7069B">
        <w:t>There will also be $371 in shipping/postage (53 * $7) for these additional lines</w:t>
      </w:r>
      <w:r w:rsidR="004942E6">
        <w:t xml:space="preserve"> exposed to the Phase 2 protocol</w:t>
      </w:r>
      <w:r w:rsidRPr="00F7069B">
        <w:t>.</w:t>
      </w:r>
      <w:r w:rsidRPr="00F7069B" w:rsidR="000E2006">
        <w:t xml:space="preserve">  </w:t>
      </w:r>
      <w:r w:rsidRPr="00F7069B">
        <w:t xml:space="preserve">We also estimated the </w:t>
      </w:r>
      <w:r w:rsidR="0083014B">
        <w:t xml:space="preserve">additional </w:t>
      </w:r>
      <w:r w:rsidRPr="00F7069B">
        <w:t>cost</w:t>
      </w:r>
      <w:r w:rsidR="0083014B">
        <w:t>s</w:t>
      </w:r>
      <w:r w:rsidRPr="00F7069B">
        <w:t xml:space="preserve"> of drawing an additional </w:t>
      </w:r>
      <w:r w:rsidR="004942E6">
        <w:t xml:space="preserve">(week 9/Phase 2) </w:t>
      </w:r>
      <w:r w:rsidRPr="00F7069B">
        <w:t xml:space="preserve">sample, preparing the </w:t>
      </w:r>
      <w:r w:rsidR="0068469C">
        <w:t xml:space="preserve">additional UPS </w:t>
      </w:r>
      <w:r w:rsidRPr="00F7069B">
        <w:t>mailing</w:t>
      </w:r>
      <w:r w:rsidR="0083014B">
        <w:t>s</w:t>
      </w:r>
      <w:r w:rsidRPr="00F7069B">
        <w:t>, and releasing the sample to the field</w:t>
      </w:r>
      <w:r w:rsidR="007D7414">
        <w:t xml:space="preserve"> </w:t>
      </w:r>
      <w:r w:rsidR="0083014B">
        <w:t xml:space="preserve">to be </w:t>
      </w:r>
      <w:r w:rsidRPr="00F7069B">
        <w:t>$376.</w:t>
      </w:r>
    </w:p>
    <w:p w:rsidRPr="002E6BC4" w:rsidR="006B663E" w:rsidP="002E6BC4" w:rsidRDefault="006B663E" w14:paraId="5FAD4EB4" w14:textId="77777777">
      <w:pPr>
        <w:pStyle w:val="NoSpacing"/>
      </w:pPr>
    </w:p>
    <w:p w:rsidR="000E2006" w:rsidP="004A6943" w:rsidRDefault="0083014B" w14:paraId="36A0EA84" w14:textId="01838E12">
      <w:r>
        <w:t>In sum, t</w:t>
      </w:r>
      <w:r w:rsidRPr="002E6BC4" w:rsidR="002E6BC4">
        <w:t xml:space="preserve">he total </w:t>
      </w:r>
      <w:r w:rsidR="001E7AB9">
        <w:t xml:space="preserve">direct </w:t>
      </w:r>
      <w:r w:rsidRPr="002E6BC4" w:rsidR="002E6BC4">
        <w:t xml:space="preserve">costs to implement the </w:t>
      </w:r>
      <w:r>
        <w:t xml:space="preserve">pilot </w:t>
      </w:r>
      <w:r w:rsidRPr="002E6BC4" w:rsidR="002E6BC4">
        <w:t>test</w:t>
      </w:r>
      <w:r>
        <w:t xml:space="preserve"> for the phase boundary shift</w:t>
      </w:r>
      <w:r w:rsidRPr="002E6BC4" w:rsidR="002E6BC4">
        <w:t xml:space="preserve"> are, under these assumptions, estimated to be about</w:t>
      </w:r>
      <w:r w:rsidR="000E2006">
        <w:t xml:space="preserve"> </w:t>
      </w:r>
    </w:p>
    <w:p w:rsidR="001E7AB9" w:rsidP="001E7AB9" w:rsidRDefault="001E7AB9" w14:paraId="0D9A7840" w14:textId="7552F694">
      <w:pPr>
        <w:pStyle w:val="NoSpacing"/>
        <w:ind w:left="720"/>
      </w:pPr>
      <w:r w:rsidRPr="000E2006">
        <w:rPr>
          <w:b/>
        </w:rPr>
        <w:t>$</w:t>
      </w:r>
      <w:r>
        <w:rPr>
          <w:b/>
        </w:rPr>
        <w:t xml:space="preserve">1,807: </w:t>
      </w:r>
      <w:r w:rsidRPr="002E6BC4">
        <w:t>($1,060+$371+$376)</w:t>
      </w:r>
    </w:p>
    <w:p w:rsidR="001E7AB9" w:rsidP="00232E59" w:rsidRDefault="001E7AB9" w14:paraId="6F5AE89B" w14:textId="77777777">
      <w:pPr>
        <w:pStyle w:val="NoSpacing"/>
        <w:ind w:left="720"/>
        <w:rPr>
          <w:b/>
        </w:rPr>
      </w:pPr>
    </w:p>
    <w:p w:rsidR="0083014B" w:rsidP="00232E59" w:rsidRDefault="0083014B" w14:paraId="78454356" w14:textId="2EF9175A">
      <w:pPr>
        <w:pStyle w:val="NoSpacing"/>
        <w:ind w:left="720"/>
      </w:pPr>
    </w:p>
    <w:p w:rsidR="002E6BC4" w:rsidP="00232E59" w:rsidRDefault="002E6BC4" w14:paraId="565192EF" w14:textId="1FCDA796">
      <w:pPr>
        <w:pStyle w:val="NoSpacing"/>
        <w:ind w:left="720"/>
      </w:pPr>
    </w:p>
    <w:p w:rsidRPr="002E6BC4" w:rsidR="000E2006" w:rsidP="002E6BC4" w:rsidRDefault="000E2006" w14:paraId="127EB185" w14:textId="77777777">
      <w:pPr>
        <w:pStyle w:val="NoSpacing"/>
      </w:pPr>
    </w:p>
    <w:p w:rsidR="00B60AA8" w:rsidP="00ED73E8" w:rsidRDefault="002E6BC4" w14:paraId="3010FA6F" w14:textId="51548B56">
      <w:pPr>
        <w:pStyle w:val="NoSpacing"/>
      </w:pPr>
      <w:r w:rsidRPr="002E6BC4">
        <w:t xml:space="preserve">These assumptions are based on predicting slightly higher efficiency (lower HPI and costs) with an expanded phase 2, the desired outcome. Lowered efficiency (higher HPI) during phase 2 is also a possible outcome, since interviewers would have a relatively small sample to work for a longer period of time. </w:t>
      </w:r>
    </w:p>
    <w:p w:rsidR="004E04C9" w:rsidP="00ED73E8" w:rsidRDefault="004E04C9" w14:paraId="33725568" w14:textId="48342761">
      <w:pPr>
        <w:pStyle w:val="NoSpacing"/>
      </w:pPr>
    </w:p>
    <w:p w:rsidRPr="004E04C9" w:rsidR="004E04C9" w:rsidP="00ED73E8" w:rsidRDefault="004E04C9" w14:paraId="13D79DAA" w14:textId="6D4EA019">
      <w:pPr>
        <w:pStyle w:val="NoSpacing"/>
        <w:rPr>
          <w:b/>
        </w:rPr>
      </w:pPr>
      <w:r w:rsidRPr="004E04C9">
        <w:rPr>
          <w:b/>
        </w:rPr>
        <w:t>Reference</w:t>
      </w:r>
    </w:p>
    <w:p w:rsidR="004E04C9" w:rsidP="004E04C9" w:rsidRDefault="004E04C9" w14:paraId="44A9EC01" w14:textId="77777777">
      <w:pPr>
        <w:pStyle w:val="NoSpacing"/>
      </w:pPr>
    </w:p>
    <w:p w:rsidRPr="004E04C9" w:rsidR="004E04C9" w:rsidP="004E04C9" w:rsidRDefault="004E04C9" w14:paraId="7C60D5B1" w14:textId="15E31BB0">
      <w:pPr>
        <w:pStyle w:val="NoSpacing"/>
      </w:pPr>
      <w:r w:rsidRPr="004E04C9">
        <w:t xml:space="preserve">Groves RM, Benson G, Mosher WD, Rosenbaum J, Granda P, </w:t>
      </w:r>
      <w:proofErr w:type="spellStart"/>
      <w:r w:rsidRPr="004E04C9">
        <w:t>Axinn</w:t>
      </w:r>
      <w:proofErr w:type="spellEnd"/>
      <w:r w:rsidRPr="004E04C9">
        <w:t xml:space="preserve"> W, </w:t>
      </w:r>
      <w:proofErr w:type="spellStart"/>
      <w:r w:rsidRPr="004E04C9">
        <w:t>Lepkowski</w:t>
      </w:r>
      <w:proofErr w:type="spellEnd"/>
      <w:r w:rsidRPr="004E04C9">
        <w:t xml:space="preserve"> J, Chandra A. 2005. Plan and operation of the 2002 National Survey of Family Growth. Vital and Health Statistics Series 1, No. 42. Hyattsville, MD: National Center for Health Statistics.</w:t>
      </w:r>
    </w:p>
    <w:p w:rsidR="00B60AA8" w:rsidP="00ED73E8" w:rsidRDefault="00B60AA8" w14:paraId="3384332B" w14:textId="77777777">
      <w:pPr>
        <w:pStyle w:val="NoSpacing"/>
      </w:pPr>
    </w:p>
    <w:p w:rsidR="00B60AA8" w:rsidP="00ED73E8" w:rsidRDefault="00B60AA8" w14:paraId="42FCD3F8" w14:textId="77777777">
      <w:pPr>
        <w:pStyle w:val="NoSpacing"/>
      </w:pPr>
    </w:p>
    <w:p w:rsidR="006B663E" w:rsidRDefault="006B663E" w14:paraId="4A6ABA79" w14:textId="2ABEB39B">
      <w:r>
        <w:br w:type="page"/>
      </w:r>
    </w:p>
    <w:p w:rsidRPr="00ED73E8" w:rsidR="00ED73E8" w:rsidP="00ED73E8" w:rsidRDefault="00ED73E8" w14:paraId="778F8305" w14:textId="5B6C79DA">
      <w:pPr>
        <w:pStyle w:val="NoSpacing"/>
        <w:rPr>
          <w:b/>
        </w:rPr>
      </w:pPr>
      <w:r w:rsidRPr="00ED73E8">
        <w:rPr>
          <w:b/>
        </w:rPr>
        <w:lastRenderedPageBreak/>
        <w:t>Figure 1.</w:t>
      </w:r>
    </w:p>
    <w:p w:rsidR="00ED73E8" w:rsidP="00ED73E8" w:rsidRDefault="00ED73E8" w14:paraId="073C6BCF" w14:textId="77777777">
      <w:pPr>
        <w:pStyle w:val="NoSpacing"/>
      </w:pPr>
    </w:p>
    <w:p w:rsidR="00ED73E8" w:rsidP="00ED73E8" w:rsidRDefault="00ED73E8" w14:paraId="5827B77F" w14:textId="22C841C2">
      <w:pPr>
        <w:pStyle w:val="NoSpacing"/>
      </w:pPr>
      <w:r>
        <w:rPr>
          <w:noProof/>
        </w:rPr>
        <w:drawing>
          <wp:inline distT="0" distB="0" distL="0" distR="0" wp14:anchorId="37F1086F" wp14:editId="0B6C0AFD">
            <wp:extent cx="6400800" cy="4689475"/>
            <wp:effectExtent l="19050" t="19050" r="1905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ff_rr_v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89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D73E8" w:rsidRDefault="00ED73E8" w14:paraId="59466BCF" w14:textId="77777777"/>
    <w:p w:rsidRPr="00ED73E8" w:rsidR="00ED73E8" w:rsidRDefault="00ED73E8" w14:paraId="3021E672" w14:textId="049CE8DA">
      <w:pPr>
        <w:rPr>
          <w:b/>
        </w:rPr>
      </w:pPr>
      <w:r w:rsidRPr="00ED73E8">
        <w:rPr>
          <w:b/>
        </w:rPr>
        <w:t xml:space="preserve">Table 1. </w:t>
      </w:r>
    </w:p>
    <w:p w:rsidRPr="00ED73E8" w:rsidR="00ED73E8" w:rsidP="00ED73E8" w:rsidRDefault="00ED73E8" w14:paraId="44916BD9" w14:textId="77777777">
      <w:pPr>
        <w:pStyle w:val="NoSpacing"/>
      </w:pPr>
      <w:r w:rsidRPr="00ED73E8">
        <w:t xml:space="preserve">Sample selection and related processes </w:t>
      </w:r>
      <w:r w:rsidRPr="007D7414">
        <w:t xml:space="preserve">for a 12-week quarter (84 days) of data </w:t>
      </w:r>
      <w:r w:rsidRPr="00ED73E8">
        <w:t>collection:  Timing under current protocol and early Phase 2 protocol</w:t>
      </w:r>
    </w:p>
    <w:p w:rsidRPr="00637F70" w:rsidR="00ED73E8" w:rsidP="00ED73E8" w:rsidRDefault="00ED73E8" w14:paraId="19E332BC" w14:textId="77777777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31"/>
        <w:gridCol w:w="3667"/>
      </w:tblGrid>
      <w:tr w:rsidR="00ED73E8" w:rsidTr="00B9773B" w14:paraId="146F0840" w14:textId="77777777">
        <w:tc>
          <w:tcPr>
            <w:tcW w:w="2337" w:type="dxa"/>
            <w:shd w:val="clear" w:color="auto" w:fill="DBE5F1" w:themeFill="accent1" w:themeFillTint="33"/>
          </w:tcPr>
          <w:p w:rsidRPr="00AA4A32" w:rsidR="00ED73E8" w:rsidP="00B9773B" w:rsidRDefault="00ED73E8" w14:paraId="3C1E140A" w14:textId="77777777">
            <w:pPr>
              <w:rPr>
                <w:b/>
              </w:rPr>
            </w:pPr>
            <w:r w:rsidRPr="00AA4A32">
              <w:rPr>
                <w:b/>
              </w:rPr>
              <w:t>Activity</w:t>
            </w:r>
          </w:p>
        </w:tc>
        <w:tc>
          <w:tcPr>
            <w:tcW w:w="3531" w:type="dxa"/>
            <w:shd w:val="clear" w:color="auto" w:fill="DBE5F1" w:themeFill="accent1" w:themeFillTint="33"/>
          </w:tcPr>
          <w:p w:rsidRPr="00AB0F7A" w:rsidR="00ED73E8" w:rsidP="00B9773B" w:rsidRDefault="00ED73E8" w14:paraId="68F390E2" w14:textId="77777777">
            <w:pPr>
              <w:rPr>
                <w:b/>
              </w:rPr>
            </w:pPr>
            <w:r w:rsidRPr="00AB0F7A">
              <w:rPr>
                <w:b/>
              </w:rPr>
              <w:t>Timing under current protocol</w:t>
            </w:r>
          </w:p>
        </w:tc>
        <w:tc>
          <w:tcPr>
            <w:tcW w:w="3667" w:type="dxa"/>
            <w:shd w:val="clear" w:color="auto" w:fill="DBE5F1" w:themeFill="accent1" w:themeFillTint="33"/>
          </w:tcPr>
          <w:p w:rsidRPr="00AB0F7A" w:rsidR="00ED73E8" w:rsidP="00B9773B" w:rsidRDefault="00ED73E8" w14:paraId="630A125B" w14:textId="77777777">
            <w:pPr>
              <w:rPr>
                <w:b/>
              </w:rPr>
            </w:pPr>
            <w:r w:rsidRPr="00AB0F7A">
              <w:rPr>
                <w:b/>
              </w:rPr>
              <w:t>Proposed timing with earlier Phase 2</w:t>
            </w:r>
          </w:p>
        </w:tc>
      </w:tr>
      <w:tr w:rsidR="00ED73E8" w:rsidTr="00B9773B" w14:paraId="51CEB61E" w14:textId="77777777">
        <w:tc>
          <w:tcPr>
            <w:tcW w:w="2337" w:type="dxa"/>
            <w:shd w:val="clear" w:color="auto" w:fill="auto"/>
          </w:tcPr>
          <w:p w:rsidR="00ED73E8" w:rsidP="00B9773B" w:rsidRDefault="00ED73E8" w14:paraId="029C34E7" w14:textId="77777777">
            <w:r>
              <w:t>Sampling Dry Run</w:t>
            </w:r>
          </w:p>
        </w:tc>
        <w:tc>
          <w:tcPr>
            <w:tcW w:w="3531" w:type="dxa"/>
            <w:shd w:val="clear" w:color="auto" w:fill="auto"/>
          </w:tcPr>
          <w:p w:rsidR="00ED73E8" w:rsidP="00B9773B" w:rsidRDefault="00ED73E8" w14:paraId="3DA6377E" w14:textId="77777777">
            <w:r>
              <w:t>Friday (week 9; day 62)</w:t>
            </w:r>
          </w:p>
        </w:tc>
        <w:tc>
          <w:tcPr>
            <w:tcW w:w="3667" w:type="dxa"/>
            <w:shd w:val="clear" w:color="auto" w:fill="auto"/>
          </w:tcPr>
          <w:p w:rsidR="00ED73E8" w:rsidP="00B9773B" w:rsidRDefault="00ED73E8" w14:paraId="2CABB1BF" w14:textId="77777777">
            <w:r>
              <w:t>Friday (week 8; day 55)</w:t>
            </w:r>
          </w:p>
        </w:tc>
      </w:tr>
      <w:tr w:rsidR="00ED73E8" w:rsidTr="00B9773B" w14:paraId="5F10B0B7" w14:textId="77777777">
        <w:tc>
          <w:tcPr>
            <w:tcW w:w="2337" w:type="dxa"/>
            <w:shd w:val="clear" w:color="auto" w:fill="auto"/>
          </w:tcPr>
          <w:p w:rsidR="00ED73E8" w:rsidP="00B9773B" w:rsidRDefault="00ED73E8" w14:paraId="022D6C8D" w14:textId="77777777">
            <w:r>
              <w:t xml:space="preserve">Request </w:t>
            </w:r>
            <w:proofErr w:type="spellStart"/>
            <w:r>
              <w:t>Imprest</w:t>
            </w:r>
            <w:proofErr w:type="spellEnd"/>
            <w:r>
              <w:t xml:space="preserve"> Cash</w:t>
            </w:r>
          </w:p>
        </w:tc>
        <w:tc>
          <w:tcPr>
            <w:tcW w:w="3531" w:type="dxa"/>
            <w:shd w:val="clear" w:color="auto" w:fill="auto"/>
          </w:tcPr>
          <w:p w:rsidR="00ED73E8" w:rsidP="00B9773B" w:rsidRDefault="00ED73E8" w14:paraId="23AA13EC" w14:textId="77777777">
            <w:r>
              <w:t>Friday (week 9; day 62)</w:t>
            </w:r>
          </w:p>
        </w:tc>
        <w:tc>
          <w:tcPr>
            <w:tcW w:w="3667" w:type="dxa"/>
            <w:shd w:val="clear" w:color="auto" w:fill="auto"/>
          </w:tcPr>
          <w:p w:rsidR="00ED73E8" w:rsidP="00B9773B" w:rsidRDefault="00ED73E8" w14:paraId="4ECB0F24" w14:textId="77777777">
            <w:r>
              <w:t>Friday (week 8; day 55)</w:t>
            </w:r>
          </w:p>
        </w:tc>
      </w:tr>
      <w:tr w:rsidR="00ED73E8" w:rsidTr="00B9773B" w14:paraId="455DA6A6" w14:textId="77777777">
        <w:tc>
          <w:tcPr>
            <w:tcW w:w="2337" w:type="dxa"/>
            <w:shd w:val="clear" w:color="auto" w:fill="auto"/>
          </w:tcPr>
          <w:p w:rsidR="00ED73E8" w:rsidP="00B9773B" w:rsidRDefault="00ED73E8" w14:paraId="1E58581D" w14:textId="77777777">
            <w:r>
              <w:t>Purchase/print materials for phase 2</w:t>
            </w:r>
          </w:p>
        </w:tc>
        <w:tc>
          <w:tcPr>
            <w:tcW w:w="3531" w:type="dxa"/>
            <w:shd w:val="clear" w:color="auto" w:fill="auto"/>
          </w:tcPr>
          <w:p w:rsidR="00ED73E8" w:rsidP="00B9773B" w:rsidRDefault="00ED73E8" w14:paraId="3E391F23" w14:textId="77777777">
            <w:r>
              <w:t>Friday (week 9; day 62)</w:t>
            </w:r>
          </w:p>
        </w:tc>
        <w:tc>
          <w:tcPr>
            <w:tcW w:w="3667" w:type="dxa"/>
            <w:shd w:val="clear" w:color="auto" w:fill="auto"/>
          </w:tcPr>
          <w:p w:rsidR="00ED73E8" w:rsidP="00B9773B" w:rsidRDefault="00ED73E8" w14:paraId="306C49F2" w14:textId="77777777">
            <w:r>
              <w:t>Friday (week 8; day 55)</w:t>
            </w:r>
          </w:p>
        </w:tc>
      </w:tr>
      <w:tr w:rsidR="00ED73E8" w:rsidTr="00B9773B" w14:paraId="178D9474" w14:textId="77777777">
        <w:tc>
          <w:tcPr>
            <w:tcW w:w="2337" w:type="dxa"/>
          </w:tcPr>
          <w:p w:rsidR="00ED73E8" w:rsidP="00B9773B" w:rsidRDefault="00ED73E8" w14:paraId="34CF1110" w14:textId="77777777">
            <w:r>
              <w:t>Sampling- Phase 2</w:t>
            </w:r>
          </w:p>
        </w:tc>
        <w:tc>
          <w:tcPr>
            <w:tcW w:w="3531" w:type="dxa"/>
          </w:tcPr>
          <w:p w:rsidR="00ED73E8" w:rsidP="00B9773B" w:rsidRDefault="00ED73E8" w14:paraId="06CE55BA" w14:textId="77777777">
            <w:r>
              <w:t>Tuesday (week 10- morning; day 66)</w:t>
            </w:r>
          </w:p>
        </w:tc>
        <w:tc>
          <w:tcPr>
            <w:tcW w:w="3667" w:type="dxa"/>
          </w:tcPr>
          <w:p w:rsidR="00ED73E8" w:rsidP="00B9773B" w:rsidRDefault="00ED73E8" w14:paraId="34BB7BEA" w14:textId="77777777">
            <w:r>
              <w:t>Tuesday (week 9 morning; day 59)</w:t>
            </w:r>
          </w:p>
        </w:tc>
      </w:tr>
      <w:tr w:rsidR="00ED73E8" w:rsidTr="00B9773B" w14:paraId="7638A54A" w14:textId="77777777">
        <w:tc>
          <w:tcPr>
            <w:tcW w:w="2337" w:type="dxa"/>
          </w:tcPr>
          <w:p w:rsidR="00ED73E8" w:rsidP="00B9773B" w:rsidRDefault="00ED73E8" w14:paraId="2D84F4D1" w14:textId="77777777">
            <w:r>
              <w:t>Address list generated (Data Ops)</w:t>
            </w:r>
          </w:p>
        </w:tc>
        <w:tc>
          <w:tcPr>
            <w:tcW w:w="3531" w:type="dxa"/>
          </w:tcPr>
          <w:p w:rsidR="00ED73E8" w:rsidP="00B9773B" w:rsidRDefault="00ED73E8" w14:paraId="60B0C520" w14:textId="77777777">
            <w:r>
              <w:t>Tuesday (week 10- morning; day 66)</w:t>
            </w:r>
          </w:p>
        </w:tc>
        <w:tc>
          <w:tcPr>
            <w:tcW w:w="3667" w:type="dxa"/>
          </w:tcPr>
          <w:p w:rsidR="00ED73E8" w:rsidP="00B9773B" w:rsidRDefault="00ED73E8" w14:paraId="7887363C" w14:textId="77777777">
            <w:r>
              <w:t>Tuesday (week 9 morning; day 59)</w:t>
            </w:r>
          </w:p>
        </w:tc>
      </w:tr>
      <w:tr w:rsidR="00ED73E8" w:rsidTr="00B9773B" w14:paraId="12CD966C" w14:textId="77777777">
        <w:tc>
          <w:tcPr>
            <w:tcW w:w="2337" w:type="dxa"/>
          </w:tcPr>
          <w:p w:rsidR="00ED73E8" w:rsidP="00B9773B" w:rsidRDefault="00ED73E8" w14:paraId="7629EDB5" w14:textId="77777777">
            <w:r>
              <w:t xml:space="preserve">Check </w:t>
            </w:r>
            <w:proofErr w:type="spellStart"/>
            <w:r>
              <w:t>WebTrak</w:t>
            </w:r>
            <w:proofErr w:type="spellEnd"/>
            <w:r>
              <w:t xml:space="preserve"> for updated results</w:t>
            </w:r>
          </w:p>
        </w:tc>
        <w:tc>
          <w:tcPr>
            <w:tcW w:w="3531" w:type="dxa"/>
          </w:tcPr>
          <w:p w:rsidR="00ED73E8" w:rsidP="00B9773B" w:rsidRDefault="00ED73E8" w14:paraId="41913343" w14:textId="77777777">
            <w:r>
              <w:t>Wednesday (8am week 10; day 67)</w:t>
            </w:r>
          </w:p>
        </w:tc>
        <w:tc>
          <w:tcPr>
            <w:tcW w:w="3667" w:type="dxa"/>
          </w:tcPr>
          <w:p w:rsidR="00ED73E8" w:rsidP="00B9773B" w:rsidRDefault="00ED73E8" w14:paraId="7A686A94" w14:textId="77777777">
            <w:r>
              <w:t>Wednesday (8am week 9; day 60)</w:t>
            </w:r>
          </w:p>
        </w:tc>
      </w:tr>
      <w:tr w:rsidR="00ED73E8" w:rsidTr="00B9773B" w14:paraId="296D3F7D" w14:textId="77777777">
        <w:tc>
          <w:tcPr>
            <w:tcW w:w="2337" w:type="dxa"/>
          </w:tcPr>
          <w:p w:rsidR="00ED73E8" w:rsidP="00B9773B" w:rsidRDefault="00ED73E8" w14:paraId="74105B03" w14:textId="77777777">
            <w:r>
              <w:t>Print letters and assemble mailing</w:t>
            </w:r>
          </w:p>
        </w:tc>
        <w:tc>
          <w:tcPr>
            <w:tcW w:w="3531" w:type="dxa"/>
          </w:tcPr>
          <w:p w:rsidR="00ED73E8" w:rsidP="00B9773B" w:rsidRDefault="00ED73E8" w14:paraId="3280819E" w14:textId="77777777">
            <w:r>
              <w:t>Wednesday (10am week 10; day 67)</w:t>
            </w:r>
          </w:p>
        </w:tc>
        <w:tc>
          <w:tcPr>
            <w:tcW w:w="3667" w:type="dxa"/>
          </w:tcPr>
          <w:p w:rsidR="00ED73E8" w:rsidP="00B9773B" w:rsidRDefault="00ED73E8" w14:paraId="06F96A3C" w14:textId="77777777">
            <w:r>
              <w:t>Wednesday (8am week 9; day 60)</w:t>
            </w:r>
          </w:p>
        </w:tc>
      </w:tr>
      <w:tr w:rsidR="00ED73E8" w:rsidTr="00B9773B" w14:paraId="364575FE" w14:textId="77777777">
        <w:tc>
          <w:tcPr>
            <w:tcW w:w="2337" w:type="dxa"/>
          </w:tcPr>
          <w:p w:rsidR="00ED73E8" w:rsidP="00B9773B" w:rsidRDefault="00ED73E8" w14:paraId="5F296105" w14:textId="77777777">
            <w:r>
              <w:t>Mailing</w:t>
            </w:r>
          </w:p>
        </w:tc>
        <w:tc>
          <w:tcPr>
            <w:tcW w:w="3531" w:type="dxa"/>
          </w:tcPr>
          <w:p w:rsidR="00ED73E8" w:rsidP="00B9773B" w:rsidRDefault="00ED73E8" w14:paraId="517BE903" w14:textId="77777777">
            <w:r>
              <w:t>Wednesday (week 10; day 67)</w:t>
            </w:r>
          </w:p>
        </w:tc>
        <w:tc>
          <w:tcPr>
            <w:tcW w:w="3667" w:type="dxa"/>
          </w:tcPr>
          <w:p w:rsidR="00ED73E8" w:rsidP="00B9773B" w:rsidRDefault="00ED73E8" w14:paraId="19A6FD05" w14:textId="77777777">
            <w:r>
              <w:t>Wednesday (week 9; day 60)</w:t>
            </w:r>
          </w:p>
        </w:tc>
      </w:tr>
      <w:tr w:rsidR="00ED73E8" w:rsidTr="00B9773B" w14:paraId="6F77647E" w14:textId="77777777">
        <w:tc>
          <w:tcPr>
            <w:tcW w:w="2337" w:type="dxa"/>
          </w:tcPr>
          <w:p w:rsidR="00ED73E8" w:rsidP="00B9773B" w:rsidRDefault="00ED73E8" w14:paraId="21CC6E90" w14:textId="77777777">
            <w:r>
              <w:t xml:space="preserve">Survey Trak </w:t>
            </w:r>
            <w:proofErr w:type="gramStart"/>
            <w:r>
              <w:t>Update;</w:t>
            </w:r>
            <w:proofErr w:type="gramEnd"/>
            <w:r>
              <w:t xml:space="preserve"> Phase 2 begins</w:t>
            </w:r>
          </w:p>
        </w:tc>
        <w:tc>
          <w:tcPr>
            <w:tcW w:w="3531" w:type="dxa"/>
          </w:tcPr>
          <w:p w:rsidR="00ED73E8" w:rsidP="00B9773B" w:rsidRDefault="00ED73E8" w14:paraId="3ABA4342" w14:textId="77777777">
            <w:r>
              <w:t>Sunday (week 11; day 71)</w:t>
            </w:r>
          </w:p>
        </w:tc>
        <w:tc>
          <w:tcPr>
            <w:tcW w:w="3667" w:type="dxa"/>
          </w:tcPr>
          <w:p w:rsidR="00ED73E8" w:rsidP="00B9773B" w:rsidRDefault="00ED73E8" w14:paraId="16B3169E" w14:textId="77777777">
            <w:r>
              <w:t>Sunday (week 10; day 64)</w:t>
            </w:r>
          </w:p>
        </w:tc>
      </w:tr>
    </w:tbl>
    <w:p w:rsidR="00ED73E8" w:rsidP="00ED73E8" w:rsidRDefault="00ED73E8" w14:paraId="52571F59" w14:textId="77777777"/>
    <w:p w:rsidR="00ED73E8" w:rsidRDefault="00ED73E8" w14:paraId="129DA361" w14:textId="77777777"/>
    <w:p w:rsidR="000E2006" w:rsidP="002E6BC4" w:rsidRDefault="000E2006" w14:paraId="6BFA88F1" w14:textId="4392E3B3">
      <w:pPr>
        <w:pStyle w:val="NoSpacing"/>
      </w:pPr>
    </w:p>
    <w:p w:rsidRPr="002E6BC4" w:rsidR="00ED73E8" w:rsidP="002E6BC4" w:rsidRDefault="00ED73E8" w14:paraId="75361960" w14:textId="6EE154EB">
      <w:pPr>
        <w:pStyle w:val="NoSpacing"/>
      </w:pPr>
    </w:p>
    <w:p w:rsidR="00DC57CC" w:rsidP="002E6BC4" w:rsidRDefault="002E6BC4" w14:paraId="3D2176BA" w14:textId="4ABCD668">
      <w:pPr>
        <w:pStyle w:val="NoSpacing"/>
      </w:pPr>
      <w:r w:rsidRPr="002E6BC4">
        <w:t> </w:t>
      </w:r>
      <w:r w:rsidRPr="002E6BC4">
        <w:t> </w:t>
      </w:r>
      <w:r w:rsidRPr="002E6BC4">
        <w:t> </w:t>
      </w:r>
      <w:r w:rsidRPr="002E6BC4">
        <w:t> </w:t>
      </w:r>
      <w:r w:rsidRPr="002E6BC4">
        <w:t> </w:t>
      </w:r>
    </w:p>
    <w:sectPr w:rsidR="00DC57CC" w:rsidSect="007B0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F92A0" w14:textId="77777777" w:rsidR="00325607" w:rsidRDefault="00325607" w:rsidP="008B5D54">
      <w:pPr>
        <w:spacing w:after="0" w:line="240" w:lineRule="auto"/>
      </w:pPr>
      <w:r>
        <w:separator/>
      </w:r>
    </w:p>
  </w:endnote>
  <w:endnote w:type="continuationSeparator" w:id="0">
    <w:p w14:paraId="2DE599CE" w14:textId="77777777" w:rsidR="00325607" w:rsidRDefault="0032560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9E836" w14:textId="77777777" w:rsidR="007B0DC5" w:rsidRDefault="007B0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40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D41BF" w14:textId="51AD1A83" w:rsidR="00793731" w:rsidRDefault="00793731" w:rsidP="00AB0F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94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5776AC7" w14:textId="77777777" w:rsidR="00793731" w:rsidRDefault="007937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E9BF" w14:textId="77777777" w:rsidR="007B0DC5" w:rsidRDefault="007B0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A0594" w14:textId="77777777" w:rsidR="00325607" w:rsidRDefault="00325607" w:rsidP="008B5D54">
      <w:pPr>
        <w:spacing w:after="0" w:line="240" w:lineRule="auto"/>
      </w:pPr>
      <w:r>
        <w:separator/>
      </w:r>
    </w:p>
  </w:footnote>
  <w:footnote w:type="continuationSeparator" w:id="0">
    <w:p w14:paraId="08D6C00C" w14:textId="77777777" w:rsidR="00325607" w:rsidRDefault="0032560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0781" w14:textId="77777777" w:rsidR="007B0DC5" w:rsidRDefault="007B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D547" w14:textId="5DD09FE9" w:rsidR="007B0DC5" w:rsidRDefault="007B0DC5">
    <w:pPr>
      <w:pStyle w:val="Header"/>
    </w:pPr>
    <w:r w:rsidRPr="001E3341">
      <w:rPr>
        <w:rFonts w:ascii="Calibri" w:hAnsi="Calibri" w:cs="Calibri"/>
        <w:i/>
        <w:iCs/>
        <w:sz w:val="20"/>
        <w:szCs w:val="20"/>
      </w:rPr>
      <w:t>N</w:t>
    </w:r>
    <w:r>
      <w:rPr>
        <w:rFonts w:ascii="Calibri" w:hAnsi="Calibri" w:cs="Calibri"/>
        <w:i/>
        <w:iCs/>
        <w:sz w:val="20"/>
        <w:szCs w:val="20"/>
      </w:rPr>
      <w:t>SFG</w:t>
    </w:r>
    <w:r>
      <w:rPr>
        <w:rFonts w:ascii="Calibri" w:hAnsi="Calibri" w:cs="Calibri"/>
        <w:i/>
        <w:iCs/>
        <w:sz w:val="20"/>
        <w:szCs w:val="20"/>
      </w:rPr>
      <w:tab/>
      <w:t>OMB Attachment D3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</w:p>
  <w:p w14:paraId="5B1BFEB2" w14:textId="77777777" w:rsidR="007B0DC5" w:rsidRDefault="007B0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A9F37" w14:textId="77777777" w:rsidR="007B0DC5" w:rsidRDefault="007B0D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C4"/>
    <w:rsid w:val="00003B7F"/>
    <w:rsid w:val="00011C61"/>
    <w:rsid w:val="000614F3"/>
    <w:rsid w:val="00092827"/>
    <w:rsid w:val="00097B41"/>
    <w:rsid w:val="000A1C02"/>
    <w:rsid w:val="000A3D4F"/>
    <w:rsid w:val="000A78D6"/>
    <w:rsid w:val="000D1923"/>
    <w:rsid w:val="000D23F7"/>
    <w:rsid w:val="000E2006"/>
    <w:rsid w:val="000F21AB"/>
    <w:rsid w:val="00127DC6"/>
    <w:rsid w:val="00132EB2"/>
    <w:rsid w:val="00144BF3"/>
    <w:rsid w:val="00145480"/>
    <w:rsid w:val="00175948"/>
    <w:rsid w:val="001B680D"/>
    <w:rsid w:val="001D0B4F"/>
    <w:rsid w:val="001E7AB9"/>
    <w:rsid w:val="00232E59"/>
    <w:rsid w:val="002479EF"/>
    <w:rsid w:val="00283DAF"/>
    <w:rsid w:val="002910B9"/>
    <w:rsid w:val="0029180D"/>
    <w:rsid w:val="002B4E3D"/>
    <w:rsid w:val="002B59BE"/>
    <w:rsid w:val="002E6BC4"/>
    <w:rsid w:val="0030623D"/>
    <w:rsid w:val="003133EC"/>
    <w:rsid w:val="00313618"/>
    <w:rsid w:val="00325607"/>
    <w:rsid w:val="0034412E"/>
    <w:rsid w:val="00350030"/>
    <w:rsid w:val="0038037F"/>
    <w:rsid w:val="0038501D"/>
    <w:rsid w:val="00387F99"/>
    <w:rsid w:val="00397C12"/>
    <w:rsid w:val="003B361A"/>
    <w:rsid w:val="003C64B8"/>
    <w:rsid w:val="003E4634"/>
    <w:rsid w:val="003F2CE0"/>
    <w:rsid w:val="003F361D"/>
    <w:rsid w:val="00406C69"/>
    <w:rsid w:val="00436488"/>
    <w:rsid w:val="00443130"/>
    <w:rsid w:val="00453A2F"/>
    <w:rsid w:val="00462D50"/>
    <w:rsid w:val="00487D5F"/>
    <w:rsid w:val="004942E6"/>
    <w:rsid w:val="004A6943"/>
    <w:rsid w:val="004C1608"/>
    <w:rsid w:val="004D0CD2"/>
    <w:rsid w:val="004D3790"/>
    <w:rsid w:val="004E04C9"/>
    <w:rsid w:val="005209DA"/>
    <w:rsid w:val="00527B6C"/>
    <w:rsid w:val="00530877"/>
    <w:rsid w:val="0053625F"/>
    <w:rsid w:val="00570734"/>
    <w:rsid w:val="00580758"/>
    <w:rsid w:val="0058368E"/>
    <w:rsid w:val="005A0071"/>
    <w:rsid w:val="005A5AB0"/>
    <w:rsid w:val="005B51FC"/>
    <w:rsid w:val="005C35D4"/>
    <w:rsid w:val="005F1DA4"/>
    <w:rsid w:val="00602B4F"/>
    <w:rsid w:val="00611D9A"/>
    <w:rsid w:val="006206F5"/>
    <w:rsid w:val="00630DE8"/>
    <w:rsid w:val="006505F6"/>
    <w:rsid w:val="00656831"/>
    <w:rsid w:val="006569AF"/>
    <w:rsid w:val="0068469C"/>
    <w:rsid w:val="006B0BB3"/>
    <w:rsid w:val="006B663E"/>
    <w:rsid w:val="006C6578"/>
    <w:rsid w:val="006E151A"/>
    <w:rsid w:val="006F08FC"/>
    <w:rsid w:val="00706260"/>
    <w:rsid w:val="007222BE"/>
    <w:rsid w:val="00751950"/>
    <w:rsid w:val="00761FB6"/>
    <w:rsid w:val="0076382A"/>
    <w:rsid w:val="00776ECA"/>
    <w:rsid w:val="00793731"/>
    <w:rsid w:val="00795AA7"/>
    <w:rsid w:val="007B0DC5"/>
    <w:rsid w:val="007B74D3"/>
    <w:rsid w:val="007C27ED"/>
    <w:rsid w:val="007D49A6"/>
    <w:rsid w:val="007D7414"/>
    <w:rsid w:val="007F20E6"/>
    <w:rsid w:val="007F2449"/>
    <w:rsid w:val="00813CE4"/>
    <w:rsid w:val="00814F4B"/>
    <w:rsid w:val="00824179"/>
    <w:rsid w:val="0083014B"/>
    <w:rsid w:val="008351FD"/>
    <w:rsid w:val="00852CCF"/>
    <w:rsid w:val="00861F3D"/>
    <w:rsid w:val="00875F6A"/>
    <w:rsid w:val="00893131"/>
    <w:rsid w:val="008B5D54"/>
    <w:rsid w:val="00943C20"/>
    <w:rsid w:val="009464F2"/>
    <w:rsid w:val="00970F4E"/>
    <w:rsid w:val="009A282C"/>
    <w:rsid w:val="009A7864"/>
    <w:rsid w:val="009E5DA3"/>
    <w:rsid w:val="009F6D1D"/>
    <w:rsid w:val="00A06DAD"/>
    <w:rsid w:val="00A20254"/>
    <w:rsid w:val="00A632DE"/>
    <w:rsid w:val="00A70FE6"/>
    <w:rsid w:val="00AA0027"/>
    <w:rsid w:val="00AA0BDF"/>
    <w:rsid w:val="00AB0F7A"/>
    <w:rsid w:val="00AB50FB"/>
    <w:rsid w:val="00AC733A"/>
    <w:rsid w:val="00AD7A72"/>
    <w:rsid w:val="00AE70F6"/>
    <w:rsid w:val="00B045C9"/>
    <w:rsid w:val="00B11560"/>
    <w:rsid w:val="00B4790F"/>
    <w:rsid w:val="00B55735"/>
    <w:rsid w:val="00B608AC"/>
    <w:rsid w:val="00B60AA8"/>
    <w:rsid w:val="00B65D2A"/>
    <w:rsid w:val="00B86D1F"/>
    <w:rsid w:val="00B91A30"/>
    <w:rsid w:val="00BA2D49"/>
    <w:rsid w:val="00BB510A"/>
    <w:rsid w:val="00BD2C6F"/>
    <w:rsid w:val="00BD6085"/>
    <w:rsid w:val="00BF2F35"/>
    <w:rsid w:val="00C7044B"/>
    <w:rsid w:val="00CA731E"/>
    <w:rsid w:val="00CB690B"/>
    <w:rsid w:val="00CE28F0"/>
    <w:rsid w:val="00CE72DB"/>
    <w:rsid w:val="00CF75E7"/>
    <w:rsid w:val="00D01F5D"/>
    <w:rsid w:val="00D021F1"/>
    <w:rsid w:val="00D03E5C"/>
    <w:rsid w:val="00D309F8"/>
    <w:rsid w:val="00D47940"/>
    <w:rsid w:val="00D7488F"/>
    <w:rsid w:val="00DA2E6F"/>
    <w:rsid w:val="00DA6836"/>
    <w:rsid w:val="00DB072F"/>
    <w:rsid w:val="00DC53EB"/>
    <w:rsid w:val="00DC57CC"/>
    <w:rsid w:val="00DD2E90"/>
    <w:rsid w:val="00DE36F4"/>
    <w:rsid w:val="00DE708D"/>
    <w:rsid w:val="00DF63D6"/>
    <w:rsid w:val="00E07CF9"/>
    <w:rsid w:val="00E23F5F"/>
    <w:rsid w:val="00E31F1A"/>
    <w:rsid w:val="00E32E03"/>
    <w:rsid w:val="00E531A1"/>
    <w:rsid w:val="00EA39BA"/>
    <w:rsid w:val="00EB579B"/>
    <w:rsid w:val="00ED73E8"/>
    <w:rsid w:val="00EF5383"/>
    <w:rsid w:val="00F000B3"/>
    <w:rsid w:val="00F127D8"/>
    <w:rsid w:val="00F55D17"/>
    <w:rsid w:val="00F70602"/>
    <w:rsid w:val="00F7069B"/>
    <w:rsid w:val="00F77A80"/>
    <w:rsid w:val="00F92197"/>
    <w:rsid w:val="00FA0179"/>
    <w:rsid w:val="00FA4645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422702C"/>
  <w15:docId w15:val="{511E407B-4FFB-4E7A-ABBA-F7E53235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2E6B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6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2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0F4E"/>
    <w:pPr>
      <w:spacing w:after="0" w:line="240" w:lineRule="auto"/>
    </w:pPr>
  </w:style>
  <w:style w:type="table" w:styleId="TableGrid">
    <w:name w:val="Table Grid"/>
    <w:basedOn w:val="TableNormal"/>
    <w:uiPriority w:val="39"/>
    <w:rsid w:val="00ED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B095-1360-40EB-976A-BC31A552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Abma</dc:creator>
  <cp:keywords/>
  <dc:description/>
  <cp:lastModifiedBy>Macaluso, Renita (CDC/DDPHSS/OS/OSI)</cp:lastModifiedBy>
  <cp:revision>10</cp:revision>
  <cp:lastPrinted>2017-08-01T18:04:00Z</cp:lastPrinted>
  <dcterms:created xsi:type="dcterms:W3CDTF">2017-08-22T14:09:00Z</dcterms:created>
  <dcterms:modified xsi:type="dcterms:W3CDTF">2021-09-16T21:44:00Z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2021-04-04T21:32:14Z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22bcde84-d87e-4fcf-bf82-c0787776ef60</vt:lpwstr>
  </property>
  <property fmtid="{D5CDD505-2E9C-101B-9397-08002B2CF9AE}" pid="8" name="MSIP_Label_7b94a7b8-f06c-4dfe-bdcc-9b548fd58c31_ContentBits">
    <vt:lpwstr>0</vt:lpwstr>
  </property>
</Properties>
</file>