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C3E" w:rsidP="005C0718" w:rsidRDefault="00B54C3E" w14:paraId="03F21F5E" w14:textId="77777777">
      <w:pPr>
        <w:pStyle w:val="Heading1"/>
        <w:ind w:left="0" w:right="476"/>
        <w:rPr>
          <w:u w:val="thick"/>
        </w:rPr>
      </w:pPr>
      <w:bookmarkStart w:name="_GoBack" w:id="0"/>
      <w:bookmarkEnd w:id="0"/>
    </w:p>
    <w:p w:rsidRPr="005C0718" w:rsidR="00B54C3E" w:rsidP="005C0718" w:rsidRDefault="00B54C3E" w14:paraId="7AA9F95D" w14:textId="77777777">
      <w:pPr>
        <w:pStyle w:val="Heading1"/>
        <w:ind w:left="475" w:right="476"/>
        <w:jc w:val="center"/>
      </w:pPr>
      <w:r w:rsidRPr="005C0718">
        <w:rPr>
          <w:u w:val="thick"/>
        </w:rPr>
        <w:t>Supporting Statement – Part A</w:t>
      </w:r>
    </w:p>
    <w:p w:rsidRPr="005C0718" w:rsidR="00B54C3E" w:rsidP="005C0718" w:rsidRDefault="00B54C3E" w14:paraId="65D06908" w14:textId="77777777">
      <w:pPr>
        <w:ind w:left="475" w:right="477"/>
        <w:jc w:val="center"/>
        <w:rPr>
          <w:b/>
          <w:sz w:val="24"/>
          <w:u w:val="thick"/>
        </w:rPr>
      </w:pPr>
      <w:r w:rsidRPr="005C0718">
        <w:rPr>
          <w:b/>
          <w:sz w:val="24"/>
          <w:u w:val="thick"/>
        </w:rPr>
        <w:t>Complaints Submission Process under the No Surprises Act</w:t>
      </w:r>
    </w:p>
    <w:p w:rsidRPr="005C0718" w:rsidR="00B54C3E" w:rsidP="005C0718" w:rsidRDefault="00B54C3E" w14:paraId="075A48AD" w14:textId="1BC3DD49">
      <w:pPr>
        <w:ind w:left="475" w:right="477"/>
        <w:jc w:val="center"/>
        <w:rPr>
          <w:b/>
          <w:sz w:val="24"/>
        </w:rPr>
      </w:pPr>
      <w:r w:rsidRPr="005C0718">
        <w:rPr>
          <w:b/>
          <w:sz w:val="24"/>
        </w:rPr>
        <w:t xml:space="preserve"> (CMS-</w:t>
      </w:r>
      <w:r w:rsidRPr="005C0718" w:rsidR="00E9364C">
        <w:rPr>
          <w:b/>
          <w:sz w:val="24"/>
        </w:rPr>
        <w:t>10779/</w:t>
      </w:r>
      <w:r w:rsidRPr="005C0718">
        <w:rPr>
          <w:b/>
          <w:sz w:val="24"/>
        </w:rPr>
        <w:t xml:space="preserve">OMB control number </w:t>
      </w:r>
      <w:r w:rsidRPr="005C0718" w:rsidR="00E9364C">
        <w:rPr>
          <w:b/>
          <w:sz w:val="24"/>
        </w:rPr>
        <w:t>0938</w:t>
      </w:r>
      <w:r w:rsidRPr="005C0718">
        <w:rPr>
          <w:b/>
          <w:sz w:val="24"/>
        </w:rPr>
        <w:t>-NEW)</w:t>
      </w:r>
    </w:p>
    <w:p w:rsidRPr="005C0718" w:rsidR="00B54C3E" w:rsidP="005C0718" w:rsidRDefault="00B54C3E" w14:paraId="2DA2D67C" w14:textId="77777777">
      <w:pPr>
        <w:pStyle w:val="BodyText"/>
        <w:rPr>
          <w:b/>
          <w:sz w:val="25"/>
        </w:rPr>
      </w:pPr>
    </w:p>
    <w:p w:rsidRPr="005C0718" w:rsidR="00B54C3E" w:rsidP="005C0718" w:rsidRDefault="00B54C3E" w14:paraId="5B0B3161" w14:textId="77777777">
      <w:pPr>
        <w:pStyle w:val="Heading1"/>
        <w:numPr>
          <w:ilvl w:val="0"/>
          <w:numId w:val="2"/>
        </w:numPr>
        <w:tabs>
          <w:tab w:val="left" w:pos="551"/>
          <w:tab w:val="left" w:pos="552"/>
        </w:tabs>
      </w:pPr>
      <w:r w:rsidRPr="005C0718">
        <w:rPr>
          <w:u w:val="thick"/>
        </w:rPr>
        <w:t>Background</w:t>
      </w:r>
    </w:p>
    <w:p w:rsidRPr="005C0718" w:rsidR="00B54C3E" w:rsidP="005C0718" w:rsidRDefault="00B54C3E" w14:paraId="57724A60" w14:textId="77777777">
      <w:pPr>
        <w:pStyle w:val="BodyText"/>
        <w:rPr>
          <w:b/>
          <w:sz w:val="25"/>
        </w:rPr>
      </w:pPr>
    </w:p>
    <w:p w:rsidRPr="005C0718" w:rsidR="00B54C3E" w:rsidP="005C0718" w:rsidRDefault="00B54C3E" w14:paraId="569C338B" w14:textId="64023590">
      <w:pPr>
        <w:ind w:left="552"/>
        <w:rPr>
          <w:sz w:val="24"/>
          <w:szCs w:val="24"/>
        </w:rPr>
      </w:pPr>
      <w:r w:rsidRPr="005C0718">
        <w:rPr>
          <w:sz w:val="24"/>
          <w:szCs w:val="24"/>
        </w:rPr>
        <w:t>Enacted on December 27, 2020, the No Surprises Act, which was enacted as part of the Consolidated Appropriations Act (CAA), amended the Employee Retirement Income Security Act of 1974 (ERISA), the Public Health Service Act (PHS Act), and the Internal Revenue Code of 1986 (Code).</w:t>
      </w:r>
      <w:r w:rsidRPr="005C0718">
        <w:rPr>
          <w:sz w:val="24"/>
          <w:szCs w:val="24"/>
          <w:vertAlign w:val="superscript"/>
        </w:rPr>
        <w:t xml:space="preserve">1 </w:t>
      </w:r>
      <w:r w:rsidRPr="005C0718">
        <w:rPr>
          <w:sz w:val="24"/>
          <w:szCs w:val="24"/>
        </w:rPr>
        <w:t>The No Surprise Act implements provisions that protect individuals from surprise medical bills for emergency services, air ambulance services furnished by nonparticipating providers, and non-emergency services furnished by nonparticipating providers at participating facilities in certain circumstances. Additionally, the No Surprises Act sets forth a complaints processes with respect to potential violations of balance billing requirements set forth in the No Surprises Act.</w:t>
      </w:r>
    </w:p>
    <w:p w:rsidRPr="005C0718" w:rsidR="0069240D" w:rsidP="005C0718" w:rsidRDefault="0069240D" w14:paraId="43CDBF09" w14:textId="4726A16C">
      <w:pPr>
        <w:ind w:left="552"/>
        <w:rPr>
          <w:sz w:val="24"/>
          <w:szCs w:val="24"/>
        </w:rPr>
      </w:pPr>
    </w:p>
    <w:p w:rsidRPr="005C0718" w:rsidR="00811DBC" w:rsidP="005C0718" w:rsidRDefault="0069240D" w14:paraId="6ED1D199" w14:textId="77777777">
      <w:pPr>
        <w:ind w:left="552"/>
        <w:rPr>
          <w:sz w:val="24"/>
          <w:szCs w:val="24"/>
        </w:rPr>
      </w:pPr>
      <w:r w:rsidRPr="005C0718">
        <w:rPr>
          <w:sz w:val="24"/>
          <w:szCs w:val="24"/>
        </w:rPr>
        <w:t xml:space="preserve">The No Surprises Act provides federal protections against surprise billing and limits out-of-network cost sharing under many of the circumstances in which surprise medical bills arise most frequently. The 2021 interim final regulations “Requirements Related to Surprise Billing; Part I” (86 FR 36872, 2021 interim final regulations) issued by </w:t>
      </w:r>
      <w:r w:rsidRPr="005C0718" w:rsidR="00547379">
        <w:rPr>
          <w:sz w:val="24"/>
          <w:szCs w:val="24"/>
        </w:rPr>
        <w:t xml:space="preserve">the Departments of Health and Humans Services (HHS), Department of Labor (DOL), the Department of Treasury (collectively, the Departments), </w:t>
      </w:r>
      <w:r w:rsidRPr="005C0718">
        <w:rPr>
          <w:sz w:val="24"/>
          <w:szCs w:val="24"/>
        </w:rPr>
        <w:t xml:space="preserve">implement provisions of the No Surprises Act that apply to group health plans, health insurance issuers offering group or individual health insurance coverage that provide protections against balance billing and out-of-network cost sharing with respect to emergency services, non-emergency services furnished by nonparticipating providers at certain participating health care facilities, and air ambulance services furnished by nonparticipating providers of air ambulance services. </w:t>
      </w:r>
    </w:p>
    <w:p w:rsidRPr="005C0718" w:rsidR="00811DBC" w:rsidP="005C0718" w:rsidRDefault="00811DBC" w14:paraId="21E6AB6E" w14:textId="77777777">
      <w:pPr>
        <w:ind w:left="552"/>
        <w:rPr>
          <w:sz w:val="24"/>
          <w:szCs w:val="24"/>
        </w:rPr>
      </w:pPr>
    </w:p>
    <w:p w:rsidRPr="005C0718" w:rsidR="002C68A9" w:rsidP="005C0718" w:rsidRDefault="0069240D" w14:paraId="7E5D84EF" w14:textId="0262C330">
      <w:pPr>
        <w:ind w:left="552"/>
        <w:rPr>
          <w:sz w:val="24"/>
          <w:szCs w:val="24"/>
          <w:vertAlign w:val="superscript"/>
        </w:rPr>
      </w:pPr>
      <w:r w:rsidRPr="005C0718">
        <w:rPr>
          <w:sz w:val="24"/>
          <w:szCs w:val="24"/>
        </w:rPr>
        <w:t xml:space="preserve">The No Surprises Act and the 2021 interim final regulations directs </w:t>
      </w:r>
      <w:r w:rsidRPr="005C0718" w:rsidR="002C68A9">
        <w:rPr>
          <w:sz w:val="24"/>
          <w:szCs w:val="24"/>
        </w:rPr>
        <w:t>the Departments of Labor, Health and Human Services, and the Department of Treasury (collectively, “the Departments”) to establish a process to receive complaints regarding violations of the application of qualifying payment amount (QPA) requirements by group health plans and health insurance issuers offering group or individual health coverage.</w:t>
      </w:r>
      <w:r w:rsidRPr="005C0718" w:rsidR="002C68A9">
        <w:rPr>
          <w:sz w:val="18"/>
          <w:szCs w:val="18"/>
          <w:vertAlign w:val="superscript"/>
        </w:rPr>
        <w:t xml:space="preserve">2 </w:t>
      </w:r>
      <w:r w:rsidRPr="005C0718" w:rsidR="002C68A9">
        <w:rPr>
          <w:sz w:val="24"/>
          <w:szCs w:val="24"/>
        </w:rPr>
        <w:t>The No Surprises Act</w:t>
      </w:r>
      <w:r w:rsidRPr="005C0718" w:rsidDel="00AC0227" w:rsidR="002C68A9">
        <w:rPr>
          <w:sz w:val="24"/>
          <w:szCs w:val="24"/>
        </w:rPr>
        <w:t xml:space="preserve"> </w:t>
      </w:r>
      <w:r w:rsidRPr="005C0718" w:rsidR="002C68A9">
        <w:rPr>
          <w:sz w:val="24"/>
          <w:szCs w:val="24"/>
        </w:rPr>
        <w:t>also directs HHS to establish a process to receive consumer complaints regarding violations by health care providers, facilities, and providers of air ambulance services regarding balance billing requirements and to respond to such complaints within 60 days.</w:t>
      </w:r>
      <w:r w:rsidRPr="005C0718" w:rsidR="002C68A9">
        <w:rPr>
          <w:sz w:val="24"/>
          <w:szCs w:val="24"/>
          <w:vertAlign w:val="superscript"/>
        </w:rPr>
        <w:t>3,4</w:t>
      </w:r>
    </w:p>
    <w:p w:rsidRPr="005C0718" w:rsidR="007A1FD2" w:rsidP="005C0718" w:rsidRDefault="007A1FD2" w14:paraId="798EC22E" w14:textId="74BC56AB">
      <w:pPr>
        <w:rPr>
          <w:sz w:val="24"/>
          <w:szCs w:val="24"/>
        </w:rPr>
      </w:pPr>
    </w:p>
    <w:p w:rsidRPr="005C0718" w:rsidR="00FE3799" w:rsidP="005C0718" w:rsidRDefault="007A1FD2" w14:paraId="1E3EC76D" w14:textId="0CCBA61B">
      <w:pPr>
        <w:ind w:left="552"/>
        <w:rPr>
          <w:sz w:val="24"/>
          <w:szCs w:val="24"/>
        </w:rPr>
      </w:pPr>
      <w:bookmarkStart w:name="_Hlk79417238" w:id="1"/>
      <w:r w:rsidRPr="005C0718">
        <w:rPr>
          <w:sz w:val="24"/>
          <w:szCs w:val="24"/>
        </w:rPr>
        <w:t>In compliance with the requirement of section 3506(c)(2)(A) of the Paperwork Reduction Act (PRA), the Centers for Medicare &amp; Medicaid Services (CMS) has submitted the following for emergency review to the Office of Management and Budget (OMB). We are requesting emergency review and approval of the information collection request related to provisions in the No Surprises Act. In accordance with 5 CFR 1320.13(a)(2)(i), we believe that public harm will result if the standard, non-emergency clearance procedures are followed.</w:t>
      </w:r>
      <w:bookmarkEnd w:id="1"/>
    </w:p>
    <w:p w:rsidRPr="005C0718" w:rsidR="002C68A9" w:rsidP="005C0718" w:rsidRDefault="002C68A9" w14:paraId="098CE67D" w14:textId="77777777">
      <w:pPr>
        <w:rPr>
          <w:sz w:val="24"/>
          <w:szCs w:val="24"/>
        </w:rPr>
      </w:pPr>
    </w:p>
    <w:p w:rsidRPr="005C0718" w:rsidR="0069240D" w:rsidP="005C0718" w:rsidRDefault="0069240D" w14:paraId="6D8B479F" w14:textId="5E41CBDA">
      <w:pPr>
        <w:rPr>
          <w:sz w:val="24"/>
          <w:szCs w:val="24"/>
        </w:rPr>
      </w:pPr>
      <w:r w:rsidRPr="005C0718">
        <w:rPr>
          <w:sz w:val="24"/>
          <w:szCs w:val="24"/>
        </w:rPr>
        <w:t>______________</w:t>
      </w:r>
    </w:p>
    <w:p w:rsidRPr="005C0718" w:rsidR="00F0446E" w:rsidP="005C0718" w:rsidRDefault="00F0446E" w14:paraId="2A3C53BC" w14:textId="34B9979C">
      <w:pPr>
        <w:rPr>
          <w:sz w:val="14"/>
          <w:szCs w:val="14"/>
        </w:rPr>
      </w:pPr>
      <w:r w:rsidRPr="005C0718">
        <w:rPr>
          <w:sz w:val="14"/>
          <w:szCs w:val="14"/>
          <w:vertAlign w:val="superscript"/>
        </w:rPr>
        <w:t>1</w:t>
      </w:r>
      <w:r w:rsidRPr="005C0718">
        <w:rPr>
          <w:sz w:val="14"/>
          <w:szCs w:val="14"/>
        </w:rPr>
        <w:t>Pub. L. 116-260 (Dec. 27, 2020).</w:t>
      </w:r>
    </w:p>
    <w:p w:rsidRPr="005C0718" w:rsidR="002C68A9" w:rsidP="005C0718" w:rsidRDefault="002C68A9" w14:paraId="24B31ADD" w14:textId="77777777">
      <w:pPr>
        <w:rPr>
          <w:sz w:val="14"/>
          <w:szCs w:val="14"/>
        </w:rPr>
      </w:pPr>
      <w:r w:rsidRPr="005C0718">
        <w:rPr>
          <w:sz w:val="14"/>
          <w:szCs w:val="14"/>
          <w:vertAlign w:val="superscript"/>
        </w:rPr>
        <w:t>2</w:t>
      </w:r>
      <w:r w:rsidRPr="005C0718">
        <w:rPr>
          <w:sz w:val="14"/>
          <w:szCs w:val="14"/>
        </w:rPr>
        <w:t>Internal Revenue Code (Code) section 9816(a)(2)(B)(iv), ERISA Section 716(a)(2)(B)(iv) and PHS Act section 2799A- (a)(2)(B)(iv).</w:t>
      </w:r>
    </w:p>
    <w:p w:rsidRPr="005C0718" w:rsidR="002C68A9" w:rsidP="005C0718" w:rsidRDefault="002C68A9" w14:paraId="061A5B71" w14:textId="77777777">
      <w:pPr>
        <w:rPr>
          <w:sz w:val="14"/>
          <w:szCs w:val="14"/>
        </w:rPr>
      </w:pPr>
      <w:r w:rsidRPr="005C0718">
        <w:rPr>
          <w:sz w:val="14"/>
          <w:szCs w:val="14"/>
          <w:vertAlign w:val="superscript"/>
        </w:rPr>
        <w:t>3</w:t>
      </w:r>
      <w:r w:rsidRPr="005C0718">
        <w:rPr>
          <w:sz w:val="14"/>
          <w:szCs w:val="14"/>
        </w:rPr>
        <w:t>PHS Act section 2799B-4(b)(3).</w:t>
      </w:r>
    </w:p>
    <w:p w:rsidRPr="005C0718" w:rsidR="00B54C3E" w:rsidP="005C0718" w:rsidRDefault="002C68A9" w14:paraId="41724033" w14:textId="53829763">
      <w:pPr>
        <w:rPr>
          <w:sz w:val="24"/>
          <w:szCs w:val="24"/>
        </w:rPr>
      </w:pPr>
      <w:r w:rsidRPr="005C0718">
        <w:rPr>
          <w:sz w:val="14"/>
          <w:szCs w:val="14"/>
          <w:vertAlign w:val="superscript"/>
        </w:rPr>
        <w:t>4</w:t>
      </w:r>
      <w:r w:rsidRPr="005C0718">
        <w:rPr>
          <w:sz w:val="14"/>
          <w:szCs w:val="14"/>
        </w:rPr>
        <w:t>PHS Act section 2799B-1, 2799B-2, 2799B-3, and 2799B-5.</w:t>
      </w:r>
    </w:p>
    <w:p w:rsidRPr="005C0718" w:rsidR="00547379" w:rsidP="005C0718" w:rsidRDefault="00547379" w14:paraId="0358E932" w14:textId="77777777">
      <w:pPr>
        <w:pStyle w:val="Heading1"/>
        <w:numPr>
          <w:ilvl w:val="0"/>
          <w:numId w:val="2"/>
        </w:numPr>
        <w:tabs>
          <w:tab w:val="left" w:pos="551"/>
          <w:tab w:val="left" w:pos="552"/>
        </w:tabs>
      </w:pPr>
      <w:r w:rsidRPr="005C0718">
        <w:rPr>
          <w:u w:val="thick"/>
        </w:rPr>
        <w:lastRenderedPageBreak/>
        <w:t>Justification</w:t>
      </w:r>
    </w:p>
    <w:p w:rsidRPr="005C0718" w:rsidR="00547379" w:rsidP="005C0718" w:rsidRDefault="00547379" w14:paraId="04F6D90B" w14:textId="77777777">
      <w:pPr>
        <w:pStyle w:val="BodyText"/>
        <w:rPr>
          <w:b/>
          <w:sz w:val="15"/>
        </w:rPr>
      </w:pPr>
    </w:p>
    <w:p w:rsidRPr="005C0718" w:rsidR="00547379" w:rsidP="005C0718" w:rsidRDefault="00547379" w14:paraId="0CF11F1D" w14:textId="77777777">
      <w:pPr>
        <w:pStyle w:val="ListParagraph"/>
        <w:numPr>
          <w:ilvl w:val="1"/>
          <w:numId w:val="3"/>
        </w:numPr>
        <w:tabs>
          <w:tab w:val="left" w:pos="551"/>
          <w:tab w:val="left" w:pos="552"/>
        </w:tabs>
        <w:ind w:left="552" w:hanging="432"/>
        <w:rPr>
          <w:sz w:val="24"/>
        </w:rPr>
      </w:pPr>
      <w:r w:rsidRPr="005C0718">
        <w:rPr>
          <w:sz w:val="24"/>
          <w:u w:val="single"/>
        </w:rPr>
        <w:t>Need and Legal</w:t>
      </w:r>
      <w:r w:rsidRPr="005C0718">
        <w:rPr>
          <w:spacing w:val="3"/>
          <w:sz w:val="24"/>
          <w:u w:val="single"/>
        </w:rPr>
        <w:t xml:space="preserve"> </w:t>
      </w:r>
      <w:r w:rsidRPr="005C0718">
        <w:rPr>
          <w:sz w:val="24"/>
          <w:u w:val="single"/>
        </w:rPr>
        <w:t>Basis</w:t>
      </w:r>
    </w:p>
    <w:p w:rsidRPr="005C0718" w:rsidR="00547379" w:rsidP="005C0718" w:rsidRDefault="00547379" w14:paraId="19436425" w14:textId="77777777">
      <w:pPr>
        <w:rPr>
          <w:sz w:val="24"/>
          <w:szCs w:val="24"/>
        </w:rPr>
      </w:pPr>
    </w:p>
    <w:p w:rsidRPr="005C0718" w:rsidR="00061730" w:rsidP="005C0718" w:rsidRDefault="00547379" w14:paraId="12D9D755" w14:textId="50EAF427">
      <w:pPr>
        <w:ind w:left="552"/>
        <w:rPr>
          <w:sz w:val="24"/>
          <w:szCs w:val="24"/>
          <w:vertAlign w:val="superscript"/>
        </w:rPr>
      </w:pPr>
      <w:r w:rsidRPr="005C0718">
        <w:rPr>
          <w:sz w:val="24"/>
          <w:szCs w:val="24"/>
        </w:rPr>
        <w:t xml:space="preserve">The No Surprises Act directs the Departments to establish a process to receive complaints regarding violations of the application of QPA </w:t>
      </w:r>
      <w:r w:rsidRPr="005C0718" w:rsidR="00F0446E">
        <w:rPr>
          <w:sz w:val="24"/>
          <w:szCs w:val="24"/>
        </w:rPr>
        <w:t>requirements by group health plans and health insurance issuers offering group or individual health coverage.</w:t>
      </w:r>
      <w:r w:rsidRPr="005C0718" w:rsidR="002C68A9">
        <w:rPr>
          <w:sz w:val="24"/>
          <w:szCs w:val="24"/>
        </w:rPr>
        <w:t xml:space="preserve"> </w:t>
      </w:r>
      <w:r w:rsidRPr="005C0718" w:rsidR="00F0446E">
        <w:rPr>
          <w:sz w:val="24"/>
          <w:szCs w:val="24"/>
        </w:rPr>
        <w:t>T</w:t>
      </w:r>
      <w:r w:rsidRPr="005C0718" w:rsidR="00B54C3E">
        <w:rPr>
          <w:sz w:val="24"/>
          <w:szCs w:val="24"/>
        </w:rPr>
        <w:t>he No Surprise</w:t>
      </w:r>
      <w:r w:rsidRPr="005C0718" w:rsidR="00154E32">
        <w:rPr>
          <w:sz w:val="24"/>
          <w:szCs w:val="24"/>
        </w:rPr>
        <w:t>s</w:t>
      </w:r>
      <w:r w:rsidRPr="005C0718" w:rsidR="00B54C3E">
        <w:rPr>
          <w:sz w:val="24"/>
          <w:szCs w:val="24"/>
        </w:rPr>
        <w:t xml:space="preserve"> Act</w:t>
      </w:r>
      <w:r w:rsidRPr="005C0718" w:rsidDel="00AC0227" w:rsidR="00B54C3E">
        <w:rPr>
          <w:sz w:val="24"/>
          <w:szCs w:val="24"/>
        </w:rPr>
        <w:t xml:space="preserve"> </w:t>
      </w:r>
      <w:r w:rsidRPr="005C0718" w:rsidR="00B54C3E">
        <w:rPr>
          <w:sz w:val="24"/>
          <w:szCs w:val="24"/>
        </w:rPr>
        <w:t>also directs HHS to establish a process to receive consumer complaints regarding violations by health care providers, facilities, and providers of air ambulance services regarding balance billing requirements and to respond to such complaints within 60 days.</w:t>
      </w:r>
    </w:p>
    <w:p w:rsidRPr="005C0718" w:rsidR="00061730" w:rsidP="005C0718" w:rsidRDefault="00061730" w14:paraId="4A5B9979" w14:textId="77777777">
      <w:pPr>
        <w:rPr>
          <w:sz w:val="24"/>
          <w:szCs w:val="24"/>
        </w:rPr>
      </w:pPr>
    </w:p>
    <w:p w:rsidRPr="005C0718" w:rsidR="00061730" w:rsidP="005C0718" w:rsidRDefault="00061730" w14:paraId="371B86C2" w14:textId="77777777">
      <w:pPr>
        <w:pStyle w:val="ListParagraph"/>
        <w:numPr>
          <w:ilvl w:val="1"/>
          <w:numId w:val="3"/>
        </w:numPr>
        <w:tabs>
          <w:tab w:val="left" w:pos="551"/>
          <w:tab w:val="left" w:pos="552"/>
        </w:tabs>
        <w:ind w:left="552" w:hanging="432"/>
        <w:rPr>
          <w:sz w:val="24"/>
        </w:rPr>
      </w:pPr>
      <w:r w:rsidRPr="005C0718">
        <w:rPr>
          <w:sz w:val="24"/>
          <w:u w:val="single"/>
        </w:rPr>
        <w:t>Information</w:t>
      </w:r>
      <w:r w:rsidRPr="005C0718">
        <w:rPr>
          <w:spacing w:val="-1"/>
          <w:sz w:val="24"/>
          <w:u w:val="single"/>
        </w:rPr>
        <w:t xml:space="preserve"> </w:t>
      </w:r>
      <w:r w:rsidRPr="005C0718">
        <w:rPr>
          <w:sz w:val="24"/>
          <w:u w:val="single"/>
        </w:rPr>
        <w:t>Users</w:t>
      </w:r>
    </w:p>
    <w:p w:rsidRPr="005C0718" w:rsidR="00061730" w:rsidP="005C0718" w:rsidRDefault="00061730" w14:paraId="360D851D" w14:textId="77777777">
      <w:pPr>
        <w:pStyle w:val="BodyText"/>
        <w:rPr>
          <w:sz w:val="16"/>
        </w:rPr>
      </w:pPr>
    </w:p>
    <w:p w:rsidRPr="005C0718" w:rsidR="00061730" w:rsidP="005C0718" w:rsidRDefault="00061730" w14:paraId="3FB86BB2" w14:textId="77777777">
      <w:pPr>
        <w:pStyle w:val="BodyText"/>
        <w:ind w:left="552" w:right="115"/>
      </w:pPr>
      <w:r w:rsidRPr="005C0718">
        <w:t>CMS will request information from non-federal governmental plans and issuers, health care providers, facilities, providers of air ambulance services, and individuals to review and process a complaint for potential violations of balance billing requirements.</w:t>
      </w:r>
    </w:p>
    <w:p w:rsidRPr="005C0718" w:rsidR="0069240D" w:rsidP="005C0718" w:rsidRDefault="0069240D" w14:paraId="762905D5" w14:textId="77777777">
      <w:pPr>
        <w:rPr>
          <w:sz w:val="14"/>
          <w:szCs w:val="14"/>
        </w:rPr>
      </w:pPr>
      <w:bookmarkStart w:name="_Hlk79489186" w:id="2"/>
    </w:p>
    <w:p w:rsidRPr="005C0718" w:rsidR="0069240D" w:rsidP="005C0718" w:rsidRDefault="0069240D" w14:paraId="1ED1B8C3" w14:textId="77777777">
      <w:pPr>
        <w:ind w:left="115"/>
        <w:rPr>
          <w:sz w:val="14"/>
          <w:szCs w:val="14"/>
        </w:rPr>
      </w:pPr>
    </w:p>
    <w:p w:rsidRPr="005C0718" w:rsidR="0069240D" w:rsidP="005C0718" w:rsidRDefault="0069240D" w14:paraId="6EA9D865" w14:textId="3E2F874A">
      <w:pPr>
        <w:pStyle w:val="ListParagraph"/>
        <w:numPr>
          <w:ilvl w:val="0"/>
          <w:numId w:val="5"/>
        </w:numPr>
        <w:rPr>
          <w:sz w:val="24"/>
          <w:szCs w:val="24"/>
        </w:rPr>
      </w:pPr>
      <w:r w:rsidRPr="005C0718">
        <w:rPr>
          <w:sz w:val="24"/>
          <w:szCs w:val="24"/>
          <w:u w:val="single"/>
        </w:rPr>
        <w:t>Use of Information Technology</w:t>
      </w:r>
    </w:p>
    <w:p w:rsidRPr="005C0718" w:rsidR="0069240D" w:rsidP="005C0718" w:rsidRDefault="0069240D" w14:paraId="04DF8671" w14:textId="77777777">
      <w:pPr>
        <w:ind w:left="115"/>
        <w:rPr>
          <w:sz w:val="24"/>
          <w:szCs w:val="24"/>
        </w:rPr>
      </w:pPr>
    </w:p>
    <w:p w:rsidRPr="005C0718" w:rsidR="0069240D" w:rsidP="005C0718" w:rsidRDefault="0069240D" w14:paraId="0E355853" w14:textId="461BF9AD">
      <w:pPr>
        <w:ind w:left="552"/>
        <w:rPr>
          <w:sz w:val="24"/>
          <w:szCs w:val="24"/>
        </w:rPr>
      </w:pPr>
      <w:r w:rsidRPr="005C0718">
        <w:rPr>
          <w:sz w:val="24"/>
          <w:szCs w:val="24"/>
        </w:rPr>
        <w:t xml:space="preserve">Plans and issuers, health care providers, facilities, providers of air ambulance services, and individuals </w:t>
      </w:r>
      <w:r w:rsidR="00CA1B43">
        <w:rPr>
          <w:sz w:val="24"/>
          <w:szCs w:val="24"/>
        </w:rPr>
        <w:t xml:space="preserve">(consumers and authorized representatives) </w:t>
      </w:r>
      <w:r w:rsidRPr="005C0718">
        <w:rPr>
          <w:sz w:val="24"/>
          <w:szCs w:val="24"/>
        </w:rPr>
        <w:t>may submit some or all information electronically to CMS.</w:t>
      </w:r>
    </w:p>
    <w:p w:rsidRPr="005C0718" w:rsidR="0069240D" w:rsidP="005C0718" w:rsidRDefault="0069240D" w14:paraId="2F8A0F44" w14:textId="77777777">
      <w:pPr>
        <w:ind w:left="115"/>
        <w:rPr>
          <w:sz w:val="18"/>
          <w:szCs w:val="18"/>
        </w:rPr>
      </w:pPr>
    </w:p>
    <w:p w:rsidRPr="005C0718" w:rsidR="0069240D" w:rsidP="005C0718" w:rsidRDefault="0069240D" w14:paraId="5E78767F" w14:textId="77777777">
      <w:pPr>
        <w:pStyle w:val="ListParagraph"/>
        <w:numPr>
          <w:ilvl w:val="0"/>
          <w:numId w:val="4"/>
        </w:numPr>
        <w:tabs>
          <w:tab w:val="left" w:pos="551"/>
          <w:tab w:val="left" w:pos="552"/>
        </w:tabs>
        <w:rPr>
          <w:sz w:val="24"/>
        </w:rPr>
      </w:pPr>
      <w:r w:rsidRPr="005C0718">
        <w:rPr>
          <w:sz w:val="24"/>
          <w:u w:val="single"/>
        </w:rPr>
        <w:t>Duplication of</w:t>
      </w:r>
      <w:r w:rsidRPr="005C0718">
        <w:rPr>
          <w:spacing w:val="-2"/>
          <w:sz w:val="24"/>
          <w:u w:val="single"/>
        </w:rPr>
        <w:t xml:space="preserve"> </w:t>
      </w:r>
      <w:r w:rsidRPr="005C0718">
        <w:rPr>
          <w:sz w:val="24"/>
          <w:u w:val="single"/>
        </w:rPr>
        <w:t>Efforts</w:t>
      </w:r>
    </w:p>
    <w:p w:rsidRPr="005C0718" w:rsidR="0069240D" w:rsidP="005C0718" w:rsidRDefault="0069240D" w14:paraId="4E66DB53" w14:textId="77777777">
      <w:pPr>
        <w:pStyle w:val="BodyText"/>
        <w:rPr>
          <w:sz w:val="16"/>
        </w:rPr>
      </w:pPr>
    </w:p>
    <w:p w:rsidRPr="005C0718" w:rsidR="003B3DF1" w:rsidP="005C0718" w:rsidRDefault="00547379" w14:paraId="7323D8E1" w14:textId="253602F9">
      <w:pPr>
        <w:pStyle w:val="BodyText"/>
        <w:ind w:left="475" w:right="170"/>
        <w:jc w:val="both"/>
        <w:rPr>
          <w:sz w:val="16"/>
        </w:rPr>
      </w:pPr>
      <w:r w:rsidRPr="005C0718">
        <w:t>The No Surprises Act amended ERISA</w:t>
      </w:r>
      <w:r w:rsidRPr="005C0718" w:rsidR="0065691E">
        <w:t>,</w:t>
      </w:r>
      <w:r w:rsidRPr="005C0718">
        <w:t xml:space="preserve"> the Code</w:t>
      </w:r>
      <w:r w:rsidRPr="005C0718" w:rsidR="0065691E">
        <w:t xml:space="preserve">, and </w:t>
      </w:r>
      <w:r w:rsidRPr="005C0718">
        <w:t xml:space="preserve">the PHS Act. However, only CMS oversees non-Federal governmental health plans and issuers of individual and group health </w:t>
      </w:r>
      <w:r w:rsidRPr="005C0718" w:rsidR="00765757">
        <w:t xml:space="preserve">insurance </w:t>
      </w:r>
      <w:r w:rsidRPr="005C0718">
        <w:t>coverage, therefore there will be no duplication of effort with DOL and the Treasury. States may request or require issuers to provide information as well. However, no duplication should occur because CMS will only request information from issuers when CMS has direct enforcement responsibility for the No Surprises Act in a state.</w:t>
      </w:r>
    </w:p>
    <w:p w:rsidRPr="005C0718" w:rsidR="00803D33" w:rsidP="005C0718" w:rsidRDefault="00803D33" w14:paraId="1ABCF357" w14:textId="5DD022E0">
      <w:pPr>
        <w:pStyle w:val="BodyText"/>
        <w:rPr>
          <w:sz w:val="16"/>
        </w:rPr>
      </w:pPr>
    </w:p>
    <w:p w:rsidRPr="005C0718" w:rsidR="00803D33" w:rsidP="005C0718" w:rsidRDefault="00803D33" w14:paraId="14D6D627" w14:textId="10E2436E">
      <w:pPr>
        <w:pStyle w:val="BodyText"/>
        <w:rPr>
          <w:sz w:val="16"/>
        </w:rPr>
      </w:pPr>
    </w:p>
    <w:p w:rsidRPr="005C0718" w:rsidR="003B3DF1" w:rsidP="005C0718" w:rsidRDefault="003B3DF1" w14:paraId="000EBE72" w14:textId="77777777">
      <w:pPr>
        <w:pStyle w:val="ListParagraph"/>
        <w:numPr>
          <w:ilvl w:val="0"/>
          <w:numId w:val="4"/>
        </w:numPr>
        <w:tabs>
          <w:tab w:val="left" w:pos="551"/>
          <w:tab w:val="left" w:pos="552"/>
        </w:tabs>
        <w:rPr>
          <w:sz w:val="24"/>
        </w:rPr>
      </w:pPr>
      <w:r w:rsidRPr="005C0718">
        <w:rPr>
          <w:sz w:val="24"/>
          <w:u w:val="single"/>
        </w:rPr>
        <w:t>Small</w:t>
      </w:r>
      <w:r w:rsidRPr="005C0718">
        <w:rPr>
          <w:spacing w:val="-1"/>
          <w:sz w:val="24"/>
          <w:u w:val="single"/>
        </w:rPr>
        <w:t xml:space="preserve"> </w:t>
      </w:r>
      <w:r w:rsidRPr="005C0718">
        <w:rPr>
          <w:sz w:val="24"/>
          <w:u w:val="single"/>
        </w:rPr>
        <w:t>Businesses</w:t>
      </w:r>
    </w:p>
    <w:p w:rsidRPr="005C0718" w:rsidR="003B3DF1" w:rsidP="005C0718" w:rsidRDefault="003B3DF1" w14:paraId="50ACDEC6" w14:textId="77777777">
      <w:pPr>
        <w:pStyle w:val="BodyText"/>
        <w:rPr>
          <w:sz w:val="16"/>
        </w:rPr>
      </w:pPr>
    </w:p>
    <w:p w:rsidRPr="005C0718" w:rsidR="003B3DF1" w:rsidP="005C0718" w:rsidRDefault="003B3DF1" w14:paraId="12EB3716" w14:textId="01230F9F">
      <w:pPr>
        <w:pStyle w:val="BodyText"/>
        <w:ind w:left="475" w:right="115"/>
      </w:pPr>
      <w:r w:rsidRPr="005C0718">
        <w:t>Small businesses are not significantly affected by these information collection requirements</w:t>
      </w:r>
      <w:r w:rsidR="008A2F7D">
        <w:t>.</w:t>
      </w:r>
      <w:r w:rsidRPr="005C0718">
        <w:t xml:space="preserve"> </w:t>
      </w:r>
    </w:p>
    <w:p w:rsidRPr="005C0718" w:rsidR="003B3DF1" w:rsidP="005C0718" w:rsidRDefault="003B3DF1" w14:paraId="64AD1058" w14:textId="77777777">
      <w:pPr>
        <w:pStyle w:val="BodyText"/>
      </w:pPr>
    </w:p>
    <w:p w:rsidRPr="005C0718" w:rsidR="003B3DF1" w:rsidP="005C0718" w:rsidRDefault="003B3DF1" w14:paraId="5E58F980" w14:textId="77777777">
      <w:pPr>
        <w:pStyle w:val="ListParagraph"/>
        <w:numPr>
          <w:ilvl w:val="0"/>
          <w:numId w:val="4"/>
        </w:numPr>
        <w:tabs>
          <w:tab w:val="left" w:pos="551"/>
          <w:tab w:val="left" w:pos="552"/>
        </w:tabs>
        <w:rPr>
          <w:sz w:val="24"/>
        </w:rPr>
      </w:pPr>
      <w:r w:rsidRPr="005C0718">
        <w:rPr>
          <w:sz w:val="24"/>
          <w:u w:val="single"/>
        </w:rPr>
        <w:t>Less Frequent</w:t>
      </w:r>
      <w:r w:rsidRPr="005C0718">
        <w:rPr>
          <w:spacing w:val="1"/>
          <w:sz w:val="24"/>
          <w:u w:val="single"/>
        </w:rPr>
        <w:t xml:space="preserve"> </w:t>
      </w:r>
      <w:r w:rsidRPr="005C0718">
        <w:rPr>
          <w:sz w:val="24"/>
          <w:u w:val="single"/>
        </w:rPr>
        <w:t>Collection</w:t>
      </w:r>
    </w:p>
    <w:p w:rsidRPr="005C0718" w:rsidR="003B3DF1" w:rsidP="005C0718" w:rsidRDefault="003B3DF1" w14:paraId="1668952B" w14:textId="77777777">
      <w:pPr>
        <w:pStyle w:val="BodyText"/>
        <w:rPr>
          <w:sz w:val="16"/>
        </w:rPr>
      </w:pPr>
    </w:p>
    <w:p w:rsidRPr="005C0718" w:rsidR="002C68A9" w:rsidP="005C0718" w:rsidRDefault="003B3DF1" w14:paraId="1FF7FFB4" w14:textId="443BFFCA">
      <w:pPr>
        <w:pStyle w:val="BodyText"/>
        <w:ind w:left="475" w:right="344"/>
      </w:pPr>
      <w:r w:rsidRPr="005C0718">
        <w:t>This collection is required to fulfill the statutory requirements in the No Surprises Act. CMS will not be able to conduct reviews of balance billing complaints and ensure regulatory compliance without</w:t>
      </w:r>
      <w:r w:rsidR="0054721D">
        <w:t xml:space="preserve"> first</w:t>
      </w:r>
      <w:r w:rsidRPr="005C0718">
        <w:t xml:space="preserve"> collecting the information from</w:t>
      </w:r>
      <w:r w:rsidR="0054721D">
        <w:t xml:space="preserve"> complainants, and </w:t>
      </w:r>
      <w:r w:rsidR="00447D7C">
        <w:t>by</w:t>
      </w:r>
      <w:r w:rsidR="0054721D">
        <w:t xml:space="preserve"> </w:t>
      </w:r>
      <w:r w:rsidR="00447D7C">
        <w:t>collecting</w:t>
      </w:r>
      <w:r w:rsidR="0054721D">
        <w:t xml:space="preserve"> additional information needed from</w:t>
      </w:r>
      <w:r w:rsidRPr="005C0718">
        <w:t xml:space="preserve"> non-federal governmental plans and issuers, health care providers, facilities, providers of air ambulance services, and individuals.</w:t>
      </w:r>
    </w:p>
    <w:p w:rsidRPr="005C0718" w:rsidR="002C68A9" w:rsidP="005C0718" w:rsidRDefault="002C68A9" w14:paraId="5207DC0E" w14:textId="1291EDEA">
      <w:pPr>
        <w:pStyle w:val="BodyText"/>
        <w:ind w:left="475" w:right="344"/>
      </w:pPr>
    </w:p>
    <w:p w:rsidRPr="005C0718" w:rsidR="002C68A9" w:rsidP="005C0718" w:rsidRDefault="002C68A9" w14:paraId="0360E1E9" w14:textId="77777777">
      <w:pPr>
        <w:pStyle w:val="BodyText"/>
        <w:ind w:left="475" w:right="344"/>
      </w:pPr>
    </w:p>
    <w:p w:rsidRPr="005C0718" w:rsidR="00547379" w:rsidP="005C0718" w:rsidRDefault="00547379" w14:paraId="2D79491D" w14:textId="77777777">
      <w:pPr>
        <w:pStyle w:val="BodyText"/>
        <w:ind w:left="475" w:right="344"/>
      </w:pPr>
    </w:p>
    <w:bookmarkEnd w:id="2"/>
    <w:p w:rsidRPr="005C0718" w:rsidR="0054721D" w:rsidP="005C0718" w:rsidRDefault="0054721D" w14:paraId="67C32172" w14:textId="77777777">
      <w:pPr>
        <w:pStyle w:val="BodyText"/>
        <w:rPr>
          <w:sz w:val="27"/>
        </w:rPr>
      </w:pPr>
    </w:p>
    <w:p w:rsidR="0054721D" w:rsidP="005C0718" w:rsidRDefault="0054721D" w14:paraId="7BE38539" w14:textId="627AD7B7">
      <w:pPr>
        <w:rPr>
          <w:sz w:val="14"/>
          <w:szCs w:val="14"/>
        </w:rPr>
      </w:pPr>
      <w:bookmarkStart w:name="_bookmark2" w:id="3"/>
      <w:bookmarkStart w:name="_bookmark3" w:id="4"/>
      <w:bookmarkEnd w:id="3"/>
      <w:bookmarkEnd w:id="4"/>
    </w:p>
    <w:p w:rsidR="0054721D" w:rsidP="005C0718" w:rsidRDefault="0054721D" w14:paraId="1DB26990" w14:textId="60888A3C">
      <w:pPr>
        <w:rPr>
          <w:sz w:val="14"/>
          <w:szCs w:val="14"/>
        </w:rPr>
      </w:pPr>
    </w:p>
    <w:p w:rsidR="0054721D" w:rsidP="005C0718" w:rsidRDefault="0054721D" w14:paraId="712C003A" w14:textId="4011A882">
      <w:pPr>
        <w:rPr>
          <w:sz w:val="14"/>
          <w:szCs w:val="14"/>
        </w:rPr>
      </w:pPr>
    </w:p>
    <w:p w:rsidRPr="005C0718" w:rsidR="0054721D" w:rsidP="005C0718" w:rsidRDefault="0054721D" w14:paraId="007A4B63" w14:textId="77777777">
      <w:pPr>
        <w:rPr>
          <w:sz w:val="14"/>
          <w:szCs w:val="14"/>
        </w:rPr>
      </w:pPr>
    </w:p>
    <w:p w:rsidRPr="005C0718" w:rsidR="00FE3799" w:rsidP="005C0718" w:rsidRDefault="00FE3799" w14:paraId="3F7390B8" w14:textId="77777777">
      <w:pPr>
        <w:tabs>
          <w:tab w:val="left" w:pos="551"/>
          <w:tab w:val="left" w:pos="552"/>
        </w:tabs>
        <w:rPr>
          <w:sz w:val="24"/>
        </w:rPr>
      </w:pPr>
    </w:p>
    <w:p w:rsidRPr="005C0718" w:rsidR="003B3DF1" w:rsidP="005C0718" w:rsidRDefault="003B3DF1" w14:paraId="6318D046" w14:textId="75B86E7C">
      <w:pPr>
        <w:pStyle w:val="ListParagraph"/>
        <w:numPr>
          <w:ilvl w:val="0"/>
          <w:numId w:val="4"/>
        </w:numPr>
        <w:tabs>
          <w:tab w:val="left" w:pos="551"/>
          <w:tab w:val="left" w:pos="552"/>
        </w:tabs>
        <w:rPr>
          <w:sz w:val="24"/>
        </w:rPr>
      </w:pPr>
      <w:r w:rsidRPr="005C0718">
        <w:rPr>
          <w:sz w:val="24"/>
          <w:u w:val="single"/>
        </w:rPr>
        <w:t>Special</w:t>
      </w:r>
      <w:r w:rsidRPr="005C0718">
        <w:rPr>
          <w:spacing w:val="-1"/>
          <w:sz w:val="24"/>
          <w:u w:val="single"/>
        </w:rPr>
        <w:t xml:space="preserve"> </w:t>
      </w:r>
      <w:r w:rsidRPr="005C0718">
        <w:rPr>
          <w:sz w:val="24"/>
          <w:u w:val="single"/>
        </w:rPr>
        <w:t>Circumstances</w:t>
      </w:r>
    </w:p>
    <w:p w:rsidRPr="005C0718" w:rsidR="003B3DF1" w:rsidP="005C0718" w:rsidRDefault="003B3DF1" w14:paraId="49FAF8A7" w14:textId="77777777">
      <w:pPr>
        <w:pStyle w:val="BodyText"/>
        <w:rPr>
          <w:sz w:val="16"/>
        </w:rPr>
      </w:pPr>
    </w:p>
    <w:p w:rsidRPr="005C0718" w:rsidR="00803D33" w:rsidP="005C0718" w:rsidRDefault="003B3DF1" w14:paraId="5C11E48A" w14:textId="7DDD09AE">
      <w:pPr>
        <w:pStyle w:val="BodyText"/>
        <w:ind w:left="551"/>
      </w:pPr>
      <w:r w:rsidRPr="005C0718">
        <w:t>There are no special circumstances.</w:t>
      </w:r>
    </w:p>
    <w:p w:rsidRPr="005C0718" w:rsidR="00B54C3E" w:rsidP="005C0718" w:rsidRDefault="00B54C3E" w14:paraId="6E3B1341" w14:textId="77777777">
      <w:pPr>
        <w:pStyle w:val="BodyText"/>
      </w:pPr>
    </w:p>
    <w:p w:rsidRPr="005C0718" w:rsidR="00B54C3E" w:rsidP="005C0718" w:rsidRDefault="00B54C3E" w14:paraId="6B5EA197" w14:textId="77777777">
      <w:pPr>
        <w:pStyle w:val="ListParagraph"/>
        <w:numPr>
          <w:ilvl w:val="0"/>
          <w:numId w:val="4"/>
        </w:numPr>
        <w:tabs>
          <w:tab w:val="left" w:pos="551"/>
          <w:tab w:val="left" w:pos="552"/>
        </w:tabs>
        <w:rPr>
          <w:sz w:val="24"/>
        </w:rPr>
      </w:pPr>
      <w:r w:rsidRPr="005C0718">
        <w:rPr>
          <w:sz w:val="24"/>
          <w:u w:val="single"/>
        </w:rPr>
        <w:t>Federal Register/Outside Consultation</w:t>
      </w:r>
    </w:p>
    <w:p w:rsidRPr="005C0718" w:rsidR="00B54C3E" w:rsidP="005C0718" w:rsidRDefault="00B54C3E" w14:paraId="286A1D29" w14:textId="77777777">
      <w:pPr>
        <w:pStyle w:val="BodyText"/>
        <w:rPr>
          <w:sz w:val="16"/>
        </w:rPr>
      </w:pPr>
    </w:p>
    <w:p w:rsidRPr="005C0718" w:rsidR="00C336D3" w:rsidP="005C0718" w:rsidRDefault="00C336D3" w14:paraId="5913DA6B" w14:textId="2ABD3D82">
      <w:pPr>
        <w:ind w:left="551" w:right="3" w:firstLine="1"/>
        <w:rPr>
          <w:sz w:val="24"/>
          <w:szCs w:val="24"/>
        </w:rPr>
      </w:pPr>
      <w:r w:rsidRPr="005C0718">
        <w:rPr>
          <w:sz w:val="24"/>
          <w:szCs w:val="24"/>
        </w:rPr>
        <w:t>An interim final rule with requests for comment (86 FR 36872)</w:t>
      </w:r>
      <w:r w:rsidRPr="005C0718" w:rsidDel="00BC7907">
        <w:rPr>
          <w:sz w:val="24"/>
          <w:szCs w:val="24"/>
        </w:rPr>
        <w:t xml:space="preserve"> </w:t>
      </w:r>
      <w:r w:rsidRPr="005C0718">
        <w:rPr>
          <w:sz w:val="24"/>
          <w:szCs w:val="24"/>
        </w:rPr>
        <w:t xml:space="preserve">published on July 13, 2021. </w:t>
      </w:r>
      <w:r w:rsidR="00D52F2D">
        <w:rPr>
          <w:sz w:val="24"/>
          <w:szCs w:val="24"/>
        </w:rPr>
        <w:t>HHS also consulted with external stakeholders</w:t>
      </w:r>
      <w:r w:rsidR="00EC35AD">
        <w:rPr>
          <w:sz w:val="24"/>
          <w:szCs w:val="24"/>
        </w:rPr>
        <w:t xml:space="preserve"> to obtain information on consumer impact and burden in information collection. Specifically, HHS consulted with consumers, providers, consumer advocates, and other professional organizations to consider the impact of information collection for complaints.</w:t>
      </w:r>
    </w:p>
    <w:p w:rsidRPr="005C0718" w:rsidR="00B54C3E" w:rsidP="005C0718" w:rsidRDefault="00B54C3E" w14:paraId="763E22D5" w14:textId="77777777">
      <w:pPr>
        <w:pStyle w:val="BodyText"/>
      </w:pPr>
    </w:p>
    <w:p w:rsidRPr="005C0718" w:rsidR="00B54C3E" w:rsidP="005C0718" w:rsidRDefault="00B54C3E" w14:paraId="48CB315A" w14:textId="77777777">
      <w:pPr>
        <w:pStyle w:val="ListParagraph"/>
        <w:numPr>
          <w:ilvl w:val="0"/>
          <w:numId w:val="4"/>
        </w:numPr>
        <w:tabs>
          <w:tab w:val="left" w:pos="551"/>
          <w:tab w:val="left" w:pos="552"/>
        </w:tabs>
        <w:rPr>
          <w:sz w:val="24"/>
        </w:rPr>
      </w:pPr>
      <w:r w:rsidRPr="005C0718">
        <w:rPr>
          <w:sz w:val="24"/>
          <w:u w:val="single"/>
        </w:rPr>
        <w:t>Payments/Gifts to</w:t>
      </w:r>
      <w:r w:rsidRPr="005C0718">
        <w:rPr>
          <w:spacing w:val="-7"/>
          <w:sz w:val="24"/>
          <w:u w:val="single"/>
        </w:rPr>
        <w:t xml:space="preserve"> </w:t>
      </w:r>
      <w:r w:rsidRPr="005C0718">
        <w:rPr>
          <w:sz w:val="24"/>
          <w:u w:val="single"/>
        </w:rPr>
        <w:t>Respondents</w:t>
      </w:r>
    </w:p>
    <w:p w:rsidRPr="005C0718" w:rsidR="00B54C3E" w:rsidP="005C0718" w:rsidRDefault="00B54C3E" w14:paraId="363119CB" w14:textId="77777777">
      <w:pPr>
        <w:pStyle w:val="BodyText"/>
        <w:rPr>
          <w:sz w:val="16"/>
        </w:rPr>
      </w:pPr>
    </w:p>
    <w:p w:rsidRPr="005C0718" w:rsidR="00B54C3E" w:rsidP="005C0718" w:rsidRDefault="00B54C3E" w14:paraId="14B76142" w14:textId="77777777">
      <w:pPr>
        <w:pStyle w:val="BodyText"/>
        <w:ind w:left="551"/>
      </w:pPr>
      <w:r w:rsidRPr="005C0718">
        <w:t>No payments or gifts are associated with these ICRs.</w:t>
      </w:r>
    </w:p>
    <w:p w:rsidRPr="005C0718" w:rsidR="00B54C3E" w:rsidP="005C0718" w:rsidRDefault="00B54C3E" w14:paraId="5A1AD2A7" w14:textId="77777777">
      <w:pPr>
        <w:pStyle w:val="BodyText"/>
        <w:ind w:left="551"/>
      </w:pPr>
    </w:p>
    <w:p w:rsidRPr="005C0718" w:rsidR="00B54C3E" w:rsidP="005C0718" w:rsidRDefault="00B54C3E" w14:paraId="52103AEA" w14:textId="77777777">
      <w:pPr>
        <w:pStyle w:val="ListParagraph"/>
        <w:numPr>
          <w:ilvl w:val="0"/>
          <w:numId w:val="4"/>
        </w:numPr>
        <w:tabs>
          <w:tab w:val="left" w:pos="552"/>
        </w:tabs>
        <w:rPr>
          <w:sz w:val="24"/>
        </w:rPr>
      </w:pPr>
      <w:r w:rsidRPr="005C0718">
        <w:rPr>
          <w:sz w:val="24"/>
          <w:u w:val="single"/>
        </w:rPr>
        <w:t>Confidentiality</w:t>
      </w:r>
    </w:p>
    <w:p w:rsidRPr="005C0718" w:rsidR="00B54C3E" w:rsidP="005C0718" w:rsidRDefault="00B54C3E" w14:paraId="53B11293" w14:textId="77777777">
      <w:pPr>
        <w:pStyle w:val="BodyText"/>
        <w:rPr>
          <w:sz w:val="16"/>
        </w:rPr>
      </w:pPr>
    </w:p>
    <w:p w:rsidRPr="005C0718" w:rsidR="00B54C3E" w:rsidP="005C0718" w:rsidRDefault="00B54C3E" w14:paraId="4B227D00" w14:textId="3AAC34B5">
      <w:pPr>
        <w:pStyle w:val="BodyText"/>
        <w:ind w:left="551" w:right="215"/>
      </w:pPr>
      <w:r w:rsidRPr="005C0718">
        <w:t xml:space="preserve">The </w:t>
      </w:r>
      <w:r w:rsidRPr="005C0718" w:rsidR="00994140">
        <w:t xml:space="preserve">No Surprises </w:t>
      </w:r>
      <w:r w:rsidRPr="005C0718">
        <w:t xml:space="preserve">Act does not require CMS to share information on findings of compliance and noncompliance of balance billing violations. </w:t>
      </w:r>
    </w:p>
    <w:p w:rsidRPr="005C0718" w:rsidR="00B54C3E" w:rsidP="005C0718" w:rsidRDefault="00B54C3E" w14:paraId="05223C8D" w14:textId="77777777">
      <w:pPr>
        <w:pStyle w:val="BodyText"/>
      </w:pPr>
    </w:p>
    <w:p w:rsidRPr="005C0718" w:rsidR="00B54C3E" w:rsidP="005C0718" w:rsidRDefault="00B54C3E" w14:paraId="0D798EA5" w14:textId="77777777">
      <w:pPr>
        <w:pStyle w:val="ListParagraph"/>
        <w:numPr>
          <w:ilvl w:val="0"/>
          <w:numId w:val="4"/>
        </w:numPr>
        <w:tabs>
          <w:tab w:val="left" w:pos="552"/>
        </w:tabs>
        <w:rPr>
          <w:sz w:val="24"/>
        </w:rPr>
      </w:pPr>
      <w:r w:rsidRPr="005C0718">
        <w:rPr>
          <w:sz w:val="24"/>
          <w:u w:val="single"/>
        </w:rPr>
        <w:t>Sensitive</w:t>
      </w:r>
      <w:r w:rsidRPr="005C0718">
        <w:rPr>
          <w:spacing w:val="-2"/>
          <w:sz w:val="24"/>
          <w:u w:val="single"/>
        </w:rPr>
        <w:t xml:space="preserve"> </w:t>
      </w:r>
      <w:r w:rsidRPr="005C0718">
        <w:rPr>
          <w:sz w:val="24"/>
          <w:u w:val="single"/>
        </w:rPr>
        <w:t>Questions</w:t>
      </w:r>
    </w:p>
    <w:p w:rsidRPr="005C0718" w:rsidR="00B54C3E" w:rsidP="005C0718" w:rsidRDefault="00B54C3E" w14:paraId="0B6203DF" w14:textId="77777777">
      <w:pPr>
        <w:pStyle w:val="BodyText"/>
        <w:rPr>
          <w:sz w:val="16"/>
        </w:rPr>
      </w:pPr>
    </w:p>
    <w:p w:rsidRPr="005C0718" w:rsidR="00B54C3E" w:rsidP="005C0718" w:rsidRDefault="00B54C3E" w14:paraId="5BCAB63A" w14:textId="3C0C2C60">
      <w:pPr>
        <w:pStyle w:val="BodyText"/>
        <w:ind w:left="551"/>
        <w:rPr>
          <w:sz w:val="15"/>
        </w:rPr>
      </w:pPr>
      <w:r w:rsidRPr="005C0718">
        <w:t>These ICRs involve</w:t>
      </w:r>
      <w:r w:rsidR="00EC35AD">
        <w:t>s sensitive questions that may obtain personally identifiable information and personal health information</w:t>
      </w:r>
      <w:proofErr w:type="gramStart"/>
      <w:r w:rsidR="00EC35AD">
        <w:t>.</w:t>
      </w:r>
      <w:r w:rsidRPr="005C0718">
        <w:t>.</w:t>
      </w:r>
      <w:proofErr w:type="gramEnd"/>
    </w:p>
    <w:p w:rsidRPr="005C0718" w:rsidR="00B54C3E" w:rsidP="005C0718" w:rsidRDefault="00B54C3E" w14:paraId="2D5E3245" w14:textId="77777777">
      <w:pPr>
        <w:pStyle w:val="BodyText"/>
      </w:pPr>
      <w:bookmarkStart w:name="_bookmark6" w:id="5"/>
      <w:bookmarkEnd w:id="5"/>
    </w:p>
    <w:p w:rsidRPr="005C0718" w:rsidR="00B54C3E" w:rsidP="005C0718" w:rsidRDefault="00B54C3E" w14:paraId="11BB4481" w14:textId="77777777">
      <w:pPr>
        <w:pStyle w:val="ListParagraph"/>
        <w:numPr>
          <w:ilvl w:val="0"/>
          <w:numId w:val="4"/>
        </w:numPr>
        <w:tabs>
          <w:tab w:val="left" w:pos="552"/>
        </w:tabs>
        <w:rPr>
          <w:sz w:val="24"/>
        </w:rPr>
      </w:pPr>
      <w:r w:rsidRPr="005C0718">
        <w:rPr>
          <w:sz w:val="24"/>
          <w:u w:val="single"/>
        </w:rPr>
        <w:t>Burden Estimates (Hours &amp;</w:t>
      </w:r>
      <w:r w:rsidRPr="005C0718">
        <w:rPr>
          <w:spacing w:val="1"/>
          <w:sz w:val="24"/>
          <w:u w:val="single"/>
        </w:rPr>
        <w:t xml:space="preserve"> </w:t>
      </w:r>
      <w:r w:rsidRPr="005C0718">
        <w:rPr>
          <w:sz w:val="24"/>
          <w:u w:val="single"/>
        </w:rPr>
        <w:t>Cost)</w:t>
      </w:r>
    </w:p>
    <w:p w:rsidRPr="005C0718" w:rsidR="00B54C3E" w:rsidP="005C0718" w:rsidRDefault="00B54C3E" w14:paraId="583FCE9F" w14:textId="77777777">
      <w:pPr>
        <w:adjustRightInd w:val="0"/>
        <w:rPr>
          <w:sz w:val="24"/>
          <w:szCs w:val="24"/>
        </w:rPr>
      </w:pPr>
    </w:p>
    <w:p w:rsidRPr="005C0718" w:rsidR="00B54C3E" w:rsidP="005C0718" w:rsidRDefault="00B54C3E" w14:paraId="22E687B9" w14:textId="45FB56C8">
      <w:pPr>
        <w:adjustRightInd w:val="0"/>
        <w:ind w:left="552"/>
        <w:rPr>
          <w:sz w:val="24"/>
          <w:szCs w:val="24"/>
        </w:rPr>
      </w:pPr>
      <w:r w:rsidRPr="005C0718">
        <w:rPr>
          <w:sz w:val="24"/>
          <w:szCs w:val="24"/>
        </w:rPr>
        <w:t>HHS estimates that there will be, on average, 3,600 balance billing complaints against providers, facilities, providers of air ambulance services, plans, and issuers submitted annually. HHS estimates that it will take each complainant 30 minutes (at an hourly rate of $54.14)</w:t>
      </w:r>
      <w:r w:rsidRPr="005C0718">
        <w:rPr>
          <w:position w:val="7"/>
          <w:sz w:val="13"/>
        </w:rPr>
        <w:t xml:space="preserve"> 6</w:t>
      </w:r>
      <w:r w:rsidRPr="005C0718">
        <w:rPr>
          <w:sz w:val="24"/>
          <w:szCs w:val="24"/>
        </w:rPr>
        <w:t xml:space="preserve"> to collect all relevant documentation related to the alleged violation and to access and complete the provided complaint form, with an equivalent cost of approximately $27. The total burden for all complainants </w:t>
      </w:r>
      <w:proofErr w:type="gramStart"/>
      <w:r w:rsidRPr="005C0718">
        <w:rPr>
          <w:sz w:val="24"/>
          <w:szCs w:val="24"/>
        </w:rPr>
        <w:t>is estimated</w:t>
      </w:r>
      <w:proofErr w:type="gramEnd"/>
      <w:r w:rsidRPr="005C0718">
        <w:rPr>
          <w:sz w:val="24"/>
          <w:szCs w:val="24"/>
        </w:rPr>
        <w:t xml:space="preserve"> to be 1,800 hours, with an equivalent annual cost of approximately $97,452. As DOL, </w:t>
      </w:r>
      <w:r w:rsidRPr="005C0718" w:rsidR="00EE2EDE">
        <w:rPr>
          <w:sz w:val="24"/>
          <w:szCs w:val="24"/>
        </w:rPr>
        <w:t xml:space="preserve">the Department of </w:t>
      </w:r>
      <w:r w:rsidRPr="005C0718">
        <w:rPr>
          <w:sz w:val="24"/>
          <w:szCs w:val="24"/>
        </w:rPr>
        <w:t>Treasury and HHS share jurisdiction, HHS will account for 50 percent of the burden, approximately 900 burden hours with an equivalent cost of approximately $48,726.</w:t>
      </w:r>
    </w:p>
    <w:p w:rsidRPr="005C0718" w:rsidR="00B54C3E" w:rsidP="005C0718" w:rsidRDefault="00B54C3E" w14:paraId="00F19582" w14:textId="77777777">
      <w:pPr>
        <w:adjustRightInd w:val="0"/>
        <w:ind w:left="552"/>
        <w:rPr>
          <w:sz w:val="24"/>
          <w:szCs w:val="24"/>
        </w:rPr>
      </w:pPr>
    </w:p>
    <w:p w:rsidRPr="005C0718" w:rsidR="00B54C3E" w:rsidP="005C0718" w:rsidRDefault="00B54C3E" w14:paraId="4F0152C6" w14:textId="6DB7A3FD">
      <w:pPr>
        <w:pStyle w:val="Heading3"/>
        <w:ind w:firstLine="110"/>
        <w:rPr>
          <w:rFonts w:ascii="Times New Roman" w:hAnsi="Times New Roman" w:cs="Times New Roman"/>
          <w:b/>
          <w:i/>
          <w:color w:val="auto"/>
        </w:rPr>
      </w:pPr>
      <w:r w:rsidRPr="005C0718">
        <w:rPr>
          <w:rFonts w:ascii="Times New Roman" w:hAnsi="Times New Roman" w:cs="Times New Roman"/>
          <w:b/>
          <w:color w:val="auto"/>
        </w:rPr>
        <w:t xml:space="preserve">TABLE </w:t>
      </w:r>
      <w:r w:rsidRPr="005C0718" w:rsidR="00767371">
        <w:rPr>
          <w:rFonts w:ascii="Times New Roman" w:hAnsi="Times New Roman" w:cs="Times New Roman"/>
          <w:b/>
          <w:color w:val="auto"/>
        </w:rPr>
        <w:t>1</w:t>
      </w:r>
      <w:r w:rsidRPr="005C0718">
        <w:rPr>
          <w:rFonts w:ascii="Times New Roman" w:hAnsi="Times New Roman" w:cs="Times New Roman"/>
          <w:b/>
          <w:color w:val="auto"/>
        </w:rPr>
        <w:t>: Annual Burden and Costs for Complaints Related to Surprise Billing</w:t>
      </w:r>
    </w:p>
    <w:p w:rsidRPr="005C0718" w:rsidR="00B54C3E" w:rsidP="005C0718" w:rsidRDefault="00B54C3E" w14:paraId="00D158C4" w14:textId="77777777"/>
    <w:tbl>
      <w:tblPr>
        <w:tblW w:w="7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51"/>
        <w:gridCol w:w="1230"/>
        <w:gridCol w:w="1136"/>
        <w:gridCol w:w="1136"/>
        <w:gridCol w:w="1002"/>
        <w:gridCol w:w="1545"/>
      </w:tblGrid>
      <w:tr w:rsidRPr="005C0718" w:rsidR="00B54C3E" w:rsidTr="0092664E" w14:paraId="672DE1C6" w14:textId="77777777">
        <w:trPr>
          <w:trHeight w:val="1200"/>
          <w:jc w:val="center"/>
        </w:trPr>
        <w:tc>
          <w:tcPr>
            <w:tcW w:w="1551" w:type="dxa"/>
            <w:shd w:val="clear" w:color="auto" w:fill="auto"/>
            <w:vAlign w:val="center"/>
          </w:tcPr>
          <w:p w:rsidRPr="005C0718" w:rsidR="00B54C3E" w:rsidP="005C0718" w:rsidRDefault="00B54C3E" w14:paraId="7A47062E" w14:textId="77777777">
            <w:pPr>
              <w:spacing w:line="259" w:lineRule="auto"/>
              <w:jc w:val="center"/>
              <w:rPr>
                <w:rFonts w:eastAsia="Calibri"/>
                <w:color w:val="000000" w:themeColor="text1"/>
              </w:rPr>
            </w:pPr>
            <w:r w:rsidRPr="005C0718">
              <w:rPr>
                <w:rFonts w:eastAsia="Calibri"/>
                <w:color w:val="000000" w:themeColor="text1"/>
              </w:rPr>
              <w:t>Estimated Number of Respondents</w:t>
            </w:r>
          </w:p>
        </w:tc>
        <w:tc>
          <w:tcPr>
            <w:tcW w:w="1230" w:type="dxa"/>
            <w:shd w:val="clear" w:color="auto" w:fill="auto"/>
            <w:vAlign w:val="center"/>
            <w:hideMark/>
          </w:tcPr>
          <w:p w:rsidRPr="005C0718" w:rsidR="00B54C3E" w:rsidP="005C0718" w:rsidRDefault="00B54C3E" w14:paraId="11C50EA6" w14:textId="77777777">
            <w:pPr>
              <w:spacing w:line="259" w:lineRule="auto"/>
              <w:jc w:val="center"/>
              <w:rPr>
                <w:rFonts w:eastAsia="Calibri"/>
                <w:color w:val="000000" w:themeColor="text1"/>
              </w:rPr>
            </w:pPr>
            <w:r w:rsidRPr="005C0718">
              <w:rPr>
                <w:rFonts w:eastAsia="Calibri"/>
                <w:color w:val="000000" w:themeColor="text1"/>
              </w:rPr>
              <w:t>Estimated Number of Responses</w:t>
            </w:r>
          </w:p>
        </w:tc>
        <w:tc>
          <w:tcPr>
            <w:tcW w:w="1136" w:type="dxa"/>
            <w:vAlign w:val="center"/>
          </w:tcPr>
          <w:p w:rsidRPr="005C0718" w:rsidR="00B54C3E" w:rsidP="005C0718" w:rsidRDefault="00B54C3E" w14:paraId="4FCF9F97" w14:textId="77777777">
            <w:pPr>
              <w:spacing w:line="259" w:lineRule="auto"/>
              <w:jc w:val="center"/>
              <w:rPr>
                <w:rFonts w:eastAsia="Calibri"/>
                <w:color w:val="000000" w:themeColor="text1"/>
              </w:rPr>
            </w:pPr>
            <w:r w:rsidRPr="005C0718">
              <w:rPr>
                <w:rFonts w:eastAsia="Calibri"/>
                <w:color w:val="000000" w:themeColor="text1"/>
              </w:rPr>
              <w:t>Burden Per Response</w:t>
            </w:r>
          </w:p>
          <w:p w:rsidRPr="005C0718" w:rsidR="00B54C3E" w:rsidP="005C0718" w:rsidRDefault="00B54C3E" w14:paraId="6B2A40EA" w14:textId="77777777">
            <w:pPr>
              <w:spacing w:line="259" w:lineRule="auto"/>
              <w:jc w:val="center"/>
              <w:rPr>
                <w:rFonts w:eastAsia="Calibri"/>
                <w:color w:val="000000" w:themeColor="text1"/>
              </w:rPr>
            </w:pPr>
            <w:r w:rsidRPr="005C0718">
              <w:rPr>
                <w:rFonts w:eastAsia="Calibri"/>
                <w:color w:val="000000" w:themeColor="text1"/>
              </w:rPr>
              <w:t>(Hours)</w:t>
            </w:r>
          </w:p>
        </w:tc>
        <w:tc>
          <w:tcPr>
            <w:tcW w:w="1136" w:type="dxa"/>
            <w:vAlign w:val="center"/>
          </w:tcPr>
          <w:p w:rsidRPr="005C0718" w:rsidR="00B54C3E" w:rsidP="005C0718" w:rsidRDefault="00B54C3E" w14:paraId="4F0941C6" w14:textId="77777777">
            <w:pPr>
              <w:spacing w:line="259" w:lineRule="auto"/>
              <w:jc w:val="center"/>
              <w:rPr>
                <w:rFonts w:eastAsia="Calibri"/>
                <w:color w:val="000000" w:themeColor="text1"/>
              </w:rPr>
            </w:pPr>
            <w:r w:rsidRPr="005C0718">
              <w:rPr>
                <w:rFonts w:eastAsia="Calibri"/>
                <w:color w:val="000000" w:themeColor="text1"/>
              </w:rPr>
              <w:t>Cost per Response</w:t>
            </w:r>
          </w:p>
        </w:tc>
        <w:tc>
          <w:tcPr>
            <w:tcW w:w="1002" w:type="dxa"/>
            <w:shd w:val="clear" w:color="auto" w:fill="auto"/>
            <w:vAlign w:val="center"/>
            <w:hideMark/>
          </w:tcPr>
          <w:p w:rsidRPr="005C0718" w:rsidR="00B54C3E" w:rsidP="005C0718" w:rsidRDefault="00B54C3E" w14:paraId="312D3102" w14:textId="77777777">
            <w:pPr>
              <w:spacing w:line="259" w:lineRule="auto"/>
              <w:jc w:val="center"/>
              <w:rPr>
                <w:rFonts w:eastAsia="Calibri"/>
                <w:color w:val="000000" w:themeColor="text1"/>
              </w:rPr>
            </w:pPr>
            <w:r w:rsidRPr="005C0718">
              <w:rPr>
                <w:rFonts w:eastAsia="Calibri"/>
                <w:color w:val="000000" w:themeColor="text1"/>
              </w:rPr>
              <w:t>Total Annual Burden (Hours)</w:t>
            </w:r>
          </w:p>
        </w:tc>
        <w:tc>
          <w:tcPr>
            <w:tcW w:w="1545" w:type="dxa"/>
            <w:shd w:val="clear" w:color="auto" w:fill="auto"/>
            <w:vAlign w:val="center"/>
            <w:hideMark/>
          </w:tcPr>
          <w:p w:rsidRPr="005C0718" w:rsidR="00B54C3E" w:rsidP="005C0718" w:rsidRDefault="00B54C3E" w14:paraId="2DBDD8AB" w14:textId="77777777">
            <w:pPr>
              <w:spacing w:line="259" w:lineRule="auto"/>
              <w:jc w:val="center"/>
              <w:rPr>
                <w:rFonts w:eastAsia="Calibri"/>
                <w:color w:val="000000" w:themeColor="text1"/>
              </w:rPr>
            </w:pPr>
            <w:r w:rsidRPr="005C0718">
              <w:rPr>
                <w:rFonts w:eastAsia="Calibri"/>
                <w:color w:val="000000" w:themeColor="text1"/>
              </w:rPr>
              <w:t>Total Estimated Cost</w:t>
            </w:r>
          </w:p>
        </w:tc>
      </w:tr>
      <w:tr w:rsidRPr="005C0718" w:rsidR="00B54C3E" w:rsidTr="0092664E" w14:paraId="786C733C" w14:textId="77777777">
        <w:trPr>
          <w:trHeight w:val="300"/>
          <w:jc w:val="center"/>
        </w:trPr>
        <w:tc>
          <w:tcPr>
            <w:tcW w:w="1551" w:type="dxa"/>
            <w:shd w:val="clear" w:color="auto" w:fill="auto"/>
            <w:noWrap/>
            <w:vAlign w:val="center"/>
          </w:tcPr>
          <w:p w:rsidRPr="005C0718" w:rsidR="00B54C3E" w:rsidP="005C0718" w:rsidRDefault="00B54C3E" w14:paraId="663B57F9" w14:textId="77777777">
            <w:pPr>
              <w:spacing w:line="259" w:lineRule="auto"/>
              <w:jc w:val="center"/>
              <w:rPr>
                <w:rFonts w:eastAsia="Calibri"/>
                <w:color w:val="000000"/>
              </w:rPr>
            </w:pPr>
            <w:r w:rsidRPr="005C0718">
              <w:rPr>
                <w:rFonts w:eastAsia="Calibri"/>
                <w:color w:val="000000"/>
              </w:rPr>
              <w:t>1,800</w:t>
            </w:r>
          </w:p>
        </w:tc>
        <w:tc>
          <w:tcPr>
            <w:tcW w:w="1230" w:type="dxa"/>
            <w:shd w:val="clear" w:color="auto" w:fill="auto"/>
            <w:noWrap/>
            <w:vAlign w:val="center"/>
          </w:tcPr>
          <w:p w:rsidRPr="005C0718" w:rsidR="00B54C3E" w:rsidP="005C0718" w:rsidRDefault="00B54C3E" w14:paraId="0DAACCA4" w14:textId="77777777">
            <w:pPr>
              <w:spacing w:line="259" w:lineRule="auto"/>
              <w:jc w:val="center"/>
              <w:rPr>
                <w:rFonts w:eastAsia="Calibri"/>
                <w:color w:val="000000"/>
              </w:rPr>
            </w:pPr>
            <w:r w:rsidRPr="005C0718">
              <w:rPr>
                <w:rFonts w:eastAsia="Calibri"/>
                <w:color w:val="000000"/>
              </w:rPr>
              <w:t>1,800</w:t>
            </w:r>
          </w:p>
        </w:tc>
        <w:tc>
          <w:tcPr>
            <w:tcW w:w="1136" w:type="dxa"/>
          </w:tcPr>
          <w:p w:rsidRPr="005C0718" w:rsidR="00B54C3E" w:rsidP="005C0718" w:rsidRDefault="00B54C3E" w14:paraId="6C79799B" w14:textId="77777777">
            <w:pPr>
              <w:spacing w:line="259" w:lineRule="auto"/>
              <w:jc w:val="center"/>
              <w:rPr>
                <w:rFonts w:eastAsia="Calibri"/>
                <w:color w:val="000000"/>
              </w:rPr>
            </w:pPr>
            <w:r w:rsidRPr="005C0718">
              <w:rPr>
                <w:rFonts w:eastAsia="Calibri"/>
                <w:color w:val="000000"/>
              </w:rPr>
              <w:t>0.5</w:t>
            </w:r>
          </w:p>
        </w:tc>
        <w:tc>
          <w:tcPr>
            <w:tcW w:w="1136" w:type="dxa"/>
          </w:tcPr>
          <w:p w:rsidRPr="005C0718" w:rsidR="00B54C3E" w:rsidP="005C0718" w:rsidRDefault="00B54C3E" w14:paraId="0B3B1AD6" w14:textId="77777777">
            <w:pPr>
              <w:spacing w:line="259" w:lineRule="auto"/>
              <w:jc w:val="center"/>
              <w:rPr>
                <w:rFonts w:eastAsia="Calibri"/>
                <w:color w:val="000000"/>
              </w:rPr>
            </w:pPr>
            <w:r w:rsidRPr="005C0718">
              <w:rPr>
                <w:rFonts w:eastAsia="Calibri"/>
                <w:color w:val="000000"/>
              </w:rPr>
              <w:t>$27.07</w:t>
            </w:r>
          </w:p>
        </w:tc>
        <w:tc>
          <w:tcPr>
            <w:tcW w:w="1002" w:type="dxa"/>
            <w:shd w:val="clear" w:color="auto" w:fill="auto"/>
            <w:noWrap/>
            <w:vAlign w:val="center"/>
          </w:tcPr>
          <w:p w:rsidRPr="005C0718" w:rsidR="00B54C3E" w:rsidP="005C0718" w:rsidRDefault="00B54C3E" w14:paraId="75812A07" w14:textId="77777777">
            <w:pPr>
              <w:spacing w:line="259" w:lineRule="auto"/>
              <w:jc w:val="center"/>
              <w:rPr>
                <w:rFonts w:eastAsia="Calibri"/>
                <w:color w:val="000000"/>
              </w:rPr>
            </w:pPr>
            <w:r w:rsidRPr="005C0718">
              <w:rPr>
                <w:rFonts w:eastAsia="Calibri"/>
                <w:color w:val="000000"/>
              </w:rPr>
              <w:t>900</w:t>
            </w:r>
          </w:p>
        </w:tc>
        <w:tc>
          <w:tcPr>
            <w:tcW w:w="1545" w:type="dxa"/>
            <w:shd w:val="clear" w:color="auto" w:fill="auto"/>
            <w:noWrap/>
            <w:vAlign w:val="center"/>
          </w:tcPr>
          <w:p w:rsidRPr="005C0718" w:rsidR="00B54C3E" w:rsidP="005C0718" w:rsidRDefault="00B54C3E" w14:paraId="773647C6" w14:textId="77777777">
            <w:pPr>
              <w:spacing w:line="259" w:lineRule="auto"/>
              <w:jc w:val="center"/>
              <w:rPr>
                <w:rFonts w:eastAsia="Calibri"/>
                <w:color w:val="000000"/>
              </w:rPr>
            </w:pPr>
            <w:r w:rsidRPr="005C0718">
              <w:rPr>
                <w:rFonts w:eastAsia="Calibri"/>
                <w:color w:val="000000"/>
              </w:rPr>
              <w:t>$48,726</w:t>
            </w:r>
          </w:p>
        </w:tc>
      </w:tr>
    </w:tbl>
    <w:p w:rsidRPr="005C0718" w:rsidR="00B54C3E" w:rsidP="005C0718" w:rsidRDefault="00B54C3E" w14:paraId="738DABD2" w14:textId="77777777">
      <w:pPr>
        <w:adjustRightInd w:val="0"/>
        <w:ind w:left="552"/>
        <w:rPr>
          <w:sz w:val="24"/>
          <w:szCs w:val="24"/>
        </w:rPr>
      </w:pPr>
    </w:p>
    <w:p w:rsidRPr="005C0718" w:rsidR="00B54C3E" w:rsidP="005C0718" w:rsidRDefault="00B54C3E" w14:paraId="1D058E34" w14:textId="1254ED95">
      <w:pPr>
        <w:adjustRightInd w:val="0"/>
        <w:rPr>
          <w:sz w:val="24"/>
          <w:szCs w:val="24"/>
        </w:rPr>
      </w:pPr>
    </w:p>
    <w:p w:rsidRPr="005C0718" w:rsidR="00497C18" w:rsidP="005C0718" w:rsidRDefault="00497C18" w14:paraId="42305C88" w14:textId="545A9B1B">
      <w:pPr>
        <w:adjustRightInd w:val="0"/>
        <w:rPr>
          <w:sz w:val="24"/>
          <w:szCs w:val="24"/>
        </w:rPr>
      </w:pPr>
    </w:p>
    <w:p w:rsidRPr="005C0718" w:rsidR="00497C18" w:rsidP="005C0718" w:rsidRDefault="00497C18" w14:paraId="4529F460" w14:textId="77777777">
      <w:pPr>
        <w:pStyle w:val="BodyText"/>
        <w:spacing w:before="90"/>
      </w:pPr>
      <w:r w:rsidRPr="005C0718">
        <w:lastRenderedPageBreak/>
        <w:t>_________________</w:t>
      </w:r>
    </w:p>
    <w:p w:rsidRPr="005C0718" w:rsidR="00497C18" w:rsidP="005C0718" w:rsidRDefault="00497C18" w14:paraId="7590E907" w14:textId="2BDC37AD">
      <w:pPr>
        <w:pStyle w:val="BodyText"/>
        <w:spacing w:before="90"/>
        <w:sectPr w:rsidRPr="005C0718" w:rsidR="00497C18">
          <w:pgSz w:w="12240" w:h="15840"/>
          <w:pgMar w:top="1360" w:right="1320" w:bottom="1080" w:left="1320" w:header="0" w:footer="889" w:gutter="0"/>
          <w:cols w:space="720"/>
        </w:sectPr>
      </w:pPr>
      <w:r w:rsidRPr="005C0718">
        <w:rPr>
          <w:rStyle w:val="FootnoteReference"/>
        </w:rPr>
        <w:t>6</w:t>
      </w:r>
      <w:r w:rsidRPr="005C0718">
        <w:t xml:space="preserve"> </w:t>
      </w:r>
      <w:r w:rsidRPr="005C0718">
        <w:rPr>
          <w:sz w:val="18"/>
          <w:szCs w:val="18"/>
        </w:rPr>
        <w:t>We use the average wage rate for all occupations.</w:t>
      </w:r>
    </w:p>
    <w:p w:rsidRPr="005C0718" w:rsidR="00497C18" w:rsidP="005C0718" w:rsidRDefault="00497C18" w14:paraId="6336B77C" w14:textId="77777777">
      <w:pPr>
        <w:adjustRightInd w:val="0"/>
        <w:rPr>
          <w:sz w:val="24"/>
          <w:szCs w:val="24"/>
        </w:rPr>
      </w:pPr>
    </w:p>
    <w:p w:rsidRPr="005C0718" w:rsidR="00B54C3E" w:rsidP="005C0718" w:rsidRDefault="00B54C3E" w14:paraId="792D1E8E" w14:textId="77777777">
      <w:pPr>
        <w:pStyle w:val="ListParagraph"/>
        <w:numPr>
          <w:ilvl w:val="0"/>
          <w:numId w:val="1"/>
        </w:numPr>
        <w:tabs>
          <w:tab w:val="left" w:pos="552"/>
        </w:tabs>
        <w:rPr>
          <w:sz w:val="24"/>
        </w:rPr>
      </w:pPr>
      <w:r w:rsidRPr="005C0718">
        <w:rPr>
          <w:sz w:val="24"/>
          <w:u w:val="single"/>
        </w:rPr>
        <w:t>Cost to Federal</w:t>
      </w:r>
      <w:r w:rsidRPr="005C0718">
        <w:rPr>
          <w:spacing w:val="-1"/>
          <w:sz w:val="24"/>
          <w:u w:val="single"/>
        </w:rPr>
        <w:t xml:space="preserve"> </w:t>
      </w:r>
      <w:r w:rsidRPr="005C0718">
        <w:rPr>
          <w:sz w:val="24"/>
          <w:u w:val="single"/>
        </w:rPr>
        <w:t>Government</w:t>
      </w:r>
    </w:p>
    <w:p w:rsidRPr="005C0718" w:rsidR="00B54C3E" w:rsidP="005C0718" w:rsidRDefault="00B54C3E" w14:paraId="52FA1A3B" w14:textId="77777777">
      <w:pPr>
        <w:pStyle w:val="BodyText"/>
        <w:spacing w:before="2"/>
        <w:rPr>
          <w:sz w:val="16"/>
        </w:rPr>
      </w:pPr>
    </w:p>
    <w:p w:rsidRPr="005C0718" w:rsidR="00B54C3E" w:rsidP="005C0718" w:rsidRDefault="00B54C3E" w14:paraId="5FCD31F5" w14:textId="77777777">
      <w:pPr>
        <w:pStyle w:val="BodyText"/>
        <w:ind w:left="552"/>
      </w:pPr>
      <w:r w:rsidRPr="005C0718">
        <w:t>Costs to the federal government to build a system to receive complaints, and expand existing systems, estimated to be one-time costs of approximately $17.2 million in 2021; and ongoing costs to process complaints, estimated to be approximately $10.2 million in 2022, $10.4 million in 2023 and $10.6 million in 2024 and subsequent years.</w:t>
      </w:r>
    </w:p>
    <w:p w:rsidRPr="005C0718" w:rsidR="00B54C3E" w:rsidP="005C0718" w:rsidRDefault="00B54C3E" w14:paraId="5E026CC1" w14:textId="77777777">
      <w:pPr>
        <w:pStyle w:val="BodyText"/>
        <w:ind w:left="552"/>
      </w:pPr>
    </w:p>
    <w:p w:rsidRPr="005C0718" w:rsidR="00B54C3E" w:rsidP="005C0718" w:rsidRDefault="00B54C3E" w14:paraId="1E12FF68" w14:textId="77777777">
      <w:pPr>
        <w:pStyle w:val="ListParagraph"/>
        <w:numPr>
          <w:ilvl w:val="0"/>
          <w:numId w:val="1"/>
        </w:numPr>
        <w:tabs>
          <w:tab w:val="left" w:pos="552"/>
        </w:tabs>
        <w:rPr>
          <w:sz w:val="24"/>
        </w:rPr>
      </w:pPr>
      <w:r w:rsidRPr="005C0718">
        <w:rPr>
          <w:sz w:val="24"/>
          <w:u w:val="single"/>
        </w:rPr>
        <w:t>Changes to</w:t>
      </w:r>
      <w:r w:rsidRPr="005C0718">
        <w:rPr>
          <w:spacing w:val="1"/>
          <w:sz w:val="24"/>
          <w:u w:val="single"/>
        </w:rPr>
        <w:t xml:space="preserve"> </w:t>
      </w:r>
      <w:r w:rsidRPr="005C0718">
        <w:rPr>
          <w:sz w:val="24"/>
          <w:u w:val="single"/>
        </w:rPr>
        <w:t>Burden</w:t>
      </w:r>
    </w:p>
    <w:p w:rsidRPr="005C0718" w:rsidR="00B54C3E" w:rsidP="005C0718" w:rsidRDefault="00B54C3E" w14:paraId="59DD03B5" w14:textId="77777777">
      <w:pPr>
        <w:pStyle w:val="BodyText"/>
        <w:spacing w:before="2"/>
        <w:rPr>
          <w:sz w:val="16"/>
        </w:rPr>
      </w:pPr>
    </w:p>
    <w:p w:rsidRPr="005C0718" w:rsidR="007A1FD2" w:rsidP="005C0718" w:rsidRDefault="007A1FD2" w14:paraId="2E246C0B" w14:textId="77777777">
      <w:pPr>
        <w:ind w:left="427" w:right="3" w:firstLine="125"/>
        <w:rPr>
          <w:sz w:val="24"/>
          <w:szCs w:val="24"/>
        </w:rPr>
      </w:pPr>
      <w:r w:rsidRPr="005C0718">
        <w:rPr>
          <w:sz w:val="24"/>
          <w:szCs w:val="24"/>
        </w:rPr>
        <w:t xml:space="preserve">This is a new collection of information. </w:t>
      </w:r>
    </w:p>
    <w:p w:rsidRPr="005C0718" w:rsidR="007A1FD2" w:rsidP="005C0718" w:rsidRDefault="007A1FD2" w14:paraId="4651B970" w14:textId="77777777">
      <w:pPr>
        <w:ind w:left="427" w:right="3"/>
        <w:rPr>
          <w:sz w:val="24"/>
          <w:szCs w:val="24"/>
        </w:rPr>
      </w:pPr>
    </w:p>
    <w:p w:rsidRPr="005C0718" w:rsidR="007A1FD2" w:rsidP="005C0718" w:rsidRDefault="007A1FD2" w14:paraId="4843D68D" w14:textId="391B1679">
      <w:pPr>
        <w:ind w:left="552" w:right="3"/>
        <w:rPr>
          <w:sz w:val="24"/>
          <w:szCs w:val="24"/>
        </w:rPr>
      </w:pPr>
      <w:r w:rsidRPr="005C0718">
        <w:rPr>
          <w:sz w:val="24"/>
          <w:szCs w:val="24"/>
        </w:rPr>
        <w:t xml:space="preserve">Table </w:t>
      </w:r>
      <w:r w:rsidRPr="005C0718" w:rsidR="00767371">
        <w:rPr>
          <w:sz w:val="24"/>
          <w:szCs w:val="24"/>
        </w:rPr>
        <w:t xml:space="preserve">2 </w:t>
      </w:r>
      <w:r w:rsidRPr="005C0718">
        <w:rPr>
          <w:sz w:val="24"/>
          <w:szCs w:val="24"/>
        </w:rPr>
        <w:t>includes a summary of the burden related to the ICR and the burden accounted for by each Department.</w:t>
      </w:r>
    </w:p>
    <w:p w:rsidRPr="005C0718" w:rsidR="007A1FD2" w:rsidP="005C0718" w:rsidRDefault="007A1FD2" w14:paraId="6D8AC965" w14:textId="77777777">
      <w:pPr>
        <w:ind w:left="427" w:right="3"/>
      </w:pPr>
    </w:p>
    <w:p w:rsidRPr="005C0718" w:rsidR="007A1FD2" w:rsidP="005C0718" w:rsidRDefault="007A1FD2" w14:paraId="005D104C" w14:textId="5F39F9A5">
      <w:pPr>
        <w:pStyle w:val="Heading3"/>
        <w:ind w:firstLine="110"/>
        <w:rPr>
          <w:rFonts w:ascii="Times New Roman" w:hAnsi="Times New Roman" w:cs="Times New Roman"/>
          <w:b/>
          <w:color w:val="auto"/>
        </w:rPr>
      </w:pPr>
      <w:r w:rsidRPr="005C0718">
        <w:rPr>
          <w:rFonts w:ascii="Times New Roman" w:hAnsi="Times New Roman" w:cs="Times New Roman"/>
          <w:b/>
          <w:color w:val="auto"/>
        </w:rPr>
        <w:t xml:space="preserve">TABLE </w:t>
      </w:r>
      <w:r w:rsidRPr="005C0718" w:rsidR="00767371">
        <w:rPr>
          <w:rFonts w:ascii="Times New Roman" w:hAnsi="Times New Roman" w:cs="Times New Roman"/>
          <w:b/>
          <w:color w:val="auto"/>
        </w:rPr>
        <w:t>2</w:t>
      </w:r>
      <w:r w:rsidRPr="005C0718">
        <w:rPr>
          <w:rFonts w:ascii="Times New Roman" w:hAnsi="Times New Roman" w:cs="Times New Roman"/>
          <w:b/>
          <w:color w:val="auto"/>
        </w:rPr>
        <w:t>: Summary of Annual Burden Estimates</w:t>
      </w:r>
    </w:p>
    <w:p w:rsidRPr="005C0718" w:rsidR="007A1FD2" w:rsidP="005C0718" w:rsidRDefault="007A1FD2" w14:paraId="0D46D69B" w14:textId="77777777">
      <w:pPr>
        <w:spacing w:line="259" w:lineRule="auto"/>
      </w:pPr>
      <w:r w:rsidRPr="005C0718">
        <w:t xml:space="preserve"> </w:t>
      </w:r>
    </w:p>
    <w:tbl>
      <w:tblPr>
        <w:tblW w:w="9355" w:type="dxa"/>
        <w:jc w:val="center"/>
        <w:tblLook w:val="04A0" w:firstRow="1" w:lastRow="0" w:firstColumn="1" w:lastColumn="0" w:noHBand="0" w:noVBand="1"/>
      </w:tblPr>
      <w:tblGrid>
        <w:gridCol w:w="2245"/>
        <w:gridCol w:w="2929"/>
        <w:gridCol w:w="1026"/>
        <w:gridCol w:w="1265"/>
        <w:gridCol w:w="1890"/>
      </w:tblGrid>
      <w:tr w:rsidRPr="005C0718" w:rsidR="007A1FD2" w:rsidTr="00504151" w14:paraId="0DF7758B" w14:textId="77777777">
        <w:trPr>
          <w:trHeight w:val="1040"/>
          <w:tblHeader/>
          <w:jc w:val="center"/>
        </w:trPr>
        <w:tc>
          <w:tcPr>
            <w:tcW w:w="224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5C0718" w:rsidR="007A1FD2" w:rsidP="005C0718" w:rsidRDefault="007A1FD2" w14:paraId="71A3A51D" w14:textId="77777777">
            <w:pPr>
              <w:jc w:val="center"/>
              <w:rPr>
                <w:sz w:val="18"/>
                <w:szCs w:val="18"/>
              </w:rPr>
            </w:pPr>
            <w:r w:rsidRPr="005C0718">
              <w:rPr>
                <w:sz w:val="18"/>
                <w:szCs w:val="18"/>
              </w:rPr>
              <w:t>Regulation Section</w:t>
            </w:r>
          </w:p>
        </w:tc>
        <w:tc>
          <w:tcPr>
            <w:tcW w:w="2929" w:type="dxa"/>
            <w:tcBorders>
              <w:top w:val="single" w:color="auto" w:sz="4" w:space="0"/>
              <w:left w:val="nil"/>
              <w:bottom w:val="single" w:color="auto" w:sz="4" w:space="0"/>
              <w:right w:val="single" w:color="auto" w:sz="4" w:space="0"/>
            </w:tcBorders>
            <w:shd w:val="clear" w:color="auto" w:fill="auto"/>
            <w:vAlign w:val="center"/>
            <w:hideMark/>
          </w:tcPr>
          <w:p w:rsidRPr="005C0718" w:rsidR="007A1FD2" w:rsidP="005C0718" w:rsidRDefault="007A1FD2" w14:paraId="2E024994" w14:textId="77777777">
            <w:pPr>
              <w:ind w:left="10"/>
              <w:jc w:val="center"/>
              <w:rPr>
                <w:sz w:val="18"/>
                <w:szCs w:val="18"/>
              </w:rPr>
            </w:pPr>
            <w:r w:rsidRPr="005C0718">
              <w:rPr>
                <w:sz w:val="18"/>
                <w:szCs w:val="18"/>
              </w:rPr>
              <w:t>ICR Title</w:t>
            </w:r>
          </w:p>
        </w:tc>
        <w:tc>
          <w:tcPr>
            <w:tcW w:w="1026" w:type="dxa"/>
            <w:tcBorders>
              <w:top w:val="single" w:color="auto" w:sz="4" w:space="0"/>
              <w:left w:val="nil"/>
              <w:bottom w:val="single" w:color="auto" w:sz="4" w:space="0"/>
              <w:right w:val="single" w:color="auto" w:sz="4" w:space="0"/>
            </w:tcBorders>
            <w:shd w:val="clear" w:color="auto" w:fill="auto"/>
            <w:vAlign w:val="center"/>
            <w:hideMark/>
          </w:tcPr>
          <w:p w:rsidRPr="005C0718" w:rsidR="007A1FD2" w:rsidP="005C0718" w:rsidRDefault="007A1FD2" w14:paraId="28CD8DA8" w14:textId="77777777">
            <w:pPr>
              <w:jc w:val="center"/>
              <w:rPr>
                <w:sz w:val="18"/>
                <w:szCs w:val="18"/>
              </w:rPr>
            </w:pPr>
            <w:r w:rsidRPr="005C0718">
              <w:rPr>
                <w:sz w:val="18"/>
                <w:szCs w:val="18"/>
              </w:rPr>
              <w:t>Model Instrument</w:t>
            </w:r>
          </w:p>
        </w:tc>
        <w:tc>
          <w:tcPr>
            <w:tcW w:w="1265" w:type="dxa"/>
            <w:tcBorders>
              <w:top w:val="single" w:color="auto" w:sz="4" w:space="0"/>
              <w:left w:val="nil"/>
              <w:bottom w:val="single" w:color="auto" w:sz="4" w:space="0"/>
              <w:right w:val="single" w:color="auto" w:sz="4" w:space="0"/>
            </w:tcBorders>
            <w:shd w:val="clear" w:color="auto" w:fill="auto"/>
            <w:vAlign w:val="center"/>
            <w:hideMark/>
          </w:tcPr>
          <w:p w:rsidRPr="005C0718" w:rsidR="007A1FD2" w:rsidP="005C0718" w:rsidRDefault="007A1FD2" w14:paraId="70C0262B" w14:textId="77777777">
            <w:pPr>
              <w:ind w:left="10"/>
              <w:jc w:val="center"/>
              <w:rPr>
                <w:sz w:val="18"/>
                <w:szCs w:val="18"/>
              </w:rPr>
            </w:pPr>
            <w:r w:rsidRPr="005C0718">
              <w:rPr>
                <w:sz w:val="18"/>
                <w:szCs w:val="18"/>
              </w:rPr>
              <w:t>Percentage of Shared Burden</w:t>
            </w:r>
          </w:p>
        </w:tc>
        <w:tc>
          <w:tcPr>
            <w:tcW w:w="1890" w:type="dxa"/>
            <w:tcBorders>
              <w:top w:val="single" w:color="auto" w:sz="4" w:space="0"/>
              <w:left w:val="nil"/>
              <w:bottom w:val="single" w:color="auto" w:sz="4" w:space="0"/>
              <w:right w:val="single" w:color="auto" w:sz="4" w:space="0"/>
            </w:tcBorders>
            <w:shd w:val="clear" w:color="auto" w:fill="auto"/>
            <w:vAlign w:val="center"/>
          </w:tcPr>
          <w:p w:rsidRPr="005C0718" w:rsidR="007A1FD2" w:rsidP="005C0718" w:rsidRDefault="007A1FD2" w14:paraId="16852C0C" w14:textId="77777777">
            <w:pPr>
              <w:ind w:left="10"/>
              <w:jc w:val="center"/>
              <w:rPr>
                <w:sz w:val="18"/>
                <w:szCs w:val="18"/>
              </w:rPr>
            </w:pPr>
            <w:r w:rsidRPr="005C0718">
              <w:rPr>
                <w:sz w:val="18"/>
                <w:szCs w:val="18"/>
              </w:rPr>
              <w:t>Shared Burden Hours</w:t>
            </w:r>
          </w:p>
        </w:tc>
      </w:tr>
      <w:tr w:rsidRPr="005C0718" w:rsidR="007A1FD2" w:rsidTr="00504151" w14:paraId="6E4E45FF" w14:textId="77777777">
        <w:trPr>
          <w:trHeight w:val="290"/>
          <w:jc w:val="center"/>
        </w:trPr>
        <w:tc>
          <w:tcPr>
            <w:tcW w:w="2245" w:type="dxa"/>
            <w:tcBorders>
              <w:top w:val="nil"/>
              <w:left w:val="single" w:color="auto" w:sz="4" w:space="0"/>
              <w:bottom w:val="single" w:color="auto" w:sz="4" w:space="0"/>
              <w:right w:val="single" w:color="auto" w:sz="4" w:space="0"/>
            </w:tcBorders>
            <w:shd w:val="clear" w:color="auto" w:fill="auto"/>
            <w:vAlign w:val="center"/>
            <w:hideMark/>
          </w:tcPr>
          <w:p w:rsidRPr="005C0718" w:rsidR="007A1FD2" w:rsidP="005C0718" w:rsidRDefault="007A1FD2" w14:paraId="69651D46" w14:textId="4F5B2306">
            <w:pPr>
              <w:ind w:left="10"/>
              <w:rPr>
                <w:sz w:val="18"/>
                <w:szCs w:val="18"/>
              </w:rPr>
            </w:pPr>
            <w:r w:rsidRPr="005C0718">
              <w:rPr>
                <w:sz w:val="18"/>
                <w:szCs w:val="18"/>
              </w:rPr>
              <w:t>45 CFR 149.150, 45 CFR</w:t>
            </w:r>
            <w:r w:rsidRPr="005C0718" w:rsidR="003B3DF1">
              <w:rPr>
                <w:sz w:val="18"/>
                <w:szCs w:val="18"/>
              </w:rPr>
              <w:t xml:space="preserve"> 149.450</w:t>
            </w:r>
          </w:p>
        </w:tc>
        <w:tc>
          <w:tcPr>
            <w:tcW w:w="2929" w:type="dxa"/>
            <w:tcBorders>
              <w:top w:val="nil"/>
              <w:left w:val="nil"/>
              <w:bottom w:val="single" w:color="auto" w:sz="4" w:space="0"/>
              <w:right w:val="single" w:color="auto" w:sz="4" w:space="0"/>
            </w:tcBorders>
            <w:shd w:val="clear" w:color="auto" w:fill="auto"/>
            <w:noWrap/>
            <w:vAlign w:val="center"/>
            <w:hideMark/>
          </w:tcPr>
          <w:p w:rsidRPr="005C0718" w:rsidR="007A1FD2" w:rsidP="005C0718" w:rsidRDefault="003B3DF1" w14:paraId="67210714" w14:textId="5ECC54D7">
            <w:pPr>
              <w:ind w:left="10"/>
              <w:rPr>
                <w:sz w:val="18"/>
                <w:szCs w:val="18"/>
              </w:rPr>
            </w:pPr>
            <w:r w:rsidRPr="005C0718">
              <w:rPr>
                <w:sz w:val="18"/>
                <w:szCs w:val="18"/>
              </w:rPr>
              <w:t>Complaints Process for Surprise Medical Bills</w:t>
            </w:r>
          </w:p>
        </w:tc>
        <w:tc>
          <w:tcPr>
            <w:tcW w:w="1026" w:type="dxa"/>
            <w:tcBorders>
              <w:top w:val="nil"/>
              <w:left w:val="nil"/>
              <w:bottom w:val="single" w:color="auto" w:sz="4" w:space="0"/>
              <w:right w:val="single" w:color="auto" w:sz="4" w:space="0"/>
            </w:tcBorders>
            <w:shd w:val="clear" w:color="auto" w:fill="auto"/>
            <w:noWrap/>
            <w:vAlign w:val="center"/>
          </w:tcPr>
          <w:p w:rsidRPr="005C0718" w:rsidR="007A1FD2" w:rsidP="005C0718" w:rsidRDefault="005C0718" w14:paraId="791985BF" w14:textId="4E2B190A">
            <w:pPr>
              <w:ind w:left="10"/>
              <w:jc w:val="center"/>
              <w:rPr>
                <w:sz w:val="18"/>
                <w:szCs w:val="18"/>
              </w:rPr>
            </w:pPr>
            <w:r w:rsidRPr="005C0718">
              <w:rPr>
                <w:sz w:val="18"/>
                <w:szCs w:val="18"/>
              </w:rPr>
              <w:t>No</w:t>
            </w:r>
            <w:r w:rsidRPr="005C0718">
              <w:rPr>
                <w:sz w:val="18"/>
                <w:szCs w:val="18"/>
                <w:vertAlign w:val="superscript"/>
              </w:rPr>
              <w:t>†</w:t>
            </w:r>
          </w:p>
        </w:tc>
        <w:tc>
          <w:tcPr>
            <w:tcW w:w="1265" w:type="dxa"/>
            <w:tcBorders>
              <w:top w:val="nil"/>
              <w:left w:val="nil"/>
              <w:bottom w:val="single" w:color="auto" w:sz="4" w:space="0"/>
              <w:right w:val="single" w:color="auto" w:sz="4" w:space="0"/>
            </w:tcBorders>
            <w:shd w:val="clear" w:color="auto" w:fill="auto"/>
            <w:noWrap/>
            <w:vAlign w:val="center"/>
          </w:tcPr>
          <w:p w:rsidRPr="005C0718" w:rsidR="003B3DF1" w:rsidP="005C0718" w:rsidRDefault="00767371" w14:paraId="1719DF29" w14:textId="666C7643">
            <w:pPr>
              <w:rPr>
                <w:sz w:val="18"/>
                <w:szCs w:val="18"/>
              </w:rPr>
            </w:pPr>
            <w:r w:rsidRPr="005C0718">
              <w:rPr>
                <w:sz w:val="18"/>
                <w:szCs w:val="18"/>
              </w:rPr>
              <w:t xml:space="preserve">HHS </w:t>
            </w:r>
            <w:r w:rsidRPr="005C0718" w:rsidR="003B3DF1">
              <w:rPr>
                <w:sz w:val="18"/>
                <w:szCs w:val="18"/>
              </w:rPr>
              <w:t>- 50;</w:t>
            </w:r>
          </w:p>
          <w:p w:rsidRPr="005C0718" w:rsidR="007A1FD2" w:rsidP="005C0718" w:rsidRDefault="003B3DF1" w14:paraId="3DE0AAC0" w14:textId="6A01DC2D">
            <w:pPr>
              <w:ind w:left="10"/>
              <w:rPr>
                <w:sz w:val="18"/>
                <w:szCs w:val="18"/>
              </w:rPr>
            </w:pPr>
            <w:r w:rsidRPr="005C0718">
              <w:rPr>
                <w:sz w:val="18"/>
                <w:szCs w:val="18"/>
              </w:rPr>
              <w:t xml:space="preserve">DOL </w:t>
            </w:r>
            <w:r w:rsidRPr="005C0718" w:rsidR="00767371">
              <w:rPr>
                <w:sz w:val="18"/>
                <w:szCs w:val="18"/>
              </w:rPr>
              <w:t>–</w:t>
            </w:r>
            <w:r w:rsidRPr="005C0718">
              <w:rPr>
                <w:sz w:val="18"/>
                <w:szCs w:val="18"/>
              </w:rPr>
              <w:t xml:space="preserve"> 25</w:t>
            </w:r>
            <w:r w:rsidRPr="005C0718" w:rsidR="00E16866">
              <w:rPr>
                <w:sz w:val="18"/>
                <w:szCs w:val="18"/>
              </w:rPr>
              <w:t>;</w:t>
            </w:r>
          </w:p>
          <w:p w:rsidRPr="005C0718" w:rsidR="00767371" w:rsidP="005C0718" w:rsidRDefault="00767371" w14:paraId="18FDD30B" w14:textId="439D1F6B">
            <w:pPr>
              <w:ind w:left="10"/>
              <w:rPr>
                <w:sz w:val="18"/>
                <w:szCs w:val="18"/>
              </w:rPr>
            </w:pPr>
            <w:r w:rsidRPr="005C0718">
              <w:rPr>
                <w:sz w:val="18"/>
                <w:szCs w:val="18"/>
              </w:rPr>
              <w:t xml:space="preserve">Department </w:t>
            </w:r>
            <w:r w:rsidRPr="005C0718" w:rsidR="00EE2EDE">
              <w:rPr>
                <w:sz w:val="18"/>
                <w:szCs w:val="18"/>
              </w:rPr>
              <w:t xml:space="preserve">of Treasury </w:t>
            </w:r>
            <w:r w:rsidRPr="005C0718">
              <w:rPr>
                <w:sz w:val="18"/>
                <w:szCs w:val="18"/>
              </w:rPr>
              <w:t>-25</w:t>
            </w:r>
          </w:p>
        </w:tc>
        <w:tc>
          <w:tcPr>
            <w:tcW w:w="1890" w:type="dxa"/>
            <w:tcBorders>
              <w:top w:val="nil"/>
              <w:left w:val="nil"/>
              <w:bottom w:val="single" w:color="auto" w:sz="4" w:space="0"/>
              <w:right w:val="single" w:color="auto" w:sz="4" w:space="0"/>
            </w:tcBorders>
            <w:shd w:val="clear" w:color="auto" w:fill="auto"/>
            <w:noWrap/>
            <w:vAlign w:val="center"/>
          </w:tcPr>
          <w:p w:rsidRPr="005C0718" w:rsidR="007A1FD2" w:rsidP="005C0718" w:rsidRDefault="00767371" w14:paraId="0CB09B9B" w14:textId="58D95425">
            <w:pPr>
              <w:ind w:left="30"/>
              <w:rPr>
                <w:sz w:val="18"/>
                <w:szCs w:val="18"/>
              </w:rPr>
            </w:pPr>
            <w:r w:rsidRPr="005C0718">
              <w:rPr>
                <w:sz w:val="18"/>
                <w:szCs w:val="18"/>
              </w:rPr>
              <w:t xml:space="preserve">HHS- </w:t>
            </w:r>
            <w:r w:rsidRPr="005C0718" w:rsidR="003B3DF1">
              <w:rPr>
                <w:sz w:val="18"/>
                <w:szCs w:val="18"/>
              </w:rPr>
              <w:t>900; DOL – 450</w:t>
            </w:r>
            <w:r w:rsidRPr="005C0718">
              <w:rPr>
                <w:sz w:val="18"/>
                <w:szCs w:val="18"/>
              </w:rPr>
              <w:t xml:space="preserve">; Department </w:t>
            </w:r>
            <w:r w:rsidRPr="005C0718" w:rsidR="00EE2EDE">
              <w:rPr>
                <w:sz w:val="18"/>
                <w:szCs w:val="18"/>
              </w:rPr>
              <w:t>of Treasury</w:t>
            </w:r>
            <w:r w:rsidRPr="005C0718">
              <w:rPr>
                <w:sz w:val="18"/>
                <w:szCs w:val="18"/>
              </w:rPr>
              <w:t>– 450.</w:t>
            </w:r>
          </w:p>
        </w:tc>
      </w:tr>
    </w:tbl>
    <w:p w:rsidRPr="005C0718" w:rsidR="005C0718" w:rsidP="005C0718" w:rsidRDefault="005C0718" w14:paraId="47C01A58" w14:textId="6C42A9B4">
      <w:pPr>
        <w:tabs>
          <w:tab w:val="left" w:pos="3252"/>
        </w:tabs>
        <w:rPr>
          <w:spacing w:val="2"/>
          <w:sz w:val="18"/>
          <w:szCs w:val="18"/>
        </w:rPr>
      </w:pPr>
      <w:r w:rsidRPr="005C0718">
        <w:rPr>
          <w:sz w:val="18"/>
          <w:szCs w:val="18"/>
        </w:rPr>
        <w:t>† - The model instrument will be included in the 60-day package.</w:t>
      </w:r>
    </w:p>
    <w:p w:rsidRPr="005C0718" w:rsidR="00B54C3E" w:rsidP="005C0718" w:rsidRDefault="00B54C3E" w14:paraId="620C3E78" w14:textId="77777777">
      <w:pPr>
        <w:pStyle w:val="BodyText"/>
        <w:spacing w:before="90"/>
        <w:ind w:left="551"/>
      </w:pPr>
    </w:p>
    <w:p w:rsidRPr="005C0718" w:rsidR="00B54C3E" w:rsidP="005C0718" w:rsidRDefault="00B54C3E" w14:paraId="0AC5785C" w14:textId="77777777">
      <w:pPr>
        <w:pStyle w:val="ListParagraph"/>
        <w:numPr>
          <w:ilvl w:val="0"/>
          <w:numId w:val="1"/>
        </w:numPr>
        <w:tabs>
          <w:tab w:val="left" w:pos="552"/>
        </w:tabs>
        <w:spacing w:before="74"/>
        <w:rPr>
          <w:sz w:val="24"/>
        </w:rPr>
      </w:pPr>
      <w:r w:rsidRPr="005C0718">
        <w:rPr>
          <w:sz w:val="24"/>
          <w:u w:val="single"/>
        </w:rPr>
        <w:t>Publication/Tabulation</w:t>
      </w:r>
      <w:r w:rsidRPr="005C0718">
        <w:rPr>
          <w:spacing w:val="-1"/>
          <w:sz w:val="24"/>
          <w:u w:val="single"/>
        </w:rPr>
        <w:t xml:space="preserve"> </w:t>
      </w:r>
      <w:r w:rsidRPr="005C0718">
        <w:rPr>
          <w:sz w:val="24"/>
          <w:u w:val="single"/>
        </w:rPr>
        <w:t>Dates</w:t>
      </w:r>
    </w:p>
    <w:p w:rsidRPr="005C0718" w:rsidR="00B54C3E" w:rsidP="005C0718" w:rsidRDefault="00B54C3E" w14:paraId="54A71113" w14:textId="77777777">
      <w:pPr>
        <w:pStyle w:val="BodyText"/>
        <w:spacing w:before="2"/>
        <w:rPr>
          <w:sz w:val="16"/>
        </w:rPr>
      </w:pPr>
    </w:p>
    <w:p w:rsidRPr="005C0718" w:rsidR="00B54C3E" w:rsidP="005C0718" w:rsidRDefault="00B54C3E" w14:paraId="2846F3D3" w14:textId="77777777">
      <w:pPr>
        <w:pStyle w:val="BodyText"/>
        <w:spacing w:before="90"/>
        <w:ind w:left="551"/>
      </w:pPr>
      <w:r w:rsidRPr="005C0718">
        <w:t>CMS is not required to publish reports.</w:t>
      </w:r>
    </w:p>
    <w:p w:rsidRPr="005C0718" w:rsidR="00B54C3E" w:rsidP="005C0718" w:rsidRDefault="00B54C3E" w14:paraId="4504AB09" w14:textId="77777777">
      <w:pPr>
        <w:pStyle w:val="BodyText"/>
      </w:pPr>
    </w:p>
    <w:p w:rsidRPr="005C0718" w:rsidR="00B54C3E" w:rsidP="005C0718" w:rsidRDefault="00B54C3E" w14:paraId="5F2259C0" w14:textId="77777777">
      <w:pPr>
        <w:pStyle w:val="ListParagraph"/>
        <w:numPr>
          <w:ilvl w:val="0"/>
          <w:numId w:val="1"/>
        </w:numPr>
        <w:tabs>
          <w:tab w:val="left" w:pos="552"/>
        </w:tabs>
        <w:rPr>
          <w:sz w:val="24"/>
        </w:rPr>
      </w:pPr>
      <w:r w:rsidRPr="005C0718">
        <w:rPr>
          <w:sz w:val="24"/>
          <w:u w:val="single"/>
        </w:rPr>
        <w:t>Expiration</w:t>
      </w:r>
      <w:r w:rsidRPr="005C0718">
        <w:rPr>
          <w:spacing w:val="-1"/>
          <w:sz w:val="24"/>
          <w:u w:val="single"/>
        </w:rPr>
        <w:t xml:space="preserve"> </w:t>
      </w:r>
      <w:r w:rsidRPr="005C0718">
        <w:rPr>
          <w:sz w:val="24"/>
          <w:u w:val="single"/>
        </w:rPr>
        <w:t>Date</w:t>
      </w:r>
    </w:p>
    <w:p w:rsidRPr="005C0718" w:rsidR="00B54C3E" w:rsidP="005C0718" w:rsidRDefault="00B54C3E" w14:paraId="43DA00A7" w14:textId="77777777">
      <w:pPr>
        <w:pStyle w:val="BodyText"/>
        <w:spacing w:before="2"/>
        <w:rPr>
          <w:sz w:val="16"/>
        </w:rPr>
      </w:pPr>
    </w:p>
    <w:p w:rsidR="00B54C3E" w:rsidP="005C0718" w:rsidRDefault="008A2F7D" w14:paraId="1D57E1B5" w14:textId="76941093">
      <w:pPr>
        <w:pStyle w:val="BodyText"/>
        <w:spacing w:before="90"/>
        <w:ind w:left="551"/>
      </w:pPr>
      <w:r>
        <w:t xml:space="preserve">The expiration date and OMB control is displayed on the associated instrument.  </w:t>
      </w:r>
    </w:p>
    <w:p w:rsidR="00B54C3E" w:rsidP="005C0718" w:rsidRDefault="00B54C3E" w14:paraId="4F7AAAD4" w14:textId="77777777">
      <w:pPr>
        <w:pStyle w:val="BodyText"/>
        <w:spacing w:before="90"/>
        <w:ind w:left="551"/>
      </w:pPr>
    </w:p>
    <w:p w:rsidRPr="00F826A1" w:rsidR="00B54C3E" w:rsidP="005C0718" w:rsidRDefault="00B54C3E" w14:paraId="2FF86B32" w14:textId="77777777">
      <w:pPr>
        <w:pStyle w:val="BodyText"/>
        <w:spacing w:before="6"/>
        <w:rPr>
          <w:sz w:val="15"/>
        </w:rPr>
      </w:pPr>
    </w:p>
    <w:p w:rsidR="00B54C3E" w:rsidP="005C0718" w:rsidRDefault="00B54C3E" w14:paraId="68353162" w14:textId="77777777">
      <w:pPr>
        <w:pStyle w:val="BodyText"/>
        <w:spacing w:before="90"/>
      </w:pPr>
    </w:p>
    <w:p w:rsidR="00B54C3E" w:rsidP="005C0718" w:rsidRDefault="00B54C3E" w14:paraId="5BB45CBC" w14:textId="77777777">
      <w:pPr>
        <w:pStyle w:val="BodyText"/>
        <w:spacing w:before="90"/>
      </w:pPr>
    </w:p>
    <w:p w:rsidR="004D3C10" w:rsidP="005C0718" w:rsidRDefault="006B2721" w14:paraId="246884D7" w14:textId="77777777"/>
    <w:sectPr w:rsidR="004D3C10">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54B87A" w16cid:durableId="24C4AF08"/>
  <w16cid:commentId w16cid:paraId="39ADA670" w16cid:durableId="24C9FA62"/>
  <w16cid:commentId w16cid:paraId="41D616E3" w16cid:durableId="24C4AEC2"/>
  <w16cid:commentId w16cid:paraId="798E794F" w16cid:durableId="24C9FB68"/>
  <w16cid:commentId w16cid:paraId="6769E956" w16cid:durableId="24C4AF2B"/>
  <w16cid:commentId w16cid:paraId="21ADE9E7" w16cid:durableId="24C9FE2C"/>
  <w16cid:commentId w16cid:paraId="3D7B6C9C" w16cid:durableId="24C4AF3B"/>
  <w16cid:commentId w16cid:paraId="114C59E3" w16cid:durableId="24C9FA4C"/>
  <w16cid:commentId w16cid:paraId="4D6EE65D" w16cid:durableId="24C4AF52"/>
  <w16cid:commentId w16cid:paraId="47A7BB6C" w16cid:durableId="24C9FDF9"/>
  <w16cid:commentId w16cid:paraId="57C7AE8C" w16cid:durableId="24C4AF65"/>
  <w16cid:commentId w16cid:paraId="388E7BB2" w16cid:durableId="24C9FE5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1490F"/>
    <w:multiLevelType w:val="hybridMultilevel"/>
    <w:tmpl w:val="344A8B56"/>
    <w:lvl w:ilvl="0" w:tplc="E230DCE4">
      <w:start w:val="14"/>
      <w:numFmt w:val="decimal"/>
      <w:lvlText w:val="%1."/>
      <w:lvlJc w:val="left"/>
      <w:pPr>
        <w:ind w:left="552" w:hanging="432"/>
      </w:pPr>
      <w:rPr>
        <w:rFonts w:ascii="Times New Roman" w:eastAsia="Times New Roman" w:hAnsi="Times New Roman" w:cs="Times New Roman" w:hint="default"/>
        <w:spacing w:val="-2"/>
        <w:w w:val="100"/>
        <w:sz w:val="24"/>
        <w:szCs w:val="24"/>
        <w:lang w:val="en-US" w:eastAsia="en-US" w:bidi="en-US"/>
      </w:rPr>
    </w:lvl>
    <w:lvl w:ilvl="1" w:tplc="95D0D21C">
      <w:numFmt w:val="bullet"/>
      <w:lvlText w:val="•"/>
      <w:lvlJc w:val="left"/>
      <w:pPr>
        <w:ind w:left="1464" w:hanging="432"/>
      </w:pPr>
      <w:rPr>
        <w:rFonts w:hint="default"/>
        <w:lang w:val="en-US" w:eastAsia="en-US" w:bidi="en-US"/>
      </w:rPr>
    </w:lvl>
    <w:lvl w:ilvl="2" w:tplc="00309E4A">
      <w:numFmt w:val="bullet"/>
      <w:lvlText w:val="•"/>
      <w:lvlJc w:val="left"/>
      <w:pPr>
        <w:ind w:left="2368" w:hanging="432"/>
      </w:pPr>
      <w:rPr>
        <w:rFonts w:hint="default"/>
        <w:lang w:val="en-US" w:eastAsia="en-US" w:bidi="en-US"/>
      </w:rPr>
    </w:lvl>
    <w:lvl w:ilvl="3" w:tplc="0B96B6D8">
      <w:numFmt w:val="bullet"/>
      <w:lvlText w:val="•"/>
      <w:lvlJc w:val="left"/>
      <w:pPr>
        <w:ind w:left="3272" w:hanging="432"/>
      </w:pPr>
      <w:rPr>
        <w:rFonts w:hint="default"/>
        <w:lang w:val="en-US" w:eastAsia="en-US" w:bidi="en-US"/>
      </w:rPr>
    </w:lvl>
    <w:lvl w:ilvl="4" w:tplc="F4EE02DE">
      <w:numFmt w:val="bullet"/>
      <w:lvlText w:val="•"/>
      <w:lvlJc w:val="left"/>
      <w:pPr>
        <w:ind w:left="4176" w:hanging="432"/>
      </w:pPr>
      <w:rPr>
        <w:rFonts w:hint="default"/>
        <w:lang w:val="en-US" w:eastAsia="en-US" w:bidi="en-US"/>
      </w:rPr>
    </w:lvl>
    <w:lvl w:ilvl="5" w:tplc="3800AAC4">
      <w:numFmt w:val="bullet"/>
      <w:lvlText w:val="•"/>
      <w:lvlJc w:val="left"/>
      <w:pPr>
        <w:ind w:left="5080" w:hanging="432"/>
      </w:pPr>
      <w:rPr>
        <w:rFonts w:hint="default"/>
        <w:lang w:val="en-US" w:eastAsia="en-US" w:bidi="en-US"/>
      </w:rPr>
    </w:lvl>
    <w:lvl w:ilvl="6" w:tplc="C6D6B05A">
      <w:numFmt w:val="bullet"/>
      <w:lvlText w:val="•"/>
      <w:lvlJc w:val="left"/>
      <w:pPr>
        <w:ind w:left="5984" w:hanging="432"/>
      </w:pPr>
      <w:rPr>
        <w:rFonts w:hint="default"/>
        <w:lang w:val="en-US" w:eastAsia="en-US" w:bidi="en-US"/>
      </w:rPr>
    </w:lvl>
    <w:lvl w:ilvl="7" w:tplc="F7FAED54">
      <w:numFmt w:val="bullet"/>
      <w:lvlText w:val="•"/>
      <w:lvlJc w:val="left"/>
      <w:pPr>
        <w:ind w:left="6888" w:hanging="432"/>
      </w:pPr>
      <w:rPr>
        <w:rFonts w:hint="default"/>
        <w:lang w:val="en-US" w:eastAsia="en-US" w:bidi="en-US"/>
      </w:rPr>
    </w:lvl>
    <w:lvl w:ilvl="8" w:tplc="5F327CE0">
      <w:numFmt w:val="bullet"/>
      <w:lvlText w:val="•"/>
      <w:lvlJc w:val="left"/>
      <w:pPr>
        <w:ind w:left="7792" w:hanging="432"/>
      </w:pPr>
      <w:rPr>
        <w:rFonts w:hint="default"/>
        <w:lang w:val="en-US" w:eastAsia="en-US" w:bidi="en-US"/>
      </w:rPr>
    </w:lvl>
  </w:abstractNum>
  <w:abstractNum w:abstractNumId="1" w15:restartNumberingAfterBreak="0">
    <w:nsid w:val="143E3FE8"/>
    <w:multiLevelType w:val="hybridMultilevel"/>
    <w:tmpl w:val="1A349776"/>
    <w:lvl w:ilvl="0" w:tplc="2342055E">
      <w:start w:val="1"/>
      <w:numFmt w:val="upperLetter"/>
      <w:lvlText w:val="%1."/>
      <w:lvlJc w:val="left"/>
      <w:pPr>
        <w:ind w:left="552" w:hanging="432"/>
      </w:pPr>
      <w:rPr>
        <w:rFonts w:ascii="Times New Roman" w:eastAsia="Times New Roman" w:hAnsi="Times New Roman" w:cs="Times New Roman" w:hint="default"/>
        <w:b/>
        <w:bCs/>
        <w:spacing w:val="-1"/>
        <w:w w:val="100"/>
        <w:sz w:val="24"/>
        <w:szCs w:val="24"/>
        <w:u w:val="thick" w:color="000000"/>
        <w:lang w:val="en-US" w:eastAsia="en-US" w:bidi="en-US"/>
      </w:rPr>
    </w:lvl>
    <w:lvl w:ilvl="1" w:tplc="237EE1D6">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tplc="7C8C7AAC">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tplc="76D6519A">
      <w:numFmt w:val="bullet"/>
      <w:lvlText w:val="•"/>
      <w:lvlJc w:val="left"/>
      <w:pPr>
        <w:ind w:left="1200" w:hanging="720"/>
      </w:pPr>
      <w:rPr>
        <w:rFonts w:hint="default"/>
        <w:lang w:val="en-US" w:eastAsia="en-US" w:bidi="en-US"/>
      </w:rPr>
    </w:lvl>
    <w:lvl w:ilvl="4" w:tplc="D7B03D54">
      <w:numFmt w:val="bullet"/>
      <w:lvlText w:val="•"/>
      <w:lvlJc w:val="left"/>
      <w:pPr>
        <w:ind w:left="2400" w:hanging="720"/>
      </w:pPr>
      <w:rPr>
        <w:rFonts w:hint="default"/>
        <w:lang w:val="en-US" w:eastAsia="en-US" w:bidi="en-US"/>
      </w:rPr>
    </w:lvl>
    <w:lvl w:ilvl="5" w:tplc="4BCE9ED6">
      <w:numFmt w:val="bullet"/>
      <w:lvlText w:val="•"/>
      <w:lvlJc w:val="left"/>
      <w:pPr>
        <w:ind w:left="3600" w:hanging="720"/>
      </w:pPr>
      <w:rPr>
        <w:rFonts w:hint="default"/>
        <w:lang w:val="en-US" w:eastAsia="en-US" w:bidi="en-US"/>
      </w:rPr>
    </w:lvl>
    <w:lvl w:ilvl="6" w:tplc="0D8E5A90">
      <w:numFmt w:val="bullet"/>
      <w:lvlText w:val="•"/>
      <w:lvlJc w:val="left"/>
      <w:pPr>
        <w:ind w:left="4800" w:hanging="720"/>
      </w:pPr>
      <w:rPr>
        <w:rFonts w:hint="default"/>
        <w:lang w:val="en-US" w:eastAsia="en-US" w:bidi="en-US"/>
      </w:rPr>
    </w:lvl>
    <w:lvl w:ilvl="7" w:tplc="C0784CB6">
      <w:numFmt w:val="bullet"/>
      <w:lvlText w:val="•"/>
      <w:lvlJc w:val="left"/>
      <w:pPr>
        <w:ind w:left="6000" w:hanging="720"/>
      </w:pPr>
      <w:rPr>
        <w:rFonts w:hint="default"/>
        <w:lang w:val="en-US" w:eastAsia="en-US" w:bidi="en-US"/>
      </w:rPr>
    </w:lvl>
    <w:lvl w:ilvl="8" w:tplc="3874236E">
      <w:numFmt w:val="bullet"/>
      <w:lvlText w:val="•"/>
      <w:lvlJc w:val="left"/>
      <w:pPr>
        <w:ind w:left="7200" w:hanging="720"/>
      </w:pPr>
      <w:rPr>
        <w:rFonts w:hint="default"/>
        <w:lang w:val="en-US" w:eastAsia="en-US" w:bidi="en-US"/>
      </w:rPr>
    </w:lvl>
  </w:abstractNum>
  <w:abstractNum w:abstractNumId="2" w15:restartNumberingAfterBreak="0">
    <w:nsid w:val="172B04F4"/>
    <w:multiLevelType w:val="hybridMultilevel"/>
    <w:tmpl w:val="5FCA6228"/>
    <w:lvl w:ilvl="0" w:tplc="14AEC9D2">
      <w:start w:val="3"/>
      <w:numFmt w:val="decimal"/>
      <w:lvlText w:val="%1."/>
      <w:lvlJc w:val="left"/>
      <w:pPr>
        <w:ind w:left="552" w:hanging="432"/>
      </w:pPr>
      <w:rPr>
        <w:rFonts w:ascii="Times New Roman" w:eastAsia="Times New Roman" w:hAnsi="Times New Roman" w:cs="Times New Roman" w:hint="default"/>
        <w:b w:val="0"/>
        <w:bCs/>
        <w:spacing w:val="-3"/>
        <w:w w:val="100"/>
        <w:sz w:val="24"/>
        <w:szCs w:val="24"/>
        <w:u w:val="none" w:color="000000"/>
        <w:lang w:val="en-US" w:eastAsia="en-US" w:bidi="en-US"/>
      </w:rPr>
    </w:lvl>
    <w:lvl w:ilvl="1" w:tplc="237EE1D6">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tplc="7C8C7AAC">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tplc="76D6519A">
      <w:numFmt w:val="bullet"/>
      <w:lvlText w:val="•"/>
      <w:lvlJc w:val="left"/>
      <w:pPr>
        <w:ind w:left="1200" w:hanging="720"/>
      </w:pPr>
      <w:rPr>
        <w:rFonts w:hint="default"/>
        <w:lang w:val="en-US" w:eastAsia="en-US" w:bidi="en-US"/>
      </w:rPr>
    </w:lvl>
    <w:lvl w:ilvl="4" w:tplc="D7B03D54">
      <w:numFmt w:val="bullet"/>
      <w:lvlText w:val="•"/>
      <w:lvlJc w:val="left"/>
      <w:pPr>
        <w:ind w:left="2400" w:hanging="720"/>
      </w:pPr>
      <w:rPr>
        <w:rFonts w:hint="default"/>
        <w:lang w:val="en-US" w:eastAsia="en-US" w:bidi="en-US"/>
      </w:rPr>
    </w:lvl>
    <w:lvl w:ilvl="5" w:tplc="4BCE9ED6">
      <w:numFmt w:val="bullet"/>
      <w:lvlText w:val="•"/>
      <w:lvlJc w:val="left"/>
      <w:pPr>
        <w:ind w:left="3600" w:hanging="720"/>
      </w:pPr>
      <w:rPr>
        <w:rFonts w:hint="default"/>
        <w:lang w:val="en-US" w:eastAsia="en-US" w:bidi="en-US"/>
      </w:rPr>
    </w:lvl>
    <w:lvl w:ilvl="6" w:tplc="0D8E5A90">
      <w:numFmt w:val="bullet"/>
      <w:lvlText w:val="•"/>
      <w:lvlJc w:val="left"/>
      <w:pPr>
        <w:ind w:left="4800" w:hanging="720"/>
      </w:pPr>
      <w:rPr>
        <w:rFonts w:hint="default"/>
        <w:lang w:val="en-US" w:eastAsia="en-US" w:bidi="en-US"/>
      </w:rPr>
    </w:lvl>
    <w:lvl w:ilvl="7" w:tplc="C0784CB6">
      <w:numFmt w:val="bullet"/>
      <w:lvlText w:val="•"/>
      <w:lvlJc w:val="left"/>
      <w:pPr>
        <w:ind w:left="6000" w:hanging="720"/>
      </w:pPr>
      <w:rPr>
        <w:rFonts w:hint="default"/>
        <w:lang w:val="en-US" w:eastAsia="en-US" w:bidi="en-US"/>
      </w:rPr>
    </w:lvl>
    <w:lvl w:ilvl="8" w:tplc="3874236E">
      <w:numFmt w:val="bullet"/>
      <w:lvlText w:val="•"/>
      <w:lvlJc w:val="left"/>
      <w:pPr>
        <w:ind w:left="7200" w:hanging="720"/>
      </w:pPr>
      <w:rPr>
        <w:rFonts w:hint="default"/>
        <w:lang w:val="en-US" w:eastAsia="en-US" w:bidi="en-US"/>
      </w:rPr>
    </w:lvl>
  </w:abstractNum>
  <w:abstractNum w:abstractNumId="3" w15:restartNumberingAfterBreak="0">
    <w:nsid w:val="17804DC1"/>
    <w:multiLevelType w:val="hybridMultilevel"/>
    <w:tmpl w:val="5FCA6228"/>
    <w:lvl w:ilvl="0" w:tplc="14AEC9D2">
      <w:start w:val="3"/>
      <w:numFmt w:val="decimal"/>
      <w:lvlText w:val="%1."/>
      <w:lvlJc w:val="left"/>
      <w:pPr>
        <w:ind w:left="552" w:hanging="432"/>
      </w:pPr>
      <w:rPr>
        <w:rFonts w:ascii="Times New Roman" w:eastAsia="Times New Roman" w:hAnsi="Times New Roman" w:cs="Times New Roman" w:hint="default"/>
        <w:b w:val="0"/>
        <w:bCs/>
        <w:spacing w:val="-3"/>
        <w:w w:val="100"/>
        <w:sz w:val="24"/>
        <w:szCs w:val="24"/>
        <w:u w:val="none" w:color="000000"/>
        <w:lang w:val="en-US" w:eastAsia="en-US" w:bidi="en-US"/>
      </w:rPr>
    </w:lvl>
    <w:lvl w:ilvl="1" w:tplc="237EE1D6">
      <w:start w:val="1"/>
      <w:numFmt w:val="decimal"/>
      <w:lvlText w:val="%2."/>
      <w:lvlJc w:val="left"/>
      <w:pPr>
        <w:ind w:left="840" w:hanging="360"/>
      </w:pPr>
      <w:rPr>
        <w:rFonts w:ascii="Times New Roman" w:eastAsia="Times New Roman" w:hAnsi="Times New Roman" w:cs="Times New Roman" w:hint="default"/>
        <w:spacing w:val="-3"/>
        <w:w w:val="100"/>
        <w:sz w:val="24"/>
        <w:szCs w:val="24"/>
        <w:lang w:val="en-US" w:eastAsia="en-US" w:bidi="en-US"/>
      </w:rPr>
    </w:lvl>
    <w:lvl w:ilvl="2" w:tplc="7C8C7AAC">
      <w:start w:val="1"/>
      <w:numFmt w:val="decimal"/>
      <w:lvlText w:val="%3."/>
      <w:lvlJc w:val="left"/>
      <w:pPr>
        <w:ind w:left="1200" w:hanging="720"/>
      </w:pPr>
      <w:rPr>
        <w:rFonts w:ascii="Times New Roman" w:eastAsia="Times New Roman" w:hAnsi="Times New Roman" w:cs="Times New Roman" w:hint="default"/>
        <w:spacing w:val="-5"/>
        <w:w w:val="100"/>
        <w:sz w:val="24"/>
        <w:szCs w:val="24"/>
        <w:lang w:val="en-US" w:eastAsia="en-US" w:bidi="en-US"/>
      </w:rPr>
    </w:lvl>
    <w:lvl w:ilvl="3" w:tplc="76D6519A">
      <w:numFmt w:val="bullet"/>
      <w:lvlText w:val="•"/>
      <w:lvlJc w:val="left"/>
      <w:pPr>
        <w:ind w:left="1200" w:hanging="720"/>
      </w:pPr>
      <w:rPr>
        <w:rFonts w:hint="default"/>
        <w:lang w:val="en-US" w:eastAsia="en-US" w:bidi="en-US"/>
      </w:rPr>
    </w:lvl>
    <w:lvl w:ilvl="4" w:tplc="D7B03D54">
      <w:numFmt w:val="bullet"/>
      <w:lvlText w:val="•"/>
      <w:lvlJc w:val="left"/>
      <w:pPr>
        <w:ind w:left="2400" w:hanging="720"/>
      </w:pPr>
      <w:rPr>
        <w:rFonts w:hint="default"/>
        <w:lang w:val="en-US" w:eastAsia="en-US" w:bidi="en-US"/>
      </w:rPr>
    </w:lvl>
    <w:lvl w:ilvl="5" w:tplc="4BCE9ED6">
      <w:numFmt w:val="bullet"/>
      <w:lvlText w:val="•"/>
      <w:lvlJc w:val="left"/>
      <w:pPr>
        <w:ind w:left="3600" w:hanging="720"/>
      </w:pPr>
      <w:rPr>
        <w:rFonts w:hint="default"/>
        <w:lang w:val="en-US" w:eastAsia="en-US" w:bidi="en-US"/>
      </w:rPr>
    </w:lvl>
    <w:lvl w:ilvl="6" w:tplc="0D8E5A90">
      <w:numFmt w:val="bullet"/>
      <w:lvlText w:val="•"/>
      <w:lvlJc w:val="left"/>
      <w:pPr>
        <w:ind w:left="4800" w:hanging="720"/>
      </w:pPr>
      <w:rPr>
        <w:rFonts w:hint="default"/>
        <w:lang w:val="en-US" w:eastAsia="en-US" w:bidi="en-US"/>
      </w:rPr>
    </w:lvl>
    <w:lvl w:ilvl="7" w:tplc="C0784CB6">
      <w:numFmt w:val="bullet"/>
      <w:lvlText w:val="•"/>
      <w:lvlJc w:val="left"/>
      <w:pPr>
        <w:ind w:left="6000" w:hanging="720"/>
      </w:pPr>
      <w:rPr>
        <w:rFonts w:hint="default"/>
        <w:lang w:val="en-US" w:eastAsia="en-US" w:bidi="en-US"/>
      </w:rPr>
    </w:lvl>
    <w:lvl w:ilvl="8" w:tplc="3874236E">
      <w:numFmt w:val="bullet"/>
      <w:lvlText w:val="•"/>
      <w:lvlJc w:val="left"/>
      <w:pPr>
        <w:ind w:left="7200" w:hanging="720"/>
      </w:pPr>
      <w:rPr>
        <w:rFonts w:hint="default"/>
        <w:lang w:val="en-US" w:eastAsia="en-US" w:bidi="en-US"/>
      </w:rPr>
    </w:lvl>
  </w:abstractNum>
  <w:abstractNum w:abstractNumId="4" w15:restartNumberingAfterBreak="0">
    <w:nsid w:val="6E911112"/>
    <w:multiLevelType w:val="hybridMultilevel"/>
    <w:tmpl w:val="06B83822"/>
    <w:lvl w:ilvl="0" w:tplc="327C3656">
      <w:start w:val="4"/>
      <w:numFmt w:val="decimal"/>
      <w:lvlText w:val="%1."/>
      <w:lvlJc w:val="left"/>
      <w:pPr>
        <w:ind w:left="475" w:hanging="360"/>
      </w:pPr>
      <w:rPr>
        <w:rFonts w:ascii="Times New Roman" w:eastAsia="Times New Roman" w:hAnsi="Times New Roman" w:cs="Times New Roman" w:hint="default"/>
        <w:spacing w:val="-3"/>
        <w:w w:val="100"/>
        <w:sz w:val="24"/>
        <w:szCs w:val="24"/>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C3E"/>
    <w:rsid w:val="00061730"/>
    <w:rsid w:val="00063FD5"/>
    <w:rsid w:val="00154E32"/>
    <w:rsid w:val="002502BA"/>
    <w:rsid w:val="002C68A9"/>
    <w:rsid w:val="003B3DF1"/>
    <w:rsid w:val="003C5F03"/>
    <w:rsid w:val="003E3D09"/>
    <w:rsid w:val="003E65A1"/>
    <w:rsid w:val="00447D7C"/>
    <w:rsid w:val="00497C18"/>
    <w:rsid w:val="004C047F"/>
    <w:rsid w:val="005007D8"/>
    <w:rsid w:val="00523468"/>
    <w:rsid w:val="005265ED"/>
    <w:rsid w:val="00532192"/>
    <w:rsid w:val="0054721D"/>
    <w:rsid w:val="00547379"/>
    <w:rsid w:val="00580DBF"/>
    <w:rsid w:val="005C0718"/>
    <w:rsid w:val="0065691E"/>
    <w:rsid w:val="00665DE4"/>
    <w:rsid w:val="0069240D"/>
    <w:rsid w:val="006A7DDA"/>
    <w:rsid w:val="006B2721"/>
    <w:rsid w:val="00765757"/>
    <w:rsid w:val="00767371"/>
    <w:rsid w:val="007A1FD2"/>
    <w:rsid w:val="007C1B45"/>
    <w:rsid w:val="00803D33"/>
    <w:rsid w:val="00811DBC"/>
    <w:rsid w:val="008A2F7D"/>
    <w:rsid w:val="00994140"/>
    <w:rsid w:val="00B54C3E"/>
    <w:rsid w:val="00B6407B"/>
    <w:rsid w:val="00BD5F6D"/>
    <w:rsid w:val="00C26FA4"/>
    <w:rsid w:val="00C336D3"/>
    <w:rsid w:val="00C7038A"/>
    <w:rsid w:val="00CA1B43"/>
    <w:rsid w:val="00D52F2D"/>
    <w:rsid w:val="00D62586"/>
    <w:rsid w:val="00D9116E"/>
    <w:rsid w:val="00E16866"/>
    <w:rsid w:val="00E3092B"/>
    <w:rsid w:val="00E47016"/>
    <w:rsid w:val="00E56ACC"/>
    <w:rsid w:val="00E9364C"/>
    <w:rsid w:val="00EC35AD"/>
    <w:rsid w:val="00ED6B02"/>
    <w:rsid w:val="00EE2EDE"/>
    <w:rsid w:val="00F0446E"/>
    <w:rsid w:val="00F32538"/>
    <w:rsid w:val="00F702C4"/>
    <w:rsid w:val="00FE1CEB"/>
    <w:rsid w:val="00FE3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C16A6"/>
  <w15:chartTrackingRefBased/>
  <w15:docId w15:val="{C3CF34EF-9EEC-4C46-8B9F-E264FFD6F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54C3E"/>
    <w:pPr>
      <w:widowControl w:val="0"/>
      <w:autoSpaceDE w:val="0"/>
      <w:autoSpaceDN w:val="0"/>
      <w:spacing w:after="0" w:line="240" w:lineRule="auto"/>
    </w:pPr>
    <w:rPr>
      <w:rFonts w:ascii="Times New Roman" w:eastAsia="Times New Roman" w:hAnsi="Times New Roman" w:cs="Times New Roman"/>
      <w:lang w:bidi="en-US"/>
    </w:rPr>
  </w:style>
  <w:style w:type="paragraph" w:styleId="Heading1">
    <w:name w:val="heading 1"/>
    <w:basedOn w:val="Normal"/>
    <w:link w:val="Heading1Char"/>
    <w:uiPriority w:val="1"/>
    <w:qFormat/>
    <w:rsid w:val="00B54C3E"/>
    <w:pPr>
      <w:ind w:left="120"/>
      <w:outlineLvl w:val="0"/>
    </w:pPr>
    <w:rPr>
      <w:b/>
      <w:bCs/>
      <w:sz w:val="24"/>
      <w:szCs w:val="24"/>
    </w:rPr>
  </w:style>
  <w:style w:type="paragraph" w:styleId="Heading3">
    <w:name w:val="heading 3"/>
    <w:basedOn w:val="Normal"/>
    <w:next w:val="Normal"/>
    <w:link w:val="Heading3Char"/>
    <w:uiPriority w:val="9"/>
    <w:unhideWhenUsed/>
    <w:qFormat/>
    <w:rsid w:val="007A1FD2"/>
    <w:pPr>
      <w:keepNext/>
      <w:keepLines/>
      <w:widowControl/>
      <w:autoSpaceDE/>
      <w:autoSpaceDN/>
      <w:spacing w:before="40" w:line="248" w:lineRule="auto"/>
      <w:ind w:left="442" w:right="14" w:hanging="10"/>
      <w:outlineLvl w:val="2"/>
    </w:pPr>
    <w:rPr>
      <w:rFonts w:asciiTheme="majorHAnsi" w:eastAsiaTheme="majorEastAsia" w:hAnsiTheme="majorHAnsi" w:cstheme="majorBidi"/>
      <w:color w:val="1F3763" w:themeColor="accent1" w:themeShade="7F"/>
      <w:sz w:val="24"/>
      <w:szCs w:val="24"/>
      <w:lang w:bidi="ar-SA"/>
    </w:rPr>
  </w:style>
  <w:style w:type="paragraph" w:styleId="Heading4">
    <w:name w:val="heading 4"/>
    <w:basedOn w:val="Normal"/>
    <w:next w:val="Normal"/>
    <w:link w:val="Heading4Char"/>
    <w:uiPriority w:val="9"/>
    <w:unhideWhenUsed/>
    <w:qFormat/>
    <w:rsid w:val="00B54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54C3E"/>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rsid w:val="00B54C3E"/>
    <w:rPr>
      <w:rFonts w:asciiTheme="majorHAnsi" w:eastAsiaTheme="majorEastAsia" w:hAnsiTheme="majorHAnsi" w:cstheme="majorBidi"/>
      <w:i/>
      <w:iCs/>
      <w:color w:val="2F5496" w:themeColor="accent1" w:themeShade="BF"/>
      <w:lang w:bidi="en-US"/>
    </w:rPr>
  </w:style>
  <w:style w:type="paragraph" w:styleId="BodyText">
    <w:name w:val="Body Text"/>
    <w:basedOn w:val="Normal"/>
    <w:link w:val="BodyTextChar"/>
    <w:uiPriority w:val="1"/>
    <w:qFormat/>
    <w:rsid w:val="00B54C3E"/>
    <w:rPr>
      <w:sz w:val="24"/>
      <w:szCs w:val="24"/>
    </w:rPr>
  </w:style>
  <w:style w:type="character" w:customStyle="1" w:styleId="BodyTextChar">
    <w:name w:val="Body Text Char"/>
    <w:basedOn w:val="DefaultParagraphFont"/>
    <w:link w:val="BodyText"/>
    <w:uiPriority w:val="1"/>
    <w:rsid w:val="00B54C3E"/>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B54C3E"/>
    <w:pPr>
      <w:ind w:left="552" w:hanging="432"/>
    </w:pPr>
  </w:style>
  <w:style w:type="character" w:styleId="FootnoteReference">
    <w:name w:val="footnote reference"/>
    <w:aliases w:val="fr,Footnote ReferenceW,Style 13,Style 49,Style 18,Footnote Reference Superscript,Footnote Reference/,Footnote symbol,richiamo note eggsi,Rimando nota a piè di pagina1,BVI fnr,Footnotes refss,EN Footnote Reference,number,SUPERS,FR"/>
    <w:uiPriority w:val="99"/>
    <w:qFormat/>
    <w:rsid w:val="00B54C3E"/>
    <w:rPr>
      <w:vertAlign w:val="superscript"/>
    </w:rPr>
  </w:style>
  <w:style w:type="character" w:styleId="CommentReference">
    <w:name w:val="annotation reference"/>
    <w:basedOn w:val="DefaultParagraphFont"/>
    <w:uiPriority w:val="99"/>
    <w:semiHidden/>
    <w:unhideWhenUsed/>
    <w:rsid w:val="00994140"/>
    <w:rPr>
      <w:sz w:val="16"/>
      <w:szCs w:val="16"/>
    </w:rPr>
  </w:style>
  <w:style w:type="paragraph" w:styleId="CommentText">
    <w:name w:val="annotation text"/>
    <w:basedOn w:val="Normal"/>
    <w:link w:val="CommentTextChar"/>
    <w:uiPriority w:val="99"/>
    <w:semiHidden/>
    <w:unhideWhenUsed/>
    <w:rsid w:val="00994140"/>
    <w:rPr>
      <w:sz w:val="20"/>
      <w:szCs w:val="20"/>
    </w:rPr>
  </w:style>
  <w:style w:type="character" w:customStyle="1" w:styleId="CommentTextChar">
    <w:name w:val="Comment Text Char"/>
    <w:basedOn w:val="DefaultParagraphFont"/>
    <w:link w:val="CommentText"/>
    <w:uiPriority w:val="99"/>
    <w:semiHidden/>
    <w:rsid w:val="0099414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994140"/>
    <w:rPr>
      <w:b/>
      <w:bCs/>
    </w:rPr>
  </w:style>
  <w:style w:type="character" w:customStyle="1" w:styleId="CommentSubjectChar">
    <w:name w:val="Comment Subject Char"/>
    <w:basedOn w:val="CommentTextChar"/>
    <w:link w:val="CommentSubject"/>
    <w:uiPriority w:val="99"/>
    <w:semiHidden/>
    <w:rsid w:val="00994140"/>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994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140"/>
    <w:rPr>
      <w:rFonts w:ascii="Segoe UI" w:eastAsia="Times New Roman" w:hAnsi="Segoe UI" w:cs="Segoe UI"/>
      <w:sz w:val="18"/>
      <w:szCs w:val="18"/>
      <w:lang w:bidi="en-US"/>
    </w:rPr>
  </w:style>
  <w:style w:type="character" w:customStyle="1" w:styleId="Heading3Char">
    <w:name w:val="Heading 3 Char"/>
    <w:basedOn w:val="DefaultParagraphFont"/>
    <w:link w:val="Heading3"/>
    <w:uiPriority w:val="9"/>
    <w:rsid w:val="007A1FD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1419</Words>
  <Characters>7285</Characters>
  <Application>Microsoft Office Word</Application>
  <DocSecurity>4</DocSecurity>
  <Lines>227</Lines>
  <Paragraphs>74</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8630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Edwards</dc:creator>
  <cp:keywords/>
  <dc:description/>
  <cp:lastModifiedBy>JAMAA HILL</cp:lastModifiedBy>
  <cp:revision>2</cp:revision>
  <dcterms:created xsi:type="dcterms:W3CDTF">2021-08-27T17:44:00Z</dcterms:created>
  <dcterms:modified xsi:type="dcterms:W3CDTF">2021-08-27T17:44:00Z</dcterms:modified>
</cp:coreProperties>
</file>