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862585" w:rsidP="00862585" w:rsidRDefault="00862585" w14:paraId="11550C84" w14:textId="5F3A8467">
      <w:pPr>
        <w:pStyle w:val="ReportCover-Title"/>
        <w:jc w:val="center"/>
        <w:rPr>
          <w:rFonts w:ascii="Arial" w:hAnsi="Arial" w:eastAsia="Arial Unicode MS" w:cs="Arial"/>
          <w:noProof/>
          <w:color w:val="auto"/>
        </w:rPr>
      </w:pPr>
    </w:p>
    <w:p w:rsidRPr="009139B3" w:rsidR="00862585" w:rsidP="00862585" w:rsidRDefault="00862585" w14:paraId="06CDE96A" w14:textId="77777777">
      <w:pPr>
        <w:pStyle w:val="ReportCover-Title"/>
        <w:jc w:val="center"/>
        <w:rPr>
          <w:rFonts w:ascii="Arial" w:hAnsi="Arial" w:eastAsia="Arial Unicode MS" w:cs="Arial"/>
          <w:noProof/>
          <w:color w:val="auto"/>
        </w:rPr>
      </w:pPr>
    </w:p>
    <w:p w:rsidRPr="009139B3" w:rsidR="00862585" w:rsidP="00862585" w:rsidRDefault="00862585" w14:paraId="24804999" w14:textId="77777777">
      <w:pPr>
        <w:pStyle w:val="ReportCover-Title"/>
        <w:jc w:val="center"/>
        <w:rPr>
          <w:rFonts w:ascii="Arial" w:hAnsi="Arial" w:eastAsia="Arial Unicode MS" w:cs="Arial"/>
          <w:noProof/>
          <w:color w:val="auto"/>
        </w:rPr>
      </w:pPr>
    </w:p>
    <w:p w:rsidRPr="009139B3" w:rsidR="00862585" w:rsidP="00862585" w:rsidRDefault="00862585" w14:paraId="68942DFF" w14:textId="77777777">
      <w:pPr>
        <w:pStyle w:val="ReportCover-Title"/>
        <w:jc w:val="center"/>
        <w:rPr>
          <w:rFonts w:ascii="Arial" w:hAnsi="Arial" w:eastAsia="Arial Unicode MS" w:cs="Arial"/>
          <w:noProof/>
          <w:color w:val="auto"/>
        </w:rPr>
      </w:pPr>
    </w:p>
    <w:p w:rsidR="00862585" w:rsidP="00862585" w:rsidRDefault="00862585" w14:paraId="17B5916A" w14:textId="77777777">
      <w:pPr>
        <w:pStyle w:val="ReportCover-Title"/>
        <w:jc w:val="center"/>
        <w:rPr>
          <w:rFonts w:eastAsia="Arial Unicode MS" w:asciiTheme="minorHAnsi" w:hAnsiTheme="minorHAnsi" w:cstheme="minorHAnsi"/>
          <w:noProof/>
          <w:color w:val="auto"/>
        </w:rPr>
      </w:pPr>
    </w:p>
    <w:p w:rsidRPr="001A59B6" w:rsidR="00862585" w:rsidP="00862585" w:rsidRDefault="00862585" w14:paraId="2B985A10" w14:textId="77777777">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Early Care and Education Leadership Study (ExCELS) Descriptive Study</w:t>
      </w:r>
    </w:p>
    <w:p w:rsidRPr="001A59B6" w:rsidR="00862585" w:rsidP="00862585" w:rsidRDefault="00862585" w14:paraId="0EC3E764" w14:textId="77777777">
      <w:pPr>
        <w:pStyle w:val="ReportCover-Title"/>
        <w:rPr>
          <w:rFonts w:asciiTheme="minorHAnsi" w:hAnsiTheme="minorHAnsi" w:cstheme="minorHAnsi"/>
          <w:color w:val="auto"/>
        </w:rPr>
      </w:pPr>
    </w:p>
    <w:p w:rsidRPr="001A59B6" w:rsidR="00862585" w:rsidP="00862585" w:rsidRDefault="00862585" w14:paraId="0C909710" w14:textId="77777777">
      <w:pPr>
        <w:pStyle w:val="ReportCover-Title"/>
        <w:rPr>
          <w:rFonts w:asciiTheme="minorHAnsi" w:hAnsiTheme="minorHAnsi" w:cstheme="minorHAnsi"/>
          <w:color w:val="auto"/>
        </w:rPr>
      </w:pPr>
    </w:p>
    <w:p w:rsidRPr="001A59B6" w:rsidR="00862585" w:rsidP="00862585" w:rsidRDefault="00862585" w14:paraId="21FFE8FA"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862585" w:rsidP="00862585" w:rsidRDefault="00862585" w14:paraId="71998015"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862585" w:rsidP="00862585" w:rsidRDefault="00862585" w14:paraId="28D3877D" w14:textId="77777777">
      <w:pPr>
        <w:spacing w:after="0"/>
        <w:rPr>
          <w:rFonts w:cstheme="minorHAnsi"/>
        </w:rPr>
      </w:pPr>
    </w:p>
    <w:p w:rsidRPr="001A59B6" w:rsidR="00862585" w:rsidP="00862585" w:rsidRDefault="00862585" w14:paraId="56018294" w14:textId="77777777">
      <w:pPr>
        <w:pStyle w:val="ReportCover-Date"/>
        <w:spacing w:after="0"/>
        <w:jc w:val="center"/>
        <w:rPr>
          <w:rFonts w:asciiTheme="minorHAnsi" w:hAnsiTheme="minorHAnsi" w:cstheme="minorHAnsi"/>
          <w:color w:val="auto"/>
        </w:rPr>
      </w:pPr>
    </w:p>
    <w:p w:rsidRPr="001A59B6" w:rsidR="00862585" w:rsidP="00862585" w:rsidRDefault="00862585" w14:paraId="12FB3C23" w14:textId="77777777">
      <w:pPr>
        <w:pStyle w:val="ReportCover-Date"/>
        <w:spacing w:after="0"/>
        <w:jc w:val="center"/>
        <w:rPr>
          <w:rFonts w:asciiTheme="minorHAnsi" w:hAnsiTheme="minorHAnsi" w:cstheme="minorHAnsi"/>
          <w:color w:val="auto"/>
        </w:rPr>
      </w:pPr>
    </w:p>
    <w:p w:rsidRPr="001A59B6" w:rsidR="00862585" w:rsidP="00862585" w:rsidRDefault="00862585" w14:paraId="4B3ED26C" w14:textId="77777777">
      <w:pPr>
        <w:pStyle w:val="ReportCover-Date"/>
        <w:spacing w:after="0"/>
        <w:jc w:val="center"/>
        <w:rPr>
          <w:rFonts w:asciiTheme="minorHAnsi" w:hAnsiTheme="minorHAnsi" w:cstheme="minorHAnsi"/>
          <w:color w:val="auto"/>
        </w:rPr>
      </w:pPr>
    </w:p>
    <w:p w:rsidRPr="001A59B6" w:rsidR="00862585" w:rsidP="00862585" w:rsidRDefault="00862585" w14:paraId="441B4C8E"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862585" w:rsidP="00862585" w:rsidRDefault="00862585" w14:paraId="6654BCD3" w14:textId="72681B50">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 xml:space="preserve">Part </w:t>
      </w:r>
      <w:r>
        <w:rPr>
          <w:rFonts w:asciiTheme="minorHAnsi" w:hAnsiTheme="minorHAnsi" w:cstheme="minorHAnsi"/>
          <w:color w:val="auto"/>
          <w:sz w:val="48"/>
          <w:szCs w:val="48"/>
        </w:rPr>
        <w:t>B</w:t>
      </w:r>
    </w:p>
    <w:p w:rsidRPr="001A59B6" w:rsidR="00862585" w:rsidP="00862585" w:rsidRDefault="00862585" w14:paraId="5BDCD14D" w14:textId="77777777">
      <w:pPr>
        <w:pStyle w:val="ReportCover-Date"/>
        <w:spacing w:after="0" w:line="240" w:lineRule="auto"/>
        <w:jc w:val="center"/>
        <w:rPr>
          <w:rFonts w:asciiTheme="minorHAnsi" w:hAnsiTheme="minorHAnsi" w:cstheme="minorHAnsi"/>
          <w:color w:val="auto"/>
          <w:sz w:val="48"/>
          <w:szCs w:val="48"/>
        </w:rPr>
      </w:pPr>
    </w:p>
    <w:p w:rsidRPr="001A59B6" w:rsidR="00862585" w:rsidP="00862585" w:rsidRDefault="00862585" w14:paraId="41567155" w14:textId="77777777">
      <w:pPr>
        <w:pStyle w:val="ReportCover-Date"/>
        <w:spacing w:after="0" w:line="240" w:lineRule="auto"/>
        <w:jc w:val="center"/>
        <w:rPr>
          <w:rFonts w:asciiTheme="minorHAnsi" w:hAnsiTheme="minorHAnsi" w:cstheme="minorHAnsi"/>
          <w:color w:val="auto"/>
          <w:sz w:val="48"/>
          <w:szCs w:val="48"/>
        </w:rPr>
      </w:pPr>
    </w:p>
    <w:p w:rsidRPr="001A59B6" w:rsidR="00862585" w:rsidP="00862585" w:rsidRDefault="00862585" w14:paraId="2C46951C" w14:textId="77777777">
      <w:pPr>
        <w:pStyle w:val="ReportCover-Date"/>
        <w:spacing w:after="0"/>
        <w:jc w:val="center"/>
        <w:rPr>
          <w:rFonts w:asciiTheme="minorHAnsi" w:hAnsiTheme="minorHAnsi" w:cstheme="minorHAnsi"/>
          <w:color w:val="auto"/>
        </w:rPr>
      </w:pPr>
      <w:r w:rsidRPr="00845E6F">
        <w:rPr>
          <w:rFonts w:asciiTheme="minorHAnsi" w:hAnsiTheme="minorHAnsi" w:cstheme="minorHAnsi"/>
          <w:color w:val="auto"/>
        </w:rPr>
        <w:t>AUGUST 2021</w:t>
      </w:r>
    </w:p>
    <w:p w:rsidRPr="001A59B6" w:rsidR="00862585" w:rsidP="00862585" w:rsidRDefault="00862585" w14:paraId="2AD314BC" w14:textId="77777777">
      <w:pPr>
        <w:pStyle w:val="ReportCover-Date"/>
        <w:spacing w:after="0"/>
        <w:jc w:val="center"/>
        <w:rPr>
          <w:rFonts w:asciiTheme="minorHAnsi" w:hAnsiTheme="minorHAnsi" w:cstheme="minorHAnsi"/>
          <w:color w:val="auto"/>
        </w:rPr>
      </w:pPr>
    </w:p>
    <w:p w:rsidRPr="001A59B6" w:rsidR="00862585" w:rsidP="00862585" w:rsidRDefault="00862585" w14:paraId="7ECF47A9" w14:textId="77777777">
      <w:pPr>
        <w:pStyle w:val="ReportCover-Date"/>
        <w:spacing w:after="0"/>
        <w:jc w:val="center"/>
        <w:rPr>
          <w:rFonts w:asciiTheme="minorHAnsi" w:hAnsiTheme="minorHAnsi" w:cstheme="minorHAnsi"/>
          <w:color w:val="auto"/>
        </w:rPr>
      </w:pPr>
    </w:p>
    <w:p w:rsidRPr="001A59B6" w:rsidR="00862585" w:rsidP="00862585" w:rsidRDefault="00862585" w14:paraId="70FD16A7" w14:textId="77777777">
      <w:pPr>
        <w:pStyle w:val="ReportCover-Date"/>
        <w:spacing w:after="0"/>
        <w:jc w:val="center"/>
        <w:rPr>
          <w:rFonts w:asciiTheme="minorHAnsi" w:hAnsiTheme="minorHAnsi" w:cstheme="minorHAnsi"/>
          <w:color w:val="auto"/>
        </w:rPr>
      </w:pPr>
    </w:p>
    <w:p w:rsidRPr="001A59B6" w:rsidR="00862585" w:rsidP="00862585" w:rsidRDefault="00862585" w14:paraId="385AF30A" w14:textId="77777777">
      <w:pPr>
        <w:pStyle w:val="ReportCover-Date"/>
        <w:spacing w:after="0"/>
        <w:rPr>
          <w:rFonts w:asciiTheme="minorHAnsi" w:hAnsiTheme="minorHAnsi" w:cstheme="minorHAnsi"/>
          <w:color w:val="auto"/>
        </w:rPr>
      </w:pPr>
    </w:p>
    <w:p w:rsidRPr="001A59B6" w:rsidR="00862585" w:rsidP="00862585" w:rsidRDefault="00862585" w14:paraId="142A8F8B" w14:textId="77777777">
      <w:pPr>
        <w:pStyle w:val="ReportCover-Date"/>
        <w:spacing w:after="0"/>
        <w:jc w:val="center"/>
        <w:rPr>
          <w:rFonts w:asciiTheme="minorHAnsi" w:hAnsiTheme="minorHAnsi" w:cstheme="minorHAnsi"/>
          <w:color w:val="auto"/>
        </w:rPr>
      </w:pPr>
    </w:p>
    <w:p w:rsidRPr="001A59B6" w:rsidR="00862585" w:rsidP="00862585" w:rsidRDefault="00862585" w14:paraId="3FD170DB" w14:textId="77777777">
      <w:pPr>
        <w:pStyle w:val="ReportCover-Date"/>
        <w:spacing w:after="0"/>
        <w:jc w:val="center"/>
        <w:rPr>
          <w:rFonts w:asciiTheme="minorHAnsi" w:hAnsiTheme="minorHAnsi" w:cstheme="minorHAnsi"/>
          <w:color w:val="auto"/>
        </w:rPr>
      </w:pPr>
    </w:p>
    <w:p w:rsidRPr="001A59B6" w:rsidR="00862585" w:rsidP="00862585" w:rsidRDefault="00862585" w14:paraId="60E36596" w14:textId="77777777">
      <w:pPr>
        <w:pStyle w:val="ReportCover-Date"/>
        <w:spacing w:after="0"/>
        <w:jc w:val="center"/>
        <w:rPr>
          <w:rFonts w:asciiTheme="minorHAnsi" w:hAnsiTheme="minorHAnsi" w:cstheme="minorHAnsi"/>
          <w:color w:val="auto"/>
        </w:rPr>
      </w:pPr>
    </w:p>
    <w:p w:rsidRPr="001A59B6" w:rsidR="00862585" w:rsidP="00862585" w:rsidRDefault="00862585" w14:paraId="0EBD1824" w14:textId="77777777">
      <w:pPr>
        <w:spacing w:after="0" w:line="240" w:lineRule="auto"/>
        <w:jc w:val="center"/>
        <w:rPr>
          <w:rFonts w:cstheme="minorHAnsi"/>
        </w:rPr>
      </w:pPr>
    </w:p>
    <w:p w:rsidRPr="001A59B6" w:rsidR="00862585" w:rsidP="00862585" w:rsidRDefault="00862585" w14:paraId="0753DF18" w14:textId="77777777">
      <w:pPr>
        <w:spacing w:after="0" w:line="240" w:lineRule="auto"/>
        <w:jc w:val="center"/>
        <w:rPr>
          <w:rFonts w:cstheme="minorHAnsi"/>
        </w:rPr>
      </w:pPr>
      <w:r w:rsidRPr="001A59B6">
        <w:rPr>
          <w:rFonts w:cstheme="minorHAnsi"/>
        </w:rPr>
        <w:t>Submitted By:</w:t>
      </w:r>
    </w:p>
    <w:p w:rsidRPr="001A59B6" w:rsidR="00862585" w:rsidP="00862585" w:rsidRDefault="00862585" w14:paraId="37A2502B" w14:textId="77777777">
      <w:pPr>
        <w:spacing w:after="0" w:line="240" w:lineRule="auto"/>
        <w:jc w:val="center"/>
        <w:rPr>
          <w:rFonts w:cstheme="minorHAnsi"/>
        </w:rPr>
      </w:pPr>
      <w:r w:rsidRPr="001A59B6">
        <w:rPr>
          <w:rFonts w:cstheme="minorHAnsi"/>
        </w:rPr>
        <w:t>Office of Planning, Research, and Evaluation</w:t>
      </w:r>
    </w:p>
    <w:p w:rsidRPr="001A59B6" w:rsidR="00862585" w:rsidP="00862585" w:rsidRDefault="00862585" w14:paraId="68EA6127" w14:textId="77777777">
      <w:pPr>
        <w:spacing w:after="0" w:line="240" w:lineRule="auto"/>
        <w:jc w:val="center"/>
        <w:rPr>
          <w:rFonts w:cstheme="minorHAnsi"/>
        </w:rPr>
      </w:pPr>
      <w:r w:rsidRPr="001A59B6">
        <w:rPr>
          <w:rFonts w:cstheme="minorHAnsi"/>
        </w:rPr>
        <w:t xml:space="preserve">Administration for Children and Families </w:t>
      </w:r>
    </w:p>
    <w:p w:rsidRPr="001A59B6" w:rsidR="00862585" w:rsidP="00862585" w:rsidRDefault="00862585" w14:paraId="029E05B7" w14:textId="77777777">
      <w:pPr>
        <w:spacing w:after="0" w:line="240" w:lineRule="auto"/>
        <w:jc w:val="center"/>
        <w:rPr>
          <w:rFonts w:cstheme="minorHAnsi"/>
        </w:rPr>
      </w:pPr>
      <w:r w:rsidRPr="001A59B6">
        <w:rPr>
          <w:rFonts w:cstheme="minorHAnsi"/>
        </w:rPr>
        <w:t>U.S. Department of Health and Human Services</w:t>
      </w:r>
    </w:p>
    <w:p w:rsidRPr="001A59B6" w:rsidR="00862585" w:rsidP="00862585" w:rsidRDefault="00862585" w14:paraId="034DEA37" w14:textId="77777777">
      <w:pPr>
        <w:spacing w:after="0" w:line="240" w:lineRule="auto"/>
        <w:jc w:val="center"/>
        <w:rPr>
          <w:rFonts w:cstheme="minorHAnsi"/>
        </w:rPr>
      </w:pPr>
    </w:p>
    <w:p w:rsidRPr="001A59B6" w:rsidR="00862585" w:rsidP="00862585" w:rsidRDefault="00862585" w14:paraId="5F1F0451"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862585" w:rsidP="00862585" w:rsidRDefault="00862585" w14:paraId="43F57B13" w14:textId="77777777">
      <w:pPr>
        <w:spacing w:after="0" w:line="240" w:lineRule="auto"/>
        <w:jc w:val="center"/>
        <w:rPr>
          <w:rFonts w:cstheme="minorHAnsi"/>
        </w:rPr>
      </w:pPr>
      <w:r w:rsidRPr="001A59B6">
        <w:rPr>
          <w:rFonts w:cstheme="minorHAnsi"/>
        </w:rPr>
        <w:t>330 C Street, SW</w:t>
      </w:r>
    </w:p>
    <w:p w:rsidRPr="001A59B6" w:rsidR="00862585" w:rsidP="00862585" w:rsidRDefault="00862585" w14:paraId="3B7F706E" w14:textId="77777777">
      <w:pPr>
        <w:spacing w:after="0" w:line="240" w:lineRule="auto"/>
        <w:jc w:val="center"/>
        <w:rPr>
          <w:rFonts w:cstheme="minorHAnsi"/>
        </w:rPr>
      </w:pPr>
      <w:r w:rsidRPr="001A59B6">
        <w:rPr>
          <w:rFonts w:cstheme="minorHAnsi"/>
        </w:rPr>
        <w:t>Washington, D.C. 20201</w:t>
      </w:r>
    </w:p>
    <w:p w:rsidRPr="001A59B6" w:rsidR="00862585" w:rsidP="00862585" w:rsidRDefault="00862585" w14:paraId="2308EE59" w14:textId="77777777">
      <w:pPr>
        <w:spacing w:after="0" w:line="240" w:lineRule="auto"/>
        <w:jc w:val="center"/>
        <w:rPr>
          <w:rFonts w:cstheme="minorHAnsi"/>
        </w:rPr>
      </w:pPr>
    </w:p>
    <w:p w:rsidR="00862585" w:rsidP="00862585" w:rsidRDefault="00862585" w14:paraId="28ACA3A0" w14:textId="360D4F7F">
      <w:pPr>
        <w:spacing w:after="0" w:line="240" w:lineRule="auto"/>
        <w:jc w:val="center"/>
        <w:rPr>
          <w:rFonts w:cstheme="minorHAnsi"/>
        </w:rPr>
        <w:sectPr w:rsidR="00862585" w:rsidSect="00867B2D">
          <w:headerReference w:type="default" r:id="rId9"/>
          <w:headerReference w:type="first" r:id="rId10"/>
          <w:footerReference w:type="first" r:id="rId11"/>
          <w:pgSz w:w="12240" w:h="15840"/>
          <w:pgMar w:top="1440" w:right="1440" w:bottom="1440" w:left="1440" w:header="720" w:footer="720" w:gutter="0"/>
          <w:cols w:space="720"/>
          <w:docGrid w:linePitch="299"/>
        </w:sectPr>
      </w:pPr>
      <w:r w:rsidRPr="001A59B6">
        <w:rPr>
          <w:rFonts w:cstheme="minorHAnsi"/>
        </w:rPr>
        <w:t>Project Officer:</w:t>
      </w:r>
      <w:r>
        <w:rPr>
          <w:rFonts w:cstheme="minorHAnsi"/>
        </w:rPr>
        <w:t xml:space="preserve"> Nina </w:t>
      </w:r>
      <w:proofErr w:type="spellStart"/>
      <w:r>
        <w:rPr>
          <w:rFonts w:cstheme="minorHAnsi"/>
        </w:rPr>
        <w:t>Philipsen</w:t>
      </w:r>
      <w:proofErr w:type="spellEnd"/>
      <w:r>
        <w:rPr>
          <w:rFonts w:cstheme="minorHAnsi"/>
        </w:rPr>
        <w:t>, Ph.D.</w:t>
      </w:r>
    </w:p>
    <w:p w:rsidRPr="001A59B6" w:rsidR="00862585" w:rsidP="00197BA9" w:rsidRDefault="00862585" w14:paraId="69136E15" w14:textId="77777777">
      <w:pPr>
        <w:pStyle w:val="H1"/>
        <w:spacing w:line="20" w:lineRule="atLeast"/>
      </w:pPr>
      <w:r w:rsidRPr="001A59B6">
        <w:lastRenderedPageBreak/>
        <w:t>Part B</w:t>
      </w:r>
    </w:p>
    <w:p w:rsidRPr="001A59B6" w:rsidR="00862585" w:rsidP="00197BA9" w:rsidRDefault="00862585" w14:paraId="3F8C9139" w14:textId="7558993B">
      <w:pPr>
        <w:pStyle w:val="H2"/>
        <w:spacing w:line="20" w:lineRule="atLeast"/>
      </w:pPr>
      <w:r w:rsidRPr="001A59B6">
        <w:t>B</w:t>
      </w:r>
      <w:r w:rsidR="00DA74FF">
        <w:t>.</w:t>
      </w:r>
      <w:r w:rsidRPr="001A59B6">
        <w:t>1.</w:t>
      </w:r>
      <w:r w:rsidR="00420FFD">
        <w:tab/>
      </w:r>
      <w:r w:rsidRPr="001A59B6">
        <w:t>Objectives</w:t>
      </w:r>
    </w:p>
    <w:p w:rsidRPr="001C4653" w:rsidR="00862585" w:rsidP="00197BA9" w:rsidRDefault="00420FFD" w14:paraId="0EAC1C7D" w14:textId="0441B56E">
      <w:pPr>
        <w:pStyle w:val="H3"/>
        <w:spacing w:line="20" w:lineRule="atLeast"/>
      </w:pPr>
      <w:r>
        <w:t>1.</w:t>
      </w:r>
      <w:r>
        <w:tab/>
      </w:r>
      <w:r w:rsidRPr="001A59B6" w:rsidR="00862585">
        <w:t xml:space="preserve">Study </w:t>
      </w:r>
      <w:r w:rsidR="00940FE8">
        <w:t>objectives</w:t>
      </w:r>
    </w:p>
    <w:p w:rsidRPr="006B3FEC" w:rsidR="00862585" w:rsidP="00197BA9" w:rsidRDefault="00862585" w14:paraId="7BCDA6A5" w14:textId="7000AD17">
      <w:pPr>
        <w:pStyle w:val="ParagraphContinued"/>
        <w:spacing w:line="20" w:lineRule="atLeast"/>
      </w:pPr>
      <w:r w:rsidRPr="006B3FEC">
        <w:t xml:space="preserve">The goals of </w:t>
      </w:r>
      <w:r w:rsidRPr="006B3FEC" w:rsidR="00A967F1">
        <w:t>the Early Care and Education Leadership Study (ExCELS)</w:t>
      </w:r>
      <w:r w:rsidRPr="006B3FEC">
        <w:t xml:space="preserve">  data collection are to (1) develop a short-form measure of early care and education (ECE) leadership that has strong psychometric properties, and (2) examine empirical support for the associations among key constructs and outcomes in the theory of change (</w:t>
      </w:r>
      <w:r w:rsidRPr="00FB2CE3">
        <w:t>Appendix A)</w:t>
      </w:r>
      <w:r w:rsidRPr="006B3FEC">
        <w:t xml:space="preserve"> of ECE leadership for quality improvement. </w:t>
      </w:r>
      <w:r w:rsidR="00A967F1">
        <w:t>The Office of Planning, Research, and Evaluation (OPRE) within t</w:t>
      </w:r>
      <w:r w:rsidRPr="006B3FEC" w:rsidR="00A967F1">
        <w:t xml:space="preserve">he Administration for Children and Families (ACF) at the U.S. Department of Health and Human Services (HHS) </w:t>
      </w:r>
      <w:r w:rsidR="00A967F1">
        <w:t xml:space="preserve">has contracted with Mathematica and its subcontractor, </w:t>
      </w:r>
      <w:r w:rsidR="00A967F1">
        <w:rPr>
          <w:rFonts w:cs="Calibri"/>
        </w:rPr>
        <w:t xml:space="preserve">the Institute for Early Education </w:t>
      </w:r>
      <w:proofErr w:type="gramStart"/>
      <w:r w:rsidR="00A967F1">
        <w:rPr>
          <w:rFonts w:cs="Calibri"/>
        </w:rPr>
        <w:t>Leadership</w:t>
      </w:r>
      <w:proofErr w:type="gramEnd"/>
      <w:r w:rsidR="00A967F1">
        <w:rPr>
          <w:rFonts w:cs="Calibri"/>
        </w:rPr>
        <w:t xml:space="preserve"> and Innovation at the University of Massachusetts Boston,</w:t>
      </w:r>
      <w:r w:rsidR="00A967F1">
        <w:t xml:space="preserve"> to conduct this study.</w:t>
      </w:r>
    </w:p>
    <w:p w:rsidRPr="001A59B6" w:rsidR="00862585" w:rsidP="00197BA9" w:rsidRDefault="00420FFD" w14:paraId="1B7F13D6" w14:textId="71940FB2">
      <w:pPr>
        <w:pStyle w:val="H3"/>
        <w:spacing w:line="20" w:lineRule="atLeast"/>
      </w:pPr>
      <w:r>
        <w:t>2.</w:t>
      </w:r>
      <w:r>
        <w:tab/>
      </w:r>
      <w:r w:rsidRPr="001A59B6" w:rsidR="00862585">
        <w:t xml:space="preserve">Generalizability of </w:t>
      </w:r>
      <w:r w:rsidR="00940FE8">
        <w:t>results</w:t>
      </w:r>
      <w:r w:rsidRPr="001A59B6" w:rsidR="00862585">
        <w:t xml:space="preserve"> </w:t>
      </w:r>
    </w:p>
    <w:p w:rsidRPr="006B3FEC" w:rsidR="00862585" w:rsidP="00197BA9" w:rsidRDefault="00862585" w14:paraId="7528B103" w14:textId="77777777">
      <w:pPr>
        <w:pStyle w:val="ParagraphContinued"/>
        <w:spacing w:line="20" w:lineRule="atLeast"/>
      </w:pPr>
      <w:r w:rsidRPr="006B3FEC">
        <w:t>This is a measurement development study intended to develop a short-form measure of ECE leadership, examine the psychometric properties of the measure, and test the associations among leadership elements and outcomes. Data are not intended to support statistical generalization</w:t>
      </w:r>
      <w:r>
        <w:t xml:space="preserve"> to other sites or service populations</w:t>
      </w:r>
      <w:r w:rsidRPr="006B3FEC">
        <w:t xml:space="preserve">. </w:t>
      </w:r>
    </w:p>
    <w:p w:rsidRPr="001A59B6" w:rsidR="00862585" w:rsidP="00197BA9" w:rsidRDefault="00420FFD" w14:paraId="351BA9BD" w14:textId="69C84BC4">
      <w:pPr>
        <w:pStyle w:val="H3"/>
        <w:spacing w:line="20" w:lineRule="atLeast"/>
        <w:rPr>
          <w:rFonts w:eastAsia="Times New Roman"/>
        </w:rPr>
      </w:pPr>
      <w:r>
        <w:rPr>
          <w:rFonts w:eastAsia="Times New Roman"/>
        </w:rPr>
        <w:t>3.</w:t>
      </w:r>
      <w:r>
        <w:rPr>
          <w:rFonts w:eastAsia="Times New Roman"/>
        </w:rPr>
        <w:tab/>
      </w:r>
      <w:r w:rsidRPr="001A59B6" w:rsidR="00862585">
        <w:rPr>
          <w:rFonts w:eastAsia="Times New Roman"/>
        </w:rPr>
        <w:t xml:space="preserve">Appropriateness of </w:t>
      </w:r>
      <w:r w:rsidR="00940FE8">
        <w:rPr>
          <w:rFonts w:eastAsia="Times New Roman"/>
        </w:rPr>
        <w:t>study design and methods for planned uses</w:t>
      </w:r>
      <w:r w:rsidRPr="001A59B6" w:rsidR="00862585">
        <w:rPr>
          <w:rFonts w:eastAsia="Times New Roman"/>
        </w:rPr>
        <w:t xml:space="preserve"> </w:t>
      </w:r>
    </w:p>
    <w:p w:rsidRPr="006B3FEC" w:rsidR="00862585" w:rsidP="00197BA9" w:rsidRDefault="00862585" w14:paraId="014B9600" w14:textId="64FD33E1">
      <w:pPr>
        <w:pStyle w:val="ParagraphContinued"/>
        <w:spacing w:line="20" w:lineRule="atLeast"/>
      </w:pPr>
      <w:r>
        <w:t>The ExCELS purposive sample design features criteria to select ECE centers</w:t>
      </w:r>
      <w:r w:rsidRPr="00D704E9">
        <w:t xml:space="preserve"> </w:t>
      </w:r>
      <w:r>
        <w:t>that</w:t>
      </w:r>
      <w:r w:rsidRPr="00D704E9">
        <w:t xml:space="preserve"> var</w:t>
      </w:r>
      <w:r>
        <w:t>y</w:t>
      </w:r>
      <w:r w:rsidRPr="00D704E9">
        <w:t xml:space="preserve"> in context and characteristics to build a measure that can reliably make distinctions in leadership between </w:t>
      </w:r>
      <w:r>
        <w:t xml:space="preserve">centers </w:t>
      </w:r>
      <w:r w:rsidR="00330250">
        <w:t xml:space="preserve">that </w:t>
      </w:r>
      <w:r>
        <w:t>receive federal funding</w:t>
      </w:r>
      <w:r w:rsidRPr="00D704E9">
        <w:t xml:space="preserve">. </w:t>
      </w:r>
      <w:r>
        <w:t>The study’s theory of change (Appendix A) guided the design of the study and the measures to be included. The surveys that will be administered to center managers and teaching staff include new</w:t>
      </w:r>
      <w:r w:rsidR="00827721">
        <w:t>ly developed</w:t>
      </w:r>
      <w:r>
        <w:t xml:space="preserve"> questions on leadership that </w:t>
      </w:r>
      <w:r w:rsidRPr="00D704E9">
        <w:t xml:space="preserve">maximize </w:t>
      </w:r>
      <w:r>
        <w:t>the</w:t>
      </w:r>
      <w:r w:rsidRPr="00D704E9">
        <w:t xml:space="preserve"> </w:t>
      </w:r>
      <w:r>
        <w:t xml:space="preserve">study team’s </w:t>
      </w:r>
      <w:r w:rsidRPr="00D704E9">
        <w:t xml:space="preserve">ability to capture </w:t>
      </w:r>
      <w:r>
        <w:t xml:space="preserve">what leadership is in a broader sense </w:t>
      </w:r>
      <w:r w:rsidRPr="00D704E9">
        <w:t xml:space="preserve">and to reflect the potential range of leadership that can inform what effective leadership can produce. </w:t>
      </w:r>
      <w:r>
        <w:t>A second component of the teaching staff survey</w:t>
      </w:r>
      <w:r w:rsidR="00AB3371">
        <w:t xml:space="preserve"> (on </w:t>
      </w:r>
      <w:r w:rsidR="00BB344D">
        <w:t xml:space="preserve">center culture, climate, and communication, </w:t>
      </w:r>
      <w:r w:rsidRPr="00EE7566" w:rsidR="00BB344D">
        <w:rPr>
          <w:rFonts w:cstheme="minorHAnsi"/>
        </w:rPr>
        <w:t xml:space="preserve">such as </w:t>
      </w:r>
      <w:r w:rsidRPr="00EE7566" w:rsidR="00BB344D">
        <w:rPr>
          <w:rFonts w:cstheme="minorHAnsi"/>
          <w:szCs w:val="18"/>
        </w:rPr>
        <w:t>culture of respect, shared growth, and learning; collaboration among staff</w:t>
      </w:r>
      <w:r w:rsidR="00BB344D">
        <w:t xml:space="preserve"> </w:t>
      </w:r>
      <w:r w:rsidR="00AB3371">
        <w:t>)</w:t>
      </w:r>
      <w:r>
        <w:t xml:space="preserve"> helps further </w:t>
      </w:r>
      <w:r w:rsidRPr="00A063AF">
        <w:t xml:space="preserve">support the assessment of significant differences in leadership and the test for the associations of leadership with outcomes. The analyses are intended to assess the </w:t>
      </w:r>
      <w:r w:rsidR="00D32463">
        <w:t xml:space="preserve">psychometric properties of the new leadership measure and test the associations </w:t>
      </w:r>
      <w:r w:rsidR="003A7D34">
        <w:t>hypothesized</w:t>
      </w:r>
      <w:r w:rsidR="00D32463">
        <w:t xml:space="preserve"> in the theory of change</w:t>
      </w:r>
      <w:r w:rsidRPr="00A063AF">
        <w:t>, and will not be used to generate nationally-representative estimates of the prevalence of character</w:t>
      </w:r>
      <w:r w:rsidRPr="00C350C3">
        <w:t>istics o</w:t>
      </w:r>
      <w:r w:rsidR="00A85FF9">
        <w:t>f</w:t>
      </w:r>
      <w:r w:rsidRPr="00C350C3">
        <w:t xml:space="preserve"> leadership. </w:t>
      </w:r>
      <w:r w:rsidRPr="001A59B6">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862585" w:rsidP="00197BA9" w:rsidRDefault="00862585" w14:paraId="4BC62569" w14:textId="24906C64">
      <w:pPr>
        <w:pStyle w:val="H2"/>
        <w:spacing w:line="20" w:lineRule="atLeast"/>
        <w:rPr>
          <w:rFonts w:eastAsia="Times New Roman"/>
        </w:rPr>
      </w:pPr>
      <w:r w:rsidRPr="001A59B6">
        <w:t>B</w:t>
      </w:r>
      <w:r w:rsidR="00DA74FF">
        <w:t>.</w:t>
      </w:r>
      <w:r w:rsidRPr="001A59B6">
        <w:t>2.</w:t>
      </w:r>
      <w:r w:rsidR="00420FFD">
        <w:tab/>
      </w:r>
      <w:r w:rsidRPr="001A59B6">
        <w:rPr>
          <w:rFonts w:eastAsia="Times New Roman"/>
        </w:rPr>
        <w:t xml:space="preserve">Methods and </w:t>
      </w:r>
      <w:r w:rsidR="00940FE8">
        <w:rPr>
          <w:rFonts w:eastAsia="Times New Roman"/>
        </w:rPr>
        <w:t>design</w:t>
      </w:r>
    </w:p>
    <w:p w:rsidRPr="001A59B6" w:rsidR="00862585" w:rsidP="00197BA9" w:rsidRDefault="00420FFD" w14:paraId="0B961BD1" w14:textId="4BC164EB">
      <w:pPr>
        <w:pStyle w:val="H3"/>
        <w:spacing w:line="20" w:lineRule="atLeast"/>
        <w:rPr>
          <w:rFonts w:eastAsia="Times New Roman"/>
        </w:rPr>
      </w:pPr>
      <w:r>
        <w:rPr>
          <w:rFonts w:eastAsia="Times New Roman"/>
        </w:rPr>
        <w:t>1.</w:t>
      </w:r>
      <w:r>
        <w:rPr>
          <w:rFonts w:eastAsia="Times New Roman"/>
        </w:rPr>
        <w:tab/>
      </w:r>
      <w:r w:rsidRPr="001A59B6" w:rsidR="00862585">
        <w:rPr>
          <w:rFonts w:eastAsia="Times New Roman"/>
        </w:rPr>
        <w:t xml:space="preserve">Target </w:t>
      </w:r>
      <w:r w:rsidR="00940FE8">
        <w:rPr>
          <w:rFonts w:eastAsia="Times New Roman"/>
        </w:rPr>
        <w:t>population</w:t>
      </w:r>
      <w:r w:rsidRPr="001A59B6" w:rsidR="00862585">
        <w:rPr>
          <w:rFonts w:eastAsia="Times New Roman"/>
        </w:rPr>
        <w:t xml:space="preserve">  </w:t>
      </w:r>
    </w:p>
    <w:p w:rsidRPr="006B3FEC" w:rsidR="00862585" w:rsidP="00197BA9" w:rsidRDefault="00862585" w14:paraId="18B5EABC" w14:textId="453D3AE2">
      <w:pPr>
        <w:pStyle w:val="ParagraphContinued"/>
        <w:spacing w:line="20" w:lineRule="atLeast"/>
      </w:pPr>
      <w:r>
        <w:t>The study team</w:t>
      </w:r>
      <w:r w:rsidRPr="006B3FEC">
        <w:t xml:space="preserve"> will collect information from </w:t>
      </w:r>
      <w:r>
        <w:t xml:space="preserve">center </w:t>
      </w:r>
      <w:r w:rsidRPr="006B3FEC">
        <w:t xml:space="preserve">managers and teaching staff in center-based ECE settings </w:t>
      </w:r>
      <w:r w:rsidR="00883EFD">
        <w:t xml:space="preserve">(centers) </w:t>
      </w:r>
      <w:r w:rsidRPr="006B3FEC">
        <w:t>that receive funding from Head Start and/or the Child Care and Development Fund (</w:t>
      </w:r>
      <w:proofErr w:type="spellStart"/>
      <w:r w:rsidRPr="006B3FEC">
        <w:t>CCDF</w:t>
      </w:r>
      <w:proofErr w:type="spellEnd"/>
      <w:r w:rsidRPr="006B3FEC">
        <w:t xml:space="preserve">) and provide services to children whose ages range from birth to age </w:t>
      </w:r>
      <w:r>
        <w:t>5 (but who are not yet in kindergarten)</w:t>
      </w:r>
      <w:r w:rsidRPr="006B3FEC">
        <w:t xml:space="preserve">. </w:t>
      </w:r>
      <w:r>
        <w:t>The study team</w:t>
      </w:r>
      <w:r w:rsidRPr="006B3FEC">
        <w:t xml:space="preserve"> plan</w:t>
      </w:r>
      <w:r>
        <w:t>s</w:t>
      </w:r>
      <w:r w:rsidRPr="006B3FEC">
        <w:t xml:space="preserve"> to select 30 </w:t>
      </w:r>
      <w:r>
        <w:t>centers</w:t>
      </w:r>
      <w:r w:rsidRPr="006B3FEC">
        <w:t xml:space="preserve"> each from four states that represent different ECE environments that have the best potential for promoting and supporting center leadership, but that vary in child care regulatory context, supports for ECE access and quality, and geographic regions. </w:t>
      </w:r>
      <w:r>
        <w:t>The study team</w:t>
      </w:r>
      <w:r w:rsidRPr="006B3FEC">
        <w:t xml:space="preserve"> will then select an average of two </w:t>
      </w:r>
      <w:r>
        <w:t xml:space="preserve">center </w:t>
      </w:r>
      <w:r w:rsidRPr="006B3FEC">
        <w:t xml:space="preserve">managers and all teaching staff for children whose ages </w:t>
      </w:r>
      <w:r w:rsidRPr="006B3FEC">
        <w:lastRenderedPageBreak/>
        <w:t xml:space="preserve">range from birth to age </w:t>
      </w:r>
      <w:r>
        <w:t xml:space="preserve">5 (but who are not yet in kindergarten) </w:t>
      </w:r>
      <w:r w:rsidRPr="006B3FEC">
        <w:t xml:space="preserve">from each of the </w:t>
      </w:r>
      <w:r>
        <w:t>centers</w:t>
      </w:r>
      <w:r w:rsidRPr="006B3FEC">
        <w:t xml:space="preserve"> to collect information about key study constructs. This will provide samples of 240 </w:t>
      </w:r>
      <w:r>
        <w:t xml:space="preserve">center </w:t>
      </w:r>
      <w:r w:rsidRPr="006B3FEC">
        <w:t xml:space="preserve">managers and approximately 1,680 teaching staff in 120 </w:t>
      </w:r>
      <w:r>
        <w:t>centers</w:t>
      </w:r>
      <w:r w:rsidRPr="006B3FEC">
        <w:t>. The analyses will be at both the individual (</w:t>
      </w:r>
      <w:r>
        <w:t xml:space="preserve">center </w:t>
      </w:r>
      <w:r w:rsidRPr="006B3FEC">
        <w:t>manager or teaching staff)</w:t>
      </w:r>
      <w:r>
        <w:t>-</w:t>
      </w:r>
      <w:r w:rsidRPr="006B3FEC">
        <w:t xml:space="preserve">level and the </w:t>
      </w:r>
      <w:r>
        <w:t>center-</w:t>
      </w:r>
      <w:r w:rsidRPr="006B3FEC">
        <w:t xml:space="preserve">level. </w:t>
      </w:r>
    </w:p>
    <w:p w:rsidRPr="001A59B6" w:rsidR="00862585" w:rsidP="00420FFD" w:rsidRDefault="00420FFD" w14:paraId="15FADE8E" w14:textId="0D58C52B">
      <w:pPr>
        <w:pStyle w:val="H3"/>
        <w:rPr>
          <w:rFonts w:eastAsia="Times New Roman"/>
        </w:rPr>
      </w:pPr>
      <w:r>
        <w:rPr>
          <w:rFonts w:eastAsia="Times New Roman"/>
        </w:rPr>
        <w:t>2.</w:t>
      </w:r>
      <w:r>
        <w:rPr>
          <w:rFonts w:eastAsia="Times New Roman"/>
        </w:rPr>
        <w:tab/>
      </w:r>
      <w:r w:rsidRPr="001A59B6" w:rsidR="00862585">
        <w:rPr>
          <w:rFonts w:eastAsia="Times New Roman"/>
        </w:rPr>
        <w:t xml:space="preserve">Sampling and </w:t>
      </w:r>
      <w:r w:rsidR="00940FE8">
        <w:rPr>
          <w:rFonts w:eastAsia="Times New Roman"/>
        </w:rPr>
        <w:t>site selection</w:t>
      </w:r>
    </w:p>
    <w:p w:rsidRPr="006B3FEC" w:rsidR="00862585" w:rsidP="00420FFD" w:rsidRDefault="00862585" w14:paraId="5438A029" w14:textId="77777777">
      <w:pPr>
        <w:pStyle w:val="ParagraphContinued"/>
      </w:pPr>
      <w:r>
        <w:t>The study team</w:t>
      </w:r>
      <w:r w:rsidRPr="006B3FEC">
        <w:t xml:space="preserve"> will use a multistep, purposive sampling approach that begins at the state level and moves systematically to the </w:t>
      </w:r>
      <w:r>
        <w:t>center</w:t>
      </w:r>
      <w:r w:rsidRPr="006B3FEC">
        <w:t xml:space="preserve"> and staff levels.</w:t>
      </w:r>
    </w:p>
    <w:p w:rsidRPr="006B3FEC" w:rsidR="00862585" w:rsidP="00533FDE" w:rsidRDefault="00533FDE" w14:paraId="1B65360A" w14:textId="16B81424">
      <w:pPr>
        <w:pStyle w:val="H4"/>
      </w:pPr>
      <w:r>
        <w:t>a</w:t>
      </w:r>
      <w:r w:rsidR="00420FFD">
        <w:t>.</w:t>
      </w:r>
      <w:r w:rsidR="00420FFD">
        <w:tab/>
      </w:r>
      <w:r w:rsidRPr="006B3FEC" w:rsidR="00862585">
        <w:t xml:space="preserve">Sampling of </w:t>
      </w:r>
      <w:r w:rsidR="00940FE8">
        <w:t>states and centers</w:t>
      </w:r>
    </w:p>
    <w:p w:rsidRPr="006B3FEC" w:rsidR="00862585" w:rsidP="00420FFD" w:rsidRDefault="00862585" w14:paraId="14D6DBC0" w14:textId="77777777">
      <w:pPr>
        <w:pStyle w:val="ParagraphContinued"/>
      </w:pPr>
      <w:r w:rsidRPr="006B3FEC">
        <w:t>The study team will consider the following criteria in selecting the four states:</w:t>
      </w:r>
    </w:p>
    <w:p w:rsidR="00862585" w:rsidP="00420FFD" w:rsidRDefault="00862585" w14:paraId="11B91E7C" w14:textId="77777777">
      <w:pPr>
        <w:pStyle w:val="ListBullet"/>
        <w:rPr>
          <w:rFonts w:eastAsia="Times New Roman"/>
        </w:rPr>
      </w:pPr>
      <w:r w:rsidRPr="00781405">
        <w:rPr>
          <w:rFonts w:eastAsia="Times New Roman"/>
          <w:b/>
          <w:bCs/>
        </w:rPr>
        <w:t>ECE environments that foster leadership.</w:t>
      </w:r>
      <w:r>
        <w:rPr>
          <w:rFonts w:eastAsia="Times New Roman"/>
        </w:rPr>
        <w:t xml:space="preserve"> The study team will select states based on the strength of administrator qualifications including licensing, credentials, and Quality Rating and Improvement System (</w:t>
      </w:r>
      <w:proofErr w:type="spellStart"/>
      <w:r>
        <w:rPr>
          <w:rFonts w:eastAsia="Times New Roman"/>
        </w:rPr>
        <w:t>QRIS</w:t>
      </w:r>
      <w:proofErr w:type="spellEnd"/>
      <w:r>
        <w:rPr>
          <w:rFonts w:eastAsia="Times New Roman"/>
        </w:rPr>
        <w:t>) criteria using the policy lever scores developed by the Leadership Education for Administrators and Directors (</w:t>
      </w:r>
      <w:proofErr w:type="spellStart"/>
      <w:r>
        <w:rPr>
          <w:rFonts w:eastAsia="Times New Roman"/>
        </w:rPr>
        <w:t>L.E.A.D</w:t>
      </w:r>
      <w:proofErr w:type="spellEnd"/>
      <w:r>
        <w:rPr>
          <w:rFonts w:eastAsia="Times New Roman"/>
        </w:rPr>
        <w:t xml:space="preserve">) Early Childhood </w:t>
      </w:r>
      <w:r w:rsidRPr="00DE6A40">
        <w:rPr>
          <w:rFonts w:eastAsia="Times New Roman"/>
        </w:rPr>
        <w:t>Clearinghouse (Abel et al. 2018).</w:t>
      </w:r>
      <w:r w:rsidRPr="00DE6A40">
        <w:rPr>
          <w:rStyle w:val="FootnoteReference"/>
          <w:rFonts w:eastAsia="Times New Roman" w:cstheme="minorHAnsi"/>
          <w:color w:val="000000"/>
        </w:rPr>
        <w:footnoteReference w:id="2"/>
      </w:r>
      <w:r>
        <w:rPr>
          <w:rFonts w:eastAsia="Times New Roman"/>
        </w:rPr>
        <w:t xml:space="preserve"> This criterion will enable the study team to select states that set or promote minimum qualifications for administrators in some manner and thus have ECE environments that foster leadership.</w:t>
      </w:r>
    </w:p>
    <w:p w:rsidR="00862585" w:rsidP="00420FFD" w:rsidRDefault="00862585" w14:paraId="05D32456" w14:textId="729B45EC">
      <w:pPr>
        <w:pStyle w:val="ListBullet"/>
        <w:rPr>
          <w:rFonts w:eastAsia="Times New Roman" w:cstheme="minorHAnsi"/>
          <w:color w:val="000000"/>
        </w:rPr>
      </w:pPr>
      <w:proofErr w:type="spellStart"/>
      <w:r w:rsidRPr="00781405">
        <w:rPr>
          <w:rFonts w:eastAsia="Times New Roman" w:cstheme="minorHAnsi"/>
          <w:b/>
          <w:bCs/>
          <w:color w:val="000000"/>
        </w:rPr>
        <w:t>QRIS</w:t>
      </w:r>
      <w:proofErr w:type="spellEnd"/>
      <w:r w:rsidRPr="00781405">
        <w:rPr>
          <w:rFonts w:eastAsia="Times New Roman" w:cstheme="minorHAnsi"/>
          <w:b/>
          <w:bCs/>
          <w:color w:val="000000"/>
        </w:rPr>
        <w:t xml:space="preserve"> participation.</w:t>
      </w:r>
      <w:r>
        <w:rPr>
          <w:rFonts w:eastAsia="Times New Roman" w:cstheme="minorHAnsi"/>
          <w:color w:val="000000"/>
        </w:rPr>
        <w:t xml:space="preserve"> </w:t>
      </w:r>
      <w:r>
        <w:t xml:space="preserve">The study team prefers to select states that have a sufficient number of centers participating in the </w:t>
      </w:r>
      <w:proofErr w:type="spellStart"/>
      <w:r>
        <w:t>QRIS</w:t>
      </w:r>
      <w:proofErr w:type="spellEnd"/>
      <w:r>
        <w:t xml:space="preserve"> and distributed across the </w:t>
      </w:r>
      <w:proofErr w:type="spellStart"/>
      <w:r>
        <w:t>QRIS</w:t>
      </w:r>
      <w:proofErr w:type="spellEnd"/>
      <w:r>
        <w:t xml:space="preserve"> rating levels to support center selection in two geographic areas of each state. </w:t>
      </w:r>
      <w:r w:rsidRPr="00BF4C81" w:rsidR="004704A5">
        <w:t xml:space="preserve">This criterion will support </w:t>
      </w:r>
      <w:r w:rsidR="001142A1">
        <w:t>the team in</w:t>
      </w:r>
      <w:r w:rsidRPr="00BF4C81" w:rsidR="004704A5">
        <w:t xml:space="preserve"> recruiting centers with varying quality in the two areas.</w:t>
      </w:r>
      <w:r w:rsidR="004704A5">
        <w:t xml:space="preserve"> </w:t>
      </w:r>
      <w:r>
        <w:t xml:space="preserve">The team will try to use </w:t>
      </w:r>
      <w:proofErr w:type="spellStart"/>
      <w:r>
        <w:t>QRIS</w:t>
      </w:r>
      <w:proofErr w:type="spellEnd"/>
      <w:r>
        <w:t xml:space="preserve"> as a proxy for high and low quality in the center-level analyses, although </w:t>
      </w:r>
      <w:proofErr w:type="spellStart"/>
      <w:r>
        <w:t>QRIS</w:t>
      </w:r>
      <w:proofErr w:type="spellEnd"/>
      <w:r>
        <w:t xml:space="preserve"> ratings will not be a criterion for center selection (particularly because of the delays and complications in determining ratings during the COVID-19 pandemic). This criterion will support selection of centers varying in quality.</w:t>
      </w:r>
    </w:p>
    <w:p w:rsidR="00862585" w:rsidP="00420FFD" w:rsidRDefault="00862585" w14:paraId="1025ADF1" w14:textId="77777777">
      <w:pPr>
        <w:pStyle w:val="ListBullet"/>
        <w:rPr>
          <w:rFonts w:eastAsia="Times New Roman"/>
        </w:rPr>
      </w:pPr>
      <w:r w:rsidRPr="00945C61">
        <w:rPr>
          <w:rFonts w:eastAsia="Times New Roman"/>
          <w:b/>
          <w:bCs/>
        </w:rPr>
        <w:t>Child care regulatory context.</w:t>
      </w:r>
      <w:r>
        <w:rPr>
          <w:rFonts w:eastAsia="Times New Roman"/>
        </w:rPr>
        <w:t xml:space="preserve"> The study team will select two states with more stringent licensing requirements and two states with less stringent licensing requirements based on rankings produced by Child Care Aware of America in 2013.</w:t>
      </w:r>
      <w:r>
        <w:rPr>
          <w:rStyle w:val="FootnoteReference"/>
          <w:rFonts w:eastAsia="Times New Roman" w:cstheme="minorHAnsi"/>
          <w:color w:val="000000"/>
        </w:rPr>
        <w:footnoteReference w:id="3"/>
      </w:r>
      <w:r>
        <w:rPr>
          <w:rFonts w:eastAsia="Times New Roman"/>
        </w:rPr>
        <w:t xml:space="preserve"> </w:t>
      </w:r>
    </w:p>
    <w:p w:rsidRPr="00945C61" w:rsidR="00862585" w:rsidP="00420FFD" w:rsidRDefault="00862585" w14:paraId="108EC0F5" w14:textId="26BC4320">
      <w:pPr>
        <w:pStyle w:val="ListBullet"/>
        <w:rPr>
          <w:rFonts w:eastAsia="Times New Roman"/>
        </w:rPr>
      </w:pPr>
      <w:r>
        <w:rPr>
          <w:rFonts w:eastAsia="Times New Roman"/>
          <w:b/>
          <w:bCs/>
        </w:rPr>
        <w:t xml:space="preserve">Reimbursement rates for child care subsides as supports for ECE access and quality. </w:t>
      </w:r>
      <w:r>
        <w:t>The study team</w:t>
      </w:r>
      <w:r w:rsidRPr="006B3FEC">
        <w:t xml:space="preserve"> </w:t>
      </w:r>
      <w:r>
        <w:rPr>
          <w:rFonts w:eastAsia="Times New Roman"/>
        </w:rPr>
        <w:t xml:space="preserve">will select states that </w:t>
      </w:r>
      <w:r w:rsidR="0026750E">
        <w:t xml:space="preserve">vary in the </w:t>
      </w:r>
      <w:r>
        <w:rPr>
          <w:rFonts w:eastAsia="Times New Roman"/>
        </w:rPr>
        <w:t xml:space="preserve">payments of </w:t>
      </w:r>
      <w:proofErr w:type="spellStart"/>
      <w:r>
        <w:rPr>
          <w:rFonts w:eastAsia="Times New Roman"/>
        </w:rPr>
        <w:t>CCDF</w:t>
      </w:r>
      <w:proofErr w:type="spellEnd"/>
      <w:r>
        <w:rPr>
          <w:rFonts w:eastAsia="Times New Roman"/>
        </w:rPr>
        <w:t xml:space="preserve"> subsidies, as represented by the percentage of the market share at which rates were set in 2018. Subsidy reimbursement rates could indicate the ability of </w:t>
      </w:r>
      <w:proofErr w:type="spellStart"/>
      <w:r>
        <w:rPr>
          <w:rFonts w:eastAsia="Times New Roman"/>
        </w:rPr>
        <w:t>CCDF</w:t>
      </w:r>
      <w:proofErr w:type="spellEnd"/>
      <w:r>
        <w:rPr>
          <w:rFonts w:eastAsia="Times New Roman"/>
        </w:rPr>
        <w:t xml:space="preserve">-funded centers to invest in quality of leadership. </w:t>
      </w:r>
    </w:p>
    <w:p w:rsidRPr="009B4224" w:rsidR="00862585" w:rsidP="00420FFD" w:rsidRDefault="00862585" w14:paraId="4F8D38A4" w14:textId="77777777">
      <w:pPr>
        <w:pStyle w:val="ListBullet"/>
        <w:rPr>
          <w:rFonts w:eastAsia="Times New Roman"/>
        </w:rPr>
      </w:pPr>
      <w:r w:rsidRPr="009B4224">
        <w:rPr>
          <w:rFonts w:eastAsia="Times New Roman"/>
          <w:b/>
          <w:bCs/>
        </w:rPr>
        <w:t>Geographic regions.</w:t>
      </w:r>
      <w:r>
        <w:rPr>
          <w:rFonts w:eastAsia="Times New Roman"/>
        </w:rPr>
        <w:t xml:space="preserve"> </w:t>
      </w:r>
      <w:r>
        <w:t>The study team</w:t>
      </w:r>
      <w:r w:rsidRPr="006B3FEC">
        <w:t xml:space="preserve"> </w:t>
      </w:r>
      <w:r>
        <w:rPr>
          <w:rFonts w:eastAsia="Times New Roman"/>
        </w:rPr>
        <w:t xml:space="preserve">will select states in different census-defined regions to capture variation in state and regional context and conditions. </w:t>
      </w:r>
    </w:p>
    <w:p w:rsidRPr="006B3FEC" w:rsidR="00862585" w:rsidP="00420FFD" w:rsidRDefault="00862585" w14:paraId="77C2C9E9" w14:textId="599AE7D2">
      <w:pPr>
        <w:pStyle w:val="ParagraphContinued"/>
      </w:pPr>
      <w:r w:rsidRPr="006B3FEC">
        <w:t xml:space="preserve">Across the four states, </w:t>
      </w:r>
      <w:r>
        <w:t>the study team</w:t>
      </w:r>
      <w:r w:rsidRPr="006B3FEC">
        <w:t xml:space="preserve"> plan</w:t>
      </w:r>
      <w:r>
        <w:t>s</w:t>
      </w:r>
      <w:r w:rsidRPr="006B3FEC">
        <w:t xml:space="preserve"> to achieve a total sample of 120 </w:t>
      </w:r>
      <w:r>
        <w:t>centers</w:t>
      </w:r>
      <w:r w:rsidRPr="006B3FEC">
        <w:t xml:space="preserve">. </w:t>
      </w:r>
      <w:r>
        <w:t>A</w:t>
      </w:r>
      <w:r w:rsidRPr="006B3FEC">
        <w:t xml:space="preserve"> </w:t>
      </w:r>
      <w:r>
        <w:t>center</w:t>
      </w:r>
      <w:r w:rsidRPr="006B3FEC">
        <w:t xml:space="preserve"> </w:t>
      </w:r>
      <w:r>
        <w:t xml:space="preserve">is defined </w:t>
      </w:r>
      <w:r w:rsidRPr="006B3FEC">
        <w:t xml:space="preserve">as a specific physical location with at least two classrooms that has the primary purpose of providing ECE services for children whose ages range from birth to age </w:t>
      </w:r>
      <w:r>
        <w:t>5 (but who are not yet in kindergarten)</w:t>
      </w:r>
      <w:r w:rsidRPr="006B3FEC">
        <w:t xml:space="preserve">. </w:t>
      </w:r>
      <w:r>
        <w:t>C</w:t>
      </w:r>
      <w:r w:rsidRPr="006B3FEC">
        <w:t xml:space="preserve">lassrooms in public school settings </w:t>
      </w:r>
      <w:r>
        <w:t xml:space="preserve">will be excluded </w:t>
      </w:r>
      <w:r w:rsidRPr="006B3FEC">
        <w:t xml:space="preserve">in order to focus on ECE leadership that are not confounded by K-12 leadership structures. </w:t>
      </w:r>
      <w:r>
        <w:t>The study team</w:t>
      </w:r>
      <w:r w:rsidRPr="006B3FEC">
        <w:t xml:space="preserve"> will restrict the selection of </w:t>
      </w:r>
      <w:r>
        <w:t>center</w:t>
      </w:r>
      <w:r w:rsidRPr="006B3FEC">
        <w:t xml:space="preserve">s to those that offer </w:t>
      </w:r>
      <w:r>
        <w:t>full-day service</w:t>
      </w:r>
      <w:r w:rsidRPr="006B3FEC">
        <w:t xml:space="preserve">. </w:t>
      </w:r>
      <w:r>
        <w:t xml:space="preserve">The selection criteria will include </w:t>
      </w:r>
      <w:r w:rsidRPr="006B3FEC">
        <w:t xml:space="preserve">funding mix, center size, and geographic </w:t>
      </w:r>
      <w:r w:rsidRPr="006B3FEC">
        <w:lastRenderedPageBreak/>
        <w:t xml:space="preserve">area </w:t>
      </w:r>
      <w:r>
        <w:t>as defined in Table B.1</w:t>
      </w:r>
      <w:r w:rsidRPr="006B3FEC">
        <w:t xml:space="preserve">. The study team plans to target similar proportions of different types of </w:t>
      </w:r>
      <w:r>
        <w:t>centers</w:t>
      </w:r>
      <w:r w:rsidRPr="006B3FEC">
        <w:t xml:space="preserve"> in each state.</w:t>
      </w:r>
    </w:p>
    <w:bookmarkStart w:name="_Toc57127452" w:id="0"/>
    <w:bookmarkStart w:name="_Toc57189469" w:id="1"/>
    <w:bookmarkStart w:name="_Toc57197937" w:id="2"/>
    <w:p w:rsidR="006122F2" w:rsidP="00B12207" w:rsidRDefault="006122F2" w14:paraId="00D02861" w14:textId="77777777">
      <w:pPr>
        <w:pStyle w:val="TitleRule"/>
      </w:pPr>
      <w:r w:rsidRPr="00465BF8">
        <w:rPr>
          <w:noProof/>
        </w:rPr>
        <mc:AlternateContent>
          <mc:Choice Requires="wps">
            <w:drawing>
              <wp:inline distT="0" distB="0" distL="0" distR="0" wp14:anchorId="4CA9B787" wp14:editId="25F288EB">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D712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6122F2" w:rsidR="00862585" w:rsidP="006122F2" w:rsidRDefault="00862585" w14:paraId="06C8E3CA" w14:textId="77777777">
      <w:pPr>
        <w:pStyle w:val="TableTitle"/>
        <w:rPr>
          <w:highlight w:val="yellow"/>
        </w:rPr>
      </w:pPr>
      <w:r w:rsidRPr="006122F2">
        <w:t>Table B.1. Center sample sizes by center selection criteria</w:t>
      </w:r>
      <w:bookmarkEnd w:id="0"/>
      <w:bookmarkEnd w:id="1"/>
      <w:bookmarkEnd w:id="2"/>
    </w:p>
    <w:tbl>
      <w:tblPr>
        <w:tblStyle w:val="MathUBaseTable"/>
        <w:tblW w:w="0" w:type="auto"/>
        <w:tblLook w:val="04A0" w:firstRow="1" w:lastRow="0" w:firstColumn="1" w:lastColumn="0" w:noHBand="0" w:noVBand="1"/>
      </w:tblPr>
      <w:tblGrid>
        <w:gridCol w:w="1928"/>
        <w:gridCol w:w="1487"/>
        <w:gridCol w:w="1260"/>
        <w:gridCol w:w="1440"/>
        <w:gridCol w:w="1170"/>
        <w:gridCol w:w="1096"/>
        <w:gridCol w:w="969"/>
      </w:tblGrid>
      <w:tr w:rsidRPr="008D00A8" w:rsidR="00862585" w:rsidTr="006122F2" w14:paraId="48CF716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8" w:type="dxa"/>
          </w:tcPr>
          <w:p w:rsidRPr="002E4FD9" w:rsidR="00862585" w:rsidP="006122F2" w:rsidRDefault="00862585" w14:paraId="63D75E79" w14:textId="77777777">
            <w:pPr>
              <w:pStyle w:val="TableHeaderCenter"/>
              <w:rPr>
                <w:b w:val="0"/>
                <w:bCs/>
              </w:rPr>
            </w:pPr>
          </w:p>
        </w:tc>
        <w:tc>
          <w:tcPr>
            <w:tcW w:w="1487" w:type="dxa"/>
            <w:vMerge w:val="restart"/>
          </w:tcPr>
          <w:p w:rsidRPr="008D00A8" w:rsidR="00862585" w:rsidP="006122F2" w:rsidRDefault="00862585" w14:paraId="58503A99" w14:textId="77777777">
            <w:pPr>
              <w:pStyle w:val="TableHeaderCenter"/>
              <w:cnfStyle w:val="100000000000" w:firstRow="1" w:lastRow="0" w:firstColumn="0" w:lastColumn="0" w:oddVBand="0" w:evenVBand="0" w:oddHBand="0" w:evenHBand="0" w:firstRowFirstColumn="0" w:firstRowLastColumn="0" w:lastRowFirstColumn="0" w:lastRowLastColumn="0"/>
              <w:rPr>
                <w:b w:val="0"/>
                <w:bCs/>
                <w:iCs/>
              </w:rPr>
            </w:pPr>
            <w:r w:rsidRPr="008D00A8">
              <w:rPr>
                <w:bCs/>
                <w:iCs/>
              </w:rPr>
              <w:t>Geographic area</w:t>
            </w:r>
          </w:p>
        </w:tc>
        <w:tc>
          <w:tcPr>
            <w:tcW w:w="3870" w:type="dxa"/>
            <w:gridSpan w:val="3"/>
          </w:tcPr>
          <w:p w:rsidRPr="008D00A8" w:rsidR="00862585" w:rsidP="006122F2" w:rsidRDefault="00862585" w14:paraId="18E4D5FA"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8D00A8">
              <w:rPr>
                <w:bCs/>
              </w:rPr>
              <w:t xml:space="preserve">Center </w:t>
            </w:r>
            <w:proofErr w:type="spellStart"/>
            <w:r w:rsidRPr="008D00A8">
              <w:rPr>
                <w:bCs/>
              </w:rPr>
              <w:t>size</w:t>
            </w:r>
            <w:r w:rsidRPr="008D00A8">
              <w:rPr>
                <w:bCs/>
                <w:vertAlign w:val="superscript"/>
              </w:rPr>
              <w:t>b</w:t>
            </w:r>
            <w:proofErr w:type="spellEnd"/>
          </w:p>
        </w:tc>
        <w:tc>
          <w:tcPr>
            <w:tcW w:w="1096" w:type="dxa"/>
            <w:vMerge w:val="restart"/>
          </w:tcPr>
          <w:p w:rsidRPr="008D00A8" w:rsidR="00862585" w:rsidP="006122F2" w:rsidRDefault="00862585" w14:paraId="1DF19BDC"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8D00A8">
              <w:rPr>
                <w:bCs/>
              </w:rPr>
              <w:t>Row total</w:t>
            </w:r>
          </w:p>
        </w:tc>
        <w:tc>
          <w:tcPr>
            <w:tcW w:w="969" w:type="dxa"/>
            <w:vMerge w:val="restart"/>
          </w:tcPr>
          <w:p w:rsidRPr="008D00A8" w:rsidR="00862585" w:rsidP="006122F2" w:rsidRDefault="00862585" w14:paraId="58F4F7B3"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8D00A8">
              <w:rPr>
                <w:bCs/>
              </w:rPr>
              <w:t>Total by funding mix</w:t>
            </w:r>
          </w:p>
        </w:tc>
      </w:tr>
      <w:tr w:rsidRPr="008D00A8" w:rsidR="006122F2" w:rsidTr="006122F2" w14:paraId="5300C78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8" w:type="dxa"/>
          </w:tcPr>
          <w:p w:rsidRPr="002E4FD9" w:rsidR="00862585" w:rsidP="006122F2" w:rsidRDefault="00862585" w14:paraId="593D90E5" w14:textId="77777777">
            <w:pPr>
              <w:pStyle w:val="TableHeaderLeft"/>
              <w:rPr>
                <w:b w:val="0"/>
              </w:rPr>
            </w:pPr>
            <w:r w:rsidRPr="002E4FD9">
              <w:t xml:space="preserve">Funding </w:t>
            </w:r>
            <w:proofErr w:type="spellStart"/>
            <w:r w:rsidRPr="002E4FD9">
              <w:t>mix</w:t>
            </w:r>
            <w:r w:rsidRPr="002E4FD9">
              <w:rPr>
                <w:vertAlign w:val="superscript"/>
              </w:rPr>
              <w:t>a</w:t>
            </w:r>
            <w:proofErr w:type="spellEnd"/>
          </w:p>
        </w:tc>
        <w:tc>
          <w:tcPr>
            <w:tcW w:w="1487" w:type="dxa"/>
            <w:vMerge/>
            <w:tcBorders>
              <w:bottom w:val="single" w:color="046B5C" w:themeColor="text2" w:sz="4" w:space="0"/>
            </w:tcBorders>
          </w:tcPr>
          <w:p w:rsidRPr="002E4FD9" w:rsidR="00862585" w:rsidP="006122F2" w:rsidRDefault="00862585" w14:paraId="29EC884B"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p>
        </w:tc>
        <w:tc>
          <w:tcPr>
            <w:tcW w:w="1260" w:type="dxa"/>
          </w:tcPr>
          <w:p w:rsidRPr="002E4FD9" w:rsidR="00862585" w:rsidP="006122F2" w:rsidRDefault="00862585" w14:paraId="72357CAF"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2E4FD9">
              <w:t>Large</w:t>
            </w:r>
          </w:p>
        </w:tc>
        <w:tc>
          <w:tcPr>
            <w:tcW w:w="1440" w:type="dxa"/>
          </w:tcPr>
          <w:p w:rsidRPr="002E4FD9" w:rsidR="00862585" w:rsidP="006122F2" w:rsidRDefault="00862585" w14:paraId="08FD44CE"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2E4FD9">
              <w:t>Medium</w:t>
            </w:r>
          </w:p>
        </w:tc>
        <w:tc>
          <w:tcPr>
            <w:tcW w:w="1170" w:type="dxa"/>
          </w:tcPr>
          <w:p w:rsidRPr="002E4FD9" w:rsidR="00862585" w:rsidP="006122F2" w:rsidRDefault="00862585" w14:paraId="774556CB"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2E4FD9">
              <w:t>Small</w:t>
            </w:r>
          </w:p>
        </w:tc>
        <w:tc>
          <w:tcPr>
            <w:tcW w:w="1096" w:type="dxa"/>
            <w:vMerge/>
            <w:tcBorders>
              <w:bottom w:val="single" w:color="046B5C" w:themeColor="text2" w:sz="4" w:space="0"/>
            </w:tcBorders>
          </w:tcPr>
          <w:p w:rsidRPr="008D00A8" w:rsidR="00862585" w:rsidP="006122F2" w:rsidRDefault="00862585" w14:paraId="3A1FA049"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969" w:type="dxa"/>
            <w:vMerge/>
          </w:tcPr>
          <w:p w:rsidRPr="008D00A8" w:rsidR="00862585" w:rsidP="006122F2" w:rsidRDefault="00862585" w14:paraId="6A54D1C8"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r>
      <w:tr w:rsidRPr="008D00A8" w:rsidR="006122F2" w:rsidTr="006122F2" w14:paraId="2054EEBA" w14:textId="77777777">
        <w:trPr>
          <w:trHeight w:val="230"/>
        </w:trPr>
        <w:tc>
          <w:tcPr>
            <w:cnfStyle w:val="001000000000" w:firstRow="0" w:lastRow="0" w:firstColumn="1" w:lastColumn="0" w:oddVBand="0" w:evenVBand="0" w:oddHBand="0" w:evenHBand="0" w:firstRowFirstColumn="0" w:firstRowLastColumn="0" w:lastRowFirstColumn="0" w:lastRowLastColumn="0"/>
            <w:tcW w:w="1928" w:type="dxa"/>
            <w:vMerge w:val="restart"/>
          </w:tcPr>
          <w:p w:rsidRPr="008D00A8" w:rsidR="00862585" w:rsidP="006122F2" w:rsidRDefault="00862585" w14:paraId="5FF2CEF8" w14:textId="77777777">
            <w:pPr>
              <w:pStyle w:val="TableTextLeft"/>
            </w:pPr>
            <w:r w:rsidRPr="008D00A8">
              <w:t>Head Start</w:t>
            </w:r>
          </w:p>
        </w:tc>
        <w:tc>
          <w:tcPr>
            <w:tcW w:w="1487" w:type="dxa"/>
            <w:tcBorders>
              <w:top w:val="single" w:color="046B5C" w:themeColor="text2" w:sz="4" w:space="0"/>
              <w:right w:val="single" w:color="046B5C" w:themeColor="text2" w:sz="4" w:space="0"/>
            </w:tcBorders>
          </w:tcPr>
          <w:p w:rsidRPr="008D00A8" w:rsidR="00862585" w:rsidP="006122F2" w:rsidRDefault="00862585" w14:paraId="00FAECE5"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Urban</w:t>
            </w:r>
          </w:p>
        </w:tc>
        <w:tc>
          <w:tcPr>
            <w:tcW w:w="1260" w:type="dxa"/>
            <w:tcBorders>
              <w:left w:val="single" w:color="046B5C" w:themeColor="text2" w:sz="4" w:space="0"/>
            </w:tcBorders>
          </w:tcPr>
          <w:p w:rsidRPr="008D00A8" w:rsidR="00862585" w:rsidP="006122F2" w:rsidRDefault="00862585" w14:paraId="355EB6C7"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0D96C2DE"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6BBE841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4</w:t>
            </w:r>
          </w:p>
        </w:tc>
        <w:tc>
          <w:tcPr>
            <w:tcW w:w="1096" w:type="dxa"/>
            <w:tcBorders>
              <w:top w:val="single" w:color="046B5C" w:themeColor="text2" w:sz="4" w:space="0"/>
              <w:right w:val="single" w:color="046B5C" w:themeColor="text2" w:sz="4" w:space="0"/>
            </w:tcBorders>
          </w:tcPr>
          <w:p w:rsidRPr="008D00A8" w:rsidR="00862585" w:rsidP="006122F2" w:rsidRDefault="00862585" w14:paraId="06DD7854"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val="restart"/>
            <w:tcBorders>
              <w:left w:val="single" w:color="046B5C" w:themeColor="text2" w:sz="4" w:space="0"/>
            </w:tcBorders>
          </w:tcPr>
          <w:p w:rsidRPr="008D00A8" w:rsidR="00862585" w:rsidP="006122F2" w:rsidRDefault="00862585" w14:paraId="795DD8D9"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40</w:t>
            </w:r>
          </w:p>
        </w:tc>
      </w:tr>
      <w:tr w:rsidRPr="008D00A8" w:rsidR="006122F2" w:rsidTr="006122F2" w14:paraId="6B9B9182" w14:textId="77777777">
        <w:trPr>
          <w:trHeight w:val="229"/>
        </w:trPr>
        <w:tc>
          <w:tcPr>
            <w:cnfStyle w:val="001000000000" w:firstRow="0" w:lastRow="0" w:firstColumn="1" w:lastColumn="0" w:oddVBand="0" w:evenVBand="0" w:oddHBand="0" w:evenHBand="0" w:firstRowFirstColumn="0" w:firstRowLastColumn="0" w:lastRowFirstColumn="0" w:lastRowLastColumn="0"/>
            <w:tcW w:w="1928" w:type="dxa"/>
            <w:vMerge/>
          </w:tcPr>
          <w:p w:rsidRPr="008D00A8" w:rsidR="00862585" w:rsidP="006122F2" w:rsidRDefault="00862585" w14:paraId="75570CA4" w14:textId="77777777">
            <w:pPr>
              <w:pStyle w:val="TableTextLeft"/>
            </w:pPr>
          </w:p>
        </w:tc>
        <w:tc>
          <w:tcPr>
            <w:tcW w:w="1487" w:type="dxa"/>
            <w:tcBorders>
              <w:top w:val="single" w:color="046B5C" w:themeColor="text2" w:sz="4" w:space="0"/>
              <w:right w:val="single" w:color="046B5C" w:themeColor="text2" w:sz="4" w:space="0"/>
            </w:tcBorders>
          </w:tcPr>
          <w:p w:rsidRPr="008D00A8" w:rsidR="00862585" w:rsidP="006122F2" w:rsidRDefault="00862585" w14:paraId="278CDCD3"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Suburban</w:t>
            </w:r>
          </w:p>
        </w:tc>
        <w:tc>
          <w:tcPr>
            <w:tcW w:w="1260" w:type="dxa"/>
            <w:tcBorders>
              <w:left w:val="single" w:color="046B5C" w:themeColor="text2" w:sz="4" w:space="0"/>
            </w:tcBorders>
          </w:tcPr>
          <w:p w:rsidRPr="008D00A8" w:rsidR="00862585" w:rsidP="006122F2" w:rsidRDefault="00862585" w14:paraId="62005E32"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432A924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533BBAFD"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4</w:t>
            </w:r>
          </w:p>
        </w:tc>
        <w:tc>
          <w:tcPr>
            <w:tcW w:w="1096" w:type="dxa"/>
            <w:tcBorders>
              <w:top w:val="single" w:color="046B5C" w:themeColor="text2" w:sz="4" w:space="0"/>
              <w:right w:val="single" w:color="046B5C" w:themeColor="text2" w:sz="4" w:space="0"/>
            </w:tcBorders>
          </w:tcPr>
          <w:p w:rsidRPr="008D00A8" w:rsidR="00862585" w:rsidP="006122F2" w:rsidRDefault="00862585" w14:paraId="35815108"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tcBorders>
              <w:left w:val="single" w:color="046B5C" w:themeColor="text2" w:sz="4" w:space="0"/>
            </w:tcBorders>
          </w:tcPr>
          <w:p w:rsidRPr="008D00A8" w:rsidR="00862585" w:rsidP="006122F2" w:rsidRDefault="00862585" w14:paraId="3D0E6092"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6122F2" w:rsidTr="006122F2" w14:paraId="12868F5B" w14:textId="77777777">
        <w:trPr>
          <w:trHeight w:val="230"/>
        </w:trPr>
        <w:tc>
          <w:tcPr>
            <w:cnfStyle w:val="001000000000" w:firstRow="0" w:lastRow="0" w:firstColumn="1" w:lastColumn="0" w:oddVBand="0" w:evenVBand="0" w:oddHBand="0" w:evenHBand="0" w:firstRowFirstColumn="0" w:firstRowLastColumn="0" w:lastRowFirstColumn="0" w:lastRowLastColumn="0"/>
            <w:tcW w:w="1928" w:type="dxa"/>
            <w:vMerge w:val="restart"/>
          </w:tcPr>
          <w:p w:rsidRPr="008D00A8" w:rsidR="00862585" w:rsidP="006122F2" w:rsidRDefault="00862585" w14:paraId="4A2A2B93" w14:textId="77777777">
            <w:pPr>
              <w:pStyle w:val="TableTextLeft"/>
            </w:pPr>
            <w:proofErr w:type="spellStart"/>
            <w:r w:rsidRPr="008D00A8">
              <w:t>CCDF</w:t>
            </w:r>
            <w:proofErr w:type="spellEnd"/>
          </w:p>
        </w:tc>
        <w:tc>
          <w:tcPr>
            <w:tcW w:w="1487" w:type="dxa"/>
            <w:tcBorders>
              <w:top w:val="single" w:color="046B5C" w:themeColor="text2" w:sz="4" w:space="0"/>
              <w:right w:val="single" w:color="046B5C" w:themeColor="text2" w:sz="4" w:space="0"/>
            </w:tcBorders>
          </w:tcPr>
          <w:p w:rsidRPr="008D00A8" w:rsidR="00862585" w:rsidP="006122F2" w:rsidRDefault="00862585" w14:paraId="4ED69047"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Urban</w:t>
            </w:r>
          </w:p>
        </w:tc>
        <w:tc>
          <w:tcPr>
            <w:tcW w:w="1260" w:type="dxa"/>
            <w:tcBorders>
              <w:left w:val="single" w:color="046B5C" w:themeColor="text2" w:sz="4" w:space="0"/>
            </w:tcBorders>
          </w:tcPr>
          <w:p w:rsidRPr="008D00A8" w:rsidR="00862585" w:rsidP="006122F2" w:rsidRDefault="00862585" w14:paraId="1869C086"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2C0B8828"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4</w:t>
            </w:r>
          </w:p>
        </w:tc>
        <w:tc>
          <w:tcPr>
            <w:tcW w:w="1170" w:type="dxa"/>
          </w:tcPr>
          <w:p w:rsidRPr="008D00A8" w:rsidR="00862585" w:rsidP="006122F2" w:rsidRDefault="00862585" w14:paraId="51733834"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right w:val="single" w:color="046B5C" w:themeColor="text2" w:sz="4" w:space="0"/>
            </w:tcBorders>
          </w:tcPr>
          <w:p w:rsidRPr="008D00A8" w:rsidR="00862585" w:rsidP="006122F2" w:rsidRDefault="00862585" w14:paraId="4C3FFC48"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val="restart"/>
            <w:tcBorders>
              <w:left w:val="single" w:color="046B5C" w:themeColor="text2" w:sz="4" w:space="0"/>
            </w:tcBorders>
          </w:tcPr>
          <w:p w:rsidRPr="008D00A8" w:rsidR="00862585" w:rsidP="006122F2" w:rsidRDefault="00862585" w14:paraId="4DBE2462"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40</w:t>
            </w:r>
          </w:p>
        </w:tc>
      </w:tr>
      <w:tr w:rsidRPr="008D00A8" w:rsidR="006122F2" w:rsidTr="006122F2" w14:paraId="614279BE" w14:textId="77777777">
        <w:trPr>
          <w:trHeight w:val="229"/>
        </w:trPr>
        <w:tc>
          <w:tcPr>
            <w:cnfStyle w:val="001000000000" w:firstRow="0" w:lastRow="0" w:firstColumn="1" w:lastColumn="0" w:oddVBand="0" w:evenVBand="0" w:oddHBand="0" w:evenHBand="0" w:firstRowFirstColumn="0" w:firstRowLastColumn="0" w:lastRowFirstColumn="0" w:lastRowLastColumn="0"/>
            <w:tcW w:w="1928" w:type="dxa"/>
            <w:vMerge/>
          </w:tcPr>
          <w:p w:rsidRPr="008D00A8" w:rsidR="00862585" w:rsidP="006122F2" w:rsidRDefault="00862585" w14:paraId="4F366209" w14:textId="77777777">
            <w:pPr>
              <w:pStyle w:val="TableTextLeft"/>
            </w:pPr>
          </w:p>
        </w:tc>
        <w:tc>
          <w:tcPr>
            <w:tcW w:w="1487" w:type="dxa"/>
            <w:tcBorders>
              <w:top w:val="single" w:color="046B5C" w:themeColor="text2" w:sz="4" w:space="0"/>
              <w:right w:val="single" w:color="046B5C" w:themeColor="text2" w:sz="4" w:space="0"/>
            </w:tcBorders>
          </w:tcPr>
          <w:p w:rsidRPr="008D00A8" w:rsidR="00862585" w:rsidP="006122F2" w:rsidRDefault="00862585" w14:paraId="745BD426"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Suburban</w:t>
            </w:r>
          </w:p>
        </w:tc>
        <w:tc>
          <w:tcPr>
            <w:tcW w:w="1260" w:type="dxa"/>
            <w:tcBorders>
              <w:left w:val="single" w:color="046B5C" w:themeColor="text2" w:sz="4" w:space="0"/>
            </w:tcBorders>
          </w:tcPr>
          <w:p w:rsidRPr="008D00A8" w:rsidR="00862585" w:rsidP="006122F2" w:rsidRDefault="00862585" w14:paraId="01E6B0B1"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0A152596"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4</w:t>
            </w:r>
          </w:p>
        </w:tc>
        <w:tc>
          <w:tcPr>
            <w:tcW w:w="1170" w:type="dxa"/>
          </w:tcPr>
          <w:p w:rsidRPr="008D00A8" w:rsidR="00862585" w:rsidP="006122F2" w:rsidRDefault="00862585" w14:paraId="684F903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right w:val="single" w:color="046B5C" w:themeColor="text2" w:sz="4" w:space="0"/>
            </w:tcBorders>
          </w:tcPr>
          <w:p w:rsidRPr="008D00A8" w:rsidR="00862585" w:rsidP="006122F2" w:rsidRDefault="00862585" w14:paraId="4F5C323C"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tcBorders>
              <w:left w:val="single" w:color="046B5C" w:themeColor="text2" w:sz="4" w:space="0"/>
            </w:tcBorders>
          </w:tcPr>
          <w:p w:rsidRPr="008D00A8" w:rsidR="00862585" w:rsidP="006122F2" w:rsidRDefault="00862585" w14:paraId="1F00156B"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6122F2" w:rsidTr="006122F2" w14:paraId="6403C6C6" w14:textId="77777777">
        <w:trPr>
          <w:trHeight w:val="230"/>
        </w:trPr>
        <w:tc>
          <w:tcPr>
            <w:cnfStyle w:val="001000000000" w:firstRow="0" w:lastRow="0" w:firstColumn="1" w:lastColumn="0" w:oddVBand="0" w:evenVBand="0" w:oddHBand="0" w:evenHBand="0" w:firstRowFirstColumn="0" w:firstRowLastColumn="0" w:lastRowFirstColumn="0" w:lastRowLastColumn="0"/>
            <w:tcW w:w="1928" w:type="dxa"/>
            <w:vMerge w:val="restart"/>
          </w:tcPr>
          <w:p w:rsidRPr="008D00A8" w:rsidR="00862585" w:rsidP="006122F2" w:rsidRDefault="00862585" w14:paraId="4E455FFD" w14:textId="77777777">
            <w:pPr>
              <w:pStyle w:val="TableTextLeft"/>
            </w:pPr>
            <w:r w:rsidRPr="008D00A8">
              <w:t xml:space="preserve"> Mixed funding</w:t>
            </w:r>
          </w:p>
        </w:tc>
        <w:tc>
          <w:tcPr>
            <w:tcW w:w="1487" w:type="dxa"/>
            <w:tcBorders>
              <w:top w:val="single" w:color="046B5C" w:themeColor="text2" w:sz="4" w:space="0"/>
              <w:right w:val="single" w:color="046B5C" w:themeColor="text2" w:sz="4" w:space="0"/>
            </w:tcBorders>
          </w:tcPr>
          <w:p w:rsidRPr="008D00A8" w:rsidR="00862585" w:rsidP="006122F2" w:rsidRDefault="00862585" w14:paraId="56805150"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Urban</w:t>
            </w:r>
          </w:p>
        </w:tc>
        <w:tc>
          <w:tcPr>
            <w:tcW w:w="1260" w:type="dxa"/>
            <w:tcBorders>
              <w:left w:val="single" w:color="046B5C" w:themeColor="text2" w:sz="4" w:space="0"/>
            </w:tcBorders>
          </w:tcPr>
          <w:p w:rsidRPr="008D00A8" w:rsidR="00862585" w:rsidP="006122F2" w:rsidRDefault="00862585" w14:paraId="13BC5331"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w:t>
            </w:r>
          </w:p>
        </w:tc>
        <w:tc>
          <w:tcPr>
            <w:tcW w:w="1440" w:type="dxa"/>
          </w:tcPr>
          <w:p w:rsidRPr="008D00A8" w:rsidR="00862585" w:rsidP="006122F2" w:rsidRDefault="00862585" w14:paraId="3AD02C35"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5F3CC9F0"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right w:val="single" w:color="046B5C" w:themeColor="text2" w:sz="4" w:space="0"/>
            </w:tcBorders>
          </w:tcPr>
          <w:p w:rsidRPr="008D00A8" w:rsidR="00862585" w:rsidP="006122F2" w:rsidRDefault="00862585" w14:paraId="3A1BF07A"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val="restart"/>
            <w:tcBorders>
              <w:left w:val="single" w:color="046B5C" w:themeColor="text2" w:sz="4" w:space="0"/>
            </w:tcBorders>
          </w:tcPr>
          <w:p w:rsidRPr="008D00A8" w:rsidR="00862585" w:rsidP="006122F2" w:rsidRDefault="00862585" w14:paraId="5CE54E90"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40</w:t>
            </w:r>
          </w:p>
        </w:tc>
      </w:tr>
      <w:tr w:rsidRPr="008D00A8" w:rsidR="006122F2" w:rsidTr="00B13A87" w14:paraId="2F72DDC5" w14:textId="77777777">
        <w:trPr>
          <w:trHeight w:val="229"/>
        </w:trPr>
        <w:tc>
          <w:tcPr>
            <w:cnfStyle w:val="001000000000" w:firstRow="0" w:lastRow="0" w:firstColumn="1" w:lastColumn="0" w:oddVBand="0" w:evenVBand="0" w:oddHBand="0" w:evenHBand="0" w:firstRowFirstColumn="0" w:firstRowLastColumn="0" w:lastRowFirstColumn="0" w:lastRowLastColumn="0"/>
            <w:tcW w:w="1928" w:type="dxa"/>
            <w:vMerge/>
          </w:tcPr>
          <w:p w:rsidRPr="008D00A8" w:rsidR="00862585" w:rsidP="006122F2" w:rsidRDefault="00862585" w14:paraId="7FED794F" w14:textId="77777777">
            <w:pPr>
              <w:pStyle w:val="TableTextLeft"/>
            </w:pPr>
          </w:p>
        </w:tc>
        <w:tc>
          <w:tcPr>
            <w:tcW w:w="1487" w:type="dxa"/>
            <w:tcBorders>
              <w:top w:val="single" w:color="046B5C" w:themeColor="text2" w:sz="4" w:space="0"/>
              <w:right w:val="single" w:color="046B5C" w:themeColor="text2" w:sz="4" w:space="0"/>
            </w:tcBorders>
          </w:tcPr>
          <w:p w:rsidRPr="008D00A8" w:rsidR="00862585" w:rsidP="006122F2" w:rsidRDefault="00862585" w14:paraId="5453D4AB"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Suburban</w:t>
            </w:r>
          </w:p>
        </w:tc>
        <w:tc>
          <w:tcPr>
            <w:tcW w:w="1260" w:type="dxa"/>
            <w:tcBorders>
              <w:left w:val="single" w:color="046B5C" w:themeColor="text2" w:sz="4" w:space="0"/>
            </w:tcBorders>
          </w:tcPr>
          <w:p w:rsidRPr="008D00A8" w:rsidR="00862585" w:rsidP="006122F2" w:rsidRDefault="00862585" w14:paraId="2F127F76"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w:t>
            </w:r>
          </w:p>
        </w:tc>
        <w:tc>
          <w:tcPr>
            <w:tcW w:w="1440" w:type="dxa"/>
          </w:tcPr>
          <w:p w:rsidRPr="008D00A8" w:rsidR="00862585" w:rsidP="006122F2" w:rsidRDefault="00862585" w14:paraId="73B09573"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586256D6"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bottom w:val="single" w:color="046B5C" w:themeColor="text2" w:sz="4" w:space="0"/>
              <w:right w:val="single" w:color="046B5C" w:themeColor="text2" w:sz="4" w:space="0"/>
            </w:tcBorders>
          </w:tcPr>
          <w:p w:rsidRPr="008D00A8" w:rsidR="00862585" w:rsidP="006122F2" w:rsidRDefault="00862585" w14:paraId="4FAA2589"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tcBorders>
              <w:left w:val="single" w:color="046B5C" w:themeColor="text2" w:sz="4" w:space="0"/>
              <w:bottom w:val="single" w:color="046B5C" w:themeColor="text2" w:sz="4" w:space="0"/>
            </w:tcBorders>
          </w:tcPr>
          <w:p w:rsidRPr="008D00A8" w:rsidR="00862585" w:rsidP="006122F2" w:rsidRDefault="00862585" w14:paraId="4D6ED1C9"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6122F2" w:rsidTr="00B13A87" w14:paraId="32AEF8C2" w14:textId="77777777">
        <w:trPr>
          <w:trHeight w:val="229"/>
        </w:trPr>
        <w:tc>
          <w:tcPr>
            <w:cnfStyle w:val="001000000000" w:firstRow="0" w:lastRow="0" w:firstColumn="1" w:lastColumn="0" w:oddVBand="0" w:evenVBand="0" w:oddHBand="0" w:evenHBand="0" w:firstRowFirstColumn="0" w:firstRowLastColumn="0" w:lastRowFirstColumn="0" w:lastRowLastColumn="0"/>
            <w:tcW w:w="3415" w:type="dxa"/>
            <w:gridSpan w:val="2"/>
          </w:tcPr>
          <w:p w:rsidRPr="008D00A8" w:rsidR="00862585" w:rsidP="006122F2" w:rsidRDefault="00862585" w14:paraId="64B2888F" w14:textId="77777777">
            <w:pPr>
              <w:pStyle w:val="TableTextLeft"/>
              <w:rPr>
                <w:b/>
              </w:rPr>
            </w:pPr>
            <w:r w:rsidRPr="008D00A8">
              <w:rPr>
                <w:b/>
              </w:rPr>
              <w:t xml:space="preserve">Total number of </w:t>
            </w:r>
            <w:r>
              <w:rPr>
                <w:b/>
              </w:rPr>
              <w:t>centers</w:t>
            </w:r>
          </w:p>
        </w:tc>
        <w:tc>
          <w:tcPr>
            <w:tcW w:w="1260" w:type="dxa"/>
          </w:tcPr>
          <w:p w:rsidRPr="008D00A8" w:rsidR="00862585" w:rsidP="006122F2" w:rsidRDefault="00862585" w14:paraId="302DC66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8D00A8">
              <w:rPr>
                <w:b/>
              </w:rPr>
              <w:t>40</w:t>
            </w:r>
          </w:p>
        </w:tc>
        <w:tc>
          <w:tcPr>
            <w:tcW w:w="1440" w:type="dxa"/>
          </w:tcPr>
          <w:p w:rsidRPr="008D00A8" w:rsidR="00862585" w:rsidP="006122F2" w:rsidRDefault="00862585" w14:paraId="6721C2F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rPr>
                <w:b/>
              </w:rPr>
            </w:pPr>
            <w:r w:rsidRPr="008D00A8">
              <w:rPr>
                <w:b/>
              </w:rPr>
              <w:t>40</w:t>
            </w:r>
          </w:p>
        </w:tc>
        <w:tc>
          <w:tcPr>
            <w:tcW w:w="1170" w:type="dxa"/>
          </w:tcPr>
          <w:p w:rsidRPr="008D00A8" w:rsidR="00862585" w:rsidP="006122F2" w:rsidRDefault="00862585" w14:paraId="15429F7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rPr>
                <w:b/>
              </w:rPr>
            </w:pPr>
            <w:r w:rsidRPr="008D00A8">
              <w:rPr>
                <w:b/>
              </w:rPr>
              <w:t>40</w:t>
            </w:r>
          </w:p>
        </w:tc>
        <w:tc>
          <w:tcPr>
            <w:tcW w:w="1096" w:type="dxa"/>
            <w:tcBorders>
              <w:top w:val="single" w:color="046B5C" w:themeColor="text2" w:sz="4" w:space="0"/>
              <w:right w:val="single" w:color="046B5C" w:themeColor="text2" w:sz="4" w:space="0"/>
            </w:tcBorders>
          </w:tcPr>
          <w:p w:rsidRPr="008D00A8" w:rsidR="00862585" w:rsidP="006122F2" w:rsidRDefault="00862585" w14:paraId="37EC17C8"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8D00A8">
              <w:rPr>
                <w:b/>
              </w:rPr>
              <w:t>120</w:t>
            </w:r>
          </w:p>
        </w:tc>
        <w:tc>
          <w:tcPr>
            <w:tcW w:w="969" w:type="dxa"/>
            <w:tcBorders>
              <w:top w:val="single" w:color="046B5C" w:themeColor="text2" w:sz="4" w:space="0"/>
              <w:left w:val="single" w:color="046B5C" w:themeColor="text2" w:sz="4" w:space="0"/>
            </w:tcBorders>
          </w:tcPr>
          <w:p w:rsidRPr="008D00A8" w:rsidR="00862585" w:rsidP="006122F2" w:rsidRDefault="00862585" w14:paraId="77592A0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8D00A8">
              <w:rPr>
                <w:b/>
              </w:rPr>
              <w:t>120</w:t>
            </w:r>
          </w:p>
        </w:tc>
      </w:tr>
      <w:tr w:rsidRPr="008D00A8" w:rsidR="00862585" w:rsidTr="00B13A87" w14:paraId="1A3AF8CD" w14:textId="77777777">
        <w:trPr>
          <w:trHeight w:val="229"/>
        </w:trPr>
        <w:tc>
          <w:tcPr>
            <w:cnfStyle w:val="001000000000" w:firstRow="0" w:lastRow="0" w:firstColumn="1" w:lastColumn="0" w:oddVBand="0" w:evenVBand="0" w:oddHBand="0" w:evenHBand="0" w:firstRowFirstColumn="0" w:firstRowLastColumn="0" w:lastRowFirstColumn="0" w:lastRowLastColumn="0"/>
            <w:tcW w:w="3415" w:type="dxa"/>
            <w:gridSpan w:val="2"/>
          </w:tcPr>
          <w:p w:rsidRPr="008D00A8" w:rsidR="00862585" w:rsidP="006122F2" w:rsidRDefault="00862585" w14:paraId="7D8A019D" w14:textId="77777777">
            <w:pPr>
              <w:pStyle w:val="TableTextIndent"/>
            </w:pPr>
            <w:r w:rsidRPr="008D00A8">
              <w:t>Urban</w:t>
            </w:r>
          </w:p>
        </w:tc>
        <w:tc>
          <w:tcPr>
            <w:tcW w:w="1260" w:type="dxa"/>
          </w:tcPr>
          <w:p w:rsidRPr="008D00A8" w:rsidR="00862585" w:rsidP="006122F2" w:rsidRDefault="00862585" w14:paraId="326CEDC1"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1440" w:type="dxa"/>
          </w:tcPr>
          <w:p w:rsidRPr="008D00A8" w:rsidR="00862585" w:rsidP="006122F2" w:rsidRDefault="00862585" w14:paraId="17E9D98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20</w:t>
            </w:r>
          </w:p>
        </w:tc>
        <w:tc>
          <w:tcPr>
            <w:tcW w:w="1170" w:type="dxa"/>
          </w:tcPr>
          <w:p w:rsidRPr="008D00A8" w:rsidR="00862585" w:rsidP="006122F2" w:rsidRDefault="00862585" w14:paraId="014C11A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20</w:t>
            </w:r>
          </w:p>
        </w:tc>
        <w:tc>
          <w:tcPr>
            <w:tcW w:w="1096" w:type="dxa"/>
            <w:tcBorders>
              <w:right w:val="single" w:color="046B5C" w:themeColor="text2" w:sz="4" w:space="0"/>
            </w:tcBorders>
          </w:tcPr>
          <w:p w:rsidRPr="008D00A8" w:rsidR="00862585" w:rsidP="006122F2" w:rsidRDefault="00862585" w14:paraId="5E4CF653"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60</w:t>
            </w:r>
          </w:p>
        </w:tc>
        <w:tc>
          <w:tcPr>
            <w:tcW w:w="969" w:type="dxa"/>
            <w:tcBorders>
              <w:top w:val="single" w:color="046B5C" w:themeColor="text2" w:sz="4" w:space="0"/>
              <w:left w:val="single" w:color="046B5C" w:themeColor="text2" w:sz="4" w:space="0"/>
            </w:tcBorders>
          </w:tcPr>
          <w:p w:rsidRPr="008D00A8" w:rsidR="00862585" w:rsidP="006122F2" w:rsidRDefault="00862585" w14:paraId="4992A7C4"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862585" w:rsidTr="00B13A87" w14:paraId="2D9D42E1" w14:textId="77777777">
        <w:trPr>
          <w:trHeight w:val="229"/>
        </w:trPr>
        <w:tc>
          <w:tcPr>
            <w:cnfStyle w:val="001000000000" w:firstRow="0" w:lastRow="0" w:firstColumn="1" w:lastColumn="0" w:oddVBand="0" w:evenVBand="0" w:oddHBand="0" w:evenHBand="0" w:firstRowFirstColumn="0" w:firstRowLastColumn="0" w:lastRowFirstColumn="0" w:lastRowLastColumn="0"/>
            <w:tcW w:w="3415" w:type="dxa"/>
            <w:gridSpan w:val="2"/>
          </w:tcPr>
          <w:p w:rsidRPr="008D00A8" w:rsidR="00862585" w:rsidP="006122F2" w:rsidRDefault="00862585" w14:paraId="636787D8" w14:textId="77777777">
            <w:pPr>
              <w:pStyle w:val="TableTextIndent"/>
            </w:pPr>
            <w:r w:rsidRPr="008D00A8">
              <w:t>Suburban</w:t>
            </w:r>
          </w:p>
        </w:tc>
        <w:tc>
          <w:tcPr>
            <w:tcW w:w="1260" w:type="dxa"/>
          </w:tcPr>
          <w:p w:rsidRPr="008D00A8" w:rsidR="00862585" w:rsidP="006122F2" w:rsidRDefault="00862585" w14:paraId="15D34C3A"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1440" w:type="dxa"/>
          </w:tcPr>
          <w:p w:rsidRPr="008D00A8" w:rsidR="00862585" w:rsidP="006122F2" w:rsidRDefault="00862585" w14:paraId="66200FFB"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20</w:t>
            </w:r>
          </w:p>
        </w:tc>
        <w:tc>
          <w:tcPr>
            <w:tcW w:w="1170" w:type="dxa"/>
          </w:tcPr>
          <w:p w:rsidRPr="008D00A8" w:rsidR="00862585" w:rsidP="006122F2" w:rsidRDefault="00862585" w14:paraId="7711F1E3"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20</w:t>
            </w:r>
          </w:p>
        </w:tc>
        <w:tc>
          <w:tcPr>
            <w:tcW w:w="1096" w:type="dxa"/>
            <w:tcBorders>
              <w:right w:val="single" w:color="046B5C" w:themeColor="text2" w:sz="4" w:space="0"/>
            </w:tcBorders>
          </w:tcPr>
          <w:p w:rsidRPr="008D00A8" w:rsidR="00862585" w:rsidP="006122F2" w:rsidRDefault="00862585" w14:paraId="06798C47"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60</w:t>
            </w:r>
          </w:p>
        </w:tc>
        <w:tc>
          <w:tcPr>
            <w:tcW w:w="969" w:type="dxa"/>
            <w:tcBorders>
              <w:top w:val="single" w:color="046B5C" w:themeColor="text2" w:sz="4" w:space="0"/>
              <w:left w:val="single" w:color="046B5C" w:themeColor="text2" w:sz="4" w:space="0"/>
            </w:tcBorders>
          </w:tcPr>
          <w:p w:rsidRPr="008D00A8" w:rsidR="00862585" w:rsidP="006122F2" w:rsidRDefault="00862585" w14:paraId="0007282F" w14:textId="77777777">
            <w:pPr>
              <w:pStyle w:val="TableTextDecimal"/>
              <w:cnfStyle w:val="000000000000" w:firstRow="0" w:lastRow="0" w:firstColumn="0" w:lastColumn="0" w:oddVBand="0" w:evenVBand="0" w:oddHBand="0" w:evenHBand="0" w:firstRowFirstColumn="0" w:firstRowLastColumn="0" w:lastRowFirstColumn="0" w:lastRowLastColumn="0"/>
            </w:pPr>
          </w:p>
        </w:tc>
      </w:tr>
    </w:tbl>
    <w:p w:rsidRPr="006122F2" w:rsidR="00862585" w:rsidP="006122F2" w:rsidRDefault="00862585" w14:paraId="051B873D" w14:textId="77777777">
      <w:pPr>
        <w:pStyle w:val="TableFootnote"/>
      </w:pPr>
      <w:r w:rsidRPr="006122F2">
        <w:rPr>
          <w:rStyle w:val="Superscript"/>
        </w:rPr>
        <w:t>a</w:t>
      </w:r>
      <w:r w:rsidRPr="006122F2">
        <w:t xml:space="preserve"> Head Start centers are those that receive at least 50 percent of their funding from Head Start (can also include Early Head Start). </w:t>
      </w:r>
      <w:proofErr w:type="spellStart"/>
      <w:r w:rsidRPr="006122F2">
        <w:t>CCDF</w:t>
      </w:r>
      <w:proofErr w:type="spellEnd"/>
      <w:r w:rsidRPr="006122F2">
        <w:t xml:space="preserve"> centers are those that receive at least 50 percent of their funding from </w:t>
      </w:r>
      <w:proofErr w:type="spellStart"/>
      <w:r w:rsidRPr="006122F2">
        <w:t>CCDF</w:t>
      </w:r>
      <w:proofErr w:type="spellEnd"/>
      <w:r w:rsidRPr="006122F2">
        <w:t xml:space="preserve"> subsidies. Centers with mixed funding are those that receive at least 50 percent of Head Start and </w:t>
      </w:r>
      <w:proofErr w:type="spellStart"/>
      <w:r w:rsidRPr="006122F2">
        <w:t>CCDF</w:t>
      </w:r>
      <w:proofErr w:type="spellEnd"/>
      <w:r w:rsidRPr="006122F2">
        <w:t xml:space="preserve"> funding combined. </w:t>
      </w:r>
    </w:p>
    <w:p w:rsidRPr="006122F2" w:rsidR="00862585" w:rsidP="006122F2" w:rsidRDefault="00862585" w14:paraId="0C1FD394" w14:textId="100BB037">
      <w:pPr>
        <w:pStyle w:val="TableFootnote"/>
      </w:pPr>
      <w:r w:rsidRPr="006122F2">
        <w:rPr>
          <w:rStyle w:val="Superscript"/>
        </w:rPr>
        <w:t>b</w:t>
      </w:r>
      <w:r w:rsidRPr="006122F2">
        <w:t xml:space="preserve"> Small centers are those serving 25 or fewer children; medium centers are those serving more than 25 but fewer than 75 children; and large centers are those serving 75 or more children. These </w:t>
      </w:r>
      <w:r w:rsidR="00E90DB3">
        <w:t>classifications</w:t>
      </w:r>
      <w:r w:rsidRPr="006122F2" w:rsidR="00E90DB3">
        <w:t xml:space="preserve"> </w:t>
      </w:r>
      <w:r w:rsidRPr="006122F2">
        <w:t>were identified based on the patterns seen in the National Survey of Early Care and Education</w:t>
      </w:r>
      <w:r w:rsidR="00910A73">
        <w:t xml:space="preserve"> (</w:t>
      </w:r>
      <w:proofErr w:type="spellStart"/>
      <w:r w:rsidR="00910A73">
        <w:t>NSECE</w:t>
      </w:r>
      <w:proofErr w:type="spellEnd"/>
      <w:r w:rsidR="00910A73">
        <w:t>)</w:t>
      </w:r>
      <w:r w:rsidRPr="006122F2">
        <w:t>.</w:t>
      </w:r>
      <w:r w:rsidRPr="00617A7E">
        <w:rPr>
          <w:vertAlign w:val="superscript"/>
        </w:rPr>
        <w:footnoteReference w:id="4"/>
      </w:r>
      <w:r w:rsidRPr="006122F2">
        <w:t xml:space="preserve"> </w:t>
      </w:r>
    </w:p>
    <w:p w:rsidRPr="00316BB7" w:rsidR="00862585" w:rsidP="00197BA9" w:rsidRDefault="00862585" w14:paraId="3C0492E2" w14:textId="77777777">
      <w:pPr>
        <w:pStyle w:val="ParagraphContinued"/>
        <w:spacing w:line="240" w:lineRule="auto"/>
      </w:pPr>
      <w:r>
        <w:t>Using data from</w:t>
      </w:r>
      <w:r w:rsidRPr="00316BB7">
        <w:t xml:space="preserve"> state websites and the Head Start </w:t>
      </w:r>
      <w:r>
        <w:t>Enterprise System</w:t>
      </w:r>
      <w:r w:rsidRPr="00316BB7">
        <w:t xml:space="preserve"> or Early Childhood Learning &amp; Knowledge Center</w:t>
      </w:r>
      <w:r>
        <w:t>,</w:t>
      </w:r>
      <w:r w:rsidRPr="00316BB7">
        <w:t xml:space="preserve"> </w:t>
      </w:r>
      <w:r>
        <w:t>t</w:t>
      </w:r>
      <w:r w:rsidRPr="00316BB7">
        <w:t xml:space="preserve">he study team will assemble lists of centers in four states that meet the selection criteria outlined above. Once a center </w:t>
      </w:r>
      <w:r>
        <w:t xml:space="preserve">is recruited </w:t>
      </w:r>
      <w:r w:rsidRPr="00316BB7">
        <w:t xml:space="preserve">to participate in the descriptive study, </w:t>
      </w:r>
      <w:r>
        <w:t>the study team</w:t>
      </w:r>
      <w:r w:rsidRPr="00316BB7">
        <w:t xml:space="preserve"> will conduct the engagement interview (</w:t>
      </w:r>
      <w:r w:rsidRPr="00074565">
        <w:t>Instrument 3)</w:t>
      </w:r>
      <w:r w:rsidRPr="00316BB7">
        <w:t xml:space="preserve"> with them to collect the center’s characteristics. </w:t>
      </w:r>
      <w:r>
        <w:t>The study team</w:t>
      </w:r>
      <w:r w:rsidRPr="006B3FEC">
        <w:t xml:space="preserve"> </w:t>
      </w:r>
      <w:r w:rsidRPr="00316BB7">
        <w:t xml:space="preserve">will use this information to determine the fit of the center into </w:t>
      </w:r>
      <w:r>
        <w:t>the study’s</w:t>
      </w:r>
      <w:r w:rsidRPr="00316BB7">
        <w:t xml:space="preserve"> recruitment goals based on </w:t>
      </w:r>
      <w:r>
        <w:t>the</w:t>
      </w:r>
      <w:r w:rsidRPr="00316BB7">
        <w:t xml:space="preserve"> selection criteria </w:t>
      </w:r>
      <w:r w:rsidRPr="00FB2CE3">
        <w:t>outlined in Table B.1. If</w:t>
      </w:r>
      <w:r w:rsidRPr="00316BB7">
        <w:t xml:space="preserve"> a center meets </w:t>
      </w:r>
      <w:r>
        <w:t>the</w:t>
      </w:r>
      <w:r w:rsidRPr="00316BB7">
        <w:t xml:space="preserve"> selection criteria, they will be able to participate in the study. </w:t>
      </w:r>
    </w:p>
    <w:p w:rsidRPr="00316BB7" w:rsidR="00862585" w:rsidP="00197BA9" w:rsidRDefault="00533FDE" w14:paraId="1683B1D5" w14:textId="0F01AB97">
      <w:pPr>
        <w:pStyle w:val="H4"/>
        <w:spacing w:line="240" w:lineRule="auto"/>
      </w:pPr>
      <w:r>
        <w:t>b</w:t>
      </w:r>
      <w:r w:rsidR="00420FFD">
        <w:t>.</w:t>
      </w:r>
      <w:r w:rsidR="00420FFD">
        <w:tab/>
      </w:r>
      <w:r w:rsidRPr="00316BB7" w:rsidR="00862585">
        <w:t xml:space="preserve">Selection of </w:t>
      </w:r>
      <w:r w:rsidR="00862585">
        <w:t xml:space="preserve">center </w:t>
      </w:r>
      <w:r w:rsidRPr="00316BB7" w:rsidR="00862585">
        <w:t>managers and teaching staff</w:t>
      </w:r>
    </w:p>
    <w:p w:rsidRPr="00316BB7" w:rsidR="00862585" w:rsidP="00197BA9" w:rsidRDefault="00797C19" w14:paraId="554A0807" w14:textId="072A26E9">
      <w:pPr>
        <w:pStyle w:val="ParagraphContinued"/>
        <w:spacing w:line="240" w:lineRule="auto"/>
      </w:pPr>
      <w:r>
        <w:t>T</w:t>
      </w:r>
      <w:r w:rsidR="006A5C7B">
        <w:t xml:space="preserve">he formal leadership structure in ECE centers may include just a primary site leader or multiple managers with different areas of oversight or responsibility. </w:t>
      </w:r>
      <w:r>
        <w:t xml:space="preserve">Based on our experience with the </w:t>
      </w:r>
      <w:r w:rsidRPr="006F3E1E">
        <w:rPr>
          <w:rStyle w:val="ProjectRole"/>
          <w:b w:val="0"/>
          <w:bCs/>
        </w:rPr>
        <w:t>Assessing the Implementation and Cost of High Quality Care and Education</w:t>
      </w:r>
      <w:r>
        <w:rPr>
          <w:rStyle w:val="ProjectRole"/>
          <w:b w:val="0"/>
          <w:bCs/>
        </w:rPr>
        <w:t xml:space="preserve"> (</w:t>
      </w:r>
      <w:r w:rsidRPr="00840816">
        <w:t>ECE-ICHQ</w:t>
      </w:r>
      <w:r>
        <w:t xml:space="preserve">) </w:t>
      </w:r>
      <w:r>
        <w:rPr>
          <w:rStyle w:val="ProjectRole"/>
          <w:b w:val="0"/>
          <w:bCs/>
        </w:rPr>
        <w:t xml:space="preserve">project, there is </w:t>
      </w:r>
      <w:r w:rsidRPr="00BF4C81">
        <w:t xml:space="preserve">an average of </w:t>
      </w:r>
      <w:r w:rsidRPr="00BF4C81" w:rsidR="00FA5A00">
        <w:t>two</w:t>
      </w:r>
      <w:r w:rsidRPr="00BF4C81">
        <w:t xml:space="preserve"> managers per center.</w:t>
      </w:r>
      <w:r>
        <w:t xml:space="preserve"> </w:t>
      </w:r>
      <w:r w:rsidRPr="00316BB7" w:rsidR="00862585">
        <w:t xml:space="preserve">The study team will select </w:t>
      </w:r>
      <w:r w:rsidR="00862585">
        <w:t>one</w:t>
      </w:r>
      <w:r w:rsidRPr="00316BB7" w:rsidR="00862585">
        <w:t xml:space="preserve"> to </w:t>
      </w:r>
      <w:r w:rsidR="00862585">
        <w:t>three</w:t>
      </w:r>
      <w:r w:rsidRPr="00316BB7" w:rsidR="00862585">
        <w:t xml:space="preserve"> </w:t>
      </w:r>
      <w:r w:rsidR="00862585">
        <w:t xml:space="preserve">center </w:t>
      </w:r>
      <w:r w:rsidRPr="00316BB7" w:rsidR="00862585">
        <w:t>managers per center</w:t>
      </w:r>
      <w:r w:rsidR="00862585">
        <w:t>,</w:t>
      </w:r>
      <w:r w:rsidRPr="00316BB7" w:rsidR="00862585">
        <w:t xml:space="preserve"> depending on center size, with a total sample of 240 </w:t>
      </w:r>
      <w:r w:rsidR="00862585">
        <w:t xml:space="preserve">center </w:t>
      </w:r>
      <w:r w:rsidRPr="00316BB7" w:rsidR="00862585">
        <w:t xml:space="preserve">managers across the </w:t>
      </w:r>
      <w:r w:rsidR="00862585">
        <w:t>centers</w:t>
      </w:r>
      <w:r w:rsidRPr="00316BB7" w:rsidR="00862585">
        <w:t xml:space="preserve">. </w:t>
      </w:r>
      <w:bookmarkStart w:name="_Hlk73452051" w:id="4"/>
    </w:p>
    <w:bookmarkEnd w:id="4"/>
    <w:p w:rsidR="00862585" w:rsidP="00197BA9" w:rsidRDefault="00862585" w14:paraId="1422D19B" w14:textId="77777777">
      <w:pPr>
        <w:pStyle w:val="ListBullet"/>
        <w:spacing w:line="240" w:lineRule="auto"/>
      </w:pPr>
      <w:r>
        <w:t>T</w:t>
      </w:r>
      <w:r w:rsidRPr="00942FDD">
        <w:t xml:space="preserve">he </w:t>
      </w:r>
      <w:r>
        <w:t xml:space="preserve">primary </w:t>
      </w:r>
      <w:r w:rsidRPr="00942FDD">
        <w:t xml:space="preserve">site </w:t>
      </w:r>
      <w:r>
        <w:t>leader (the person in the building who is responsible for oversight of all that happens in the center on a daily basis)</w:t>
      </w:r>
      <w:r w:rsidRPr="00942FDD">
        <w:t xml:space="preserve"> </w:t>
      </w:r>
      <w:r>
        <w:t xml:space="preserve">will be prioritized </w:t>
      </w:r>
      <w:r w:rsidRPr="00942FDD">
        <w:t>as respondent for the survey</w:t>
      </w:r>
      <w:r>
        <w:t xml:space="preserve"> in all centers</w:t>
      </w:r>
      <w:r w:rsidRPr="00942FDD">
        <w:t>.</w:t>
      </w:r>
    </w:p>
    <w:p w:rsidR="00862585" w:rsidP="00197BA9" w:rsidRDefault="00862585" w14:paraId="16CFF1B7" w14:textId="77777777">
      <w:pPr>
        <w:pStyle w:val="ListBullet"/>
        <w:spacing w:line="240" w:lineRule="auto"/>
      </w:pPr>
      <w:r>
        <w:t>In medium and large centers, the education program lead will be selected as the second respondent in centers that have this position distinct from the primary site leader.</w:t>
      </w:r>
      <w:r>
        <w:rPr>
          <w:rStyle w:val="FootnoteReference"/>
        </w:rPr>
        <w:footnoteReference w:id="5"/>
      </w:r>
    </w:p>
    <w:p w:rsidR="00862585" w:rsidP="00197BA9" w:rsidRDefault="00862585" w14:paraId="4278BB1E" w14:textId="77777777">
      <w:pPr>
        <w:pStyle w:val="ListBullet"/>
        <w:spacing w:line="240" w:lineRule="auto"/>
      </w:pPr>
      <w:r w:rsidRPr="00942FDD">
        <w:lastRenderedPageBreak/>
        <w:t xml:space="preserve">In large centers with </w:t>
      </w:r>
      <w:r>
        <w:t>manager-level positions beyond those of a primary site leader and education program lead</w:t>
      </w:r>
      <w:r w:rsidRPr="00942FDD">
        <w:t xml:space="preserve">, </w:t>
      </w:r>
      <w:r>
        <w:t>the study team</w:t>
      </w:r>
      <w:r w:rsidRPr="00942FDD">
        <w:t xml:space="preserve"> will randomly select </w:t>
      </w:r>
      <w:r>
        <w:t>a</w:t>
      </w:r>
      <w:r w:rsidRPr="00942FDD">
        <w:t xml:space="preserve"> third respondent </w:t>
      </w:r>
      <w:r>
        <w:t>from among the center managers</w:t>
      </w:r>
      <w:r w:rsidRPr="00942FDD">
        <w:t>.</w:t>
      </w:r>
    </w:p>
    <w:p w:rsidRPr="00316BB7" w:rsidR="00862585" w:rsidP="00420FFD" w:rsidRDefault="00862585" w14:paraId="2CAF4C3C" w14:textId="77777777">
      <w:pPr>
        <w:pStyle w:val="ParagraphContinued"/>
      </w:pPr>
      <w:r w:rsidRPr="006C61B0">
        <w:t xml:space="preserve">Finally, the study team will select all teaching staff included on the teaching staff roster (Instrument 5) who are in classrooms serving children </w:t>
      </w:r>
      <w:r w:rsidRPr="006B3FEC">
        <w:t xml:space="preserve">whose ages range from birth to age </w:t>
      </w:r>
      <w:r>
        <w:t>5 (but who are not yet in kindergarten)</w:t>
      </w:r>
      <w:r w:rsidRPr="006C61B0">
        <w:t>.</w:t>
      </w:r>
    </w:p>
    <w:p w:rsidRPr="00FB2CE3" w:rsidR="00862585" w:rsidP="00420FFD" w:rsidRDefault="00862585" w14:paraId="5C0C6792" w14:textId="09940F55">
      <w:pPr>
        <w:pStyle w:val="Paragraph"/>
      </w:pPr>
      <w:r w:rsidRPr="00FB2CE3">
        <w:t xml:space="preserve">Table B.2 shows the expected sample sizes for each level of respondent by center type for the descriptive study. For the purposes of assessing statistical precision, the study team assumed a conservative </w:t>
      </w:r>
      <w:r w:rsidR="00BC6BCA">
        <w:t>response rate</w:t>
      </w:r>
      <w:r w:rsidRPr="00FB2CE3">
        <w:t xml:space="preserve"> of 80 percent for teaching staff, with 1,344 staff responding to the survey. </w:t>
      </w:r>
      <w:r w:rsidR="002401B4">
        <w:t xml:space="preserve">This is based on the high response rates seen in the ECE-ICHQ study that used a similar study design. </w:t>
      </w:r>
      <w:r w:rsidRPr="00FB2CE3">
        <w:t>However, the goal is to have all teaching staff complete their surveys.</w:t>
      </w:r>
    </w:p>
    <w:p w:rsidR="006122F2" w:rsidP="00B12207" w:rsidRDefault="006122F2" w14:paraId="27989703" w14:textId="77777777">
      <w:pPr>
        <w:pStyle w:val="TitleRule"/>
      </w:pPr>
      <w:r w:rsidRPr="00465BF8">
        <w:rPr>
          <w:noProof/>
        </w:rPr>
        <mc:AlternateContent>
          <mc:Choice Requires="wps">
            <w:drawing>
              <wp:inline distT="0" distB="0" distL="0" distR="0" wp14:anchorId="23E61B58" wp14:editId="4DB3BCDC">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479C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6122F2" w:rsidR="00862585" w:rsidP="006122F2" w:rsidRDefault="00862585" w14:paraId="62EE3AB5" w14:textId="77777777">
      <w:pPr>
        <w:pStyle w:val="TableTitle"/>
      </w:pPr>
      <w:r w:rsidRPr="006122F2">
        <w:t>Table B.2. Expected sample sizes of center managers and teaching staff by center type for the ExCELS descriptive study</w:t>
      </w:r>
    </w:p>
    <w:tbl>
      <w:tblPr>
        <w:tblStyle w:val="MathUBaseTable"/>
        <w:tblW w:w="5000" w:type="pct"/>
        <w:tblLook w:val="04A0" w:firstRow="1" w:lastRow="0" w:firstColumn="1" w:lastColumn="0" w:noHBand="0" w:noVBand="1"/>
      </w:tblPr>
      <w:tblGrid>
        <w:gridCol w:w="3532"/>
        <w:gridCol w:w="1421"/>
        <w:gridCol w:w="1619"/>
        <w:gridCol w:w="1380"/>
        <w:gridCol w:w="1408"/>
      </w:tblGrid>
      <w:tr w:rsidRPr="008D00A8" w:rsidR="00862585" w:rsidTr="006122F2" w14:paraId="7649362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7" w:type="pct"/>
          </w:tcPr>
          <w:p w:rsidRPr="005A603F" w:rsidR="00862585" w:rsidP="006122F2" w:rsidRDefault="00862585" w14:paraId="684F1675" w14:textId="77777777">
            <w:pPr>
              <w:pStyle w:val="TableHeaderCenter"/>
            </w:pPr>
          </w:p>
        </w:tc>
        <w:tc>
          <w:tcPr>
            <w:tcW w:w="759" w:type="pct"/>
          </w:tcPr>
          <w:p w:rsidRPr="005A603F" w:rsidR="00862585" w:rsidP="006122F2" w:rsidRDefault="00862585" w14:paraId="3D1D6524"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 xml:space="preserve">Head Start </w:t>
            </w:r>
          </w:p>
        </w:tc>
        <w:tc>
          <w:tcPr>
            <w:tcW w:w="865" w:type="pct"/>
          </w:tcPr>
          <w:p w:rsidRPr="005A603F" w:rsidR="00862585" w:rsidP="006122F2" w:rsidRDefault="00862585" w14:paraId="2BBDD95E"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Mixed funding</w:t>
            </w:r>
          </w:p>
        </w:tc>
        <w:tc>
          <w:tcPr>
            <w:tcW w:w="737" w:type="pct"/>
          </w:tcPr>
          <w:p w:rsidRPr="005A603F" w:rsidR="00862585" w:rsidP="006122F2" w:rsidRDefault="00862585" w14:paraId="2D48A2F9" w14:textId="77777777">
            <w:pPr>
              <w:pStyle w:val="TableHeaderCenter"/>
              <w:cnfStyle w:val="100000000000" w:firstRow="1" w:lastRow="0" w:firstColumn="0" w:lastColumn="0" w:oddVBand="0" w:evenVBand="0" w:oddHBand="0" w:evenHBand="0" w:firstRowFirstColumn="0" w:firstRowLastColumn="0" w:lastRowFirstColumn="0" w:lastRowLastColumn="0"/>
            </w:pPr>
            <w:proofErr w:type="spellStart"/>
            <w:r w:rsidRPr="005A603F">
              <w:t>CCDF</w:t>
            </w:r>
            <w:proofErr w:type="spellEnd"/>
            <w:r w:rsidRPr="005A603F">
              <w:t xml:space="preserve"> center</w:t>
            </w:r>
          </w:p>
        </w:tc>
        <w:tc>
          <w:tcPr>
            <w:tcW w:w="752" w:type="pct"/>
          </w:tcPr>
          <w:p w:rsidRPr="005A603F" w:rsidR="00862585" w:rsidP="006122F2" w:rsidRDefault="00862585" w14:paraId="56A0EA4B"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Total</w:t>
            </w:r>
          </w:p>
        </w:tc>
      </w:tr>
      <w:tr w:rsidRPr="008D00A8" w:rsidR="00862585" w:rsidTr="006122F2" w14:paraId="3810E007" w14:textId="77777777">
        <w:trPr>
          <w:trHeight w:val="20"/>
        </w:trPr>
        <w:tc>
          <w:tcPr>
            <w:cnfStyle w:val="001000000000" w:firstRow="0" w:lastRow="0" w:firstColumn="1" w:lastColumn="0" w:oddVBand="0" w:evenVBand="0" w:oddHBand="0" w:evenHBand="0" w:firstRowFirstColumn="0" w:firstRowLastColumn="0" w:lastRowFirstColumn="0" w:lastRowLastColumn="0"/>
            <w:tcW w:w="1887" w:type="pct"/>
          </w:tcPr>
          <w:p w:rsidRPr="00040665" w:rsidR="00862585" w:rsidP="006122F2" w:rsidRDefault="00862585" w14:paraId="71AF807C" w14:textId="77777777">
            <w:pPr>
              <w:pStyle w:val="TableRowHead"/>
            </w:pPr>
            <w:r w:rsidRPr="00040665">
              <w:t>Centers</w:t>
            </w:r>
          </w:p>
        </w:tc>
        <w:tc>
          <w:tcPr>
            <w:tcW w:w="759" w:type="pct"/>
          </w:tcPr>
          <w:p w:rsidRPr="005A603F" w:rsidR="00862585" w:rsidP="006122F2" w:rsidRDefault="00862585" w14:paraId="74E0FADF"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40</w:t>
            </w:r>
          </w:p>
        </w:tc>
        <w:tc>
          <w:tcPr>
            <w:tcW w:w="865" w:type="pct"/>
          </w:tcPr>
          <w:p w:rsidRPr="005A603F" w:rsidR="00862585" w:rsidP="006122F2" w:rsidRDefault="00862585" w14:paraId="76053784"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40</w:t>
            </w:r>
          </w:p>
        </w:tc>
        <w:tc>
          <w:tcPr>
            <w:tcW w:w="737" w:type="pct"/>
          </w:tcPr>
          <w:p w:rsidRPr="005A603F" w:rsidR="00862585" w:rsidP="006122F2" w:rsidRDefault="00862585" w14:paraId="412FC28E"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40</w:t>
            </w:r>
          </w:p>
        </w:tc>
        <w:tc>
          <w:tcPr>
            <w:tcW w:w="752" w:type="pct"/>
          </w:tcPr>
          <w:p w:rsidRPr="005A603F" w:rsidR="00862585" w:rsidP="006122F2" w:rsidRDefault="00862585" w14:paraId="6047A850"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rPr>
                <w:b/>
                <w:bCs/>
              </w:rPr>
            </w:pPr>
            <w:r w:rsidRPr="005A603F">
              <w:rPr>
                <w:b/>
                <w:bCs/>
              </w:rPr>
              <w:t>120</w:t>
            </w:r>
          </w:p>
        </w:tc>
      </w:tr>
      <w:tr w:rsidRPr="008D00A8" w:rsidR="00862585" w:rsidTr="006122F2" w14:paraId="72CEBF1E"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8D00A8" w:rsidR="00862585" w:rsidP="006122F2" w:rsidRDefault="00862585" w14:paraId="7A6F33A6" w14:textId="77777777">
            <w:pPr>
              <w:pStyle w:val="TableRowHead"/>
            </w:pPr>
            <w:r>
              <w:t>Center m</w:t>
            </w:r>
            <w:r w:rsidRPr="008D00A8">
              <w:t>anagers</w:t>
            </w:r>
          </w:p>
        </w:tc>
        <w:tc>
          <w:tcPr>
            <w:tcW w:w="0" w:type="pct"/>
          </w:tcPr>
          <w:p w:rsidRPr="005A603F" w:rsidR="00862585" w:rsidP="006122F2" w:rsidRDefault="00862585" w14:paraId="171D4F9C"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80</w:t>
            </w:r>
          </w:p>
        </w:tc>
        <w:tc>
          <w:tcPr>
            <w:tcW w:w="0" w:type="pct"/>
          </w:tcPr>
          <w:p w:rsidRPr="005A603F" w:rsidR="00862585" w:rsidP="006122F2" w:rsidRDefault="00862585" w14:paraId="5A83C127"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80</w:t>
            </w:r>
          </w:p>
        </w:tc>
        <w:tc>
          <w:tcPr>
            <w:tcW w:w="0" w:type="pct"/>
          </w:tcPr>
          <w:p w:rsidRPr="005A603F" w:rsidR="00862585" w:rsidP="006122F2" w:rsidRDefault="00862585" w14:paraId="0B95D8D3"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80</w:t>
            </w:r>
          </w:p>
        </w:tc>
        <w:tc>
          <w:tcPr>
            <w:tcW w:w="0" w:type="pct"/>
          </w:tcPr>
          <w:p w:rsidRPr="005A603F" w:rsidR="00862585" w:rsidP="006122F2" w:rsidRDefault="00862585" w14:paraId="0EABE076"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rPr>
                <w:b/>
                <w:bCs/>
              </w:rPr>
            </w:pPr>
            <w:r w:rsidRPr="005A603F">
              <w:rPr>
                <w:b/>
                <w:bCs/>
              </w:rPr>
              <w:t>240</w:t>
            </w:r>
          </w:p>
        </w:tc>
      </w:tr>
      <w:tr w:rsidRPr="008D00A8" w:rsidR="00862585" w:rsidTr="006122F2" w14:paraId="39DD5CD7"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5A603F" w:rsidR="00862585" w:rsidP="006122F2" w:rsidRDefault="00862585" w14:paraId="0086E135" w14:textId="77777777">
            <w:pPr>
              <w:pStyle w:val="TableTextIndent"/>
            </w:pPr>
            <w:r w:rsidRPr="005A603F">
              <w:t>Primary site leaders</w:t>
            </w:r>
          </w:p>
        </w:tc>
        <w:tc>
          <w:tcPr>
            <w:tcW w:w="0" w:type="pct"/>
          </w:tcPr>
          <w:p w:rsidRPr="005A603F" w:rsidR="00862585" w:rsidP="006122F2" w:rsidRDefault="00862585" w14:paraId="517A52BE"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5CC52E78"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1394A908"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49255FE9"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pPr>
            <w:r w:rsidRPr="005A603F">
              <w:t>120</w:t>
            </w:r>
          </w:p>
        </w:tc>
      </w:tr>
      <w:tr w:rsidRPr="008D00A8" w:rsidR="00862585" w:rsidTr="006122F2" w14:paraId="1CA24FC9"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5A603F" w:rsidR="00862585" w:rsidP="006122F2" w:rsidRDefault="00862585" w14:paraId="7C3F6CDC" w14:textId="77777777">
            <w:pPr>
              <w:pStyle w:val="TableTextIndent"/>
            </w:pPr>
            <w:r w:rsidRPr="005A603F">
              <w:t>Education program lead and/or other managers</w:t>
            </w:r>
          </w:p>
        </w:tc>
        <w:tc>
          <w:tcPr>
            <w:tcW w:w="0" w:type="pct"/>
          </w:tcPr>
          <w:p w:rsidRPr="005A603F" w:rsidR="00862585" w:rsidP="006122F2" w:rsidRDefault="00862585" w14:paraId="28401C13"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3E81CAF6"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145412D7"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786382EA"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pPr>
            <w:r w:rsidRPr="005A603F">
              <w:t>120</w:t>
            </w:r>
          </w:p>
        </w:tc>
      </w:tr>
      <w:tr w:rsidRPr="008D00A8" w:rsidR="00862585" w:rsidTr="006122F2" w14:paraId="43C80A04" w14:textId="77777777">
        <w:trPr>
          <w:trHeight w:val="20"/>
        </w:trPr>
        <w:tc>
          <w:tcPr>
            <w:cnfStyle w:val="001000000000" w:firstRow="0" w:lastRow="0" w:firstColumn="1" w:lastColumn="0" w:oddVBand="0" w:evenVBand="0" w:oddHBand="0" w:evenHBand="0" w:firstRowFirstColumn="0" w:firstRowLastColumn="0" w:lastRowFirstColumn="0" w:lastRowLastColumn="0"/>
            <w:tcW w:w="1887" w:type="pct"/>
          </w:tcPr>
          <w:p w:rsidRPr="00040665" w:rsidR="00862585" w:rsidP="006122F2" w:rsidRDefault="00862585" w14:paraId="19DB8067" w14:textId="77777777">
            <w:pPr>
              <w:pStyle w:val="TableRowHead"/>
            </w:pPr>
            <w:r w:rsidRPr="00040665">
              <w:t xml:space="preserve">Teaching </w:t>
            </w:r>
            <w:proofErr w:type="spellStart"/>
            <w:r w:rsidRPr="00040665">
              <w:t>staff</w:t>
            </w:r>
            <w:r w:rsidRPr="00040665">
              <w:rPr>
                <w:rFonts w:eastAsia="Calibri"/>
                <w:vertAlign w:val="superscript"/>
              </w:rPr>
              <w:t>a</w:t>
            </w:r>
            <w:proofErr w:type="spellEnd"/>
          </w:p>
        </w:tc>
        <w:tc>
          <w:tcPr>
            <w:tcW w:w="759" w:type="pct"/>
          </w:tcPr>
          <w:p w:rsidRPr="005A603F" w:rsidR="00862585" w:rsidP="006122F2" w:rsidRDefault="00862585" w14:paraId="14D9B39B"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448</w:t>
            </w:r>
          </w:p>
        </w:tc>
        <w:tc>
          <w:tcPr>
            <w:tcW w:w="865" w:type="pct"/>
          </w:tcPr>
          <w:p w:rsidRPr="005A603F" w:rsidR="00862585" w:rsidP="006122F2" w:rsidRDefault="00862585" w14:paraId="7ECC0005"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448</w:t>
            </w:r>
          </w:p>
        </w:tc>
        <w:tc>
          <w:tcPr>
            <w:tcW w:w="737" w:type="pct"/>
          </w:tcPr>
          <w:p w:rsidRPr="005A603F" w:rsidR="00862585" w:rsidP="006122F2" w:rsidRDefault="00862585" w14:paraId="7329C14A"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448</w:t>
            </w:r>
          </w:p>
        </w:tc>
        <w:tc>
          <w:tcPr>
            <w:tcW w:w="752" w:type="pct"/>
          </w:tcPr>
          <w:p w:rsidRPr="005A603F" w:rsidR="00862585" w:rsidP="006122F2" w:rsidRDefault="00862585" w14:paraId="23E92F4B"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rPr>
                <w:b/>
                <w:bCs/>
              </w:rPr>
            </w:pPr>
            <w:r w:rsidRPr="005A603F">
              <w:rPr>
                <w:b/>
                <w:bCs/>
              </w:rPr>
              <w:t>1,344</w:t>
            </w:r>
          </w:p>
        </w:tc>
      </w:tr>
    </w:tbl>
    <w:p w:rsidRPr="006122F2" w:rsidR="00862585" w:rsidP="006122F2" w:rsidRDefault="00862585" w14:paraId="6C351703" w14:textId="2E0EA4B8">
      <w:pPr>
        <w:pStyle w:val="TableFootnote"/>
      </w:pPr>
      <w:proofErr w:type="spellStart"/>
      <w:r w:rsidRPr="006122F2">
        <w:rPr>
          <w:rStyle w:val="Superscript"/>
        </w:rPr>
        <w:t>a</w:t>
      </w:r>
      <w:proofErr w:type="spellEnd"/>
      <w:r w:rsidRPr="006122F2">
        <w:t xml:space="preserve"> The study team assumed a total of 14 teaching staff per center, on average</w:t>
      </w:r>
      <w:r w:rsidR="00384FFA">
        <w:t xml:space="preserve"> (based on our experience in ECE-ICHQ and the </w:t>
      </w:r>
      <w:proofErr w:type="spellStart"/>
      <w:r w:rsidR="00384FFA">
        <w:t>NSECE</w:t>
      </w:r>
      <w:proofErr w:type="spellEnd"/>
      <w:r w:rsidR="00384FFA">
        <w:t xml:space="preserve"> [</w:t>
      </w:r>
      <w:proofErr w:type="spellStart"/>
      <w:r w:rsidR="00910A73">
        <w:t>NSECE</w:t>
      </w:r>
      <w:proofErr w:type="spellEnd"/>
      <w:r w:rsidR="00910A73">
        <w:t xml:space="preserve"> Project Team </w:t>
      </w:r>
      <w:r w:rsidR="00384FFA">
        <w:t>201</w:t>
      </w:r>
      <w:r w:rsidR="00DC617E">
        <w:t>5</w:t>
      </w:r>
      <w:r w:rsidR="00384FFA">
        <w:t>])</w:t>
      </w:r>
      <w:r w:rsidR="000B2B19">
        <w:rPr>
          <w:rStyle w:val="FootnoteReference"/>
        </w:rPr>
        <w:footnoteReference w:id="6"/>
      </w:r>
      <w:r w:rsidRPr="006122F2">
        <w:t xml:space="preserve">, with an 80 percent </w:t>
      </w:r>
      <w:r w:rsidR="00BC6BCA">
        <w:t>response rate</w:t>
      </w:r>
      <w:r w:rsidRPr="006122F2">
        <w:t xml:space="preserve"> for statistical precision estimates. </w:t>
      </w:r>
    </w:p>
    <w:p w:rsidRPr="00316BB7" w:rsidR="00862585" w:rsidP="00533FDE" w:rsidRDefault="00533FDE" w14:paraId="4BC0CCF1" w14:textId="51876C6D">
      <w:pPr>
        <w:pStyle w:val="H4"/>
      </w:pPr>
      <w:r>
        <w:t>c</w:t>
      </w:r>
      <w:r w:rsidR="00420FFD">
        <w:t>.</w:t>
      </w:r>
      <w:r w:rsidR="00420FFD">
        <w:tab/>
      </w:r>
      <w:r w:rsidRPr="00316BB7" w:rsidR="00862585">
        <w:t>Statistical precision</w:t>
      </w:r>
    </w:p>
    <w:p w:rsidR="002A72B3" w:rsidP="00197BA9" w:rsidRDefault="00862585" w14:paraId="40EF15EA" w14:textId="5FA4BBFC">
      <w:pPr>
        <w:pStyle w:val="ParagraphContinued"/>
      </w:pPr>
      <w:r w:rsidRPr="00FB2CE3">
        <w:t xml:space="preserve">Table B.3 shows the minimum detectable correlations for analyses that examine the associations between two continuous variables using the </w:t>
      </w:r>
      <w:r w:rsidR="002305AA">
        <w:t xml:space="preserve">expected </w:t>
      </w:r>
      <w:r w:rsidRPr="00FB2CE3">
        <w:t>samples (for example, the leadership elements at the center level and teaching staff turnover). The proposed sample sizes shown below allow minimum detectable correlations in the low range, from 0.133 to 0.256.</w:t>
      </w:r>
    </w:p>
    <w:p w:rsidR="006122F2" w:rsidP="00B12207" w:rsidRDefault="006122F2" w14:paraId="24E02A97" w14:textId="36283E69">
      <w:pPr>
        <w:pStyle w:val="TitleRule"/>
      </w:pPr>
      <w:r w:rsidRPr="00465BF8">
        <w:rPr>
          <w:noProof/>
        </w:rPr>
        <mc:AlternateContent>
          <mc:Choice Requires="wps">
            <w:drawing>
              <wp:inline distT="0" distB="0" distL="0" distR="0" wp14:anchorId="46CEB6DA" wp14:editId="0349946D">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81FE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6122F2" w:rsidR="00862585" w:rsidP="006122F2" w:rsidRDefault="00862585" w14:paraId="48885299" w14:textId="77777777">
      <w:pPr>
        <w:pStyle w:val="TableTitle"/>
      </w:pPr>
      <w:r w:rsidRPr="006122F2">
        <w:t>Table B.3. Minimum detectable correlations for analyses examining associations of two continuous variables, with leadership measures at the center level</w:t>
      </w:r>
    </w:p>
    <w:tbl>
      <w:tblPr>
        <w:tblStyle w:val="MathUBaseTable"/>
        <w:tblW w:w="5000" w:type="pct"/>
        <w:tblLayout w:type="fixed"/>
        <w:tblLook w:val="04A0" w:firstRow="1" w:lastRow="0" w:firstColumn="1" w:lastColumn="0" w:noHBand="0" w:noVBand="1"/>
      </w:tblPr>
      <w:tblGrid>
        <w:gridCol w:w="2429"/>
        <w:gridCol w:w="3151"/>
        <w:gridCol w:w="3780"/>
      </w:tblGrid>
      <w:tr w:rsidRPr="008D00A8" w:rsidR="00862585" w:rsidTr="006122F2" w14:paraId="4B2BDDB2"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98" w:type="pct"/>
          </w:tcPr>
          <w:p w:rsidRPr="008D00A8" w:rsidR="00862585" w:rsidP="006122F2" w:rsidRDefault="00862585" w14:paraId="30D5A14F" w14:textId="77777777">
            <w:pPr>
              <w:pStyle w:val="TableHeaderLeft"/>
            </w:pPr>
            <w:r w:rsidRPr="005A603F">
              <w:t>Analysis</w:t>
            </w:r>
          </w:p>
        </w:tc>
        <w:tc>
          <w:tcPr>
            <w:tcW w:w="1683" w:type="pct"/>
          </w:tcPr>
          <w:p w:rsidRPr="005A603F" w:rsidR="00862585" w:rsidP="006122F2" w:rsidRDefault="00862585" w14:paraId="0E9A127E"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Sample size</w:t>
            </w:r>
          </w:p>
        </w:tc>
        <w:tc>
          <w:tcPr>
            <w:tcW w:w="2019" w:type="pct"/>
          </w:tcPr>
          <w:p w:rsidRPr="005A603F" w:rsidR="00862585" w:rsidP="006122F2" w:rsidRDefault="00862585" w14:paraId="47C4277E"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Minimum detectable correlations</w:t>
            </w:r>
          </w:p>
        </w:tc>
      </w:tr>
      <w:tr w:rsidRPr="008D00A8" w:rsidR="00862585" w:rsidTr="006122F2" w14:paraId="6E5662B4" w14:textId="77777777">
        <w:tc>
          <w:tcPr>
            <w:cnfStyle w:val="001000000000" w:firstRow="0" w:lastRow="0" w:firstColumn="1" w:lastColumn="0" w:oddVBand="0" w:evenVBand="0" w:oddHBand="0" w:evenHBand="0" w:firstRowFirstColumn="0" w:firstRowLastColumn="0" w:lastRowFirstColumn="0" w:lastRowLastColumn="0"/>
            <w:tcW w:w="1298" w:type="pct"/>
          </w:tcPr>
          <w:p w:rsidRPr="005A603F" w:rsidR="00862585" w:rsidP="006122F2" w:rsidRDefault="00862585" w14:paraId="6CE4D618" w14:textId="77777777">
            <w:pPr>
              <w:pStyle w:val="TableTextLeft"/>
            </w:pPr>
            <w:r w:rsidRPr="005A603F">
              <w:t>Centers</w:t>
            </w:r>
          </w:p>
        </w:tc>
        <w:tc>
          <w:tcPr>
            <w:tcW w:w="1683" w:type="pct"/>
          </w:tcPr>
          <w:p w:rsidRPr="008D00A8" w:rsidR="00862585" w:rsidP="006122F2" w:rsidRDefault="00862585" w14:paraId="21F64E28" w14:textId="77777777">
            <w:pPr>
              <w:pStyle w:val="TableTextDecimal"/>
              <w:tabs>
                <w:tab w:val="clear" w:pos="576"/>
                <w:tab w:val="decimal" w:pos="1560"/>
              </w:tabs>
              <w:cnfStyle w:val="000000000000" w:firstRow="0" w:lastRow="0" w:firstColumn="0" w:lastColumn="0" w:oddVBand="0" w:evenVBand="0" w:oddHBand="0" w:evenHBand="0" w:firstRowFirstColumn="0" w:firstRowLastColumn="0" w:lastRowFirstColumn="0" w:lastRowLastColumn="0"/>
            </w:pPr>
            <w:r w:rsidRPr="008D00A8">
              <w:t>120</w:t>
            </w:r>
          </w:p>
        </w:tc>
        <w:tc>
          <w:tcPr>
            <w:tcW w:w="2019" w:type="pct"/>
          </w:tcPr>
          <w:p w:rsidRPr="008D00A8" w:rsidR="00862585" w:rsidP="006122F2" w:rsidRDefault="00862585" w14:paraId="01211CB1" w14:textId="77777777">
            <w:pPr>
              <w:pStyle w:val="TableTextDecimal"/>
              <w:tabs>
                <w:tab w:val="clear" w:pos="576"/>
                <w:tab w:val="decimal" w:pos="1740"/>
              </w:tabs>
              <w:cnfStyle w:val="000000000000" w:firstRow="0" w:lastRow="0" w:firstColumn="0" w:lastColumn="0" w:oddVBand="0" w:evenVBand="0" w:oddHBand="0" w:evenHBand="0" w:firstRowFirstColumn="0" w:firstRowLastColumn="0" w:lastRowFirstColumn="0" w:lastRowLastColumn="0"/>
            </w:pPr>
            <w:r w:rsidRPr="008D00A8">
              <w:t>0.256</w:t>
            </w:r>
          </w:p>
        </w:tc>
      </w:tr>
      <w:tr w:rsidRPr="008D00A8" w:rsidR="00862585" w:rsidTr="006122F2" w14:paraId="71102D16" w14:textId="77777777">
        <w:tc>
          <w:tcPr>
            <w:cnfStyle w:val="001000000000" w:firstRow="0" w:lastRow="0" w:firstColumn="1" w:lastColumn="0" w:oddVBand="0" w:evenVBand="0" w:oddHBand="0" w:evenHBand="0" w:firstRowFirstColumn="0" w:firstRowLastColumn="0" w:lastRowFirstColumn="0" w:lastRowLastColumn="0"/>
            <w:tcW w:w="1298" w:type="pct"/>
          </w:tcPr>
          <w:p w:rsidRPr="005A603F" w:rsidR="00862585" w:rsidP="006122F2" w:rsidRDefault="00862585" w14:paraId="03157A46" w14:textId="77777777">
            <w:pPr>
              <w:pStyle w:val="TableTextLeft"/>
            </w:pPr>
            <w:r w:rsidRPr="005A603F">
              <w:t>Center managers</w:t>
            </w:r>
          </w:p>
        </w:tc>
        <w:tc>
          <w:tcPr>
            <w:tcW w:w="1683" w:type="pct"/>
          </w:tcPr>
          <w:p w:rsidRPr="008D00A8" w:rsidR="00862585" w:rsidP="006122F2" w:rsidRDefault="00862585" w14:paraId="6A007737" w14:textId="77777777">
            <w:pPr>
              <w:pStyle w:val="TableTextDecimal"/>
              <w:tabs>
                <w:tab w:val="clear" w:pos="576"/>
                <w:tab w:val="decimal" w:pos="1560"/>
              </w:tabs>
              <w:cnfStyle w:val="000000000000" w:firstRow="0" w:lastRow="0" w:firstColumn="0" w:lastColumn="0" w:oddVBand="0" w:evenVBand="0" w:oddHBand="0" w:evenHBand="0" w:firstRowFirstColumn="0" w:firstRowLastColumn="0" w:lastRowFirstColumn="0" w:lastRowLastColumn="0"/>
            </w:pPr>
            <w:r w:rsidRPr="008D00A8">
              <w:t>240</w:t>
            </w:r>
          </w:p>
        </w:tc>
        <w:tc>
          <w:tcPr>
            <w:tcW w:w="2019" w:type="pct"/>
          </w:tcPr>
          <w:p w:rsidRPr="008D00A8" w:rsidR="00862585" w:rsidP="006122F2" w:rsidRDefault="00862585" w14:paraId="2EEA6422" w14:textId="77777777">
            <w:pPr>
              <w:pStyle w:val="TableTextDecimal"/>
              <w:tabs>
                <w:tab w:val="clear" w:pos="576"/>
                <w:tab w:val="decimal" w:pos="1740"/>
              </w:tabs>
              <w:cnfStyle w:val="000000000000" w:firstRow="0" w:lastRow="0" w:firstColumn="0" w:lastColumn="0" w:oddVBand="0" w:evenVBand="0" w:oddHBand="0" w:evenHBand="0" w:firstRowFirstColumn="0" w:firstRowLastColumn="0" w:lastRowFirstColumn="0" w:lastRowLastColumn="0"/>
            </w:pPr>
            <w:r w:rsidRPr="008D00A8">
              <w:t>0.198</w:t>
            </w:r>
          </w:p>
        </w:tc>
      </w:tr>
      <w:tr w:rsidRPr="008D00A8" w:rsidR="00862585" w:rsidTr="006122F2" w14:paraId="3347E8FB" w14:textId="77777777">
        <w:tc>
          <w:tcPr>
            <w:cnfStyle w:val="001000000000" w:firstRow="0" w:lastRow="0" w:firstColumn="1" w:lastColumn="0" w:oddVBand="0" w:evenVBand="0" w:oddHBand="0" w:evenHBand="0" w:firstRowFirstColumn="0" w:firstRowLastColumn="0" w:lastRowFirstColumn="0" w:lastRowLastColumn="0"/>
            <w:tcW w:w="1298" w:type="pct"/>
          </w:tcPr>
          <w:p w:rsidRPr="005A603F" w:rsidR="00862585" w:rsidP="006122F2" w:rsidRDefault="00862585" w14:paraId="149EA2CD" w14:textId="77777777">
            <w:pPr>
              <w:pStyle w:val="TableTextLeft"/>
            </w:pPr>
            <w:r w:rsidRPr="005A603F">
              <w:t>Teaching staff</w:t>
            </w:r>
          </w:p>
        </w:tc>
        <w:tc>
          <w:tcPr>
            <w:tcW w:w="1683" w:type="pct"/>
          </w:tcPr>
          <w:p w:rsidRPr="008D00A8" w:rsidR="00862585" w:rsidP="006122F2" w:rsidRDefault="00862585" w14:paraId="24D8450D" w14:textId="77777777">
            <w:pPr>
              <w:pStyle w:val="TableTextDecimal"/>
              <w:tabs>
                <w:tab w:val="clear" w:pos="576"/>
                <w:tab w:val="decimal" w:pos="1560"/>
              </w:tabs>
              <w:cnfStyle w:val="000000000000" w:firstRow="0" w:lastRow="0" w:firstColumn="0" w:lastColumn="0" w:oddVBand="0" w:evenVBand="0" w:oddHBand="0" w:evenHBand="0" w:firstRowFirstColumn="0" w:firstRowLastColumn="0" w:lastRowFirstColumn="0" w:lastRowLastColumn="0"/>
            </w:pPr>
            <w:r w:rsidRPr="008D00A8">
              <w:t>1,344</w:t>
            </w:r>
          </w:p>
        </w:tc>
        <w:tc>
          <w:tcPr>
            <w:tcW w:w="2019" w:type="pct"/>
          </w:tcPr>
          <w:p w:rsidRPr="008D00A8" w:rsidR="00862585" w:rsidP="006122F2" w:rsidRDefault="00862585" w14:paraId="17DDCE81" w14:textId="77777777">
            <w:pPr>
              <w:pStyle w:val="TableTextDecimal"/>
              <w:tabs>
                <w:tab w:val="clear" w:pos="576"/>
                <w:tab w:val="decimal" w:pos="1740"/>
              </w:tabs>
              <w:cnfStyle w:val="000000000000" w:firstRow="0" w:lastRow="0" w:firstColumn="0" w:lastColumn="0" w:oddVBand="0" w:evenVBand="0" w:oddHBand="0" w:evenHBand="0" w:firstRowFirstColumn="0" w:firstRowLastColumn="0" w:lastRowFirstColumn="0" w:lastRowLastColumn="0"/>
            </w:pPr>
            <w:r w:rsidRPr="008D00A8">
              <w:t>0.133</w:t>
            </w:r>
          </w:p>
        </w:tc>
      </w:tr>
    </w:tbl>
    <w:p w:rsidRPr="0015626D" w:rsidR="00862585" w:rsidP="00862585" w:rsidRDefault="00862585" w14:paraId="68C1AEE9" w14:textId="66E095F7">
      <w:pPr>
        <w:pStyle w:val="TableSource"/>
      </w:pPr>
      <w:r w:rsidRPr="0015626D">
        <w:t>Note:</w:t>
      </w:r>
      <w:r>
        <w:tab/>
      </w:r>
      <w:r w:rsidRPr="0015626D">
        <w:t xml:space="preserve">In this table, </w:t>
      </w:r>
      <w:r>
        <w:t>the study team</w:t>
      </w:r>
      <w:r w:rsidRPr="0015626D">
        <w:t xml:space="preserve"> assumed a type I error rate of 0.05 (two-sided) and a power of 0.80. </w:t>
      </w:r>
      <w:r>
        <w:t>The study team</w:t>
      </w:r>
      <w:r w:rsidRPr="0015626D">
        <w:t xml:space="preserve"> assumed a sample with an average of </w:t>
      </w:r>
      <w:r>
        <w:t>2</w:t>
      </w:r>
      <w:r w:rsidRPr="0015626D">
        <w:t xml:space="preserve"> </w:t>
      </w:r>
      <w:r>
        <w:t xml:space="preserve">center </w:t>
      </w:r>
      <w:r w:rsidRPr="0015626D">
        <w:t xml:space="preserve">managers and 14 teaching staff per center and assumed a 100 percent </w:t>
      </w:r>
      <w:r w:rsidR="00BC6BCA">
        <w:t>response rate</w:t>
      </w:r>
      <w:r w:rsidRPr="0015626D">
        <w:t xml:space="preserve"> for </w:t>
      </w:r>
      <w:r>
        <w:t xml:space="preserve">center </w:t>
      </w:r>
      <w:r w:rsidRPr="0015626D">
        <w:t xml:space="preserve">managers and an 80 percent </w:t>
      </w:r>
      <w:r w:rsidR="00BC6BCA">
        <w:t>response rate</w:t>
      </w:r>
      <w:r w:rsidRPr="0015626D">
        <w:t xml:space="preserve"> for teaching staff.</w:t>
      </w:r>
    </w:p>
    <w:p w:rsidRPr="00316BB7" w:rsidR="00862585" w:rsidP="00420FFD" w:rsidRDefault="00862585" w14:paraId="696016A8" w14:textId="108560D0">
      <w:pPr>
        <w:pStyle w:val="ParagraphContinued"/>
      </w:pPr>
      <w:r>
        <w:lastRenderedPageBreak/>
        <w:t>The study team</w:t>
      </w:r>
      <w:r w:rsidRPr="00316BB7">
        <w:t xml:space="preserve"> can also estimate means and percentages overall and by subgroups of interest (such as Head Start, centers receiving </w:t>
      </w:r>
      <w:proofErr w:type="spellStart"/>
      <w:r w:rsidRPr="00316BB7">
        <w:t>CCDF</w:t>
      </w:r>
      <w:proofErr w:type="spellEnd"/>
      <w:r w:rsidRPr="00316BB7">
        <w:t xml:space="preserve"> subsidies, and centers with mixed funding</w:t>
      </w:r>
      <w:r w:rsidRPr="00FB2CE3">
        <w:t>). Table B.4 shows the minimum detectable differences (</w:t>
      </w:r>
      <w:proofErr w:type="spellStart"/>
      <w:r w:rsidRPr="00FB2CE3">
        <w:t>MDDs</w:t>
      </w:r>
      <w:proofErr w:type="spellEnd"/>
      <w:r w:rsidRPr="00FB2CE3">
        <w:t>) for subgroup comparisons in some scenarios. The</w:t>
      </w:r>
      <w:r>
        <w:t xml:space="preserve"> study </w:t>
      </w:r>
      <w:r w:rsidR="009D0140">
        <w:t>design</w:t>
      </w:r>
      <w:r w:rsidRPr="00316BB7" w:rsidR="009D0140">
        <w:t xml:space="preserve"> </w:t>
      </w:r>
      <w:r>
        <w:t>has</w:t>
      </w:r>
      <w:r w:rsidRPr="00316BB7">
        <w:t xml:space="preserve"> adequate precision for teaching staff-level subgroup analysis to detect small differences</w:t>
      </w:r>
      <w:r>
        <w:t xml:space="preserve"> ranging from 0.266 to 0.327</w:t>
      </w:r>
      <w:r w:rsidR="005A2F5E">
        <w:t xml:space="preserve"> standard deviation units</w:t>
      </w:r>
      <w:r w:rsidRPr="00316BB7">
        <w:t>. At the center and manager</w:t>
      </w:r>
      <w:r w:rsidR="005A2F5E">
        <w:t xml:space="preserve"> </w:t>
      </w:r>
      <w:r w:rsidRPr="00316BB7">
        <w:t>levels, it could be possible to detect statistically significant differences between subgroups if the differences were moderate to large. For analysis at the manager</w:t>
      </w:r>
      <w:r w:rsidR="005A2F5E">
        <w:t xml:space="preserve"> </w:t>
      </w:r>
      <w:r w:rsidRPr="00316BB7">
        <w:t xml:space="preserve">level, the </w:t>
      </w:r>
      <w:proofErr w:type="spellStart"/>
      <w:r w:rsidRPr="00316BB7">
        <w:t>MDDs</w:t>
      </w:r>
      <w:proofErr w:type="spellEnd"/>
      <w:r w:rsidRPr="00316BB7">
        <w:t xml:space="preserve"> range from 0.396 to 0.485. The </w:t>
      </w:r>
      <w:proofErr w:type="spellStart"/>
      <w:r w:rsidRPr="00316BB7">
        <w:t>MDDs</w:t>
      </w:r>
      <w:proofErr w:type="spellEnd"/>
      <w:r w:rsidRPr="00316BB7">
        <w:t xml:space="preserve"> are especially </w:t>
      </w:r>
      <w:r>
        <w:t>large</w:t>
      </w:r>
      <w:r w:rsidRPr="00316BB7">
        <w:t xml:space="preserve"> for comparing subgroups on leadership scores at the center</w:t>
      </w:r>
      <w:r w:rsidR="005A2F5E">
        <w:t xml:space="preserve"> </w:t>
      </w:r>
      <w:r w:rsidRPr="00316BB7">
        <w:t>level, ranging from 0.511 to 0.627. Therefore, with a sample of 120 centers, any subgroup analyses at the center</w:t>
      </w:r>
      <w:r w:rsidR="005A2F5E">
        <w:t xml:space="preserve"> </w:t>
      </w:r>
      <w:r w:rsidRPr="00316BB7">
        <w:t>level will be exploratory.</w:t>
      </w:r>
    </w:p>
    <w:p w:rsidR="006122F2" w:rsidP="00B12207" w:rsidRDefault="006122F2" w14:paraId="654784F0" w14:textId="77777777">
      <w:pPr>
        <w:pStyle w:val="TitleRule"/>
      </w:pPr>
      <w:r w:rsidRPr="00465BF8">
        <w:rPr>
          <w:noProof/>
        </w:rPr>
        <mc:AlternateContent>
          <mc:Choice Requires="wps">
            <w:drawing>
              <wp:inline distT="0" distB="0" distL="0" distR="0" wp14:anchorId="03C3CBC6" wp14:editId="096D2F0B">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83EC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0D78AE" w:rsidR="00862585" w:rsidP="006122F2" w:rsidRDefault="00862585" w14:paraId="26520818" w14:textId="77777777">
      <w:pPr>
        <w:pStyle w:val="TableTitle"/>
      </w:pPr>
      <w:r w:rsidRPr="00FB2CE3">
        <w:t>Table B.4.</w:t>
      </w:r>
      <w:r w:rsidRPr="000D78AE">
        <w:t xml:space="preserve"> </w:t>
      </w:r>
      <w:proofErr w:type="spellStart"/>
      <w:r w:rsidRPr="000D78AE">
        <w:t>MDDs</w:t>
      </w:r>
      <w:proofErr w:type="spellEnd"/>
      <w:r w:rsidRPr="000D78AE">
        <w:t xml:space="preserve"> for subgroup comparisons with a total sample of 120 centers</w:t>
      </w:r>
    </w:p>
    <w:tbl>
      <w:tblPr>
        <w:tblStyle w:val="MathUBaseTable"/>
        <w:tblW w:w="5000" w:type="pct"/>
        <w:tblLook w:val="04A0" w:firstRow="1" w:lastRow="0" w:firstColumn="1" w:lastColumn="0" w:noHBand="0" w:noVBand="1"/>
      </w:tblPr>
      <w:tblGrid>
        <w:gridCol w:w="1621"/>
        <w:gridCol w:w="1711"/>
        <w:gridCol w:w="2162"/>
        <w:gridCol w:w="2164"/>
        <w:gridCol w:w="1702"/>
      </w:tblGrid>
      <w:tr w:rsidRPr="000D78AE" w:rsidR="00862585" w:rsidTr="006122F2" w14:paraId="646862B4" w14:textId="77777777">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66" w:type="pct"/>
          </w:tcPr>
          <w:p w:rsidRPr="00176D1D" w:rsidR="00862585" w:rsidP="002A72B3" w:rsidRDefault="00862585" w14:paraId="340D4B20" w14:textId="77777777">
            <w:pPr>
              <w:pStyle w:val="TableHeaderLeft"/>
              <w:jc w:val="center"/>
            </w:pPr>
            <w:r w:rsidRPr="000D78AE">
              <w:t>Proportion of the sample in Subgroup 1</w:t>
            </w:r>
          </w:p>
        </w:tc>
        <w:tc>
          <w:tcPr>
            <w:tcW w:w="914" w:type="pct"/>
          </w:tcPr>
          <w:p w:rsidRPr="00176D1D" w:rsidR="00862585" w:rsidP="006122F2" w:rsidRDefault="00862585" w14:paraId="7D07CC42" w14:textId="77777777">
            <w:pPr>
              <w:pStyle w:val="TableHeaderCenter"/>
              <w:cnfStyle w:val="100000000000" w:firstRow="1" w:lastRow="0" w:firstColumn="0" w:lastColumn="0" w:oddVBand="0" w:evenVBand="0" w:oddHBand="0" w:evenHBand="0" w:firstRowFirstColumn="0" w:firstRowLastColumn="0" w:lastRowFirstColumn="0" w:lastRowLastColumn="0"/>
            </w:pPr>
            <w:r w:rsidRPr="00176D1D">
              <w:t>Proportion of the sample in Subgroup 2</w:t>
            </w:r>
          </w:p>
        </w:tc>
        <w:tc>
          <w:tcPr>
            <w:tcW w:w="1155" w:type="pct"/>
          </w:tcPr>
          <w:p w:rsidRPr="00176D1D" w:rsidR="00862585" w:rsidP="006122F2" w:rsidRDefault="00862585" w14:paraId="2F3404AD" w14:textId="77777777">
            <w:pPr>
              <w:pStyle w:val="TableHeaderCenter"/>
              <w:cnfStyle w:val="100000000000" w:firstRow="1" w:lastRow="0" w:firstColumn="0" w:lastColumn="0" w:oddVBand="0" w:evenVBand="0" w:oddHBand="0" w:evenHBand="0" w:firstRowFirstColumn="0" w:firstRowLastColumn="0" w:lastRowFirstColumn="0" w:lastRowLastColumn="0"/>
            </w:pPr>
            <w:r w:rsidRPr="00176D1D">
              <w:t>Number of centers or respondents in Subgroup 1</w:t>
            </w:r>
          </w:p>
        </w:tc>
        <w:tc>
          <w:tcPr>
            <w:tcW w:w="1156" w:type="pct"/>
          </w:tcPr>
          <w:p w:rsidRPr="00176D1D" w:rsidR="00862585" w:rsidP="006122F2" w:rsidRDefault="00862585" w14:paraId="79A42EB2" w14:textId="77777777">
            <w:pPr>
              <w:pStyle w:val="TableHeaderCenter"/>
              <w:cnfStyle w:val="100000000000" w:firstRow="1" w:lastRow="0" w:firstColumn="0" w:lastColumn="0" w:oddVBand="0" w:evenVBand="0" w:oddHBand="0" w:evenHBand="0" w:firstRowFirstColumn="0" w:firstRowLastColumn="0" w:lastRowFirstColumn="0" w:lastRowLastColumn="0"/>
            </w:pPr>
            <w:r w:rsidRPr="00176D1D">
              <w:t>Number of centers or respondents in Subgroup 2</w:t>
            </w:r>
          </w:p>
        </w:tc>
        <w:tc>
          <w:tcPr>
            <w:tcW w:w="909" w:type="pct"/>
          </w:tcPr>
          <w:p w:rsidRPr="00176D1D" w:rsidR="00862585" w:rsidP="006122F2" w:rsidRDefault="00862585" w14:paraId="2AA0584E" w14:textId="77777777">
            <w:pPr>
              <w:pStyle w:val="TableHeaderCenter"/>
              <w:cnfStyle w:val="100000000000" w:firstRow="1" w:lastRow="0" w:firstColumn="0" w:lastColumn="0" w:oddVBand="0" w:evenVBand="0" w:oddHBand="0" w:evenHBand="0" w:firstRowFirstColumn="0" w:firstRowLastColumn="0" w:lastRowFirstColumn="0" w:lastRowLastColumn="0"/>
            </w:pPr>
            <w:proofErr w:type="spellStart"/>
            <w:r w:rsidRPr="00176D1D">
              <w:t>MDD</w:t>
            </w:r>
            <w:proofErr w:type="spellEnd"/>
            <w:r w:rsidRPr="00176D1D">
              <w:t xml:space="preserve"> (standard deviation units)</w:t>
            </w:r>
          </w:p>
        </w:tc>
      </w:tr>
      <w:tr w:rsidRPr="000D78AE" w:rsidR="00862585" w:rsidTr="006122F2" w14:paraId="690B4120"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tcPr>
          <w:p w:rsidRPr="000D78AE" w:rsidR="00862585" w:rsidP="006122F2" w:rsidRDefault="00862585" w14:paraId="139F8057" w14:textId="77777777">
            <w:pPr>
              <w:pStyle w:val="TableRowHead"/>
            </w:pPr>
            <w:r w:rsidRPr="00DD7A63">
              <w:t>Centers</w:t>
            </w:r>
            <w:r w:rsidRPr="000D78AE">
              <w:t xml:space="preserve"> </w:t>
            </w:r>
          </w:p>
        </w:tc>
      </w:tr>
      <w:tr w:rsidRPr="000D78AE" w:rsidR="00862585" w:rsidTr="002A72B3" w14:paraId="0122E7EB"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FCE5951" w14:textId="77777777">
            <w:pPr>
              <w:pStyle w:val="TableTextDecimal"/>
            </w:pPr>
            <w:r w:rsidRPr="00DD7A63">
              <w:t>0.50</w:t>
            </w:r>
          </w:p>
        </w:tc>
        <w:tc>
          <w:tcPr>
            <w:tcW w:w="914" w:type="pct"/>
            <w:tcBorders>
              <w:left w:val="nil"/>
            </w:tcBorders>
          </w:tcPr>
          <w:p w:rsidRPr="00DD7A63" w:rsidR="00862585" w:rsidP="006122F2" w:rsidRDefault="00862585" w14:paraId="5A455975"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0.50</w:t>
            </w:r>
          </w:p>
        </w:tc>
        <w:tc>
          <w:tcPr>
            <w:tcW w:w="1155" w:type="pct"/>
          </w:tcPr>
          <w:p w:rsidRPr="00DD7A63" w:rsidR="00862585" w:rsidP="00F53A20" w:rsidRDefault="00862585" w14:paraId="3185C009"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60</w:t>
            </w:r>
          </w:p>
        </w:tc>
        <w:tc>
          <w:tcPr>
            <w:tcW w:w="1156" w:type="pct"/>
          </w:tcPr>
          <w:p w:rsidRPr="00DD7A63" w:rsidR="00862585" w:rsidP="00F53A20" w:rsidRDefault="00862585" w14:paraId="7324EDA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60</w:t>
            </w:r>
          </w:p>
        </w:tc>
        <w:tc>
          <w:tcPr>
            <w:tcW w:w="909" w:type="pct"/>
          </w:tcPr>
          <w:p w:rsidRPr="00DD7A63" w:rsidR="00862585" w:rsidP="00F53A20" w:rsidRDefault="00862585" w14:paraId="6ABD7448"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0.511</w:t>
            </w:r>
          </w:p>
        </w:tc>
      </w:tr>
      <w:tr w:rsidRPr="000D78AE" w:rsidR="00862585" w:rsidTr="002A72B3" w14:paraId="30FE0928"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3327DC38" w14:textId="77777777">
            <w:pPr>
              <w:pStyle w:val="TableTextDecimal"/>
            </w:pPr>
            <w:r w:rsidRPr="00DD7A63">
              <w:t>0.33</w:t>
            </w:r>
          </w:p>
        </w:tc>
        <w:tc>
          <w:tcPr>
            <w:tcW w:w="914" w:type="pct"/>
            <w:tcBorders>
              <w:left w:val="nil"/>
            </w:tcBorders>
          </w:tcPr>
          <w:p w:rsidRPr="00DD7A63" w:rsidR="00862585" w:rsidP="006122F2" w:rsidRDefault="00862585" w14:paraId="1B380C84"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0.67</w:t>
            </w:r>
          </w:p>
        </w:tc>
        <w:tc>
          <w:tcPr>
            <w:tcW w:w="1155" w:type="pct"/>
          </w:tcPr>
          <w:p w:rsidRPr="00DD7A63" w:rsidR="00862585" w:rsidP="00F53A20" w:rsidRDefault="00862585" w14:paraId="5044DD76"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40</w:t>
            </w:r>
          </w:p>
        </w:tc>
        <w:tc>
          <w:tcPr>
            <w:tcW w:w="1156" w:type="pct"/>
          </w:tcPr>
          <w:p w:rsidRPr="00DD7A63" w:rsidR="00862585" w:rsidP="00F53A20" w:rsidRDefault="00862585" w14:paraId="7CF0CE38"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909" w:type="pct"/>
          </w:tcPr>
          <w:p w:rsidRPr="00DD7A63" w:rsidR="00862585" w:rsidP="00F53A20" w:rsidRDefault="00862585" w14:paraId="3D24347A"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0.543</w:t>
            </w:r>
          </w:p>
        </w:tc>
      </w:tr>
      <w:tr w:rsidRPr="000D78AE" w:rsidR="00862585" w:rsidTr="002A72B3" w14:paraId="742DF86D"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1CB21F65" w14:textId="77777777">
            <w:pPr>
              <w:pStyle w:val="TableTextDecimal"/>
            </w:pPr>
            <w:r w:rsidRPr="00DD7A63">
              <w:t>0.25</w:t>
            </w:r>
          </w:p>
        </w:tc>
        <w:tc>
          <w:tcPr>
            <w:tcW w:w="914" w:type="pct"/>
            <w:tcBorders>
              <w:left w:val="nil"/>
            </w:tcBorders>
          </w:tcPr>
          <w:p w:rsidRPr="00DD7A63" w:rsidR="00862585" w:rsidP="006122F2" w:rsidRDefault="00862585" w14:paraId="786B33B0"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0.75</w:t>
            </w:r>
          </w:p>
        </w:tc>
        <w:tc>
          <w:tcPr>
            <w:tcW w:w="1155" w:type="pct"/>
          </w:tcPr>
          <w:p w:rsidRPr="00DD7A63" w:rsidR="00862585" w:rsidP="00F53A20" w:rsidRDefault="00862585" w14:paraId="43AAEA8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30</w:t>
            </w:r>
          </w:p>
        </w:tc>
        <w:tc>
          <w:tcPr>
            <w:tcW w:w="1156" w:type="pct"/>
          </w:tcPr>
          <w:p w:rsidRPr="00DD7A63" w:rsidR="00862585" w:rsidP="00F53A20" w:rsidRDefault="00862585" w14:paraId="0EF37BEF"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90</w:t>
            </w:r>
          </w:p>
        </w:tc>
        <w:tc>
          <w:tcPr>
            <w:tcW w:w="909" w:type="pct"/>
          </w:tcPr>
          <w:p w:rsidRPr="00DD7A63" w:rsidR="00862585" w:rsidP="00F53A20" w:rsidRDefault="00862585" w14:paraId="2DE63939"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0.591</w:t>
            </w:r>
          </w:p>
        </w:tc>
      </w:tr>
      <w:tr w:rsidRPr="000D78AE" w:rsidR="00862585" w:rsidTr="002A72B3" w14:paraId="298A566E"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22A05AB2" w14:textId="77777777">
            <w:pPr>
              <w:pStyle w:val="TableTextDecimal"/>
            </w:pPr>
            <w:r w:rsidRPr="00DD7A63">
              <w:t>0.33</w:t>
            </w:r>
          </w:p>
        </w:tc>
        <w:tc>
          <w:tcPr>
            <w:tcW w:w="914" w:type="pct"/>
            <w:tcBorders>
              <w:left w:val="nil"/>
            </w:tcBorders>
          </w:tcPr>
          <w:p w:rsidRPr="00DD7A63" w:rsidR="00862585" w:rsidP="006122F2" w:rsidRDefault="00862585" w14:paraId="7CC4241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0.33</w:t>
            </w:r>
          </w:p>
        </w:tc>
        <w:tc>
          <w:tcPr>
            <w:tcW w:w="1155" w:type="pct"/>
          </w:tcPr>
          <w:p w:rsidRPr="00DD7A63" w:rsidR="00862585" w:rsidP="00F53A20" w:rsidRDefault="00862585" w14:paraId="0BAAA1B7"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40</w:t>
            </w:r>
          </w:p>
        </w:tc>
        <w:tc>
          <w:tcPr>
            <w:tcW w:w="1156" w:type="pct"/>
          </w:tcPr>
          <w:p w:rsidRPr="00DD7A63" w:rsidR="00862585" w:rsidP="00F53A20" w:rsidRDefault="00862585" w14:paraId="2C0AA50D"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40</w:t>
            </w:r>
          </w:p>
        </w:tc>
        <w:tc>
          <w:tcPr>
            <w:tcW w:w="909" w:type="pct"/>
          </w:tcPr>
          <w:p w:rsidRPr="00DD7A63" w:rsidR="00862585" w:rsidP="00F53A20" w:rsidRDefault="00862585" w14:paraId="2F6AA6B6"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0.627</w:t>
            </w:r>
          </w:p>
        </w:tc>
      </w:tr>
      <w:tr w:rsidRPr="000D78AE" w:rsidR="00862585" w:rsidTr="006122F2" w14:paraId="371FE192"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tcPr>
          <w:p w:rsidRPr="000D78AE" w:rsidR="00862585" w:rsidP="00F53A20" w:rsidRDefault="00862585" w14:paraId="3B228A49" w14:textId="77777777">
            <w:pPr>
              <w:pStyle w:val="TableRowHead"/>
              <w:tabs>
                <w:tab w:val="decimal" w:pos="660"/>
                <w:tab w:val="decimal" w:pos="1110"/>
              </w:tabs>
            </w:pPr>
            <w:r>
              <w:t xml:space="preserve">Center </w:t>
            </w:r>
            <w:r w:rsidRPr="00DD7A63">
              <w:t>managers</w:t>
            </w:r>
          </w:p>
        </w:tc>
      </w:tr>
      <w:tr w:rsidRPr="000D78AE" w:rsidR="00862585" w:rsidTr="002A72B3" w14:paraId="5E1BC6FD"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5D1D69B7" w14:textId="77777777">
            <w:pPr>
              <w:pStyle w:val="TableTextDecimal"/>
            </w:pPr>
            <w:r w:rsidRPr="00DD7A63">
              <w:t>0.50</w:t>
            </w:r>
          </w:p>
        </w:tc>
        <w:tc>
          <w:tcPr>
            <w:tcW w:w="914" w:type="pct"/>
            <w:tcBorders>
              <w:left w:val="nil"/>
            </w:tcBorders>
          </w:tcPr>
          <w:p w:rsidRPr="00DD7A63" w:rsidR="00862585" w:rsidP="006122F2" w:rsidRDefault="00862585" w14:paraId="4C6D7CDA"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0.50</w:t>
            </w:r>
          </w:p>
        </w:tc>
        <w:tc>
          <w:tcPr>
            <w:tcW w:w="1155" w:type="pct"/>
          </w:tcPr>
          <w:p w:rsidRPr="00DD7A63" w:rsidR="00862585" w:rsidP="00F53A20" w:rsidRDefault="00862585" w14:paraId="1F5B9C3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120</w:t>
            </w:r>
          </w:p>
        </w:tc>
        <w:tc>
          <w:tcPr>
            <w:tcW w:w="1156" w:type="pct"/>
          </w:tcPr>
          <w:p w:rsidRPr="00DD7A63" w:rsidR="00862585" w:rsidP="00F53A20" w:rsidRDefault="00862585" w14:paraId="188424AD"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120</w:t>
            </w:r>
          </w:p>
        </w:tc>
        <w:tc>
          <w:tcPr>
            <w:tcW w:w="909" w:type="pct"/>
          </w:tcPr>
          <w:p w:rsidRPr="00DD7A63" w:rsidR="00862585" w:rsidP="00F53A20" w:rsidRDefault="00862585" w14:paraId="207FB3A7"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0.396</w:t>
            </w:r>
          </w:p>
        </w:tc>
      </w:tr>
      <w:tr w:rsidRPr="000D78AE" w:rsidR="00862585" w:rsidTr="002A72B3" w14:paraId="3E0280E8"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AADB006" w14:textId="77777777">
            <w:pPr>
              <w:pStyle w:val="TableTextDecimal"/>
            </w:pPr>
            <w:r w:rsidRPr="00DD7A63">
              <w:t>0.33</w:t>
            </w:r>
          </w:p>
        </w:tc>
        <w:tc>
          <w:tcPr>
            <w:tcW w:w="914" w:type="pct"/>
            <w:tcBorders>
              <w:left w:val="nil"/>
            </w:tcBorders>
          </w:tcPr>
          <w:p w:rsidRPr="00DD7A63" w:rsidR="00862585" w:rsidP="006122F2" w:rsidRDefault="00862585" w14:paraId="2446C766"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0.67</w:t>
            </w:r>
          </w:p>
        </w:tc>
        <w:tc>
          <w:tcPr>
            <w:tcW w:w="1155" w:type="pct"/>
          </w:tcPr>
          <w:p w:rsidRPr="00DD7A63" w:rsidR="00862585" w:rsidP="00F53A20" w:rsidRDefault="00862585" w14:paraId="4A5C592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1156" w:type="pct"/>
          </w:tcPr>
          <w:p w:rsidRPr="00DD7A63" w:rsidR="00862585" w:rsidP="00F53A20" w:rsidRDefault="00862585" w14:paraId="53D47FB0"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160</w:t>
            </w:r>
          </w:p>
        </w:tc>
        <w:tc>
          <w:tcPr>
            <w:tcW w:w="909" w:type="pct"/>
          </w:tcPr>
          <w:p w:rsidRPr="00DD7A63" w:rsidR="00862585" w:rsidP="00F53A20" w:rsidRDefault="00862585" w14:paraId="1A3352F7"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0.420</w:t>
            </w:r>
          </w:p>
        </w:tc>
      </w:tr>
      <w:tr w:rsidRPr="000D78AE" w:rsidR="00862585" w:rsidTr="002A72B3" w14:paraId="527F83D3"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01182072" w14:textId="77777777">
            <w:pPr>
              <w:pStyle w:val="TableTextDecimal"/>
            </w:pPr>
            <w:r w:rsidRPr="00DD7A63">
              <w:t>0.25</w:t>
            </w:r>
          </w:p>
        </w:tc>
        <w:tc>
          <w:tcPr>
            <w:tcW w:w="914" w:type="pct"/>
            <w:tcBorders>
              <w:left w:val="nil"/>
            </w:tcBorders>
          </w:tcPr>
          <w:p w:rsidRPr="00DD7A63" w:rsidR="00862585" w:rsidP="006122F2" w:rsidRDefault="00862585" w14:paraId="15A178ED"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0.75</w:t>
            </w:r>
          </w:p>
        </w:tc>
        <w:tc>
          <w:tcPr>
            <w:tcW w:w="1155" w:type="pct"/>
          </w:tcPr>
          <w:p w:rsidRPr="00DD7A63" w:rsidR="00862585" w:rsidP="00F53A20" w:rsidRDefault="00862585" w14:paraId="6EA8E8D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60</w:t>
            </w:r>
          </w:p>
        </w:tc>
        <w:tc>
          <w:tcPr>
            <w:tcW w:w="1156" w:type="pct"/>
          </w:tcPr>
          <w:p w:rsidRPr="00DD7A63" w:rsidR="00862585" w:rsidP="00F53A20" w:rsidRDefault="00862585" w14:paraId="60F8CBFE"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180</w:t>
            </w:r>
          </w:p>
        </w:tc>
        <w:tc>
          <w:tcPr>
            <w:tcW w:w="909" w:type="pct"/>
          </w:tcPr>
          <w:p w:rsidRPr="00DD7A63" w:rsidR="00862585" w:rsidP="00F53A20" w:rsidRDefault="00862585" w14:paraId="43B6AFB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0.457</w:t>
            </w:r>
          </w:p>
        </w:tc>
      </w:tr>
      <w:tr w:rsidRPr="000D78AE" w:rsidR="00862585" w:rsidTr="002A72B3" w14:paraId="2F14BA4A"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00F12407" w14:textId="77777777">
            <w:pPr>
              <w:pStyle w:val="TableTextDecimal"/>
            </w:pPr>
            <w:r w:rsidRPr="00DD7A63">
              <w:t>0.33</w:t>
            </w:r>
          </w:p>
        </w:tc>
        <w:tc>
          <w:tcPr>
            <w:tcW w:w="914" w:type="pct"/>
            <w:tcBorders>
              <w:left w:val="nil"/>
            </w:tcBorders>
          </w:tcPr>
          <w:p w:rsidRPr="00DD7A63" w:rsidR="00862585" w:rsidP="006122F2" w:rsidRDefault="00862585" w14:paraId="3DFFC303"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0.33</w:t>
            </w:r>
          </w:p>
        </w:tc>
        <w:tc>
          <w:tcPr>
            <w:tcW w:w="1155" w:type="pct"/>
          </w:tcPr>
          <w:p w:rsidRPr="00DD7A63" w:rsidR="00862585" w:rsidP="00F53A20" w:rsidRDefault="00862585" w14:paraId="17E912D9"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1156" w:type="pct"/>
          </w:tcPr>
          <w:p w:rsidRPr="00DD7A63" w:rsidR="00862585" w:rsidP="00F53A20" w:rsidRDefault="00862585" w14:paraId="6384DC15"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909" w:type="pct"/>
          </w:tcPr>
          <w:p w:rsidRPr="00DD7A63" w:rsidR="00862585" w:rsidP="00F53A20" w:rsidRDefault="00862585" w14:paraId="7AFBF5E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0.485</w:t>
            </w:r>
          </w:p>
        </w:tc>
      </w:tr>
      <w:tr w:rsidRPr="000D78AE" w:rsidR="00862585" w:rsidTr="006122F2" w14:paraId="0B690101"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tcPr>
          <w:p w:rsidRPr="000D78AE" w:rsidR="00862585" w:rsidP="00F53A20" w:rsidRDefault="00862585" w14:paraId="493B84F8" w14:textId="77777777">
            <w:pPr>
              <w:pStyle w:val="TableRowHead"/>
              <w:tabs>
                <w:tab w:val="decimal" w:pos="660"/>
                <w:tab w:val="decimal" w:pos="1110"/>
              </w:tabs>
            </w:pPr>
            <w:r w:rsidRPr="000D78AE">
              <w:t>Teaching staff</w:t>
            </w:r>
          </w:p>
        </w:tc>
      </w:tr>
      <w:tr w:rsidRPr="000D78AE" w:rsidR="00862585" w:rsidTr="002A72B3" w14:paraId="027F4147"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56582DD9" w14:textId="77777777">
            <w:pPr>
              <w:pStyle w:val="TableTextDecimal"/>
            </w:pPr>
            <w:r w:rsidRPr="00DD7A63">
              <w:t>0.50</w:t>
            </w:r>
          </w:p>
        </w:tc>
        <w:tc>
          <w:tcPr>
            <w:tcW w:w="914" w:type="pct"/>
            <w:tcBorders>
              <w:left w:val="nil"/>
            </w:tcBorders>
          </w:tcPr>
          <w:p w:rsidRPr="00DD7A63" w:rsidR="00862585" w:rsidP="006122F2" w:rsidRDefault="00862585" w14:paraId="0FE3B74D"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0.50</w:t>
            </w:r>
          </w:p>
        </w:tc>
        <w:tc>
          <w:tcPr>
            <w:tcW w:w="1155" w:type="pct"/>
          </w:tcPr>
          <w:p w:rsidRPr="00DD7A63" w:rsidR="00862585" w:rsidP="00F53A20" w:rsidRDefault="00862585" w14:paraId="2DFBB3CE"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672</w:t>
            </w:r>
          </w:p>
        </w:tc>
        <w:tc>
          <w:tcPr>
            <w:tcW w:w="1156" w:type="pct"/>
          </w:tcPr>
          <w:p w:rsidRPr="00DD7A63" w:rsidR="00862585" w:rsidP="00F53A20" w:rsidRDefault="00862585" w14:paraId="2C2DAD78"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672</w:t>
            </w:r>
          </w:p>
        </w:tc>
        <w:tc>
          <w:tcPr>
            <w:tcW w:w="909" w:type="pct"/>
          </w:tcPr>
          <w:p w:rsidRPr="00DD7A63" w:rsidR="00862585" w:rsidP="00F53A20" w:rsidRDefault="00862585" w14:paraId="6F64A0F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0.266</w:t>
            </w:r>
          </w:p>
        </w:tc>
      </w:tr>
      <w:tr w:rsidRPr="000D78AE" w:rsidR="00862585" w:rsidTr="002A72B3" w14:paraId="4BD1DB6A"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6F800DB" w14:textId="77777777">
            <w:pPr>
              <w:pStyle w:val="TableTextDecimal"/>
            </w:pPr>
            <w:r w:rsidRPr="00DD7A63">
              <w:t>0.33</w:t>
            </w:r>
          </w:p>
        </w:tc>
        <w:tc>
          <w:tcPr>
            <w:tcW w:w="914" w:type="pct"/>
            <w:tcBorders>
              <w:left w:val="nil"/>
            </w:tcBorders>
          </w:tcPr>
          <w:p w:rsidRPr="00DD7A63" w:rsidR="00862585" w:rsidP="006122F2" w:rsidRDefault="00862585" w14:paraId="5345B703"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0.67</w:t>
            </w:r>
          </w:p>
        </w:tc>
        <w:tc>
          <w:tcPr>
            <w:tcW w:w="1155" w:type="pct"/>
          </w:tcPr>
          <w:p w:rsidRPr="00DD7A63" w:rsidR="00862585" w:rsidP="00F53A20" w:rsidRDefault="00862585" w14:paraId="348ADCAF"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448</w:t>
            </w:r>
          </w:p>
        </w:tc>
        <w:tc>
          <w:tcPr>
            <w:tcW w:w="1156" w:type="pct"/>
          </w:tcPr>
          <w:p w:rsidRPr="00DD7A63" w:rsidR="00862585" w:rsidP="00F53A20" w:rsidRDefault="00862585" w14:paraId="4E41034F"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896</w:t>
            </w:r>
          </w:p>
        </w:tc>
        <w:tc>
          <w:tcPr>
            <w:tcW w:w="909" w:type="pct"/>
          </w:tcPr>
          <w:p w:rsidRPr="00DD7A63" w:rsidR="00862585" w:rsidP="00F53A20" w:rsidRDefault="00862585" w14:paraId="2F28D07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0.283</w:t>
            </w:r>
          </w:p>
        </w:tc>
      </w:tr>
      <w:tr w:rsidRPr="000D78AE" w:rsidR="00862585" w:rsidTr="002A72B3" w14:paraId="11258394"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4CDB5337" w14:textId="77777777">
            <w:pPr>
              <w:pStyle w:val="TableTextDecimal"/>
            </w:pPr>
            <w:r w:rsidRPr="00DD7A63">
              <w:t>0.25</w:t>
            </w:r>
          </w:p>
        </w:tc>
        <w:tc>
          <w:tcPr>
            <w:tcW w:w="914" w:type="pct"/>
            <w:tcBorders>
              <w:left w:val="nil"/>
            </w:tcBorders>
          </w:tcPr>
          <w:p w:rsidRPr="00DD7A63" w:rsidR="00862585" w:rsidP="006122F2" w:rsidRDefault="00862585" w14:paraId="1514396D"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0.75</w:t>
            </w:r>
          </w:p>
        </w:tc>
        <w:tc>
          <w:tcPr>
            <w:tcW w:w="1155" w:type="pct"/>
          </w:tcPr>
          <w:p w:rsidRPr="00DD7A63" w:rsidR="00862585" w:rsidP="00F53A20" w:rsidRDefault="00862585" w14:paraId="43EBD946"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336</w:t>
            </w:r>
          </w:p>
        </w:tc>
        <w:tc>
          <w:tcPr>
            <w:tcW w:w="1156" w:type="pct"/>
          </w:tcPr>
          <w:p w:rsidRPr="00DD7A63" w:rsidR="00862585" w:rsidP="00F53A20" w:rsidRDefault="00862585" w14:paraId="49FB21A1"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1,008</w:t>
            </w:r>
          </w:p>
        </w:tc>
        <w:tc>
          <w:tcPr>
            <w:tcW w:w="909" w:type="pct"/>
          </w:tcPr>
          <w:p w:rsidRPr="00DD7A63" w:rsidR="00862585" w:rsidP="00F53A20" w:rsidRDefault="00862585" w14:paraId="4245F71A"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0.308</w:t>
            </w:r>
          </w:p>
        </w:tc>
      </w:tr>
      <w:tr w:rsidRPr="000D78AE" w:rsidR="00862585" w:rsidTr="002A72B3" w14:paraId="1DD15C88"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7358427" w14:textId="77777777">
            <w:pPr>
              <w:pStyle w:val="TableTextDecimal"/>
            </w:pPr>
            <w:r w:rsidRPr="00DD7A63">
              <w:t>0.33</w:t>
            </w:r>
          </w:p>
        </w:tc>
        <w:tc>
          <w:tcPr>
            <w:tcW w:w="914" w:type="pct"/>
            <w:tcBorders>
              <w:left w:val="nil"/>
            </w:tcBorders>
          </w:tcPr>
          <w:p w:rsidRPr="00DD7A63" w:rsidR="00862585" w:rsidP="006122F2" w:rsidRDefault="00862585" w14:paraId="0B1BBFA3"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0.33</w:t>
            </w:r>
          </w:p>
        </w:tc>
        <w:tc>
          <w:tcPr>
            <w:tcW w:w="1155" w:type="pct"/>
          </w:tcPr>
          <w:p w:rsidRPr="00DD7A63" w:rsidR="00862585" w:rsidP="00F53A20" w:rsidRDefault="00862585" w14:paraId="4293802B"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448</w:t>
            </w:r>
          </w:p>
        </w:tc>
        <w:tc>
          <w:tcPr>
            <w:tcW w:w="1156" w:type="pct"/>
          </w:tcPr>
          <w:p w:rsidRPr="00DD7A63" w:rsidR="00862585" w:rsidP="00F53A20" w:rsidRDefault="00862585" w14:paraId="2FA8D50D"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448</w:t>
            </w:r>
          </w:p>
        </w:tc>
        <w:tc>
          <w:tcPr>
            <w:tcW w:w="909" w:type="pct"/>
          </w:tcPr>
          <w:p w:rsidRPr="00DD7A63" w:rsidR="00862585" w:rsidP="00F53A20" w:rsidRDefault="00862585" w14:paraId="7B022EFB"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0.327</w:t>
            </w:r>
          </w:p>
        </w:tc>
      </w:tr>
    </w:tbl>
    <w:p w:rsidRPr="00316BB7" w:rsidR="00862585" w:rsidP="00862585" w:rsidRDefault="00862585" w14:paraId="03D77EF0" w14:textId="23A02A7D">
      <w:pPr>
        <w:pStyle w:val="TableSource"/>
      </w:pPr>
      <w:r w:rsidRPr="00316BB7">
        <w:t>Note:</w:t>
      </w:r>
      <w:r w:rsidRPr="00316BB7">
        <w:tab/>
        <w:t xml:space="preserve">In this table, </w:t>
      </w:r>
      <w:r>
        <w:t>the study team</w:t>
      </w:r>
      <w:r w:rsidRPr="00316BB7">
        <w:t xml:space="preserve"> assumed a type I error rate of 0.05 (two-sided) and power of 0.80. </w:t>
      </w:r>
      <w:r>
        <w:t>The study team</w:t>
      </w:r>
      <w:r w:rsidRPr="00316BB7">
        <w:t xml:space="preserve"> assumed a sample with an average of </w:t>
      </w:r>
      <w:r>
        <w:t>2</w:t>
      </w:r>
      <w:r w:rsidRPr="00316BB7">
        <w:t xml:space="preserve"> </w:t>
      </w:r>
      <w:r>
        <w:t xml:space="preserve">center </w:t>
      </w:r>
      <w:r w:rsidRPr="00316BB7">
        <w:t xml:space="preserve">managers and 14 teaching staff per center and assumed a 100 percent </w:t>
      </w:r>
      <w:r w:rsidR="00BC6BCA">
        <w:t>response rate</w:t>
      </w:r>
      <w:r w:rsidRPr="00316BB7">
        <w:t xml:space="preserve"> for </w:t>
      </w:r>
      <w:r>
        <w:t xml:space="preserve">center </w:t>
      </w:r>
      <w:r w:rsidRPr="00316BB7">
        <w:t xml:space="preserve">managers and an 80 percent </w:t>
      </w:r>
      <w:r w:rsidR="00BC6BCA">
        <w:t>response rate</w:t>
      </w:r>
      <w:r w:rsidRPr="00316BB7">
        <w:t xml:space="preserve"> for teaching staff. </w:t>
      </w:r>
    </w:p>
    <w:p w:rsidR="00862585" w:rsidP="00F53A20" w:rsidRDefault="00862585" w14:paraId="7D2D7322" w14:textId="40FCCEDF">
      <w:pPr>
        <w:pStyle w:val="TableFootnote"/>
      </w:pPr>
      <w:proofErr w:type="spellStart"/>
      <w:r w:rsidRPr="00316BB7">
        <w:t>MDD</w:t>
      </w:r>
      <w:proofErr w:type="spellEnd"/>
      <w:r w:rsidRPr="00316BB7">
        <w:t xml:space="preserve"> = minimum detectable difference.</w:t>
      </w:r>
    </w:p>
    <w:p w:rsidRPr="001A59B6" w:rsidR="00862585" w:rsidP="00420FFD" w:rsidRDefault="00862585" w14:paraId="42992AD1" w14:textId="539AF4B8">
      <w:pPr>
        <w:pStyle w:val="H2"/>
        <w:rPr>
          <w:rFonts w:eastAsia="Times New Roman"/>
        </w:rPr>
      </w:pPr>
      <w:r w:rsidRPr="001A59B6">
        <w:rPr>
          <w:rFonts w:eastAsia="Times New Roman"/>
        </w:rPr>
        <w:t>B</w:t>
      </w:r>
      <w:r w:rsidR="00DA74FF">
        <w:rPr>
          <w:rFonts w:eastAsia="Times New Roman"/>
        </w:rPr>
        <w:t>.</w:t>
      </w:r>
      <w:r w:rsidRPr="001A59B6">
        <w:rPr>
          <w:rFonts w:eastAsia="Times New Roman"/>
        </w:rPr>
        <w:t>3.</w:t>
      </w:r>
      <w:r w:rsidR="00420FFD">
        <w:rPr>
          <w:rFonts w:eastAsia="Times New Roman"/>
        </w:rPr>
        <w:tab/>
      </w:r>
      <w:r w:rsidRPr="001A59B6">
        <w:rPr>
          <w:rFonts w:eastAsia="Times New Roman"/>
        </w:rPr>
        <w:t xml:space="preserve">Design of </w:t>
      </w:r>
      <w:r w:rsidR="00940FE8">
        <w:rPr>
          <w:rFonts w:eastAsia="Times New Roman"/>
        </w:rPr>
        <w:t>data collection instruments</w:t>
      </w:r>
    </w:p>
    <w:p w:rsidRPr="001A59B6" w:rsidR="00862585" w:rsidP="00420FFD" w:rsidRDefault="00420FFD" w14:paraId="090C757C" w14:textId="6B1B486E">
      <w:pPr>
        <w:pStyle w:val="H3"/>
        <w:rPr>
          <w:rFonts w:eastAsia="Times New Roman"/>
        </w:rPr>
      </w:pPr>
      <w:r>
        <w:rPr>
          <w:rFonts w:eastAsia="Times New Roman"/>
        </w:rPr>
        <w:t>1.</w:t>
      </w:r>
      <w:r>
        <w:rPr>
          <w:rFonts w:eastAsia="Times New Roman"/>
        </w:rPr>
        <w:tab/>
      </w:r>
      <w:r w:rsidRPr="001A59B6" w:rsidR="00862585">
        <w:rPr>
          <w:rFonts w:eastAsia="Times New Roman"/>
        </w:rPr>
        <w:t xml:space="preserve">Development of </w:t>
      </w:r>
      <w:r w:rsidR="00940FE8">
        <w:rPr>
          <w:rFonts w:eastAsia="Times New Roman"/>
        </w:rPr>
        <w:t>data collection instruments</w:t>
      </w:r>
    </w:p>
    <w:p w:rsidRPr="00AC33DC" w:rsidR="00862585" w:rsidP="00420FFD" w:rsidRDefault="00862585" w14:paraId="3E03DC8E" w14:textId="0FAAEC5D">
      <w:pPr>
        <w:pStyle w:val="ParagraphContinued"/>
      </w:pPr>
      <w:r>
        <w:t>As</w:t>
      </w:r>
      <w:r w:rsidRPr="00316BB7">
        <w:t xml:space="preserve"> part of the ExCELS descriptive study, the study team conducted a literature review</w:t>
      </w:r>
      <w:r>
        <w:t>,</w:t>
      </w:r>
      <w:r w:rsidRPr="00A37120">
        <w:rPr>
          <w:vertAlign w:val="superscript"/>
        </w:rPr>
        <w:footnoteReference w:id="7"/>
      </w:r>
      <w:r w:rsidRPr="00316BB7">
        <w:t xml:space="preserve"> developed a theory of change (</w:t>
      </w:r>
      <w:r w:rsidRPr="00FB2CE3">
        <w:t>Appendix A)</w:t>
      </w:r>
      <w:r w:rsidR="00454CA4">
        <w:t>,</w:t>
      </w:r>
      <w:r w:rsidRPr="00FB2CE3">
        <w:t xml:space="preserve"> and</w:t>
      </w:r>
      <w:r>
        <w:t xml:space="preserve"> </w:t>
      </w:r>
      <w:r w:rsidRPr="00316BB7">
        <w:t xml:space="preserve">drafted a compendium of existing measures for understanding leadership in </w:t>
      </w:r>
      <w:r>
        <w:t>ECE to set a foundation for developing the leadership measure.</w:t>
      </w:r>
      <w:r w:rsidRPr="00316BB7">
        <w:t xml:space="preserve"> </w:t>
      </w:r>
      <w:r>
        <w:t xml:space="preserve">To begin development, the </w:t>
      </w:r>
      <w:r>
        <w:lastRenderedPageBreak/>
        <w:t xml:space="preserve">study team </w:t>
      </w:r>
      <w:r w:rsidRPr="00316BB7">
        <w:t>consulted with ECE experts</w:t>
      </w:r>
      <w:r w:rsidR="00A43809">
        <w:t xml:space="preserve"> and</w:t>
      </w:r>
      <w:r w:rsidRPr="00316BB7">
        <w:t xml:space="preserve"> established a stakeholder workgroup to review an early draft of the survey questions</w:t>
      </w:r>
      <w:r w:rsidR="00A43809">
        <w:t>.</w:t>
      </w:r>
      <w:r w:rsidRPr="00316BB7">
        <w:t xml:space="preserve"> </w:t>
      </w:r>
      <w:r w:rsidR="00A43809">
        <w:t>Next, the study team</w:t>
      </w:r>
      <w:r w:rsidRPr="00316BB7" w:rsidR="00A43809">
        <w:t xml:space="preserve"> </w:t>
      </w:r>
      <w:r w:rsidRPr="00316BB7">
        <w:t xml:space="preserve">conducted a pretest with </w:t>
      </w:r>
      <w:r>
        <w:t>nine</w:t>
      </w:r>
      <w:r w:rsidRPr="00316BB7">
        <w:t xml:space="preserve"> ECE center staff to refine the </w:t>
      </w:r>
      <w:r>
        <w:t>staffing structure and leadership positions (</w:t>
      </w:r>
      <w:proofErr w:type="spellStart"/>
      <w:r>
        <w:t>SSLP</w:t>
      </w:r>
      <w:proofErr w:type="spellEnd"/>
      <w:r>
        <w:t>) interview (Instrument 4) and</w:t>
      </w:r>
      <w:r w:rsidRPr="00316BB7">
        <w:t xml:space="preserve"> </w:t>
      </w:r>
      <w:r>
        <w:t xml:space="preserve">both </w:t>
      </w:r>
      <w:r w:rsidRPr="00316BB7">
        <w:t>survey</w:t>
      </w:r>
      <w:r>
        <w:t>s (Instrument 6 and Instrument 7)</w:t>
      </w:r>
      <w:r w:rsidRPr="00316BB7">
        <w:t xml:space="preserve"> in advance of the descriptive study. </w:t>
      </w:r>
      <w:r>
        <w:t xml:space="preserve">The </w:t>
      </w:r>
      <w:proofErr w:type="spellStart"/>
      <w:r>
        <w:t>SSLP</w:t>
      </w:r>
      <w:proofErr w:type="spellEnd"/>
      <w:r>
        <w:t xml:space="preserve"> interview pretest helped the study team clarify interview questions and ensure the interview could be completed within the expected burden for the instrument. The pretest of the survey instruments helped the study team refine the survey questions, decrease cognitive burden on respondents, and remove survey questions to ensure the instruments met the expected burden. The new leadership measure captures three elements of ECE leadership: </w:t>
      </w:r>
      <w:r w:rsidR="00454CA4">
        <w:t xml:space="preserve">(1) </w:t>
      </w:r>
      <w:r>
        <w:t>who leaders are</w:t>
      </w:r>
      <w:r w:rsidRPr="00FB7596">
        <w:t xml:space="preserve"> </w:t>
      </w:r>
      <w:r>
        <w:t>(</w:t>
      </w:r>
      <w:r w:rsidR="00454CA4">
        <w:t xml:space="preserve">the individuals </w:t>
      </w:r>
      <w:r w:rsidRPr="00FB7596">
        <w:t>who participate in decision-making and quality improvement</w:t>
      </w:r>
      <w:r w:rsidRPr="00FB7596">
        <w:rPr>
          <w:rFonts w:eastAsia="Calibri"/>
        </w:rPr>
        <w:t xml:space="preserve"> in centers</w:t>
      </w:r>
      <w:r w:rsidR="00454CA4">
        <w:rPr>
          <w:rFonts w:eastAsia="Calibri"/>
        </w:rPr>
        <w:t xml:space="preserve"> through formal or informal leadership roles</w:t>
      </w:r>
      <w:r>
        <w:rPr>
          <w:rFonts w:eastAsia="Calibri"/>
        </w:rPr>
        <w:t>)</w:t>
      </w:r>
      <w:r w:rsidRPr="00FB7596">
        <w:rPr>
          <w:rFonts w:eastAsia="Calibri"/>
        </w:rPr>
        <w:t>;</w:t>
      </w:r>
      <w:r w:rsidRPr="00FB7596">
        <w:t xml:space="preserve"> </w:t>
      </w:r>
      <w:r w:rsidR="00454CA4">
        <w:t xml:space="preserve">(2) </w:t>
      </w:r>
      <w:r>
        <w:t>what leaders bring (</w:t>
      </w:r>
      <w:r w:rsidRPr="00FB7596">
        <w:rPr>
          <w:rFonts w:eastAsia="Calibri"/>
        </w:rPr>
        <w:t>the values and beliefs of individuals who participate in decision-making and quality improvement</w:t>
      </w:r>
      <w:r>
        <w:rPr>
          <w:rFonts w:eastAsia="Calibri"/>
        </w:rPr>
        <w:t>)</w:t>
      </w:r>
      <w:r w:rsidRPr="00FB7596">
        <w:rPr>
          <w:rFonts w:eastAsia="Calibri"/>
        </w:rPr>
        <w:t xml:space="preserve">; and </w:t>
      </w:r>
      <w:r w:rsidR="00454CA4">
        <w:rPr>
          <w:rFonts w:eastAsia="Calibri"/>
        </w:rPr>
        <w:t xml:space="preserve">(3) </w:t>
      </w:r>
      <w:r>
        <w:rPr>
          <w:rFonts w:eastAsia="Calibri"/>
        </w:rPr>
        <w:t>what leaders do (</w:t>
      </w:r>
      <w:r w:rsidRPr="00FB7596">
        <w:rPr>
          <w:rFonts w:eastAsia="Calibri"/>
        </w:rPr>
        <w:t>the actions individuals take and practices they pursue as part of their leadership</w:t>
      </w:r>
      <w:r>
        <w:rPr>
          <w:rFonts w:eastAsia="Calibri"/>
        </w:rPr>
        <w:t xml:space="preserve">). </w:t>
      </w:r>
    </w:p>
    <w:p w:rsidRPr="001A59B6" w:rsidR="00862585" w:rsidP="00420FFD" w:rsidRDefault="00862585" w14:paraId="35310A81" w14:textId="7AAB201D">
      <w:pPr>
        <w:pStyle w:val="H2"/>
        <w:rPr>
          <w:rFonts w:eastAsia="Times New Roman"/>
        </w:rPr>
      </w:pPr>
      <w:r w:rsidRPr="001A59B6">
        <w:rPr>
          <w:rFonts w:eastAsia="Times New Roman"/>
        </w:rPr>
        <w:t>B</w:t>
      </w:r>
      <w:r w:rsidR="00DA74FF">
        <w:rPr>
          <w:rFonts w:eastAsia="Times New Roman"/>
        </w:rPr>
        <w:t>.</w:t>
      </w:r>
      <w:r w:rsidRPr="001A59B6">
        <w:rPr>
          <w:rFonts w:eastAsia="Times New Roman"/>
        </w:rPr>
        <w:t>4.</w:t>
      </w:r>
      <w:r w:rsidR="00420FFD">
        <w:rPr>
          <w:rFonts w:eastAsia="Times New Roman"/>
        </w:rPr>
        <w:tab/>
      </w:r>
      <w:r w:rsidRPr="001A59B6">
        <w:rPr>
          <w:rFonts w:eastAsia="Times New Roman"/>
        </w:rPr>
        <w:t xml:space="preserve">Collection of </w:t>
      </w:r>
      <w:r w:rsidR="00940FE8">
        <w:rPr>
          <w:rFonts w:eastAsia="Times New Roman"/>
        </w:rPr>
        <w:t>data and quality control</w:t>
      </w:r>
    </w:p>
    <w:p w:rsidRPr="00FB2CE3" w:rsidR="00862585" w:rsidP="00420FFD" w:rsidRDefault="00862585" w14:paraId="356CC550" w14:textId="77777777">
      <w:pPr>
        <w:pStyle w:val="ParagraphContinued"/>
      </w:pPr>
      <w:r w:rsidRPr="00FB2CE3">
        <w:t xml:space="preserve">Table B.5 below outlines the data collection instruments that will be used for the ExCELS descriptive study, the respondents for each, and the expected time to complete. </w:t>
      </w:r>
    </w:p>
    <w:bookmarkStart w:name="_Toc10054532" w:id="5"/>
    <w:p w:rsidR="00F53A20" w:rsidP="00B12207" w:rsidRDefault="00F53A20" w14:paraId="62D73255" w14:textId="77777777">
      <w:pPr>
        <w:pStyle w:val="TitleRule"/>
      </w:pPr>
      <w:r w:rsidRPr="00465BF8">
        <w:rPr>
          <w:noProof/>
        </w:rPr>
        <mc:AlternateContent>
          <mc:Choice Requires="wps">
            <w:drawing>
              <wp:inline distT="0" distB="0" distL="0" distR="0" wp14:anchorId="74B2E1C2" wp14:editId="0D8BCB7C">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4BF1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F53A20" w:rsidR="00862585" w:rsidP="00F53A20" w:rsidRDefault="00862585" w14:paraId="28DA6EB9" w14:textId="0D208D13">
      <w:pPr>
        <w:pStyle w:val="TableTitle"/>
      </w:pPr>
      <w:r w:rsidRPr="00F53A20">
        <w:t xml:space="preserve">Table B.5. Data collection activities for the ExCELS descriptive study, by respondent, </w:t>
      </w:r>
      <w:bookmarkEnd w:id="5"/>
      <w:r w:rsidRPr="00F53A20">
        <w:t>time to complete</w:t>
      </w:r>
      <w:r w:rsidR="00E33562">
        <w:t>, and mode</w:t>
      </w:r>
    </w:p>
    <w:tbl>
      <w:tblPr>
        <w:tblStyle w:val="MathUBaseTable"/>
        <w:tblW w:w="5000" w:type="pct"/>
        <w:tblLook w:val="0620" w:firstRow="1" w:lastRow="0" w:firstColumn="0" w:lastColumn="0" w:noHBand="1" w:noVBand="1"/>
      </w:tblPr>
      <w:tblGrid>
        <w:gridCol w:w="2430"/>
        <w:gridCol w:w="2310"/>
        <w:gridCol w:w="2310"/>
        <w:gridCol w:w="2310"/>
      </w:tblGrid>
      <w:tr w:rsidRPr="007B4EDA" w:rsidR="00862585" w:rsidTr="00E33562" w14:paraId="16379259" w14:textId="77777777">
        <w:trPr>
          <w:cnfStyle w:val="100000000000" w:firstRow="1" w:lastRow="0" w:firstColumn="0" w:lastColumn="0" w:oddVBand="0" w:evenVBand="0" w:oddHBand="0" w:evenHBand="0" w:firstRowFirstColumn="0" w:firstRowLastColumn="0" w:lastRowFirstColumn="0" w:lastRowLastColumn="0"/>
          <w:tblHeader/>
        </w:trPr>
        <w:tc>
          <w:tcPr>
            <w:tcW w:w="1298" w:type="pct"/>
            <w:tcBorders>
              <w:bottom w:val="single" w:color="046B5C" w:themeColor="text2" w:sz="4" w:space="0"/>
              <w:right w:val="single" w:color="046B5C" w:themeColor="text2" w:sz="4" w:space="0"/>
            </w:tcBorders>
          </w:tcPr>
          <w:p w:rsidRPr="007B4EDA" w:rsidR="00862585" w:rsidP="006122F2" w:rsidRDefault="00862585" w14:paraId="5ED66ED2" w14:textId="77777777">
            <w:pPr>
              <w:pStyle w:val="TableHeaderLeft"/>
              <w:rPr>
                <w:b w:val="0"/>
              </w:rPr>
            </w:pPr>
            <w:r w:rsidRPr="007B4EDA">
              <w:t>Data collection activity</w:t>
            </w:r>
          </w:p>
        </w:tc>
        <w:tc>
          <w:tcPr>
            <w:tcW w:w="1234" w:type="pct"/>
            <w:tcBorders>
              <w:left w:val="single" w:color="046B5C" w:themeColor="text2" w:sz="4" w:space="0"/>
            </w:tcBorders>
          </w:tcPr>
          <w:p w:rsidRPr="00176D1D" w:rsidR="00862585" w:rsidP="006122F2" w:rsidRDefault="00862585" w14:paraId="6366504B" w14:textId="77777777">
            <w:pPr>
              <w:pStyle w:val="TableHeaderCenter"/>
            </w:pPr>
            <w:r w:rsidRPr="00176D1D">
              <w:t>Respondents</w:t>
            </w:r>
          </w:p>
        </w:tc>
        <w:tc>
          <w:tcPr>
            <w:tcW w:w="1234" w:type="pct"/>
          </w:tcPr>
          <w:p w:rsidRPr="00176D1D" w:rsidR="00862585" w:rsidP="006122F2" w:rsidRDefault="00862585" w14:paraId="67233D90" w14:textId="77777777">
            <w:pPr>
              <w:pStyle w:val="TableHeaderCenter"/>
            </w:pPr>
            <w:r w:rsidRPr="00176D1D">
              <w:t>Time to complete</w:t>
            </w:r>
          </w:p>
        </w:tc>
        <w:tc>
          <w:tcPr>
            <w:tcW w:w="1234" w:type="pct"/>
          </w:tcPr>
          <w:p w:rsidRPr="00176D1D" w:rsidR="00862585" w:rsidP="006122F2" w:rsidRDefault="00862585" w14:paraId="4DFDA1DE" w14:textId="77777777">
            <w:pPr>
              <w:pStyle w:val="TableHeaderCenter"/>
            </w:pPr>
            <w:r w:rsidRPr="00176D1D">
              <w:t>Mode</w:t>
            </w:r>
          </w:p>
        </w:tc>
      </w:tr>
      <w:tr w:rsidRPr="007B4EDA" w:rsidR="00862585" w:rsidTr="00E33562" w14:paraId="44F084D0" w14:textId="77777777">
        <w:tc>
          <w:tcPr>
            <w:tcW w:w="1298" w:type="pct"/>
            <w:tcBorders>
              <w:top w:val="single" w:color="046B5C" w:themeColor="text2" w:sz="4" w:space="0"/>
              <w:right w:val="single" w:color="046B5C" w:themeColor="text2" w:sz="4" w:space="0"/>
            </w:tcBorders>
          </w:tcPr>
          <w:p w:rsidRPr="007B4EDA" w:rsidR="00862585" w:rsidP="006122F2" w:rsidRDefault="00862585" w14:paraId="6CF62BDB" w14:textId="77777777">
            <w:pPr>
              <w:pStyle w:val="TableTextLeft"/>
            </w:pPr>
            <w:r w:rsidRPr="007B4EDA">
              <w:t>Center recruitment call</w:t>
            </w:r>
          </w:p>
          <w:p w:rsidRPr="007B4EDA" w:rsidR="00862585" w:rsidP="006122F2" w:rsidRDefault="00862585" w14:paraId="3AFD745C" w14:textId="77777777">
            <w:pPr>
              <w:pStyle w:val="TableTextLeft"/>
            </w:pPr>
            <w:r w:rsidRPr="007B4EDA">
              <w:t>(Instrument 1)</w:t>
            </w:r>
          </w:p>
        </w:tc>
        <w:tc>
          <w:tcPr>
            <w:tcW w:w="1234" w:type="pct"/>
            <w:tcBorders>
              <w:left w:val="single" w:color="046B5C" w:themeColor="text2" w:sz="4" w:space="0"/>
            </w:tcBorders>
          </w:tcPr>
          <w:p w:rsidRPr="007B4EDA" w:rsidR="00862585" w:rsidP="00E33562" w:rsidRDefault="00862585" w14:paraId="2865B461" w14:textId="77777777">
            <w:pPr>
              <w:pStyle w:val="TableTextLeft"/>
              <w:jc w:val="center"/>
            </w:pPr>
            <w:r w:rsidRPr="007B4EDA">
              <w:t>Primary site leader</w:t>
            </w:r>
          </w:p>
        </w:tc>
        <w:tc>
          <w:tcPr>
            <w:tcW w:w="1234" w:type="pct"/>
          </w:tcPr>
          <w:p w:rsidRPr="007B4EDA" w:rsidR="00862585" w:rsidP="00E33562" w:rsidRDefault="00862585" w14:paraId="60C5C79A" w14:textId="77777777">
            <w:pPr>
              <w:pStyle w:val="TableTextLeft"/>
              <w:jc w:val="center"/>
            </w:pPr>
            <w:r w:rsidRPr="007B4EDA">
              <w:t>20 minutes</w:t>
            </w:r>
          </w:p>
        </w:tc>
        <w:tc>
          <w:tcPr>
            <w:tcW w:w="1234" w:type="pct"/>
          </w:tcPr>
          <w:p w:rsidRPr="007B4EDA" w:rsidR="00862585" w:rsidP="00E33562" w:rsidRDefault="00862585" w14:paraId="1E873B09" w14:textId="77777777">
            <w:pPr>
              <w:pStyle w:val="TableTextLeft"/>
              <w:jc w:val="center"/>
            </w:pPr>
            <w:r w:rsidRPr="007B4EDA">
              <w:t>Telephone</w:t>
            </w:r>
          </w:p>
        </w:tc>
      </w:tr>
      <w:tr w:rsidRPr="007B4EDA" w:rsidR="00862585" w:rsidTr="00E33562" w14:paraId="1E066883" w14:textId="77777777">
        <w:tc>
          <w:tcPr>
            <w:tcW w:w="1298" w:type="pct"/>
            <w:tcBorders>
              <w:top w:val="single" w:color="046B5C" w:themeColor="text2" w:sz="4" w:space="0"/>
              <w:right w:val="single" w:color="046B5C" w:themeColor="text2" w:sz="4" w:space="0"/>
            </w:tcBorders>
          </w:tcPr>
          <w:p w:rsidRPr="007B4EDA" w:rsidR="00862585" w:rsidP="006122F2" w:rsidRDefault="00862585" w14:paraId="5A23F069" w14:textId="77777777">
            <w:pPr>
              <w:pStyle w:val="TableTextLeft"/>
            </w:pPr>
            <w:r w:rsidRPr="007B4EDA">
              <w:t>Umbrella organization recruitment approval call (Instrument 2)</w:t>
            </w:r>
          </w:p>
        </w:tc>
        <w:tc>
          <w:tcPr>
            <w:tcW w:w="1234" w:type="pct"/>
            <w:tcBorders>
              <w:left w:val="single" w:color="046B5C" w:themeColor="text2" w:sz="4" w:space="0"/>
            </w:tcBorders>
          </w:tcPr>
          <w:p w:rsidRPr="007B4EDA" w:rsidR="00862585" w:rsidP="00E33562" w:rsidRDefault="00862585" w14:paraId="2FCAC59C" w14:textId="77777777">
            <w:pPr>
              <w:pStyle w:val="TableTextLeft"/>
              <w:jc w:val="center"/>
            </w:pPr>
            <w:r w:rsidRPr="007B4EDA">
              <w:t>Umbrella organization director</w:t>
            </w:r>
          </w:p>
        </w:tc>
        <w:tc>
          <w:tcPr>
            <w:tcW w:w="1234" w:type="pct"/>
          </w:tcPr>
          <w:p w:rsidRPr="007B4EDA" w:rsidR="00862585" w:rsidP="00E33562" w:rsidRDefault="00862585" w14:paraId="110BC6DE" w14:textId="77777777">
            <w:pPr>
              <w:pStyle w:val="TableTextLeft"/>
              <w:jc w:val="center"/>
            </w:pPr>
            <w:r w:rsidRPr="007B4EDA">
              <w:t>20 minutes</w:t>
            </w:r>
          </w:p>
        </w:tc>
        <w:tc>
          <w:tcPr>
            <w:tcW w:w="1234" w:type="pct"/>
          </w:tcPr>
          <w:p w:rsidRPr="007B4EDA" w:rsidR="00862585" w:rsidP="00E33562" w:rsidRDefault="00862585" w14:paraId="0BD8FA49" w14:textId="77777777">
            <w:pPr>
              <w:pStyle w:val="TableTextLeft"/>
              <w:jc w:val="center"/>
            </w:pPr>
            <w:r w:rsidRPr="007B4EDA">
              <w:t>Telephone</w:t>
            </w:r>
          </w:p>
        </w:tc>
      </w:tr>
      <w:tr w:rsidRPr="007B4EDA" w:rsidR="00862585" w:rsidTr="00E33562" w14:paraId="5483F28C" w14:textId="77777777">
        <w:tc>
          <w:tcPr>
            <w:tcW w:w="1298" w:type="pct"/>
            <w:tcBorders>
              <w:top w:val="single" w:color="046B5C" w:themeColor="text2" w:sz="4" w:space="0"/>
              <w:right w:val="single" w:color="046B5C" w:themeColor="text2" w:sz="4" w:space="0"/>
            </w:tcBorders>
          </w:tcPr>
          <w:p w:rsidRPr="007B4EDA" w:rsidR="00862585" w:rsidP="006122F2" w:rsidRDefault="00862585" w14:paraId="76E42096" w14:textId="77777777">
            <w:pPr>
              <w:pStyle w:val="TableTextLeft"/>
            </w:pPr>
            <w:r w:rsidRPr="007B4EDA">
              <w:t xml:space="preserve">Engagement interview </w:t>
            </w:r>
          </w:p>
          <w:p w:rsidRPr="007B4EDA" w:rsidR="00862585" w:rsidP="006122F2" w:rsidRDefault="00862585" w14:paraId="28C300C5" w14:textId="77777777">
            <w:pPr>
              <w:pStyle w:val="TableTextLeft"/>
            </w:pPr>
            <w:r w:rsidRPr="007B4EDA">
              <w:t>(Instrument 3)</w:t>
            </w:r>
          </w:p>
        </w:tc>
        <w:tc>
          <w:tcPr>
            <w:tcW w:w="1234" w:type="pct"/>
            <w:tcBorders>
              <w:left w:val="single" w:color="046B5C" w:themeColor="text2" w:sz="4" w:space="0"/>
            </w:tcBorders>
          </w:tcPr>
          <w:p w:rsidRPr="007B4EDA" w:rsidR="00862585" w:rsidP="00E33562" w:rsidRDefault="00862585" w14:paraId="5C015D28" w14:textId="77777777">
            <w:pPr>
              <w:pStyle w:val="TableTextLeft"/>
              <w:jc w:val="center"/>
            </w:pPr>
            <w:r w:rsidRPr="007B4EDA">
              <w:t>Primary site leader</w:t>
            </w:r>
          </w:p>
        </w:tc>
        <w:tc>
          <w:tcPr>
            <w:tcW w:w="1234" w:type="pct"/>
          </w:tcPr>
          <w:p w:rsidRPr="007B4EDA" w:rsidR="00862585" w:rsidDel="008C6FB3" w:rsidP="00E33562" w:rsidRDefault="00862585" w14:paraId="3B5FAE55" w14:textId="77777777">
            <w:pPr>
              <w:pStyle w:val="TableTextLeft"/>
              <w:jc w:val="center"/>
            </w:pPr>
            <w:r w:rsidRPr="007B4EDA">
              <w:t>20 minutes</w:t>
            </w:r>
          </w:p>
        </w:tc>
        <w:tc>
          <w:tcPr>
            <w:tcW w:w="1234" w:type="pct"/>
          </w:tcPr>
          <w:p w:rsidRPr="007B4EDA" w:rsidR="00862585" w:rsidP="00E33562" w:rsidRDefault="00862585" w14:paraId="60AFD4CF" w14:textId="77777777">
            <w:pPr>
              <w:pStyle w:val="TableTextLeft"/>
              <w:jc w:val="center"/>
            </w:pPr>
            <w:r w:rsidRPr="007B4EDA">
              <w:t>Telephone</w:t>
            </w:r>
          </w:p>
        </w:tc>
      </w:tr>
      <w:tr w:rsidRPr="007B4EDA" w:rsidR="00862585" w:rsidTr="00E33562" w14:paraId="5BAC96E5" w14:textId="77777777">
        <w:tc>
          <w:tcPr>
            <w:tcW w:w="1298" w:type="pct"/>
            <w:tcBorders>
              <w:top w:val="single" w:color="046B5C" w:themeColor="text2" w:sz="4" w:space="0"/>
              <w:right w:val="single" w:color="046B5C" w:themeColor="text2" w:sz="4" w:space="0"/>
            </w:tcBorders>
          </w:tcPr>
          <w:p w:rsidRPr="007B4EDA" w:rsidR="00862585" w:rsidP="006122F2" w:rsidRDefault="00862585" w14:paraId="64FCCD88" w14:textId="77777777">
            <w:pPr>
              <w:pStyle w:val="TableTextLeft"/>
              <w:rPr>
                <w:highlight w:val="yellow"/>
              </w:rPr>
            </w:pPr>
            <w:r w:rsidRPr="007B4EDA">
              <w:t xml:space="preserve">Staffing structure and leadership positions interview (Instrument 4) </w:t>
            </w:r>
          </w:p>
        </w:tc>
        <w:tc>
          <w:tcPr>
            <w:tcW w:w="1234" w:type="pct"/>
            <w:tcBorders>
              <w:left w:val="single" w:color="046B5C" w:themeColor="text2" w:sz="4" w:space="0"/>
            </w:tcBorders>
          </w:tcPr>
          <w:p w:rsidRPr="007B4EDA" w:rsidR="00862585" w:rsidP="00E33562" w:rsidRDefault="00862585" w14:paraId="5165D118" w14:textId="77777777">
            <w:pPr>
              <w:pStyle w:val="TableTextLeft"/>
              <w:jc w:val="center"/>
              <w:rPr>
                <w:highlight w:val="yellow"/>
              </w:rPr>
            </w:pPr>
            <w:r w:rsidRPr="007B4EDA">
              <w:t>Primary site leader</w:t>
            </w:r>
          </w:p>
        </w:tc>
        <w:tc>
          <w:tcPr>
            <w:tcW w:w="1234" w:type="pct"/>
          </w:tcPr>
          <w:p w:rsidRPr="007B4EDA" w:rsidR="00862585" w:rsidP="00E33562" w:rsidRDefault="00862585" w14:paraId="4A1354C5" w14:textId="77777777">
            <w:pPr>
              <w:pStyle w:val="TableTextLeft"/>
              <w:jc w:val="center"/>
            </w:pPr>
            <w:r w:rsidRPr="007B4EDA">
              <w:t>30 minutes</w:t>
            </w:r>
          </w:p>
        </w:tc>
        <w:tc>
          <w:tcPr>
            <w:tcW w:w="1234" w:type="pct"/>
          </w:tcPr>
          <w:p w:rsidRPr="007B4EDA" w:rsidR="00862585" w:rsidP="00E33562" w:rsidRDefault="00862585" w14:paraId="62A7D53E" w14:textId="77777777">
            <w:pPr>
              <w:pStyle w:val="TableTextLeft"/>
              <w:jc w:val="center"/>
            </w:pPr>
            <w:r w:rsidRPr="007B4EDA">
              <w:t>Telephone with CADE on the web</w:t>
            </w:r>
          </w:p>
        </w:tc>
      </w:tr>
      <w:tr w:rsidRPr="007B4EDA" w:rsidR="00862585" w:rsidTr="00E33562" w14:paraId="5DB2E035" w14:textId="77777777">
        <w:tc>
          <w:tcPr>
            <w:tcW w:w="1298" w:type="pct"/>
            <w:tcBorders>
              <w:top w:val="single" w:color="046B5C" w:themeColor="text2" w:sz="4" w:space="0"/>
              <w:right w:val="single" w:color="046B5C" w:themeColor="text2" w:sz="4" w:space="0"/>
            </w:tcBorders>
          </w:tcPr>
          <w:p w:rsidRPr="007B4EDA" w:rsidR="00862585" w:rsidP="006122F2" w:rsidRDefault="00862585" w14:paraId="0725B433" w14:textId="77777777">
            <w:pPr>
              <w:pStyle w:val="TableTextLeft"/>
            </w:pPr>
            <w:r w:rsidRPr="007B4EDA">
              <w:t>Teaching staff roster (Instrument 5)</w:t>
            </w:r>
          </w:p>
        </w:tc>
        <w:tc>
          <w:tcPr>
            <w:tcW w:w="1234" w:type="pct"/>
            <w:tcBorders>
              <w:left w:val="single" w:color="046B5C" w:themeColor="text2" w:sz="4" w:space="0"/>
            </w:tcBorders>
          </w:tcPr>
          <w:p w:rsidRPr="007B4EDA" w:rsidR="00862585" w:rsidP="00E33562" w:rsidRDefault="00862585" w14:paraId="4C7EB64F" w14:textId="77777777">
            <w:pPr>
              <w:pStyle w:val="TableTextLeft"/>
              <w:jc w:val="center"/>
            </w:pPr>
            <w:r w:rsidRPr="007B4EDA">
              <w:t>Primary site leader</w:t>
            </w:r>
          </w:p>
        </w:tc>
        <w:tc>
          <w:tcPr>
            <w:tcW w:w="1234" w:type="pct"/>
          </w:tcPr>
          <w:p w:rsidRPr="007B4EDA" w:rsidR="00862585" w:rsidP="00E33562" w:rsidRDefault="00862585" w14:paraId="3424CDDD" w14:textId="77777777">
            <w:pPr>
              <w:pStyle w:val="TableTextLeft"/>
              <w:jc w:val="center"/>
            </w:pPr>
            <w:r w:rsidRPr="007B4EDA">
              <w:t>15 minutes</w:t>
            </w:r>
          </w:p>
        </w:tc>
        <w:tc>
          <w:tcPr>
            <w:tcW w:w="1234" w:type="pct"/>
          </w:tcPr>
          <w:p w:rsidRPr="007B4EDA" w:rsidR="00862585" w:rsidP="00E33562" w:rsidRDefault="00862585" w14:paraId="02FA76F9" w14:textId="77777777">
            <w:pPr>
              <w:pStyle w:val="TableTextLeft"/>
              <w:jc w:val="center"/>
            </w:pPr>
            <w:r w:rsidRPr="007B4EDA">
              <w:t>CADE on the web</w:t>
            </w:r>
          </w:p>
        </w:tc>
      </w:tr>
      <w:tr w:rsidRPr="007B4EDA" w:rsidR="00862585" w:rsidTr="00E33562" w14:paraId="630D4B50" w14:textId="77777777">
        <w:tc>
          <w:tcPr>
            <w:tcW w:w="1298" w:type="pct"/>
            <w:tcBorders>
              <w:top w:val="single" w:color="046B5C" w:themeColor="text2" w:sz="4" w:space="0"/>
              <w:right w:val="single" w:color="046B5C" w:themeColor="text2" w:sz="4" w:space="0"/>
            </w:tcBorders>
          </w:tcPr>
          <w:p w:rsidRPr="007B4EDA" w:rsidR="00862585" w:rsidP="006122F2" w:rsidRDefault="00862585" w14:paraId="32504279" w14:textId="77777777">
            <w:pPr>
              <w:pStyle w:val="TableTextLeft"/>
            </w:pPr>
            <w:r w:rsidRPr="007B4EDA">
              <w:t>Center manager survey</w:t>
            </w:r>
          </w:p>
          <w:p w:rsidRPr="007B4EDA" w:rsidR="00862585" w:rsidP="006122F2" w:rsidRDefault="00862585" w14:paraId="4C12F80B" w14:textId="77777777">
            <w:pPr>
              <w:pStyle w:val="TableTextLeft"/>
            </w:pPr>
            <w:r w:rsidRPr="007B4EDA">
              <w:t>(Instrument 6)</w:t>
            </w:r>
          </w:p>
        </w:tc>
        <w:tc>
          <w:tcPr>
            <w:tcW w:w="1234" w:type="pct"/>
            <w:tcBorders>
              <w:left w:val="single" w:color="046B5C" w:themeColor="text2" w:sz="4" w:space="0"/>
            </w:tcBorders>
          </w:tcPr>
          <w:p w:rsidRPr="007B4EDA" w:rsidR="00862585" w:rsidP="00E33562" w:rsidRDefault="00862585" w14:paraId="0EC2A0E8" w14:textId="77777777">
            <w:pPr>
              <w:pStyle w:val="TableTextLeft"/>
              <w:jc w:val="center"/>
            </w:pPr>
            <w:r>
              <w:t>One</w:t>
            </w:r>
            <w:r w:rsidRPr="007B4EDA">
              <w:t xml:space="preserve"> to </w:t>
            </w:r>
            <w:r>
              <w:t>three</w:t>
            </w:r>
            <w:r w:rsidRPr="007B4EDA">
              <w:t xml:space="preserve"> center managers per center based on center size</w:t>
            </w:r>
          </w:p>
        </w:tc>
        <w:tc>
          <w:tcPr>
            <w:tcW w:w="1234" w:type="pct"/>
          </w:tcPr>
          <w:p w:rsidRPr="007B4EDA" w:rsidR="00862585" w:rsidP="00E33562" w:rsidRDefault="00862585" w14:paraId="5BA38EC4" w14:textId="77777777">
            <w:pPr>
              <w:pStyle w:val="TableTextLeft"/>
              <w:jc w:val="center"/>
            </w:pPr>
            <w:r w:rsidRPr="007B4EDA">
              <w:t>25 minutes</w:t>
            </w:r>
          </w:p>
        </w:tc>
        <w:tc>
          <w:tcPr>
            <w:tcW w:w="1234" w:type="pct"/>
          </w:tcPr>
          <w:p w:rsidRPr="007B4EDA" w:rsidR="00862585" w:rsidP="00E33562" w:rsidRDefault="00862585" w14:paraId="2CA8CEAB" w14:textId="77777777">
            <w:pPr>
              <w:pStyle w:val="TableTextLeft"/>
              <w:jc w:val="center"/>
            </w:pPr>
            <w:r w:rsidRPr="007B4EDA">
              <w:t>Web with paper option</w:t>
            </w:r>
          </w:p>
        </w:tc>
      </w:tr>
      <w:tr w:rsidRPr="007B4EDA" w:rsidR="00862585" w:rsidTr="00E33562" w14:paraId="6CDF2DB1" w14:textId="77777777">
        <w:tc>
          <w:tcPr>
            <w:tcW w:w="1298" w:type="pct"/>
            <w:tcBorders>
              <w:top w:val="single" w:color="046B5C" w:themeColor="text2" w:sz="4" w:space="0"/>
              <w:right w:val="single" w:color="046B5C" w:themeColor="text2" w:sz="4" w:space="0"/>
            </w:tcBorders>
          </w:tcPr>
          <w:p w:rsidRPr="007B4EDA" w:rsidR="00862585" w:rsidP="006122F2" w:rsidRDefault="00862585" w14:paraId="100F2A0F" w14:textId="77777777">
            <w:pPr>
              <w:pStyle w:val="TableTextLeft"/>
            </w:pPr>
            <w:r w:rsidRPr="007B4EDA">
              <w:t>Teaching staff survey</w:t>
            </w:r>
          </w:p>
          <w:p w:rsidRPr="007B4EDA" w:rsidR="00862585" w:rsidP="006122F2" w:rsidRDefault="00862585" w14:paraId="30CD4DCD" w14:textId="77777777">
            <w:pPr>
              <w:pStyle w:val="TableTextLeft"/>
            </w:pPr>
            <w:r w:rsidRPr="007B4EDA">
              <w:t>(Instrument 7)</w:t>
            </w:r>
          </w:p>
        </w:tc>
        <w:tc>
          <w:tcPr>
            <w:tcW w:w="1234" w:type="pct"/>
            <w:tcBorders>
              <w:left w:val="single" w:color="046B5C" w:themeColor="text2" w:sz="4" w:space="0"/>
            </w:tcBorders>
          </w:tcPr>
          <w:p w:rsidRPr="007B4EDA" w:rsidR="00862585" w:rsidP="00E33562" w:rsidRDefault="00862585" w14:paraId="4F2E8ED5" w14:textId="77777777">
            <w:pPr>
              <w:pStyle w:val="TableTextLeft"/>
              <w:jc w:val="center"/>
            </w:pPr>
            <w:r w:rsidRPr="007B4EDA">
              <w:t xml:space="preserve">All teaching staff including lead, head, or co-teachers and assistant teachers in classrooms serving children whose ages range from birth to age </w:t>
            </w:r>
            <w:r>
              <w:t>5 (</w:t>
            </w:r>
            <w:r w:rsidRPr="007B4EDA">
              <w:t>but</w:t>
            </w:r>
            <w:r>
              <w:t xml:space="preserve"> who are</w:t>
            </w:r>
            <w:r w:rsidRPr="007B4EDA">
              <w:t xml:space="preserve"> not yet in kindergarten</w:t>
            </w:r>
            <w:r>
              <w:t>)</w:t>
            </w:r>
          </w:p>
        </w:tc>
        <w:tc>
          <w:tcPr>
            <w:tcW w:w="1234" w:type="pct"/>
          </w:tcPr>
          <w:p w:rsidRPr="007B4EDA" w:rsidR="00862585" w:rsidP="00E33562" w:rsidRDefault="00862585" w14:paraId="482A67A8" w14:textId="77777777">
            <w:pPr>
              <w:pStyle w:val="TableTextLeft"/>
              <w:jc w:val="center"/>
            </w:pPr>
            <w:r w:rsidRPr="007B4EDA">
              <w:t>60 minutes</w:t>
            </w:r>
          </w:p>
        </w:tc>
        <w:tc>
          <w:tcPr>
            <w:tcW w:w="1234" w:type="pct"/>
          </w:tcPr>
          <w:p w:rsidRPr="007B4EDA" w:rsidR="00862585" w:rsidP="00E33562" w:rsidRDefault="00862585" w14:paraId="1DD76F8D" w14:textId="77777777">
            <w:pPr>
              <w:pStyle w:val="TableTextLeft"/>
              <w:jc w:val="center"/>
            </w:pPr>
            <w:r w:rsidRPr="007B4EDA">
              <w:t>Web with paper option</w:t>
            </w:r>
          </w:p>
        </w:tc>
      </w:tr>
    </w:tbl>
    <w:p w:rsidRPr="00FD203C" w:rsidR="00A43809" w:rsidP="00A43809" w:rsidRDefault="00A43809" w14:paraId="1610B519" w14:textId="77777777">
      <w:pPr>
        <w:pStyle w:val="TableSource"/>
      </w:pPr>
      <w:r>
        <w:t>CADE = computer-assisted data entry.</w:t>
      </w:r>
    </w:p>
    <w:p w:rsidR="00862585" w:rsidP="00420FFD" w:rsidRDefault="00862585" w14:paraId="48E8C55A" w14:textId="299E7160">
      <w:pPr>
        <w:pStyle w:val="ParagraphContinued"/>
        <w:rPr>
          <w:rFonts w:eastAsia="Times New Roman"/>
        </w:rPr>
      </w:pPr>
      <w:r w:rsidRPr="009A701F">
        <w:rPr>
          <w:rFonts w:eastAsia="Times New Roman"/>
          <w:b/>
          <w:bCs/>
        </w:rPr>
        <w:t>Recruitment protocol.</w:t>
      </w:r>
      <w:r>
        <w:rPr>
          <w:rFonts w:eastAsia="Times New Roman"/>
        </w:rPr>
        <w:t xml:space="preserve"> Mathematica, the contractor, will collect data for this study. Using publicly available information, the study team will send advance materials to 2,000 centers in four states </w:t>
      </w:r>
      <w:r w:rsidRPr="00FB2CE3">
        <w:rPr>
          <w:rFonts w:eastAsia="Times New Roman"/>
        </w:rPr>
        <w:t>to</w:t>
      </w:r>
      <w:r>
        <w:rPr>
          <w:rFonts w:eastAsia="Times New Roman"/>
        </w:rPr>
        <w:t xml:space="preserve"> </w:t>
      </w:r>
      <w:r>
        <w:rPr>
          <w:rFonts w:eastAsia="Times New Roman"/>
        </w:rPr>
        <w:lastRenderedPageBreak/>
        <w:t xml:space="preserve">advertise the study. </w:t>
      </w:r>
      <w:r w:rsidR="00A44317">
        <w:t>The advance materials</w:t>
      </w:r>
      <w:r w:rsidRPr="00542633" w:rsidR="00A44317">
        <w:t xml:space="preserve"> will include </w:t>
      </w:r>
      <w:r w:rsidR="00A44317">
        <w:t xml:space="preserve">a joint-agency </w:t>
      </w:r>
      <w:r w:rsidRPr="00542633" w:rsidR="00A44317">
        <w:t xml:space="preserve">informational letter about the descriptive study </w:t>
      </w:r>
      <w:r w:rsidR="00A44317">
        <w:t>(</w:t>
      </w:r>
      <w:r w:rsidRPr="00542633" w:rsidR="00A44317">
        <w:t xml:space="preserve">signed by </w:t>
      </w:r>
      <w:r w:rsidR="00A44317">
        <w:t xml:space="preserve">both the director of the Office of Head Start and the director or acting director of the Office of Child Care), an informational letter further explaining the descriptive study (signed by </w:t>
      </w:r>
      <w:r w:rsidRPr="00542633" w:rsidR="00A44317">
        <w:t xml:space="preserve">the </w:t>
      </w:r>
      <w:r w:rsidR="00A44317">
        <w:t xml:space="preserve">Mathematica </w:t>
      </w:r>
      <w:r w:rsidRPr="00542633" w:rsidR="00A44317">
        <w:t>survey director</w:t>
      </w:r>
      <w:r w:rsidR="00A44317">
        <w:t>)</w:t>
      </w:r>
      <w:r w:rsidRPr="00542633" w:rsidR="00A44317">
        <w:t xml:space="preserve">, a study brochure, and a </w:t>
      </w:r>
      <w:r w:rsidR="00A44317">
        <w:t xml:space="preserve">study fact sheet. (See </w:t>
      </w:r>
      <w:r w:rsidRPr="00CE3B92" w:rsidR="00A44317">
        <w:t xml:space="preserve">Appendix </w:t>
      </w:r>
      <w:r w:rsidR="00A44317">
        <w:t xml:space="preserve">B for the joint-agency letter, advance recruitment letter and email, study brochure, and study fact sheet.) </w:t>
      </w:r>
      <w:r>
        <w:rPr>
          <w:rFonts w:eastAsia="Times New Roman"/>
        </w:rPr>
        <w:t>The team will then follow up with more targeted letters and emails by ExCELS liaisons—members of the study team who will serve as points of contact between the ExCELS study team and the centers</w:t>
      </w:r>
      <w:r w:rsidR="007C45F3">
        <w:rPr>
          <w:rFonts w:eastAsia="Times New Roman"/>
        </w:rPr>
        <w:t xml:space="preserve"> (also Appendix B)</w:t>
      </w:r>
      <w:r>
        <w:rPr>
          <w:rFonts w:eastAsia="Times New Roman"/>
        </w:rPr>
        <w:t xml:space="preserve">. </w:t>
      </w:r>
      <w:r w:rsidR="007C45F3">
        <w:rPr>
          <w:rFonts w:eastAsia="Times New Roman"/>
        </w:rPr>
        <w:t xml:space="preserve">Based on the recruitment experience in other ECE studies, the study team expects to follow-up with approximately 1,800 of the centers to secure the participation of the 120 centers needed for the study. </w:t>
      </w:r>
      <w:r w:rsidR="00A44317">
        <w:t xml:space="preserve">The follow-up letter and email will notify the primary site leader </w:t>
      </w:r>
      <w:r w:rsidRPr="000D7A9B" w:rsidR="00A44317">
        <w:t xml:space="preserve">that </w:t>
      </w:r>
      <w:r w:rsidR="00A44317">
        <w:t>the study team</w:t>
      </w:r>
      <w:r w:rsidRPr="000D7A9B" w:rsidR="00A44317">
        <w:t xml:space="preserve"> would like to schedule a phone conversation with them </w:t>
      </w:r>
      <w:r w:rsidR="00A44317">
        <w:t xml:space="preserve">(recruitment call; </w:t>
      </w:r>
      <w:r w:rsidRPr="002355BD" w:rsidR="00A44317">
        <w:t>Instrument 1) to discuss</w:t>
      </w:r>
      <w:r w:rsidRPr="000D7A9B" w:rsidR="00A44317">
        <w:t xml:space="preserve"> the study in greater detail</w:t>
      </w:r>
      <w:r w:rsidR="00A44317">
        <w:t xml:space="preserve"> and</w:t>
      </w:r>
      <w:r w:rsidRPr="000D7A9B" w:rsidR="00A44317">
        <w:t xml:space="preserve"> learn about some </w:t>
      </w:r>
      <w:r w:rsidR="00A44317">
        <w:t xml:space="preserve">of the center’s </w:t>
      </w:r>
      <w:r w:rsidRPr="000D7A9B" w:rsidR="00A44317">
        <w:t xml:space="preserve">key characteristics and discuss </w:t>
      </w:r>
      <w:r w:rsidR="00A44317">
        <w:t>its</w:t>
      </w:r>
      <w:r w:rsidRPr="000D7A9B" w:rsidR="00A44317">
        <w:t xml:space="preserve"> participation in the study</w:t>
      </w:r>
      <w:r w:rsidR="00A44317">
        <w:t xml:space="preserve">. </w:t>
      </w:r>
      <w:bookmarkStart w:name="_Hlk76554587" w:id="6"/>
      <w:r>
        <w:rPr>
          <w:rFonts w:eastAsia="Times New Roman"/>
        </w:rPr>
        <w:t xml:space="preserve">Once the primary site </w:t>
      </w:r>
      <w:r w:rsidRPr="007F4680">
        <w:rPr>
          <w:rFonts w:eastAsia="Times New Roman"/>
        </w:rPr>
        <w:t xml:space="preserve">leader </w:t>
      </w:r>
      <w:r>
        <w:rPr>
          <w:rFonts w:eastAsia="Times New Roman"/>
        </w:rPr>
        <w:t>is reached by</w:t>
      </w:r>
      <w:r w:rsidRPr="007F4680">
        <w:rPr>
          <w:rFonts w:eastAsia="Times New Roman"/>
        </w:rPr>
        <w:t xml:space="preserve"> phone, </w:t>
      </w:r>
      <w:r>
        <w:rPr>
          <w:rFonts w:eastAsia="Times New Roman"/>
        </w:rPr>
        <w:t>liaisons</w:t>
      </w:r>
      <w:r w:rsidRPr="007F4680">
        <w:rPr>
          <w:rFonts w:eastAsia="Times New Roman"/>
        </w:rPr>
        <w:t xml:space="preserve"> will conduct the recruitment call (Instrument 1) with them requesting their center’s participation in the study. </w:t>
      </w:r>
      <w:bookmarkEnd w:id="6"/>
      <w:r w:rsidRPr="007F4680">
        <w:rPr>
          <w:rFonts w:eastAsia="Times New Roman"/>
        </w:rPr>
        <w:t xml:space="preserve">Some centers that are part of a program or larger organization may need approval to participate in the study from their program office or the larger umbrella organization which the center is affiliated with. </w:t>
      </w:r>
      <w:r>
        <w:rPr>
          <w:rFonts w:eastAsia="Times New Roman"/>
        </w:rPr>
        <w:t>Liaisons</w:t>
      </w:r>
      <w:r w:rsidRPr="007F4680">
        <w:rPr>
          <w:rFonts w:eastAsia="Times New Roman"/>
        </w:rPr>
        <w:t xml:space="preserve"> will conduct the umbrella organization recruitment approval call (Instrument 2) with the program directors or administrators of the umbrella organization to gain</w:t>
      </w:r>
      <w:r>
        <w:rPr>
          <w:rFonts w:eastAsia="Times New Roman"/>
        </w:rPr>
        <w:t xml:space="preserve"> approval to recruit these centers. </w:t>
      </w:r>
    </w:p>
    <w:p w:rsidR="00862585" w:rsidP="00420FFD" w:rsidRDefault="00862585" w14:paraId="24E7F6D2" w14:textId="3E702D18">
      <w:pPr>
        <w:pStyle w:val="Paragraph"/>
        <w:rPr>
          <w:rFonts w:eastAsia="Times New Roman"/>
        </w:rPr>
      </w:pPr>
      <w:r w:rsidRPr="001105EE">
        <w:rPr>
          <w:rFonts w:eastAsia="Times New Roman"/>
          <w:b/>
          <w:bCs/>
        </w:rPr>
        <w:t xml:space="preserve">Interviews with primary site </w:t>
      </w:r>
      <w:r>
        <w:rPr>
          <w:rFonts w:eastAsia="Times New Roman"/>
          <w:b/>
          <w:bCs/>
        </w:rPr>
        <w:t>leader</w:t>
      </w:r>
      <w:r w:rsidRPr="001105EE">
        <w:rPr>
          <w:rFonts w:eastAsia="Times New Roman"/>
          <w:b/>
          <w:bCs/>
        </w:rPr>
        <w:t>.</w:t>
      </w:r>
      <w:r>
        <w:rPr>
          <w:rFonts w:eastAsia="Times New Roman"/>
        </w:rPr>
        <w:t xml:space="preserve"> If the center agrees to participate in the study, liaisons will conduct an </w:t>
      </w:r>
      <w:r w:rsidRPr="007F4680">
        <w:rPr>
          <w:rFonts w:eastAsia="Times New Roman"/>
        </w:rPr>
        <w:t>engagement interview (Instrument 3) with the primary site leader</w:t>
      </w:r>
      <w:r>
        <w:rPr>
          <w:rFonts w:eastAsia="Times New Roman"/>
        </w:rPr>
        <w:t xml:space="preserve"> by phone</w:t>
      </w:r>
      <w:r w:rsidRPr="007F4680">
        <w:rPr>
          <w:rFonts w:eastAsia="Times New Roman"/>
        </w:rPr>
        <w:t xml:space="preserve"> to collect their center’s characteristics and ensure the center is eligible to participate. Once </w:t>
      </w:r>
      <w:r>
        <w:rPr>
          <w:rFonts w:eastAsia="Times New Roman"/>
        </w:rPr>
        <w:t>the study team</w:t>
      </w:r>
      <w:r w:rsidRPr="007F4680">
        <w:rPr>
          <w:rFonts w:eastAsia="Times New Roman"/>
        </w:rPr>
        <w:t xml:space="preserve"> confirm</w:t>
      </w:r>
      <w:r>
        <w:rPr>
          <w:rFonts w:eastAsia="Times New Roman"/>
        </w:rPr>
        <w:t>s</w:t>
      </w:r>
      <w:r w:rsidRPr="007F4680">
        <w:rPr>
          <w:rFonts w:eastAsia="Times New Roman"/>
        </w:rPr>
        <w:t xml:space="preserve"> a center’s eligibility, data collection begins with the </w:t>
      </w:r>
      <w:r>
        <w:rPr>
          <w:rFonts w:eastAsia="Times New Roman"/>
        </w:rPr>
        <w:t xml:space="preserve">liaison conducting </w:t>
      </w:r>
      <w:r w:rsidRPr="007F4680">
        <w:rPr>
          <w:rFonts w:eastAsia="Times New Roman"/>
        </w:rPr>
        <w:t xml:space="preserve">the </w:t>
      </w:r>
      <w:proofErr w:type="spellStart"/>
      <w:r w:rsidRPr="007F4680">
        <w:rPr>
          <w:rFonts w:eastAsia="Times New Roman"/>
        </w:rPr>
        <w:t>SSLP</w:t>
      </w:r>
      <w:proofErr w:type="spellEnd"/>
      <w:r w:rsidRPr="007F4680">
        <w:rPr>
          <w:rFonts w:eastAsia="Times New Roman"/>
        </w:rPr>
        <w:t xml:space="preserve"> interview (Instrument 4) </w:t>
      </w:r>
      <w:r>
        <w:rPr>
          <w:rFonts w:eastAsia="Times New Roman"/>
        </w:rPr>
        <w:t>with the primary site leader by phone</w:t>
      </w:r>
      <w:r>
        <w:rPr>
          <w:rFonts w:cs="Arial"/>
          <w:szCs w:val="18"/>
        </w:rPr>
        <w:t xml:space="preserve">. </w:t>
      </w:r>
      <w:r>
        <w:rPr>
          <w:rFonts w:eastAsia="Times New Roman"/>
        </w:rPr>
        <w:t xml:space="preserve">Before the engagement interview and </w:t>
      </w:r>
      <w:proofErr w:type="spellStart"/>
      <w:r>
        <w:rPr>
          <w:rFonts w:eastAsia="Times New Roman"/>
        </w:rPr>
        <w:t>SSLP</w:t>
      </w:r>
      <w:proofErr w:type="spellEnd"/>
      <w:r>
        <w:rPr>
          <w:rFonts w:eastAsia="Times New Roman"/>
        </w:rPr>
        <w:t xml:space="preserve"> interview, the liaison will send an email </w:t>
      </w:r>
      <w:r w:rsidRPr="00FB2CE3">
        <w:rPr>
          <w:rFonts w:eastAsia="Times New Roman"/>
        </w:rPr>
        <w:t xml:space="preserve">(Appendix </w:t>
      </w:r>
      <w:r w:rsidR="002401B4">
        <w:rPr>
          <w:rFonts w:eastAsia="Times New Roman"/>
        </w:rPr>
        <w:t>C</w:t>
      </w:r>
      <w:r>
        <w:rPr>
          <w:rFonts w:eastAsia="Times New Roman"/>
        </w:rPr>
        <w:t xml:space="preserve">) to the primary site leader to confirm the interview schedule and topics that will be discussed. Quality assurance (QA) of the engagement interview and </w:t>
      </w:r>
      <w:proofErr w:type="spellStart"/>
      <w:r>
        <w:rPr>
          <w:rFonts w:eastAsia="Times New Roman"/>
        </w:rPr>
        <w:t>SSLP</w:t>
      </w:r>
      <w:proofErr w:type="spellEnd"/>
      <w:r>
        <w:rPr>
          <w:rFonts w:eastAsia="Times New Roman"/>
        </w:rPr>
        <w:t xml:space="preserve"> interview will be built into the liaison training. Furthermore, each liaison will have their first engagement interview and </w:t>
      </w:r>
      <w:proofErr w:type="spellStart"/>
      <w:r>
        <w:rPr>
          <w:rFonts w:eastAsia="Times New Roman"/>
        </w:rPr>
        <w:t>SSLP</w:t>
      </w:r>
      <w:proofErr w:type="spellEnd"/>
      <w:r>
        <w:rPr>
          <w:rFonts w:eastAsia="Times New Roman"/>
        </w:rPr>
        <w:t xml:space="preserve"> interview monitored and will receive immediate feedback. Liaisons will also participate in ongoing monitoring throughout data collection. </w:t>
      </w:r>
    </w:p>
    <w:p w:rsidR="00862585" w:rsidP="00420FFD" w:rsidRDefault="00862585" w14:paraId="71F4AA0E" w14:textId="707EB48D">
      <w:pPr>
        <w:pStyle w:val="Paragraph"/>
        <w:rPr>
          <w:rFonts w:eastAsia="Times New Roman"/>
        </w:rPr>
      </w:pPr>
      <w:r w:rsidRPr="00561A55">
        <w:rPr>
          <w:rFonts w:eastAsia="Times New Roman"/>
          <w:b/>
          <w:bCs/>
        </w:rPr>
        <w:t>Center manager survey.</w:t>
      </w:r>
      <w:r>
        <w:rPr>
          <w:rFonts w:eastAsia="Times New Roman"/>
        </w:rPr>
        <w:t xml:space="preserve"> The study team will identify the respondents for the center manager survey through the </w:t>
      </w:r>
      <w:proofErr w:type="spellStart"/>
      <w:r>
        <w:rPr>
          <w:rFonts w:eastAsia="Times New Roman"/>
        </w:rPr>
        <w:t>SSLP</w:t>
      </w:r>
      <w:proofErr w:type="spellEnd"/>
      <w:r>
        <w:rPr>
          <w:rFonts w:eastAsia="Times New Roman"/>
        </w:rPr>
        <w:t xml:space="preserve"> interview. The team will send potential respondents a paper and email invitation that will provide a link to the web-</w:t>
      </w:r>
      <w:r w:rsidRPr="007F4680">
        <w:rPr>
          <w:rFonts w:eastAsia="Times New Roman"/>
        </w:rPr>
        <w:t xml:space="preserve">based survey (Instrument 6). </w:t>
      </w:r>
      <w:r w:rsidR="00F42590">
        <w:rPr>
          <w:rFonts w:eastAsia="Times New Roman"/>
        </w:rPr>
        <w:t xml:space="preserve">For centers in the </w:t>
      </w:r>
      <w:r w:rsidR="00A660FC">
        <w:rPr>
          <w:rFonts w:eastAsia="Times New Roman"/>
        </w:rPr>
        <w:t>on-site visit group</w:t>
      </w:r>
      <w:r w:rsidR="00F42590">
        <w:rPr>
          <w:rFonts w:eastAsia="Times New Roman"/>
        </w:rPr>
        <w:t>, a study representative</w:t>
      </w:r>
      <w:r w:rsidRPr="007F4680">
        <w:rPr>
          <w:rFonts w:eastAsia="Times New Roman"/>
        </w:rPr>
        <w:t xml:space="preserve"> will bring paper copies of the survey with them during the </w:t>
      </w:r>
      <w:r>
        <w:rPr>
          <w:rFonts w:eastAsia="Times New Roman"/>
        </w:rPr>
        <w:t>site</w:t>
      </w:r>
      <w:r w:rsidRPr="007F4680">
        <w:rPr>
          <w:rFonts w:eastAsia="Times New Roman"/>
        </w:rPr>
        <w:t xml:space="preserve"> visit so the respondent will have the option to complete it</w:t>
      </w:r>
      <w:r>
        <w:rPr>
          <w:rFonts w:eastAsia="Times New Roman"/>
        </w:rPr>
        <w:t xml:space="preserve"> on paper if they prefer. </w:t>
      </w:r>
      <w:r w:rsidR="00A43809">
        <w:rPr>
          <w:rFonts w:eastAsia="Times New Roman"/>
        </w:rPr>
        <w:t xml:space="preserve">Center managers in the pre-post gift card remote group could request a paper copy of the survey by calling or emailing the study team at the phone and email address noted in the invitation. </w:t>
      </w:r>
      <w:r w:rsidR="005D2794">
        <w:rPr>
          <w:rFonts w:eastAsia="Times New Roman"/>
        </w:rPr>
        <w:t xml:space="preserve">See Supporting Statement Part A for a complete description of the two experimental groups. </w:t>
      </w:r>
      <w:r w:rsidR="005C0DD9">
        <w:rPr>
          <w:rFonts w:eastAsia="Times New Roman"/>
        </w:rPr>
        <w:t>For center managers in both groups, i</w:t>
      </w:r>
      <w:r>
        <w:rPr>
          <w:rFonts w:eastAsia="Times New Roman"/>
        </w:rPr>
        <w:t>f the survey has not been completed within the requested time frame,</w:t>
      </w:r>
      <w:r>
        <w:t xml:space="preserve"> the study team</w:t>
      </w:r>
      <w:r w:rsidRPr="006B3FEC">
        <w:t xml:space="preserve"> </w:t>
      </w:r>
      <w:r>
        <w:rPr>
          <w:rFonts w:eastAsia="Times New Roman"/>
        </w:rPr>
        <w:t xml:space="preserve">will send follow-up emails to the </w:t>
      </w:r>
      <w:r w:rsidRPr="009F6062">
        <w:rPr>
          <w:rFonts w:eastAsia="Times New Roman"/>
        </w:rPr>
        <w:t xml:space="preserve">respondents (Appendix </w:t>
      </w:r>
      <w:r w:rsidR="002401B4">
        <w:rPr>
          <w:rFonts w:eastAsia="Times New Roman"/>
        </w:rPr>
        <w:t>D</w:t>
      </w:r>
      <w:r>
        <w:rPr>
          <w:rFonts w:eastAsia="Times New Roman"/>
        </w:rPr>
        <w:t xml:space="preserve">). The QA of the center manger survey is described in Section B7.  </w:t>
      </w:r>
    </w:p>
    <w:p w:rsidR="00862585" w:rsidP="00420FFD" w:rsidRDefault="00862585" w14:paraId="522CDE22" w14:textId="31EAF6CB">
      <w:pPr>
        <w:pStyle w:val="Paragraph"/>
      </w:pPr>
      <w:r w:rsidRPr="00561A55">
        <w:rPr>
          <w:b/>
          <w:bCs/>
        </w:rPr>
        <w:t>Teaching staff roster and teaching staff survey.</w:t>
      </w:r>
      <w:r>
        <w:t xml:space="preserve"> </w:t>
      </w:r>
      <w:r>
        <w:rPr>
          <w:rFonts w:cstheme="minorHAnsi"/>
        </w:rPr>
        <w:t>The study team</w:t>
      </w:r>
      <w:r w:rsidRPr="006B3FEC">
        <w:rPr>
          <w:rFonts w:cstheme="minorHAnsi"/>
        </w:rPr>
        <w:t xml:space="preserve"> </w:t>
      </w:r>
      <w:r>
        <w:t xml:space="preserve">will ask the primary site leader to provide a list of teaching staff (teaching </w:t>
      </w:r>
      <w:r w:rsidRPr="007F4680">
        <w:t xml:space="preserve">staff roster, Instrument 5) which will </w:t>
      </w:r>
      <w:r>
        <w:t>become</w:t>
      </w:r>
      <w:r w:rsidRPr="007F4680">
        <w:t xml:space="preserve"> the sample of teaching staff that will </w:t>
      </w:r>
      <w:r w:rsidR="003233CA">
        <w:t xml:space="preserve">be invited to </w:t>
      </w:r>
      <w:r w:rsidRPr="007F4680">
        <w:t xml:space="preserve">participate in the survey. </w:t>
      </w:r>
      <w:r w:rsidR="00F42590">
        <w:t xml:space="preserve">For centers in the </w:t>
      </w:r>
      <w:r w:rsidR="00A660FC">
        <w:rPr>
          <w:rFonts w:eastAsia="Times New Roman"/>
        </w:rPr>
        <w:t>on-site visit</w:t>
      </w:r>
      <w:r w:rsidR="00F42590">
        <w:rPr>
          <w:rFonts w:eastAsia="Times New Roman"/>
        </w:rPr>
        <w:t xml:space="preserve"> group</w:t>
      </w:r>
      <w:r w:rsidR="00387A9C">
        <w:rPr>
          <w:rFonts w:eastAsia="Times New Roman"/>
        </w:rPr>
        <w:t>,</w:t>
      </w:r>
      <w:r w:rsidR="00F42590">
        <w:t xml:space="preserve"> a</w:t>
      </w:r>
      <w:r w:rsidR="0080266B">
        <w:t xml:space="preserve"> study representative will visit the center on a pre-determined day</w:t>
      </w:r>
      <w:r>
        <w:t xml:space="preserve"> to support the completion of the teaching staff and center manager surveys. During </w:t>
      </w:r>
      <w:r w:rsidR="0080266B">
        <w:t>the</w:t>
      </w:r>
      <w:r>
        <w:t xml:space="preserve"> visit, </w:t>
      </w:r>
      <w:r w:rsidR="0080266B">
        <w:t>they</w:t>
      </w:r>
      <w:r>
        <w:t xml:space="preserve"> will </w:t>
      </w:r>
      <w:r w:rsidRPr="00651E19">
        <w:rPr>
          <w:rFonts w:cstheme="minorHAnsi"/>
        </w:rPr>
        <w:t xml:space="preserve">distribute an advance letter inviting potential respondents to </w:t>
      </w:r>
      <w:r>
        <w:rPr>
          <w:rFonts w:cstheme="minorHAnsi"/>
        </w:rPr>
        <w:t>complete</w:t>
      </w:r>
      <w:r w:rsidRPr="00651E19">
        <w:rPr>
          <w:rFonts w:cstheme="minorHAnsi"/>
        </w:rPr>
        <w:t xml:space="preserve"> the survey </w:t>
      </w:r>
      <w:r w:rsidRPr="009F6062">
        <w:rPr>
          <w:rFonts w:cstheme="minorHAnsi"/>
        </w:rPr>
        <w:t xml:space="preserve">(Appendix </w:t>
      </w:r>
      <w:r w:rsidR="002401B4">
        <w:rPr>
          <w:rFonts w:cstheme="minorHAnsi"/>
        </w:rPr>
        <w:t>E</w:t>
      </w:r>
      <w:r w:rsidRPr="00651E19">
        <w:rPr>
          <w:rFonts w:cstheme="minorHAnsi"/>
        </w:rPr>
        <w:t>). The advance letter will provide a link to the web-</w:t>
      </w:r>
      <w:r w:rsidRPr="007F4680">
        <w:rPr>
          <w:rFonts w:cstheme="minorHAnsi"/>
        </w:rPr>
        <w:t xml:space="preserve">based </w:t>
      </w:r>
      <w:r w:rsidRPr="007F4680">
        <w:rPr>
          <w:rFonts w:cstheme="minorHAnsi"/>
        </w:rPr>
        <w:lastRenderedPageBreak/>
        <w:t xml:space="preserve">survey (Instrument 7), but </w:t>
      </w:r>
      <w:r w:rsidR="00F42590">
        <w:rPr>
          <w:rFonts w:cstheme="minorHAnsi"/>
        </w:rPr>
        <w:t>the study representative</w:t>
      </w:r>
      <w:r w:rsidRPr="007F4680">
        <w:rPr>
          <w:rFonts w:cstheme="minorHAnsi"/>
        </w:rPr>
        <w:t xml:space="preserve"> will bring paper copies of the survey so that respondents will have the option to complete</w:t>
      </w:r>
      <w:r w:rsidRPr="00651E19">
        <w:rPr>
          <w:rFonts w:cstheme="minorHAnsi"/>
        </w:rPr>
        <w:t xml:space="preserve"> </w:t>
      </w:r>
      <w:r>
        <w:rPr>
          <w:rFonts w:cstheme="minorHAnsi"/>
        </w:rPr>
        <w:t>it on paper</w:t>
      </w:r>
      <w:r w:rsidRPr="00651E19">
        <w:rPr>
          <w:rFonts w:cstheme="minorHAnsi"/>
        </w:rPr>
        <w:t xml:space="preserve"> if they prefer. </w:t>
      </w:r>
      <w:r>
        <w:rPr>
          <w:rFonts w:cstheme="minorHAnsi"/>
        </w:rPr>
        <w:t xml:space="preserve">The study representative will </w:t>
      </w:r>
      <w:r w:rsidR="0080266B">
        <w:rPr>
          <w:rFonts w:cstheme="minorHAnsi"/>
        </w:rPr>
        <w:t>be available</w:t>
      </w:r>
      <w:r>
        <w:rPr>
          <w:rFonts w:cstheme="minorHAnsi"/>
        </w:rPr>
        <w:t xml:space="preserve"> at the center </w:t>
      </w:r>
      <w:r w:rsidR="0080266B">
        <w:rPr>
          <w:rFonts w:cstheme="minorHAnsi"/>
        </w:rPr>
        <w:t>for up to</w:t>
      </w:r>
      <w:r>
        <w:rPr>
          <w:rFonts w:cstheme="minorHAnsi"/>
        </w:rPr>
        <w:t xml:space="preserve"> two to three hours to speak with staff and answer questions and will return to the center a day or two later to pick up completed paper surveys and hand out gift cards. </w:t>
      </w:r>
      <w:r w:rsidR="00513856">
        <w:rPr>
          <w:rFonts w:cstheme="minorHAnsi"/>
        </w:rPr>
        <w:t>Teaching staff</w:t>
      </w:r>
      <w:r w:rsidR="00F42590">
        <w:rPr>
          <w:rFonts w:cstheme="minorHAnsi"/>
        </w:rPr>
        <w:t xml:space="preserve"> in the pre-post </w:t>
      </w:r>
      <w:r w:rsidR="00A660FC">
        <w:rPr>
          <w:rFonts w:cstheme="minorHAnsi"/>
        </w:rPr>
        <w:t>gift card remote</w:t>
      </w:r>
      <w:r w:rsidR="00513856">
        <w:rPr>
          <w:rFonts w:cstheme="minorHAnsi"/>
        </w:rPr>
        <w:t xml:space="preserve"> group will receive a FedEx mailing </w:t>
      </w:r>
      <w:r w:rsidR="00FA57FC">
        <w:rPr>
          <w:rFonts w:cstheme="minorHAnsi"/>
        </w:rPr>
        <w:t xml:space="preserve">addressed directly to them with the advance letter which will include the </w:t>
      </w:r>
      <w:r w:rsidR="005D2794">
        <w:rPr>
          <w:rFonts w:cstheme="minorHAnsi"/>
        </w:rPr>
        <w:t>web address</w:t>
      </w:r>
      <w:r w:rsidR="00FA57FC">
        <w:rPr>
          <w:rFonts w:cstheme="minorHAnsi"/>
        </w:rPr>
        <w:t xml:space="preserve"> to the web-based survey.</w:t>
      </w:r>
      <w:r w:rsidR="00513856">
        <w:rPr>
          <w:rFonts w:cstheme="minorHAnsi"/>
        </w:rPr>
        <w:t xml:space="preserve"> </w:t>
      </w:r>
      <w:r w:rsidR="00FA57FC">
        <w:rPr>
          <w:rFonts w:cstheme="minorHAnsi"/>
        </w:rPr>
        <w:t>The mailing will also include a paper copy of the survey and</w:t>
      </w:r>
      <w:r w:rsidR="005D2794">
        <w:rPr>
          <w:rFonts w:cstheme="minorHAnsi"/>
        </w:rPr>
        <w:t xml:space="preserve"> </w:t>
      </w:r>
      <w:r w:rsidR="0058246D">
        <w:rPr>
          <w:rFonts w:cstheme="minorHAnsi"/>
        </w:rPr>
        <w:t>a</w:t>
      </w:r>
      <w:r w:rsidR="00FA57FC">
        <w:rPr>
          <w:rFonts w:cstheme="minorHAnsi"/>
        </w:rPr>
        <w:t xml:space="preserve"> $10 gift card. </w:t>
      </w:r>
      <w:r>
        <w:rPr>
          <w:rFonts w:eastAsia="Times New Roman" w:cstheme="minorHAnsi"/>
          <w:color w:val="000000"/>
        </w:rPr>
        <w:t xml:space="preserve">If </w:t>
      </w:r>
      <w:r w:rsidR="00FA57FC">
        <w:rPr>
          <w:rFonts w:eastAsia="Times New Roman" w:cstheme="minorHAnsi"/>
          <w:color w:val="000000"/>
        </w:rPr>
        <w:t xml:space="preserve">teaching staff in either experiment group </w:t>
      </w:r>
      <w:r w:rsidR="00A02FA6">
        <w:rPr>
          <w:rFonts w:eastAsia="Times New Roman" w:cstheme="minorHAnsi"/>
          <w:color w:val="000000"/>
        </w:rPr>
        <w:t>do not</w:t>
      </w:r>
      <w:r w:rsidR="00FA57FC">
        <w:rPr>
          <w:rFonts w:eastAsia="Times New Roman" w:cstheme="minorHAnsi"/>
          <w:color w:val="000000"/>
        </w:rPr>
        <w:t xml:space="preserve"> complete the survey</w:t>
      </w:r>
      <w:r>
        <w:rPr>
          <w:rFonts w:eastAsia="Times New Roman" w:cstheme="minorHAnsi"/>
          <w:color w:val="000000"/>
        </w:rPr>
        <w:t xml:space="preserve"> within the requested time frame, </w:t>
      </w:r>
      <w:r>
        <w:rPr>
          <w:rFonts w:cstheme="minorHAnsi"/>
        </w:rPr>
        <w:t>the study team</w:t>
      </w:r>
      <w:r w:rsidRPr="006B3FEC">
        <w:rPr>
          <w:rFonts w:cstheme="minorHAnsi"/>
        </w:rPr>
        <w:t xml:space="preserve"> </w:t>
      </w:r>
      <w:r>
        <w:rPr>
          <w:rFonts w:eastAsia="Times New Roman" w:cstheme="minorHAnsi"/>
          <w:color w:val="000000"/>
        </w:rPr>
        <w:t xml:space="preserve">will send follow-up emails to </w:t>
      </w:r>
      <w:r w:rsidR="0058246D">
        <w:rPr>
          <w:rFonts w:eastAsia="Times New Roman" w:cstheme="minorHAnsi"/>
          <w:color w:val="000000"/>
        </w:rPr>
        <w:t xml:space="preserve">encourage survey response </w:t>
      </w:r>
      <w:r w:rsidRPr="009F6062">
        <w:rPr>
          <w:rFonts w:eastAsia="Times New Roman" w:cstheme="minorHAnsi"/>
          <w:color w:val="000000"/>
        </w:rPr>
        <w:t xml:space="preserve">(Appendix </w:t>
      </w:r>
      <w:r w:rsidR="002401B4">
        <w:rPr>
          <w:rFonts w:eastAsia="Times New Roman" w:cstheme="minorHAnsi"/>
          <w:color w:val="000000"/>
        </w:rPr>
        <w:t>E</w:t>
      </w:r>
      <w:r w:rsidRPr="009F6062">
        <w:rPr>
          <w:rFonts w:eastAsia="Times New Roman" w:cstheme="minorHAnsi"/>
          <w:color w:val="000000"/>
        </w:rPr>
        <w:t>).</w:t>
      </w:r>
      <w:r w:rsidRPr="002F0B34">
        <w:rPr>
          <w:rFonts w:eastAsia="Times New Roman" w:cstheme="minorHAnsi"/>
          <w:color w:val="000000"/>
        </w:rPr>
        <w:t xml:space="preserve"> </w:t>
      </w:r>
    </w:p>
    <w:p w:rsidR="00862585" w:rsidP="00420FFD" w:rsidRDefault="00862585" w14:paraId="1E52B2B8" w14:textId="77777777">
      <w:pPr>
        <w:pStyle w:val="Paragraph"/>
        <w:rPr>
          <w:rFonts w:eastAsia="Times New Roman"/>
        </w:rPr>
      </w:pPr>
      <w:r>
        <w:rPr>
          <w:rFonts w:eastAsia="Times New Roman"/>
        </w:rPr>
        <w:t xml:space="preserve">The </w:t>
      </w:r>
      <w:r w:rsidRPr="00156B93">
        <w:rPr>
          <w:rFonts w:eastAsia="Times New Roman"/>
        </w:rPr>
        <w:t>Q</w:t>
      </w:r>
      <w:r>
        <w:rPr>
          <w:rFonts w:eastAsia="Times New Roman"/>
        </w:rPr>
        <w:t>A</w:t>
      </w:r>
      <w:r w:rsidRPr="00156B93">
        <w:rPr>
          <w:rFonts w:eastAsia="Times New Roman"/>
        </w:rPr>
        <w:t xml:space="preserve"> </w:t>
      </w:r>
      <w:r>
        <w:rPr>
          <w:rFonts w:eastAsia="Times New Roman"/>
        </w:rPr>
        <w:t xml:space="preserve">of the teaching staff survey is described in Section B7. QA </w:t>
      </w:r>
      <w:r w:rsidRPr="00156B93">
        <w:rPr>
          <w:rFonts w:eastAsia="Times New Roman"/>
        </w:rPr>
        <w:t>includes field staff certification at the end of training</w:t>
      </w:r>
      <w:r>
        <w:rPr>
          <w:rFonts w:eastAsia="Times New Roman"/>
        </w:rPr>
        <w:t xml:space="preserve"> </w:t>
      </w:r>
      <w:r w:rsidRPr="00156B93">
        <w:rPr>
          <w:rFonts w:eastAsia="Times New Roman"/>
        </w:rPr>
        <w:t xml:space="preserve">and ongoing monitoring of </w:t>
      </w:r>
      <w:r>
        <w:rPr>
          <w:rFonts w:eastAsia="Times New Roman"/>
        </w:rPr>
        <w:t>their visits</w:t>
      </w:r>
      <w:r w:rsidRPr="00156B93">
        <w:rPr>
          <w:rFonts w:eastAsia="Times New Roman"/>
        </w:rPr>
        <w:t xml:space="preserve">. Supervisors will oversee the work of the field staff by requiring each staff member to check in via phone or email at the end of each day of their site visits, to monitor each day’s data collection progress. </w:t>
      </w:r>
      <w:r>
        <w:t>The study team</w:t>
      </w:r>
      <w:r w:rsidRPr="006B3FEC">
        <w:t xml:space="preserve"> </w:t>
      </w:r>
      <w:r>
        <w:rPr>
          <w:rFonts w:eastAsia="Times New Roman"/>
        </w:rPr>
        <w:t xml:space="preserve">will monitor real-time survey completions through the web instruments and by field staff reporting the number of completed surveys collected in the field. </w:t>
      </w:r>
    </w:p>
    <w:p w:rsidRPr="009016A7" w:rsidR="00862585" w:rsidP="00420FFD" w:rsidRDefault="00862585" w14:paraId="659EF3B0" w14:textId="11FC009C">
      <w:pPr>
        <w:pStyle w:val="H2"/>
        <w:rPr>
          <w:rFonts w:eastAsia="Times New Roman"/>
        </w:rPr>
      </w:pPr>
      <w:r w:rsidRPr="001A59B6">
        <w:rPr>
          <w:rFonts w:eastAsia="Times New Roman"/>
        </w:rPr>
        <w:t>B</w:t>
      </w:r>
      <w:r w:rsidR="00DA74FF">
        <w:rPr>
          <w:rFonts w:eastAsia="Times New Roman"/>
        </w:rPr>
        <w:t>.</w:t>
      </w:r>
      <w:r w:rsidRPr="001A59B6">
        <w:rPr>
          <w:rFonts w:eastAsia="Times New Roman"/>
        </w:rPr>
        <w:t>5.</w:t>
      </w:r>
      <w:r w:rsidR="00420FFD">
        <w:rPr>
          <w:rFonts w:eastAsia="Times New Roman"/>
        </w:rPr>
        <w:tab/>
      </w:r>
      <w:r w:rsidRPr="009016A7">
        <w:rPr>
          <w:rFonts w:eastAsia="Times New Roman"/>
        </w:rPr>
        <w:t xml:space="preserve">Response </w:t>
      </w:r>
      <w:r w:rsidR="00940FE8">
        <w:rPr>
          <w:rFonts w:eastAsia="Times New Roman"/>
        </w:rPr>
        <w:t>rates and potential nonresponse bias</w:t>
      </w:r>
    </w:p>
    <w:p w:rsidRPr="009016A7" w:rsidR="00862585" w:rsidP="00420FFD" w:rsidRDefault="00420FFD" w14:paraId="1DF7A5A5" w14:textId="03E28B22">
      <w:pPr>
        <w:pStyle w:val="H3"/>
        <w:rPr>
          <w:rFonts w:eastAsia="Times New Roman"/>
        </w:rPr>
      </w:pPr>
      <w:r>
        <w:rPr>
          <w:rFonts w:eastAsia="Times New Roman"/>
        </w:rPr>
        <w:t>1.</w:t>
      </w:r>
      <w:r>
        <w:rPr>
          <w:rFonts w:eastAsia="Times New Roman"/>
        </w:rPr>
        <w:tab/>
      </w:r>
      <w:r w:rsidRPr="009016A7" w:rsidR="00862585">
        <w:rPr>
          <w:rFonts w:eastAsia="Times New Roman"/>
        </w:rPr>
        <w:t xml:space="preserve">Response </w:t>
      </w:r>
      <w:r w:rsidR="00940FE8">
        <w:rPr>
          <w:rFonts w:eastAsia="Times New Roman"/>
        </w:rPr>
        <w:t>rates</w:t>
      </w:r>
    </w:p>
    <w:p w:rsidRPr="009016A7" w:rsidR="00862585" w:rsidP="00420FFD" w:rsidRDefault="00862585" w14:paraId="409A6456" w14:textId="3302006E">
      <w:pPr>
        <w:pStyle w:val="ParagraphContinued"/>
        <w:rPr>
          <w:rFonts w:eastAsia="Times New Roman"/>
        </w:rPr>
      </w:pPr>
      <w:r w:rsidRPr="009016A7">
        <w:rPr>
          <w:rFonts w:eastAsia="Times New Roman"/>
        </w:rPr>
        <w:t xml:space="preserve">The study team will collect data from 120 centers that are eligible </w:t>
      </w:r>
      <w:r>
        <w:rPr>
          <w:rFonts w:eastAsia="Times New Roman"/>
        </w:rPr>
        <w:t xml:space="preserve">and agree </w:t>
      </w:r>
      <w:r w:rsidRPr="009016A7">
        <w:rPr>
          <w:rFonts w:eastAsia="Times New Roman"/>
        </w:rPr>
        <w:t xml:space="preserve">to participate in the study. Recruitment will </w:t>
      </w:r>
      <w:r>
        <w:rPr>
          <w:rFonts w:eastAsia="Times New Roman"/>
        </w:rPr>
        <w:t xml:space="preserve">be </w:t>
      </w:r>
      <w:r w:rsidRPr="009016A7">
        <w:rPr>
          <w:rFonts w:eastAsia="Times New Roman"/>
        </w:rPr>
        <w:t xml:space="preserve">on-going, and the study team expects to be able to replace a center that may withdraw from the study before </w:t>
      </w:r>
      <w:r w:rsidR="00A72686">
        <w:rPr>
          <w:rFonts w:eastAsia="Times New Roman"/>
        </w:rPr>
        <w:t>staff are invited to complete surveys</w:t>
      </w:r>
      <w:r w:rsidRPr="009016A7">
        <w:rPr>
          <w:rFonts w:eastAsia="Times New Roman"/>
        </w:rPr>
        <w:t xml:space="preserve">. </w:t>
      </w:r>
    </w:p>
    <w:p w:rsidRPr="009016A7" w:rsidR="00862585" w:rsidP="00420FFD" w:rsidRDefault="00862585" w14:paraId="7E081653" w14:textId="77777777">
      <w:pPr>
        <w:pStyle w:val="Paragraph"/>
        <w:rPr>
          <w:rFonts w:eastAsia="Times New Roman"/>
        </w:rPr>
      </w:pPr>
      <w:r w:rsidRPr="009016A7">
        <w:rPr>
          <w:rFonts w:eastAsia="Times New Roman"/>
        </w:rPr>
        <w:t xml:space="preserve">Across the 120 centers, </w:t>
      </w:r>
      <w:r>
        <w:t>t</w:t>
      </w:r>
      <w:r w:rsidRPr="009016A7">
        <w:t xml:space="preserve">he study team </w:t>
      </w:r>
      <w:r w:rsidRPr="009016A7">
        <w:rPr>
          <w:rFonts w:eastAsia="Times New Roman"/>
        </w:rPr>
        <w:t xml:space="preserve">will invite 240 center managers to complete the center manager survey, and 1,680 teaching staff to complete the teaching staff survey. </w:t>
      </w:r>
      <w:r w:rsidRPr="009016A7">
        <w:t xml:space="preserve">The study team </w:t>
      </w:r>
      <w:r w:rsidRPr="009016A7">
        <w:rPr>
          <w:rFonts w:eastAsia="Times New Roman"/>
        </w:rPr>
        <w:t>expects all center managers to complete the center manager survey, and at least 80</w:t>
      </w:r>
      <w:r>
        <w:rPr>
          <w:rFonts w:eastAsia="Times New Roman"/>
        </w:rPr>
        <w:t xml:space="preserve"> percent</w:t>
      </w:r>
      <w:r w:rsidRPr="009016A7">
        <w:rPr>
          <w:rFonts w:eastAsia="Times New Roman"/>
        </w:rPr>
        <w:t xml:space="preserve"> of teaching staff to complete the teaching staff survey. </w:t>
      </w:r>
    </w:p>
    <w:p w:rsidR="00862585" w:rsidP="00420FFD" w:rsidRDefault="00862585" w14:paraId="174D5B40" w14:textId="77777777">
      <w:pPr>
        <w:pStyle w:val="Paragraph"/>
        <w:rPr>
          <w:rFonts w:eastAsia="Times New Roman"/>
        </w:rPr>
      </w:pPr>
      <w:r>
        <w:rPr>
          <w:rFonts w:eastAsia="Times New Roman"/>
        </w:rPr>
        <w:t>T</w:t>
      </w:r>
      <w:r w:rsidRPr="009016A7">
        <w:rPr>
          <w:rFonts w:eastAsia="Times New Roman"/>
        </w:rPr>
        <w:t>he study is not designed to produce statistically generalizable findings</w:t>
      </w:r>
      <w:r>
        <w:rPr>
          <w:rFonts w:eastAsia="Times New Roman"/>
        </w:rPr>
        <w:t>. However,</w:t>
      </w:r>
      <w:r w:rsidRPr="009016A7">
        <w:rPr>
          <w:rFonts w:eastAsia="Times New Roman"/>
        </w:rPr>
        <w:t xml:space="preserve"> the team will calculate the response rate for center managers, which is the number of center managers who completed the survey divided by the number of center managers sampled</w:t>
      </w:r>
      <w:r>
        <w:rPr>
          <w:rFonts w:eastAsia="Times New Roman"/>
        </w:rPr>
        <w:t xml:space="preserve">. In addition, the study team will calculate </w:t>
      </w:r>
      <w:r w:rsidRPr="009016A7">
        <w:rPr>
          <w:rFonts w:eastAsia="Times New Roman"/>
        </w:rPr>
        <w:t>the response rate for teaching staff, which is the number of teaching staff who completed the survey divided by the number of eligible teaching staff</w:t>
      </w:r>
      <w:r w:rsidRPr="009016A7">
        <w:rPr>
          <w:rStyle w:val="FootnoteReference"/>
          <w:rFonts w:eastAsia="Times New Roman" w:cstheme="minorHAnsi"/>
          <w:color w:val="000000"/>
        </w:rPr>
        <w:footnoteReference w:id="8"/>
      </w:r>
      <w:r w:rsidRPr="009016A7">
        <w:rPr>
          <w:rFonts w:eastAsia="Times New Roman"/>
        </w:rPr>
        <w:t xml:space="preserve"> on the </w:t>
      </w:r>
      <w:r w:rsidRPr="009016A7">
        <w:rPr>
          <w:rFonts w:cs="Arial"/>
          <w:szCs w:val="18"/>
        </w:rPr>
        <w:t>teaching staff roster (Instrument 5)</w:t>
      </w:r>
      <w:r>
        <w:rPr>
          <w:rFonts w:cs="Arial"/>
          <w:szCs w:val="18"/>
        </w:rPr>
        <w:t xml:space="preserve">. These calculations will </w:t>
      </w:r>
      <w:r w:rsidRPr="009016A7">
        <w:rPr>
          <w:rFonts w:eastAsia="Times New Roman"/>
        </w:rPr>
        <w:t>inform whether the responses of center managers and teaching staff who complete the survey will produce a reliable measure of center leadership.</w:t>
      </w:r>
      <w:r>
        <w:rPr>
          <w:rFonts w:eastAsia="Times New Roman"/>
        </w:rPr>
        <w:t xml:space="preserve"> </w:t>
      </w:r>
    </w:p>
    <w:p w:rsidR="00862585" w:rsidP="00533FDE" w:rsidRDefault="00533FDE" w14:paraId="0DB26BB6" w14:textId="5AC484BD">
      <w:pPr>
        <w:pStyle w:val="H4"/>
        <w:rPr>
          <w:rFonts w:eastAsia="Times New Roman"/>
        </w:rPr>
      </w:pPr>
      <w:r>
        <w:rPr>
          <w:rFonts w:eastAsia="Times New Roman"/>
        </w:rPr>
        <w:t>a</w:t>
      </w:r>
      <w:r w:rsidR="00420FFD">
        <w:rPr>
          <w:rFonts w:eastAsia="Times New Roman"/>
        </w:rPr>
        <w:t>.</w:t>
      </w:r>
      <w:r w:rsidR="00420FFD">
        <w:rPr>
          <w:rFonts w:eastAsia="Times New Roman"/>
        </w:rPr>
        <w:tab/>
      </w:r>
      <w:r w:rsidRPr="00C66CDE" w:rsidR="00862585">
        <w:rPr>
          <w:rFonts w:eastAsia="Times New Roman"/>
        </w:rPr>
        <w:t>Maximizing response rates</w:t>
      </w:r>
    </w:p>
    <w:p w:rsidR="00862585" w:rsidP="00420FFD" w:rsidRDefault="00EF4F5A" w14:paraId="10DAE735" w14:textId="60075E43">
      <w:pPr>
        <w:pStyle w:val="ParagraphContinued"/>
      </w:pPr>
      <w:r>
        <w:rPr>
          <w:rFonts w:cstheme="minorHAnsi"/>
        </w:rPr>
        <w:t xml:space="preserve">The study’s experimental design </w:t>
      </w:r>
      <w:r w:rsidR="005C0DD9">
        <w:rPr>
          <w:rFonts w:cstheme="minorHAnsi"/>
        </w:rPr>
        <w:t xml:space="preserve">on administrative procedures for survey distribution </w:t>
      </w:r>
      <w:r>
        <w:rPr>
          <w:rFonts w:cstheme="minorHAnsi"/>
        </w:rPr>
        <w:t xml:space="preserve">will ensure </w:t>
      </w:r>
      <w:r w:rsidR="00862585">
        <w:t>high response rates for the surveys</w:t>
      </w:r>
      <w:r>
        <w:t xml:space="preserve"> regardless of group assignment</w:t>
      </w:r>
      <w:r w:rsidR="00862585">
        <w:t xml:space="preserve">. </w:t>
      </w:r>
      <w:r>
        <w:t xml:space="preserve">The centers in the </w:t>
      </w:r>
      <w:r w:rsidR="00A660FC">
        <w:t xml:space="preserve">on-site visit </w:t>
      </w:r>
      <w:r>
        <w:t xml:space="preserve">group will have a study representative visit centers to </w:t>
      </w:r>
      <w:r w:rsidR="00B05063">
        <w:t>answer any questions about the surveys and encourage survey response</w:t>
      </w:r>
      <w:r>
        <w:t xml:space="preserve">, while teaching staff in the </w:t>
      </w:r>
      <w:r w:rsidR="00A660FC">
        <w:t>pre-post gift card remote</w:t>
      </w:r>
      <w:r>
        <w:t xml:space="preserve"> group will receive a $10 gift card </w:t>
      </w:r>
      <w:r w:rsidR="0058246D">
        <w:t>along with their</w:t>
      </w:r>
      <w:r>
        <w:t xml:space="preserve"> invitation materials</w:t>
      </w:r>
      <w:r w:rsidR="00B748BF">
        <w:t xml:space="preserve"> to encourage survey response</w:t>
      </w:r>
      <w:r w:rsidR="00A72686">
        <w:t xml:space="preserve">. </w:t>
      </w:r>
      <w:r w:rsidR="00862585">
        <w:t xml:space="preserve">In addition, the study team will offer each </w:t>
      </w:r>
      <w:r w:rsidR="00862585">
        <w:lastRenderedPageBreak/>
        <w:t xml:space="preserve">participating center an honorarium in the amount of </w:t>
      </w:r>
      <w:r w:rsidRPr="005A355E" w:rsidR="00862585">
        <w:t>$1</w:t>
      </w:r>
      <w:r w:rsidR="00862585">
        <w:t xml:space="preserve">50 in recognition of the time and expertise that center staff contribute to the study as a whole. </w:t>
      </w:r>
      <w:r w:rsidR="00862585">
        <w:rPr>
          <w:rFonts w:cstheme="minorHAnsi"/>
        </w:rPr>
        <w:t>The study team</w:t>
      </w:r>
      <w:r w:rsidRPr="006B3FEC" w:rsidR="00862585">
        <w:rPr>
          <w:rFonts w:cstheme="minorHAnsi"/>
        </w:rPr>
        <w:t xml:space="preserve"> </w:t>
      </w:r>
      <w:r w:rsidR="00862585">
        <w:t>will offer survey respondents gift cards as tokens of appreciation for their participation ($25 for center managers and $50 for teaching staff).</w:t>
      </w:r>
    </w:p>
    <w:p w:rsidR="00862585" w:rsidP="00420FFD" w:rsidRDefault="00862585" w14:paraId="38E497AC" w14:textId="2EADBAC2">
      <w:pPr>
        <w:pStyle w:val="Paragraph"/>
      </w:pPr>
      <w:r>
        <w:rPr>
          <w:rFonts w:cstheme="minorHAnsi"/>
        </w:rPr>
        <w:t>The study team</w:t>
      </w:r>
      <w:r w:rsidRPr="006B3FEC">
        <w:rPr>
          <w:rFonts w:cstheme="minorHAnsi"/>
        </w:rPr>
        <w:t xml:space="preserve"> </w:t>
      </w:r>
      <w:r>
        <w:t xml:space="preserve">will monitor </w:t>
      </w:r>
      <w:r w:rsidR="00BC6BCA">
        <w:t>response rate</w:t>
      </w:r>
      <w:r>
        <w:t>s for each instrument, at the center</w:t>
      </w:r>
      <w:r w:rsidR="0095078C">
        <w:t xml:space="preserve"> </w:t>
      </w:r>
      <w:r>
        <w:t xml:space="preserve">level and overall, to provide real-time progress reports on </w:t>
      </w:r>
      <w:r w:rsidR="00BC6BCA">
        <w:t>response rate</w:t>
      </w:r>
      <w:r>
        <w:t>s to field staff (as part of the site visit</w:t>
      </w:r>
      <w:r w:rsidR="00A72686">
        <w:t>, if applicable</w:t>
      </w:r>
      <w:r>
        <w:t>) and to primary site leaders (to follow up after the site visit</w:t>
      </w:r>
      <w:r w:rsidR="0095078C">
        <w:t>, if applicable</w:t>
      </w:r>
      <w:r>
        <w:t xml:space="preserve">). </w:t>
      </w:r>
      <w:r>
        <w:rPr>
          <w:rFonts w:cstheme="minorHAnsi"/>
        </w:rPr>
        <w:t>The study team</w:t>
      </w:r>
      <w:r w:rsidRPr="006B3FEC">
        <w:rPr>
          <w:rFonts w:cstheme="minorHAnsi"/>
        </w:rPr>
        <w:t xml:space="preserve"> </w:t>
      </w:r>
      <w:r>
        <w:t>will work with field staff and primary site leaders to obtain additional surveys.</w:t>
      </w:r>
    </w:p>
    <w:p w:rsidRPr="00607006" w:rsidR="00862585" w:rsidP="00420FFD" w:rsidRDefault="00862585" w14:paraId="349B7CE6" w14:textId="18832B0E">
      <w:pPr>
        <w:pStyle w:val="Paragraph"/>
      </w:pPr>
      <w:r>
        <w:t xml:space="preserve">Center managers and teaching staff will have the flexibility to complete their surveys online or on paper, which will allow the study team to obtain high response rates. </w:t>
      </w:r>
      <w:r w:rsidR="007B1000">
        <w:t xml:space="preserve">For centers that are part of the </w:t>
      </w:r>
      <w:r w:rsidR="003E389A">
        <w:t xml:space="preserve">pre-post gift card remote group, the study team will send </w:t>
      </w:r>
      <w:r w:rsidR="000732BB">
        <w:t>follow-up</w:t>
      </w:r>
      <w:r w:rsidR="003E389A">
        <w:t xml:space="preserve"> emails to respondents that have not completed their surveys a week after the invitation emails were sent. </w:t>
      </w:r>
      <w:r w:rsidR="001D0348">
        <w:t xml:space="preserve">If a center’s response rate is below 80 percent after all the follow-up emails have been sent, </w:t>
      </w:r>
      <w:r w:rsidR="00797CE3">
        <w:t xml:space="preserve">a </w:t>
      </w:r>
      <w:r w:rsidR="001D0348">
        <w:t xml:space="preserve">site visit with the center </w:t>
      </w:r>
      <w:r w:rsidR="00797CE3">
        <w:t xml:space="preserve">will be scheduled </w:t>
      </w:r>
      <w:r w:rsidR="001D0348">
        <w:t xml:space="preserve">to distribute and collect paper surveys. </w:t>
      </w:r>
      <w:r w:rsidR="00A72686">
        <w:t xml:space="preserve">For centers that are part of the </w:t>
      </w:r>
      <w:r w:rsidR="00A660FC">
        <w:t>on-site visit</w:t>
      </w:r>
      <w:r w:rsidR="00A72686">
        <w:t xml:space="preserve"> group, </w:t>
      </w:r>
      <w:r w:rsidR="00A72686">
        <w:rPr>
          <w:rFonts w:cstheme="minorHAnsi"/>
        </w:rPr>
        <w:t xml:space="preserve">the </w:t>
      </w:r>
      <w:r>
        <w:rPr>
          <w:rFonts w:cstheme="minorHAnsi"/>
        </w:rPr>
        <w:t>study team</w:t>
      </w:r>
      <w:r w:rsidRPr="006B3FEC">
        <w:rPr>
          <w:rFonts w:cstheme="minorHAnsi"/>
        </w:rPr>
        <w:t xml:space="preserve"> </w:t>
      </w:r>
      <w:r>
        <w:t xml:space="preserve">will monitor </w:t>
      </w:r>
      <w:r w:rsidR="00BC6BCA">
        <w:t>response rate</w:t>
      </w:r>
      <w:r>
        <w:t xml:space="preserve">s of center manager surveys prior to the site visit to ensure timely follow-up during the visit. Field staff will remind center managers and provide them with paper copies in an effort to collect missing surveys by the end of the visit. During the same visit, field staff will encourage teaching staff to complete the survey online or on paper. As a final motivator, field staff will let center managers and teaching staff know that if they are able to complete the surveys by the end of the visit, they will receive gift cards before field staff </w:t>
      </w:r>
      <w:proofErr w:type="gramStart"/>
      <w:r>
        <w:t>leave;</w:t>
      </w:r>
      <w:proofErr w:type="gramEnd"/>
      <w:r>
        <w:t xml:space="preserve"> rather than waiting for gift cards to be mailed at a later date. If </w:t>
      </w:r>
      <w:r w:rsidR="00797CE3">
        <w:t>respondents haven’t completed their</w:t>
      </w:r>
      <w:r w:rsidR="000732BB">
        <w:t xml:space="preserve"> surveys within a week of the site visit, they will receive follow-up emails</w:t>
      </w:r>
      <w:r w:rsidR="00020577">
        <w:t>.</w:t>
      </w:r>
      <w:r>
        <w:t xml:space="preserve"> </w:t>
      </w:r>
      <w:r w:rsidR="000732BB">
        <w:t xml:space="preserve">See appendices </w:t>
      </w:r>
      <w:r w:rsidR="00420E45">
        <w:t xml:space="preserve">D </w:t>
      </w:r>
      <w:r w:rsidR="000732BB">
        <w:t xml:space="preserve">and </w:t>
      </w:r>
      <w:r w:rsidR="00420E45">
        <w:t xml:space="preserve">E </w:t>
      </w:r>
      <w:r w:rsidR="000732BB">
        <w:t>for all respondent follow-up emails.</w:t>
      </w:r>
      <w:r>
        <w:t xml:space="preserve"> </w:t>
      </w:r>
    </w:p>
    <w:p w:rsidRPr="001A59B6" w:rsidR="00862585" w:rsidP="00420FFD" w:rsidRDefault="00533FDE" w14:paraId="4C134E1C" w14:textId="6DE642F1">
      <w:pPr>
        <w:pStyle w:val="H3"/>
        <w:rPr>
          <w:rFonts w:eastAsia="Times New Roman"/>
        </w:rPr>
      </w:pPr>
      <w:r>
        <w:rPr>
          <w:rFonts w:eastAsia="Times New Roman"/>
        </w:rPr>
        <w:t>2</w:t>
      </w:r>
      <w:r w:rsidR="00420FFD">
        <w:rPr>
          <w:rFonts w:eastAsia="Times New Roman"/>
        </w:rPr>
        <w:t>.</w:t>
      </w:r>
      <w:r w:rsidR="00420FFD">
        <w:rPr>
          <w:rFonts w:eastAsia="Times New Roman"/>
        </w:rPr>
        <w:tab/>
      </w:r>
      <w:r w:rsidRPr="001A59B6" w:rsidR="00862585">
        <w:rPr>
          <w:rFonts w:eastAsia="Times New Roman"/>
        </w:rPr>
        <w:t>Non</w:t>
      </w:r>
      <w:r w:rsidR="00862585">
        <w:rPr>
          <w:rFonts w:eastAsia="Times New Roman"/>
        </w:rPr>
        <w:t>r</w:t>
      </w:r>
      <w:r w:rsidRPr="001A59B6" w:rsidR="00862585">
        <w:rPr>
          <w:rFonts w:eastAsia="Times New Roman"/>
        </w:rPr>
        <w:t>esponse</w:t>
      </w:r>
    </w:p>
    <w:p w:rsidRPr="001C4653" w:rsidR="00862585" w:rsidP="00420FFD" w:rsidRDefault="00862585" w14:paraId="1BA857C0" w14:textId="0427CC29">
      <w:pPr>
        <w:pStyle w:val="ParagraphContinued"/>
      </w:pPr>
      <w:r>
        <w:t xml:space="preserve">Based on other similar ECE projects, the study team does not expect substantial nonresponse for center managers. </w:t>
      </w:r>
      <w:r w:rsidRPr="009C117C">
        <w:t xml:space="preserve">The potential challenge with </w:t>
      </w:r>
      <w:r>
        <w:t xml:space="preserve">survey </w:t>
      </w:r>
      <w:r w:rsidRPr="009C117C">
        <w:t>nonresponse exist</w:t>
      </w:r>
      <w:r>
        <w:t>s</w:t>
      </w:r>
      <w:r w:rsidRPr="009C117C">
        <w:t xml:space="preserve"> mainly for the </w:t>
      </w:r>
      <w:r>
        <w:t>teaching staff</w:t>
      </w:r>
      <w:r w:rsidRPr="009C117C">
        <w:t xml:space="preserve"> survey. The study team </w:t>
      </w:r>
      <w:r>
        <w:t>will</w:t>
      </w:r>
      <w:r w:rsidRPr="009C117C">
        <w:t xml:space="preserve"> maximize </w:t>
      </w:r>
      <w:r w:rsidR="00BC6BCA">
        <w:t>response rate</w:t>
      </w:r>
      <w:r>
        <w:t xml:space="preserve">s for the teaching staff </w:t>
      </w:r>
      <w:r w:rsidRPr="009C117C">
        <w:t>survey</w:t>
      </w:r>
      <w:r>
        <w:t xml:space="preserve"> using the </w:t>
      </w:r>
      <w:r w:rsidRPr="007F4680">
        <w:t xml:space="preserve">methods described in the section above. As part of study reporting, </w:t>
      </w:r>
      <w:r>
        <w:t>the study team</w:t>
      </w:r>
      <w:r w:rsidRPr="007F4680">
        <w:t xml:space="preserve"> plan</w:t>
      </w:r>
      <w:r>
        <w:t>s</w:t>
      </w:r>
      <w:r w:rsidRPr="007F4680">
        <w:t xml:space="preserve"> to present information about the </w:t>
      </w:r>
      <w:r w:rsidR="00BC6BCA">
        <w:t>response rate</w:t>
      </w:r>
      <w:r w:rsidRPr="007F4680">
        <w:t xml:space="preserve"> for teaching staff and the positions of teaching staff (listed in Instrument 5) </w:t>
      </w:r>
      <w:r>
        <w:t xml:space="preserve">and center characteristics </w:t>
      </w:r>
      <w:r w:rsidRPr="007F4680">
        <w:t>for those who</w:t>
      </w:r>
      <w:r>
        <w:t xml:space="preserve"> completed the survey and those who did not.    </w:t>
      </w:r>
    </w:p>
    <w:p w:rsidRPr="001A59B6" w:rsidR="00862585" w:rsidP="00420FFD" w:rsidRDefault="00862585" w14:paraId="243B107B" w14:textId="0BB00EC2">
      <w:pPr>
        <w:pStyle w:val="H2"/>
        <w:rPr>
          <w:rFonts w:eastAsia="Times New Roman"/>
        </w:rPr>
      </w:pPr>
      <w:r w:rsidRPr="001A59B6">
        <w:rPr>
          <w:rFonts w:eastAsia="Times New Roman"/>
        </w:rPr>
        <w:t>B</w:t>
      </w:r>
      <w:r w:rsidR="00DA74FF">
        <w:rPr>
          <w:rFonts w:eastAsia="Times New Roman"/>
        </w:rPr>
        <w:t>.</w:t>
      </w:r>
      <w:r w:rsidRPr="001A59B6">
        <w:rPr>
          <w:rFonts w:eastAsia="Times New Roman"/>
        </w:rPr>
        <w:t xml:space="preserve">6. </w:t>
      </w:r>
      <w:r w:rsidR="00420FFD">
        <w:rPr>
          <w:rFonts w:eastAsia="Times New Roman"/>
        </w:rPr>
        <w:tab/>
      </w:r>
      <w:r w:rsidRPr="001A59B6">
        <w:rPr>
          <w:rFonts w:eastAsia="Times New Roman"/>
        </w:rPr>
        <w:t xml:space="preserve">Production of </w:t>
      </w:r>
      <w:r w:rsidR="00940FE8">
        <w:rPr>
          <w:rFonts w:eastAsia="Times New Roman"/>
        </w:rPr>
        <w:t>estimates and projections</w:t>
      </w:r>
      <w:r w:rsidRPr="001A59B6">
        <w:rPr>
          <w:rFonts w:eastAsia="Times New Roman"/>
        </w:rPr>
        <w:t xml:space="preserve"> </w:t>
      </w:r>
    </w:p>
    <w:p w:rsidRPr="001A59B6" w:rsidR="00862585" w:rsidP="00420FFD" w:rsidRDefault="00862585" w14:paraId="08F40D36" w14:textId="2931AF01">
      <w:pPr>
        <w:pStyle w:val="ParagraphContinued"/>
        <w:rPr>
          <w:rFonts w:eastAsia="Times New Roman" w:cstheme="minorHAnsi"/>
        </w:rPr>
      </w:pPr>
      <w:r>
        <w:t xml:space="preserve">The goals of this study are </w:t>
      </w:r>
      <w:r w:rsidR="00C5343B">
        <w:t xml:space="preserve">to </w:t>
      </w:r>
      <w:r>
        <w:rPr>
          <w:rFonts w:cstheme="minorHAnsi"/>
        </w:rPr>
        <w:t>examine the psychometric properties of the measure</w:t>
      </w:r>
      <w:r w:rsidR="00EC20D5">
        <w:rPr>
          <w:rFonts w:cstheme="minorHAnsi"/>
        </w:rPr>
        <w:t xml:space="preserve"> </w:t>
      </w:r>
      <w:r w:rsidR="00EC20D5">
        <w:t xml:space="preserve">to </w:t>
      </w:r>
      <w:r w:rsidR="00EC20D5">
        <w:rPr>
          <w:rFonts w:cstheme="minorHAnsi"/>
        </w:rPr>
        <w:t>develop a short-form measure of ECE leadership</w:t>
      </w:r>
      <w:r>
        <w:rPr>
          <w:rFonts w:cstheme="minorHAnsi"/>
        </w:rPr>
        <w:t xml:space="preserve"> and test the </w:t>
      </w:r>
      <w:r>
        <w:t>associations among leadership elements and outcomes depicted in the theory of change.</w:t>
      </w:r>
      <w:r>
        <w:rPr>
          <w:rFonts w:cstheme="minorHAnsi"/>
        </w:rPr>
        <w:t xml:space="preserve"> </w:t>
      </w:r>
      <w:r w:rsidRPr="0084670F">
        <w:t>The data will not be used to generate population estimates, either for internal use or dissemination.</w:t>
      </w:r>
    </w:p>
    <w:p w:rsidRPr="001A59B6" w:rsidR="00862585" w:rsidP="00420FFD" w:rsidRDefault="00862585" w14:paraId="15AB91E2" w14:textId="7C32D0C9">
      <w:pPr>
        <w:pStyle w:val="H2"/>
        <w:rPr>
          <w:rFonts w:eastAsia="Times New Roman"/>
        </w:rPr>
      </w:pPr>
      <w:r w:rsidRPr="001A59B6">
        <w:rPr>
          <w:rFonts w:eastAsia="Times New Roman"/>
        </w:rPr>
        <w:t>B</w:t>
      </w:r>
      <w:r w:rsidR="00DA74FF">
        <w:rPr>
          <w:rFonts w:eastAsia="Times New Roman"/>
        </w:rPr>
        <w:t>.</w:t>
      </w:r>
      <w:r w:rsidRPr="001A59B6">
        <w:rPr>
          <w:rFonts w:eastAsia="Times New Roman"/>
        </w:rPr>
        <w:t>7.</w:t>
      </w:r>
      <w:r w:rsidR="00420FFD">
        <w:rPr>
          <w:rFonts w:eastAsia="Times New Roman"/>
        </w:rPr>
        <w:tab/>
      </w:r>
      <w:r w:rsidRPr="001A59B6">
        <w:rPr>
          <w:rFonts w:eastAsia="Times New Roman"/>
        </w:rPr>
        <w:t xml:space="preserve">Data </w:t>
      </w:r>
      <w:r w:rsidR="00940FE8">
        <w:rPr>
          <w:rFonts w:eastAsia="Times New Roman"/>
        </w:rPr>
        <w:t>handling and analysis</w:t>
      </w:r>
    </w:p>
    <w:p w:rsidRPr="001A59B6" w:rsidR="00862585" w:rsidP="00420FFD" w:rsidRDefault="00420FFD" w14:paraId="72084698" w14:textId="399704C2">
      <w:pPr>
        <w:pStyle w:val="H3"/>
        <w:rPr>
          <w:rFonts w:eastAsia="Times New Roman"/>
        </w:rPr>
      </w:pPr>
      <w:r>
        <w:rPr>
          <w:rFonts w:eastAsia="Times New Roman"/>
        </w:rPr>
        <w:t>1.</w:t>
      </w:r>
      <w:r>
        <w:rPr>
          <w:rFonts w:eastAsia="Times New Roman"/>
        </w:rPr>
        <w:tab/>
      </w:r>
      <w:r w:rsidRPr="001A59B6" w:rsidR="00862585">
        <w:rPr>
          <w:rFonts w:eastAsia="Times New Roman"/>
        </w:rPr>
        <w:t xml:space="preserve">Data </w:t>
      </w:r>
      <w:r w:rsidR="00940FE8">
        <w:rPr>
          <w:rFonts w:eastAsia="Times New Roman"/>
        </w:rPr>
        <w:t>handling</w:t>
      </w:r>
    </w:p>
    <w:p w:rsidRPr="001C0D83" w:rsidR="00862585" w:rsidP="00DA74FF" w:rsidRDefault="00862585" w14:paraId="4289179A" w14:textId="77777777">
      <w:pPr>
        <w:pStyle w:val="ParagraphContinued"/>
        <w:rPr>
          <w:rFonts w:eastAsia="Times New Roman"/>
        </w:rPr>
      </w:pPr>
      <w:r>
        <w:t>The study team</w:t>
      </w:r>
      <w:r w:rsidRPr="006B3FEC">
        <w:t xml:space="preserve"> </w:t>
      </w:r>
      <w:r w:rsidRPr="001C0D83">
        <w:rPr>
          <w:rFonts w:eastAsia="Times New Roman"/>
        </w:rPr>
        <w:t xml:space="preserve">will test the </w:t>
      </w:r>
      <w:r>
        <w:rPr>
          <w:rFonts w:eastAsia="Times New Roman"/>
        </w:rPr>
        <w:t>web surveys</w:t>
      </w:r>
      <w:r w:rsidRPr="001C0D83">
        <w:rPr>
          <w:rFonts w:eastAsia="Times New Roman"/>
        </w:rPr>
        <w:t xml:space="preserve"> in multiple rounds before fielding to confirm that they are working correctly. This process consists of testing different paths of questions that a respondent can go through and ensuring that skips and checks are working correctly. </w:t>
      </w:r>
      <w:r>
        <w:t>The study team</w:t>
      </w:r>
      <w:r w:rsidRPr="006B3FEC">
        <w:t xml:space="preserve"> </w:t>
      </w:r>
      <w:r w:rsidRPr="001C0D83">
        <w:rPr>
          <w:rFonts w:eastAsia="Times New Roman"/>
        </w:rPr>
        <w:t>test</w:t>
      </w:r>
      <w:r>
        <w:rPr>
          <w:rFonts w:eastAsia="Times New Roman"/>
        </w:rPr>
        <w:t>s</w:t>
      </w:r>
      <w:r w:rsidRPr="001C0D83">
        <w:rPr>
          <w:rFonts w:eastAsia="Times New Roman"/>
        </w:rPr>
        <w:t xml:space="preserve"> all possible paths using a random data generator for 1,000 cases to fully test the programmed logic. </w:t>
      </w:r>
    </w:p>
    <w:p w:rsidRPr="001C0D83" w:rsidR="00862585" w:rsidP="00DA74FF" w:rsidRDefault="00862585" w14:paraId="205B3575" w14:textId="77777777">
      <w:pPr>
        <w:pStyle w:val="Paragraph"/>
        <w:rPr>
          <w:rFonts w:eastAsia="Times New Roman"/>
        </w:rPr>
      </w:pPr>
      <w:r w:rsidRPr="001C0D83">
        <w:rPr>
          <w:rFonts w:eastAsia="Times New Roman"/>
        </w:rPr>
        <w:lastRenderedPageBreak/>
        <w:t xml:space="preserve">During data collection, </w:t>
      </w:r>
      <w:r>
        <w:rPr>
          <w:rFonts w:eastAsia="Times New Roman"/>
        </w:rPr>
        <w:t xml:space="preserve">the web surveys </w:t>
      </w:r>
      <w:r w:rsidRPr="001C0D83">
        <w:rPr>
          <w:rFonts w:eastAsia="Times New Roman"/>
        </w:rPr>
        <w:t xml:space="preserve">will include checks to ensure responses are within expected ranges and questions are not left blank. The checks will flag inconsistencies for respondents in real time, prompting them to review their responses before moving forward. </w:t>
      </w:r>
      <w:r>
        <w:t>The study team</w:t>
      </w:r>
      <w:r w:rsidRPr="006B3FEC">
        <w:t xml:space="preserve"> </w:t>
      </w:r>
      <w:r w:rsidRPr="001C0D83">
        <w:rPr>
          <w:rFonts w:eastAsia="Times New Roman"/>
        </w:rPr>
        <w:t xml:space="preserve">will also program the </w:t>
      </w:r>
      <w:r>
        <w:rPr>
          <w:rFonts w:eastAsia="Times New Roman"/>
        </w:rPr>
        <w:t>surveys</w:t>
      </w:r>
      <w:r w:rsidRPr="001C0D83">
        <w:rPr>
          <w:rFonts w:eastAsia="Times New Roman"/>
        </w:rPr>
        <w:t xml:space="preserve"> to do internal consistency checks between responses and to have respondents skip questions that do not apply to them as a result of previous responses. </w:t>
      </w:r>
    </w:p>
    <w:p w:rsidRPr="001C0D83" w:rsidR="00862585" w:rsidP="00DA74FF" w:rsidRDefault="00862585" w14:paraId="661E7A0E" w14:textId="77777777">
      <w:pPr>
        <w:pStyle w:val="Paragraph"/>
        <w:rPr>
          <w:rFonts w:eastAsia="Times New Roman"/>
        </w:rPr>
      </w:pPr>
      <w:r>
        <w:rPr>
          <w:rFonts w:eastAsia="Times New Roman"/>
        </w:rPr>
        <w:t>A</w:t>
      </w:r>
      <w:r w:rsidRPr="001C0D83">
        <w:rPr>
          <w:rFonts w:eastAsia="Times New Roman"/>
        </w:rPr>
        <w:t>s another internal check</w:t>
      </w:r>
      <w:r>
        <w:rPr>
          <w:rFonts w:eastAsia="Times New Roman"/>
        </w:rPr>
        <w:t>,</w:t>
      </w:r>
      <w:r w:rsidRPr="001C0D83">
        <w:rPr>
          <w:rFonts w:eastAsia="Times New Roman"/>
        </w:rPr>
        <w:t xml:space="preserve"> Mathematica also conduct</w:t>
      </w:r>
      <w:r>
        <w:rPr>
          <w:rFonts w:eastAsia="Times New Roman"/>
        </w:rPr>
        <w:t>s</w:t>
      </w:r>
      <w:r w:rsidRPr="001C0D83">
        <w:rPr>
          <w:rFonts w:eastAsia="Times New Roman"/>
        </w:rPr>
        <w:t xml:space="preserve"> data reviews to ensure the web survey is working as intended. </w:t>
      </w:r>
      <w:r>
        <w:rPr>
          <w:rFonts w:eastAsia="Times New Roman"/>
        </w:rPr>
        <w:t>The study team</w:t>
      </w:r>
      <w:r w:rsidRPr="001C0D83">
        <w:rPr>
          <w:rFonts w:eastAsia="Times New Roman"/>
        </w:rPr>
        <w:t xml:space="preserve"> will review all center manager and teaching staff surveys completed online for missing responses, inconsistencies, and respondent break-off patterns. </w:t>
      </w:r>
      <w:r>
        <w:rPr>
          <w:rFonts w:eastAsia="Times New Roman"/>
        </w:rPr>
        <w:t>At the beginning of data collection, the study team</w:t>
      </w:r>
      <w:r w:rsidRPr="001C0D83">
        <w:rPr>
          <w:rFonts w:eastAsia="Times New Roman"/>
        </w:rPr>
        <w:t xml:space="preserve"> will conduct a preliminary data review </w:t>
      </w:r>
      <w:r>
        <w:rPr>
          <w:rFonts w:eastAsia="Times New Roman"/>
        </w:rPr>
        <w:t xml:space="preserve">by running </w:t>
      </w:r>
      <w:r w:rsidRPr="001C0D83">
        <w:rPr>
          <w:rFonts w:eastAsia="Times New Roman"/>
        </w:rPr>
        <w:t xml:space="preserve">frequencies and cross-tabulations to confirm that the web survey is working as expected and to check for inconsistencies in the data. </w:t>
      </w:r>
      <w:r>
        <w:t>The study team</w:t>
      </w:r>
      <w:r w:rsidRPr="006B3FEC">
        <w:t xml:space="preserve"> </w:t>
      </w:r>
      <w:r w:rsidRPr="001C0D83">
        <w:rPr>
          <w:rFonts w:eastAsia="Times New Roman"/>
        </w:rPr>
        <w:t xml:space="preserve">will conduct a second data review on both instruments halfway through the data collection period. </w:t>
      </w:r>
    </w:p>
    <w:p w:rsidR="00862585" w:rsidP="00DA74FF" w:rsidRDefault="00862585" w14:paraId="3A3D5FE6" w14:textId="5A0FBFBB">
      <w:pPr>
        <w:pStyle w:val="Paragraph"/>
        <w:rPr>
          <w:rFonts w:eastAsia="Times New Roman"/>
        </w:rPr>
      </w:pPr>
      <w:r>
        <w:t>The study team</w:t>
      </w:r>
      <w:r w:rsidRPr="006B3FEC">
        <w:t xml:space="preserve"> </w:t>
      </w:r>
      <w:r w:rsidRPr="001C0D83">
        <w:rPr>
          <w:rFonts w:eastAsia="Times New Roman"/>
        </w:rPr>
        <w:t xml:space="preserve">will conduct </w:t>
      </w:r>
      <w:r>
        <w:rPr>
          <w:rFonts w:eastAsia="Times New Roman"/>
        </w:rPr>
        <w:t>QA</w:t>
      </w:r>
      <w:r w:rsidRPr="001C0D83">
        <w:rPr>
          <w:rFonts w:eastAsia="Times New Roman"/>
        </w:rPr>
        <w:t xml:space="preserve"> checks on all completed paper surveys. </w:t>
      </w:r>
      <w:r>
        <w:rPr>
          <w:rFonts w:eastAsia="Times New Roman"/>
        </w:rPr>
        <w:t>Field staff will check the paper surveys while still at the center for missing data and follow-up with the respondent before leaving. The study team</w:t>
      </w:r>
      <w:r w:rsidRPr="001C0D83">
        <w:rPr>
          <w:rFonts w:eastAsia="Times New Roman"/>
        </w:rPr>
        <w:t xml:space="preserve"> will review each survey for the same checks built into </w:t>
      </w:r>
      <w:r>
        <w:rPr>
          <w:rFonts w:eastAsia="Times New Roman"/>
        </w:rPr>
        <w:t>the</w:t>
      </w:r>
      <w:r w:rsidRPr="001C0D83">
        <w:rPr>
          <w:rFonts w:eastAsia="Times New Roman"/>
        </w:rPr>
        <w:t xml:space="preserve"> web instruments. </w:t>
      </w:r>
      <w:r>
        <w:t>The team</w:t>
      </w:r>
      <w:r w:rsidRPr="006B3FEC">
        <w:t xml:space="preserve"> </w:t>
      </w:r>
      <w:r w:rsidRPr="001C0D83">
        <w:rPr>
          <w:rFonts w:eastAsia="Times New Roman"/>
        </w:rPr>
        <w:t xml:space="preserve">will determine whether any respondents </w:t>
      </w:r>
      <w:r>
        <w:rPr>
          <w:rFonts w:eastAsia="Times New Roman"/>
        </w:rPr>
        <w:t xml:space="preserve">need </w:t>
      </w:r>
      <w:r w:rsidRPr="001C0D83">
        <w:rPr>
          <w:rFonts w:eastAsia="Times New Roman"/>
        </w:rPr>
        <w:t xml:space="preserve">to </w:t>
      </w:r>
      <w:r>
        <w:rPr>
          <w:rFonts w:eastAsia="Times New Roman"/>
        </w:rPr>
        <w:t xml:space="preserve">be contacted to </w:t>
      </w:r>
      <w:r w:rsidRPr="001C0D83">
        <w:rPr>
          <w:rFonts w:eastAsia="Times New Roman"/>
        </w:rPr>
        <w:t>address any issues</w:t>
      </w:r>
      <w:r w:rsidR="005D2794">
        <w:rPr>
          <w:rFonts w:eastAsia="Times New Roman"/>
        </w:rPr>
        <w:t>.</w:t>
      </w:r>
      <w:r>
        <w:rPr>
          <w:rFonts w:eastAsia="Times New Roman"/>
        </w:rPr>
        <w:t xml:space="preserve"> </w:t>
      </w:r>
      <w:r w:rsidR="005D2794">
        <w:rPr>
          <w:rFonts w:eastAsia="Times New Roman"/>
        </w:rPr>
        <w:t xml:space="preserve">The team will </w:t>
      </w:r>
      <w:r>
        <w:rPr>
          <w:rFonts w:eastAsia="Times New Roman"/>
        </w:rPr>
        <w:t>QA</w:t>
      </w:r>
      <w:r w:rsidRPr="001C0D83">
        <w:rPr>
          <w:rFonts w:eastAsia="Times New Roman"/>
        </w:rPr>
        <w:t xml:space="preserve"> the data entry of </w:t>
      </w:r>
      <w:r w:rsidR="008737FE">
        <w:rPr>
          <w:rFonts w:eastAsia="Times New Roman"/>
        </w:rPr>
        <w:t xml:space="preserve">center manager </w:t>
      </w:r>
      <w:r w:rsidRPr="001C0D83">
        <w:rPr>
          <w:rFonts w:eastAsia="Times New Roman"/>
        </w:rPr>
        <w:t>paper surveys</w:t>
      </w:r>
      <w:r w:rsidR="005D2794">
        <w:rPr>
          <w:rFonts w:eastAsia="Times New Roman"/>
        </w:rPr>
        <w:t xml:space="preserve"> </w:t>
      </w:r>
      <w:r w:rsidRPr="001C0D83" w:rsidR="008737FE">
        <w:rPr>
          <w:rFonts w:eastAsia="Times New Roman" w:cstheme="minorHAnsi"/>
          <w:color w:val="000000"/>
        </w:rPr>
        <w:t xml:space="preserve">by reviewing the entered responses and comparing them to the paper survey for accuracy. </w:t>
      </w:r>
      <w:r w:rsidR="008737FE">
        <w:rPr>
          <w:rFonts w:eastAsia="Times New Roman" w:cstheme="minorHAnsi"/>
          <w:color w:val="000000"/>
        </w:rPr>
        <w:t xml:space="preserve">There </w:t>
      </w:r>
      <w:r w:rsidR="0069396D">
        <w:rPr>
          <w:rFonts w:eastAsia="Times New Roman" w:cstheme="minorHAnsi"/>
          <w:color w:val="000000"/>
        </w:rPr>
        <w:t>may be</w:t>
      </w:r>
      <w:r w:rsidRPr="001C0D83" w:rsidR="008737FE">
        <w:rPr>
          <w:rFonts w:eastAsia="Times New Roman" w:cstheme="minorHAnsi"/>
          <w:color w:val="000000"/>
        </w:rPr>
        <w:t xml:space="preserve"> a large volume of teaching staff surveys completed on paper. Therefore, </w:t>
      </w:r>
      <w:r w:rsidR="008737FE">
        <w:rPr>
          <w:rFonts w:eastAsia="Times New Roman" w:cstheme="minorHAnsi"/>
          <w:color w:val="000000"/>
        </w:rPr>
        <w:t>they</w:t>
      </w:r>
      <w:r w:rsidRPr="001C0D83" w:rsidR="008737FE">
        <w:rPr>
          <w:rFonts w:eastAsia="Times New Roman" w:cstheme="minorHAnsi"/>
          <w:color w:val="000000"/>
        </w:rPr>
        <w:t xml:space="preserve"> will </w:t>
      </w:r>
      <w:r w:rsidR="008737FE">
        <w:rPr>
          <w:rFonts w:eastAsia="Times New Roman" w:cstheme="minorHAnsi"/>
          <w:color w:val="000000"/>
        </w:rPr>
        <w:t xml:space="preserve">be </w:t>
      </w:r>
      <w:r w:rsidRPr="001C0D83" w:rsidR="008737FE">
        <w:rPr>
          <w:rFonts w:eastAsia="Times New Roman" w:cstheme="minorHAnsi"/>
          <w:color w:val="000000"/>
        </w:rPr>
        <w:t>enter</w:t>
      </w:r>
      <w:r w:rsidR="008737FE">
        <w:rPr>
          <w:rFonts w:eastAsia="Times New Roman" w:cstheme="minorHAnsi"/>
          <w:color w:val="000000"/>
        </w:rPr>
        <w:t>ed</w:t>
      </w:r>
      <w:r w:rsidRPr="001C0D83" w:rsidR="008737FE">
        <w:rPr>
          <w:rFonts w:eastAsia="Times New Roman" w:cstheme="minorHAnsi"/>
          <w:color w:val="000000"/>
        </w:rPr>
        <w:t xml:space="preserve"> into a data entry program that allows for double-data entry of all surveys to validate data entry in real time</w:t>
      </w:r>
      <w:r w:rsidRPr="001C0D83">
        <w:rPr>
          <w:rFonts w:eastAsia="Times New Roman"/>
        </w:rPr>
        <w:t xml:space="preserve">. </w:t>
      </w:r>
    </w:p>
    <w:p w:rsidRPr="001C4653" w:rsidR="00862585" w:rsidP="00DA74FF" w:rsidRDefault="00DA74FF" w14:paraId="5F94DB36" w14:textId="4DB65906">
      <w:pPr>
        <w:pStyle w:val="H3"/>
        <w:rPr>
          <w:rFonts w:eastAsia="Times New Roman"/>
        </w:rPr>
      </w:pPr>
      <w:r>
        <w:rPr>
          <w:rFonts w:eastAsia="Times New Roman"/>
        </w:rPr>
        <w:t>2.</w:t>
      </w:r>
      <w:r>
        <w:rPr>
          <w:rFonts w:eastAsia="Times New Roman"/>
        </w:rPr>
        <w:tab/>
      </w:r>
      <w:r w:rsidRPr="001A59B6" w:rsidR="00862585">
        <w:rPr>
          <w:rFonts w:eastAsia="Times New Roman"/>
        </w:rPr>
        <w:t xml:space="preserve">Data </w:t>
      </w:r>
      <w:r w:rsidR="00940FE8">
        <w:rPr>
          <w:rFonts w:eastAsia="Times New Roman"/>
        </w:rPr>
        <w:t>analysis</w:t>
      </w:r>
    </w:p>
    <w:p w:rsidRPr="004F4D99" w:rsidR="00862585" w:rsidP="00DA74FF" w:rsidRDefault="00862585" w14:paraId="6CAA8C98" w14:textId="77777777">
      <w:pPr>
        <w:pStyle w:val="ParagraphContinued"/>
      </w:pPr>
      <w:r w:rsidRPr="004F4D99">
        <w:t xml:space="preserve">The instruments included in this OMB package will yield data </w:t>
      </w:r>
      <w:r>
        <w:t>to be analyzed using</w:t>
      </w:r>
      <w:r w:rsidRPr="004F4D99">
        <w:t xml:space="preserve"> quantitative methods. </w:t>
      </w:r>
      <w:r>
        <w:t xml:space="preserve">The analyses fall into four major areas, </w:t>
      </w:r>
      <w:r w:rsidRPr="004F4D99">
        <w:t>link</w:t>
      </w:r>
      <w:r>
        <w:t>ed</w:t>
      </w:r>
      <w:r w:rsidRPr="004F4D99">
        <w:t xml:space="preserve"> </w:t>
      </w:r>
      <w:r>
        <w:t xml:space="preserve">to </w:t>
      </w:r>
      <w:r w:rsidRPr="004F4D99">
        <w:t>the</w:t>
      </w:r>
      <w:r>
        <w:t xml:space="preserve"> study’s</w:t>
      </w:r>
      <w:r w:rsidRPr="004F4D99">
        <w:t xml:space="preserve"> research questions </w:t>
      </w:r>
      <w:r>
        <w:t xml:space="preserve">(see Supporting Statement A, Section A.2), as follows: </w:t>
      </w:r>
    </w:p>
    <w:p w:rsidRPr="00914DA6" w:rsidR="00862585" w:rsidP="00140412" w:rsidRDefault="00862585" w14:paraId="65E08539" w14:textId="6A179F59">
      <w:pPr>
        <w:pStyle w:val="ListAlpha2"/>
      </w:pPr>
      <w:r w:rsidRPr="00140412">
        <w:rPr>
          <w:rStyle w:val="Underline"/>
          <w:b/>
          <w:bCs/>
          <w:u w:val="none"/>
        </w:rPr>
        <w:t>Investigate the psychometric properties (including reliability and validity) of the leadership measure and develop a short-form measure of ECE leadership.</w:t>
      </w:r>
      <w:r w:rsidRPr="00140412">
        <w:rPr>
          <w:b/>
          <w:bCs/>
        </w:rPr>
        <w:t xml:space="preserve"> </w:t>
      </w:r>
      <w:r>
        <w:t xml:space="preserve">The analyses will </w:t>
      </w:r>
      <w:r w:rsidRPr="00DB3F95">
        <w:t xml:space="preserve">draw on classical test theory, </w:t>
      </w:r>
      <w:r>
        <w:t>item response theory (</w:t>
      </w:r>
      <w:proofErr w:type="spellStart"/>
      <w:r w:rsidRPr="00DB3F95">
        <w:t>IRT</w:t>
      </w:r>
      <w:proofErr w:type="spellEnd"/>
      <w:r>
        <w:t>)</w:t>
      </w:r>
      <w:r w:rsidRPr="00DB3F95">
        <w:t>, and generalizability theory</w:t>
      </w:r>
      <w:r>
        <w:t xml:space="preserve">. The analytic approaches include </w:t>
      </w:r>
      <w:r>
        <w:rPr>
          <w:rFonts w:cstheme="majorHAnsi"/>
          <w:szCs w:val="18"/>
        </w:rPr>
        <w:t>c</w:t>
      </w:r>
      <w:r w:rsidRPr="00F00201">
        <w:rPr>
          <w:rFonts w:cstheme="majorHAnsi"/>
          <w:szCs w:val="18"/>
        </w:rPr>
        <w:t>onfirmatory factor analysis, Rasch model</w:t>
      </w:r>
      <w:r>
        <w:rPr>
          <w:rFonts w:cstheme="majorHAnsi"/>
          <w:szCs w:val="18"/>
        </w:rPr>
        <w:t xml:space="preserve">ing, </w:t>
      </w:r>
      <w:r w:rsidRPr="00F00201">
        <w:rPr>
          <w:rFonts w:cstheme="majorHAnsi"/>
          <w:szCs w:val="18"/>
        </w:rPr>
        <w:t>differential item functioning (</w:t>
      </w:r>
      <w:proofErr w:type="spellStart"/>
      <w:r w:rsidRPr="00F00201">
        <w:rPr>
          <w:rFonts w:cstheme="majorHAnsi"/>
          <w:szCs w:val="18"/>
        </w:rPr>
        <w:t>DIF</w:t>
      </w:r>
      <w:proofErr w:type="spellEnd"/>
      <w:r w:rsidRPr="00F00201">
        <w:rPr>
          <w:rFonts w:cstheme="majorHAnsi"/>
          <w:szCs w:val="18"/>
        </w:rPr>
        <w:t>) analysis</w:t>
      </w:r>
      <w:r>
        <w:rPr>
          <w:rFonts w:cstheme="majorHAnsi"/>
          <w:szCs w:val="18"/>
        </w:rPr>
        <w:t xml:space="preserve">, </w:t>
      </w:r>
      <w:r w:rsidRPr="00F00201">
        <w:rPr>
          <w:rFonts w:cstheme="majorHAnsi"/>
          <w:szCs w:val="18"/>
        </w:rPr>
        <w:t>Cronbach</w:t>
      </w:r>
      <w:r w:rsidR="00EC20D5">
        <w:rPr>
          <w:rFonts w:cstheme="majorHAnsi"/>
          <w:szCs w:val="18"/>
        </w:rPr>
        <w:t>’s</w:t>
      </w:r>
      <w:r w:rsidRPr="00F00201">
        <w:rPr>
          <w:rFonts w:cstheme="majorHAnsi"/>
          <w:szCs w:val="18"/>
        </w:rPr>
        <w:t xml:space="preserve"> alpha, item-</w:t>
      </w:r>
      <w:r>
        <w:rPr>
          <w:rFonts w:cstheme="majorHAnsi"/>
          <w:szCs w:val="18"/>
        </w:rPr>
        <w:t>to-</w:t>
      </w:r>
      <w:r w:rsidRPr="00F00201">
        <w:rPr>
          <w:rFonts w:cstheme="majorHAnsi"/>
          <w:szCs w:val="18"/>
        </w:rPr>
        <w:t>total correlations</w:t>
      </w:r>
      <w:r>
        <w:rPr>
          <w:rFonts w:cstheme="majorHAnsi"/>
          <w:szCs w:val="18"/>
        </w:rPr>
        <w:t>, and g</w:t>
      </w:r>
      <w:r w:rsidRPr="00F00201">
        <w:rPr>
          <w:rFonts w:cstheme="majorHAnsi"/>
          <w:szCs w:val="18"/>
        </w:rPr>
        <w:t>eneralizability theory analysis</w:t>
      </w:r>
      <w:r>
        <w:rPr>
          <w:rFonts w:cstheme="majorHAnsi"/>
          <w:szCs w:val="18"/>
        </w:rPr>
        <w:t xml:space="preserve">. Together, these approaches will identify the strongest items for the leadership measure and how items from the leadership elements (that is, who informal and formal leaders are, what they bring, and what they do) may form different types of scores. </w:t>
      </w:r>
      <w:r>
        <w:rPr>
          <w:rFonts w:cstheme="minorHAnsi"/>
        </w:rPr>
        <w:t>The study team</w:t>
      </w:r>
      <w:r w:rsidRPr="006B3FEC">
        <w:rPr>
          <w:rFonts w:cstheme="minorHAnsi"/>
        </w:rPr>
        <w:t xml:space="preserve"> </w:t>
      </w:r>
      <w:r>
        <w:rPr>
          <w:rFonts w:cstheme="majorHAnsi"/>
          <w:szCs w:val="18"/>
        </w:rPr>
        <w:t>will also estimate bivariate correlations</w:t>
      </w:r>
      <w:r w:rsidR="00EC20D5">
        <w:rPr>
          <w:rFonts w:cstheme="majorHAnsi"/>
          <w:szCs w:val="18"/>
        </w:rPr>
        <w:t xml:space="preserve"> with </w:t>
      </w:r>
      <w:r w:rsidR="00543CF5">
        <w:t xml:space="preserve">center culture, climate, and communication </w:t>
      </w:r>
      <w:r w:rsidRPr="00EE7566" w:rsidR="00F17148">
        <w:rPr>
          <w:rFonts w:cstheme="minorHAnsi"/>
        </w:rPr>
        <w:t xml:space="preserve">(such as </w:t>
      </w:r>
      <w:r w:rsidRPr="00EE7566" w:rsidR="00F17148">
        <w:rPr>
          <w:rFonts w:cstheme="minorHAnsi"/>
          <w:szCs w:val="18"/>
        </w:rPr>
        <w:t>culture of respect, shared growth, and learning; collaboration among staff</w:t>
      </w:r>
      <w:r w:rsidRPr="00EE7566" w:rsidR="00F17148">
        <w:rPr>
          <w:rFonts w:cstheme="minorHAnsi"/>
        </w:rPr>
        <w:t>)</w:t>
      </w:r>
      <w:r w:rsidR="00F17148">
        <w:rPr>
          <w:rFonts w:cstheme="minorHAnsi"/>
        </w:rPr>
        <w:t xml:space="preserve"> </w:t>
      </w:r>
      <w:r>
        <w:rPr>
          <w:rFonts w:cstheme="majorHAnsi"/>
          <w:szCs w:val="18"/>
        </w:rPr>
        <w:t xml:space="preserve">to examine the concurrent validity for the measure.  </w:t>
      </w:r>
    </w:p>
    <w:p w:rsidRPr="00914DA6" w:rsidR="00862585" w:rsidP="00140412" w:rsidRDefault="00862585" w14:paraId="7163CC06" w14:textId="77777777">
      <w:pPr>
        <w:pStyle w:val="ListAlpha2"/>
      </w:pPr>
      <w:r w:rsidRPr="00140412">
        <w:rPr>
          <w:rStyle w:val="Underline"/>
          <w:b/>
          <w:bCs/>
          <w:u w:val="none"/>
        </w:rPr>
        <w:t>Describe the leadership scores for the overall sample and by subgroups.</w:t>
      </w:r>
      <w:r w:rsidRPr="00140412">
        <w:rPr>
          <w:b/>
          <w:bCs/>
        </w:rPr>
        <w:t xml:space="preserve"> </w:t>
      </w:r>
      <w:r w:rsidRPr="00815016">
        <w:t xml:space="preserve">For </w:t>
      </w:r>
      <w:r>
        <w:t>the new leadership</w:t>
      </w:r>
      <w:r w:rsidRPr="00815016">
        <w:t xml:space="preserve"> measure, </w:t>
      </w:r>
      <w:r w:rsidRPr="00925871">
        <w:t xml:space="preserve">one conceptualization of the scores </w:t>
      </w:r>
      <w:r>
        <w:t>the study team may</w:t>
      </w:r>
      <w:r w:rsidRPr="00925871">
        <w:t xml:space="preserve"> create would include </w:t>
      </w:r>
      <w:r>
        <w:t xml:space="preserve">a total score for leadership, three element scores, and potential </w:t>
      </w:r>
      <w:r w:rsidRPr="00925871">
        <w:t>subscale scores for what leaders do</w:t>
      </w:r>
      <w:r>
        <w:t>. Analyses will include</w:t>
      </w:r>
      <w:r>
        <w:rPr>
          <w:rFonts w:cstheme="majorHAnsi"/>
          <w:szCs w:val="18"/>
        </w:rPr>
        <w:t xml:space="preserve"> d</w:t>
      </w:r>
      <w:r w:rsidRPr="00F00201">
        <w:rPr>
          <w:rFonts w:cstheme="majorHAnsi"/>
          <w:szCs w:val="18"/>
        </w:rPr>
        <w:t>escriptive statistics (means and standard deviations, percentages)</w:t>
      </w:r>
      <w:r>
        <w:rPr>
          <w:rFonts w:cstheme="majorHAnsi"/>
          <w:szCs w:val="18"/>
        </w:rPr>
        <w:t xml:space="preserve"> for the overall sample on these scores</w:t>
      </w:r>
      <w:r w:rsidRPr="00895FBA">
        <w:rPr>
          <w:rFonts w:eastAsia="Calibri" w:cstheme="minorHAnsi"/>
        </w:rPr>
        <w:t>.</w:t>
      </w:r>
      <w:r>
        <w:rPr>
          <w:rFonts w:eastAsia="Calibri" w:cstheme="minorHAnsi"/>
        </w:rPr>
        <w:t xml:space="preserve"> In addition, </w:t>
      </w:r>
      <w:r>
        <w:rPr>
          <w:rFonts w:cstheme="minorHAnsi"/>
        </w:rPr>
        <w:t>the study team</w:t>
      </w:r>
      <w:r w:rsidRPr="006B3FEC">
        <w:rPr>
          <w:rFonts w:cstheme="minorHAnsi"/>
        </w:rPr>
        <w:t xml:space="preserve"> </w:t>
      </w:r>
      <w:r w:rsidRPr="00895FBA">
        <w:t xml:space="preserve">will examine the variation of leadership scores </w:t>
      </w:r>
      <w:bookmarkStart w:name="_Hlk62731086" w:id="7"/>
      <w:r w:rsidRPr="00895FBA">
        <w:t xml:space="preserve">by staff characteristics and roles </w:t>
      </w:r>
      <w:r>
        <w:t xml:space="preserve">(for example, </w:t>
      </w:r>
      <w:r w:rsidRPr="00895FBA">
        <w:t>lead</w:t>
      </w:r>
      <w:r>
        <w:t xml:space="preserve">, </w:t>
      </w:r>
      <w:r w:rsidRPr="00895FBA">
        <w:t>head</w:t>
      </w:r>
      <w:r>
        <w:t xml:space="preserve">, and </w:t>
      </w:r>
      <w:r w:rsidRPr="00895FBA">
        <w:t>co-teachers versus assistant teachers</w:t>
      </w:r>
      <w:r>
        <w:t>;</w:t>
      </w:r>
      <w:r w:rsidRPr="00895FBA">
        <w:t xml:space="preserve"> infant</w:t>
      </w:r>
      <w:r>
        <w:t xml:space="preserve"> and </w:t>
      </w:r>
      <w:r w:rsidRPr="00895FBA">
        <w:t>toddler teach</w:t>
      </w:r>
      <w:r>
        <w:t>ing staff</w:t>
      </w:r>
      <w:r w:rsidRPr="00895FBA">
        <w:t xml:space="preserve"> versus preschool teach</w:t>
      </w:r>
      <w:r>
        <w:t xml:space="preserve">ing staff) </w:t>
      </w:r>
      <w:r w:rsidRPr="00895FBA">
        <w:t xml:space="preserve">and </w:t>
      </w:r>
      <w:r w:rsidRPr="00895FBA">
        <w:lastRenderedPageBreak/>
        <w:t xml:space="preserve">center characteristics </w:t>
      </w:r>
      <w:bookmarkEnd w:id="7"/>
      <w:r>
        <w:t xml:space="preserve">(for example, funding sources, </w:t>
      </w:r>
      <w:r w:rsidRPr="00895FBA">
        <w:rPr>
          <w:rFonts w:cstheme="minorHAnsi"/>
        </w:rPr>
        <w:t>center size</w:t>
      </w:r>
      <w:r>
        <w:rPr>
          <w:rFonts w:cstheme="minorHAnsi"/>
        </w:rPr>
        <w:t>,</w:t>
      </w:r>
      <w:r w:rsidRPr="00895FBA">
        <w:rPr>
          <w:rFonts w:cstheme="minorHAnsi"/>
        </w:rPr>
        <w:t xml:space="preserve"> whether embedded in a larger organization or part of a chain or not</w:t>
      </w:r>
      <w:r>
        <w:t>)</w:t>
      </w:r>
      <w:r w:rsidRPr="00895FBA">
        <w:t>.</w:t>
      </w:r>
    </w:p>
    <w:p w:rsidRPr="00914DA6" w:rsidR="00862585" w:rsidP="00140412" w:rsidRDefault="00862585" w14:paraId="1C96E6BC" w14:textId="77777777">
      <w:pPr>
        <w:pStyle w:val="ListAlpha2"/>
      </w:pPr>
      <w:r w:rsidRPr="00140412">
        <w:rPr>
          <w:rStyle w:val="Underline"/>
          <w:b/>
          <w:bCs/>
          <w:u w:val="none"/>
        </w:rPr>
        <w:t>Describe formal leadership roles and the structure of formal leadership within the center.</w:t>
      </w:r>
      <w:r w:rsidRPr="00140412">
        <w:rPr>
          <w:b/>
          <w:bCs/>
        </w:rPr>
        <w:t xml:space="preserve"> </w:t>
      </w:r>
      <w:r>
        <w:rPr>
          <w:rFonts w:cstheme="minorHAnsi"/>
        </w:rPr>
        <w:t>The study team</w:t>
      </w:r>
      <w:r w:rsidRPr="006B3FEC">
        <w:rPr>
          <w:rFonts w:cstheme="minorHAnsi"/>
        </w:rPr>
        <w:t xml:space="preserve"> </w:t>
      </w:r>
      <w:r w:rsidRPr="00DB3F95">
        <w:t>will calculate descriptive statistics on</w:t>
      </w:r>
      <w:r>
        <w:t xml:space="preserve"> staff formal leadership roles across different management, oversight, and supervisory responsibilities. </w:t>
      </w:r>
      <w:r>
        <w:rPr>
          <w:rFonts w:cstheme="minorHAnsi"/>
        </w:rPr>
        <w:t>The study team</w:t>
      </w:r>
      <w:r w:rsidRPr="006B3FEC">
        <w:rPr>
          <w:rFonts w:cstheme="minorHAnsi"/>
        </w:rPr>
        <w:t xml:space="preserve"> </w:t>
      </w:r>
      <w:r>
        <w:t xml:space="preserve">will also </w:t>
      </w:r>
      <w:r w:rsidRPr="00DB3F95">
        <w:t xml:space="preserve">conduct cluster analysis to develop a preliminary typology of </w:t>
      </w:r>
      <w:r>
        <w:t xml:space="preserve">formal </w:t>
      </w:r>
      <w:r w:rsidRPr="00DB3F95">
        <w:t>leadership structures</w:t>
      </w:r>
      <w:r>
        <w:t xml:space="preserve"> (for example, if responsibilities are dispersed versus clustered across different staff). </w:t>
      </w:r>
    </w:p>
    <w:p w:rsidR="00862585" w:rsidP="00140412" w:rsidRDefault="00862585" w14:paraId="641E8B25" w14:textId="101737D7">
      <w:pPr>
        <w:pStyle w:val="ListAlpha2"/>
      </w:pPr>
      <w:bookmarkStart w:name="_Hlk73431545" w:id="8"/>
      <w:r w:rsidRPr="00140412">
        <w:rPr>
          <w:rStyle w:val="Underline"/>
          <w:b/>
          <w:bCs/>
          <w:u w:val="none"/>
        </w:rPr>
        <w:t>Test the hypothesized associations in the theory of change</w:t>
      </w:r>
      <w:r w:rsidRPr="00140412">
        <w:rPr>
          <w:b/>
          <w:bCs/>
        </w:rPr>
        <w:t xml:space="preserve">. </w:t>
      </w:r>
      <w:r>
        <w:rPr>
          <w:rFonts w:cstheme="minorHAnsi"/>
        </w:rPr>
        <w:t>The study team</w:t>
      </w:r>
      <w:r w:rsidRPr="006B3FEC">
        <w:rPr>
          <w:rFonts w:cstheme="minorHAnsi"/>
        </w:rPr>
        <w:t xml:space="preserve"> </w:t>
      </w:r>
      <w:r w:rsidRPr="0029662B">
        <w:t>will use multivariate ordinary least squares (OLS) regressions or hierarchical linear models (</w:t>
      </w:r>
      <w:proofErr w:type="spellStart"/>
      <w:r w:rsidRPr="0029662B">
        <w:t>HLMs</w:t>
      </w:r>
      <w:proofErr w:type="spellEnd"/>
      <w:r w:rsidRPr="0029662B">
        <w:t>)</w:t>
      </w:r>
      <w:r>
        <w:t xml:space="preserve"> to examine </w:t>
      </w:r>
      <w:r w:rsidRPr="0029662B">
        <w:t xml:space="preserve">how leadership </w:t>
      </w:r>
      <w:r>
        <w:t>scores</w:t>
      </w:r>
      <w:r w:rsidRPr="0029662B">
        <w:t xml:space="preserve"> are associated with</w:t>
      </w:r>
      <w:r>
        <w:t xml:space="preserve"> staff and</w:t>
      </w:r>
      <w:r w:rsidRPr="0029662B">
        <w:t xml:space="preserve"> center characteristics or context and </w:t>
      </w:r>
      <w:bookmarkStart w:name="_Hlk73431222" w:id="9"/>
      <w:bookmarkEnd w:id="8"/>
      <w:r w:rsidRPr="0029662B">
        <w:t xml:space="preserve">how center-level leadership </w:t>
      </w:r>
      <w:r>
        <w:t>score</w:t>
      </w:r>
      <w:r w:rsidRPr="0029662B">
        <w:t xml:space="preserve">s are associated with </w:t>
      </w:r>
      <w:r w:rsidR="00E13C90">
        <w:t>center culture, climate, and communication</w:t>
      </w:r>
      <w:r w:rsidDel="00E13C90" w:rsidR="00E13C90">
        <w:t xml:space="preserve"> </w:t>
      </w:r>
      <w:r>
        <w:t>and center- and staff-level</w:t>
      </w:r>
      <w:r w:rsidRPr="0029662B">
        <w:t xml:space="preserve"> outcomes</w:t>
      </w:r>
      <w:r>
        <w:t xml:space="preserve"> (such as teaching staff turnover and job satisfaction). </w:t>
      </w:r>
      <w:bookmarkStart w:name="_Hlk73431575" w:id="10"/>
      <w:bookmarkEnd w:id="9"/>
      <w:r>
        <w:t xml:space="preserve">In addition, </w:t>
      </w:r>
      <w:r>
        <w:rPr>
          <w:rFonts w:cstheme="minorHAnsi"/>
        </w:rPr>
        <w:t>the study team</w:t>
      </w:r>
      <w:r w:rsidRPr="006B3FEC">
        <w:rPr>
          <w:rFonts w:cstheme="minorHAnsi"/>
        </w:rPr>
        <w:t xml:space="preserve"> </w:t>
      </w:r>
      <w:r>
        <w:t xml:space="preserve">will test whether </w:t>
      </w:r>
      <w:r w:rsidR="00E13C90">
        <w:t>center culture, climate, and communication</w:t>
      </w:r>
      <w:r w:rsidRPr="00B91040" w:rsidDel="00E13C90" w:rsidR="00E13C90">
        <w:t xml:space="preserve"> </w:t>
      </w:r>
      <w:r w:rsidRPr="00B91040">
        <w:t>mediate</w:t>
      </w:r>
      <w:r>
        <w:t>s</w:t>
      </w:r>
      <w:r w:rsidRPr="00B91040">
        <w:t xml:space="preserve"> the </w:t>
      </w:r>
      <w:r>
        <w:t xml:space="preserve">association between </w:t>
      </w:r>
      <w:r w:rsidRPr="00B91040">
        <w:t xml:space="preserve">leadership </w:t>
      </w:r>
      <w:r>
        <w:t xml:space="preserve">scores and </w:t>
      </w:r>
      <w:r w:rsidRPr="00B91040">
        <w:t xml:space="preserve">staff </w:t>
      </w:r>
      <w:r>
        <w:t xml:space="preserve">and center </w:t>
      </w:r>
      <w:r w:rsidRPr="00B91040">
        <w:t>outcomes</w:t>
      </w:r>
      <w:r>
        <w:t>.</w:t>
      </w:r>
      <w:r w:rsidRPr="380C9F18">
        <w:rPr>
          <w:color w:val="000000" w:themeColor="text1"/>
        </w:rPr>
        <w:t xml:space="preserve"> Like most survey studies, </w:t>
      </w:r>
      <w:r>
        <w:t>the descriptive study may</w:t>
      </w:r>
      <w:r w:rsidRPr="380C9F18">
        <w:rPr>
          <w:color w:val="000000" w:themeColor="text1"/>
        </w:rPr>
        <w:t xml:space="preserve"> experience missing data</w:t>
      </w:r>
      <w:r>
        <w:rPr>
          <w:color w:val="000000" w:themeColor="text1"/>
        </w:rPr>
        <w:t xml:space="preserve">. </w:t>
      </w:r>
      <w:r w:rsidRPr="380C9F18">
        <w:rPr>
          <w:color w:val="000000" w:themeColor="text1"/>
        </w:rPr>
        <w:t>To address the issues of potential bias</w:t>
      </w:r>
      <w:r>
        <w:t xml:space="preserve">, </w:t>
      </w:r>
      <w:r>
        <w:rPr>
          <w:color w:val="000000" w:themeColor="text1"/>
        </w:rPr>
        <w:t>the study team</w:t>
      </w:r>
      <w:r>
        <w:t xml:space="preserve"> will use multiple imputation for missing data to maximize the number of individuals included in the analysis.</w:t>
      </w:r>
      <w:bookmarkEnd w:id="10"/>
    </w:p>
    <w:p w:rsidRPr="00914DA6" w:rsidR="008A7C96" w:rsidP="008A7C96" w:rsidRDefault="008A7C96" w14:paraId="633A30E4" w14:textId="778F0141">
      <w:pPr>
        <w:pStyle w:val="ListAlpha2"/>
        <w:numPr>
          <w:ilvl w:val="0"/>
          <w:numId w:val="0"/>
        </w:numPr>
      </w:pPr>
      <w:bookmarkStart w:name="_Hlk76556878" w:id="11"/>
      <w:r>
        <w:t xml:space="preserve">In addition to the analysis to answer the study’s research questions, the study team will also analyze the results from the experiment on the approaches to delivering the token of appreciation for survey completion. The team will calculate </w:t>
      </w:r>
      <w:r w:rsidRPr="008A7C96">
        <w:t xml:space="preserve">differences in response rates, at the center-level and by respondent type (such as lead and assistant teachers), between the two experimental groups. They will also examine differences in the timing of survey completion between respondents in centers in each of the two experimental groups and assess the costs associated with each approach. The study team will prepare a memorandum </w:t>
      </w:r>
      <w:r w:rsidR="00B42955">
        <w:t xml:space="preserve">that </w:t>
      </w:r>
      <w:r w:rsidR="00055134">
        <w:t xml:space="preserve">will </w:t>
      </w:r>
      <w:r w:rsidR="00B42955">
        <w:t xml:space="preserve">be shared with OMB </w:t>
      </w:r>
      <w:r w:rsidRPr="008A7C96">
        <w:t>that presents the results</w:t>
      </w:r>
      <w:r>
        <w:t>.</w:t>
      </w:r>
    </w:p>
    <w:bookmarkEnd w:id="11"/>
    <w:p w:rsidRPr="001A59B6" w:rsidR="00862585" w:rsidP="00140412" w:rsidRDefault="00140412" w14:paraId="02CCE3E9" w14:textId="7B467378">
      <w:pPr>
        <w:pStyle w:val="H3"/>
        <w:rPr>
          <w:rFonts w:eastAsia="Times New Roman"/>
        </w:rPr>
      </w:pPr>
      <w:r>
        <w:rPr>
          <w:rFonts w:eastAsia="Times New Roman"/>
        </w:rPr>
        <w:t>3.</w:t>
      </w:r>
      <w:r>
        <w:rPr>
          <w:rFonts w:eastAsia="Times New Roman"/>
        </w:rPr>
        <w:tab/>
      </w:r>
      <w:r w:rsidRPr="001A59B6" w:rsidR="00862585">
        <w:rPr>
          <w:rFonts w:eastAsia="Times New Roman"/>
        </w:rPr>
        <w:t xml:space="preserve">Data </w:t>
      </w:r>
      <w:r w:rsidR="00420FFD">
        <w:rPr>
          <w:rFonts w:eastAsia="Times New Roman"/>
        </w:rPr>
        <w:t>use</w:t>
      </w:r>
    </w:p>
    <w:p w:rsidR="006D468E" w:rsidP="006D468E" w:rsidRDefault="006D468E" w14:paraId="4D3A8D02" w14:textId="77777777">
      <w:pPr>
        <w:pStyle w:val="ParagraphContinued"/>
      </w:pPr>
      <w:r>
        <w:t>Mathematica will prepare the following products based on the analysis of the data from the descriptive study:</w:t>
      </w:r>
    </w:p>
    <w:p w:rsidR="006D468E" w:rsidP="006D468E" w:rsidRDefault="006D468E" w14:paraId="5A405EF7" w14:textId="77777777">
      <w:pPr>
        <w:pStyle w:val="ListBullet"/>
      </w:pPr>
      <w:r>
        <w:t>A comprehensive report to present the analysis and implications from the descriptive study</w:t>
      </w:r>
    </w:p>
    <w:p w:rsidR="006D468E" w:rsidP="006D468E" w:rsidRDefault="006D468E" w14:paraId="72881061" w14:textId="77777777">
      <w:pPr>
        <w:pStyle w:val="ListBullet"/>
      </w:pPr>
      <w:r>
        <w:t>Briefs using data collected during the descriptive study, highlighting the relevant findings from the study, and conveying specific uses of the new measure for different audiences</w:t>
      </w:r>
    </w:p>
    <w:p w:rsidR="006D468E" w:rsidP="006D468E" w:rsidRDefault="006D468E" w14:paraId="68E95398" w14:textId="77777777">
      <w:pPr>
        <w:pStyle w:val="ListBullet"/>
      </w:pPr>
      <w:r>
        <w:t>A restricted-use file and documentation that will be available for secondary analysis</w:t>
      </w:r>
    </w:p>
    <w:p w:rsidRPr="00A807EF" w:rsidR="006D468E" w:rsidP="006D468E" w:rsidRDefault="006D468E" w14:paraId="5A38DFE2" w14:textId="77777777">
      <w:pPr>
        <w:pStyle w:val="ListBullet"/>
      </w:pPr>
      <w:r>
        <w:t>A short-form measure of ECE leadership</w:t>
      </w:r>
    </w:p>
    <w:p w:rsidRPr="001A59B6" w:rsidR="00862585" w:rsidP="00140412" w:rsidRDefault="00862585" w14:paraId="0950107A" w14:textId="77777777">
      <w:pPr>
        <w:pStyle w:val="ParagraphContinued"/>
        <w:rPr>
          <w:rFonts w:eastAsia="Times New Roman"/>
        </w:rPr>
      </w:pPr>
      <w:r>
        <w:t>The study team</w:t>
      </w:r>
      <w:r w:rsidRPr="006B3FEC">
        <w:t xml:space="preserve"> </w:t>
      </w:r>
      <w:r>
        <w:t>plans to archive a restricted-use data file at the Child and Family Data Archive for secondary analysis. It will be accompanied by a data user’s manual to inform and assist researchers who might be interested in using the data for future analyses. The manual will include (1) background information about the study, its design, and the leadership measure; (2) an overview of the data collection procedures and instruments; (3) data preparation and the structure of the data files; and (4) descriptions of scores and composite variables.</w:t>
      </w:r>
    </w:p>
    <w:p w:rsidRPr="001A59B6" w:rsidR="00862585" w:rsidP="00140412" w:rsidRDefault="00862585" w14:paraId="5F94DFF4" w14:textId="58C8BED3">
      <w:pPr>
        <w:pStyle w:val="H2"/>
        <w:rPr>
          <w:rFonts w:eastAsia="Times New Roman"/>
        </w:rPr>
      </w:pPr>
      <w:r w:rsidRPr="001A59B6">
        <w:rPr>
          <w:rFonts w:eastAsia="Times New Roman"/>
        </w:rPr>
        <w:lastRenderedPageBreak/>
        <w:t>B</w:t>
      </w:r>
      <w:r w:rsidR="00140412">
        <w:rPr>
          <w:rFonts w:eastAsia="Times New Roman"/>
        </w:rPr>
        <w:t>.</w:t>
      </w:r>
      <w:r w:rsidRPr="001A59B6">
        <w:rPr>
          <w:rFonts w:eastAsia="Times New Roman"/>
        </w:rPr>
        <w:t xml:space="preserve">8.  Contact </w:t>
      </w:r>
      <w:r w:rsidR="00420FFD">
        <w:rPr>
          <w:rFonts w:eastAsia="Times New Roman"/>
        </w:rPr>
        <w:t>person</w:t>
      </w:r>
      <w:r w:rsidRPr="001A59B6">
        <w:rPr>
          <w:rFonts w:eastAsia="Times New Roman"/>
        </w:rPr>
        <w:t xml:space="preserve">(s)  </w:t>
      </w:r>
    </w:p>
    <w:p w:rsidR="00862585" w:rsidP="00140412" w:rsidRDefault="00862585" w14:paraId="6D6076FC" w14:textId="77777777">
      <w:pPr>
        <w:pStyle w:val="ParagraphContinued"/>
        <w:rPr>
          <w:rFonts w:eastAsia="Times New Roman"/>
        </w:rPr>
      </w:pPr>
      <w:r>
        <w:rPr>
          <w:rFonts w:eastAsia="Times New Roman"/>
        </w:rPr>
        <w:t xml:space="preserve">Mathematica will lead the data collection activities described in this </w:t>
      </w:r>
      <w:proofErr w:type="spellStart"/>
      <w:r>
        <w:rPr>
          <w:rFonts w:eastAsia="Times New Roman"/>
        </w:rPr>
        <w:t>ICR</w:t>
      </w:r>
      <w:proofErr w:type="spellEnd"/>
      <w:r>
        <w:rPr>
          <w:rFonts w:eastAsia="Times New Roman"/>
        </w:rPr>
        <w:t xml:space="preserve">. Table B.6 lists the individuals responsible for the data collection activities and statistical aspects of the survey and study design. </w:t>
      </w:r>
    </w:p>
    <w:p w:rsidR="00F53A20" w:rsidP="00B12207" w:rsidRDefault="00F53A20" w14:paraId="68404231" w14:textId="77777777">
      <w:pPr>
        <w:pStyle w:val="TitleRule"/>
      </w:pPr>
      <w:r w:rsidRPr="00465BF8">
        <w:rPr>
          <w:noProof/>
        </w:rPr>
        <mc:AlternateContent>
          <mc:Choice Requires="wps">
            <w:drawing>
              <wp:inline distT="0" distB="0" distL="0" distR="0" wp14:anchorId="04384FFC" wp14:editId="7F612586">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97E9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F53A20" w:rsidR="00862585" w:rsidP="00F53A20" w:rsidRDefault="00862585" w14:paraId="28C18CEC" w14:textId="77777777">
      <w:pPr>
        <w:pStyle w:val="TableTitle"/>
      </w:pPr>
      <w:r w:rsidRPr="00F53A20">
        <w:t>Table B.6. Contact persons</w:t>
      </w:r>
    </w:p>
    <w:tbl>
      <w:tblPr>
        <w:tblW w:w="0" w:type="auto"/>
        <w:tblBorders>
          <w:bottom w:val="single" w:color="046B5C" w:sz="4" w:space="0"/>
          <w:insideH w:val="single" w:color="046B5C" w:sz="4" w:space="0"/>
        </w:tblBorders>
        <w:tblLook w:val="04A0" w:firstRow="1" w:lastRow="0" w:firstColumn="1" w:lastColumn="0" w:noHBand="0" w:noVBand="1"/>
      </w:tblPr>
      <w:tblGrid>
        <w:gridCol w:w="4675"/>
        <w:gridCol w:w="4675"/>
      </w:tblGrid>
      <w:tr w:rsidRPr="00F53A20" w:rsidR="00862585" w:rsidTr="00AB555E" w14:paraId="637EC300" w14:textId="77777777">
        <w:trPr>
          <w:trHeight w:val="1160"/>
        </w:trPr>
        <w:tc>
          <w:tcPr>
            <w:tcW w:w="4675" w:type="dxa"/>
            <w:tcBorders>
              <w:top w:val="single" w:color="046B5C" w:themeColor="text2" w:sz="4" w:space="0"/>
            </w:tcBorders>
            <w:shd w:val="clear" w:color="auto" w:fill="auto"/>
          </w:tcPr>
          <w:p w:rsidRPr="00955E8E" w:rsidR="00F53A20" w:rsidP="00F53A20" w:rsidRDefault="00862585" w14:paraId="49E13694" w14:textId="63584DDA">
            <w:pPr>
              <w:pStyle w:val="TableTextLeft"/>
              <w:rPr>
                <w:b/>
                <w:bCs/>
              </w:rPr>
            </w:pPr>
            <w:r w:rsidRPr="00955E8E">
              <w:rPr>
                <w:b/>
                <w:bCs/>
              </w:rPr>
              <w:t xml:space="preserve">Nina </w:t>
            </w:r>
            <w:proofErr w:type="spellStart"/>
            <w:r w:rsidRPr="00955E8E">
              <w:rPr>
                <w:b/>
                <w:bCs/>
              </w:rPr>
              <w:t>Philipsen</w:t>
            </w:r>
            <w:proofErr w:type="spellEnd"/>
            <w:r w:rsidRPr="00955E8E">
              <w:rPr>
                <w:b/>
                <w:bCs/>
              </w:rPr>
              <w:t>, Ph.D.</w:t>
            </w:r>
          </w:p>
          <w:p w:rsidR="00F53A20" w:rsidP="00F53A20" w:rsidRDefault="00862585" w14:paraId="1C14E6A4" w14:textId="77777777">
            <w:pPr>
              <w:pStyle w:val="TableTextLeft"/>
            </w:pPr>
            <w:r w:rsidRPr="00F53A20">
              <w:t>Senior Social Science Research Analyst</w:t>
            </w:r>
          </w:p>
          <w:p w:rsidR="00F53A20" w:rsidP="00F53A20" w:rsidRDefault="00862585" w14:paraId="2BF98222" w14:textId="77777777">
            <w:pPr>
              <w:pStyle w:val="TableTextLeft"/>
            </w:pPr>
            <w:r w:rsidRPr="00F53A20">
              <w:t>Office of Planning, Research, and Evaluation</w:t>
            </w:r>
          </w:p>
          <w:p w:rsidRPr="00955E8E" w:rsidR="00862585" w:rsidP="00F53A20" w:rsidRDefault="00845E6F" w14:paraId="78132EE3" w14:textId="1E0229F2">
            <w:pPr>
              <w:pStyle w:val="TableTextLeft"/>
              <w:rPr>
                <w:rStyle w:val="Hyperlink"/>
              </w:rPr>
            </w:pPr>
            <w:hyperlink w:history="1" r:id="rId12">
              <w:r w:rsidRPr="00955E8E" w:rsidR="00862585">
                <w:rPr>
                  <w:rStyle w:val="Hyperlink"/>
                </w:rPr>
                <w:t>Nina.Hetzner@acf.hhs.gov</w:t>
              </w:r>
            </w:hyperlink>
          </w:p>
        </w:tc>
        <w:tc>
          <w:tcPr>
            <w:tcW w:w="4675" w:type="dxa"/>
            <w:tcBorders>
              <w:top w:val="single" w:color="046B5C" w:themeColor="text2" w:sz="4" w:space="0"/>
            </w:tcBorders>
            <w:shd w:val="clear" w:color="auto" w:fill="auto"/>
          </w:tcPr>
          <w:p w:rsidRPr="00955E8E" w:rsidR="00F53A20" w:rsidP="00F53A20" w:rsidRDefault="00862585" w14:paraId="742FFA79" w14:textId="41564D09">
            <w:pPr>
              <w:pStyle w:val="TableTextLeft"/>
              <w:rPr>
                <w:b/>
                <w:bCs/>
              </w:rPr>
            </w:pPr>
            <w:r w:rsidRPr="00955E8E">
              <w:rPr>
                <w:b/>
                <w:bCs/>
              </w:rPr>
              <w:t>Bonnie Mackintosh</w:t>
            </w:r>
            <w:r w:rsidR="005135C4">
              <w:rPr>
                <w:b/>
                <w:bCs/>
              </w:rPr>
              <w:t>, Ed.D.</w:t>
            </w:r>
          </w:p>
          <w:p w:rsidR="00F53A20" w:rsidP="00F53A20" w:rsidRDefault="002628CF" w14:paraId="74B5306C" w14:textId="692008AC">
            <w:pPr>
              <w:pStyle w:val="TableTextLeft"/>
            </w:pPr>
            <w:r>
              <w:t>Social Science Research Analyst</w:t>
            </w:r>
          </w:p>
          <w:p w:rsidRPr="00F53A20" w:rsidR="00F53A20" w:rsidP="00F53A20" w:rsidRDefault="00862585" w14:paraId="6638807A" w14:textId="20A5AD67">
            <w:pPr>
              <w:pStyle w:val="TableTextLeft"/>
            </w:pPr>
            <w:r w:rsidRPr="00F53A20">
              <w:t>Office of Planning, Research, and Evaluation</w:t>
            </w:r>
          </w:p>
          <w:p w:rsidRPr="00955E8E" w:rsidR="00862585" w:rsidP="00F53A20" w:rsidRDefault="00845E6F" w14:paraId="37200C25" w14:textId="77777777">
            <w:pPr>
              <w:pStyle w:val="TableTextLeft"/>
              <w:rPr>
                <w:rStyle w:val="Hyperlink"/>
              </w:rPr>
            </w:pPr>
            <w:hyperlink w:history="1" r:id="rId13">
              <w:r w:rsidRPr="00955E8E" w:rsidR="00862585">
                <w:rPr>
                  <w:rStyle w:val="Hyperlink"/>
                </w:rPr>
                <w:t>Bonnie.Mackintosh@acf.hhs.gov</w:t>
              </w:r>
            </w:hyperlink>
          </w:p>
        </w:tc>
      </w:tr>
      <w:tr w:rsidRPr="00F53A20" w:rsidR="00862585" w:rsidTr="006122F2" w14:paraId="37C5C783" w14:textId="77777777">
        <w:trPr>
          <w:trHeight w:val="1160"/>
        </w:trPr>
        <w:tc>
          <w:tcPr>
            <w:tcW w:w="4675" w:type="dxa"/>
            <w:shd w:val="clear" w:color="auto" w:fill="auto"/>
          </w:tcPr>
          <w:p w:rsidRPr="00955E8E" w:rsidR="00F53A20" w:rsidP="00F53A20" w:rsidRDefault="00862585" w14:paraId="4AB0B616" w14:textId="77777777">
            <w:pPr>
              <w:pStyle w:val="TableTextLeft"/>
              <w:rPr>
                <w:b/>
                <w:bCs/>
              </w:rPr>
            </w:pPr>
            <w:r w:rsidRPr="00955E8E">
              <w:rPr>
                <w:b/>
                <w:bCs/>
              </w:rPr>
              <w:t>Gretchen Kirby</w:t>
            </w:r>
          </w:p>
          <w:p w:rsidR="00F53A20" w:rsidP="00F53A20" w:rsidRDefault="00862585" w14:paraId="3E54C22E" w14:textId="77777777">
            <w:pPr>
              <w:pStyle w:val="TableTextLeft"/>
            </w:pPr>
            <w:r w:rsidRPr="00F53A20">
              <w:t>Project Director</w:t>
            </w:r>
          </w:p>
          <w:p w:rsidR="00F53A20" w:rsidP="00F53A20" w:rsidRDefault="00862585" w14:paraId="7DEBEBAD" w14:textId="77777777">
            <w:pPr>
              <w:pStyle w:val="TableTextLeft"/>
            </w:pPr>
            <w:r w:rsidRPr="00F53A20">
              <w:t>Mathematica</w:t>
            </w:r>
          </w:p>
          <w:p w:rsidRPr="00955E8E" w:rsidR="00862585" w:rsidP="00F53A20" w:rsidRDefault="00845E6F" w14:paraId="0E17F9E5" w14:textId="44655147">
            <w:pPr>
              <w:pStyle w:val="TableTextLeft"/>
              <w:rPr>
                <w:rStyle w:val="Hyperlink"/>
              </w:rPr>
            </w:pPr>
            <w:hyperlink w:history="1" r:id="rId14">
              <w:r w:rsidRPr="00955E8E" w:rsidR="00862585">
                <w:rPr>
                  <w:rStyle w:val="Hyperlink"/>
                </w:rPr>
                <w:t>GKirby@Mathematica-Mpr.com</w:t>
              </w:r>
            </w:hyperlink>
          </w:p>
        </w:tc>
        <w:tc>
          <w:tcPr>
            <w:tcW w:w="4675" w:type="dxa"/>
            <w:shd w:val="clear" w:color="auto" w:fill="auto"/>
          </w:tcPr>
          <w:p w:rsidRPr="00955E8E" w:rsidR="00F53A20" w:rsidP="00F53A20" w:rsidRDefault="00862585" w14:paraId="44C9C39A" w14:textId="77777777">
            <w:pPr>
              <w:pStyle w:val="TableTextLeft"/>
              <w:rPr>
                <w:b/>
                <w:bCs/>
              </w:rPr>
            </w:pPr>
            <w:r w:rsidRPr="00955E8E">
              <w:rPr>
                <w:b/>
                <w:bCs/>
              </w:rPr>
              <w:t>Lizabeth Malone, Ph.D.</w:t>
            </w:r>
          </w:p>
          <w:p w:rsidR="00F53A20" w:rsidP="00F53A20" w:rsidRDefault="00862585" w14:paraId="5FCD143A" w14:textId="77777777">
            <w:pPr>
              <w:pStyle w:val="TableTextLeft"/>
            </w:pPr>
            <w:r w:rsidRPr="00F53A20">
              <w:t>Co-Principal Investigator</w:t>
            </w:r>
          </w:p>
          <w:p w:rsidR="00F53A20" w:rsidP="00F53A20" w:rsidRDefault="00862585" w14:paraId="351D2B5E" w14:textId="77777777">
            <w:pPr>
              <w:pStyle w:val="TableTextLeft"/>
            </w:pPr>
            <w:r w:rsidRPr="00F53A20">
              <w:t>Mathematica</w:t>
            </w:r>
          </w:p>
          <w:p w:rsidRPr="00955E8E" w:rsidR="00862585" w:rsidP="00F53A20" w:rsidRDefault="00845E6F" w14:paraId="00076BF8" w14:textId="541B446F">
            <w:pPr>
              <w:pStyle w:val="TableTextLeft"/>
              <w:rPr>
                <w:rStyle w:val="Hyperlink"/>
              </w:rPr>
            </w:pPr>
            <w:hyperlink w:history="1" r:id="rId15">
              <w:r w:rsidRPr="00955E8E" w:rsidR="00862585">
                <w:rPr>
                  <w:rStyle w:val="Hyperlink"/>
                </w:rPr>
                <w:t>LMalone@Mathematica-Mpr.com</w:t>
              </w:r>
            </w:hyperlink>
            <w:r w:rsidRPr="00955E8E" w:rsidR="00862585">
              <w:rPr>
                <w:rStyle w:val="Hyperlink"/>
              </w:rPr>
              <w:t xml:space="preserve"> </w:t>
            </w:r>
          </w:p>
        </w:tc>
      </w:tr>
      <w:tr w:rsidRPr="00F53A20" w:rsidR="00862585" w:rsidTr="006122F2" w14:paraId="15B5ED6A" w14:textId="77777777">
        <w:trPr>
          <w:trHeight w:val="1160"/>
        </w:trPr>
        <w:tc>
          <w:tcPr>
            <w:tcW w:w="4675" w:type="dxa"/>
            <w:shd w:val="clear" w:color="auto" w:fill="auto"/>
          </w:tcPr>
          <w:p w:rsidRPr="00955E8E" w:rsidR="00F53A20" w:rsidP="00F53A20" w:rsidRDefault="00862585" w14:paraId="04E9EF73" w14:textId="77777777">
            <w:pPr>
              <w:pStyle w:val="TableTextLeft"/>
              <w:rPr>
                <w:b/>
                <w:bCs/>
              </w:rPr>
            </w:pPr>
            <w:r w:rsidRPr="00955E8E">
              <w:rPr>
                <w:b/>
                <w:bCs/>
              </w:rPr>
              <w:t>Anne Douglass, Ph.D.</w:t>
            </w:r>
          </w:p>
          <w:p w:rsidR="00F53A20" w:rsidP="00F53A20" w:rsidRDefault="00862585" w14:paraId="4B70D276" w14:textId="77777777">
            <w:pPr>
              <w:pStyle w:val="TableTextLeft"/>
            </w:pPr>
            <w:r w:rsidRPr="00F53A20">
              <w:t>Co-Principal Investigator</w:t>
            </w:r>
          </w:p>
          <w:p w:rsidR="00F53A20" w:rsidP="00F53A20" w:rsidRDefault="00862585" w14:paraId="2C6DA9AC" w14:textId="77777777">
            <w:pPr>
              <w:pStyle w:val="TableTextLeft"/>
            </w:pPr>
            <w:r w:rsidRPr="00F53A20">
              <w:t>University of Massachusetts Boston</w:t>
            </w:r>
          </w:p>
          <w:p w:rsidRPr="00955E8E" w:rsidR="00862585" w:rsidP="00F53A20" w:rsidRDefault="00845E6F" w14:paraId="0B63D72F" w14:textId="0652AAC3">
            <w:pPr>
              <w:pStyle w:val="TableTextLeft"/>
              <w:rPr>
                <w:rStyle w:val="Hyperlink"/>
              </w:rPr>
            </w:pPr>
            <w:hyperlink w:history="1" r:id="rId16">
              <w:r w:rsidRPr="00955E8E" w:rsidR="00862585">
                <w:rPr>
                  <w:rStyle w:val="Hyperlink"/>
                </w:rPr>
                <w:t>Anne.Douglass@umb.edu</w:t>
              </w:r>
            </w:hyperlink>
          </w:p>
        </w:tc>
        <w:tc>
          <w:tcPr>
            <w:tcW w:w="4675" w:type="dxa"/>
            <w:shd w:val="clear" w:color="auto" w:fill="auto"/>
          </w:tcPr>
          <w:p w:rsidRPr="00955E8E" w:rsidR="00F53A20" w:rsidP="00F53A20" w:rsidRDefault="00862585" w14:paraId="10C87E9D" w14:textId="77777777">
            <w:pPr>
              <w:pStyle w:val="TableTextLeft"/>
              <w:rPr>
                <w:b/>
                <w:bCs/>
              </w:rPr>
            </w:pPr>
            <w:r w:rsidRPr="00955E8E">
              <w:rPr>
                <w:b/>
                <w:bCs/>
              </w:rPr>
              <w:t>Yange Xue, Ph.D.</w:t>
            </w:r>
          </w:p>
          <w:p w:rsidR="00F53A20" w:rsidP="00F53A20" w:rsidRDefault="00862585" w14:paraId="6D395494" w14:textId="77777777">
            <w:pPr>
              <w:pStyle w:val="TableTextLeft"/>
            </w:pPr>
            <w:r w:rsidRPr="00F53A20">
              <w:t>Senior Researcher</w:t>
            </w:r>
          </w:p>
          <w:p w:rsidRPr="00F53A20" w:rsidR="00862585" w:rsidP="00F53A20" w:rsidRDefault="00862585" w14:paraId="1042E086" w14:textId="0E339DCC">
            <w:pPr>
              <w:pStyle w:val="TableTextLeft"/>
            </w:pPr>
            <w:r w:rsidRPr="00F53A20">
              <w:t xml:space="preserve">Mathematica </w:t>
            </w:r>
          </w:p>
          <w:p w:rsidRPr="00955E8E" w:rsidR="00862585" w:rsidP="00F53A20" w:rsidRDefault="00845E6F" w14:paraId="70AC1BDD" w14:textId="77777777">
            <w:pPr>
              <w:pStyle w:val="TableTextLeft"/>
              <w:rPr>
                <w:rStyle w:val="Hyperlink"/>
              </w:rPr>
            </w:pPr>
            <w:hyperlink w:history="1" r:id="rId17">
              <w:r w:rsidRPr="00955E8E" w:rsidR="00862585">
                <w:rPr>
                  <w:rStyle w:val="Hyperlink"/>
                </w:rPr>
                <w:t>YXue@mathematica-Mpr.com</w:t>
              </w:r>
            </w:hyperlink>
          </w:p>
        </w:tc>
      </w:tr>
      <w:tr w:rsidRPr="00F53A20" w:rsidR="00862585" w:rsidTr="006122F2" w14:paraId="32860587" w14:textId="77777777">
        <w:trPr>
          <w:trHeight w:val="1160"/>
        </w:trPr>
        <w:tc>
          <w:tcPr>
            <w:tcW w:w="4675" w:type="dxa"/>
            <w:shd w:val="clear" w:color="auto" w:fill="auto"/>
          </w:tcPr>
          <w:p w:rsidRPr="00955E8E" w:rsidR="00F53A20" w:rsidP="00F53A20" w:rsidRDefault="00862585" w14:paraId="1331C47F" w14:textId="77777777">
            <w:pPr>
              <w:pStyle w:val="TableTextLeft"/>
              <w:rPr>
                <w:b/>
                <w:bCs/>
              </w:rPr>
            </w:pPr>
            <w:r w:rsidRPr="00955E8E">
              <w:rPr>
                <w:b/>
                <w:bCs/>
              </w:rPr>
              <w:t>Annalee Kelly</w:t>
            </w:r>
          </w:p>
          <w:p w:rsidR="00F53A20" w:rsidP="00F53A20" w:rsidRDefault="00862585" w14:paraId="227E23EC" w14:textId="77777777">
            <w:pPr>
              <w:pStyle w:val="TableTextLeft"/>
            </w:pPr>
            <w:r w:rsidRPr="00F53A20">
              <w:t>Survey Director</w:t>
            </w:r>
          </w:p>
          <w:p w:rsidR="00F53A20" w:rsidP="00F53A20" w:rsidRDefault="00862585" w14:paraId="65FDB37E" w14:textId="77777777">
            <w:pPr>
              <w:pStyle w:val="TableTextLeft"/>
            </w:pPr>
            <w:r w:rsidRPr="00F53A20">
              <w:t>Mathematica</w:t>
            </w:r>
          </w:p>
          <w:p w:rsidRPr="00955E8E" w:rsidR="00862585" w:rsidP="00F53A20" w:rsidRDefault="00845E6F" w14:paraId="6503A2DE" w14:textId="22E92A04">
            <w:pPr>
              <w:pStyle w:val="TableTextLeft"/>
              <w:rPr>
                <w:rStyle w:val="Hyperlink"/>
              </w:rPr>
            </w:pPr>
            <w:hyperlink w:history="1" r:id="rId18">
              <w:r w:rsidRPr="00955E8E" w:rsidR="00862585">
                <w:rPr>
                  <w:rStyle w:val="Hyperlink"/>
                </w:rPr>
                <w:t>AKelly@mathematica-Mpr.com</w:t>
              </w:r>
            </w:hyperlink>
            <w:r w:rsidRPr="00955E8E" w:rsidR="00862585">
              <w:rPr>
                <w:rStyle w:val="Hyperlink"/>
              </w:rPr>
              <w:t xml:space="preserve"> </w:t>
            </w:r>
          </w:p>
        </w:tc>
        <w:tc>
          <w:tcPr>
            <w:tcW w:w="4675" w:type="dxa"/>
            <w:shd w:val="clear" w:color="auto" w:fill="auto"/>
          </w:tcPr>
          <w:p w:rsidRPr="00F53A20" w:rsidR="00862585" w:rsidP="00F53A20" w:rsidRDefault="00862585" w14:paraId="578C0AC5" w14:textId="77777777">
            <w:pPr>
              <w:pStyle w:val="TableTextLeft"/>
            </w:pPr>
          </w:p>
        </w:tc>
      </w:tr>
    </w:tbl>
    <w:p w:rsidR="00862585" w:rsidP="00862585" w:rsidRDefault="00862585" w14:paraId="5A8EDD57" w14:textId="77777777">
      <w:pPr>
        <w:rPr>
          <w:b/>
        </w:rPr>
      </w:pPr>
      <w:r>
        <w:rPr>
          <w:b/>
        </w:rPr>
        <w:br w:type="page"/>
      </w:r>
    </w:p>
    <w:p w:rsidR="00955E8E" w:rsidP="00955E8E" w:rsidRDefault="00955E8E" w14:paraId="32AD3C68" w14:textId="77777777">
      <w:pPr>
        <w:pStyle w:val="H2"/>
      </w:pPr>
      <w:r w:rsidRPr="009139B3">
        <w:lastRenderedPageBreak/>
        <w:t>Attachments</w:t>
      </w:r>
    </w:p>
    <w:p w:rsidRPr="002024C3" w:rsidR="00955E8E" w:rsidP="00955E8E" w:rsidRDefault="00955E8E" w14:paraId="3AF33F4B" w14:textId="77777777">
      <w:pPr>
        <w:pStyle w:val="H3"/>
      </w:pPr>
      <w:r w:rsidRPr="002024C3">
        <w:t>Appendices</w:t>
      </w:r>
    </w:p>
    <w:p w:rsidR="00955E8E" w:rsidP="00AF6882" w:rsidRDefault="00955E8E" w14:paraId="20CFEE19" w14:textId="5F09825C">
      <w:pPr>
        <w:pStyle w:val="ParagraphContinued"/>
        <w:spacing w:after="0"/>
        <w:contextualSpacing/>
      </w:pPr>
      <w:r>
        <w:t>Appendix A. ExCELS Theory of Change</w:t>
      </w:r>
      <w:r>
        <w:br/>
        <w:t xml:space="preserve">Appendix </w:t>
      </w:r>
      <w:r w:rsidR="002401B4">
        <w:t>B</w:t>
      </w:r>
      <w:r>
        <w:t xml:space="preserve">. </w:t>
      </w:r>
      <w:r w:rsidR="002628CF">
        <w:t xml:space="preserve">Center </w:t>
      </w:r>
      <w:r>
        <w:t>Recruitment Materials</w:t>
      </w:r>
      <w:r>
        <w:br/>
        <w:t xml:space="preserve">Appendix </w:t>
      </w:r>
      <w:r w:rsidR="002401B4">
        <w:t>C</w:t>
      </w:r>
      <w:r>
        <w:t>. Interview Confirmation Emails</w:t>
      </w:r>
      <w:r>
        <w:br/>
        <w:t xml:space="preserve">Appendix </w:t>
      </w:r>
      <w:r w:rsidR="002401B4">
        <w:t>D</w:t>
      </w:r>
      <w:r>
        <w:t xml:space="preserve">. </w:t>
      </w:r>
      <w:r w:rsidR="00AF6882">
        <w:t xml:space="preserve">Center Manager </w:t>
      </w:r>
      <w:r>
        <w:t>Survey Respondent Materials</w:t>
      </w:r>
    </w:p>
    <w:p w:rsidRPr="00AF6882" w:rsidR="00AF6882" w:rsidP="00AF6882" w:rsidRDefault="00AF6882" w14:paraId="655EAF56" w14:textId="0ADAFE9C">
      <w:pPr>
        <w:pStyle w:val="Paragraph"/>
      </w:pPr>
      <w:r>
        <w:t xml:space="preserve">Appendix </w:t>
      </w:r>
      <w:r w:rsidR="002401B4">
        <w:t>E</w:t>
      </w:r>
      <w:r>
        <w:t>: Teaching Staff Survey Respondent Materials</w:t>
      </w:r>
    </w:p>
    <w:p w:rsidRPr="002024C3" w:rsidR="00955E8E" w:rsidP="00955E8E" w:rsidRDefault="00955E8E" w14:paraId="63EE045B" w14:textId="77777777">
      <w:pPr>
        <w:pStyle w:val="H3"/>
      </w:pPr>
      <w:r w:rsidRPr="002024C3">
        <w:t>Instruments</w:t>
      </w:r>
    </w:p>
    <w:p w:rsidRPr="000658FB" w:rsidR="00955E8E" w:rsidP="00955E8E" w:rsidRDefault="00955E8E" w14:paraId="3D29F7A4" w14:textId="77777777">
      <w:pPr>
        <w:pStyle w:val="ParagraphContinued"/>
      </w:pPr>
      <w:bookmarkStart w:name="_Hlk66535813" w:id="12"/>
      <w:r>
        <w:t>Instrument 1. Center Recruitment Call Script</w:t>
      </w:r>
      <w:r>
        <w:br/>
        <w:t>Instrument 2. Umbrella Organization Recruitment Approval Call Script</w:t>
      </w:r>
      <w:r>
        <w:br/>
        <w:t>Instrument 3. Engagement Interview Guide</w:t>
      </w:r>
      <w:r>
        <w:br/>
        <w:t>Instrument 4. Staffing Structure and Leadership Positions (</w:t>
      </w:r>
      <w:proofErr w:type="spellStart"/>
      <w:r>
        <w:t>SSLP</w:t>
      </w:r>
      <w:proofErr w:type="spellEnd"/>
      <w:r>
        <w:t>) Interview Guide</w:t>
      </w:r>
      <w:r>
        <w:br/>
        <w:t>Instrument 5. Teaching Staff Roster</w:t>
      </w:r>
      <w:r>
        <w:br/>
        <w:t>Instrument 6. Center Manager Survey</w:t>
      </w:r>
      <w:r>
        <w:br/>
        <w:t>Instrument 7. Teaching Staff Survey</w:t>
      </w:r>
      <w:bookmarkEnd w:id="12"/>
    </w:p>
    <w:sectPr w:rsidRPr="000658FB" w:rsidR="00955E8E" w:rsidSect="00867B2D">
      <w:headerReference w:type="default" r:id="rId19"/>
      <w:footerReference w:type="default" r:id="rId20"/>
      <w:headerReference w:type="first" r:id="rId21"/>
      <w:footerReference w:type="first" r:id="rId2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DE566" w14:textId="77777777" w:rsidR="00A44317" w:rsidRPr="00CC6F21" w:rsidRDefault="00A44317" w:rsidP="00CC6F21">
      <w:r>
        <w:separator/>
      </w:r>
    </w:p>
  </w:endnote>
  <w:endnote w:type="continuationSeparator" w:id="0">
    <w:p w14:paraId="517E27AA" w14:textId="77777777" w:rsidR="00A44317" w:rsidRPr="00CC6F21" w:rsidRDefault="00A44317" w:rsidP="00CC6F21">
      <w:r>
        <w:continuationSeparator/>
      </w:r>
    </w:p>
  </w:endnote>
  <w:endnote w:type="continuationNotice" w:id="1">
    <w:p w14:paraId="61281A85" w14:textId="77777777" w:rsidR="00A44317" w:rsidRDefault="00A4431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4E39E" w14:textId="6F0E8DE7" w:rsidR="00A44317" w:rsidRDefault="00A4431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5E6F">
      <w:rPr>
        <w:b/>
        <w:noProof/>
      </w:rPr>
      <w:t>07/26/21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C51EA" w14:textId="24DBC2DD" w:rsidR="00A44317" w:rsidRPr="00A37298" w:rsidRDefault="00A44317"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98CC" w14:textId="7A88613A" w:rsidR="00A44317" w:rsidRDefault="00A4431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5E6F">
      <w:rPr>
        <w:b/>
        <w:noProof/>
      </w:rPr>
      <w:t>07/26/21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00756" w14:textId="77777777" w:rsidR="00A44317" w:rsidRPr="00CC6F21" w:rsidRDefault="00A44317" w:rsidP="003842A6">
      <w:pPr>
        <w:pStyle w:val="FootnoteSep"/>
      </w:pPr>
      <w:r>
        <w:separator/>
      </w:r>
    </w:p>
  </w:footnote>
  <w:footnote w:type="continuationSeparator" w:id="0">
    <w:p w14:paraId="6293CA4B" w14:textId="77777777" w:rsidR="00A44317" w:rsidRPr="00CC6F21" w:rsidRDefault="00A44317" w:rsidP="003842A6">
      <w:pPr>
        <w:pStyle w:val="FootnoteSep"/>
      </w:pPr>
      <w:r>
        <w:continuationSeparator/>
      </w:r>
    </w:p>
  </w:footnote>
  <w:footnote w:type="continuationNotice" w:id="1">
    <w:p w14:paraId="3F156AC7" w14:textId="77777777" w:rsidR="00A44317" w:rsidRDefault="00A44317" w:rsidP="003842A6">
      <w:pPr>
        <w:pStyle w:val="NoSpacing"/>
      </w:pPr>
    </w:p>
  </w:footnote>
  <w:footnote w:id="2">
    <w:p w14:paraId="5B9855DB" w14:textId="77777777" w:rsidR="00A44317" w:rsidRPr="00727AE3" w:rsidRDefault="00A44317" w:rsidP="00862585">
      <w:pPr>
        <w:pStyle w:val="FootnoteText"/>
        <w:rPr>
          <w:sz w:val="16"/>
          <w:szCs w:val="16"/>
        </w:rPr>
      </w:pPr>
      <w:r w:rsidRPr="00727AE3">
        <w:rPr>
          <w:rStyle w:val="FootnoteReference"/>
          <w:sz w:val="16"/>
          <w:szCs w:val="16"/>
        </w:rPr>
        <w:footnoteRef/>
      </w:r>
      <w:r w:rsidRPr="00727AE3">
        <w:rPr>
          <w:sz w:val="16"/>
          <w:szCs w:val="16"/>
        </w:rPr>
        <w:t xml:space="preserve"> Abel, M. B., T. N. Talan, and M. </w:t>
      </w:r>
      <w:proofErr w:type="spellStart"/>
      <w:r w:rsidRPr="00727AE3">
        <w:rPr>
          <w:sz w:val="16"/>
          <w:szCs w:val="16"/>
        </w:rPr>
        <w:t>Magid</w:t>
      </w:r>
      <w:proofErr w:type="spellEnd"/>
      <w:r w:rsidRPr="00727AE3">
        <w:rPr>
          <w:sz w:val="16"/>
          <w:szCs w:val="16"/>
        </w:rPr>
        <w:t>. “Closing the Leadership Gap: 2018 Status Report on Early Childhood Program Leadership in the United States.” Wheeling, IL: McCormick Center for Early Childhood Leadership at National Louis University, December 2018.</w:t>
      </w:r>
    </w:p>
  </w:footnote>
  <w:footnote w:id="3">
    <w:p w14:paraId="7E228C18" w14:textId="77777777" w:rsidR="00A44317" w:rsidRDefault="00A44317" w:rsidP="00862585">
      <w:pPr>
        <w:pStyle w:val="FootnoteText"/>
      </w:pPr>
      <w:r w:rsidRPr="00727AE3">
        <w:rPr>
          <w:rStyle w:val="FootnoteReference"/>
          <w:sz w:val="16"/>
          <w:szCs w:val="16"/>
        </w:rPr>
        <w:footnoteRef/>
      </w:r>
      <w:r w:rsidRPr="00727AE3">
        <w:rPr>
          <w:sz w:val="16"/>
          <w:szCs w:val="16"/>
        </w:rPr>
        <w:t xml:space="preserve"> Child Care Aware of America. “We Can Do Better: Child Care Aware of America’s Ranking of State Child Care Center Regulations and Oversight; 2013 Update.” Arlington, VA: Child Care Aware of America, 2013.</w:t>
      </w:r>
    </w:p>
  </w:footnote>
  <w:footnote w:id="4">
    <w:p w14:paraId="0E65773F" w14:textId="1DA84578" w:rsidR="00A44317" w:rsidRPr="00727AE3" w:rsidRDefault="00A44317" w:rsidP="00862585">
      <w:pPr>
        <w:pStyle w:val="FootnoteText"/>
        <w:rPr>
          <w:sz w:val="16"/>
          <w:szCs w:val="16"/>
        </w:rPr>
      </w:pPr>
      <w:r w:rsidRPr="00727AE3">
        <w:rPr>
          <w:rStyle w:val="FootnoteReference"/>
          <w:sz w:val="16"/>
          <w:szCs w:val="16"/>
        </w:rPr>
        <w:footnoteRef/>
      </w:r>
      <w:r w:rsidRPr="00727AE3">
        <w:rPr>
          <w:sz w:val="16"/>
          <w:szCs w:val="16"/>
        </w:rPr>
        <w:t xml:space="preserve"> </w:t>
      </w:r>
      <w:bookmarkStart w:id="3" w:name="_Hlk76124451"/>
      <w:r w:rsidRPr="00727AE3">
        <w:rPr>
          <w:sz w:val="16"/>
          <w:szCs w:val="16"/>
        </w:rPr>
        <w:t xml:space="preserve">National Survey of Early Care and Education Project Team. </w:t>
      </w:r>
      <w:r w:rsidRPr="00727AE3">
        <w:rPr>
          <w:rFonts w:ascii="Times New Roman" w:hAnsi="Times New Roman" w:cs="Times New Roman"/>
          <w:b/>
          <w:bCs/>
          <w:sz w:val="16"/>
          <w:szCs w:val="16"/>
        </w:rPr>
        <w:t>“</w:t>
      </w:r>
      <w:r w:rsidRPr="00727AE3">
        <w:rPr>
          <w:rFonts w:ascii="Times New Roman" w:hAnsi="Times New Roman" w:cs="Times New Roman"/>
          <w:sz w:val="16"/>
          <w:szCs w:val="16"/>
        </w:rPr>
        <w:t>Characteristics of Center-based Early Care and Education Programs: Initial Findings from the National Survey of Early Care and Education (</w:t>
      </w:r>
      <w:proofErr w:type="spellStart"/>
      <w:r w:rsidRPr="00727AE3">
        <w:rPr>
          <w:rFonts w:ascii="Times New Roman" w:hAnsi="Times New Roman" w:cs="Times New Roman"/>
          <w:sz w:val="16"/>
          <w:szCs w:val="16"/>
        </w:rPr>
        <w:t>NSECE</w:t>
      </w:r>
      <w:proofErr w:type="spellEnd"/>
      <w:r w:rsidRPr="00727AE3">
        <w:rPr>
          <w:rFonts w:ascii="Times New Roman" w:hAnsi="Times New Roman" w:cs="Times New Roman"/>
          <w:sz w:val="16"/>
          <w:szCs w:val="16"/>
        </w:rPr>
        <w:t xml:space="preserve">).” OPRE Report #2014-73a. </w:t>
      </w:r>
      <w:r w:rsidRPr="00727AE3">
        <w:rPr>
          <w:sz w:val="16"/>
          <w:szCs w:val="16"/>
        </w:rPr>
        <w:t>Washington, DC: Office of Planning, Research and Evaluation, Administration for Children and Families, U.S. Department of Health and Human Services, 2014.</w:t>
      </w:r>
      <w:bookmarkEnd w:id="3"/>
    </w:p>
  </w:footnote>
  <w:footnote w:id="5">
    <w:p w14:paraId="659C6F8C" w14:textId="77777777" w:rsidR="00A44317" w:rsidRPr="00727AE3" w:rsidRDefault="00A44317" w:rsidP="00862585">
      <w:pPr>
        <w:pStyle w:val="FootnoteText"/>
        <w:rPr>
          <w:sz w:val="16"/>
          <w:szCs w:val="16"/>
        </w:rPr>
      </w:pPr>
      <w:r w:rsidRPr="00727AE3">
        <w:rPr>
          <w:rStyle w:val="FootnoteReference"/>
          <w:sz w:val="16"/>
          <w:szCs w:val="16"/>
        </w:rPr>
        <w:footnoteRef/>
      </w:r>
      <w:r w:rsidRPr="00727AE3">
        <w:rPr>
          <w:sz w:val="16"/>
          <w:szCs w:val="16"/>
        </w:rPr>
        <w:t xml:space="preserve"> If a center does not have an education program lead, the study team will select the person who is clearly identified as the second-in-command. This person may serve various roles in the center. In medium centers that do not have an education program lead or a clear second-in-command but do have multiple center managers other than a director, the team will randomly select a second respondent from among the center managers.</w:t>
      </w:r>
    </w:p>
  </w:footnote>
  <w:footnote w:id="6">
    <w:p w14:paraId="6B13FBFE" w14:textId="6172CD1C" w:rsidR="00A44317" w:rsidRPr="000B2B19" w:rsidRDefault="00A44317">
      <w:pPr>
        <w:pStyle w:val="FootnoteText"/>
      </w:pPr>
      <w:r w:rsidRPr="00727AE3">
        <w:rPr>
          <w:rStyle w:val="FootnoteReference"/>
          <w:sz w:val="16"/>
          <w:szCs w:val="16"/>
        </w:rPr>
        <w:footnoteRef/>
      </w:r>
      <w:r w:rsidRPr="00727AE3">
        <w:rPr>
          <w:sz w:val="16"/>
          <w:szCs w:val="16"/>
        </w:rPr>
        <w:t xml:space="preserve"> National Survey of Early Care and Education Project Team. “Measuring Predictors of Quality in Early Care and Education Settings in the National Survey of Early Care and Education.” OPRE Report #2015-93, Washington, DC: Office of Planning, Research and Evaluation, Administration for Children and Families, U.S. Department of Health and Human Services, 2015.</w:t>
      </w:r>
    </w:p>
  </w:footnote>
  <w:footnote w:id="7">
    <w:p w14:paraId="3D702886" w14:textId="77777777" w:rsidR="00A44317" w:rsidRPr="00727AE3" w:rsidRDefault="00A44317" w:rsidP="00862585">
      <w:pPr>
        <w:pStyle w:val="FootnoteText"/>
        <w:rPr>
          <w:sz w:val="16"/>
          <w:szCs w:val="16"/>
        </w:rPr>
      </w:pPr>
      <w:r w:rsidRPr="00727AE3">
        <w:rPr>
          <w:rStyle w:val="FootnoteReference"/>
          <w:sz w:val="16"/>
          <w:szCs w:val="16"/>
        </w:rPr>
        <w:footnoteRef/>
      </w:r>
      <w:r w:rsidRPr="00727AE3">
        <w:rPr>
          <w:sz w:val="16"/>
          <w:szCs w:val="16"/>
        </w:rPr>
        <w:t xml:space="preserve"> Kirby, G., A. Douglass, J. Lyskawa, C. Jones, and L. Malone. “Understanding Leadership in Early Care and Education: A Literature Review.” OPRE Report No. 2021-02. Washington, DC: Office of Planning, Research, and Evaluation, Administration for Children and Families, U.S. Department of Health and Human Services, 2021.</w:t>
      </w:r>
    </w:p>
  </w:footnote>
  <w:footnote w:id="8">
    <w:p w14:paraId="12CF6E48" w14:textId="77777777" w:rsidR="00A44317" w:rsidRPr="00727AE3" w:rsidRDefault="00A44317" w:rsidP="00862585">
      <w:pPr>
        <w:pStyle w:val="FootnoteText"/>
        <w:rPr>
          <w:sz w:val="16"/>
          <w:szCs w:val="16"/>
        </w:rPr>
      </w:pPr>
      <w:r w:rsidRPr="00727AE3">
        <w:rPr>
          <w:rStyle w:val="FootnoteReference"/>
          <w:sz w:val="16"/>
          <w:szCs w:val="16"/>
        </w:rPr>
        <w:footnoteRef/>
      </w:r>
      <w:r w:rsidRPr="00727AE3">
        <w:rPr>
          <w:sz w:val="16"/>
          <w:szCs w:val="16"/>
        </w:rPr>
        <w:t xml:space="preserve"> Teaching staff are eligible for the survey if they are in classrooms serving children whose ages range from birth to age 5 (but who are not yet in kindergarten) at the time of teacher rostering and are still at the center by the time of survey release. Teaching staff include lead, head, or co-teachers and assistant teachers. Any teaching staff who begin employment between rostering and survey release, which will be roughly two weeks, are not eligible for the survey.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A2E3E" w14:textId="77777777" w:rsidR="00A44317" w:rsidRDefault="00A44317" w:rsidP="00E652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72926" w14:textId="77777777" w:rsidR="00A44317" w:rsidRDefault="00A4431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192E" w14:textId="3902EF55" w:rsidR="00A44317" w:rsidRDefault="00A44317" w:rsidP="00862585">
    <w:pPr>
      <w:pStyle w:val="Header"/>
    </w:pPr>
    <w:r w:rsidRPr="007B6AC8">
      <w:rPr>
        <w:b/>
      </w:rPr>
      <w:t>Alternative Supporting Statement for Information Collections Designed for Research, Public Health Surveillance, and Program Evaluation Purposes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A1D05" w14:textId="77777777" w:rsidR="00A44317" w:rsidRDefault="00A4431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4"/>
  </w:num>
  <w:num w:numId="11">
    <w:abstractNumId w:val="17"/>
  </w:num>
  <w:num w:numId="12">
    <w:abstractNumId w:val="10"/>
  </w:num>
  <w:num w:numId="13">
    <w:abstractNumId w:val="16"/>
  </w:num>
  <w:num w:numId="14">
    <w:abstractNumId w:val="25"/>
  </w:num>
  <w:num w:numId="15">
    <w:abstractNumId w:val="28"/>
  </w:num>
  <w:num w:numId="16">
    <w:abstractNumId w:val="27"/>
  </w:num>
  <w:num w:numId="17">
    <w:abstractNumId w:val="12"/>
  </w:num>
  <w:num w:numId="18">
    <w:abstractNumId w:val="18"/>
  </w:num>
  <w:num w:numId="19">
    <w:abstractNumId w:val="23"/>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2"/>
  </w:num>
  <w:num w:numId="38">
    <w:abstractNumId w:val="29"/>
  </w:num>
  <w:num w:numId="3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85"/>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0577"/>
    <w:rsid w:val="00023F49"/>
    <w:rsid w:val="0003072A"/>
    <w:rsid w:val="00033600"/>
    <w:rsid w:val="000336D2"/>
    <w:rsid w:val="00033B02"/>
    <w:rsid w:val="00033BA6"/>
    <w:rsid w:val="00034595"/>
    <w:rsid w:val="00036CF4"/>
    <w:rsid w:val="00037779"/>
    <w:rsid w:val="0004019D"/>
    <w:rsid w:val="00041CBC"/>
    <w:rsid w:val="000431FC"/>
    <w:rsid w:val="0004484A"/>
    <w:rsid w:val="00046646"/>
    <w:rsid w:val="000472D2"/>
    <w:rsid w:val="000477EB"/>
    <w:rsid w:val="00053204"/>
    <w:rsid w:val="00053F99"/>
    <w:rsid w:val="00055134"/>
    <w:rsid w:val="00056BBD"/>
    <w:rsid w:val="000579C7"/>
    <w:rsid w:val="00060D38"/>
    <w:rsid w:val="00064CFB"/>
    <w:rsid w:val="000658FB"/>
    <w:rsid w:val="00065DE1"/>
    <w:rsid w:val="00066EC1"/>
    <w:rsid w:val="00066F86"/>
    <w:rsid w:val="000674D8"/>
    <w:rsid w:val="0006758E"/>
    <w:rsid w:val="00070D5A"/>
    <w:rsid w:val="000719B9"/>
    <w:rsid w:val="000722B7"/>
    <w:rsid w:val="000732BB"/>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A725C"/>
    <w:rsid w:val="000B0FC7"/>
    <w:rsid w:val="000B1298"/>
    <w:rsid w:val="000B29A2"/>
    <w:rsid w:val="000B2B19"/>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1CA"/>
    <w:rsid w:val="000F79B8"/>
    <w:rsid w:val="00100A7A"/>
    <w:rsid w:val="00102FAC"/>
    <w:rsid w:val="001035CC"/>
    <w:rsid w:val="00106E64"/>
    <w:rsid w:val="00110D5F"/>
    <w:rsid w:val="00110EE5"/>
    <w:rsid w:val="001142A1"/>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3559"/>
    <w:rsid w:val="001343B6"/>
    <w:rsid w:val="001360F2"/>
    <w:rsid w:val="00136129"/>
    <w:rsid w:val="00140412"/>
    <w:rsid w:val="0014130E"/>
    <w:rsid w:val="001450E4"/>
    <w:rsid w:val="00145F3A"/>
    <w:rsid w:val="00146BA5"/>
    <w:rsid w:val="001529D2"/>
    <w:rsid w:val="0015348D"/>
    <w:rsid w:val="00154E93"/>
    <w:rsid w:val="001555F7"/>
    <w:rsid w:val="0016068B"/>
    <w:rsid w:val="001606FF"/>
    <w:rsid w:val="00161870"/>
    <w:rsid w:val="0016400A"/>
    <w:rsid w:val="001645B2"/>
    <w:rsid w:val="001647D1"/>
    <w:rsid w:val="00165B53"/>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97BA9"/>
    <w:rsid w:val="001A074F"/>
    <w:rsid w:val="001A095C"/>
    <w:rsid w:val="001A1F0A"/>
    <w:rsid w:val="001A1FA1"/>
    <w:rsid w:val="001A26FB"/>
    <w:rsid w:val="001A3CA2"/>
    <w:rsid w:val="001A4946"/>
    <w:rsid w:val="001A770B"/>
    <w:rsid w:val="001A7BA2"/>
    <w:rsid w:val="001A7D76"/>
    <w:rsid w:val="001B07E9"/>
    <w:rsid w:val="001B13B1"/>
    <w:rsid w:val="001B30D0"/>
    <w:rsid w:val="001B3F3D"/>
    <w:rsid w:val="001B405E"/>
    <w:rsid w:val="001B484A"/>
    <w:rsid w:val="001B5402"/>
    <w:rsid w:val="001B5915"/>
    <w:rsid w:val="001B5AE2"/>
    <w:rsid w:val="001B6905"/>
    <w:rsid w:val="001C3BCA"/>
    <w:rsid w:val="001C4DCF"/>
    <w:rsid w:val="001D0348"/>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4326"/>
    <w:rsid w:val="001F6E51"/>
    <w:rsid w:val="0020050F"/>
    <w:rsid w:val="0020143E"/>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05AA"/>
    <w:rsid w:val="0023207B"/>
    <w:rsid w:val="002330D8"/>
    <w:rsid w:val="00233297"/>
    <w:rsid w:val="0023403C"/>
    <w:rsid w:val="002342C5"/>
    <w:rsid w:val="00236488"/>
    <w:rsid w:val="002401B4"/>
    <w:rsid w:val="0024044A"/>
    <w:rsid w:val="00241063"/>
    <w:rsid w:val="00241FA1"/>
    <w:rsid w:val="002430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28CF"/>
    <w:rsid w:val="002665DA"/>
    <w:rsid w:val="0026750E"/>
    <w:rsid w:val="00267ABA"/>
    <w:rsid w:val="00271DDE"/>
    <w:rsid w:val="002721E8"/>
    <w:rsid w:val="0027240C"/>
    <w:rsid w:val="00272570"/>
    <w:rsid w:val="00273083"/>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87E81"/>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A72B3"/>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1FD5"/>
    <w:rsid w:val="002E385A"/>
    <w:rsid w:val="002E4949"/>
    <w:rsid w:val="002E6646"/>
    <w:rsid w:val="002E6B89"/>
    <w:rsid w:val="002E6E25"/>
    <w:rsid w:val="002E72B7"/>
    <w:rsid w:val="002E7717"/>
    <w:rsid w:val="002F1308"/>
    <w:rsid w:val="002F3BC4"/>
    <w:rsid w:val="002F472F"/>
    <w:rsid w:val="002F7249"/>
    <w:rsid w:val="003012F0"/>
    <w:rsid w:val="003029EF"/>
    <w:rsid w:val="00302D51"/>
    <w:rsid w:val="00305B3B"/>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3CA"/>
    <w:rsid w:val="003239AA"/>
    <w:rsid w:val="0032421B"/>
    <w:rsid w:val="00324F33"/>
    <w:rsid w:val="003253D6"/>
    <w:rsid w:val="00325C25"/>
    <w:rsid w:val="00326BEA"/>
    <w:rsid w:val="00330250"/>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4FFA"/>
    <w:rsid w:val="003868C5"/>
    <w:rsid w:val="00387A9C"/>
    <w:rsid w:val="00391D57"/>
    <w:rsid w:val="00393366"/>
    <w:rsid w:val="003935E8"/>
    <w:rsid w:val="003937C3"/>
    <w:rsid w:val="003958E4"/>
    <w:rsid w:val="00397224"/>
    <w:rsid w:val="003975B3"/>
    <w:rsid w:val="00397DA3"/>
    <w:rsid w:val="003A1025"/>
    <w:rsid w:val="003A117A"/>
    <w:rsid w:val="003A32F7"/>
    <w:rsid w:val="003A4E13"/>
    <w:rsid w:val="003A7D34"/>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389A"/>
    <w:rsid w:val="003E40FF"/>
    <w:rsid w:val="003E52D7"/>
    <w:rsid w:val="003E788B"/>
    <w:rsid w:val="003F020C"/>
    <w:rsid w:val="003F046C"/>
    <w:rsid w:val="003F448F"/>
    <w:rsid w:val="003F52FB"/>
    <w:rsid w:val="003F59C8"/>
    <w:rsid w:val="003F71D1"/>
    <w:rsid w:val="003F743E"/>
    <w:rsid w:val="003F757E"/>
    <w:rsid w:val="003F79FE"/>
    <w:rsid w:val="003F7A8F"/>
    <w:rsid w:val="00400157"/>
    <w:rsid w:val="00401936"/>
    <w:rsid w:val="00401C1D"/>
    <w:rsid w:val="00405CAB"/>
    <w:rsid w:val="0040644C"/>
    <w:rsid w:val="00410744"/>
    <w:rsid w:val="0041080B"/>
    <w:rsid w:val="00411FF6"/>
    <w:rsid w:val="00412D75"/>
    <w:rsid w:val="0041335E"/>
    <w:rsid w:val="004146B1"/>
    <w:rsid w:val="00420E45"/>
    <w:rsid w:val="00420ECE"/>
    <w:rsid w:val="00420FFD"/>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4CA4"/>
    <w:rsid w:val="00455CD5"/>
    <w:rsid w:val="004560AF"/>
    <w:rsid w:val="004566BF"/>
    <w:rsid w:val="00456D48"/>
    <w:rsid w:val="0046198A"/>
    <w:rsid w:val="00461DE8"/>
    <w:rsid w:val="00461FA7"/>
    <w:rsid w:val="00464200"/>
    <w:rsid w:val="00465BF8"/>
    <w:rsid w:val="004704A5"/>
    <w:rsid w:val="00470A49"/>
    <w:rsid w:val="004712BA"/>
    <w:rsid w:val="004715A1"/>
    <w:rsid w:val="004716D6"/>
    <w:rsid w:val="00471F33"/>
    <w:rsid w:val="00475995"/>
    <w:rsid w:val="004765E8"/>
    <w:rsid w:val="004769A6"/>
    <w:rsid w:val="0048034F"/>
    <w:rsid w:val="00481AE8"/>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8BE"/>
    <w:rsid w:val="004B3DD4"/>
    <w:rsid w:val="004B40F0"/>
    <w:rsid w:val="004B64BA"/>
    <w:rsid w:val="004B6825"/>
    <w:rsid w:val="004B7641"/>
    <w:rsid w:val="004B79D8"/>
    <w:rsid w:val="004C1A0A"/>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3D0E"/>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35C4"/>
    <w:rsid w:val="00513856"/>
    <w:rsid w:val="00515D16"/>
    <w:rsid w:val="00516E57"/>
    <w:rsid w:val="005268FF"/>
    <w:rsid w:val="00526C21"/>
    <w:rsid w:val="005275F2"/>
    <w:rsid w:val="00530138"/>
    <w:rsid w:val="005325CA"/>
    <w:rsid w:val="00533D02"/>
    <w:rsid w:val="00533FDE"/>
    <w:rsid w:val="00536353"/>
    <w:rsid w:val="005424AB"/>
    <w:rsid w:val="00543CF5"/>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9AD"/>
    <w:rsid w:val="00565A02"/>
    <w:rsid w:val="00565E7B"/>
    <w:rsid w:val="00566777"/>
    <w:rsid w:val="005679C5"/>
    <w:rsid w:val="00567ACA"/>
    <w:rsid w:val="0057270E"/>
    <w:rsid w:val="00573BD6"/>
    <w:rsid w:val="00573EA1"/>
    <w:rsid w:val="00576204"/>
    <w:rsid w:val="00577581"/>
    <w:rsid w:val="00577590"/>
    <w:rsid w:val="00577A31"/>
    <w:rsid w:val="0058246D"/>
    <w:rsid w:val="005833A4"/>
    <w:rsid w:val="005835AD"/>
    <w:rsid w:val="00583E15"/>
    <w:rsid w:val="00584208"/>
    <w:rsid w:val="005907B1"/>
    <w:rsid w:val="00592EFE"/>
    <w:rsid w:val="00594204"/>
    <w:rsid w:val="005945DD"/>
    <w:rsid w:val="0059556A"/>
    <w:rsid w:val="00596DCD"/>
    <w:rsid w:val="00596E55"/>
    <w:rsid w:val="00597D6E"/>
    <w:rsid w:val="005A0251"/>
    <w:rsid w:val="005A23AE"/>
    <w:rsid w:val="005A2BB9"/>
    <w:rsid w:val="005A2F5E"/>
    <w:rsid w:val="005A5897"/>
    <w:rsid w:val="005A630E"/>
    <w:rsid w:val="005A6ECA"/>
    <w:rsid w:val="005A7794"/>
    <w:rsid w:val="005A7B66"/>
    <w:rsid w:val="005B0D41"/>
    <w:rsid w:val="005B1EB6"/>
    <w:rsid w:val="005B2493"/>
    <w:rsid w:val="005B2F71"/>
    <w:rsid w:val="005B3504"/>
    <w:rsid w:val="005B3B70"/>
    <w:rsid w:val="005B5D05"/>
    <w:rsid w:val="005B7895"/>
    <w:rsid w:val="005C0DD9"/>
    <w:rsid w:val="005C2B60"/>
    <w:rsid w:val="005C4C0A"/>
    <w:rsid w:val="005C5E05"/>
    <w:rsid w:val="005D0095"/>
    <w:rsid w:val="005D1C1A"/>
    <w:rsid w:val="005D2794"/>
    <w:rsid w:val="005D58F9"/>
    <w:rsid w:val="005D7D50"/>
    <w:rsid w:val="005E0607"/>
    <w:rsid w:val="005E1365"/>
    <w:rsid w:val="005E198B"/>
    <w:rsid w:val="005E1C6F"/>
    <w:rsid w:val="005E2377"/>
    <w:rsid w:val="005E3393"/>
    <w:rsid w:val="005E7828"/>
    <w:rsid w:val="005F2B42"/>
    <w:rsid w:val="005F3199"/>
    <w:rsid w:val="005F36BF"/>
    <w:rsid w:val="005F3F66"/>
    <w:rsid w:val="005F6C58"/>
    <w:rsid w:val="005F7603"/>
    <w:rsid w:val="005F7A06"/>
    <w:rsid w:val="006011A4"/>
    <w:rsid w:val="00602577"/>
    <w:rsid w:val="00606E5B"/>
    <w:rsid w:val="006072E5"/>
    <w:rsid w:val="006077DA"/>
    <w:rsid w:val="00607986"/>
    <w:rsid w:val="00607E0C"/>
    <w:rsid w:val="00610C3A"/>
    <w:rsid w:val="0061103A"/>
    <w:rsid w:val="00611FEB"/>
    <w:rsid w:val="006122F2"/>
    <w:rsid w:val="0061252E"/>
    <w:rsid w:val="0061302C"/>
    <w:rsid w:val="00613F43"/>
    <w:rsid w:val="00614327"/>
    <w:rsid w:val="00615361"/>
    <w:rsid w:val="00615EAF"/>
    <w:rsid w:val="00616A3E"/>
    <w:rsid w:val="0061718B"/>
    <w:rsid w:val="006176D9"/>
    <w:rsid w:val="00617894"/>
    <w:rsid w:val="00617A7E"/>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4D3B"/>
    <w:rsid w:val="00656B0C"/>
    <w:rsid w:val="00660F3E"/>
    <w:rsid w:val="00661BB0"/>
    <w:rsid w:val="006622FC"/>
    <w:rsid w:val="00664557"/>
    <w:rsid w:val="00665ADF"/>
    <w:rsid w:val="00667052"/>
    <w:rsid w:val="00673DDC"/>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396D"/>
    <w:rsid w:val="00694548"/>
    <w:rsid w:val="00696206"/>
    <w:rsid w:val="00696BF8"/>
    <w:rsid w:val="006970A0"/>
    <w:rsid w:val="006A2391"/>
    <w:rsid w:val="006A352E"/>
    <w:rsid w:val="006A4D11"/>
    <w:rsid w:val="006A5C7B"/>
    <w:rsid w:val="006A78E9"/>
    <w:rsid w:val="006A7B00"/>
    <w:rsid w:val="006B022A"/>
    <w:rsid w:val="006B16CD"/>
    <w:rsid w:val="006B273F"/>
    <w:rsid w:val="006B2ADF"/>
    <w:rsid w:val="006B5555"/>
    <w:rsid w:val="006C1719"/>
    <w:rsid w:val="006C1C63"/>
    <w:rsid w:val="006C20BB"/>
    <w:rsid w:val="006C2DC4"/>
    <w:rsid w:val="006C33F0"/>
    <w:rsid w:val="006C4724"/>
    <w:rsid w:val="006C6F09"/>
    <w:rsid w:val="006C7A9C"/>
    <w:rsid w:val="006D468E"/>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6F7288"/>
    <w:rsid w:val="0070033A"/>
    <w:rsid w:val="00700C6A"/>
    <w:rsid w:val="00700D2C"/>
    <w:rsid w:val="00700F47"/>
    <w:rsid w:val="007010E7"/>
    <w:rsid w:val="00703CA9"/>
    <w:rsid w:val="00703EF0"/>
    <w:rsid w:val="00705C95"/>
    <w:rsid w:val="00706AA5"/>
    <w:rsid w:val="00707EA8"/>
    <w:rsid w:val="00712BE5"/>
    <w:rsid w:val="00714877"/>
    <w:rsid w:val="0071523F"/>
    <w:rsid w:val="00715E0A"/>
    <w:rsid w:val="007161BA"/>
    <w:rsid w:val="007169AB"/>
    <w:rsid w:val="007173D2"/>
    <w:rsid w:val="00717492"/>
    <w:rsid w:val="007208A3"/>
    <w:rsid w:val="00721EC1"/>
    <w:rsid w:val="00723DEC"/>
    <w:rsid w:val="00725416"/>
    <w:rsid w:val="007269A5"/>
    <w:rsid w:val="007269D9"/>
    <w:rsid w:val="00727AE3"/>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C19"/>
    <w:rsid w:val="00797CE3"/>
    <w:rsid w:val="00797E32"/>
    <w:rsid w:val="00797EAE"/>
    <w:rsid w:val="007A1623"/>
    <w:rsid w:val="007A1A76"/>
    <w:rsid w:val="007A1C89"/>
    <w:rsid w:val="007A1DCD"/>
    <w:rsid w:val="007A1F25"/>
    <w:rsid w:val="007A271C"/>
    <w:rsid w:val="007A2A1A"/>
    <w:rsid w:val="007A2BBD"/>
    <w:rsid w:val="007A4A9B"/>
    <w:rsid w:val="007A5ABD"/>
    <w:rsid w:val="007A60CD"/>
    <w:rsid w:val="007A6D0A"/>
    <w:rsid w:val="007A6E47"/>
    <w:rsid w:val="007B1000"/>
    <w:rsid w:val="007B17CC"/>
    <w:rsid w:val="007B595B"/>
    <w:rsid w:val="007C2C18"/>
    <w:rsid w:val="007C323E"/>
    <w:rsid w:val="007C33D5"/>
    <w:rsid w:val="007C4015"/>
    <w:rsid w:val="007C45F3"/>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266B"/>
    <w:rsid w:val="00803D29"/>
    <w:rsid w:val="008062F4"/>
    <w:rsid w:val="00811BF9"/>
    <w:rsid w:val="008132B3"/>
    <w:rsid w:val="00813368"/>
    <w:rsid w:val="00814C7B"/>
    <w:rsid w:val="00816FAF"/>
    <w:rsid w:val="0082062C"/>
    <w:rsid w:val="008214F1"/>
    <w:rsid w:val="0082290E"/>
    <w:rsid w:val="008241A3"/>
    <w:rsid w:val="00824CC2"/>
    <w:rsid w:val="00824E29"/>
    <w:rsid w:val="00824E9D"/>
    <w:rsid w:val="00825450"/>
    <w:rsid w:val="00827721"/>
    <w:rsid w:val="00827986"/>
    <w:rsid w:val="00830954"/>
    <w:rsid w:val="00830F76"/>
    <w:rsid w:val="00831958"/>
    <w:rsid w:val="0083285A"/>
    <w:rsid w:val="00833523"/>
    <w:rsid w:val="00833B9E"/>
    <w:rsid w:val="008372CB"/>
    <w:rsid w:val="00842033"/>
    <w:rsid w:val="008430F5"/>
    <w:rsid w:val="00845E6F"/>
    <w:rsid w:val="00846E70"/>
    <w:rsid w:val="00850DBA"/>
    <w:rsid w:val="00850FB0"/>
    <w:rsid w:val="0085267A"/>
    <w:rsid w:val="00852CC6"/>
    <w:rsid w:val="00854E43"/>
    <w:rsid w:val="00855D22"/>
    <w:rsid w:val="00860FE5"/>
    <w:rsid w:val="0086106F"/>
    <w:rsid w:val="008614CA"/>
    <w:rsid w:val="00862585"/>
    <w:rsid w:val="008637FD"/>
    <w:rsid w:val="008646EE"/>
    <w:rsid w:val="0086537A"/>
    <w:rsid w:val="00867B2D"/>
    <w:rsid w:val="008737FE"/>
    <w:rsid w:val="00873F0F"/>
    <w:rsid w:val="00874B16"/>
    <w:rsid w:val="008763FC"/>
    <w:rsid w:val="00876676"/>
    <w:rsid w:val="00876B50"/>
    <w:rsid w:val="008811F9"/>
    <w:rsid w:val="00881205"/>
    <w:rsid w:val="0088182A"/>
    <w:rsid w:val="0088191A"/>
    <w:rsid w:val="00883EFD"/>
    <w:rsid w:val="00884F97"/>
    <w:rsid w:val="008872B6"/>
    <w:rsid w:val="0089037B"/>
    <w:rsid w:val="00890981"/>
    <w:rsid w:val="00891AE7"/>
    <w:rsid w:val="008934C7"/>
    <w:rsid w:val="008939A4"/>
    <w:rsid w:val="00894291"/>
    <w:rsid w:val="0089442B"/>
    <w:rsid w:val="0089515A"/>
    <w:rsid w:val="008954A9"/>
    <w:rsid w:val="008959F2"/>
    <w:rsid w:val="00897485"/>
    <w:rsid w:val="008A11A5"/>
    <w:rsid w:val="008A1BBB"/>
    <w:rsid w:val="008A2F05"/>
    <w:rsid w:val="008A4A7E"/>
    <w:rsid w:val="008A6FD8"/>
    <w:rsid w:val="008A7C96"/>
    <w:rsid w:val="008B183D"/>
    <w:rsid w:val="008B261B"/>
    <w:rsid w:val="008B6172"/>
    <w:rsid w:val="008B7D5B"/>
    <w:rsid w:val="008C2359"/>
    <w:rsid w:val="008C2EC8"/>
    <w:rsid w:val="008C3F98"/>
    <w:rsid w:val="008C4027"/>
    <w:rsid w:val="008C70D3"/>
    <w:rsid w:val="008D1D14"/>
    <w:rsid w:val="008D204F"/>
    <w:rsid w:val="008D3A2D"/>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2027"/>
    <w:rsid w:val="008F32A4"/>
    <w:rsid w:val="008F39E3"/>
    <w:rsid w:val="008F3B0E"/>
    <w:rsid w:val="008F3C40"/>
    <w:rsid w:val="008F4D8A"/>
    <w:rsid w:val="008F6786"/>
    <w:rsid w:val="008F6915"/>
    <w:rsid w:val="008F6D92"/>
    <w:rsid w:val="009007E8"/>
    <w:rsid w:val="00900C3E"/>
    <w:rsid w:val="009028A0"/>
    <w:rsid w:val="00903927"/>
    <w:rsid w:val="00904744"/>
    <w:rsid w:val="00904D12"/>
    <w:rsid w:val="009064D5"/>
    <w:rsid w:val="00906C4B"/>
    <w:rsid w:val="0090731C"/>
    <w:rsid w:val="00907B8D"/>
    <w:rsid w:val="009100F5"/>
    <w:rsid w:val="00910A73"/>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8C9"/>
    <w:rsid w:val="00927D21"/>
    <w:rsid w:val="009307EF"/>
    <w:rsid w:val="00930836"/>
    <w:rsid w:val="009333B8"/>
    <w:rsid w:val="009357D7"/>
    <w:rsid w:val="009365B0"/>
    <w:rsid w:val="00940B48"/>
    <w:rsid w:val="00940FE8"/>
    <w:rsid w:val="00941C9E"/>
    <w:rsid w:val="009430D9"/>
    <w:rsid w:val="00943248"/>
    <w:rsid w:val="0094543B"/>
    <w:rsid w:val="009460E9"/>
    <w:rsid w:val="0095021D"/>
    <w:rsid w:val="0095078C"/>
    <w:rsid w:val="00950C3D"/>
    <w:rsid w:val="00951779"/>
    <w:rsid w:val="00953675"/>
    <w:rsid w:val="00955C65"/>
    <w:rsid w:val="00955CD8"/>
    <w:rsid w:val="00955E8E"/>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0140"/>
    <w:rsid w:val="009D34EC"/>
    <w:rsid w:val="009D744D"/>
    <w:rsid w:val="009E2267"/>
    <w:rsid w:val="009E4004"/>
    <w:rsid w:val="009E59FD"/>
    <w:rsid w:val="009F24E1"/>
    <w:rsid w:val="009F533B"/>
    <w:rsid w:val="009F5892"/>
    <w:rsid w:val="009F7C2B"/>
    <w:rsid w:val="00A00BE0"/>
    <w:rsid w:val="00A0206A"/>
    <w:rsid w:val="00A02145"/>
    <w:rsid w:val="00A02FA6"/>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537"/>
    <w:rsid w:val="00A362A2"/>
    <w:rsid w:val="00A36554"/>
    <w:rsid w:val="00A37298"/>
    <w:rsid w:val="00A377FA"/>
    <w:rsid w:val="00A37D3E"/>
    <w:rsid w:val="00A407EB"/>
    <w:rsid w:val="00A40E39"/>
    <w:rsid w:val="00A4281E"/>
    <w:rsid w:val="00A43809"/>
    <w:rsid w:val="00A44317"/>
    <w:rsid w:val="00A47022"/>
    <w:rsid w:val="00A52A6E"/>
    <w:rsid w:val="00A52B19"/>
    <w:rsid w:val="00A5306C"/>
    <w:rsid w:val="00A541E7"/>
    <w:rsid w:val="00A5443F"/>
    <w:rsid w:val="00A54E07"/>
    <w:rsid w:val="00A557D6"/>
    <w:rsid w:val="00A562A9"/>
    <w:rsid w:val="00A57138"/>
    <w:rsid w:val="00A660FC"/>
    <w:rsid w:val="00A66476"/>
    <w:rsid w:val="00A66E99"/>
    <w:rsid w:val="00A67F0A"/>
    <w:rsid w:val="00A70235"/>
    <w:rsid w:val="00A70422"/>
    <w:rsid w:val="00A712CE"/>
    <w:rsid w:val="00A714AC"/>
    <w:rsid w:val="00A72686"/>
    <w:rsid w:val="00A75C6C"/>
    <w:rsid w:val="00A823A2"/>
    <w:rsid w:val="00A82D7A"/>
    <w:rsid w:val="00A83588"/>
    <w:rsid w:val="00A83B1F"/>
    <w:rsid w:val="00A84430"/>
    <w:rsid w:val="00A85EB8"/>
    <w:rsid w:val="00A85FF9"/>
    <w:rsid w:val="00A8606A"/>
    <w:rsid w:val="00A8699B"/>
    <w:rsid w:val="00A879A3"/>
    <w:rsid w:val="00A87E42"/>
    <w:rsid w:val="00A90859"/>
    <w:rsid w:val="00A91E31"/>
    <w:rsid w:val="00A9212A"/>
    <w:rsid w:val="00A922C3"/>
    <w:rsid w:val="00A926F6"/>
    <w:rsid w:val="00A92F8D"/>
    <w:rsid w:val="00A94247"/>
    <w:rsid w:val="00A957B9"/>
    <w:rsid w:val="00A9672F"/>
    <w:rsid w:val="00A967A7"/>
    <w:rsid w:val="00A967F1"/>
    <w:rsid w:val="00A97708"/>
    <w:rsid w:val="00AA0175"/>
    <w:rsid w:val="00AA066A"/>
    <w:rsid w:val="00AA0FF2"/>
    <w:rsid w:val="00AA69BA"/>
    <w:rsid w:val="00AA6CA3"/>
    <w:rsid w:val="00AA73DA"/>
    <w:rsid w:val="00AA756C"/>
    <w:rsid w:val="00AB0A1B"/>
    <w:rsid w:val="00AB1845"/>
    <w:rsid w:val="00AB3371"/>
    <w:rsid w:val="00AB3E20"/>
    <w:rsid w:val="00AB4E1F"/>
    <w:rsid w:val="00AB555E"/>
    <w:rsid w:val="00AB7A09"/>
    <w:rsid w:val="00AC16FB"/>
    <w:rsid w:val="00AC17C7"/>
    <w:rsid w:val="00AC18E1"/>
    <w:rsid w:val="00AC1B8D"/>
    <w:rsid w:val="00AC6EB9"/>
    <w:rsid w:val="00AC730E"/>
    <w:rsid w:val="00AC75D2"/>
    <w:rsid w:val="00AD6654"/>
    <w:rsid w:val="00AE0B85"/>
    <w:rsid w:val="00AE4DB7"/>
    <w:rsid w:val="00AE5B67"/>
    <w:rsid w:val="00AE7F76"/>
    <w:rsid w:val="00AF062F"/>
    <w:rsid w:val="00AF159C"/>
    <w:rsid w:val="00AF1C85"/>
    <w:rsid w:val="00AF27D6"/>
    <w:rsid w:val="00AF2A99"/>
    <w:rsid w:val="00AF4247"/>
    <w:rsid w:val="00AF4BAB"/>
    <w:rsid w:val="00AF6882"/>
    <w:rsid w:val="00AF694E"/>
    <w:rsid w:val="00AF717A"/>
    <w:rsid w:val="00B032E6"/>
    <w:rsid w:val="00B05063"/>
    <w:rsid w:val="00B07467"/>
    <w:rsid w:val="00B12207"/>
    <w:rsid w:val="00B1227E"/>
    <w:rsid w:val="00B12575"/>
    <w:rsid w:val="00B13A87"/>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2955"/>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66B54"/>
    <w:rsid w:val="00B70492"/>
    <w:rsid w:val="00B70B25"/>
    <w:rsid w:val="00B7286A"/>
    <w:rsid w:val="00B73BA9"/>
    <w:rsid w:val="00B748BF"/>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344D"/>
    <w:rsid w:val="00BB4B07"/>
    <w:rsid w:val="00BB5C84"/>
    <w:rsid w:val="00BB7A1D"/>
    <w:rsid w:val="00BC1506"/>
    <w:rsid w:val="00BC1F17"/>
    <w:rsid w:val="00BC2CF1"/>
    <w:rsid w:val="00BC333C"/>
    <w:rsid w:val="00BC49E9"/>
    <w:rsid w:val="00BC4A56"/>
    <w:rsid w:val="00BC51CB"/>
    <w:rsid w:val="00BC5461"/>
    <w:rsid w:val="00BC5FD5"/>
    <w:rsid w:val="00BC64C1"/>
    <w:rsid w:val="00BC6702"/>
    <w:rsid w:val="00BC67A4"/>
    <w:rsid w:val="00BC6BCA"/>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4C81"/>
    <w:rsid w:val="00BF5564"/>
    <w:rsid w:val="00BF5CEF"/>
    <w:rsid w:val="00BF6F52"/>
    <w:rsid w:val="00BF7CE0"/>
    <w:rsid w:val="00C01986"/>
    <w:rsid w:val="00C033C1"/>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33F"/>
    <w:rsid w:val="00C33A4B"/>
    <w:rsid w:val="00C35D29"/>
    <w:rsid w:val="00C37330"/>
    <w:rsid w:val="00C405F2"/>
    <w:rsid w:val="00C41F38"/>
    <w:rsid w:val="00C432BA"/>
    <w:rsid w:val="00C43D2F"/>
    <w:rsid w:val="00C44C60"/>
    <w:rsid w:val="00C47C99"/>
    <w:rsid w:val="00C5200C"/>
    <w:rsid w:val="00C5343B"/>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99F"/>
    <w:rsid w:val="00C96EB4"/>
    <w:rsid w:val="00CA0716"/>
    <w:rsid w:val="00CA3879"/>
    <w:rsid w:val="00CA446A"/>
    <w:rsid w:val="00CA5154"/>
    <w:rsid w:val="00CA74FE"/>
    <w:rsid w:val="00CB099D"/>
    <w:rsid w:val="00CB0AD0"/>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6F67"/>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50B"/>
    <w:rsid w:val="00CF66F3"/>
    <w:rsid w:val="00D00653"/>
    <w:rsid w:val="00D0467A"/>
    <w:rsid w:val="00D04944"/>
    <w:rsid w:val="00D06797"/>
    <w:rsid w:val="00D12EE7"/>
    <w:rsid w:val="00D1467B"/>
    <w:rsid w:val="00D1641C"/>
    <w:rsid w:val="00D24B26"/>
    <w:rsid w:val="00D266C9"/>
    <w:rsid w:val="00D2687F"/>
    <w:rsid w:val="00D27C75"/>
    <w:rsid w:val="00D303B9"/>
    <w:rsid w:val="00D3101C"/>
    <w:rsid w:val="00D310F0"/>
    <w:rsid w:val="00D31939"/>
    <w:rsid w:val="00D32374"/>
    <w:rsid w:val="00D32463"/>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9CE"/>
    <w:rsid w:val="00D80D61"/>
    <w:rsid w:val="00D824C4"/>
    <w:rsid w:val="00D8301A"/>
    <w:rsid w:val="00D83BD3"/>
    <w:rsid w:val="00D83CB1"/>
    <w:rsid w:val="00D857B5"/>
    <w:rsid w:val="00D85852"/>
    <w:rsid w:val="00D86275"/>
    <w:rsid w:val="00D87500"/>
    <w:rsid w:val="00D90A52"/>
    <w:rsid w:val="00D90C36"/>
    <w:rsid w:val="00D91B25"/>
    <w:rsid w:val="00D9651B"/>
    <w:rsid w:val="00DA2D71"/>
    <w:rsid w:val="00DA5FF8"/>
    <w:rsid w:val="00DA64F8"/>
    <w:rsid w:val="00DA74FF"/>
    <w:rsid w:val="00DB07B3"/>
    <w:rsid w:val="00DB10A2"/>
    <w:rsid w:val="00DB13C0"/>
    <w:rsid w:val="00DB2243"/>
    <w:rsid w:val="00DB2623"/>
    <w:rsid w:val="00DB2D86"/>
    <w:rsid w:val="00DB6A78"/>
    <w:rsid w:val="00DB75D5"/>
    <w:rsid w:val="00DB79E0"/>
    <w:rsid w:val="00DB7DEC"/>
    <w:rsid w:val="00DC6036"/>
    <w:rsid w:val="00DC617E"/>
    <w:rsid w:val="00DD1AC8"/>
    <w:rsid w:val="00DD1FDF"/>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174B"/>
    <w:rsid w:val="00E12F81"/>
    <w:rsid w:val="00E13C90"/>
    <w:rsid w:val="00E15A0B"/>
    <w:rsid w:val="00E162CE"/>
    <w:rsid w:val="00E16600"/>
    <w:rsid w:val="00E16971"/>
    <w:rsid w:val="00E16AC4"/>
    <w:rsid w:val="00E16F74"/>
    <w:rsid w:val="00E20863"/>
    <w:rsid w:val="00E22050"/>
    <w:rsid w:val="00E22178"/>
    <w:rsid w:val="00E22FF5"/>
    <w:rsid w:val="00E237EF"/>
    <w:rsid w:val="00E238E7"/>
    <w:rsid w:val="00E24C34"/>
    <w:rsid w:val="00E25401"/>
    <w:rsid w:val="00E259BC"/>
    <w:rsid w:val="00E2675A"/>
    <w:rsid w:val="00E2740D"/>
    <w:rsid w:val="00E27A95"/>
    <w:rsid w:val="00E30CC1"/>
    <w:rsid w:val="00E30E00"/>
    <w:rsid w:val="00E31427"/>
    <w:rsid w:val="00E314A8"/>
    <w:rsid w:val="00E33193"/>
    <w:rsid w:val="00E33562"/>
    <w:rsid w:val="00E344BE"/>
    <w:rsid w:val="00E36477"/>
    <w:rsid w:val="00E376FA"/>
    <w:rsid w:val="00E408A8"/>
    <w:rsid w:val="00E41899"/>
    <w:rsid w:val="00E41D91"/>
    <w:rsid w:val="00E4259A"/>
    <w:rsid w:val="00E43B7D"/>
    <w:rsid w:val="00E44BC2"/>
    <w:rsid w:val="00E45008"/>
    <w:rsid w:val="00E47785"/>
    <w:rsid w:val="00E512BC"/>
    <w:rsid w:val="00E518CC"/>
    <w:rsid w:val="00E52A0B"/>
    <w:rsid w:val="00E55097"/>
    <w:rsid w:val="00E556F2"/>
    <w:rsid w:val="00E56939"/>
    <w:rsid w:val="00E605F4"/>
    <w:rsid w:val="00E60967"/>
    <w:rsid w:val="00E60C30"/>
    <w:rsid w:val="00E61AB6"/>
    <w:rsid w:val="00E62AF4"/>
    <w:rsid w:val="00E652E0"/>
    <w:rsid w:val="00E653EE"/>
    <w:rsid w:val="00E66326"/>
    <w:rsid w:val="00E6747B"/>
    <w:rsid w:val="00E71168"/>
    <w:rsid w:val="00E720E2"/>
    <w:rsid w:val="00E72DC9"/>
    <w:rsid w:val="00E73099"/>
    <w:rsid w:val="00E752A9"/>
    <w:rsid w:val="00E76CF8"/>
    <w:rsid w:val="00E82DB1"/>
    <w:rsid w:val="00E82DC3"/>
    <w:rsid w:val="00E8300C"/>
    <w:rsid w:val="00E84667"/>
    <w:rsid w:val="00E848F5"/>
    <w:rsid w:val="00E8520C"/>
    <w:rsid w:val="00E853A3"/>
    <w:rsid w:val="00E8560D"/>
    <w:rsid w:val="00E85828"/>
    <w:rsid w:val="00E9062D"/>
    <w:rsid w:val="00E90DB3"/>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0D5"/>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566"/>
    <w:rsid w:val="00EE7862"/>
    <w:rsid w:val="00EF0FEA"/>
    <w:rsid w:val="00EF4F5A"/>
    <w:rsid w:val="00EF6A0D"/>
    <w:rsid w:val="00F01337"/>
    <w:rsid w:val="00F014CE"/>
    <w:rsid w:val="00F02232"/>
    <w:rsid w:val="00F023C1"/>
    <w:rsid w:val="00F0315F"/>
    <w:rsid w:val="00F03548"/>
    <w:rsid w:val="00F056E5"/>
    <w:rsid w:val="00F05F39"/>
    <w:rsid w:val="00F079F6"/>
    <w:rsid w:val="00F07C3B"/>
    <w:rsid w:val="00F10CF4"/>
    <w:rsid w:val="00F1120E"/>
    <w:rsid w:val="00F1130C"/>
    <w:rsid w:val="00F131BB"/>
    <w:rsid w:val="00F156C2"/>
    <w:rsid w:val="00F158B8"/>
    <w:rsid w:val="00F15D04"/>
    <w:rsid w:val="00F16399"/>
    <w:rsid w:val="00F17148"/>
    <w:rsid w:val="00F17864"/>
    <w:rsid w:val="00F178DE"/>
    <w:rsid w:val="00F17B6F"/>
    <w:rsid w:val="00F2096A"/>
    <w:rsid w:val="00F20FA3"/>
    <w:rsid w:val="00F21396"/>
    <w:rsid w:val="00F215E3"/>
    <w:rsid w:val="00F223BA"/>
    <w:rsid w:val="00F22696"/>
    <w:rsid w:val="00F22832"/>
    <w:rsid w:val="00F22CE6"/>
    <w:rsid w:val="00F23248"/>
    <w:rsid w:val="00F23515"/>
    <w:rsid w:val="00F25BF2"/>
    <w:rsid w:val="00F26932"/>
    <w:rsid w:val="00F272FE"/>
    <w:rsid w:val="00F31712"/>
    <w:rsid w:val="00F34147"/>
    <w:rsid w:val="00F35807"/>
    <w:rsid w:val="00F42590"/>
    <w:rsid w:val="00F468EB"/>
    <w:rsid w:val="00F50C89"/>
    <w:rsid w:val="00F53A20"/>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57FC"/>
    <w:rsid w:val="00FA5A00"/>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7F694D"/>
  <w15:chartTrackingRefBased/>
  <w15:docId w15:val="{64A367E2-2560-4944-A1C1-3FFF2AD9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autoRedefine/>
    <w:qFormat/>
    <w:rsid w:val="00DA74FF"/>
    <w:pPr>
      <w:ind w:left="576" w:hanging="576"/>
      <w:outlineLvl w:val="2"/>
    </w:pPr>
    <w:rPr>
      <w:b w:val="0"/>
      <w:sz w:val="24"/>
    </w:rPr>
  </w:style>
  <w:style w:type="paragraph" w:customStyle="1" w:styleId="H3">
    <w:name w:val="H3"/>
    <w:basedOn w:val="H1"/>
    <w:next w:val="ParagraphContinued"/>
    <w:link w:val="H3Char"/>
    <w:autoRedefine/>
    <w:qFormat/>
    <w:rsid w:val="00DA74FF"/>
    <w:pPr>
      <w:ind w:left="576" w:hanging="576"/>
      <w:outlineLvl w:val="3"/>
    </w:pPr>
    <w:rPr>
      <w:rFonts w:asciiTheme="minorHAnsi" w:hAnsiTheme="minorHAnsi"/>
      <w:color w:val="000000" w:themeColor="text1"/>
      <w:sz w:val="22"/>
    </w:rPr>
  </w:style>
  <w:style w:type="paragraph" w:customStyle="1" w:styleId="H4">
    <w:name w:val="H4"/>
    <w:basedOn w:val="H1"/>
    <w:next w:val="ParagraphContinued"/>
    <w:autoRedefine/>
    <w:qFormat/>
    <w:rsid w:val="00533FDE"/>
    <w:pPr>
      <w:ind w:left="576" w:hanging="576"/>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862585"/>
  </w:style>
  <w:style w:type="paragraph" w:customStyle="1" w:styleId="ReportCover-Title">
    <w:name w:val="ReportCover-Title"/>
    <w:basedOn w:val="Normal"/>
    <w:semiHidden/>
    <w:rsid w:val="00862585"/>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862585"/>
    <w:pPr>
      <w:spacing w:after="840" w:line="260" w:lineRule="exact"/>
    </w:pPr>
    <w:rPr>
      <w:rFonts w:ascii="Franklin Gothic Medium" w:eastAsia="Times New Roman" w:hAnsi="Franklin Gothic Medium" w:cs="Times New Roman"/>
      <w:b/>
      <w:color w:val="003C79"/>
      <w:sz w:val="24"/>
      <w:szCs w:val="20"/>
    </w:rPr>
  </w:style>
  <w:style w:type="character" w:customStyle="1" w:styleId="H3Char">
    <w:name w:val="H3 Char"/>
    <w:basedOn w:val="DefaultParagraphFont"/>
    <w:link w:val="H3"/>
    <w:rsid w:val="00DA74FF"/>
    <w:rPr>
      <w:rFonts w:eastAsiaTheme="majorEastAsia" w:cstheme="majorBidi"/>
      <w:b/>
      <w:color w:val="000000" w:themeColor="text1"/>
      <w:szCs w:val="32"/>
    </w:rPr>
  </w:style>
  <w:style w:type="character" w:customStyle="1" w:styleId="ProjectRole">
    <w:name w:val="ProjectRole"/>
    <w:basedOn w:val="DefaultParagraphFont"/>
    <w:semiHidden/>
    <w:qFormat/>
    <w:rsid w:val="00D809C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nnie.Mackintosh@acf.hhs.gov" TargetMode="External"/><Relationship Id="rId18" Type="http://schemas.openxmlformats.org/officeDocument/2006/relationships/hyperlink" Target="mailto:AKelly@mathematica-Mpr.com"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Nina.Hetzner@acf.hhs.gov" TargetMode="External"/><Relationship Id="rId17" Type="http://schemas.openxmlformats.org/officeDocument/2006/relationships/hyperlink" Target="mailto:YXue@mathematica-Mpr.com" TargetMode="External"/><Relationship Id="rId2" Type="http://schemas.openxmlformats.org/officeDocument/2006/relationships/customXml" Target="../customXml/item2.xml"/><Relationship Id="rId16" Type="http://schemas.openxmlformats.org/officeDocument/2006/relationships/hyperlink" Target="mailto:Anne.Douglass@umb.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Malone@Mathematica-Mpr.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GKirby@Mathematica-Mpr.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F58F09-702C-4C4B-9AE8-18B46C96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12</TotalTime>
  <Pages>14</Pages>
  <Words>5611</Words>
  <Characters>31988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Scilla Albanese</cp:lastModifiedBy>
  <cp:revision>7</cp:revision>
  <cp:lastPrinted>2020-09-11T21:32:00Z</cp:lastPrinted>
  <dcterms:created xsi:type="dcterms:W3CDTF">2021-07-14T16:23:00Z</dcterms:created>
  <dcterms:modified xsi:type="dcterms:W3CDTF">2021-07-26T16:35:00Z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