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1E90E5E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776D09">
        <w:t>Steph Tatham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4470FEF1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C41E32">
        <w:t>Anastasia Brown</w:t>
      </w:r>
    </w:p>
    <w:p w:rsidR="0005680D" w:rsidP="0005680D" w:rsidRDefault="0005680D" w14:paraId="48DB0716" w14:textId="53EC94CB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 xml:space="preserve">Office of </w:t>
      </w:r>
      <w:r w:rsidR="00CC6811">
        <w:t>Refugee Resettlement (ORR)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0EC3D85E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C41E32">
        <w:t>February</w:t>
      </w:r>
      <w:r w:rsidRPr="000A1D6D">
        <w:t xml:space="preserve">, </w:t>
      </w:r>
      <w:r w:rsidR="00C41E32">
        <w:t>4</w:t>
      </w:r>
      <w:r w:rsidRPr="000A1D6D" w:rsidR="000A1D6D">
        <w:t xml:space="preserve">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Pr="00CC6811" w:rsidR="0005680D" w:rsidP="00CC6811" w:rsidRDefault="0005680D" w14:paraId="3A89B6CD" w14:textId="446BA7DE">
      <w:pPr>
        <w:ind w:left="1080" w:hanging="1080"/>
      </w:pPr>
      <w:r w:rsidRPr="00CC6811">
        <w:rPr>
          <w:b/>
        </w:rPr>
        <w:t>Subject:</w:t>
      </w:r>
      <w:r w:rsidRPr="00CC6811">
        <w:tab/>
        <w:t xml:space="preserve">NonSubstantive Change Request – </w:t>
      </w:r>
      <w:r w:rsidRPr="000A1D6D" w:rsidR="000A1D6D">
        <w:t>Microenterprise Development Program Indicators</w:t>
      </w:r>
      <w:r w:rsidRPr="00CC6811" w:rsidR="00CC6811">
        <w:t xml:space="preserve"> under the ACF Generic Program-Specific Performance Progress Report (PPR)</w:t>
      </w:r>
      <w:r w:rsidRPr="00CC6811">
        <w:t xml:space="preserve"> (OMB #0970-0</w:t>
      </w:r>
      <w:r w:rsidR="00CC6811">
        <w:t>490</w:t>
      </w:r>
      <w:r w:rsidRPr="00CC6811"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3D63E569">
      <w:r>
        <w:t xml:space="preserve">This memo requests approval of nonsubstantive changes to the approved </w:t>
      </w:r>
      <w:r w:rsidR="00CC6811">
        <w:t xml:space="preserve">generic </w:t>
      </w:r>
      <w:r>
        <w:t xml:space="preserve">information collection, </w:t>
      </w:r>
      <w:r w:rsidRPr="000A1D6D" w:rsidR="000A1D6D">
        <w:t>Microenterprise Development Program Indicators</w:t>
      </w:r>
      <w:r w:rsidRPr="00CC6811" w:rsidR="00CC6811">
        <w:t xml:space="preserve"> under the ACF Generic Program-Specific Performance Progress Report (PPR) (OMB #0970-0</w:t>
      </w:r>
      <w:r w:rsidR="00CC6811">
        <w:t>490</w:t>
      </w:r>
      <w:r w:rsidRPr="00CC6811" w:rsidR="00CC6811">
        <w:t>)</w:t>
      </w:r>
      <w:r w:rsidR="00CC6811">
        <w:t>.</w:t>
      </w:r>
    </w:p>
    <w:p w:rsidR="0005680D" w:rsidP="0005680D" w:rsidRDefault="0005680D" w14:paraId="6BF529D8" w14:textId="77777777"/>
    <w:p w:rsidR="0005680D" w:rsidP="0005680D" w:rsidRDefault="0005680D" w14:paraId="37532181" w14:textId="3C64CD34">
      <w:pPr>
        <w:spacing w:after="120"/>
        <w:rPr>
          <w:b/>
          <w:i/>
        </w:rPr>
      </w:pPr>
      <w:r>
        <w:rPr>
          <w:b/>
          <w:i/>
        </w:rPr>
        <w:t>Background</w:t>
      </w:r>
    </w:p>
    <w:p w:rsidRPr="000A1D6D" w:rsidR="000A1D6D" w:rsidP="0005680D" w:rsidRDefault="000A1D6D" w14:paraId="0221187D" w14:textId="6BC6EE0E">
      <w:pPr>
        <w:spacing w:after="120"/>
      </w:pPr>
      <w:r>
        <w:t xml:space="preserve">The Office of Management and Budget approved the Microenterprise Development Program Indicators on November 7, 2019. After speaking with the organizations that would be responsible for collecting the </w:t>
      </w:r>
      <w:r w:rsidR="00DA7EB6">
        <w:t>data</w:t>
      </w:r>
      <w:r>
        <w:t xml:space="preserve"> it became</w:t>
      </w:r>
      <w:r w:rsidR="0060184D">
        <w:t xml:space="preserve"> apparent that five</w:t>
      </w:r>
      <w:r>
        <w:t xml:space="preserve"> of the fifteen indicators required </w:t>
      </w:r>
      <w:r w:rsidR="0083026B">
        <w:t>clearer</w:t>
      </w:r>
      <w:r>
        <w:t xml:space="preserve"> instructions to ensure accurate reporting. Another indicator was slightly different </w:t>
      </w:r>
      <w:r w:rsidR="009E553D">
        <w:t>from a Small Business Administration</w:t>
      </w:r>
      <w:r w:rsidR="00DA7EB6">
        <w:t xml:space="preserve"> (SBA)</w:t>
      </w:r>
      <w:r w:rsidR="009E553D">
        <w:t xml:space="preserve"> </w:t>
      </w:r>
      <w:r w:rsidR="00563CD7">
        <w:t xml:space="preserve">version, so we decided to standardize the indicator across agencies. </w:t>
      </w:r>
      <w:r w:rsidR="00483E17">
        <w:t xml:space="preserve">We also chose to disaggregate our lending outcomes by funder in order to provide </w:t>
      </w:r>
      <w:r w:rsidR="00776D09">
        <w:t>the Office of Refugee Resettlement (</w:t>
      </w:r>
      <w:r w:rsidR="00483E17">
        <w:t>ORR</w:t>
      </w:r>
      <w:r w:rsidR="00776D09">
        <w:t>)</w:t>
      </w:r>
      <w:r w:rsidR="00483E17">
        <w:t xml:space="preserve"> with important programmatic information.</w:t>
      </w:r>
    </w:p>
    <w:p w:rsidR="0005680D" w:rsidP="0005680D" w:rsidRDefault="0005680D" w14:paraId="0B392A35" w14:textId="77777777"/>
    <w:p w:rsidR="0005680D" w:rsidP="00C41E32" w:rsidRDefault="0005680D" w14:paraId="5CC77B63" w14:textId="15FA4260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Pr="00CF2742" w:rsidR="00CF2742" w:rsidP="00CF2742" w:rsidRDefault="00CF2742" w14:paraId="3CD1167F" w14:textId="015851F9">
      <w:pPr>
        <w:pStyle w:val="ListParagraph"/>
        <w:numPr>
          <w:ilvl w:val="0"/>
          <w:numId w:val="2"/>
        </w:numPr>
        <w:spacing w:after="100" w:afterAutospacing="1"/>
        <w:rPr>
          <w:b/>
        </w:rPr>
      </w:pPr>
      <w:r w:rsidRPr="00CF2742">
        <w:rPr>
          <w:b/>
          <w:u w:val="single"/>
        </w:rPr>
        <w:t>Indicator Disaggregation</w:t>
      </w:r>
      <w:r>
        <w:rPr>
          <w:b/>
        </w:rPr>
        <w:t xml:space="preserve">: </w:t>
      </w:r>
      <w:r w:rsidRPr="00CF2742">
        <w:t xml:space="preserve">We disaggregated our </w:t>
      </w:r>
      <w:r>
        <w:t>loan disbursement indicators by funder (</w:t>
      </w:r>
      <w:r w:rsidR="00986956">
        <w:t xml:space="preserve">Number and </w:t>
      </w:r>
      <w:r w:rsidR="0083026B">
        <w:t>amount of loans</w:t>
      </w:r>
      <w:r>
        <w:t xml:space="preserve"> financed through</w:t>
      </w:r>
      <w:r w:rsidRPr="00CF2742">
        <w:t xml:space="preserve"> ORR’</w:t>
      </w:r>
      <w:r>
        <w:t>s revolving loan f</w:t>
      </w:r>
      <w:r w:rsidR="00986956">
        <w:t xml:space="preserve">und versus number and </w:t>
      </w:r>
      <w:r w:rsidR="0083026B">
        <w:t xml:space="preserve">amount of loans financed through </w:t>
      </w:r>
      <w:r w:rsidRPr="00144A9E">
        <w:t>leveraged funds)</w:t>
      </w:r>
      <w:r w:rsidR="0083026B">
        <w:rPr>
          <w:rStyle w:val="FootnoteReference"/>
        </w:rPr>
        <w:footnoteReference w:id="1"/>
      </w:r>
      <w:r w:rsidRPr="00144A9E">
        <w:t xml:space="preserve">. </w:t>
      </w:r>
      <w:r w:rsidRPr="00144A9E" w:rsidR="00144A9E">
        <w:t xml:space="preserve">We also added the accompanying instructions to help grantees understand the </w:t>
      </w:r>
      <w:r w:rsidR="0083026B">
        <w:t>data disaggregation</w:t>
      </w:r>
      <w:r w:rsidR="00F80F4E">
        <w:rPr>
          <w:rStyle w:val="FootnoteReference"/>
        </w:rPr>
        <w:footnoteReference w:id="2"/>
      </w:r>
      <w:r w:rsidR="0083026B">
        <w:t>.</w:t>
      </w:r>
      <w:r w:rsidR="00144A9E">
        <w:rPr>
          <w:b/>
        </w:rPr>
        <w:t xml:space="preserve"> </w:t>
      </w:r>
      <w:r>
        <w:t xml:space="preserve">This </w:t>
      </w:r>
      <w:r w:rsidR="0083026B">
        <w:t xml:space="preserve">data </w:t>
      </w:r>
      <w:r>
        <w:t xml:space="preserve">disaggregation will </w:t>
      </w:r>
      <w:r w:rsidR="0060184D">
        <w:t>be a key element for funding level decisions going forward</w:t>
      </w:r>
      <w:r>
        <w:t>.</w:t>
      </w:r>
      <w:r w:rsidR="0060184D">
        <w:t xml:space="preserve"> It will require no extra effort for grantee reporting.</w:t>
      </w:r>
    </w:p>
    <w:p w:rsidRPr="00C4755A" w:rsidR="00CF2742" w:rsidP="00CF2742" w:rsidRDefault="00C4755A" w14:paraId="03607018" w14:textId="62A46C4B">
      <w:pPr>
        <w:pStyle w:val="ListParagraph"/>
        <w:numPr>
          <w:ilvl w:val="0"/>
          <w:numId w:val="2"/>
        </w:numPr>
        <w:spacing w:after="100" w:afterAutospacing="1"/>
        <w:rPr>
          <w:b/>
        </w:rPr>
      </w:pPr>
      <w:r w:rsidRPr="00C4755A">
        <w:rPr>
          <w:b/>
          <w:u w:val="single"/>
        </w:rPr>
        <w:t>Historical Loan Loss Rate</w:t>
      </w:r>
      <w:r>
        <w:rPr>
          <w:b/>
        </w:rPr>
        <w:t xml:space="preserve">: </w:t>
      </w:r>
      <w:r w:rsidRPr="00C4755A">
        <w:t>We changed an indicator from ‘Write-Off Rate’ to ‘Historical Loan Loss Rate’ to better match the Small Business Administration</w:t>
      </w:r>
      <w:r w:rsidR="0083026B">
        <w:t>’s reporting requirements and</w:t>
      </w:r>
      <w:r w:rsidRPr="00C4755A">
        <w:t xml:space="preserve"> </w:t>
      </w:r>
      <w:r w:rsidR="0083026B">
        <w:t>microfinance industry</w:t>
      </w:r>
      <w:r w:rsidRPr="00C4755A">
        <w:t xml:space="preserve"> standards</w:t>
      </w:r>
      <w:r w:rsidR="00F80F4E">
        <w:rPr>
          <w:rStyle w:val="FootnoteReference"/>
        </w:rPr>
        <w:footnoteReference w:id="3"/>
      </w:r>
      <w:r>
        <w:t xml:space="preserve">. We also added </w:t>
      </w:r>
      <w:r w:rsidR="0060184D">
        <w:t>instructions to help define the indicator</w:t>
      </w:r>
      <w:r w:rsidR="00F80F4E">
        <w:rPr>
          <w:rStyle w:val="FootnoteReference"/>
        </w:rPr>
        <w:footnoteReference w:id="4"/>
      </w:r>
      <w:r>
        <w:t>.</w:t>
      </w:r>
    </w:p>
    <w:p w:rsidR="00C4755A" w:rsidP="00CF2742" w:rsidRDefault="00C4755A" w14:paraId="298F2BA2" w14:textId="183886D4">
      <w:pPr>
        <w:pStyle w:val="ListParagraph"/>
        <w:numPr>
          <w:ilvl w:val="0"/>
          <w:numId w:val="2"/>
        </w:numPr>
        <w:spacing w:after="100" w:afterAutospacing="1"/>
        <w:rPr>
          <w:b/>
        </w:rPr>
      </w:pPr>
      <w:r>
        <w:rPr>
          <w:b/>
          <w:u w:val="single"/>
        </w:rPr>
        <w:t>More Detailed Instructions</w:t>
      </w:r>
      <w:r w:rsidRPr="0083026B">
        <w:rPr>
          <w:b/>
        </w:rPr>
        <w:t xml:space="preserve">: </w:t>
      </w:r>
      <w:r w:rsidRPr="0083026B">
        <w:t>We provided more de</w:t>
      </w:r>
      <w:r w:rsidR="0060184D">
        <w:t xml:space="preserve">tailed instructions </w:t>
      </w:r>
      <w:r w:rsidR="0083026B">
        <w:t xml:space="preserve">in order to </w:t>
      </w:r>
      <w:r w:rsidRPr="0083026B">
        <w:t xml:space="preserve">ensure </w:t>
      </w:r>
      <w:r w:rsidR="0060184D">
        <w:t>more</w:t>
      </w:r>
      <w:r w:rsidR="001122D9">
        <w:t xml:space="preserve"> </w:t>
      </w:r>
      <w:r w:rsidRPr="0083026B">
        <w:t>accurate reporting:</w:t>
      </w:r>
    </w:p>
    <w:p w:rsidRPr="00C4755A" w:rsidR="00C4755A" w:rsidP="00C4755A" w:rsidRDefault="00C4755A" w14:paraId="0CCF34B4" w14:textId="3838CDD4">
      <w:pPr>
        <w:pStyle w:val="ListParagraph"/>
        <w:numPr>
          <w:ilvl w:val="1"/>
          <w:numId w:val="2"/>
        </w:numPr>
        <w:spacing w:after="100" w:afterAutospacing="1"/>
        <w:rPr>
          <w:b/>
        </w:rPr>
      </w:pPr>
      <w:r w:rsidRPr="0083026B">
        <w:rPr>
          <w:b/>
          <w:i/>
        </w:rPr>
        <w:lastRenderedPageBreak/>
        <w:t>Pre-loan TA Hours</w:t>
      </w:r>
      <w:r>
        <w:rPr>
          <w:b/>
        </w:rPr>
        <w:t xml:space="preserve">: </w:t>
      </w:r>
      <w:r w:rsidR="00986956">
        <w:t>We added</w:t>
      </w:r>
      <w:r w:rsidRPr="0083026B">
        <w:t xml:space="preserve">, </w:t>
      </w:r>
      <w:r w:rsidR="0060184D">
        <w:t>“</w:t>
      </w:r>
      <w:r w:rsidRPr="0083026B">
        <w:t>*Note: Pre-loan TA hours are counted regardless of whether or not a client is taking out a repeat loan</w:t>
      </w:r>
      <w:r w:rsidR="0060184D">
        <w:t>”.</w:t>
      </w:r>
      <w:r w:rsidR="00F80F4E">
        <w:rPr>
          <w:rStyle w:val="FootnoteReference"/>
        </w:rPr>
        <w:footnoteReference w:id="5"/>
      </w:r>
    </w:p>
    <w:p w:rsidRPr="00C4755A" w:rsidR="00C4755A" w:rsidP="00C4755A" w:rsidRDefault="00C4755A" w14:paraId="32455093" w14:textId="1D62056B">
      <w:pPr>
        <w:pStyle w:val="ListParagraph"/>
        <w:numPr>
          <w:ilvl w:val="1"/>
          <w:numId w:val="2"/>
        </w:numPr>
        <w:spacing w:after="100" w:afterAutospacing="1"/>
        <w:rPr>
          <w:b/>
        </w:rPr>
      </w:pPr>
      <w:r w:rsidRPr="0083026B">
        <w:rPr>
          <w:b/>
          <w:i/>
        </w:rPr>
        <w:t>Number of Start-up Loans Disbursed (MED):</w:t>
      </w:r>
      <w:r>
        <w:rPr>
          <w:b/>
        </w:rPr>
        <w:t xml:space="preserve"> </w:t>
      </w:r>
      <w:r w:rsidRPr="0083026B">
        <w:t xml:space="preserve">We helped define a </w:t>
      </w:r>
      <w:r w:rsidR="0060184D">
        <w:t>‘</w:t>
      </w:r>
      <w:r w:rsidRPr="0083026B">
        <w:t xml:space="preserve">start-up business by adding the language, </w:t>
      </w:r>
      <w:r w:rsidR="0060184D">
        <w:t>“</w:t>
      </w:r>
      <w:r w:rsidRPr="0083026B">
        <w:t>(businesses operating for two years or less)</w:t>
      </w:r>
      <w:r w:rsidR="0060184D">
        <w:t>”.</w:t>
      </w:r>
      <w:r w:rsidR="00F80F4E">
        <w:rPr>
          <w:rStyle w:val="FootnoteReference"/>
        </w:rPr>
        <w:footnoteReference w:id="6"/>
      </w:r>
    </w:p>
    <w:p w:rsidRPr="00C4755A" w:rsidR="00C4755A" w:rsidP="00C4755A" w:rsidRDefault="00C4755A" w14:paraId="1017FF95" w14:textId="0BB0C77B">
      <w:pPr>
        <w:pStyle w:val="ListParagraph"/>
        <w:numPr>
          <w:ilvl w:val="1"/>
          <w:numId w:val="2"/>
        </w:numPr>
        <w:spacing w:after="100" w:afterAutospacing="1"/>
        <w:rPr>
          <w:b/>
        </w:rPr>
      </w:pPr>
      <w:r w:rsidRPr="0083026B">
        <w:rPr>
          <w:b/>
          <w:i/>
        </w:rPr>
        <w:t>Number of Stabilization/Expansion Loans Disbursed</w:t>
      </w:r>
      <w:r>
        <w:rPr>
          <w:b/>
        </w:rPr>
        <w:t xml:space="preserve">: </w:t>
      </w:r>
      <w:r w:rsidRPr="0083026B">
        <w:t>We helped define a ‘</w:t>
      </w:r>
      <w:r w:rsidR="00986956">
        <w:t>Stabilizing/Expanding’ business</w:t>
      </w:r>
      <w:r w:rsidRPr="0083026B">
        <w:t xml:space="preserve"> by adding the language, “(businesses operating for two years or more)</w:t>
      </w:r>
      <w:r w:rsidR="0060184D">
        <w:t>”.</w:t>
      </w:r>
      <w:r w:rsidR="00F80F4E">
        <w:rPr>
          <w:rStyle w:val="FootnoteReference"/>
        </w:rPr>
        <w:footnoteReference w:id="7"/>
      </w:r>
    </w:p>
    <w:p w:rsidRPr="00C4755A" w:rsidR="00C4755A" w:rsidP="00C4755A" w:rsidRDefault="00C4755A" w14:paraId="75E1C5E4" w14:textId="1CF80957">
      <w:pPr>
        <w:pStyle w:val="ListParagraph"/>
        <w:numPr>
          <w:ilvl w:val="1"/>
          <w:numId w:val="2"/>
        </w:numPr>
        <w:spacing w:after="100" w:afterAutospacing="1"/>
        <w:rPr>
          <w:b/>
        </w:rPr>
      </w:pPr>
      <w:r w:rsidRPr="0083026B">
        <w:rPr>
          <w:b/>
          <w:i/>
        </w:rPr>
        <w:t>Number of Jobs Created</w:t>
      </w:r>
      <w:r>
        <w:rPr>
          <w:b/>
        </w:rPr>
        <w:t xml:space="preserve">: </w:t>
      </w:r>
      <w:r w:rsidRPr="0083026B">
        <w:t>We provided more detailed instructions on how to count part time versus ful</w:t>
      </w:r>
      <w:bookmarkStart w:name="_GoBack" w:id="0"/>
      <w:bookmarkEnd w:id="0"/>
      <w:r w:rsidRPr="0083026B">
        <w:t>l-time jobs by adding the language, “(e.g., 1 part-time job + 2 full-time jobs = 3 jobs created)</w:t>
      </w:r>
      <w:r w:rsidR="0060184D">
        <w:t>”.</w:t>
      </w:r>
      <w:r w:rsidR="00F80F4E">
        <w:rPr>
          <w:rStyle w:val="FootnoteReference"/>
        </w:rPr>
        <w:footnoteReference w:id="8"/>
      </w:r>
    </w:p>
    <w:p w:rsidRPr="00CF2742" w:rsidR="00C4755A" w:rsidP="00C4755A" w:rsidRDefault="00C4755A" w14:paraId="3C712DD2" w14:textId="62EF5139">
      <w:pPr>
        <w:pStyle w:val="ListParagraph"/>
        <w:numPr>
          <w:ilvl w:val="1"/>
          <w:numId w:val="2"/>
        </w:numPr>
        <w:spacing w:after="100" w:afterAutospacing="1"/>
        <w:rPr>
          <w:b/>
        </w:rPr>
      </w:pPr>
      <w:r w:rsidRPr="0083026B">
        <w:rPr>
          <w:b/>
          <w:i/>
        </w:rPr>
        <w:t>Avg. Change in Net Income</w:t>
      </w:r>
      <w:r>
        <w:rPr>
          <w:b/>
        </w:rPr>
        <w:t xml:space="preserve">: </w:t>
      </w:r>
      <w:r w:rsidRPr="0083026B">
        <w:t xml:space="preserve">We </w:t>
      </w:r>
      <w:r w:rsidR="00986956">
        <w:t>specified</w:t>
      </w:r>
      <w:r w:rsidRPr="0083026B">
        <w:t xml:space="preserve"> the </w:t>
      </w:r>
      <w:r w:rsidR="00986956">
        <w:t>time that a business’s</w:t>
      </w:r>
      <w:r w:rsidRPr="0083026B">
        <w:t xml:space="preserve"> net income </w:t>
      </w:r>
      <w:r w:rsidR="00986956">
        <w:t xml:space="preserve">would be measured </w:t>
      </w:r>
      <w:r w:rsidRPr="0083026B">
        <w:t>by adding the language, “yearly”.</w:t>
      </w:r>
      <w:r w:rsidR="00F80F4E">
        <w:rPr>
          <w:rStyle w:val="FootnoteReference"/>
        </w:rPr>
        <w:footnoteReference w:id="9"/>
      </w:r>
    </w:p>
    <w:p w:rsidR="0005680D" w:rsidP="00C41E32" w:rsidRDefault="0005680D" w14:paraId="7DBC6097" w14:textId="62DD48FC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Pr="0083026B" w:rsidR="0083026B" w:rsidP="0005680D" w:rsidRDefault="0083026B" w14:paraId="5E45CD67" w14:textId="4E9F91AA">
      <w:r>
        <w:t xml:space="preserve">We would like to have these indicators approved by March 30, 2020 so that grantees can use the </w:t>
      </w:r>
      <w:r w:rsidR="0060184D">
        <w:t xml:space="preserve">updated </w:t>
      </w:r>
      <w:r>
        <w:t>form for their next semi-annual report.</w:t>
      </w:r>
    </w:p>
    <w:sectPr w:rsidRPr="0083026B" w:rsidR="00830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1D4E" w14:textId="77777777" w:rsidR="0009466C" w:rsidRDefault="0009466C" w:rsidP="0083026B">
      <w:r>
        <w:separator/>
      </w:r>
    </w:p>
  </w:endnote>
  <w:endnote w:type="continuationSeparator" w:id="0">
    <w:p w14:paraId="5386B1F0" w14:textId="77777777" w:rsidR="0009466C" w:rsidRDefault="0009466C" w:rsidP="0083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E3B86" w14:textId="77777777" w:rsidR="0009466C" w:rsidRDefault="0009466C" w:rsidP="0083026B">
      <w:r>
        <w:separator/>
      </w:r>
    </w:p>
  </w:footnote>
  <w:footnote w:type="continuationSeparator" w:id="0">
    <w:p w14:paraId="529FDAE4" w14:textId="77777777" w:rsidR="0009466C" w:rsidRDefault="0009466C" w:rsidP="0083026B">
      <w:r>
        <w:continuationSeparator/>
      </w:r>
    </w:p>
  </w:footnote>
  <w:footnote w:id="1">
    <w:p w14:paraId="49BDFCEC" w14:textId="4ACBCB7D" w:rsidR="0083026B" w:rsidRDefault="0083026B">
      <w:pPr>
        <w:pStyle w:val="FootnoteText"/>
      </w:pPr>
      <w:r>
        <w:rPr>
          <w:rStyle w:val="FootnoteReference"/>
        </w:rPr>
        <w:footnoteRef/>
      </w:r>
      <w:r w:rsidR="00986956">
        <w:t xml:space="preserve"> MED Semi-Annual Report</w:t>
      </w:r>
      <w:r w:rsidR="00F80F4E">
        <w:t>: Indicators 4a/b; 5a/b; 6a/b; 7a/b; 8a/b; 9a/b</w:t>
      </w:r>
    </w:p>
  </w:footnote>
  <w:footnote w:id="2">
    <w:p w14:paraId="7B20E87F" w14:textId="0052D311" w:rsidR="00F80F4E" w:rsidRDefault="00F80F4E">
      <w:pPr>
        <w:pStyle w:val="FootnoteText"/>
      </w:pPr>
      <w:r>
        <w:rPr>
          <w:rStyle w:val="FootnoteReference"/>
        </w:rPr>
        <w:footnoteRef/>
      </w:r>
      <w:r>
        <w:t xml:space="preserve"> MED Semi-An</w:t>
      </w:r>
      <w:r w:rsidR="00986956">
        <w:t>nual Report Instructions</w:t>
      </w:r>
      <w:r>
        <w:t>: Indicators 4a/b; 5a/b; 6a/b; 7a/b; 8a/b; 9a/b</w:t>
      </w:r>
    </w:p>
  </w:footnote>
  <w:footnote w:id="3">
    <w:p w14:paraId="418673BC" w14:textId="0DE32A46" w:rsidR="00F80F4E" w:rsidRDefault="00F80F4E">
      <w:pPr>
        <w:pStyle w:val="FootnoteText"/>
      </w:pPr>
      <w:r>
        <w:rPr>
          <w:rStyle w:val="FootnoteReference"/>
        </w:rPr>
        <w:footnoteRef/>
      </w:r>
      <w:r w:rsidR="00986956">
        <w:t xml:space="preserve"> MED Semi-Annual Report</w:t>
      </w:r>
      <w:r>
        <w:t>: Indicator 10</w:t>
      </w:r>
    </w:p>
  </w:footnote>
  <w:footnote w:id="4">
    <w:p w14:paraId="21C2E765" w14:textId="1C5065DF" w:rsidR="00F80F4E" w:rsidRDefault="00F80F4E">
      <w:pPr>
        <w:pStyle w:val="FootnoteText"/>
      </w:pPr>
      <w:r>
        <w:rPr>
          <w:rStyle w:val="FootnoteReference"/>
        </w:rPr>
        <w:footnoteRef/>
      </w:r>
      <w:r>
        <w:t xml:space="preserve"> MED Semi-An</w:t>
      </w:r>
      <w:r w:rsidR="00986956">
        <w:t>nual Report Instructions</w:t>
      </w:r>
      <w:r>
        <w:t>: Indicator 10</w:t>
      </w:r>
    </w:p>
  </w:footnote>
  <w:footnote w:id="5">
    <w:p w14:paraId="058DAB1B" w14:textId="0EB4080C" w:rsidR="00F80F4E" w:rsidRDefault="00F80F4E">
      <w:pPr>
        <w:pStyle w:val="FootnoteText"/>
      </w:pPr>
      <w:r>
        <w:rPr>
          <w:rStyle w:val="FootnoteReference"/>
        </w:rPr>
        <w:footnoteRef/>
      </w:r>
      <w:r>
        <w:t xml:space="preserve"> MED Semi-Annu</w:t>
      </w:r>
      <w:r w:rsidR="00986956">
        <w:t>al Report Instructions</w:t>
      </w:r>
      <w:r>
        <w:t xml:space="preserve">, </w:t>
      </w:r>
      <w:r w:rsidRPr="00F80F4E">
        <w:t>*Note: Pre-loan TA hours are counted regardless of whether or not a client is taking out a repeat loan</w:t>
      </w:r>
    </w:p>
  </w:footnote>
  <w:footnote w:id="6">
    <w:p w14:paraId="1FDA2B57" w14:textId="7AC99821" w:rsidR="00F80F4E" w:rsidRDefault="00F80F4E">
      <w:pPr>
        <w:pStyle w:val="FootnoteText"/>
      </w:pPr>
      <w:r>
        <w:rPr>
          <w:rStyle w:val="FootnoteReference"/>
        </w:rPr>
        <w:footnoteRef/>
      </w:r>
      <w:r>
        <w:t xml:space="preserve"> MED Semi-Annua</w:t>
      </w:r>
      <w:r w:rsidR="00986956">
        <w:t>l Report Instructions</w:t>
      </w:r>
      <w:r>
        <w:t>, Indicator 4, *(businesses operating for two years or less)</w:t>
      </w:r>
    </w:p>
  </w:footnote>
  <w:footnote w:id="7">
    <w:p w14:paraId="277F25C5" w14:textId="25AF3966" w:rsidR="00F80F4E" w:rsidRDefault="00F80F4E">
      <w:pPr>
        <w:pStyle w:val="FootnoteText"/>
      </w:pPr>
      <w:r>
        <w:rPr>
          <w:rStyle w:val="FootnoteReference"/>
        </w:rPr>
        <w:footnoteRef/>
      </w:r>
      <w:r>
        <w:t xml:space="preserve"> MED Semi-An</w:t>
      </w:r>
      <w:r w:rsidR="00986956">
        <w:t>nual Report Instructions</w:t>
      </w:r>
      <w:r>
        <w:t>, Indicator 5, *(businesses that have been operating for two years or more)</w:t>
      </w:r>
    </w:p>
  </w:footnote>
  <w:footnote w:id="8">
    <w:p w14:paraId="24AFC977" w14:textId="0F11D21A" w:rsidR="00F80F4E" w:rsidRDefault="00F80F4E">
      <w:pPr>
        <w:pStyle w:val="FootnoteText"/>
      </w:pPr>
      <w:r>
        <w:rPr>
          <w:rStyle w:val="FootnoteReference"/>
        </w:rPr>
        <w:footnoteRef/>
      </w:r>
      <w:r>
        <w:t xml:space="preserve"> MED Semi-An</w:t>
      </w:r>
      <w:r w:rsidR="00986956">
        <w:t>nual Report Instructions</w:t>
      </w:r>
      <w:r>
        <w:t>, Indicator 13, *(</w:t>
      </w:r>
      <w:r w:rsidRPr="00F80F4E">
        <w:t>e.g., 1 part-time job + 2 full-time jobs = 3 jobs created)</w:t>
      </w:r>
    </w:p>
  </w:footnote>
  <w:footnote w:id="9">
    <w:p w14:paraId="2F2A25D7" w14:textId="1C316EA8" w:rsidR="00F80F4E" w:rsidRDefault="00F80F4E">
      <w:pPr>
        <w:pStyle w:val="FootnoteText"/>
      </w:pPr>
      <w:r>
        <w:rPr>
          <w:rStyle w:val="FootnoteReference"/>
        </w:rPr>
        <w:footnoteRef/>
      </w:r>
      <w:r>
        <w:t xml:space="preserve"> MED Semi-An</w:t>
      </w:r>
      <w:r w:rsidR="00986956">
        <w:t>nual Report Instructions</w:t>
      </w:r>
      <w:r>
        <w:t>, Indicator 15, *(added ‘yearly’)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61CEE"/>
    <w:multiLevelType w:val="hybridMultilevel"/>
    <w:tmpl w:val="FF5AB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09466C"/>
    <w:rsid w:val="000A1D6D"/>
    <w:rsid w:val="001122D9"/>
    <w:rsid w:val="00144A9E"/>
    <w:rsid w:val="00176859"/>
    <w:rsid w:val="00201D4A"/>
    <w:rsid w:val="00255044"/>
    <w:rsid w:val="002F1FA9"/>
    <w:rsid w:val="00416E1B"/>
    <w:rsid w:val="00483E17"/>
    <w:rsid w:val="00563CD7"/>
    <w:rsid w:val="0060184D"/>
    <w:rsid w:val="00640C85"/>
    <w:rsid w:val="00776D09"/>
    <w:rsid w:val="0083026B"/>
    <w:rsid w:val="008877C5"/>
    <w:rsid w:val="00986956"/>
    <w:rsid w:val="009938D2"/>
    <w:rsid w:val="00995018"/>
    <w:rsid w:val="009E553D"/>
    <w:rsid w:val="00A44387"/>
    <w:rsid w:val="00B2596E"/>
    <w:rsid w:val="00C41E32"/>
    <w:rsid w:val="00C4755A"/>
    <w:rsid w:val="00CC6811"/>
    <w:rsid w:val="00CF2742"/>
    <w:rsid w:val="00DA7EB6"/>
    <w:rsid w:val="00E525D4"/>
    <w:rsid w:val="00F80F4E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27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02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26B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2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B6204-048D-4596-91A1-CE0E4FEE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Saccucci, Marvin (ACF) (CTR)</cp:lastModifiedBy>
  <cp:revision>3</cp:revision>
  <dcterms:created xsi:type="dcterms:W3CDTF">2020-02-04T18:32:00Z</dcterms:created>
  <dcterms:modified xsi:type="dcterms:W3CDTF">2020-02-04T18:39:00Z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