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22FD" w:rsidR="0048246C" w:rsidP="0048246C" w:rsidRDefault="0048246C" w14:paraId="58623B6B" w14:textId="77777777">
      <w:r w:rsidRPr="006422FD">
        <w:t>Supporting Statement for Paperwork Reduction Act Submissions</w:t>
      </w:r>
    </w:p>
    <w:p w:rsidRPr="006422FD" w:rsidR="0048246C" w:rsidP="0048246C" w:rsidRDefault="0080297D" w14:paraId="01000969" w14:textId="3E3F1E8C">
      <w:r w:rsidRPr="006422FD">
        <w:t xml:space="preserve">Request for a </w:t>
      </w:r>
      <w:r w:rsidRPr="006422FD" w:rsidR="00603411">
        <w:t>n</w:t>
      </w:r>
      <w:r w:rsidRPr="006422FD">
        <w:t xml:space="preserve">ew </w:t>
      </w:r>
      <w:r w:rsidRPr="006422FD" w:rsidR="6EDC3FC2">
        <w:t xml:space="preserve">data collection with an OMB control number </w:t>
      </w:r>
      <w:r w:rsidRPr="006422FD" w:rsidR="0048246C">
        <w:t xml:space="preserve">for the </w:t>
      </w:r>
      <w:r w:rsidRPr="006422FD" w:rsidR="00603411">
        <w:t>Law Enforcement Suicide Data Collection</w:t>
      </w:r>
      <w:r w:rsidRPr="006422FD" w:rsidR="00FD04FA">
        <w:t xml:space="preserve"> (LESDC)</w:t>
      </w:r>
    </w:p>
    <w:p w:rsidRPr="006422FD" w:rsidR="00CF534E" w:rsidP="007F0363" w:rsidRDefault="00F268ED" w14:paraId="4AE7DFE9" w14:textId="0976A923">
      <w:pPr>
        <w:tabs>
          <w:tab w:val="left" w:pos="2129"/>
        </w:tabs>
        <w:rPr>
          <w:b/>
          <w:bCs/>
        </w:rPr>
      </w:pPr>
      <w:r w:rsidRPr="006422FD">
        <w:rPr>
          <w:b/>
          <w:bCs/>
        </w:rPr>
        <w:t>OMB Control</w:t>
      </w:r>
      <w:r w:rsidR="007F0363">
        <w:rPr>
          <w:b/>
          <w:bCs/>
        </w:rPr>
        <w:t xml:space="preserve"> #:  N/A (New Data Collection)</w:t>
      </w:r>
    </w:p>
    <w:p w:rsidRPr="006422FD" w:rsidR="004E786C" w:rsidRDefault="004E786C" w14:paraId="672A6659" w14:textId="77777777"/>
    <w:p w:rsidRPr="006422FD" w:rsidR="00CF534E" w:rsidRDefault="00CF534E" w14:paraId="3045337C" w14:textId="77777777">
      <w:r w:rsidRPr="006422FD">
        <w:t xml:space="preserve">Part A. </w:t>
      </w:r>
      <w:r w:rsidRPr="006422FD" w:rsidR="00097654">
        <w:t xml:space="preserve"> </w:t>
      </w:r>
      <w:r w:rsidRPr="006422FD">
        <w:t>Justification</w:t>
      </w:r>
    </w:p>
    <w:p w:rsidRPr="006422FD" w:rsidR="00CF534E" w:rsidRDefault="00CF534E" w14:paraId="0A37501D" w14:textId="77777777"/>
    <w:p w:rsidRPr="006422FD" w:rsidR="00CF534E" w:rsidP="00E52095" w:rsidRDefault="00CF534E" w14:paraId="36254BBC" w14:textId="41E2CD4E">
      <w:r w:rsidRPr="006422FD">
        <w:t xml:space="preserve">1.  Necessity of Information: </w:t>
      </w:r>
    </w:p>
    <w:p w:rsidR="00E52095" w:rsidP="00E52095" w:rsidRDefault="00E52095" w14:paraId="22CE9E4F" w14:textId="3C9FA89B"/>
    <w:p w:rsidRPr="00EF0A42" w:rsidR="0084612E" w:rsidP="00EF0A42" w:rsidRDefault="007F0363" w14:paraId="0822FF7B" w14:textId="6D03E958">
      <w:pPr>
        <w:pStyle w:val="HTMLPreformatted"/>
        <w:shd w:val="clear" w:color="auto" w:fill="FFFFFF"/>
        <w:rPr>
          <w:rFonts w:ascii="Times New Roman" w:hAnsi="Times New Roman" w:cs="Times New Roman"/>
          <w:sz w:val="24"/>
          <w:szCs w:val="24"/>
        </w:rPr>
      </w:pPr>
      <w:r w:rsidRPr="00EF0A42">
        <w:rPr>
          <w:rFonts w:ascii="Times New Roman" w:hAnsi="Times New Roman" w:cs="Times New Roman"/>
          <w:sz w:val="24"/>
          <w:szCs w:val="24"/>
        </w:rPr>
        <w:t>On June 16, 2020, the United States Congress passed</w:t>
      </w:r>
      <w:r w:rsidR="00693EB1">
        <w:rPr>
          <w:rFonts w:ascii="Times New Roman" w:hAnsi="Times New Roman" w:cs="Times New Roman"/>
          <w:sz w:val="24"/>
          <w:szCs w:val="24"/>
        </w:rPr>
        <w:t xml:space="preserve"> the </w:t>
      </w:r>
      <w:r w:rsidRPr="005E4F65" w:rsidR="00CD50F1">
        <w:rPr>
          <w:rFonts w:ascii="Times New Roman" w:hAnsi="Times New Roman" w:cs="Times New Roman"/>
          <w:i/>
          <w:iCs/>
          <w:sz w:val="24"/>
          <w:szCs w:val="24"/>
        </w:rPr>
        <w:t>Law Enforcement Suicide Data Collection Act</w:t>
      </w:r>
      <w:r w:rsidR="00CD50F1">
        <w:rPr>
          <w:rFonts w:ascii="Times New Roman" w:hAnsi="Times New Roman" w:cs="Times New Roman"/>
          <w:sz w:val="24"/>
          <w:szCs w:val="24"/>
        </w:rPr>
        <w:t xml:space="preserve"> </w:t>
      </w:r>
      <w:r w:rsidRPr="005E4F65" w:rsidR="00CD50F1">
        <w:rPr>
          <w:rFonts w:ascii="Times New Roman" w:hAnsi="Times New Roman" w:cs="Times New Roman"/>
          <w:i/>
          <w:iCs/>
          <w:sz w:val="24"/>
          <w:szCs w:val="24"/>
        </w:rPr>
        <w:t>(LESDCA)</w:t>
      </w:r>
      <w:r w:rsidR="00CD50F1">
        <w:rPr>
          <w:rFonts w:ascii="Times New Roman" w:hAnsi="Times New Roman" w:cs="Times New Roman"/>
          <w:sz w:val="24"/>
          <w:szCs w:val="24"/>
        </w:rPr>
        <w:t xml:space="preserve"> (Title 34,</w:t>
      </w:r>
      <w:r w:rsidRPr="00EF0A42" w:rsidR="0084612E">
        <w:rPr>
          <w:rFonts w:ascii="Times New Roman" w:hAnsi="Times New Roman" w:cs="Times New Roman"/>
          <w:sz w:val="24"/>
          <w:szCs w:val="24"/>
        </w:rPr>
        <w:t xml:space="preserve"> United States Code</w:t>
      </w:r>
      <w:r w:rsidR="005E4F65">
        <w:rPr>
          <w:rFonts w:ascii="Times New Roman" w:hAnsi="Times New Roman" w:cs="Times New Roman"/>
          <w:sz w:val="24"/>
          <w:szCs w:val="24"/>
        </w:rPr>
        <w:t>, S</w:t>
      </w:r>
      <w:r w:rsidRPr="00EF0A42" w:rsidR="0084612E">
        <w:rPr>
          <w:rFonts w:ascii="Times New Roman" w:hAnsi="Times New Roman" w:cs="Times New Roman"/>
          <w:sz w:val="24"/>
          <w:szCs w:val="24"/>
        </w:rPr>
        <w:t>ection (§) 50701</w:t>
      </w:r>
      <w:r w:rsidR="00331C1E">
        <w:rPr>
          <w:rFonts w:ascii="Times New Roman" w:hAnsi="Times New Roman" w:cs="Times New Roman"/>
          <w:sz w:val="24"/>
          <w:szCs w:val="24"/>
        </w:rPr>
        <w:t>)</w:t>
      </w:r>
      <w:r w:rsidR="005E4F65">
        <w:rPr>
          <w:rFonts w:ascii="Times New Roman" w:hAnsi="Times New Roman" w:cs="Times New Roman"/>
          <w:sz w:val="24"/>
          <w:szCs w:val="24"/>
        </w:rPr>
        <w:t xml:space="preserve">.  </w:t>
      </w:r>
      <w:r w:rsidRPr="00EF0A42" w:rsidR="0084612E">
        <w:rPr>
          <w:rFonts w:ascii="Times New Roman" w:hAnsi="Times New Roman" w:cs="Times New Roman"/>
          <w:sz w:val="24"/>
          <w:szCs w:val="24"/>
        </w:rPr>
        <w:t xml:space="preserve">This </w:t>
      </w:r>
      <w:r w:rsidRPr="00EF0A42" w:rsidR="00735E5D">
        <w:rPr>
          <w:rFonts w:ascii="Times New Roman" w:hAnsi="Times New Roman" w:cs="Times New Roman"/>
          <w:sz w:val="24"/>
          <w:szCs w:val="24"/>
        </w:rPr>
        <w:t>l</w:t>
      </w:r>
      <w:r w:rsidRPr="00EF0A42" w:rsidR="0084612E">
        <w:rPr>
          <w:rFonts w:ascii="Times New Roman" w:hAnsi="Times New Roman" w:cs="Times New Roman"/>
          <w:sz w:val="24"/>
          <w:szCs w:val="24"/>
        </w:rPr>
        <w:t>aw mandates “the Attorney General, acting through the Director of the Federal Bureau of Investigation</w:t>
      </w:r>
      <w:r w:rsidR="0021720D">
        <w:rPr>
          <w:rFonts w:ascii="Times New Roman" w:hAnsi="Times New Roman" w:cs="Times New Roman"/>
          <w:sz w:val="24"/>
          <w:szCs w:val="24"/>
        </w:rPr>
        <w:t xml:space="preserve"> (FBI)</w:t>
      </w:r>
      <w:r w:rsidRPr="00EF0A42" w:rsidR="0084612E">
        <w:rPr>
          <w:rFonts w:ascii="Times New Roman" w:hAnsi="Times New Roman" w:cs="Times New Roman"/>
          <w:sz w:val="24"/>
          <w:szCs w:val="24"/>
        </w:rPr>
        <w:t xml:space="preserve">, shall establish, for the purpose of preventing future law enforcement suicides </w:t>
      </w:r>
      <w:r w:rsidR="0021720D">
        <w:rPr>
          <w:rFonts w:ascii="Times New Roman" w:hAnsi="Times New Roman" w:cs="Times New Roman"/>
          <w:sz w:val="24"/>
          <w:szCs w:val="24"/>
        </w:rPr>
        <w:t xml:space="preserve">and attempted suicides, </w:t>
      </w:r>
      <w:r w:rsidRPr="00EF0A42" w:rsidR="0084612E">
        <w:rPr>
          <w:rFonts w:ascii="Times New Roman" w:hAnsi="Times New Roman" w:cs="Times New Roman"/>
          <w:sz w:val="24"/>
          <w:szCs w:val="24"/>
        </w:rPr>
        <w:t xml:space="preserve">and promoting understanding of suicide in law enforcement, the Law Enforcement Officers Suicide Data Collection, under which law enforcement agencies may submit to the Director </w:t>
      </w:r>
      <w:r w:rsidR="0021720D">
        <w:rPr>
          <w:rFonts w:ascii="Times New Roman" w:hAnsi="Times New Roman" w:cs="Times New Roman"/>
          <w:sz w:val="24"/>
          <w:szCs w:val="24"/>
        </w:rPr>
        <w:t xml:space="preserve">of the FBI </w:t>
      </w:r>
      <w:r w:rsidRPr="00EF0A42" w:rsidR="0084612E">
        <w:rPr>
          <w:rFonts w:ascii="Times New Roman" w:hAnsi="Times New Roman" w:cs="Times New Roman"/>
          <w:sz w:val="24"/>
          <w:szCs w:val="24"/>
        </w:rPr>
        <w:t>information on suicides and attempted suicides within such law enforcement agencies . . .”</w:t>
      </w:r>
    </w:p>
    <w:p w:rsidR="00266DB3" w:rsidP="00EF0A42" w:rsidRDefault="0084612E" w14:paraId="6CB70811" w14:textId="296FA9AD">
      <w:r>
        <w:t xml:space="preserve"> </w:t>
      </w:r>
    </w:p>
    <w:p w:rsidRPr="005F6EA3" w:rsidR="0017698E" w:rsidP="00EF0A42" w:rsidRDefault="00266DB3" w14:paraId="6F45CC43" w14:textId="2E52A48E">
      <w:r>
        <w:t xml:space="preserve">The </w:t>
      </w:r>
      <w:r w:rsidR="00EC79FA">
        <w:t xml:space="preserve">LESDC </w:t>
      </w:r>
      <w:r>
        <w:t xml:space="preserve">has been </w:t>
      </w:r>
      <w:r w:rsidR="00EC79FA">
        <w:t xml:space="preserve">in development since the passing of the </w:t>
      </w:r>
      <w:r w:rsidRPr="00B86CC3" w:rsidR="00EC79FA">
        <w:rPr>
          <w:i/>
          <w:iCs/>
        </w:rPr>
        <w:t>LESDCA</w:t>
      </w:r>
      <w:r w:rsidR="00EC79FA">
        <w:t xml:space="preserve"> in 2020. </w:t>
      </w:r>
      <w:r w:rsidR="00A16A63">
        <w:t xml:space="preserve"> </w:t>
      </w:r>
      <w:r w:rsidR="00EC79FA">
        <w:t xml:space="preserve">The </w:t>
      </w:r>
      <w:r w:rsidR="004A66C4">
        <w:t>FBI</w:t>
      </w:r>
      <w:r w:rsidR="00EC79FA">
        <w:t xml:space="preserve"> U</w:t>
      </w:r>
      <w:r w:rsidR="004A66C4">
        <w:t xml:space="preserve">niform Crime Reporting (UCR) </w:t>
      </w:r>
      <w:r w:rsidR="00EC79FA">
        <w:t xml:space="preserve">Program </w:t>
      </w:r>
      <w:r w:rsidR="004A66C4">
        <w:t>established a task force of subject matter experts (SME</w:t>
      </w:r>
      <w:r w:rsidR="0021720D">
        <w:t>s</w:t>
      </w:r>
      <w:r w:rsidR="004A66C4">
        <w:t xml:space="preserve">) and law enforcement personnel to advise and </w:t>
      </w:r>
      <w:r w:rsidR="00D0538E">
        <w:t xml:space="preserve">provide </w:t>
      </w:r>
      <w:r w:rsidR="00685C6D">
        <w:t>recommendations</w:t>
      </w:r>
      <w:r w:rsidR="00D0538E">
        <w:t xml:space="preserve"> on </w:t>
      </w:r>
      <w:r w:rsidR="004A66C4">
        <w:t xml:space="preserve">collection decisions and methodology throughout the development process.  Major milestones of the LESDC were also presented to the FBI Criminal Justice Information Services (CJIS) Advisory Process to receive feedback from </w:t>
      </w:r>
      <w:r w:rsidR="0021720D">
        <w:t xml:space="preserve">law enforcement </w:t>
      </w:r>
      <w:r w:rsidR="004A66C4">
        <w:t>SMEs from across the United States.</w:t>
      </w:r>
    </w:p>
    <w:p w:rsidRPr="00E52095" w:rsidR="00735E5D" w:rsidP="00E52095" w:rsidRDefault="00735E5D" w14:paraId="49D97047" w14:textId="77777777"/>
    <w:p w:rsidR="00CF534E" w:rsidRDefault="00CF534E" w14:paraId="31B9ABE5" w14:textId="5ADB214C">
      <w:r w:rsidRPr="00A02298">
        <w:t>2.  Needs and Uses:</w:t>
      </w:r>
    </w:p>
    <w:p w:rsidR="00437659" w:rsidRDefault="00437659" w14:paraId="2399355B" w14:textId="47A0A83E"/>
    <w:p w:rsidR="0054289C" w:rsidP="00437659" w:rsidRDefault="00437659" w14:paraId="389C00DF" w14:textId="18D44893">
      <w:bookmarkStart w:name="_Hlk79567559" w:id="0"/>
      <w:r>
        <w:t xml:space="preserve">The LESDC is designed to provide data on incidences of suicide and attempted suicides </w:t>
      </w:r>
      <w:r w:rsidR="004B1936">
        <w:t>within</w:t>
      </w:r>
      <w:r>
        <w:t xml:space="preserve"> the law enforcement community.</w:t>
      </w:r>
      <w:bookmarkEnd w:id="0"/>
      <w:r>
        <w:t xml:space="preserve">  The LESDC</w:t>
      </w:r>
      <w:r w:rsidR="00C02ABC">
        <w:t xml:space="preserve"> </w:t>
      </w:r>
      <w:r>
        <w:t xml:space="preserve">will collect a </w:t>
      </w:r>
      <w:r w:rsidR="0054289C">
        <w:t>required list</w:t>
      </w:r>
      <w:r>
        <w:t xml:space="preserve"> of </w:t>
      </w:r>
      <w:r w:rsidR="00B86CC3">
        <w:t>attributes r</w:t>
      </w:r>
      <w:r w:rsidR="0054289C">
        <w:t>elated to suicides</w:t>
      </w:r>
      <w:r>
        <w:t xml:space="preserve"> and attempted suicides, incl</w:t>
      </w:r>
      <w:r w:rsidR="0054289C">
        <w:t xml:space="preserve">uding </w:t>
      </w:r>
    </w:p>
    <w:p w:rsidRPr="002A1B6B" w:rsidR="002A1B6B" w:rsidP="00437659" w:rsidRDefault="002A1B6B" w14:paraId="22F0E880" w14:textId="0F1439B7"/>
    <w:p w:rsidRPr="002A1B6B" w:rsidR="002A1B6B" w:rsidP="002A1B6B" w:rsidRDefault="002A1B6B" w14:paraId="38EFF134" w14:textId="650B4FEB">
      <w:pPr>
        <w:pStyle w:val="CommentText"/>
        <w:numPr>
          <w:ilvl w:val="0"/>
          <w:numId w:val="15"/>
        </w:numPr>
        <w:rPr>
          <w:sz w:val="24"/>
          <w:szCs w:val="24"/>
        </w:rPr>
      </w:pPr>
      <w:r w:rsidRPr="002A1B6B">
        <w:rPr>
          <w:sz w:val="24"/>
          <w:szCs w:val="24"/>
        </w:rPr>
        <w:t>the circumstances and events that occurred before each suicide or attempted suicide</w:t>
      </w:r>
    </w:p>
    <w:p w:rsidRPr="002A1B6B" w:rsidR="002A1B6B" w:rsidP="002A1B6B" w:rsidRDefault="002A1B6B" w14:paraId="68052810" w14:textId="7E05D0A5">
      <w:pPr>
        <w:pStyle w:val="CommentText"/>
        <w:numPr>
          <w:ilvl w:val="0"/>
          <w:numId w:val="15"/>
        </w:numPr>
        <w:rPr>
          <w:sz w:val="24"/>
          <w:szCs w:val="24"/>
        </w:rPr>
      </w:pPr>
      <w:r w:rsidRPr="002A1B6B">
        <w:rPr>
          <w:sz w:val="24"/>
          <w:szCs w:val="24"/>
        </w:rPr>
        <w:t>the general location of each suicide or attempted suicide</w:t>
      </w:r>
    </w:p>
    <w:p w:rsidRPr="002A1B6B" w:rsidR="002A1B6B" w:rsidP="002A1B6B" w:rsidRDefault="002A1B6B" w14:paraId="28DED54A" w14:textId="402247D2">
      <w:pPr>
        <w:pStyle w:val="CommentText"/>
        <w:numPr>
          <w:ilvl w:val="0"/>
          <w:numId w:val="15"/>
        </w:numPr>
        <w:rPr>
          <w:sz w:val="24"/>
          <w:szCs w:val="24"/>
        </w:rPr>
      </w:pPr>
      <w:r w:rsidRPr="002A1B6B">
        <w:rPr>
          <w:sz w:val="24"/>
          <w:szCs w:val="24"/>
        </w:rPr>
        <w:t>the demographic information of each law enforcement officer who commits or attempts suicide</w:t>
      </w:r>
    </w:p>
    <w:p w:rsidRPr="002A1B6B" w:rsidR="002A1B6B" w:rsidP="002A1B6B" w:rsidRDefault="002A1B6B" w14:paraId="07A94BCE" w14:textId="4DDE7EF1">
      <w:pPr>
        <w:pStyle w:val="CommentText"/>
        <w:numPr>
          <w:ilvl w:val="0"/>
          <w:numId w:val="15"/>
        </w:numPr>
        <w:rPr>
          <w:sz w:val="24"/>
          <w:szCs w:val="24"/>
        </w:rPr>
      </w:pPr>
      <w:r w:rsidRPr="002A1B6B">
        <w:rPr>
          <w:sz w:val="24"/>
          <w:szCs w:val="24"/>
        </w:rPr>
        <w:t>the occupational category, including criminal investigator, corrections officer, line of duty officer, 911 dispatch operator, of each law enforcement officer who commits or attempts suicide</w:t>
      </w:r>
    </w:p>
    <w:p w:rsidR="002A1B6B" w:rsidP="002A1B6B" w:rsidRDefault="002A1B6B" w14:paraId="04CDE219" w14:textId="6BB8B179">
      <w:pPr>
        <w:pStyle w:val="CommentText"/>
        <w:numPr>
          <w:ilvl w:val="0"/>
          <w:numId w:val="15"/>
        </w:numPr>
        <w:rPr>
          <w:sz w:val="24"/>
          <w:szCs w:val="24"/>
        </w:rPr>
      </w:pPr>
      <w:r w:rsidRPr="002A1B6B">
        <w:rPr>
          <w:sz w:val="24"/>
          <w:szCs w:val="24"/>
        </w:rPr>
        <w:t>the method used in each suicide or attempted suicide</w:t>
      </w:r>
    </w:p>
    <w:p w:rsidR="004D052D" w:rsidP="004D052D" w:rsidRDefault="004D052D" w14:paraId="05AFE71D" w14:textId="4841E88D">
      <w:pPr>
        <w:pStyle w:val="CommentText"/>
        <w:rPr>
          <w:sz w:val="24"/>
          <w:szCs w:val="24"/>
        </w:rPr>
      </w:pPr>
    </w:p>
    <w:p w:rsidRPr="002A1B6B" w:rsidR="004D052D" w:rsidP="004D052D" w:rsidRDefault="004D052D" w14:paraId="238338B9" w14:textId="56EBABD2">
      <w:pPr>
        <w:pStyle w:val="CommentText"/>
        <w:rPr>
          <w:sz w:val="24"/>
          <w:szCs w:val="24"/>
        </w:rPr>
      </w:pPr>
      <w:r>
        <w:rPr>
          <w:sz w:val="24"/>
          <w:szCs w:val="24"/>
        </w:rPr>
        <w:t xml:space="preserve">The LESDC questionnaire </w:t>
      </w:r>
      <w:r w:rsidR="001A265B">
        <w:rPr>
          <w:sz w:val="24"/>
          <w:szCs w:val="24"/>
        </w:rPr>
        <w:t>is comprised of five sections which focus on collecting the above requirements, along with additional data elem</w:t>
      </w:r>
      <w:r w:rsidR="00325301">
        <w:rPr>
          <w:sz w:val="24"/>
          <w:szCs w:val="24"/>
        </w:rPr>
        <w:t>ents that are relevant to a suicide or attempted suicide incident</w:t>
      </w:r>
      <w:r w:rsidR="00730222">
        <w:rPr>
          <w:sz w:val="24"/>
          <w:szCs w:val="24"/>
        </w:rPr>
        <w:t xml:space="preserve">. </w:t>
      </w:r>
      <w:r w:rsidR="00F23263">
        <w:rPr>
          <w:sz w:val="24"/>
          <w:szCs w:val="24"/>
        </w:rPr>
        <w:t xml:space="preserve"> </w:t>
      </w:r>
      <w:r w:rsidR="00730222">
        <w:rPr>
          <w:sz w:val="24"/>
          <w:szCs w:val="24"/>
        </w:rPr>
        <w:t>These sections are:</w:t>
      </w:r>
    </w:p>
    <w:p w:rsidR="002A1B6B" w:rsidP="00437659" w:rsidRDefault="002A1B6B" w14:paraId="15F6D256" w14:textId="77777777"/>
    <w:p w:rsidR="0054289C" w:rsidP="00437659" w:rsidRDefault="0054289C" w14:paraId="3EDD29D7" w14:textId="459AE1F7"/>
    <w:p w:rsidRPr="0054289C" w:rsidR="0054289C" w:rsidP="0054289C" w:rsidRDefault="0054289C" w14:paraId="61DB97CC" w14:textId="4B5FDF19">
      <w:pPr>
        <w:pStyle w:val="ListParagraph"/>
        <w:numPr>
          <w:ilvl w:val="0"/>
          <w:numId w:val="14"/>
        </w:numPr>
        <w:rPr>
          <w:rFonts w:ascii="Times New Roman" w:hAnsi="Times New Roman"/>
          <w:sz w:val="24"/>
          <w:szCs w:val="24"/>
        </w:rPr>
      </w:pPr>
      <w:r w:rsidRPr="0054289C">
        <w:rPr>
          <w:rFonts w:ascii="Times New Roman" w:hAnsi="Times New Roman"/>
          <w:sz w:val="24"/>
          <w:szCs w:val="24"/>
        </w:rPr>
        <w:lastRenderedPageBreak/>
        <w:t xml:space="preserve">Administrative </w:t>
      </w:r>
      <w:r w:rsidR="00087CFD">
        <w:rPr>
          <w:rFonts w:ascii="Times New Roman" w:hAnsi="Times New Roman"/>
          <w:sz w:val="24"/>
          <w:szCs w:val="24"/>
        </w:rPr>
        <w:t>a</w:t>
      </w:r>
      <w:r w:rsidRPr="0054289C">
        <w:rPr>
          <w:rFonts w:ascii="Times New Roman" w:hAnsi="Times New Roman"/>
          <w:sz w:val="24"/>
          <w:szCs w:val="24"/>
        </w:rPr>
        <w:t>gency data</w:t>
      </w:r>
    </w:p>
    <w:p w:rsidRPr="0054289C" w:rsidR="0054289C" w:rsidP="0054289C" w:rsidRDefault="0054289C" w14:paraId="48CEC28B" w14:textId="12EE8B58">
      <w:pPr>
        <w:pStyle w:val="ListParagraph"/>
        <w:numPr>
          <w:ilvl w:val="0"/>
          <w:numId w:val="14"/>
        </w:numPr>
        <w:rPr>
          <w:rFonts w:ascii="Times New Roman" w:hAnsi="Times New Roman"/>
          <w:sz w:val="24"/>
          <w:szCs w:val="24"/>
        </w:rPr>
      </w:pPr>
      <w:r w:rsidRPr="0054289C">
        <w:rPr>
          <w:rFonts w:ascii="Times New Roman" w:hAnsi="Times New Roman"/>
          <w:sz w:val="24"/>
          <w:szCs w:val="24"/>
        </w:rPr>
        <w:t>Demographic data on the subject</w:t>
      </w:r>
    </w:p>
    <w:p w:rsidRPr="0054289C" w:rsidR="0054289C" w:rsidP="0054289C" w:rsidRDefault="0054289C" w14:paraId="642C4F64" w14:textId="07D462EC">
      <w:pPr>
        <w:pStyle w:val="ListParagraph"/>
        <w:numPr>
          <w:ilvl w:val="0"/>
          <w:numId w:val="14"/>
        </w:numPr>
        <w:rPr>
          <w:rFonts w:ascii="Times New Roman" w:hAnsi="Times New Roman"/>
          <w:sz w:val="24"/>
          <w:szCs w:val="24"/>
        </w:rPr>
      </w:pPr>
      <w:r w:rsidRPr="0054289C">
        <w:rPr>
          <w:rFonts w:ascii="Times New Roman" w:hAnsi="Times New Roman"/>
          <w:sz w:val="24"/>
          <w:szCs w:val="24"/>
        </w:rPr>
        <w:t>General data on the incident</w:t>
      </w:r>
    </w:p>
    <w:p w:rsidRPr="0054289C" w:rsidR="0054289C" w:rsidP="0054289C" w:rsidRDefault="0054289C" w14:paraId="79E3BF70" w14:textId="365D1642">
      <w:pPr>
        <w:pStyle w:val="ListParagraph"/>
        <w:numPr>
          <w:ilvl w:val="0"/>
          <w:numId w:val="14"/>
        </w:numPr>
        <w:rPr>
          <w:rFonts w:ascii="Times New Roman" w:hAnsi="Times New Roman"/>
          <w:sz w:val="24"/>
          <w:szCs w:val="24"/>
        </w:rPr>
      </w:pPr>
      <w:r w:rsidRPr="0054289C">
        <w:rPr>
          <w:rFonts w:ascii="Times New Roman" w:hAnsi="Times New Roman"/>
          <w:sz w:val="24"/>
          <w:szCs w:val="24"/>
        </w:rPr>
        <w:t>Circumstance data on the incident</w:t>
      </w:r>
    </w:p>
    <w:p w:rsidRPr="0054289C" w:rsidR="0054289C" w:rsidP="0054289C" w:rsidRDefault="0054289C" w14:paraId="32882344" w14:textId="1B64053A">
      <w:pPr>
        <w:pStyle w:val="ListParagraph"/>
        <w:numPr>
          <w:ilvl w:val="0"/>
          <w:numId w:val="14"/>
        </w:numPr>
        <w:rPr>
          <w:rFonts w:ascii="Times New Roman" w:hAnsi="Times New Roman"/>
          <w:sz w:val="24"/>
          <w:szCs w:val="24"/>
        </w:rPr>
      </w:pPr>
      <w:r w:rsidRPr="0054289C">
        <w:rPr>
          <w:rFonts w:ascii="Times New Roman" w:hAnsi="Times New Roman"/>
          <w:sz w:val="24"/>
          <w:szCs w:val="24"/>
        </w:rPr>
        <w:t xml:space="preserve">Agency training and wellness </w:t>
      </w:r>
      <w:r w:rsidR="008513A1">
        <w:rPr>
          <w:rFonts w:ascii="Times New Roman" w:hAnsi="Times New Roman"/>
          <w:sz w:val="24"/>
          <w:szCs w:val="24"/>
        </w:rPr>
        <w:t>information</w:t>
      </w:r>
    </w:p>
    <w:p w:rsidR="0054289C" w:rsidP="00437659" w:rsidRDefault="0054289C" w14:paraId="0F40C7E2" w14:textId="77777777"/>
    <w:p w:rsidR="00437659" w:rsidP="00437659" w:rsidRDefault="004B1936" w14:paraId="6E58EA0E" w14:textId="6EFCB12E">
      <w:r>
        <w:t>D</w:t>
      </w:r>
      <w:r w:rsidR="00437659">
        <w:t>ata from the LESDC will be used to</w:t>
      </w:r>
      <w:r w:rsidR="003B7EF0">
        <w:t xml:space="preserve"> produce a report of information</w:t>
      </w:r>
      <w:r w:rsidR="00437659">
        <w:t xml:space="preserve"> </w:t>
      </w:r>
      <w:r w:rsidR="003B7EF0">
        <w:t>about</w:t>
      </w:r>
      <w:r w:rsidR="00437659">
        <w:t xml:space="preserve"> suicide and attempted suicide </w:t>
      </w:r>
      <w:r w:rsidR="00C12708">
        <w:t xml:space="preserve">within the law enforcement community </w:t>
      </w:r>
      <w:r w:rsidR="00437659">
        <w:t xml:space="preserve">and help to </w:t>
      </w:r>
      <w:r w:rsidR="003B7EF0">
        <w:t xml:space="preserve">promote understanding </w:t>
      </w:r>
      <w:r w:rsidR="00437659">
        <w:t xml:space="preserve">into these occurrences.  This data will help further the discussion </w:t>
      </w:r>
      <w:r w:rsidR="003B7EF0">
        <w:t xml:space="preserve">within society </w:t>
      </w:r>
      <w:r w:rsidR="00437659">
        <w:t xml:space="preserve">around law enforcement suicide and </w:t>
      </w:r>
      <w:r w:rsidR="003B7EF0">
        <w:t>attempted suicide.</w:t>
      </w:r>
    </w:p>
    <w:p w:rsidRPr="00A02298" w:rsidR="00437659" w:rsidRDefault="00437659" w14:paraId="79633799" w14:textId="77777777"/>
    <w:p w:rsidRPr="009E5DC7" w:rsidR="003E24CF" w:rsidP="004F5038" w:rsidRDefault="00863F36" w14:paraId="4B94D5A5" w14:textId="27FEA0A5">
      <w:r>
        <w:t xml:space="preserve">The primary customers of </w:t>
      </w:r>
      <w:r w:rsidR="00A238C4">
        <w:t xml:space="preserve">LESDC data will be </w:t>
      </w:r>
      <w:r w:rsidR="00C12708">
        <w:t xml:space="preserve">law enforcement agencies (LEAs) </w:t>
      </w:r>
      <w:r w:rsidR="001A6F4A">
        <w:t>and organizations interested in the research</w:t>
      </w:r>
      <w:r w:rsidR="00CE212A">
        <w:t xml:space="preserve"> and analysis of suicides and attempted suicides in the law enforcement community.</w:t>
      </w:r>
      <w:r w:rsidR="004B1936">
        <w:t xml:space="preserve"> </w:t>
      </w:r>
      <w:r w:rsidR="004C03F1">
        <w:t xml:space="preserve"> </w:t>
      </w:r>
      <w:r w:rsidR="0054289C">
        <w:t>Each section of the LESDC is designed to not only fulfil</w:t>
      </w:r>
      <w:r w:rsidR="00F704D7">
        <w:t>l</w:t>
      </w:r>
      <w:r w:rsidR="0054289C">
        <w:t xml:space="preserve"> the requirements of the congressional </w:t>
      </w:r>
      <w:r w:rsidR="002056F0">
        <w:t>mandate but</w:t>
      </w:r>
      <w:r w:rsidR="0054289C">
        <w:t xml:space="preserve"> provide added utility in understand</w:t>
      </w:r>
      <w:r w:rsidR="00C12708">
        <w:t>ing</w:t>
      </w:r>
      <w:r w:rsidR="0054289C">
        <w:t xml:space="preserve"> the details surrounding </w:t>
      </w:r>
      <w:r w:rsidR="00C12708">
        <w:t>these</w:t>
      </w:r>
      <w:r w:rsidR="0054289C">
        <w:t xml:space="preserve"> incident</w:t>
      </w:r>
      <w:r w:rsidR="00C12708">
        <w:t>(s)</w:t>
      </w:r>
      <w:r w:rsidR="0054289C">
        <w:t xml:space="preserve">. </w:t>
      </w:r>
      <w:r w:rsidR="00087CFD">
        <w:t xml:space="preserve"> </w:t>
      </w:r>
      <w:r w:rsidR="00016A3A">
        <w:br/>
      </w:r>
    </w:p>
    <w:p w:rsidRPr="00A02298" w:rsidR="00CF534E" w:rsidRDefault="00CF534E" w14:paraId="28C96447" w14:textId="77777777">
      <w:r w:rsidRPr="00A02298">
        <w:t>3.  Use of Technology:</w:t>
      </w:r>
    </w:p>
    <w:p w:rsidR="00CF534E" w:rsidRDefault="00CF534E" w14:paraId="4B99056E" w14:textId="449DDD23"/>
    <w:p w:rsidRPr="004A61B8" w:rsidR="004A61B8" w:rsidP="004A61B8" w:rsidRDefault="007A1280" w14:paraId="3461D779" w14:textId="115A19D2">
      <w:pPr>
        <w:sectPr w:rsidRPr="004A61B8" w:rsidR="004A61B8" w:rsidSect="002B0A11">
          <w:footerReference w:type="default" r:id="rId11"/>
          <w:type w:val="continuous"/>
          <w:pgSz w:w="12240" w:h="15840"/>
          <w:pgMar w:top="1440" w:right="1440" w:bottom="1296" w:left="1440" w:header="1440" w:footer="1440" w:gutter="0"/>
          <w:cols w:space="720"/>
          <w:noEndnote/>
          <w:docGrid w:linePitch="326"/>
        </w:sectPr>
      </w:pPr>
      <w:r>
        <w:t>The LESDC provides a centralized repository for the responsible</w:t>
      </w:r>
      <w:r w:rsidR="00A83782">
        <w:t xml:space="preserve"> law enforcement</w:t>
      </w:r>
      <w:r>
        <w:t xml:space="preserve"> agency representatives to submit data on the circumstances, demographics, and details involved in a suicide or attempted suicide incident.  The </w:t>
      </w:r>
      <w:r w:rsidR="00520EB2">
        <w:t>Collection of Law Enforcement and Crime Tool (</w:t>
      </w:r>
      <w:r w:rsidRPr="00BC2673" w:rsidR="00520EB2">
        <w:t>COLECT</w:t>
      </w:r>
      <w:r w:rsidR="00520EB2">
        <w:t>)</w:t>
      </w:r>
      <w:r>
        <w:t xml:space="preserve"> is a robust </w:t>
      </w:r>
      <w:r w:rsidR="004B1936">
        <w:t>application</w:t>
      </w:r>
      <w:r>
        <w:t xml:space="preserve"> that </w:t>
      </w:r>
      <w:r w:rsidR="00520EB2">
        <w:t xml:space="preserve">will </w:t>
      </w:r>
      <w:r>
        <w:t>enable the nation’s law enforcement agencies to submit LESDC</w:t>
      </w:r>
      <w:r w:rsidR="00D36EA6">
        <w:t xml:space="preserve"> incident information to the FBI UCR Program</w:t>
      </w:r>
      <w:r>
        <w:t xml:space="preserve">.  </w:t>
      </w:r>
      <w:r w:rsidRPr="009642C9">
        <w:t xml:space="preserve">The </w:t>
      </w:r>
      <w:r w:rsidRPr="009642C9" w:rsidR="00520EB2">
        <w:t>COLECT</w:t>
      </w:r>
      <w:r w:rsidRPr="009642C9">
        <w:t xml:space="preserve"> has been created </w:t>
      </w:r>
      <w:r w:rsidRPr="009642C9" w:rsidR="00785236">
        <w:t>to allow agencies</w:t>
      </w:r>
      <w:r w:rsidRPr="009642C9" w:rsidR="00B55365">
        <w:t xml:space="preserve"> the use of</w:t>
      </w:r>
      <w:r w:rsidRPr="009642C9">
        <w:t xml:space="preserve"> an FBI-developed interface to submit and manage their agency’s </w:t>
      </w:r>
      <w:r w:rsidRPr="009642C9" w:rsidR="004762E6">
        <w:t xml:space="preserve">submissions </w:t>
      </w:r>
      <w:r w:rsidR="0011144F">
        <w:t>to</w:t>
      </w:r>
      <w:r w:rsidRPr="009642C9" w:rsidR="004762E6">
        <w:t xml:space="preserve"> </w:t>
      </w:r>
      <w:r w:rsidRPr="009642C9" w:rsidR="00C12708">
        <w:t xml:space="preserve">the FBI </w:t>
      </w:r>
      <w:r w:rsidRPr="009642C9" w:rsidR="004762E6">
        <w:t>UCR</w:t>
      </w:r>
      <w:r w:rsidRPr="009642C9" w:rsidR="00E1597B">
        <w:t xml:space="preserve"> p</w:t>
      </w:r>
      <w:r w:rsidR="0011144F">
        <w:t>rogram</w:t>
      </w:r>
      <w:r w:rsidRPr="009642C9" w:rsidR="000D2288">
        <w:t xml:space="preserve">, including </w:t>
      </w:r>
      <w:r w:rsidRPr="009642C9" w:rsidR="00E0624A">
        <w:t>participation in the LESDC.</w:t>
      </w:r>
      <w:r w:rsidRPr="009642C9" w:rsidR="00B86CC3">
        <w:t xml:space="preserve">  </w:t>
      </w:r>
      <w:r w:rsidRPr="009642C9">
        <w:t>Detailed information about these and other features are included within this document.</w:t>
      </w:r>
      <w:r>
        <w:t xml:space="preserve">  </w:t>
      </w:r>
      <w:r>
        <w:br/>
      </w:r>
      <w:r>
        <w:br/>
        <w:t>All users access the</w:t>
      </w:r>
      <w:r w:rsidR="00320C89">
        <w:t xml:space="preserve"> COLECT</w:t>
      </w:r>
      <w:r>
        <w:t xml:space="preserve"> through the </w:t>
      </w:r>
      <w:r w:rsidR="002B10FB">
        <w:t xml:space="preserve">FBI’s </w:t>
      </w:r>
      <w:r>
        <w:t xml:space="preserve">Law Enforcement Enterprise Portal (LEEP).  </w:t>
      </w:r>
      <w:r w:rsidR="004B1936">
        <w:t>COLECT</w:t>
      </w:r>
      <w:r>
        <w:t xml:space="preserve"> uses the LEEP </w:t>
      </w:r>
      <w:r w:rsidR="002264FB">
        <w:t xml:space="preserve">for </w:t>
      </w:r>
      <w:r>
        <w:t>authentication and the related user account to provide access to information and functionality within the software</w:t>
      </w:r>
      <w:r w:rsidR="004A61B8">
        <w:t>.</w:t>
      </w:r>
      <w:r w:rsidR="004A61B8">
        <w:br/>
      </w:r>
    </w:p>
    <w:p w:rsidRPr="00A02298" w:rsidR="00CF534E" w:rsidRDefault="00CF534E" w14:paraId="65AD4A8D" w14:textId="45E98B19">
      <w:r w:rsidRPr="00A02298">
        <w:t>4.  Efforts to Identify Duplication</w:t>
      </w:r>
      <w:r w:rsidR="004A61B8">
        <w:t>:</w:t>
      </w:r>
      <w:r w:rsidR="006A1626">
        <w:br/>
      </w:r>
    </w:p>
    <w:p w:rsidR="007A1280" w:rsidRDefault="006A2931" w14:paraId="3662413D" w14:textId="7F0D4308">
      <w:r>
        <w:t xml:space="preserve">The FBI UCR Program worked with </w:t>
      </w:r>
      <w:r w:rsidR="00C12708">
        <w:t xml:space="preserve">the </w:t>
      </w:r>
      <w:r>
        <w:t xml:space="preserve">LESDC task force to identify potential areas of duplication for this collection. </w:t>
      </w:r>
      <w:r w:rsidR="008F1DC3">
        <w:t xml:space="preserve"> </w:t>
      </w:r>
      <w:r>
        <w:t>However, the study of suicide and attempted suicide among the law enforcement community is a relatively new area of research.</w:t>
      </w:r>
      <w:r w:rsidR="00847EA8">
        <w:t xml:space="preserve">  </w:t>
      </w:r>
      <w:r w:rsidR="00C12708">
        <w:t>Collections regarding suicide were found in various aspects of specific demographics</w:t>
      </w:r>
      <w:r w:rsidR="00847EA8">
        <w:t>, such as for the military or general populace,</w:t>
      </w:r>
      <w:r w:rsidR="00C12708">
        <w:t xml:space="preserve"> but </w:t>
      </w:r>
      <w:r w:rsidR="00847EA8">
        <w:t>none are comparable</w:t>
      </w:r>
      <w:r w:rsidR="00C12708">
        <w:t xml:space="preserve"> to the requirements as established within the </w:t>
      </w:r>
      <w:r w:rsidRPr="00B86CC3" w:rsidR="00C12708">
        <w:rPr>
          <w:i/>
          <w:iCs/>
        </w:rPr>
        <w:t>LESDCA</w:t>
      </w:r>
      <w:r w:rsidR="00C12708">
        <w:t xml:space="preserve">.  No collections were identified supporting the collection of attempted suicide within any demographic established within the </w:t>
      </w:r>
      <w:r w:rsidR="00F77BC6">
        <w:t>Act</w:t>
      </w:r>
      <w:r w:rsidR="00C12708">
        <w:t xml:space="preserve">.    </w:t>
      </w:r>
    </w:p>
    <w:p w:rsidR="007A1280" w:rsidRDefault="007A1280" w14:paraId="724A7BE2" w14:textId="77777777"/>
    <w:p w:rsidR="00EB1866" w:rsidRDefault="007A1280" w14:paraId="110FBDD3" w14:textId="24F78394">
      <w:r>
        <w:t xml:space="preserve">In the development of the LESDC, the FBI UCR Program worked closely with </w:t>
      </w:r>
      <w:r w:rsidR="004B1936">
        <w:t>the</w:t>
      </w:r>
      <w:r>
        <w:t xml:space="preserve"> non</w:t>
      </w:r>
      <w:r w:rsidR="004113E0">
        <w:noBreakHyphen/>
      </w:r>
      <w:r w:rsidR="00E90A60">
        <w:t>government</w:t>
      </w:r>
      <w:r>
        <w:t xml:space="preserve"> </w:t>
      </w:r>
      <w:r w:rsidR="004113E0">
        <w:t xml:space="preserve">group </w:t>
      </w:r>
      <w:r>
        <w:t>Blue H.E.L.P.</w:t>
      </w:r>
      <w:r w:rsidR="004113E0">
        <w:t xml:space="preserve"> (Honor. Educate. Lead. Prevent.).  </w:t>
      </w:r>
      <w:r>
        <w:t>Blue H.E.L.P. is a non-</w:t>
      </w:r>
      <w:r>
        <w:lastRenderedPageBreak/>
        <w:t xml:space="preserve">profit organization working to </w:t>
      </w:r>
      <w:r w:rsidR="00E90A60">
        <w:t xml:space="preserve">collect data </w:t>
      </w:r>
      <w:r w:rsidR="00A71A48">
        <w:t>on law enforcement officers who</w:t>
      </w:r>
      <w:r w:rsidR="00E90A60">
        <w:t xml:space="preserve"> commit </w:t>
      </w:r>
      <w:r w:rsidR="00B0616A">
        <w:t>suicide and</w:t>
      </w:r>
      <w:r w:rsidR="00E90A60">
        <w:t xml:space="preserve"> support the families of the </w:t>
      </w:r>
      <w:r w:rsidR="00DD6895">
        <w:t>law enforcement officer</w:t>
      </w:r>
      <w:r w:rsidR="00E90A60">
        <w:t xml:space="preserve">.  </w:t>
      </w:r>
      <w:r w:rsidR="004B1936">
        <w:t>While</w:t>
      </w:r>
      <w:r w:rsidR="00E90A60">
        <w:t xml:space="preserve"> Blue H.E.L.P </w:t>
      </w:r>
      <w:r w:rsidR="004B1936">
        <w:t xml:space="preserve">is </w:t>
      </w:r>
      <w:r w:rsidR="00E90A60">
        <w:t xml:space="preserve">not a federal or state collection, there are major differences between </w:t>
      </w:r>
      <w:r w:rsidR="00A71A48">
        <w:t xml:space="preserve">the </w:t>
      </w:r>
      <w:r w:rsidR="00E90A60">
        <w:t xml:space="preserve">Blue H.E.L.P </w:t>
      </w:r>
      <w:r w:rsidR="00A71A48">
        <w:t xml:space="preserve">data collection </w:t>
      </w:r>
      <w:r w:rsidR="00E90A60">
        <w:t xml:space="preserve">and the LESDC.  First, </w:t>
      </w:r>
      <w:r w:rsidR="003577FF">
        <w:t xml:space="preserve">Blue H.E.L.P collects data from </w:t>
      </w:r>
      <w:r w:rsidR="00A71A48">
        <w:t xml:space="preserve">both </w:t>
      </w:r>
      <w:r w:rsidR="003577FF">
        <w:t xml:space="preserve">the families </w:t>
      </w:r>
      <w:r w:rsidR="00A71A48">
        <w:t xml:space="preserve">and the employing law enforcement agency of the </w:t>
      </w:r>
      <w:r w:rsidR="00DD6895">
        <w:t>law enforcement officer</w:t>
      </w:r>
      <w:r w:rsidR="00A71A48">
        <w:t xml:space="preserve">.  Blue H.E.L.P. also </w:t>
      </w:r>
      <w:r w:rsidR="00EB1866">
        <w:t>provides</w:t>
      </w:r>
      <w:r w:rsidR="00A71A48">
        <w:t xml:space="preserve"> a mission statement for the collection to “Reduce mental health stigma through education, advocate for benefits for those suffering from </w:t>
      </w:r>
      <w:r w:rsidR="00EB1866">
        <w:t>post-traumatic</w:t>
      </w:r>
      <w:r w:rsidR="00A71A48">
        <w:t xml:space="preserve"> stress, acknowledge the service and sacrifice of the law enforcement officers in search for healing and bring awareness to suicide and mental health” </w:t>
      </w:r>
      <w:r w:rsidR="003577FF">
        <w:t xml:space="preserve">and conducts outreach to the families after learning about the incident. </w:t>
      </w:r>
      <w:r w:rsidR="004B1936">
        <w:t xml:space="preserve"> </w:t>
      </w:r>
      <w:r w:rsidR="00847EA8">
        <w:br/>
      </w:r>
    </w:p>
    <w:p w:rsidRPr="00A02298" w:rsidR="00CF534E" w:rsidRDefault="00EB1866" w14:paraId="3CF2D8B6" w14:textId="2A2B7B52">
      <w:r>
        <w:t xml:space="preserve">As mandated in the </w:t>
      </w:r>
      <w:r w:rsidRPr="00B86CC3">
        <w:rPr>
          <w:i/>
          <w:iCs/>
        </w:rPr>
        <w:t>LESDCA</w:t>
      </w:r>
      <w:r>
        <w:t>, t</w:t>
      </w:r>
      <w:r w:rsidR="003577FF">
        <w:t xml:space="preserve">he LESDC collects directly from </w:t>
      </w:r>
      <w:r w:rsidR="00847EA8">
        <w:t>LEAs</w:t>
      </w:r>
      <w:r w:rsidR="00A41167">
        <w:t xml:space="preserve">.  The FBI will be collecting such information from LEAs </w:t>
      </w:r>
      <w:r w:rsidR="00847EA8">
        <w:t>through</w:t>
      </w:r>
      <w:r w:rsidR="003577FF">
        <w:t xml:space="preserve"> the </w:t>
      </w:r>
      <w:r w:rsidR="00654665">
        <w:t xml:space="preserve">LEEP and the COLECT platform.  </w:t>
      </w:r>
      <w:r w:rsidR="003577FF">
        <w:t xml:space="preserve">No outreach is conducted to the family of the subjects and no personal information on the family is collected. </w:t>
      </w:r>
      <w:r w:rsidR="00654665">
        <w:t xml:space="preserve"> </w:t>
      </w:r>
      <w:r w:rsidR="003577FF">
        <w:t xml:space="preserve">Second, due to the requirements of the </w:t>
      </w:r>
      <w:r w:rsidRPr="003577FF" w:rsidR="003577FF">
        <w:rPr>
          <w:i/>
          <w:iCs/>
        </w:rPr>
        <w:t>LESDCA</w:t>
      </w:r>
      <w:r w:rsidR="003577FF">
        <w:t xml:space="preserve">, the scope of the LESDC expands beyond the traditional definition of a LEO </w:t>
      </w:r>
      <w:r w:rsidR="00404E92">
        <w:t>recently</w:t>
      </w:r>
      <w:r w:rsidR="003577FF">
        <w:t xml:space="preserve"> utilized by Blue H.E.L.P</w:t>
      </w:r>
      <w:r w:rsidR="00E01C7E">
        <w:t>, which only include</w:t>
      </w:r>
      <w:r w:rsidR="00E81EF1">
        <w:t>d LEOs belonging to police departments</w:t>
      </w:r>
      <w:r w:rsidR="003577FF">
        <w:t xml:space="preserve">. </w:t>
      </w:r>
      <w:r w:rsidR="004B1936">
        <w:t xml:space="preserve"> </w:t>
      </w:r>
      <w:r w:rsidR="003577FF">
        <w:t xml:space="preserve">The LESDC includes employees of correctional agencies, telecommunicators (911 operators), and </w:t>
      </w:r>
      <w:r w:rsidR="00EF2AC7">
        <w:t>criminal prosecutors and adjudicators.</w:t>
      </w:r>
      <w:r w:rsidR="00E81EF1">
        <w:t xml:space="preserve">  Blue HELP recently expanded their</w:t>
      </w:r>
      <w:r w:rsidR="00E407E3">
        <w:t xml:space="preserve"> collection scope</w:t>
      </w:r>
      <w:r w:rsidR="003A197B">
        <w:t xml:space="preserve"> to include suicides from all first responders (</w:t>
      </w:r>
      <w:r w:rsidR="00233131">
        <w:t>Fire, EMS, Dispatch, Police, and Corrections)</w:t>
      </w:r>
      <w:r w:rsidR="001071DB">
        <w:t xml:space="preserve">. </w:t>
      </w:r>
      <w:r w:rsidR="00F23263">
        <w:t xml:space="preserve"> </w:t>
      </w:r>
      <w:r w:rsidR="00E407E3">
        <w:t xml:space="preserve">This aligns Blue HELP </w:t>
      </w:r>
      <w:r w:rsidR="00BD6BA1">
        <w:t xml:space="preserve">and the LESDC considerably, but the differences in </w:t>
      </w:r>
      <w:r w:rsidR="00AB5DD8">
        <w:t xml:space="preserve">collection participation and the absences of adjudicators limits </w:t>
      </w:r>
      <w:r w:rsidR="00163F05">
        <w:t>risk of duplication.</w:t>
      </w:r>
      <w:r w:rsidR="00EF2AC7">
        <w:t xml:space="preserve">  </w:t>
      </w:r>
      <w:r w:rsidR="003577FF">
        <w:t>More information on the scope and respondent universe for the LESDC will be provided later in this document.</w:t>
      </w:r>
    </w:p>
    <w:p w:rsidR="00B92245" w:rsidRDefault="00B92245" w14:paraId="45779E4D" w14:textId="77777777"/>
    <w:p w:rsidRPr="00A02298" w:rsidR="00CF534E" w:rsidRDefault="00CF534E" w14:paraId="34CFE1EE" w14:textId="69A04B5A">
      <w:r w:rsidRPr="00A02298">
        <w:t xml:space="preserve">5.   Methods to Minimize Burden on Small </w:t>
      </w:r>
      <w:r w:rsidR="00DB605A">
        <w:t>entities</w:t>
      </w:r>
      <w:r w:rsidRPr="00A02298">
        <w:t>:</w:t>
      </w:r>
    </w:p>
    <w:p w:rsidR="00CF534E" w:rsidRDefault="00CF534E" w14:paraId="0562CB0E" w14:textId="32D54E4E"/>
    <w:p w:rsidRPr="007A1280" w:rsidR="007A1280" w:rsidP="007A1280" w:rsidRDefault="00654665" w14:paraId="2CEBD722" w14:textId="1198CF20">
      <w:r>
        <w:t xml:space="preserve">To mitigate potential burden on </w:t>
      </w:r>
      <w:r w:rsidR="00847EA8">
        <w:t>all participating</w:t>
      </w:r>
      <w:r>
        <w:t xml:space="preserve"> entities, </w:t>
      </w:r>
      <w:r w:rsidRPr="007A1280" w:rsidR="007A1280">
        <w:t xml:space="preserve">the FBI </w:t>
      </w:r>
      <w:r w:rsidR="0031254E">
        <w:t xml:space="preserve">has </w:t>
      </w:r>
      <w:r w:rsidRPr="007A1280" w:rsidR="007A1280">
        <w:t xml:space="preserve">built the </w:t>
      </w:r>
      <w:r w:rsidR="00B55365">
        <w:t>COLECT</w:t>
      </w:r>
      <w:r w:rsidRPr="007A1280" w:rsidR="007A1280">
        <w:t xml:space="preserve"> as a web portal </w:t>
      </w:r>
      <w:r w:rsidR="0031254E">
        <w:t>which</w:t>
      </w:r>
      <w:r w:rsidRPr="007A1280" w:rsidR="0031254E">
        <w:t xml:space="preserve"> </w:t>
      </w:r>
      <w:r w:rsidRPr="007A1280" w:rsidR="007A1280">
        <w:t xml:space="preserve">will serve as a </w:t>
      </w:r>
      <w:r w:rsidR="0031254E">
        <w:t xml:space="preserve">platform to access the LESDC application.  </w:t>
      </w:r>
      <w:r w:rsidR="007A1280">
        <w:t>Also, based on researc</w:t>
      </w:r>
      <w:r w:rsidR="003577FF">
        <w:t>h conducted with the LESDC task force</w:t>
      </w:r>
      <w:r w:rsidR="0031254E">
        <w:t>,</w:t>
      </w:r>
      <w:r w:rsidR="003577FF">
        <w:t xml:space="preserve"> </w:t>
      </w:r>
      <w:r w:rsidR="0031254E">
        <w:t xml:space="preserve">to include a representative of </w:t>
      </w:r>
      <w:r w:rsidR="003577FF">
        <w:t>Blue H.E.L.P, the frequency at which any one</w:t>
      </w:r>
      <w:r w:rsidR="00D51DEB">
        <w:t xml:space="preserve"> law enforcement</w:t>
      </w:r>
      <w:r w:rsidR="003577FF">
        <w:t xml:space="preserve"> agency will experience </w:t>
      </w:r>
      <w:r w:rsidR="00DB605A">
        <w:t xml:space="preserve">multiple </w:t>
      </w:r>
      <w:r w:rsidR="003577FF">
        <w:t xml:space="preserve">law enforcement </w:t>
      </w:r>
      <w:r w:rsidR="00DB605A">
        <w:t xml:space="preserve">suicides or attempted suicides </w:t>
      </w:r>
      <w:r w:rsidR="00554A25">
        <w:t>remains</w:t>
      </w:r>
      <w:r w:rsidR="00DB605A">
        <w:t xml:space="preserve"> low. </w:t>
      </w:r>
      <w:r w:rsidR="004B1936">
        <w:t xml:space="preserve"> </w:t>
      </w:r>
      <w:r w:rsidR="00DB605A">
        <w:t xml:space="preserve">Thus, it is not anticipated that the volume of </w:t>
      </w:r>
      <w:r w:rsidR="00554A25">
        <w:t xml:space="preserve">suicides or attempted suicides </w:t>
      </w:r>
      <w:r w:rsidR="00DB605A">
        <w:t>will create a large burden on any small entities</w:t>
      </w:r>
      <w:r w:rsidR="0031254E">
        <w:t>.</w:t>
      </w:r>
    </w:p>
    <w:p w:rsidRPr="00A02298" w:rsidR="00CF534E" w:rsidRDefault="00CF534E" w14:paraId="34CE0A41" w14:textId="77777777"/>
    <w:p w:rsidR="00CF534E" w:rsidP="00A02298" w:rsidRDefault="00CF534E" w14:paraId="6B9654BA" w14:textId="4E56866C">
      <w:pPr>
        <w:keepNext/>
      </w:pPr>
      <w:r w:rsidRPr="00A02298">
        <w:t>6.  Consequences of Less Frequent Collection:</w:t>
      </w:r>
    </w:p>
    <w:p w:rsidR="00847EA8" w:rsidP="00A02298" w:rsidRDefault="00847EA8" w14:paraId="686FB892" w14:textId="2108A2FD">
      <w:pPr>
        <w:keepNext/>
      </w:pPr>
    </w:p>
    <w:p w:rsidRPr="00A02298" w:rsidR="00847EA8" w:rsidP="00A02298" w:rsidRDefault="00847EA8" w14:paraId="6361979A" w14:textId="2425D4D3">
      <w:pPr>
        <w:keepNext/>
      </w:pPr>
      <w:r>
        <w:t>Not Applicable.</w:t>
      </w:r>
      <w:r w:rsidR="00F23263">
        <w:t xml:space="preserve"> </w:t>
      </w:r>
      <w:r>
        <w:t xml:space="preserve"> Collection is required by congressional mandate</w:t>
      </w:r>
      <w:r w:rsidR="00ED71C8">
        <w:t>, which requires an annual publication.</w:t>
      </w:r>
    </w:p>
    <w:p w:rsidRPr="00A02298" w:rsidR="00DB605A" w:rsidRDefault="00DB605A" w14:paraId="6BDD3738" w14:textId="77777777"/>
    <w:p w:rsidR="00CF534E" w:rsidRDefault="00CF534E" w14:paraId="55905DCF" w14:textId="49E281FA">
      <w:r w:rsidRPr="00A02298">
        <w:t>7.  Special Circumstances Influencing Collection:</w:t>
      </w:r>
    </w:p>
    <w:p w:rsidR="00847EA8" w:rsidRDefault="00847EA8" w14:paraId="11A12A11" w14:textId="6ED78445"/>
    <w:p w:rsidRPr="00A02298" w:rsidR="00847EA8" w:rsidRDefault="00847EA8" w14:paraId="5CFA50D0" w14:textId="1ECB01D3">
      <w:r>
        <w:t xml:space="preserve">The LESDC is congressionally mandated by the </w:t>
      </w:r>
      <w:r w:rsidRPr="00DB605A">
        <w:rPr>
          <w:i/>
          <w:iCs/>
        </w:rPr>
        <w:t>LESDCA</w:t>
      </w:r>
      <w:r>
        <w:rPr>
          <w:i/>
          <w:iCs/>
        </w:rPr>
        <w:t xml:space="preserve">.  </w:t>
      </w:r>
      <w:r>
        <w:t xml:space="preserve">Collection and distribution of this collection is a legal requirement.  The FBI UCR Program is required to provide a yearly report to </w:t>
      </w:r>
      <w:r w:rsidR="00554A25">
        <w:t>C</w:t>
      </w:r>
      <w:r>
        <w:t xml:space="preserve">ongress and the public on LESDC progress and information containing the aspects required by law.  Not collecting and distributing, or collection and distributing on a less frequent basis would be a violation of the </w:t>
      </w:r>
      <w:r w:rsidRPr="00DB605A">
        <w:rPr>
          <w:i/>
          <w:iCs/>
        </w:rPr>
        <w:t>LESDCA</w:t>
      </w:r>
      <w:r>
        <w:t xml:space="preserve">.  </w:t>
      </w:r>
    </w:p>
    <w:p w:rsidRPr="00A02298" w:rsidR="00CF534E" w:rsidRDefault="00843AAF" w14:paraId="5997CC1D" w14:textId="78D893B2">
      <w:r>
        <w:br/>
      </w:r>
      <w:r w:rsidR="00DB605A">
        <w:t xml:space="preserve">The FBI UCR Program is requesting that </w:t>
      </w:r>
      <w:r w:rsidR="006A02E8">
        <w:t>law enforcement</w:t>
      </w:r>
      <w:r w:rsidR="00DB605A">
        <w:t xml:space="preserve"> agencies submit </w:t>
      </w:r>
      <w:r w:rsidR="006A02E8">
        <w:t xml:space="preserve">information </w:t>
      </w:r>
      <w:r w:rsidR="00DB605A">
        <w:t xml:space="preserve">on an </w:t>
      </w:r>
      <w:r w:rsidR="00DB605A">
        <w:lastRenderedPageBreak/>
        <w:t xml:space="preserve">incident-by-incident basis. </w:t>
      </w:r>
      <w:r w:rsidR="004B1936">
        <w:t xml:space="preserve"> </w:t>
      </w:r>
      <w:r w:rsidR="00DB605A">
        <w:t>This means that agencies will submit an incident of suicide or attempted suicide after the incident has occurred.</w:t>
      </w:r>
      <w:r w:rsidR="00062F30">
        <w:t xml:space="preserve">  Participation in the LESDC is voluntary and </w:t>
      </w:r>
      <w:r w:rsidR="006A02E8">
        <w:t xml:space="preserve">law enforcement </w:t>
      </w:r>
      <w:r w:rsidR="00062F30">
        <w:t xml:space="preserve">agencies are under no requirement to submit </w:t>
      </w:r>
      <w:r w:rsidR="00B1320E">
        <w:t xml:space="preserve">information concerning </w:t>
      </w:r>
      <w:r w:rsidR="00062F30">
        <w:t xml:space="preserve">suicide or attempted </w:t>
      </w:r>
      <w:r w:rsidR="0073508D">
        <w:t>suicides</w:t>
      </w:r>
      <w:r w:rsidR="00B1320E">
        <w:t xml:space="preserve"> within its law enforcement agency</w:t>
      </w:r>
      <w:r w:rsidR="00007F8E">
        <w:t>.</w:t>
      </w:r>
    </w:p>
    <w:p w:rsidR="5C9A64AD" w:rsidP="5C9A64AD" w:rsidRDefault="5C9A64AD" w14:paraId="5F45FA45" w14:textId="1CDC04C9">
      <w:pPr>
        <w:pStyle w:val="ListParagraph"/>
        <w:spacing w:after="0" w:line="240" w:lineRule="auto"/>
        <w:ind w:left="360"/>
        <w:rPr>
          <w:rFonts w:ascii="Times New Roman" w:hAnsi="Times New Roman"/>
          <w:sz w:val="24"/>
          <w:szCs w:val="24"/>
        </w:rPr>
      </w:pPr>
    </w:p>
    <w:p w:rsidR="1F342768" w:rsidP="5C9A64AD" w:rsidRDefault="1F342768" w14:paraId="7D96CC28" w14:textId="2F9E2547">
      <w:r w:rsidRPr="5C9A64AD">
        <w:t>8.  Public Comments and Consultations:</w:t>
      </w:r>
    </w:p>
    <w:p w:rsidR="5C9A64AD" w:rsidP="5C9A64AD" w:rsidRDefault="5C9A64AD" w14:paraId="05F465F3" w14:textId="2BDD009D">
      <w:pPr>
        <w:pStyle w:val="ListParagraph"/>
        <w:spacing w:after="0" w:line="240" w:lineRule="auto"/>
        <w:ind w:left="360"/>
        <w:rPr>
          <w:rFonts w:ascii="Times New Roman" w:hAnsi="Times New Roman"/>
          <w:sz w:val="24"/>
          <w:szCs w:val="24"/>
        </w:rPr>
      </w:pPr>
    </w:p>
    <w:p w:rsidRPr="006A67DE" w:rsidR="00CF534E" w:rsidP="006A67DE" w:rsidRDefault="00062F30" w14:paraId="1231BE67" w14:textId="0A6977D6">
      <w:pPr>
        <w:tabs>
          <w:tab w:val="left" w:pos="360"/>
          <w:tab w:val="center" w:pos="4680"/>
          <w:tab w:val="left" w:pos="5904"/>
        </w:tabs>
      </w:pPr>
      <w:r w:rsidRPr="006A67DE">
        <w:t xml:space="preserve">The 60- and 30-day notices were published in the </w:t>
      </w:r>
      <w:r w:rsidRPr="006A67DE">
        <w:rPr>
          <w:i/>
        </w:rPr>
        <w:t>Federal Regist</w:t>
      </w:r>
      <w:r w:rsidR="00AA20D9">
        <w:rPr>
          <w:i/>
        </w:rPr>
        <w:t>er</w:t>
      </w:r>
      <w:r w:rsidRPr="006A67DE">
        <w:t>; no public comments were received on this data collection.</w:t>
      </w:r>
    </w:p>
    <w:p w:rsidRPr="00A02298" w:rsidR="00062F30" w:rsidP="5123043D" w:rsidRDefault="00062F30" w14:paraId="01617132" w14:textId="77777777">
      <w:pPr>
        <w:ind w:left="360"/>
      </w:pPr>
    </w:p>
    <w:p w:rsidRPr="00A02298" w:rsidR="00CF534E" w:rsidRDefault="692FF196" w14:paraId="1E7F6B89" w14:textId="23CE7AA3">
      <w:r>
        <w:t>9</w:t>
      </w:r>
      <w:r w:rsidR="00CF534E">
        <w:t>.  Payment of Gift to Claimants:</w:t>
      </w:r>
    </w:p>
    <w:p w:rsidRPr="00A02298" w:rsidR="00CF534E" w:rsidRDefault="00CF534E" w14:paraId="36FEB5B0" w14:textId="77777777"/>
    <w:p w:rsidRPr="006A67DE" w:rsidR="0048246C" w:rsidP="006A67DE" w:rsidRDefault="0048246C" w14:paraId="24980FF5" w14:textId="0746C155">
      <w:r w:rsidRPr="006A67DE">
        <w:t>Not applicable.</w:t>
      </w:r>
    </w:p>
    <w:p w:rsidRPr="00A02298" w:rsidR="00B1087D" w:rsidP="00062F30" w:rsidRDefault="00B1087D" w14:paraId="58A26B13" w14:textId="77777777"/>
    <w:p w:rsidRPr="00A02298" w:rsidR="00CF534E" w:rsidRDefault="1600C808" w14:paraId="031D3FC7" w14:textId="40A883A7">
      <w:r>
        <w:t>10</w:t>
      </w:r>
      <w:r w:rsidR="00CF534E">
        <w:t>.  Assurance of Confidentiality:</w:t>
      </w:r>
    </w:p>
    <w:p w:rsidRPr="00A02298" w:rsidR="00F65D05" w:rsidP="42763F00" w:rsidRDefault="00F65D05" w14:paraId="7196D064" w14:textId="77777777"/>
    <w:p w:rsidRPr="00B1643A" w:rsidR="00B1643A" w:rsidP="00B1643A" w:rsidRDefault="00B1643A" w14:paraId="4D3862F1" w14:textId="6E99F4DB">
      <w:pPr>
        <w:ind w:right="-180"/>
        <w:rPr>
          <w:color w:val="000000" w:themeColor="text1"/>
        </w:rPr>
      </w:pPr>
      <w:r w:rsidRPr="00B1643A">
        <w:rPr>
          <w:color w:val="000000" w:themeColor="text1"/>
        </w:rPr>
        <w:t xml:space="preserve">The FBI UCR Program does not </w:t>
      </w:r>
      <w:r w:rsidR="00A358B1">
        <w:rPr>
          <w:color w:val="000000" w:themeColor="text1"/>
        </w:rPr>
        <w:t xml:space="preserve">traditionally </w:t>
      </w:r>
      <w:r w:rsidRPr="00B1643A">
        <w:rPr>
          <w:color w:val="000000" w:themeColor="text1"/>
        </w:rPr>
        <w:t xml:space="preserve">assure confidentiality.  However, </w:t>
      </w:r>
      <w:r w:rsidR="00A358B1">
        <w:rPr>
          <w:color w:val="000000" w:themeColor="text1"/>
        </w:rPr>
        <w:t xml:space="preserve">the </w:t>
      </w:r>
      <w:r w:rsidRPr="00B86CC3" w:rsidR="00A358B1">
        <w:rPr>
          <w:i/>
          <w:iCs/>
          <w:color w:val="000000" w:themeColor="text1"/>
        </w:rPr>
        <w:t>LESDCA</w:t>
      </w:r>
      <w:r w:rsidR="00A358B1">
        <w:rPr>
          <w:color w:val="000000" w:themeColor="text1"/>
        </w:rPr>
        <w:t xml:space="preserve"> addresses the issue within the </w:t>
      </w:r>
      <w:r w:rsidR="00AA20D9">
        <w:rPr>
          <w:color w:val="000000" w:themeColor="text1"/>
        </w:rPr>
        <w:t>statute</w:t>
      </w:r>
      <w:r w:rsidR="00A358B1">
        <w:rPr>
          <w:color w:val="000000" w:themeColor="text1"/>
        </w:rPr>
        <w:t xml:space="preserve">.  </w:t>
      </w:r>
      <w:r w:rsidR="000F07E6">
        <w:rPr>
          <w:color w:val="000000" w:themeColor="text1"/>
        </w:rPr>
        <w:t>The legislation states</w:t>
      </w:r>
      <w:r w:rsidR="00E873DB">
        <w:rPr>
          <w:color w:val="000000" w:themeColor="text1"/>
        </w:rPr>
        <w:t>, i</w:t>
      </w:r>
      <w:r w:rsidR="00A358B1">
        <w:rPr>
          <w:color w:val="000000" w:themeColor="text1"/>
        </w:rPr>
        <w:t xml:space="preserve">n paragraph </w:t>
      </w:r>
      <w:r w:rsidR="00A358B1">
        <w:t xml:space="preserve">(d) </w:t>
      </w:r>
      <w:r w:rsidR="00E873DB">
        <w:t>“</w:t>
      </w:r>
      <w:r w:rsidR="00A358B1">
        <w:t>CONFIDENTIALITY.—The report described under subsection (c) may not include any personally identifiable information of a law enforcement officer who commits or attempts suicide.</w:t>
      </w:r>
      <w:r w:rsidR="00E873DB">
        <w:t>”</w:t>
      </w:r>
      <w:r w:rsidR="00A358B1">
        <w:t xml:space="preserve">  To ensure the highest level of privacy, the </w:t>
      </w:r>
      <w:r>
        <w:rPr>
          <w:color w:val="000000" w:themeColor="text1"/>
        </w:rPr>
        <w:t>LESDC</w:t>
      </w:r>
      <w:r w:rsidRPr="00B1643A">
        <w:rPr>
          <w:color w:val="000000" w:themeColor="text1"/>
        </w:rPr>
        <w:t xml:space="preserve"> do</w:t>
      </w:r>
      <w:r w:rsidR="00A358B1">
        <w:rPr>
          <w:color w:val="000000" w:themeColor="text1"/>
        </w:rPr>
        <w:t>es</w:t>
      </w:r>
      <w:r w:rsidRPr="00B1643A">
        <w:rPr>
          <w:color w:val="000000" w:themeColor="text1"/>
        </w:rPr>
        <w:t xml:space="preserve"> not </w:t>
      </w:r>
      <w:r w:rsidR="00A358B1">
        <w:rPr>
          <w:color w:val="000000" w:themeColor="text1"/>
        </w:rPr>
        <w:t>collect</w:t>
      </w:r>
      <w:r w:rsidRPr="00B1643A" w:rsidR="00A358B1">
        <w:rPr>
          <w:color w:val="000000" w:themeColor="text1"/>
        </w:rPr>
        <w:t xml:space="preserve"> </w:t>
      </w:r>
      <w:r w:rsidR="00DD63ED">
        <w:rPr>
          <w:color w:val="000000" w:themeColor="text1"/>
        </w:rPr>
        <w:t>directly</w:t>
      </w:r>
      <w:r w:rsidRPr="00B1643A">
        <w:rPr>
          <w:color w:val="000000" w:themeColor="text1"/>
        </w:rPr>
        <w:t xml:space="preserve"> identifiable information </w:t>
      </w:r>
      <w:r w:rsidR="00DD63ED">
        <w:rPr>
          <w:color w:val="000000" w:themeColor="text1"/>
        </w:rPr>
        <w:t xml:space="preserve">about officers who commit or attempt suicide.  All publication of LESDC information will be designed to limit the ability to indirectly </w:t>
      </w:r>
      <w:r w:rsidR="00995D1A">
        <w:rPr>
          <w:color w:val="000000" w:themeColor="text1"/>
        </w:rPr>
        <w:t>identify</w:t>
      </w:r>
      <w:r w:rsidR="00DD63ED">
        <w:rPr>
          <w:color w:val="000000" w:themeColor="text1"/>
        </w:rPr>
        <w:t xml:space="preserve"> law enforcement officers who </w:t>
      </w:r>
      <w:r w:rsidR="00995D1A">
        <w:rPr>
          <w:color w:val="000000" w:themeColor="text1"/>
        </w:rPr>
        <w:t>commit</w:t>
      </w:r>
      <w:r w:rsidR="00DD63ED">
        <w:rPr>
          <w:color w:val="000000" w:themeColor="text1"/>
        </w:rPr>
        <w:t xml:space="preserve"> </w:t>
      </w:r>
      <w:r w:rsidR="00995D1A">
        <w:rPr>
          <w:color w:val="000000" w:themeColor="text1"/>
        </w:rPr>
        <w:t>or attempt to commit suicide.</w:t>
      </w:r>
    </w:p>
    <w:p w:rsidRPr="0065486C" w:rsidR="00B1643A" w:rsidP="00B1643A" w:rsidRDefault="00B1643A" w14:paraId="0738A89F" w14:textId="77777777">
      <w:pPr>
        <w:pStyle w:val="ListParagraph"/>
        <w:spacing w:after="0" w:line="240" w:lineRule="auto"/>
        <w:rPr>
          <w:rFonts w:ascii="Times New Roman" w:hAnsi="Times New Roman"/>
          <w:color w:val="000000" w:themeColor="text1"/>
          <w:sz w:val="24"/>
          <w:szCs w:val="24"/>
        </w:rPr>
      </w:pPr>
    </w:p>
    <w:p w:rsidRPr="00E91773" w:rsidR="00B1087D" w:rsidP="00E91773" w:rsidRDefault="00CD2EAF" w14:paraId="64ADC2F8" w14:textId="4BE5691E">
      <w:pPr>
        <w:pStyle w:val="Default"/>
        <w:rPr>
          <w:rFonts w:ascii="Times New Roman" w:hAnsi="Times New Roman" w:cs="Times New Roman"/>
        </w:rPr>
      </w:pPr>
      <w:r>
        <w:rPr>
          <w:rFonts w:ascii="Times New Roman" w:hAnsi="Times New Roman" w:cs="Times New Roman"/>
        </w:rPr>
        <w:t>The FBI has completed a Privacy Impact Assessment</w:t>
      </w:r>
      <w:r w:rsidR="0058468F">
        <w:rPr>
          <w:rFonts w:ascii="Times New Roman" w:hAnsi="Times New Roman" w:cs="Times New Roman"/>
        </w:rPr>
        <w:t xml:space="preserve"> (PIA)</w:t>
      </w:r>
      <w:r>
        <w:rPr>
          <w:rFonts w:ascii="Times New Roman" w:hAnsi="Times New Roman" w:cs="Times New Roman"/>
        </w:rPr>
        <w:t xml:space="preserve"> </w:t>
      </w:r>
      <w:r w:rsidR="0058468F">
        <w:rPr>
          <w:rFonts w:ascii="Times New Roman" w:hAnsi="Times New Roman" w:cs="Times New Roman"/>
        </w:rPr>
        <w:t>which identifies privacy risk</w:t>
      </w:r>
      <w:r w:rsidR="001E5D38">
        <w:rPr>
          <w:rFonts w:ascii="Times New Roman" w:hAnsi="Times New Roman" w:cs="Times New Roman"/>
        </w:rPr>
        <w:t xml:space="preserve">s and </w:t>
      </w:r>
      <w:r w:rsidR="00E51671">
        <w:rPr>
          <w:rFonts w:ascii="Times New Roman" w:hAnsi="Times New Roman" w:cs="Times New Roman"/>
        </w:rPr>
        <w:t>mitigations pertinent to this</w:t>
      </w:r>
      <w:r w:rsidR="0058468F">
        <w:rPr>
          <w:rFonts w:ascii="Times New Roman" w:hAnsi="Times New Roman" w:cs="Times New Roman"/>
        </w:rPr>
        <w:t xml:space="preserve"> collection.  The PIA has been approved by the </w:t>
      </w:r>
      <w:r w:rsidR="00B831E8">
        <w:rPr>
          <w:rFonts w:ascii="Times New Roman" w:hAnsi="Times New Roman" w:cs="Times New Roman"/>
        </w:rPr>
        <w:t xml:space="preserve">US </w:t>
      </w:r>
      <w:r w:rsidR="0058468F">
        <w:rPr>
          <w:rFonts w:ascii="Times New Roman" w:hAnsi="Times New Roman" w:cs="Times New Roman"/>
        </w:rPr>
        <w:t>Department of Justice</w:t>
      </w:r>
      <w:r w:rsidR="00E51671">
        <w:rPr>
          <w:rFonts w:ascii="Times New Roman" w:hAnsi="Times New Roman" w:cs="Times New Roman"/>
        </w:rPr>
        <w:t xml:space="preserve"> and published </w:t>
      </w:r>
      <w:r w:rsidR="00E6070A">
        <w:rPr>
          <w:rFonts w:ascii="Times New Roman" w:hAnsi="Times New Roman" w:cs="Times New Roman"/>
        </w:rPr>
        <w:t>on fbi.gov</w:t>
      </w:r>
      <w:r w:rsidR="0058468F">
        <w:rPr>
          <w:rFonts w:ascii="Times New Roman" w:hAnsi="Times New Roman" w:cs="Times New Roman"/>
        </w:rPr>
        <w:t>.</w:t>
      </w:r>
    </w:p>
    <w:p w:rsidR="00877C44" w:rsidP="00B1087D" w:rsidRDefault="00877C44" w14:paraId="13BEFDE2" w14:textId="77777777">
      <w:pPr>
        <w:pStyle w:val="Default"/>
        <w:ind w:left="360"/>
        <w:rPr>
          <w:rFonts w:ascii="Times New Roman" w:hAnsi="Times New Roman" w:cs="Times New Roman"/>
          <w:snapToGrid w:val="0"/>
        </w:rPr>
      </w:pPr>
    </w:p>
    <w:p w:rsidRPr="00A02298" w:rsidR="00CF534E" w:rsidRDefault="00CF534E" w14:paraId="3A64EF8E" w14:textId="77777777">
      <w:r>
        <w:t>1</w:t>
      </w:r>
      <w:r w:rsidR="5C4F8E59">
        <w:t>1</w:t>
      </w:r>
      <w:r>
        <w:t>.  Justification for Sensitive Questions:</w:t>
      </w:r>
    </w:p>
    <w:p w:rsidR="00CF534E" w:rsidRDefault="00CF534E" w14:paraId="4D46F061" w14:textId="60D979A0"/>
    <w:p w:rsidRPr="00A02298" w:rsidR="00137C6E" w:rsidRDefault="00137C6E" w14:paraId="121BC991" w14:textId="304F922D">
      <w:r>
        <w:t>Not Applicable</w:t>
      </w:r>
    </w:p>
    <w:p w:rsidRPr="00A02298" w:rsidR="006F47B7" w:rsidRDefault="006F47B7" w14:paraId="23EA11A9" w14:textId="77777777"/>
    <w:p w:rsidRPr="008C2EAB" w:rsidR="008C2EAB" w:rsidP="00B63CEE" w:rsidRDefault="006F47B7" w14:paraId="73051B06" w14:textId="4341EC51">
      <w:r>
        <w:t>1</w:t>
      </w:r>
      <w:r w:rsidR="4F9DF5DE">
        <w:t>2</w:t>
      </w:r>
      <w:r w:rsidR="00B50EA9">
        <w:t>. Estimate of Hour Burden:</w:t>
      </w:r>
    </w:p>
    <w:p w:rsidR="008C2EAB" w:rsidP="00D3569E" w:rsidRDefault="008C2EAB" w14:paraId="4F8ECE90" w14:textId="77A795D2">
      <w:pPr>
        <w:jc w:val="both"/>
      </w:pPr>
    </w:p>
    <w:p w:rsidR="00137C6E" w:rsidP="001240E8" w:rsidRDefault="001240E8" w14:paraId="732B9272" w14:textId="277FCE70">
      <w:r>
        <w:t xml:space="preserve">Due to the inability to accurately measure the total population of eligible </w:t>
      </w:r>
      <w:r w:rsidR="004C61EB">
        <w:t xml:space="preserve">law enforcement </w:t>
      </w:r>
      <w:r>
        <w:t xml:space="preserve">agencies included in the expanded scope of the LESDC, providing a calculated burden estimate based on total number of </w:t>
      </w:r>
      <w:r w:rsidR="002750D1">
        <w:t>potential</w:t>
      </w:r>
      <w:r>
        <w:t xml:space="preserve"> responses is impossible</w:t>
      </w:r>
      <w:r w:rsidR="004B1936">
        <w:t xml:space="preserve"> at this time</w:t>
      </w:r>
      <w:r>
        <w:t xml:space="preserve">.  However, </w:t>
      </w:r>
      <w:r w:rsidR="002750D1">
        <w:t xml:space="preserve">the FBI UCR Program has collaborated with Blue H.E.L.P. as part of the LESDC task force and </w:t>
      </w:r>
      <w:r w:rsidR="004B1936">
        <w:t>can</w:t>
      </w:r>
      <w:r w:rsidR="002750D1">
        <w:t xml:space="preserve"> use their collected data to estimate an expected response number for calculating annual burden.</w:t>
      </w:r>
      <w:r w:rsidR="004B1936">
        <w:t xml:space="preserve"> </w:t>
      </w:r>
      <w:r w:rsidR="002750D1">
        <w:t xml:space="preserve"> In 2020, Blue H.E.L.P. reported </w:t>
      </w:r>
      <w:r w:rsidR="00A209F4">
        <w:t>174 suicides</w:t>
      </w:r>
      <w:r w:rsidR="00CA6BA5">
        <w:t xml:space="preserve"> deaths</w:t>
      </w:r>
      <w:r w:rsidR="00A209F4">
        <w:t xml:space="preserve"> </w:t>
      </w:r>
      <w:r w:rsidR="002750D1">
        <w:t xml:space="preserve">of law </w:t>
      </w:r>
      <w:r w:rsidR="00CA6BA5">
        <w:t>enforcement</w:t>
      </w:r>
      <w:r w:rsidR="002750D1">
        <w:t xml:space="preserve"> officers</w:t>
      </w:r>
      <w:r w:rsidR="00CA6BA5">
        <w:t>.</w:t>
      </w:r>
      <w:r w:rsidR="00703726">
        <w:t xml:space="preserve"> </w:t>
      </w:r>
      <w:r w:rsidR="00CA6BA5">
        <w:t xml:space="preserve"> In 2019, this number was 238 suicide deaths of law enforcement officers. </w:t>
      </w:r>
      <w:r w:rsidR="00703726">
        <w:t xml:space="preserve"> </w:t>
      </w:r>
      <w:r w:rsidR="00CA6BA5">
        <w:t xml:space="preserve">Based on the volume reported by Blue H.E.L.P. and accounting for the expanded scope of the LESDC compared to the collection frame of Blue H.E.L.P, it can be estimated the LESDC could reasonably expect to receive an estimated 300 responses of suicides or attempted suicides </w:t>
      </w:r>
      <w:r w:rsidR="0058468F">
        <w:t xml:space="preserve">from the law enforcement demographic </w:t>
      </w:r>
      <w:r w:rsidR="00CA6BA5">
        <w:t>on an annual basis.</w:t>
      </w:r>
      <w:r w:rsidR="0058468F">
        <w:t xml:space="preserve">  An assessment of</w:t>
      </w:r>
      <w:r w:rsidR="00000CAC">
        <w:t xml:space="preserve"> reasonable estimates for</w:t>
      </w:r>
      <w:r w:rsidR="0058468F">
        <w:t xml:space="preserve"> the additional demographics to include </w:t>
      </w:r>
      <w:r w:rsidR="0058468F">
        <w:lastRenderedPageBreak/>
        <w:t>corrections, legal system, and telecommunications is unavailabl</w:t>
      </w:r>
      <w:r w:rsidR="00000CAC">
        <w:t>e</w:t>
      </w:r>
      <w:r w:rsidR="0058468F">
        <w:t xml:space="preserve">.  </w:t>
      </w:r>
    </w:p>
    <w:p w:rsidR="00E20503" w:rsidP="001240E8" w:rsidRDefault="00E20503" w14:paraId="6FA0380E" w14:textId="77777777"/>
    <w:p w:rsidRPr="009B2D7A" w:rsidR="009B2D7A" w:rsidP="009B2D7A" w:rsidRDefault="00CA6BA5" w14:paraId="6972FE0E" w14:textId="2A6D96D8">
      <w:r>
        <w:t xml:space="preserve">Based on useability assessment and testing, the FBI UCR Program anticipates an average of </w:t>
      </w:r>
      <w:r w:rsidR="004632F2">
        <w:t>25-</w:t>
      </w:r>
      <w:r w:rsidR="00911457">
        <w:t>30</w:t>
      </w:r>
      <w:r w:rsidRPr="00BB73A3">
        <w:t xml:space="preserve"> minutes</w:t>
      </w:r>
      <w:r>
        <w:t xml:space="preserve"> </w:t>
      </w:r>
      <w:r w:rsidR="009B2D7A">
        <w:t xml:space="preserve">of burden response submitted for the LESDC. </w:t>
      </w:r>
      <w:r w:rsidR="00703726">
        <w:t xml:space="preserve"> </w:t>
      </w:r>
      <w:r w:rsidR="009B2D7A">
        <w:t xml:space="preserve">This is based on responses received during the pilot and any internal testing procedures. </w:t>
      </w:r>
      <w:r w:rsidR="0011698F">
        <w:t xml:space="preserve"> </w:t>
      </w:r>
      <w:r w:rsidR="009B2D7A">
        <w:t>Below is a calculation of the estimated burden</w:t>
      </w:r>
      <w:r w:rsidR="002F5130">
        <w:t xml:space="preserve"> using </w:t>
      </w:r>
      <w:r w:rsidR="00E41773">
        <w:t>a response time of 30 minutes</w:t>
      </w:r>
      <w:r w:rsidR="009B2D7A">
        <w:t>.</w:t>
      </w:r>
    </w:p>
    <w:tbl>
      <w:tblPr>
        <w:tblStyle w:val="TableGrid"/>
        <w:tblpPr w:leftFromText="187" w:rightFromText="187" w:vertAnchor="text" w:horzAnchor="page" w:tblpX="2881" w:tblpY="181"/>
        <w:tblW w:w="0" w:type="auto"/>
        <w:tblBorders>
          <w:top w:val="single" w:color="auto" w:sz="8" w:space="0"/>
          <w:left w:val="none" w:color="auto" w:sz="0" w:space="0"/>
          <w:bottom w:val="single" w:color="auto" w:sz="8" w:space="0"/>
          <w:right w:val="none" w:color="auto" w:sz="0" w:space="0"/>
          <w:insideH w:val="none" w:color="auto" w:sz="0" w:space="0"/>
          <w:insideV w:val="none" w:color="auto" w:sz="0" w:space="0"/>
        </w:tblBorders>
        <w:tblLook w:val="04A0" w:firstRow="1" w:lastRow="0" w:firstColumn="1" w:lastColumn="0" w:noHBand="0" w:noVBand="1"/>
      </w:tblPr>
      <w:tblGrid>
        <w:gridCol w:w="3205"/>
        <w:gridCol w:w="1724"/>
      </w:tblGrid>
      <w:tr w:rsidR="009B2D7A" w:rsidTr="009B2D7A" w14:paraId="5BBDB5DA" w14:textId="77777777">
        <w:trPr>
          <w:trHeight w:val="172"/>
        </w:trPr>
        <w:tc>
          <w:tcPr>
            <w:tcW w:w="3205" w:type="dxa"/>
          </w:tcPr>
          <w:p w:rsidRPr="00F20609" w:rsidR="009B2D7A" w:rsidP="00232ECB" w:rsidRDefault="009B2D7A" w14:paraId="0D6C60EF" w14:textId="77777777">
            <w:pPr>
              <w:pStyle w:val="ListParagraph"/>
              <w:ind w:left="0"/>
              <w:rPr>
                <w:rFonts w:ascii="Times New Roman" w:hAnsi="Times New Roman"/>
                <w:b/>
                <w:color w:val="000000" w:themeColor="text1"/>
                <w:sz w:val="20"/>
                <w:szCs w:val="20"/>
              </w:rPr>
            </w:pPr>
            <w:r w:rsidRPr="00F20609">
              <w:rPr>
                <w:rFonts w:ascii="Times New Roman" w:hAnsi="Times New Roman"/>
                <w:b/>
                <w:color w:val="000000" w:themeColor="text1"/>
                <w:sz w:val="20"/>
                <w:szCs w:val="20"/>
              </w:rPr>
              <w:t>Total annual responses:</w:t>
            </w:r>
          </w:p>
        </w:tc>
        <w:tc>
          <w:tcPr>
            <w:tcW w:w="1724" w:type="dxa"/>
          </w:tcPr>
          <w:p w:rsidRPr="00DE3BDE" w:rsidR="009B2D7A" w:rsidP="00232ECB" w:rsidRDefault="009B2D7A" w14:paraId="11CF60B5" w14:textId="125ADBDE">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300 </w:t>
            </w:r>
            <w:r w:rsidRPr="00DE3BDE">
              <w:rPr>
                <w:rFonts w:ascii="Times New Roman" w:hAnsi="Times New Roman"/>
                <w:color w:val="000000" w:themeColor="text1"/>
                <w:sz w:val="20"/>
                <w:szCs w:val="20"/>
              </w:rPr>
              <w:t>responses</w:t>
            </w:r>
          </w:p>
        </w:tc>
      </w:tr>
      <w:tr w:rsidR="009B2D7A" w:rsidTr="009B2D7A" w14:paraId="45F7CAD9" w14:textId="77777777">
        <w:trPr>
          <w:trHeight w:val="172"/>
        </w:trPr>
        <w:tc>
          <w:tcPr>
            <w:tcW w:w="3205" w:type="dxa"/>
          </w:tcPr>
          <w:p w:rsidRPr="00F20609" w:rsidR="009B2D7A" w:rsidP="00232ECB" w:rsidRDefault="009B2D7A" w14:paraId="17F64B95" w14:textId="77777777">
            <w:pPr>
              <w:pStyle w:val="ListParagraph"/>
              <w:ind w:left="0"/>
              <w:rPr>
                <w:rFonts w:ascii="Times New Roman" w:hAnsi="Times New Roman"/>
                <w:b/>
                <w:color w:val="000000" w:themeColor="text1"/>
                <w:sz w:val="20"/>
                <w:szCs w:val="20"/>
              </w:rPr>
            </w:pPr>
            <w:r w:rsidRPr="00F20609">
              <w:rPr>
                <w:rFonts w:ascii="Times New Roman" w:hAnsi="Times New Roman"/>
                <w:b/>
                <w:color w:val="000000" w:themeColor="text1"/>
                <w:sz w:val="20"/>
                <w:szCs w:val="20"/>
              </w:rPr>
              <w:t>Time per response:</w:t>
            </w:r>
          </w:p>
        </w:tc>
        <w:tc>
          <w:tcPr>
            <w:tcW w:w="1724" w:type="dxa"/>
          </w:tcPr>
          <w:p w:rsidRPr="00DE3BDE" w:rsidR="009B2D7A" w:rsidP="00232ECB" w:rsidRDefault="002F5130" w14:paraId="5EBE4F5F" w14:textId="11EC81D7">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30</w:t>
            </w:r>
            <w:r w:rsidRPr="00DE3BDE" w:rsidR="009B2D7A">
              <w:rPr>
                <w:rFonts w:ascii="Times New Roman" w:hAnsi="Times New Roman"/>
                <w:color w:val="000000" w:themeColor="text1"/>
                <w:sz w:val="20"/>
                <w:szCs w:val="20"/>
              </w:rPr>
              <w:t xml:space="preserve"> minutes</w:t>
            </w:r>
          </w:p>
        </w:tc>
      </w:tr>
      <w:tr w:rsidR="009B2D7A" w:rsidTr="009B2D7A" w14:paraId="3876BE6A" w14:textId="77777777">
        <w:trPr>
          <w:trHeight w:val="164"/>
        </w:trPr>
        <w:tc>
          <w:tcPr>
            <w:tcW w:w="3205" w:type="dxa"/>
          </w:tcPr>
          <w:p w:rsidRPr="00F20609" w:rsidR="009B2D7A" w:rsidP="00232ECB" w:rsidRDefault="009B2D7A" w14:paraId="4E2DD0C8" w14:textId="77777777">
            <w:pPr>
              <w:pStyle w:val="ListParagraph"/>
              <w:ind w:left="0"/>
              <w:rPr>
                <w:rFonts w:ascii="Times New Roman" w:hAnsi="Times New Roman"/>
                <w:b/>
                <w:color w:val="000000" w:themeColor="text1"/>
                <w:sz w:val="20"/>
                <w:szCs w:val="20"/>
              </w:rPr>
            </w:pPr>
            <w:r w:rsidRPr="00F20609">
              <w:rPr>
                <w:rFonts w:ascii="Times New Roman" w:hAnsi="Times New Roman"/>
                <w:b/>
                <w:color w:val="000000" w:themeColor="text1"/>
                <w:sz w:val="20"/>
                <w:szCs w:val="20"/>
              </w:rPr>
              <w:t>Annual burden:</w:t>
            </w:r>
          </w:p>
        </w:tc>
        <w:tc>
          <w:tcPr>
            <w:tcW w:w="1724" w:type="dxa"/>
          </w:tcPr>
          <w:p w:rsidRPr="00DE3BDE" w:rsidR="009B2D7A" w:rsidP="00232ECB" w:rsidRDefault="00E41773" w14:paraId="4EAF5C5A" w14:textId="2975158A">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150</w:t>
            </w:r>
            <w:r w:rsidR="009B2D7A">
              <w:rPr>
                <w:rFonts w:ascii="Times New Roman" w:hAnsi="Times New Roman"/>
                <w:color w:val="000000" w:themeColor="text1"/>
                <w:sz w:val="20"/>
                <w:szCs w:val="20"/>
              </w:rPr>
              <w:t xml:space="preserve"> </w:t>
            </w:r>
            <w:r w:rsidRPr="00DE3BDE" w:rsidR="009B2D7A">
              <w:rPr>
                <w:rFonts w:ascii="Times New Roman" w:hAnsi="Times New Roman"/>
                <w:color w:val="000000" w:themeColor="text1"/>
                <w:sz w:val="20"/>
                <w:szCs w:val="20"/>
              </w:rPr>
              <w:t>hours</w:t>
            </w:r>
          </w:p>
        </w:tc>
      </w:tr>
    </w:tbl>
    <w:p w:rsidRPr="0065486C" w:rsidR="009B2D7A" w:rsidP="009B2D7A" w:rsidRDefault="009B2D7A" w14:paraId="3E73BA8E" w14:textId="77777777">
      <w:pPr>
        <w:ind w:left="720"/>
        <w:contextualSpacing/>
        <w:rPr>
          <w:color w:val="000000" w:themeColor="text1"/>
        </w:rPr>
      </w:pPr>
    </w:p>
    <w:p w:rsidR="009B2D7A" w:rsidP="009B2D7A" w:rsidRDefault="009B2D7A" w14:paraId="78C8AF73" w14:textId="77777777">
      <w:pPr>
        <w:pStyle w:val="ListParagraph"/>
        <w:spacing w:after="0" w:line="240" w:lineRule="auto"/>
        <w:rPr>
          <w:rFonts w:ascii="Times New Roman" w:hAnsi="Times New Roman"/>
          <w:color w:val="000000" w:themeColor="text1"/>
          <w:sz w:val="24"/>
          <w:szCs w:val="24"/>
        </w:rPr>
      </w:pPr>
    </w:p>
    <w:p w:rsidRPr="0065486C" w:rsidR="009B2D7A" w:rsidP="009B2D7A" w:rsidRDefault="009B2D7A" w14:paraId="45FFD520" w14:textId="77777777">
      <w:pPr>
        <w:pStyle w:val="ListParagraph"/>
        <w:spacing w:after="0" w:line="240" w:lineRule="auto"/>
        <w:rPr>
          <w:rFonts w:ascii="Times New Roman" w:hAnsi="Times New Roman"/>
          <w:color w:val="000000" w:themeColor="text1"/>
          <w:sz w:val="24"/>
          <w:szCs w:val="24"/>
        </w:rPr>
      </w:pPr>
    </w:p>
    <w:p w:rsidR="009B2D7A" w:rsidP="009B2D7A" w:rsidRDefault="009B2D7A" w14:paraId="029FFA54" w14:textId="77777777">
      <w:pPr>
        <w:rPr>
          <w:color w:val="000000" w:themeColor="text1"/>
        </w:rPr>
      </w:pPr>
    </w:p>
    <w:p w:rsidR="009B2D7A" w:rsidP="009B2D7A" w:rsidRDefault="009B2D7A" w14:paraId="4E5329DA" w14:textId="77777777">
      <w:pPr>
        <w:rPr>
          <w:color w:val="000000" w:themeColor="text1"/>
        </w:rPr>
      </w:pPr>
    </w:p>
    <w:p w:rsidRPr="00782B18" w:rsidR="009B2D7A" w:rsidP="009B2D7A" w:rsidRDefault="009B2D7A" w14:paraId="67797905" w14:textId="77777777">
      <w:pPr>
        <w:rPr>
          <w:color w:val="000000" w:themeColor="text1"/>
        </w:rPr>
      </w:pPr>
    </w:p>
    <w:p w:rsidRPr="00EF365B" w:rsidR="009B2D7A" w:rsidP="009B2D7A" w:rsidRDefault="009B2D7A" w14:paraId="3A24AA14" w14:textId="0388B9C7">
      <w:pPr>
        <w:rPr>
          <w:color w:val="000000" w:themeColor="text1"/>
        </w:rPr>
      </w:pPr>
      <w:r>
        <w:rPr>
          <w:color w:val="000000" w:themeColor="text1"/>
        </w:rPr>
        <w:t xml:space="preserve">As the LESDC is a new collection and the FBI UCR Program is still assessing the full scope of the potential respondent population, it is anticipated that further work and outreach will be necessary for this collection. </w:t>
      </w:r>
      <w:r w:rsidR="00703726">
        <w:rPr>
          <w:color w:val="000000" w:themeColor="text1"/>
        </w:rPr>
        <w:t xml:space="preserve"> </w:t>
      </w:r>
      <w:r>
        <w:rPr>
          <w:color w:val="000000" w:themeColor="text1"/>
        </w:rPr>
        <w:t>This will include communication with potential respondents and additional discussions with state representatives and task force members.</w:t>
      </w:r>
      <w:r w:rsidR="00703726">
        <w:rPr>
          <w:color w:val="000000" w:themeColor="text1"/>
        </w:rPr>
        <w:t xml:space="preserve"> </w:t>
      </w:r>
      <w:r>
        <w:rPr>
          <w:color w:val="000000" w:themeColor="text1"/>
        </w:rPr>
        <w:t xml:space="preserve"> To allow for this outreach, an additional 300 burden hours is anticipated to continue improving the LESDC.</w:t>
      </w:r>
    </w:p>
    <w:p w:rsidR="009B2D7A" w:rsidP="009B2D7A" w:rsidRDefault="009B2D7A" w14:paraId="10B6DA58" w14:textId="77777777">
      <w:pPr>
        <w:pStyle w:val="ListParagraph"/>
        <w:spacing w:after="0" w:line="240" w:lineRule="auto"/>
        <w:rPr>
          <w:rFonts w:ascii="Times New Roman" w:hAnsi="Times New Roman"/>
          <w:color w:val="000000" w:themeColor="text1"/>
          <w:sz w:val="24"/>
          <w:szCs w:val="24"/>
        </w:rPr>
      </w:pPr>
    </w:p>
    <w:tbl>
      <w:tblPr>
        <w:tblStyle w:val="TableGrid"/>
        <w:tblpPr w:leftFromText="187" w:rightFromText="187" w:vertAnchor="text" w:horzAnchor="page" w:tblpX="2450" w:tblpY="106"/>
        <w:tblW w:w="0" w:type="auto"/>
        <w:tblBorders>
          <w:top w:val="single" w:color="auto" w:sz="8" w:space="0"/>
          <w:left w:val="none" w:color="auto" w:sz="0" w:space="0"/>
          <w:bottom w:val="single" w:color="auto" w:sz="8" w:space="0"/>
          <w:right w:val="none" w:color="auto" w:sz="0" w:space="0"/>
          <w:insideH w:val="none" w:color="auto" w:sz="0" w:space="0"/>
          <w:insideV w:val="none" w:color="auto" w:sz="0" w:space="0"/>
        </w:tblBorders>
        <w:tblLook w:val="04A0" w:firstRow="1" w:lastRow="0" w:firstColumn="1" w:lastColumn="0" w:noHBand="0" w:noVBand="1"/>
      </w:tblPr>
      <w:tblGrid>
        <w:gridCol w:w="5572"/>
      </w:tblGrid>
      <w:tr w:rsidR="00485032" w:rsidTr="00485032" w14:paraId="6E9E33FA" w14:textId="77777777">
        <w:trPr>
          <w:trHeight w:val="421"/>
        </w:trPr>
        <w:tc>
          <w:tcPr>
            <w:tcW w:w="5572" w:type="dxa"/>
          </w:tcPr>
          <w:p w:rsidRPr="00F20609" w:rsidR="00485032" w:rsidP="00485032" w:rsidRDefault="00485032" w14:paraId="57ABA322" w14:textId="02DE31F4">
            <w:pPr>
              <w:pStyle w:val="ListParagraph"/>
              <w:ind w:left="0"/>
              <w:rPr>
                <w:rFonts w:ascii="Times New Roman" w:hAnsi="Times New Roman"/>
                <w:b/>
                <w:color w:val="000000" w:themeColor="text1"/>
                <w:sz w:val="20"/>
                <w:szCs w:val="20"/>
              </w:rPr>
            </w:pPr>
            <w:r>
              <w:rPr>
                <w:rFonts w:ascii="Times New Roman" w:hAnsi="Times New Roman"/>
                <w:b/>
                <w:color w:val="000000" w:themeColor="text1"/>
                <w:sz w:val="20"/>
                <w:szCs w:val="20"/>
              </w:rPr>
              <w:t xml:space="preserve">Annual Response Burden:                            </w:t>
            </w:r>
            <w:r w:rsidRPr="00E41773" w:rsidR="00E41773">
              <w:rPr>
                <w:rFonts w:ascii="Times New Roman" w:hAnsi="Times New Roman"/>
                <w:bCs/>
                <w:color w:val="000000" w:themeColor="text1"/>
                <w:sz w:val="20"/>
                <w:szCs w:val="20"/>
              </w:rPr>
              <w:t>150</w:t>
            </w:r>
            <w:r w:rsidRPr="006D1E92">
              <w:rPr>
                <w:rFonts w:ascii="Times New Roman" w:hAnsi="Times New Roman"/>
                <w:bCs/>
                <w:color w:val="000000" w:themeColor="text1"/>
                <w:sz w:val="20"/>
                <w:szCs w:val="20"/>
              </w:rPr>
              <w:t xml:space="preserve"> hours</w:t>
            </w:r>
          </w:p>
        </w:tc>
      </w:tr>
      <w:tr w:rsidR="00485032" w:rsidTr="00485032" w14:paraId="7FAC9F9D" w14:textId="77777777">
        <w:trPr>
          <w:trHeight w:val="421"/>
        </w:trPr>
        <w:tc>
          <w:tcPr>
            <w:tcW w:w="5572" w:type="dxa"/>
          </w:tcPr>
          <w:p w:rsidR="00485032" w:rsidP="00485032" w:rsidRDefault="00485032" w14:paraId="463CFBDA" w14:textId="695CF9D9">
            <w:pPr>
              <w:pStyle w:val="ListParagraph"/>
              <w:ind w:left="0"/>
              <w:rPr>
                <w:rFonts w:ascii="Times New Roman" w:hAnsi="Times New Roman"/>
                <w:b/>
                <w:color w:val="000000" w:themeColor="text1"/>
                <w:sz w:val="20"/>
                <w:szCs w:val="20"/>
              </w:rPr>
            </w:pPr>
            <w:r>
              <w:rPr>
                <w:rFonts w:ascii="Times New Roman" w:hAnsi="Times New Roman"/>
                <w:b/>
                <w:color w:val="000000" w:themeColor="text1"/>
                <w:sz w:val="20"/>
                <w:szCs w:val="20"/>
              </w:rPr>
              <w:t xml:space="preserve">Additional Outreach Burden:                      </w:t>
            </w:r>
            <w:r w:rsidRPr="006D1E92">
              <w:rPr>
                <w:rFonts w:ascii="Times New Roman" w:hAnsi="Times New Roman"/>
                <w:bCs/>
                <w:color w:val="000000" w:themeColor="text1"/>
                <w:sz w:val="20"/>
                <w:szCs w:val="20"/>
              </w:rPr>
              <w:t>300 hours</w:t>
            </w:r>
          </w:p>
          <w:p w:rsidR="00485032" w:rsidP="00485032" w:rsidRDefault="00485032" w14:paraId="2C96A1C1" w14:textId="77777777">
            <w:pPr>
              <w:pStyle w:val="ListParagraph"/>
              <w:ind w:left="0"/>
              <w:rPr>
                <w:rFonts w:ascii="Times New Roman" w:hAnsi="Times New Roman"/>
                <w:b/>
                <w:color w:val="000000" w:themeColor="text1"/>
                <w:sz w:val="20"/>
                <w:szCs w:val="20"/>
              </w:rPr>
            </w:pPr>
          </w:p>
          <w:p w:rsidRPr="00F20609" w:rsidR="00485032" w:rsidP="00485032" w:rsidRDefault="00485032" w14:paraId="29C82E80" w14:textId="5B2AD745">
            <w:pPr>
              <w:pStyle w:val="ListParagraph"/>
              <w:ind w:left="0"/>
              <w:rPr>
                <w:rFonts w:ascii="Times New Roman" w:hAnsi="Times New Roman"/>
                <w:b/>
                <w:color w:val="000000" w:themeColor="text1"/>
                <w:sz w:val="20"/>
                <w:szCs w:val="20"/>
              </w:rPr>
            </w:pPr>
            <w:r>
              <w:rPr>
                <w:rFonts w:ascii="Times New Roman" w:hAnsi="Times New Roman"/>
                <w:b/>
                <w:color w:val="000000" w:themeColor="text1"/>
                <w:sz w:val="20"/>
                <w:szCs w:val="20"/>
              </w:rPr>
              <w:t xml:space="preserve">Total Annual Burden:                                   </w:t>
            </w:r>
            <w:r w:rsidR="00E41773">
              <w:rPr>
                <w:rFonts w:ascii="Times New Roman" w:hAnsi="Times New Roman"/>
                <w:bCs/>
                <w:color w:val="000000" w:themeColor="text1"/>
                <w:sz w:val="20"/>
                <w:szCs w:val="20"/>
              </w:rPr>
              <w:t>450</w:t>
            </w:r>
            <w:r w:rsidRPr="006D1E92">
              <w:rPr>
                <w:rFonts w:ascii="Times New Roman" w:hAnsi="Times New Roman"/>
                <w:bCs/>
                <w:color w:val="000000" w:themeColor="text1"/>
                <w:sz w:val="20"/>
                <w:szCs w:val="20"/>
              </w:rPr>
              <w:t>hours</w:t>
            </w:r>
          </w:p>
        </w:tc>
      </w:tr>
    </w:tbl>
    <w:p w:rsidRPr="006F05A3" w:rsidR="009B2D7A" w:rsidP="009B2D7A" w:rsidRDefault="009B2D7A" w14:paraId="51E30DE0" w14:textId="77777777">
      <w:pPr>
        <w:rPr>
          <w:color w:val="000000" w:themeColor="text1"/>
        </w:rPr>
      </w:pPr>
    </w:p>
    <w:p w:rsidRPr="0065486C" w:rsidR="009B2D7A" w:rsidP="009B2D7A" w:rsidRDefault="009B2D7A" w14:paraId="0E983527" w14:textId="77777777">
      <w:pPr>
        <w:pStyle w:val="ListParagraph"/>
        <w:spacing w:after="0" w:line="240" w:lineRule="auto"/>
        <w:rPr>
          <w:rFonts w:ascii="Times New Roman" w:hAnsi="Times New Roman"/>
          <w:color w:val="000000" w:themeColor="text1"/>
          <w:sz w:val="24"/>
          <w:szCs w:val="24"/>
        </w:rPr>
      </w:pPr>
    </w:p>
    <w:p w:rsidR="009B2D7A" w:rsidP="009B2D7A" w:rsidRDefault="009B2D7A" w14:paraId="003BC66E" w14:textId="77777777">
      <w:pPr>
        <w:pStyle w:val="ListParagraph"/>
        <w:spacing w:after="0" w:line="240" w:lineRule="auto"/>
        <w:rPr>
          <w:rFonts w:ascii="Times New Roman" w:hAnsi="Times New Roman"/>
          <w:color w:val="000000" w:themeColor="text1"/>
          <w:sz w:val="24"/>
          <w:szCs w:val="24"/>
        </w:rPr>
      </w:pPr>
    </w:p>
    <w:p w:rsidR="009B2D7A" w:rsidP="009B2D7A" w:rsidRDefault="009B2D7A" w14:paraId="1038125A" w14:textId="77777777">
      <w:pPr>
        <w:pStyle w:val="ListParagraph"/>
        <w:spacing w:after="0" w:line="240" w:lineRule="auto"/>
        <w:rPr>
          <w:rFonts w:ascii="Times New Roman" w:hAnsi="Times New Roman"/>
          <w:color w:val="000000" w:themeColor="text1"/>
          <w:sz w:val="24"/>
          <w:szCs w:val="24"/>
        </w:rPr>
      </w:pPr>
    </w:p>
    <w:p w:rsidR="009B2D7A" w:rsidP="001240E8" w:rsidRDefault="009B2D7A" w14:paraId="26B9E21B" w14:textId="77777777"/>
    <w:p w:rsidR="00B1087D" w:rsidP="00B1087D" w:rsidRDefault="00B1087D" w14:paraId="7AEC5BCE" w14:textId="1EA068DB"/>
    <w:p w:rsidR="00485032" w:rsidP="00485032" w:rsidRDefault="00485032" w14:paraId="0AE3653D" w14:textId="0AF562CF">
      <w:r>
        <w:t xml:space="preserve">Total requested annual burden hours:   </w:t>
      </w:r>
      <w:r w:rsidR="00E41773">
        <w:t>450</w:t>
      </w:r>
      <w:r>
        <w:t xml:space="preserve"> hours</w:t>
      </w:r>
    </w:p>
    <w:p w:rsidR="00485032" w:rsidP="00B1087D" w:rsidRDefault="006A74A8" w14:paraId="3A3D5E33" w14:textId="21969E15">
      <w:r>
        <w:br/>
      </w:r>
    </w:p>
    <w:p w:rsidRPr="00A02298" w:rsidR="00B1087D" w:rsidP="00B1087D" w:rsidRDefault="00B1087D" w14:paraId="588ADAC8" w14:textId="77777777">
      <w:r>
        <w:t>13. Estimate of Cost Burden:</w:t>
      </w:r>
    </w:p>
    <w:p w:rsidRPr="00A02298" w:rsidR="00B1087D" w:rsidP="00B1087D" w:rsidRDefault="00B1087D" w14:paraId="61F81F9E" w14:textId="77777777"/>
    <w:p w:rsidRPr="00A02298" w:rsidR="00B1087D" w:rsidP="006A67DE" w:rsidRDefault="00B1087D" w14:paraId="06E1DEFF" w14:textId="6B0F4118">
      <w:pPr>
        <w:pStyle w:val="NormalWeb"/>
        <w:rPr>
          <w:color w:val="000000"/>
        </w:rPr>
      </w:pPr>
      <w:r w:rsidRPr="00A02298">
        <w:rPr>
          <w:color w:val="000000"/>
        </w:rPr>
        <w:t>There are no direct costs to law enforcement to participate in the FBI UCR Program other than the time to respond</w:t>
      </w:r>
      <w:r>
        <w:rPr>
          <w:color w:val="000000"/>
        </w:rPr>
        <w:t xml:space="preserve"> to the data collection</w:t>
      </w:r>
      <w:r w:rsidR="0058468F">
        <w:rPr>
          <w:color w:val="000000"/>
        </w:rPr>
        <w:t xml:space="preserve"> questions,</w:t>
      </w:r>
      <w:r>
        <w:rPr>
          <w:color w:val="000000"/>
        </w:rPr>
        <w:t xml:space="preserve"> and for any additional follow-up between the agency and the FBI UCR Program</w:t>
      </w:r>
      <w:r w:rsidRPr="00A02298">
        <w:rPr>
          <w:color w:val="000000"/>
        </w:rPr>
        <w:t xml:space="preserve">.  Respondents may incur capital or start-up costs associated with this information collection, although it is difficult to obtain the costs </w:t>
      </w:r>
      <w:r w:rsidR="000C666C">
        <w:rPr>
          <w:color w:val="000000"/>
        </w:rPr>
        <w:t>from agency-to-agency.</w:t>
      </w:r>
    </w:p>
    <w:p w:rsidRPr="00A02298" w:rsidR="00B1087D" w:rsidP="00B1087D" w:rsidRDefault="00B1087D" w14:paraId="22349403" w14:textId="77777777"/>
    <w:p w:rsidR="00EC79FA" w:rsidP="00EC79FA" w:rsidRDefault="00B1087D" w14:paraId="2E588166" w14:textId="01E5D863">
      <w:pPr>
        <w:pStyle w:val="ListParagraph"/>
        <w:numPr>
          <w:ilvl w:val="0"/>
          <w:numId w:val="1"/>
        </w:numPr>
        <w:spacing w:line="240" w:lineRule="auto"/>
        <w:ind w:left="360"/>
        <w:rPr>
          <w:rFonts w:ascii="Times New Roman" w:hAnsi="Times New Roman" w:eastAsia="Times New Roman"/>
          <w:sz w:val="24"/>
          <w:szCs w:val="24"/>
        </w:rPr>
      </w:pPr>
      <w:r w:rsidRPr="4833D558">
        <w:rPr>
          <w:rFonts w:ascii="Times New Roman" w:hAnsi="Times New Roman" w:eastAsia="Times New Roman"/>
          <w:sz w:val="24"/>
          <w:szCs w:val="24"/>
        </w:rPr>
        <w:t>Cost to Federal Government:</w:t>
      </w:r>
    </w:p>
    <w:p w:rsidRPr="006E3A7D" w:rsidR="006E3A7D" w:rsidP="006E3A7D" w:rsidRDefault="006E3A7D" w14:paraId="69AAF2D4" w14:textId="0D525AAC">
      <w:r>
        <w:t xml:space="preserve">Below is a </w:t>
      </w:r>
      <w:r w:rsidR="00414940">
        <w:t>FY</w:t>
      </w:r>
      <w:r w:rsidR="008E0D2D">
        <w:t xml:space="preserve">2020 </w:t>
      </w:r>
      <w:r>
        <w:t xml:space="preserve">cost break down for the FBI UCR Program </w:t>
      </w:r>
      <w:r w:rsidR="00EB0C88">
        <w:t xml:space="preserve">provided by </w:t>
      </w:r>
      <w:r w:rsidR="009F7E9E">
        <w:t>FBI Financial</w:t>
      </w:r>
      <w:r w:rsidR="001E71F6">
        <w:t xml:space="preserve"> Management staff.</w:t>
      </w:r>
    </w:p>
    <w:tbl>
      <w:tblPr>
        <w:tblpPr w:leftFromText="180" w:rightFromText="180" w:vertAnchor="text" w:horzAnchor="margin" w:tblpXSpec="center" w:tblpY="156"/>
        <w:tblW w:w="10094" w:type="dxa"/>
        <w:jc w:val="center"/>
        <w:tblLook w:val="04A0" w:firstRow="1" w:lastRow="0" w:firstColumn="1" w:lastColumn="0" w:noHBand="0" w:noVBand="1"/>
      </w:tblPr>
      <w:tblGrid>
        <w:gridCol w:w="6754"/>
        <w:gridCol w:w="1670"/>
        <w:gridCol w:w="1670"/>
      </w:tblGrid>
      <w:tr w:rsidRPr="0065486C" w:rsidR="00EC79FA" w:rsidTr="009E782D" w14:paraId="27CC85CA" w14:textId="77777777">
        <w:trPr>
          <w:trHeight w:val="306"/>
          <w:jc w:val="center"/>
        </w:trPr>
        <w:tc>
          <w:tcPr>
            <w:tcW w:w="6754" w:type="dxa"/>
            <w:tcBorders>
              <w:left w:val="nil"/>
              <w:bottom w:val="single" w:color="auto" w:sz="8" w:space="0"/>
              <w:right w:val="nil"/>
            </w:tcBorders>
            <w:shd w:val="clear" w:color="auto" w:fill="auto"/>
            <w:vAlign w:val="center"/>
          </w:tcPr>
          <w:p w:rsidRPr="00EC79FA" w:rsidR="00EC79FA" w:rsidP="00EC79FA" w:rsidRDefault="00EC79FA" w14:paraId="14C04BD1" w14:textId="77777777">
            <w:pPr>
              <w:rPr>
                <w:b/>
                <w:sz w:val="20"/>
                <w:szCs w:val="20"/>
              </w:rPr>
            </w:pPr>
            <w:r w:rsidRPr="00EC79FA">
              <w:rPr>
                <w:b/>
                <w:sz w:val="20"/>
                <w:szCs w:val="20"/>
              </w:rPr>
              <w:t>Data Collection and Processing Costs</w:t>
            </w:r>
          </w:p>
        </w:tc>
        <w:tc>
          <w:tcPr>
            <w:tcW w:w="1670" w:type="dxa"/>
            <w:tcBorders>
              <w:left w:val="nil"/>
              <w:bottom w:val="single" w:color="auto" w:sz="8" w:space="0"/>
              <w:right w:val="nil"/>
            </w:tcBorders>
            <w:shd w:val="clear" w:color="auto" w:fill="auto"/>
            <w:vAlign w:val="center"/>
          </w:tcPr>
          <w:p w:rsidRPr="0065486C" w:rsidR="00EC79FA" w:rsidP="009E782D" w:rsidRDefault="00EC79FA" w14:paraId="30293CD6" w14:textId="77777777">
            <w:pPr>
              <w:contextualSpacing/>
              <w:jc w:val="right"/>
              <w:rPr>
                <w:b/>
                <w:color w:val="000000" w:themeColor="text1"/>
              </w:rPr>
            </w:pPr>
          </w:p>
        </w:tc>
        <w:tc>
          <w:tcPr>
            <w:tcW w:w="1670" w:type="dxa"/>
            <w:tcBorders>
              <w:left w:val="nil"/>
              <w:bottom w:val="single" w:color="auto" w:sz="8" w:space="0"/>
              <w:right w:val="nil"/>
            </w:tcBorders>
            <w:shd w:val="clear" w:color="auto" w:fill="auto"/>
            <w:vAlign w:val="center"/>
          </w:tcPr>
          <w:p w:rsidRPr="0065486C" w:rsidR="00EC79FA" w:rsidP="009E782D" w:rsidRDefault="00EC79FA" w14:paraId="390FA227" w14:textId="77777777">
            <w:pPr>
              <w:contextualSpacing/>
              <w:jc w:val="right"/>
              <w:rPr>
                <w:b/>
                <w:color w:val="000000" w:themeColor="text1"/>
              </w:rPr>
            </w:pPr>
          </w:p>
        </w:tc>
      </w:tr>
      <w:tr w:rsidRPr="008841A1" w:rsidR="00EC79FA" w:rsidTr="009E782D" w14:paraId="7B4C2D66" w14:textId="77777777">
        <w:trPr>
          <w:trHeight w:val="306"/>
          <w:jc w:val="center"/>
        </w:trPr>
        <w:tc>
          <w:tcPr>
            <w:tcW w:w="6754" w:type="dxa"/>
            <w:tcBorders>
              <w:top w:val="single" w:color="auto" w:sz="8" w:space="0"/>
              <w:left w:val="nil"/>
              <w:bottom w:val="single" w:color="auto" w:sz="8" w:space="0"/>
              <w:right w:val="nil"/>
            </w:tcBorders>
            <w:shd w:val="clear" w:color="auto" w:fill="auto"/>
            <w:vAlign w:val="center"/>
            <w:hideMark/>
          </w:tcPr>
          <w:p w:rsidRPr="008841A1" w:rsidR="00EC79FA" w:rsidP="009E782D" w:rsidRDefault="00EC79FA" w14:paraId="6C356521" w14:textId="77777777">
            <w:pPr>
              <w:contextualSpacing/>
              <w:rPr>
                <w:b/>
                <w:color w:val="000000" w:themeColor="text1"/>
                <w:sz w:val="20"/>
                <w:szCs w:val="20"/>
              </w:rPr>
            </w:pPr>
            <w:r w:rsidRPr="008841A1">
              <w:rPr>
                <w:b/>
                <w:color w:val="000000" w:themeColor="text1"/>
                <w:sz w:val="20"/>
                <w:szCs w:val="20"/>
              </w:rPr>
              <w:t>Activity</w:t>
            </w:r>
          </w:p>
        </w:tc>
        <w:tc>
          <w:tcPr>
            <w:tcW w:w="1670" w:type="dxa"/>
            <w:tcBorders>
              <w:top w:val="single" w:color="auto" w:sz="8" w:space="0"/>
              <w:left w:val="nil"/>
              <w:bottom w:val="single" w:color="auto" w:sz="8" w:space="0"/>
              <w:right w:val="nil"/>
            </w:tcBorders>
            <w:shd w:val="clear" w:color="auto" w:fill="auto"/>
            <w:vAlign w:val="center"/>
            <w:hideMark/>
          </w:tcPr>
          <w:p w:rsidRPr="008841A1" w:rsidR="00EC79FA" w:rsidP="009E782D" w:rsidRDefault="00EC79FA" w14:paraId="57759F85" w14:textId="77777777">
            <w:pPr>
              <w:contextualSpacing/>
              <w:jc w:val="right"/>
              <w:rPr>
                <w:b/>
                <w:color w:val="000000" w:themeColor="text1"/>
                <w:sz w:val="20"/>
                <w:szCs w:val="20"/>
              </w:rPr>
            </w:pPr>
            <w:r w:rsidRPr="008841A1">
              <w:rPr>
                <w:b/>
                <w:color w:val="000000" w:themeColor="text1"/>
                <w:sz w:val="20"/>
                <w:szCs w:val="20"/>
              </w:rPr>
              <w:t>FY20</w:t>
            </w:r>
            <w:r>
              <w:rPr>
                <w:b/>
                <w:color w:val="000000" w:themeColor="text1"/>
                <w:sz w:val="20"/>
                <w:szCs w:val="20"/>
              </w:rPr>
              <w:t>20</w:t>
            </w:r>
            <w:r w:rsidRPr="008841A1">
              <w:rPr>
                <w:b/>
                <w:color w:val="000000" w:themeColor="text1"/>
                <w:sz w:val="20"/>
                <w:szCs w:val="20"/>
              </w:rPr>
              <w:t xml:space="preserve"> </w:t>
            </w:r>
          </w:p>
          <w:p w:rsidRPr="008841A1" w:rsidR="00EC79FA" w:rsidP="009E782D" w:rsidRDefault="00EC79FA" w14:paraId="567586F5" w14:textId="77777777">
            <w:pPr>
              <w:contextualSpacing/>
              <w:jc w:val="right"/>
              <w:rPr>
                <w:b/>
                <w:color w:val="000000" w:themeColor="text1"/>
                <w:sz w:val="20"/>
                <w:szCs w:val="20"/>
              </w:rPr>
            </w:pPr>
            <w:r w:rsidRPr="008841A1">
              <w:rPr>
                <w:b/>
                <w:color w:val="000000" w:themeColor="text1"/>
                <w:sz w:val="20"/>
                <w:szCs w:val="20"/>
              </w:rPr>
              <w:t>Annualized Cost</w:t>
            </w:r>
          </w:p>
        </w:tc>
        <w:tc>
          <w:tcPr>
            <w:tcW w:w="1670" w:type="dxa"/>
            <w:tcBorders>
              <w:top w:val="single" w:color="auto" w:sz="8" w:space="0"/>
              <w:left w:val="nil"/>
              <w:bottom w:val="single" w:color="auto" w:sz="8" w:space="0"/>
              <w:right w:val="nil"/>
            </w:tcBorders>
            <w:shd w:val="clear" w:color="auto" w:fill="auto"/>
            <w:vAlign w:val="center"/>
            <w:hideMark/>
          </w:tcPr>
          <w:p w:rsidRPr="008841A1" w:rsidR="00EC79FA" w:rsidP="009E782D" w:rsidRDefault="00EC79FA" w14:paraId="75C75671" w14:textId="77777777">
            <w:pPr>
              <w:contextualSpacing/>
              <w:jc w:val="right"/>
              <w:rPr>
                <w:b/>
                <w:color w:val="000000" w:themeColor="text1"/>
                <w:sz w:val="20"/>
                <w:szCs w:val="20"/>
              </w:rPr>
            </w:pPr>
            <w:r w:rsidRPr="008841A1">
              <w:rPr>
                <w:b/>
                <w:color w:val="000000" w:themeColor="text1"/>
                <w:sz w:val="20"/>
                <w:szCs w:val="20"/>
              </w:rPr>
              <w:t>FY20</w:t>
            </w:r>
            <w:r>
              <w:rPr>
                <w:b/>
                <w:color w:val="000000" w:themeColor="text1"/>
                <w:sz w:val="20"/>
                <w:szCs w:val="20"/>
              </w:rPr>
              <w:t>20</w:t>
            </w:r>
            <w:r w:rsidRPr="008841A1">
              <w:rPr>
                <w:b/>
                <w:color w:val="000000" w:themeColor="text1"/>
                <w:sz w:val="20"/>
                <w:szCs w:val="20"/>
              </w:rPr>
              <w:t xml:space="preserve"> Annualized FTE</w:t>
            </w:r>
          </w:p>
        </w:tc>
      </w:tr>
    </w:tbl>
    <w:tbl>
      <w:tblPr>
        <w:tblW w:w="10170" w:type="dxa"/>
        <w:tblLook w:val="04A0" w:firstRow="1" w:lastRow="0" w:firstColumn="1" w:lastColumn="0" w:noHBand="0" w:noVBand="1"/>
      </w:tblPr>
      <w:tblGrid>
        <w:gridCol w:w="6589"/>
        <w:gridCol w:w="1511"/>
        <w:gridCol w:w="270"/>
        <w:gridCol w:w="1800"/>
      </w:tblGrid>
      <w:tr w:rsidRPr="00023DE3" w:rsidR="00EC79FA" w:rsidTr="00CA0B27" w14:paraId="4F2ED098"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3476A81A" w14:textId="77777777">
            <w:pPr>
              <w:rPr>
                <w:color w:val="000000"/>
                <w:sz w:val="20"/>
                <w:szCs w:val="20"/>
              </w:rPr>
            </w:pPr>
            <w:r w:rsidRPr="00023DE3">
              <w:rPr>
                <w:color w:val="000000"/>
                <w:sz w:val="20"/>
                <w:szCs w:val="20"/>
              </w:rPr>
              <w:t>Conduct Assessment / Perform Analysis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471BC5A3" w14:textId="77777777">
            <w:pPr>
              <w:rPr>
                <w:color w:val="000000"/>
                <w:sz w:val="20"/>
                <w:szCs w:val="20"/>
              </w:rPr>
            </w:pPr>
            <w:r w:rsidRPr="00023DE3">
              <w:rPr>
                <w:color w:val="000000"/>
                <w:sz w:val="20"/>
                <w:szCs w:val="20"/>
              </w:rPr>
              <w:t xml:space="preserve"> $      91,640.91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0F79D00A" w14:textId="77777777">
            <w:pPr>
              <w:jc w:val="right"/>
              <w:rPr>
                <w:color w:val="000000"/>
                <w:sz w:val="20"/>
                <w:szCs w:val="20"/>
              </w:rPr>
            </w:pPr>
            <w:r w:rsidRPr="00023DE3">
              <w:rPr>
                <w:color w:val="000000"/>
                <w:sz w:val="20"/>
                <w:szCs w:val="20"/>
              </w:rPr>
              <w:t>0.45</w:t>
            </w:r>
          </w:p>
        </w:tc>
      </w:tr>
      <w:tr w:rsidRPr="00023DE3" w:rsidR="00EC79FA" w:rsidTr="00CA0B27" w14:paraId="50994AFA"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52054390" w14:textId="77777777">
            <w:pPr>
              <w:rPr>
                <w:color w:val="000000"/>
                <w:sz w:val="20"/>
                <w:szCs w:val="20"/>
              </w:rPr>
            </w:pPr>
            <w:r w:rsidRPr="00023DE3">
              <w:rPr>
                <w:color w:val="000000"/>
                <w:sz w:val="20"/>
                <w:szCs w:val="20"/>
              </w:rPr>
              <w:t>Conduct Liaison, Education, and Promotion</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2EFDDE2E" w14:textId="77777777">
            <w:pPr>
              <w:rPr>
                <w:color w:val="000000"/>
                <w:sz w:val="20"/>
                <w:szCs w:val="20"/>
              </w:rPr>
            </w:pPr>
            <w:r w:rsidRPr="00023DE3">
              <w:rPr>
                <w:color w:val="000000"/>
                <w:sz w:val="20"/>
                <w:szCs w:val="20"/>
              </w:rPr>
              <w:t xml:space="preserve"> $    460,753.01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5C414FA5" w14:textId="77777777">
            <w:pPr>
              <w:jc w:val="right"/>
              <w:rPr>
                <w:color w:val="000000"/>
                <w:sz w:val="20"/>
                <w:szCs w:val="20"/>
              </w:rPr>
            </w:pPr>
            <w:r w:rsidRPr="00023DE3">
              <w:rPr>
                <w:color w:val="000000"/>
                <w:sz w:val="20"/>
                <w:szCs w:val="20"/>
              </w:rPr>
              <w:t>3.56</w:t>
            </w:r>
          </w:p>
        </w:tc>
      </w:tr>
      <w:tr w:rsidRPr="00023DE3" w:rsidR="00EC79FA" w:rsidTr="00CA0B27" w14:paraId="0920ACA6"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23DE3116" w14:textId="77777777">
            <w:pPr>
              <w:rPr>
                <w:color w:val="000000"/>
                <w:sz w:val="20"/>
                <w:szCs w:val="20"/>
              </w:rPr>
            </w:pPr>
            <w:r w:rsidRPr="00023DE3">
              <w:rPr>
                <w:color w:val="000000"/>
                <w:sz w:val="20"/>
                <w:szCs w:val="20"/>
              </w:rPr>
              <w:t>Conduct UCR Audits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1E0DF1C9" w14:textId="77777777">
            <w:pPr>
              <w:rPr>
                <w:color w:val="000000"/>
                <w:sz w:val="20"/>
                <w:szCs w:val="20"/>
              </w:rPr>
            </w:pPr>
            <w:r w:rsidRPr="00023DE3">
              <w:rPr>
                <w:color w:val="000000"/>
                <w:sz w:val="20"/>
                <w:szCs w:val="20"/>
              </w:rPr>
              <w:t xml:space="preserve"> $    473,855.85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180168DD" w14:textId="77777777">
            <w:pPr>
              <w:jc w:val="right"/>
              <w:rPr>
                <w:color w:val="000000"/>
                <w:sz w:val="20"/>
                <w:szCs w:val="20"/>
              </w:rPr>
            </w:pPr>
            <w:r w:rsidRPr="00023DE3">
              <w:rPr>
                <w:color w:val="000000"/>
                <w:sz w:val="20"/>
                <w:szCs w:val="20"/>
              </w:rPr>
              <w:t>3.74</w:t>
            </w:r>
          </w:p>
        </w:tc>
      </w:tr>
      <w:tr w:rsidRPr="00023DE3" w:rsidR="00EC79FA" w:rsidTr="00CA0B27" w14:paraId="1A034CE3" w14:textId="77777777">
        <w:trPr>
          <w:trHeight w:val="315"/>
        </w:trPr>
        <w:tc>
          <w:tcPr>
            <w:tcW w:w="6589" w:type="dxa"/>
            <w:tcBorders>
              <w:top w:val="nil"/>
              <w:left w:val="nil"/>
              <w:right w:val="nil"/>
            </w:tcBorders>
            <w:shd w:val="clear" w:color="auto" w:fill="auto"/>
            <w:noWrap/>
            <w:vAlign w:val="bottom"/>
            <w:hideMark/>
          </w:tcPr>
          <w:p w:rsidRPr="00023DE3" w:rsidR="00EC79FA" w:rsidP="009E782D" w:rsidRDefault="00EC79FA" w14:paraId="458BFEEC" w14:textId="77777777">
            <w:pPr>
              <w:rPr>
                <w:color w:val="000000"/>
                <w:sz w:val="20"/>
                <w:szCs w:val="20"/>
              </w:rPr>
            </w:pPr>
            <w:r w:rsidRPr="00023DE3">
              <w:rPr>
                <w:color w:val="000000"/>
                <w:sz w:val="20"/>
                <w:szCs w:val="20"/>
              </w:rPr>
              <w:t>Define and oversee Compliance within IT infrastructure</w:t>
            </w:r>
          </w:p>
        </w:tc>
        <w:tc>
          <w:tcPr>
            <w:tcW w:w="1511" w:type="dxa"/>
            <w:tcBorders>
              <w:top w:val="nil"/>
              <w:left w:val="nil"/>
              <w:right w:val="nil"/>
            </w:tcBorders>
            <w:shd w:val="clear" w:color="auto" w:fill="auto"/>
            <w:noWrap/>
            <w:vAlign w:val="bottom"/>
            <w:hideMark/>
          </w:tcPr>
          <w:p w:rsidRPr="00023DE3" w:rsidR="00EC79FA" w:rsidP="009E782D" w:rsidRDefault="00EC79FA" w14:paraId="26BF7A6E" w14:textId="77777777">
            <w:pPr>
              <w:rPr>
                <w:color w:val="000000"/>
                <w:sz w:val="20"/>
                <w:szCs w:val="20"/>
              </w:rPr>
            </w:pPr>
            <w:r w:rsidRPr="00023DE3">
              <w:rPr>
                <w:color w:val="000000"/>
                <w:sz w:val="20"/>
                <w:szCs w:val="20"/>
              </w:rPr>
              <w:t xml:space="preserve"> $      40,363.87 </w:t>
            </w:r>
          </w:p>
        </w:tc>
        <w:tc>
          <w:tcPr>
            <w:tcW w:w="2070" w:type="dxa"/>
            <w:gridSpan w:val="2"/>
            <w:tcBorders>
              <w:top w:val="nil"/>
              <w:left w:val="nil"/>
              <w:right w:val="nil"/>
            </w:tcBorders>
            <w:shd w:val="clear" w:color="auto" w:fill="auto"/>
            <w:noWrap/>
            <w:vAlign w:val="bottom"/>
            <w:hideMark/>
          </w:tcPr>
          <w:p w:rsidRPr="00023DE3" w:rsidR="00EC79FA" w:rsidP="009E782D" w:rsidRDefault="00EC79FA" w14:paraId="1AC88782" w14:textId="77777777">
            <w:pPr>
              <w:jc w:val="right"/>
              <w:rPr>
                <w:color w:val="000000"/>
                <w:sz w:val="20"/>
                <w:szCs w:val="20"/>
              </w:rPr>
            </w:pPr>
            <w:r w:rsidRPr="00023DE3">
              <w:rPr>
                <w:color w:val="000000"/>
                <w:sz w:val="20"/>
                <w:szCs w:val="20"/>
              </w:rPr>
              <w:t>0.30</w:t>
            </w:r>
          </w:p>
        </w:tc>
      </w:tr>
      <w:tr w:rsidRPr="00023DE3" w:rsidR="003B0CC1" w:rsidTr="00CA0B27" w14:paraId="10C1917A" w14:textId="77777777">
        <w:trPr>
          <w:trHeight w:val="315"/>
        </w:trPr>
        <w:tc>
          <w:tcPr>
            <w:tcW w:w="6589" w:type="dxa"/>
            <w:tcBorders>
              <w:top w:val="nil"/>
              <w:left w:val="nil"/>
              <w:bottom w:val="single" w:color="auto" w:sz="4" w:space="0"/>
              <w:right w:val="nil"/>
            </w:tcBorders>
            <w:shd w:val="clear" w:color="auto" w:fill="auto"/>
            <w:noWrap/>
            <w:vAlign w:val="center"/>
          </w:tcPr>
          <w:p w:rsidRPr="00023DE3" w:rsidR="003B0CC1" w:rsidP="003B0CC1" w:rsidRDefault="003B0CC1" w14:paraId="1393B6E1" w14:textId="0EB4FD8B">
            <w:pPr>
              <w:rPr>
                <w:color w:val="000000"/>
                <w:sz w:val="20"/>
                <w:szCs w:val="20"/>
              </w:rPr>
            </w:pPr>
            <w:r w:rsidRPr="00EC79FA">
              <w:rPr>
                <w:b/>
                <w:sz w:val="20"/>
                <w:szCs w:val="20"/>
              </w:rPr>
              <w:lastRenderedPageBreak/>
              <w:t>Data Collection and Processing Costs</w:t>
            </w:r>
          </w:p>
        </w:tc>
        <w:tc>
          <w:tcPr>
            <w:tcW w:w="1511" w:type="dxa"/>
            <w:tcBorders>
              <w:top w:val="nil"/>
              <w:left w:val="nil"/>
              <w:bottom w:val="single" w:color="auto" w:sz="4" w:space="0"/>
              <w:right w:val="nil"/>
            </w:tcBorders>
            <w:shd w:val="clear" w:color="auto" w:fill="auto"/>
            <w:noWrap/>
            <w:vAlign w:val="center"/>
          </w:tcPr>
          <w:p w:rsidRPr="00023DE3" w:rsidR="003B0CC1" w:rsidP="003B0CC1" w:rsidRDefault="003B0CC1" w14:paraId="24DB7EA7" w14:textId="77777777">
            <w:pPr>
              <w:rPr>
                <w:color w:val="000000"/>
                <w:sz w:val="20"/>
                <w:szCs w:val="20"/>
              </w:rPr>
            </w:pPr>
          </w:p>
        </w:tc>
        <w:tc>
          <w:tcPr>
            <w:tcW w:w="2070" w:type="dxa"/>
            <w:gridSpan w:val="2"/>
            <w:tcBorders>
              <w:top w:val="nil"/>
              <w:left w:val="nil"/>
              <w:bottom w:val="single" w:color="auto" w:sz="4" w:space="0"/>
              <w:right w:val="nil"/>
            </w:tcBorders>
            <w:shd w:val="clear" w:color="auto" w:fill="auto"/>
            <w:noWrap/>
            <w:vAlign w:val="center"/>
          </w:tcPr>
          <w:p w:rsidRPr="00023DE3" w:rsidR="003B0CC1" w:rsidP="003B0CC1" w:rsidRDefault="003B0CC1" w14:paraId="139686E4" w14:textId="77777777">
            <w:pPr>
              <w:jc w:val="right"/>
              <w:rPr>
                <w:color w:val="000000"/>
                <w:sz w:val="20"/>
                <w:szCs w:val="20"/>
              </w:rPr>
            </w:pPr>
          </w:p>
        </w:tc>
      </w:tr>
      <w:tr w:rsidRPr="00023DE3" w:rsidR="003B0CC1" w:rsidTr="00CA0B27" w14:paraId="5CE994CB" w14:textId="77777777">
        <w:trPr>
          <w:trHeight w:val="315"/>
        </w:trPr>
        <w:tc>
          <w:tcPr>
            <w:tcW w:w="6589" w:type="dxa"/>
            <w:tcBorders>
              <w:top w:val="single" w:color="auto" w:sz="4" w:space="0"/>
              <w:left w:val="nil"/>
              <w:bottom w:val="single" w:color="auto" w:sz="4" w:space="0"/>
              <w:right w:val="nil"/>
            </w:tcBorders>
            <w:shd w:val="clear" w:color="auto" w:fill="auto"/>
            <w:noWrap/>
            <w:vAlign w:val="center"/>
          </w:tcPr>
          <w:p w:rsidRPr="00EC79FA" w:rsidR="003B0CC1" w:rsidP="003B0CC1" w:rsidRDefault="003B0CC1" w14:paraId="577FF59D" w14:textId="0AD10219">
            <w:pPr>
              <w:rPr>
                <w:b/>
                <w:sz w:val="20"/>
                <w:szCs w:val="20"/>
              </w:rPr>
            </w:pPr>
            <w:r w:rsidRPr="008841A1">
              <w:rPr>
                <w:b/>
                <w:color w:val="000000" w:themeColor="text1"/>
                <w:sz w:val="20"/>
                <w:szCs w:val="20"/>
              </w:rPr>
              <w:t>Activity</w:t>
            </w:r>
          </w:p>
        </w:tc>
        <w:tc>
          <w:tcPr>
            <w:tcW w:w="1781" w:type="dxa"/>
            <w:gridSpan w:val="2"/>
            <w:tcBorders>
              <w:top w:val="single" w:color="auto" w:sz="4" w:space="0"/>
              <w:left w:val="nil"/>
              <w:bottom w:val="single" w:color="auto" w:sz="4" w:space="0"/>
              <w:right w:val="nil"/>
            </w:tcBorders>
            <w:shd w:val="clear" w:color="auto" w:fill="auto"/>
            <w:noWrap/>
            <w:vAlign w:val="center"/>
          </w:tcPr>
          <w:p w:rsidRPr="008841A1" w:rsidR="003B0CC1" w:rsidP="00CA0B27" w:rsidRDefault="0025588A" w14:paraId="0F4A3A7F" w14:textId="5752129B">
            <w:pPr>
              <w:contextualSpacing/>
              <w:rPr>
                <w:b/>
                <w:color w:val="000000" w:themeColor="text1"/>
                <w:sz w:val="20"/>
                <w:szCs w:val="20"/>
              </w:rPr>
            </w:pPr>
            <w:r>
              <w:rPr>
                <w:b/>
                <w:color w:val="000000" w:themeColor="text1"/>
                <w:sz w:val="20"/>
                <w:szCs w:val="20"/>
              </w:rPr>
              <w:t xml:space="preserve">               </w:t>
            </w:r>
            <w:r w:rsidRPr="008841A1" w:rsidR="003B0CC1">
              <w:rPr>
                <w:b/>
                <w:color w:val="000000" w:themeColor="text1"/>
                <w:sz w:val="20"/>
                <w:szCs w:val="20"/>
              </w:rPr>
              <w:t>FY20</w:t>
            </w:r>
            <w:r w:rsidR="003B0CC1">
              <w:rPr>
                <w:b/>
                <w:color w:val="000000" w:themeColor="text1"/>
                <w:sz w:val="20"/>
                <w:szCs w:val="20"/>
              </w:rPr>
              <w:t>20</w:t>
            </w:r>
            <w:r w:rsidRPr="008841A1" w:rsidR="003B0CC1">
              <w:rPr>
                <w:b/>
                <w:color w:val="000000" w:themeColor="text1"/>
                <w:sz w:val="20"/>
                <w:szCs w:val="20"/>
              </w:rPr>
              <w:t xml:space="preserve"> </w:t>
            </w:r>
          </w:p>
          <w:p w:rsidRPr="00023DE3" w:rsidR="003B0CC1" w:rsidP="003B0CC1" w:rsidRDefault="003B0CC1" w14:paraId="62FE7B33" w14:textId="12F4134D">
            <w:pPr>
              <w:rPr>
                <w:color w:val="000000"/>
                <w:sz w:val="20"/>
                <w:szCs w:val="20"/>
              </w:rPr>
            </w:pPr>
            <w:r w:rsidRPr="008841A1">
              <w:rPr>
                <w:b/>
                <w:color w:val="000000" w:themeColor="text1"/>
                <w:sz w:val="20"/>
                <w:szCs w:val="20"/>
              </w:rPr>
              <w:t>Annualized Cost</w:t>
            </w:r>
          </w:p>
        </w:tc>
        <w:tc>
          <w:tcPr>
            <w:tcW w:w="1800" w:type="dxa"/>
            <w:tcBorders>
              <w:top w:val="single" w:color="auto" w:sz="4" w:space="0"/>
              <w:left w:val="nil"/>
              <w:bottom w:val="single" w:color="auto" w:sz="4" w:space="0"/>
              <w:right w:val="nil"/>
            </w:tcBorders>
            <w:shd w:val="clear" w:color="auto" w:fill="auto"/>
            <w:noWrap/>
            <w:vAlign w:val="center"/>
          </w:tcPr>
          <w:p w:rsidR="00CA0B27" w:rsidP="00CA0B27" w:rsidRDefault="00CA0B27" w14:paraId="5FD43113" w14:textId="7CA3DA71">
            <w:pPr>
              <w:rPr>
                <w:b/>
                <w:color w:val="000000" w:themeColor="text1"/>
                <w:sz w:val="20"/>
                <w:szCs w:val="20"/>
              </w:rPr>
            </w:pPr>
            <w:r>
              <w:rPr>
                <w:b/>
                <w:color w:val="000000" w:themeColor="text1"/>
                <w:sz w:val="20"/>
                <w:szCs w:val="20"/>
              </w:rPr>
              <w:t xml:space="preserve">   </w:t>
            </w:r>
            <w:r w:rsidR="0025588A">
              <w:rPr>
                <w:b/>
                <w:color w:val="000000" w:themeColor="text1"/>
                <w:sz w:val="20"/>
                <w:szCs w:val="20"/>
              </w:rPr>
              <w:t xml:space="preserve">               </w:t>
            </w:r>
            <w:r w:rsidRPr="008841A1" w:rsidR="003B0CC1">
              <w:rPr>
                <w:b/>
                <w:color w:val="000000" w:themeColor="text1"/>
                <w:sz w:val="20"/>
                <w:szCs w:val="20"/>
              </w:rPr>
              <w:t>FY20</w:t>
            </w:r>
            <w:r w:rsidR="003B0CC1">
              <w:rPr>
                <w:b/>
                <w:color w:val="000000" w:themeColor="text1"/>
                <w:sz w:val="20"/>
                <w:szCs w:val="20"/>
              </w:rPr>
              <w:t>20</w:t>
            </w:r>
            <w:r w:rsidRPr="008841A1" w:rsidR="003B0CC1">
              <w:rPr>
                <w:b/>
                <w:color w:val="000000" w:themeColor="text1"/>
                <w:sz w:val="20"/>
                <w:szCs w:val="20"/>
              </w:rPr>
              <w:t xml:space="preserve"> </w:t>
            </w:r>
          </w:p>
          <w:p w:rsidRPr="00023DE3" w:rsidR="003B0CC1" w:rsidP="00CA0B27" w:rsidRDefault="00CA0B27" w14:paraId="57C93455" w14:textId="21C844BA">
            <w:pPr>
              <w:rPr>
                <w:color w:val="000000"/>
                <w:sz w:val="20"/>
                <w:szCs w:val="20"/>
              </w:rPr>
            </w:pPr>
            <w:r>
              <w:rPr>
                <w:b/>
                <w:color w:val="000000" w:themeColor="text1"/>
                <w:sz w:val="20"/>
                <w:szCs w:val="20"/>
              </w:rPr>
              <w:t xml:space="preserve">   </w:t>
            </w:r>
            <w:r w:rsidRPr="008841A1" w:rsidR="003B0CC1">
              <w:rPr>
                <w:b/>
                <w:color w:val="000000" w:themeColor="text1"/>
                <w:sz w:val="20"/>
                <w:szCs w:val="20"/>
              </w:rPr>
              <w:t>Annualized</w:t>
            </w:r>
            <w:r>
              <w:rPr>
                <w:b/>
                <w:color w:val="000000" w:themeColor="text1"/>
                <w:sz w:val="20"/>
                <w:szCs w:val="20"/>
              </w:rPr>
              <w:t xml:space="preserve"> </w:t>
            </w:r>
            <w:r w:rsidRPr="008841A1" w:rsidR="003B0CC1">
              <w:rPr>
                <w:b/>
                <w:color w:val="000000" w:themeColor="text1"/>
                <w:sz w:val="20"/>
                <w:szCs w:val="20"/>
              </w:rPr>
              <w:t>FTE</w:t>
            </w:r>
          </w:p>
        </w:tc>
      </w:tr>
      <w:tr w:rsidRPr="00023DE3" w:rsidR="00EC79FA" w:rsidTr="00CA0B27" w14:paraId="3A85351D" w14:textId="77777777">
        <w:trPr>
          <w:trHeight w:val="315"/>
        </w:trPr>
        <w:tc>
          <w:tcPr>
            <w:tcW w:w="6589" w:type="dxa"/>
            <w:tcBorders>
              <w:top w:val="single" w:color="auto" w:sz="4" w:space="0"/>
              <w:left w:val="nil"/>
              <w:bottom w:val="nil"/>
              <w:right w:val="nil"/>
            </w:tcBorders>
            <w:shd w:val="clear" w:color="auto" w:fill="auto"/>
            <w:noWrap/>
            <w:vAlign w:val="bottom"/>
            <w:hideMark/>
          </w:tcPr>
          <w:p w:rsidRPr="00023DE3" w:rsidR="00EC79FA" w:rsidP="009E782D" w:rsidRDefault="00EC79FA" w14:paraId="0BA95EF5" w14:textId="77777777">
            <w:pPr>
              <w:rPr>
                <w:color w:val="000000"/>
                <w:sz w:val="20"/>
                <w:szCs w:val="20"/>
              </w:rPr>
            </w:pPr>
            <w:r w:rsidRPr="00023DE3">
              <w:rPr>
                <w:color w:val="000000"/>
                <w:sz w:val="20"/>
                <w:szCs w:val="20"/>
              </w:rPr>
              <w:t>Deliver Curriculum - External Customer</w:t>
            </w:r>
          </w:p>
        </w:tc>
        <w:tc>
          <w:tcPr>
            <w:tcW w:w="1511" w:type="dxa"/>
            <w:tcBorders>
              <w:top w:val="single" w:color="auto" w:sz="4" w:space="0"/>
              <w:left w:val="nil"/>
              <w:bottom w:val="nil"/>
              <w:right w:val="nil"/>
            </w:tcBorders>
            <w:shd w:val="clear" w:color="auto" w:fill="auto"/>
            <w:noWrap/>
            <w:vAlign w:val="bottom"/>
            <w:hideMark/>
          </w:tcPr>
          <w:p w:rsidRPr="00023DE3" w:rsidR="00EC79FA" w:rsidP="009E782D" w:rsidRDefault="00EC79FA" w14:paraId="7BACA335" w14:textId="77777777">
            <w:pPr>
              <w:rPr>
                <w:color w:val="000000"/>
                <w:sz w:val="20"/>
                <w:szCs w:val="20"/>
              </w:rPr>
            </w:pPr>
            <w:r w:rsidRPr="00023DE3">
              <w:rPr>
                <w:color w:val="000000"/>
                <w:sz w:val="20"/>
                <w:szCs w:val="20"/>
              </w:rPr>
              <w:t xml:space="preserve"> $    167,469.21 </w:t>
            </w:r>
          </w:p>
        </w:tc>
        <w:tc>
          <w:tcPr>
            <w:tcW w:w="2070" w:type="dxa"/>
            <w:gridSpan w:val="2"/>
            <w:tcBorders>
              <w:top w:val="single" w:color="auto" w:sz="4" w:space="0"/>
              <w:left w:val="nil"/>
              <w:bottom w:val="nil"/>
              <w:right w:val="nil"/>
            </w:tcBorders>
            <w:shd w:val="clear" w:color="auto" w:fill="auto"/>
            <w:noWrap/>
            <w:vAlign w:val="bottom"/>
            <w:hideMark/>
          </w:tcPr>
          <w:p w:rsidRPr="00023DE3" w:rsidR="00EC79FA" w:rsidP="009E782D" w:rsidRDefault="00EC79FA" w14:paraId="28FE3007" w14:textId="77777777">
            <w:pPr>
              <w:jc w:val="right"/>
              <w:rPr>
                <w:color w:val="000000"/>
                <w:sz w:val="20"/>
                <w:szCs w:val="20"/>
              </w:rPr>
            </w:pPr>
            <w:r w:rsidRPr="00023DE3">
              <w:rPr>
                <w:color w:val="000000"/>
                <w:sz w:val="20"/>
                <w:szCs w:val="20"/>
              </w:rPr>
              <w:t>1.17</w:t>
            </w:r>
          </w:p>
        </w:tc>
      </w:tr>
      <w:tr w:rsidRPr="00023DE3" w:rsidR="00EC79FA" w:rsidTr="00CA0B27" w14:paraId="3B3BBADF"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235378B2" w14:textId="77777777">
            <w:pPr>
              <w:rPr>
                <w:color w:val="000000"/>
                <w:sz w:val="20"/>
                <w:szCs w:val="20"/>
              </w:rPr>
            </w:pPr>
            <w:r w:rsidRPr="00023DE3">
              <w:rPr>
                <w:color w:val="000000"/>
                <w:sz w:val="20"/>
                <w:szCs w:val="20"/>
              </w:rPr>
              <w:t>Deliver Curriculum - External Customers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544A125D" w14:textId="77777777">
            <w:pPr>
              <w:rPr>
                <w:color w:val="000000"/>
                <w:sz w:val="20"/>
                <w:szCs w:val="20"/>
              </w:rPr>
            </w:pPr>
            <w:r w:rsidRPr="00023DE3">
              <w:rPr>
                <w:color w:val="000000"/>
                <w:sz w:val="20"/>
                <w:szCs w:val="20"/>
              </w:rPr>
              <w:t xml:space="preserve"> $    226,131.47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38AF617D" w14:textId="77777777">
            <w:pPr>
              <w:jc w:val="right"/>
              <w:rPr>
                <w:color w:val="000000"/>
                <w:sz w:val="20"/>
                <w:szCs w:val="20"/>
              </w:rPr>
            </w:pPr>
            <w:r w:rsidRPr="00023DE3">
              <w:rPr>
                <w:color w:val="000000"/>
                <w:sz w:val="20"/>
                <w:szCs w:val="20"/>
              </w:rPr>
              <w:t>0.91</w:t>
            </w:r>
          </w:p>
        </w:tc>
      </w:tr>
      <w:tr w:rsidRPr="00023DE3" w:rsidR="00EC79FA" w:rsidTr="00CA0B27" w14:paraId="61BF19B1"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7D7CDB45" w14:textId="77777777">
            <w:pPr>
              <w:rPr>
                <w:color w:val="000000"/>
                <w:sz w:val="20"/>
                <w:szCs w:val="20"/>
              </w:rPr>
            </w:pPr>
            <w:r w:rsidRPr="00023DE3">
              <w:rPr>
                <w:color w:val="000000"/>
                <w:sz w:val="20"/>
                <w:szCs w:val="20"/>
              </w:rPr>
              <w:t>Develop and Manage Policy</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39F4D33D" w14:textId="77777777">
            <w:pPr>
              <w:rPr>
                <w:color w:val="000000"/>
                <w:sz w:val="20"/>
                <w:szCs w:val="20"/>
              </w:rPr>
            </w:pPr>
            <w:r w:rsidRPr="00023DE3">
              <w:rPr>
                <w:color w:val="000000"/>
                <w:sz w:val="20"/>
                <w:szCs w:val="20"/>
              </w:rPr>
              <w:t xml:space="preserve"> $    357,738.77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005897AB" w14:textId="77777777">
            <w:pPr>
              <w:jc w:val="right"/>
              <w:rPr>
                <w:color w:val="000000"/>
                <w:sz w:val="20"/>
                <w:szCs w:val="20"/>
              </w:rPr>
            </w:pPr>
            <w:r w:rsidRPr="00023DE3">
              <w:rPr>
                <w:color w:val="000000"/>
                <w:sz w:val="20"/>
                <w:szCs w:val="20"/>
              </w:rPr>
              <w:t>2.86</w:t>
            </w:r>
          </w:p>
        </w:tc>
      </w:tr>
      <w:tr w:rsidRPr="00023DE3" w:rsidR="00EC79FA" w:rsidTr="00CA0B27" w14:paraId="4C535B68"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7B497955" w14:textId="77777777">
            <w:pPr>
              <w:rPr>
                <w:color w:val="000000"/>
                <w:sz w:val="20"/>
                <w:szCs w:val="20"/>
              </w:rPr>
            </w:pPr>
            <w:r w:rsidRPr="00023DE3">
              <w:rPr>
                <w:color w:val="000000"/>
                <w:sz w:val="20"/>
                <w:szCs w:val="20"/>
              </w:rPr>
              <w:t>Develop Curriculum - External Customer</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4CC0BEE5" w14:textId="77777777">
            <w:pPr>
              <w:rPr>
                <w:color w:val="000000"/>
                <w:sz w:val="20"/>
                <w:szCs w:val="20"/>
              </w:rPr>
            </w:pPr>
            <w:r w:rsidRPr="00023DE3">
              <w:rPr>
                <w:color w:val="000000"/>
                <w:sz w:val="20"/>
                <w:szCs w:val="20"/>
              </w:rPr>
              <w:t xml:space="preserve"> $    167,469.21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19682B57" w14:textId="77777777">
            <w:pPr>
              <w:jc w:val="right"/>
              <w:rPr>
                <w:color w:val="000000"/>
                <w:sz w:val="20"/>
                <w:szCs w:val="20"/>
              </w:rPr>
            </w:pPr>
            <w:r w:rsidRPr="00023DE3">
              <w:rPr>
                <w:color w:val="000000"/>
                <w:sz w:val="20"/>
                <w:szCs w:val="20"/>
              </w:rPr>
              <w:t>1.17</w:t>
            </w:r>
          </w:p>
        </w:tc>
      </w:tr>
      <w:tr w:rsidRPr="00023DE3" w:rsidR="00EC79FA" w:rsidTr="00CA0B27" w14:paraId="43E75C85"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34E68477" w14:textId="77777777">
            <w:pPr>
              <w:rPr>
                <w:color w:val="000000"/>
                <w:sz w:val="20"/>
                <w:szCs w:val="20"/>
              </w:rPr>
            </w:pPr>
            <w:r w:rsidRPr="00023DE3">
              <w:rPr>
                <w:color w:val="000000"/>
                <w:sz w:val="20"/>
                <w:szCs w:val="20"/>
              </w:rPr>
              <w:t>Develop Curriculum - External Customers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0A74A15A" w14:textId="77777777">
            <w:pPr>
              <w:rPr>
                <w:color w:val="000000"/>
                <w:sz w:val="20"/>
                <w:szCs w:val="20"/>
              </w:rPr>
            </w:pPr>
            <w:r w:rsidRPr="00023DE3">
              <w:rPr>
                <w:color w:val="000000"/>
                <w:sz w:val="20"/>
                <w:szCs w:val="20"/>
              </w:rPr>
              <w:t xml:space="preserve"> $    233,860.67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375E9E30" w14:textId="77777777">
            <w:pPr>
              <w:jc w:val="right"/>
              <w:rPr>
                <w:color w:val="000000"/>
                <w:sz w:val="20"/>
                <w:szCs w:val="20"/>
              </w:rPr>
            </w:pPr>
            <w:r w:rsidRPr="00023DE3">
              <w:rPr>
                <w:color w:val="000000"/>
                <w:sz w:val="20"/>
                <w:szCs w:val="20"/>
              </w:rPr>
              <w:t>1.13</w:t>
            </w:r>
          </w:p>
        </w:tc>
      </w:tr>
      <w:tr w:rsidRPr="00023DE3" w:rsidR="00EC79FA" w:rsidTr="00CA0B27" w14:paraId="77325173"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1DD5464A" w14:textId="77777777">
            <w:pPr>
              <w:rPr>
                <w:color w:val="000000"/>
                <w:sz w:val="20"/>
                <w:szCs w:val="20"/>
              </w:rPr>
            </w:pPr>
            <w:r w:rsidRPr="00023DE3">
              <w:rPr>
                <w:color w:val="000000"/>
                <w:sz w:val="20"/>
                <w:szCs w:val="20"/>
              </w:rPr>
              <w:t>Manage Projects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19F654E9" w14:textId="77777777">
            <w:pPr>
              <w:rPr>
                <w:color w:val="000000"/>
                <w:sz w:val="20"/>
                <w:szCs w:val="20"/>
              </w:rPr>
            </w:pPr>
            <w:r w:rsidRPr="00023DE3">
              <w:rPr>
                <w:color w:val="000000"/>
                <w:sz w:val="20"/>
                <w:szCs w:val="20"/>
              </w:rPr>
              <w:t xml:space="preserve"> $    136,428.30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1A2421D3" w14:textId="77777777">
            <w:pPr>
              <w:jc w:val="right"/>
              <w:rPr>
                <w:color w:val="000000"/>
                <w:sz w:val="20"/>
                <w:szCs w:val="20"/>
              </w:rPr>
            </w:pPr>
            <w:r w:rsidRPr="00023DE3">
              <w:rPr>
                <w:color w:val="000000"/>
                <w:sz w:val="20"/>
                <w:szCs w:val="20"/>
              </w:rPr>
              <w:t>0.76</w:t>
            </w:r>
          </w:p>
        </w:tc>
      </w:tr>
      <w:tr w:rsidRPr="00023DE3" w:rsidR="00EC79FA" w:rsidTr="00CA0B27" w14:paraId="769DADF7"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606B92A6" w14:textId="26D38E74">
            <w:pPr>
              <w:rPr>
                <w:color w:val="000000"/>
                <w:sz w:val="20"/>
                <w:szCs w:val="20"/>
              </w:rPr>
            </w:pPr>
            <w:r w:rsidRPr="00023DE3">
              <w:rPr>
                <w:color w:val="000000"/>
                <w:sz w:val="20"/>
                <w:szCs w:val="20"/>
              </w:rPr>
              <w:t xml:space="preserve">Perform Administrative and Human Resource </w:t>
            </w:r>
            <w:r w:rsidR="00441EB3">
              <w:rPr>
                <w:color w:val="000000"/>
                <w:sz w:val="20"/>
                <w:szCs w:val="20"/>
              </w:rPr>
              <w:t>T</w:t>
            </w:r>
            <w:r w:rsidRPr="00023DE3">
              <w:rPr>
                <w:color w:val="000000"/>
                <w:sz w:val="20"/>
                <w:szCs w:val="20"/>
              </w:rPr>
              <w:t>asks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19E5DD79" w14:textId="77777777">
            <w:pPr>
              <w:rPr>
                <w:color w:val="000000"/>
                <w:sz w:val="20"/>
                <w:szCs w:val="20"/>
              </w:rPr>
            </w:pPr>
            <w:r w:rsidRPr="00023DE3">
              <w:rPr>
                <w:color w:val="000000"/>
                <w:sz w:val="20"/>
                <w:szCs w:val="20"/>
              </w:rPr>
              <w:t xml:space="preserve"> $    812,853.40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226E2567" w14:textId="77777777">
            <w:pPr>
              <w:jc w:val="right"/>
              <w:rPr>
                <w:color w:val="000000"/>
                <w:sz w:val="20"/>
                <w:szCs w:val="20"/>
              </w:rPr>
            </w:pPr>
            <w:r w:rsidRPr="00023DE3">
              <w:rPr>
                <w:color w:val="000000"/>
                <w:sz w:val="20"/>
                <w:szCs w:val="20"/>
              </w:rPr>
              <w:t>6.57</w:t>
            </w:r>
          </w:p>
        </w:tc>
      </w:tr>
      <w:tr w:rsidRPr="00023DE3" w:rsidR="00EC79FA" w:rsidTr="00CA0B27" w14:paraId="23CCC7D9"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1A27DCDC" w14:textId="0D9E95DA">
            <w:pPr>
              <w:rPr>
                <w:color w:val="000000"/>
                <w:sz w:val="20"/>
                <w:szCs w:val="20"/>
              </w:rPr>
            </w:pPr>
            <w:r w:rsidRPr="00023DE3">
              <w:rPr>
                <w:color w:val="000000"/>
                <w:sz w:val="20"/>
                <w:szCs w:val="20"/>
              </w:rPr>
              <w:t xml:space="preserve">Perform Advisory Policy Board (APB) </w:t>
            </w:r>
            <w:r w:rsidR="00441EB3">
              <w:rPr>
                <w:color w:val="000000"/>
                <w:sz w:val="20"/>
                <w:szCs w:val="20"/>
              </w:rPr>
              <w:t>T</w:t>
            </w:r>
            <w:r w:rsidRPr="00023DE3">
              <w:rPr>
                <w:color w:val="000000"/>
                <w:sz w:val="20"/>
                <w:szCs w:val="20"/>
              </w:rPr>
              <w:t>asks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0650AEC7" w14:textId="77777777">
            <w:pPr>
              <w:rPr>
                <w:color w:val="000000"/>
                <w:sz w:val="20"/>
                <w:szCs w:val="20"/>
              </w:rPr>
            </w:pPr>
            <w:r w:rsidRPr="00023DE3">
              <w:rPr>
                <w:color w:val="000000"/>
                <w:sz w:val="20"/>
                <w:szCs w:val="20"/>
              </w:rPr>
              <w:t xml:space="preserve"> $    206,528.50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604DCD60" w14:textId="77777777">
            <w:pPr>
              <w:jc w:val="right"/>
              <w:rPr>
                <w:color w:val="000000"/>
                <w:sz w:val="20"/>
                <w:szCs w:val="20"/>
              </w:rPr>
            </w:pPr>
            <w:r w:rsidRPr="00023DE3">
              <w:rPr>
                <w:color w:val="000000"/>
                <w:sz w:val="20"/>
                <w:szCs w:val="20"/>
              </w:rPr>
              <w:t>1.53</w:t>
            </w:r>
          </w:p>
        </w:tc>
      </w:tr>
      <w:tr w:rsidRPr="00023DE3" w:rsidR="00EC79FA" w:rsidTr="00CA0B27" w14:paraId="35FCF87A"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021B9FDC" w14:textId="47BE262E">
            <w:pPr>
              <w:rPr>
                <w:color w:val="000000"/>
                <w:sz w:val="20"/>
                <w:szCs w:val="20"/>
              </w:rPr>
            </w:pPr>
            <w:r w:rsidRPr="00023DE3">
              <w:rPr>
                <w:color w:val="000000"/>
                <w:sz w:val="20"/>
                <w:szCs w:val="20"/>
              </w:rPr>
              <w:t xml:space="preserve">Perform and </w:t>
            </w:r>
            <w:r w:rsidR="00441EB3">
              <w:rPr>
                <w:color w:val="000000"/>
                <w:sz w:val="20"/>
                <w:szCs w:val="20"/>
              </w:rPr>
              <w:t>O</w:t>
            </w:r>
            <w:r w:rsidRPr="00023DE3">
              <w:rPr>
                <w:color w:val="000000"/>
                <w:sz w:val="20"/>
                <w:szCs w:val="20"/>
              </w:rPr>
              <w:t xml:space="preserve">versee IT Service Management </w:t>
            </w:r>
            <w:r w:rsidR="00441EB3">
              <w:rPr>
                <w:color w:val="000000"/>
                <w:sz w:val="20"/>
                <w:szCs w:val="20"/>
              </w:rPr>
              <w:t>A</w:t>
            </w:r>
            <w:r w:rsidRPr="00023DE3">
              <w:rPr>
                <w:color w:val="000000"/>
                <w:sz w:val="20"/>
                <w:szCs w:val="20"/>
              </w:rPr>
              <w:t>ctivities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78D06E18" w14:textId="77777777">
            <w:pPr>
              <w:rPr>
                <w:color w:val="000000"/>
                <w:sz w:val="20"/>
                <w:szCs w:val="20"/>
              </w:rPr>
            </w:pPr>
            <w:r w:rsidRPr="00023DE3">
              <w:rPr>
                <w:color w:val="000000"/>
                <w:sz w:val="20"/>
                <w:szCs w:val="20"/>
              </w:rPr>
              <w:t xml:space="preserve"> $      94,125.20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6F1C913E" w14:textId="77777777">
            <w:pPr>
              <w:jc w:val="right"/>
              <w:rPr>
                <w:color w:val="000000"/>
                <w:sz w:val="20"/>
                <w:szCs w:val="20"/>
              </w:rPr>
            </w:pPr>
            <w:r w:rsidRPr="00023DE3">
              <w:rPr>
                <w:color w:val="000000"/>
                <w:sz w:val="20"/>
                <w:szCs w:val="20"/>
              </w:rPr>
              <w:t>0.66</w:t>
            </w:r>
          </w:p>
        </w:tc>
      </w:tr>
      <w:tr w:rsidRPr="00023DE3" w:rsidR="00EC79FA" w:rsidTr="00CA0B27" w14:paraId="055B1D72"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44D52B06" w14:textId="77777777">
            <w:pPr>
              <w:rPr>
                <w:color w:val="000000"/>
                <w:sz w:val="20"/>
                <w:szCs w:val="20"/>
              </w:rPr>
            </w:pPr>
            <w:r w:rsidRPr="00023DE3">
              <w:rPr>
                <w:color w:val="000000"/>
                <w:sz w:val="20"/>
                <w:szCs w:val="20"/>
              </w:rPr>
              <w:t>Perform Budget, Strategic Planning, and Program Control</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40E062B1" w14:textId="77777777">
            <w:pPr>
              <w:rPr>
                <w:color w:val="000000"/>
                <w:sz w:val="20"/>
                <w:szCs w:val="20"/>
              </w:rPr>
            </w:pPr>
            <w:r w:rsidRPr="00023DE3">
              <w:rPr>
                <w:color w:val="000000"/>
                <w:sz w:val="20"/>
                <w:szCs w:val="20"/>
              </w:rPr>
              <w:t xml:space="preserve"> $    273,102.44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7B36EE26" w14:textId="77777777">
            <w:pPr>
              <w:jc w:val="right"/>
              <w:rPr>
                <w:color w:val="000000"/>
                <w:sz w:val="20"/>
                <w:szCs w:val="20"/>
              </w:rPr>
            </w:pPr>
            <w:r w:rsidRPr="00023DE3">
              <w:rPr>
                <w:color w:val="000000"/>
                <w:sz w:val="20"/>
                <w:szCs w:val="20"/>
              </w:rPr>
              <w:t>1.77</w:t>
            </w:r>
          </w:p>
        </w:tc>
      </w:tr>
      <w:tr w:rsidRPr="00023DE3" w:rsidR="00EC79FA" w:rsidTr="00CA0B27" w14:paraId="3E1AC7C8"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138558C9" w14:textId="77777777">
            <w:pPr>
              <w:rPr>
                <w:color w:val="000000"/>
                <w:sz w:val="20"/>
                <w:szCs w:val="20"/>
              </w:rPr>
            </w:pPr>
            <w:r w:rsidRPr="00023DE3">
              <w:rPr>
                <w:color w:val="000000"/>
                <w:sz w:val="20"/>
                <w:szCs w:val="20"/>
              </w:rPr>
              <w:t>Perform Duties as the Agile Product Owner</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7DABDD99" w14:textId="77777777">
            <w:pPr>
              <w:rPr>
                <w:color w:val="000000"/>
                <w:sz w:val="20"/>
                <w:szCs w:val="20"/>
              </w:rPr>
            </w:pPr>
            <w:r w:rsidRPr="00023DE3">
              <w:rPr>
                <w:color w:val="000000"/>
                <w:sz w:val="20"/>
                <w:szCs w:val="20"/>
              </w:rPr>
              <w:t xml:space="preserve"> $    424,564.99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45613AD5" w14:textId="77777777">
            <w:pPr>
              <w:jc w:val="right"/>
              <w:rPr>
                <w:color w:val="000000"/>
                <w:sz w:val="20"/>
                <w:szCs w:val="20"/>
              </w:rPr>
            </w:pPr>
            <w:r w:rsidRPr="00023DE3">
              <w:rPr>
                <w:color w:val="000000"/>
                <w:sz w:val="20"/>
                <w:szCs w:val="20"/>
              </w:rPr>
              <w:t>3.31</w:t>
            </w:r>
          </w:p>
        </w:tc>
      </w:tr>
      <w:tr w:rsidRPr="00023DE3" w:rsidR="00EC79FA" w:rsidTr="00CA0B27" w14:paraId="0E683D68"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246F2BA9" w14:textId="71FB1673">
            <w:pPr>
              <w:rPr>
                <w:color w:val="000000"/>
                <w:sz w:val="20"/>
                <w:szCs w:val="20"/>
              </w:rPr>
            </w:pPr>
            <w:r w:rsidRPr="00023DE3">
              <w:rPr>
                <w:color w:val="000000"/>
                <w:sz w:val="20"/>
                <w:szCs w:val="20"/>
              </w:rPr>
              <w:t xml:space="preserve">Perform IT Finance </w:t>
            </w:r>
            <w:r w:rsidR="00441EB3">
              <w:rPr>
                <w:color w:val="000000"/>
                <w:sz w:val="20"/>
                <w:szCs w:val="20"/>
              </w:rPr>
              <w:t>F</w:t>
            </w:r>
            <w:r w:rsidRPr="00023DE3">
              <w:rPr>
                <w:color w:val="000000"/>
                <w:sz w:val="20"/>
                <w:szCs w:val="20"/>
              </w:rPr>
              <w:t>unctions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57EAAA5D" w14:textId="77777777">
            <w:pPr>
              <w:rPr>
                <w:color w:val="000000"/>
                <w:sz w:val="20"/>
                <w:szCs w:val="20"/>
              </w:rPr>
            </w:pPr>
            <w:r w:rsidRPr="00023DE3">
              <w:rPr>
                <w:color w:val="000000"/>
                <w:sz w:val="20"/>
                <w:szCs w:val="20"/>
              </w:rPr>
              <w:t xml:space="preserve"> $      35,267.21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6096A5EC" w14:textId="77777777">
            <w:pPr>
              <w:jc w:val="right"/>
              <w:rPr>
                <w:color w:val="000000"/>
                <w:sz w:val="20"/>
                <w:szCs w:val="20"/>
              </w:rPr>
            </w:pPr>
            <w:r w:rsidRPr="00023DE3">
              <w:rPr>
                <w:color w:val="000000"/>
                <w:sz w:val="20"/>
                <w:szCs w:val="20"/>
              </w:rPr>
              <w:t>0.17</w:t>
            </w:r>
          </w:p>
        </w:tc>
      </w:tr>
      <w:tr w:rsidRPr="00023DE3" w:rsidR="00EC79FA" w:rsidTr="00CA0B27" w14:paraId="223A7471"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50087D1F" w14:textId="78EBBE5F">
            <w:pPr>
              <w:rPr>
                <w:color w:val="000000"/>
                <w:sz w:val="20"/>
                <w:szCs w:val="20"/>
              </w:rPr>
            </w:pPr>
            <w:r w:rsidRPr="00023DE3">
              <w:rPr>
                <w:color w:val="000000"/>
                <w:sz w:val="20"/>
                <w:szCs w:val="20"/>
              </w:rPr>
              <w:t xml:space="preserve">Perform </w:t>
            </w:r>
            <w:r w:rsidR="00441EB3">
              <w:rPr>
                <w:color w:val="000000"/>
                <w:sz w:val="20"/>
                <w:szCs w:val="20"/>
              </w:rPr>
              <w:t>O</w:t>
            </w:r>
            <w:r w:rsidRPr="00023DE3">
              <w:rPr>
                <w:color w:val="000000"/>
                <w:sz w:val="20"/>
                <w:szCs w:val="20"/>
              </w:rPr>
              <w:t>rganization IT Management and Strategic Planning</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70B4ECE5" w14:textId="77777777">
            <w:pPr>
              <w:rPr>
                <w:color w:val="000000"/>
                <w:sz w:val="20"/>
                <w:szCs w:val="20"/>
              </w:rPr>
            </w:pPr>
            <w:r w:rsidRPr="00023DE3">
              <w:rPr>
                <w:color w:val="000000"/>
                <w:sz w:val="20"/>
                <w:szCs w:val="20"/>
              </w:rPr>
              <w:t xml:space="preserve"> $      30,617.56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67F0F6D7" w14:textId="77777777">
            <w:pPr>
              <w:jc w:val="right"/>
              <w:rPr>
                <w:color w:val="000000"/>
                <w:sz w:val="20"/>
                <w:szCs w:val="20"/>
              </w:rPr>
            </w:pPr>
            <w:r w:rsidRPr="00023DE3">
              <w:rPr>
                <w:color w:val="000000"/>
                <w:sz w:val="20"/>
                <w:szCs w:val="20"/>
              </w:rPr>
              <w:t>0.18</w:t>
            </w:r>
          </w:p>
        </w:tc>
      </w:tr>
      <w:tr w:rsidRPr="00023DE3" w:rsidR="00EC79FA" w:rsidTr="00CA0B27" w14:paraId="4A068B68"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3791E0D4" w14:textId="77777777">
            <w:pPr>
              <w:rPr>
                <w:color w:val="000000"/>
                <w:sz w:val="20"/>
                <w:szCs w:val="20"/>
              </w:rPr>
            </w:pPr>
            <w:r w:rsidRPr="00023DE3">
              <w:rPr>
                <w:color w:val="000000"/>
                <w:sz w:val="20"/>
                <w:szCs w:val="20"/>
              </w:rPr>
              <w:t>Perform Other Agile Duties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726AED52" w14:textId="77777777">
            <w:pPr>
              <w:rPr>
                <w:color w:val="000000"/>
                <w:sz w:val="20"/>
                <w:szCs w:val="20"/>
              </w:rPr>
            </w:pPr>
            <w:r w:rsidRPr="00023DE3">
              <w:rPr>
                <w:color w:val="000000"/>
                <w:sz w:val="20"/>
                <w:szCs w:val="20"/>
              </w:rPr>
              <w:t xml:space="preserve"> $    258,005.53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0B1F477F" w14:textId="77777777">
            <w:pPr>
              <w:jc w:val="right"/>
              <w:rPr>
                <w:color w:val="000000"/>
                <w:sz w:val="20"/>
                <w:szCs w:val="20"/>
              </w:rPr>
            </w:pPr>
            <w:r w:rsidRPr="00023DE3">
              <w:rPr>
                <w:color w:val="000000"/>
                <w:sz w:val="20"/>
                <w:szCs w:val="20"/>
              </w:rPr>
              <w:t>1.72</w:t>
            </w:r>
          </w:p>
        </w:tc>
      </w:tr>
      <w:tr w:rsidRPr="00023DE3" w:rsidR="00EC79FA" w:rsidTr="00CA0B27" w14:paraId="322A175C"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781EFE6D" w14:textId="77777777">
            <w:pPr>
              <w:rPr>
                <w:color w:val="000000"/>
                <w:sz w:val="20"/>
                <w:szCs w:val="20"/>
              </w:rPr>
            </w:pPr>
            <w:r w:rsidRPr="00023DE3">
              <w:rPr>
                <w:color w:val="000000"/>
                <w:sz w:val="20"/>
                <w:szCs w:val="20"/>
              </w:rPr>
              <w:t>Perform Research and Analysis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5813A025" w14:textId="77777777">
            <w:pPr>
              <w:rPr>
                <w:color w:val="000000"/>
                <w:sz w:val="20"/>
                <w:szCs w:val="20"/>
              </w:rPr>
            </w:pPr>
            <w:r w:rsidRPr="00023DE3">
              <w:rPr>
                <w:color w:val="000000"/>
                <w:sz w:val="20"/>
                <w:szCs w:val="20"/>
              </w:rPr>
              <w:t xml:space="preserve"> $    248,981.39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03F391B9" w14:textId="77777777">
            <w:pPr>
              <w:jc w:val="right"/>
              <w:rPr>
                <w:color w:val="000000"/>
                <w:sz w:val="20"/>
                <w:szCs w:val="20"/>
              </w:rPr>
            </w:pPr>
            <w:r w:rsidRPr="00023DE3">
              <w:rPr>
                <w:color w:val="000000"/>
                <w:sz w:val="20"/>
                <w:szCs w:val="20"/>
              </w:rPr>
              <w:t>1.44</w:t>
            </w:r>
          </w:p>
        </w:tc>
      </w:tr>
      <w:tr w:rsidRPr="00023DE3" w:rsidR="00EC79FA" w:rsidTr="00CA0B27" w14:paraId="2CEE9B22"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13CF0442" w14:textId="378358D4">
            <w:pPr>
              <w:rPr>
                <w:color w:val="000000"/>
                <w:sz w:val="20"/>
                <w:szCs w:val="20"/>
              </w:rPr>
            </w:pPr>
            <w:r w:rsidRPr="00023DE3">
              <w:rPr>
                <w:color w:val="000000"/>
                <w:sz w:val="20"/>
                <w:szCs w:val="20"/>
              </w:rPr>
              <w:t xml:space="preserve">Perform the Client Management </w:t>
            </w:r>
            <w:r w:rsidR="00441EB3">
              <w:rPr>
                <w:color w:val="000000"/>
                <w:sz w:val="20"/>
                <w:szCs w:val="20"/>
              </w:rPr>
              <w:t>F</w:t>
            </w:r>
            <w:r w:rsidRPr="00023DE3">
              <w:rPr>
                <w:color w:val="000000"/>
                <w:sz w:val="20"/>
                <w:szCs w:val="20"/>
              </w:rPr>
              <w:t>unction</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07E317AB" w14:textId="77777777">
            <w:pPr>
              <w:rPr>
                <w:color w:val="000000"/>
                <w:sz w:val="20"/>
                <w:szCs w:val="20"/>
              </w:rPr>
            </w:pPr>
            <w:r w:rsidRPr="00023DE3">
              <w:rPr>
                <w:color w:val="000000"/>
                <w:sz w:val="20"/>
                <w:szCs w:val="20"/>
              </w:rPr>
              <w:t xml:space="preserve"> $    103,171.04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2E0FBDBC" w14:textId="77777777">
            <w:pPr>
              <w:jc w:val="right"/>
              <w:rPr>
                <w:color w:val="000000"/>
                <w:sz w:val="20"/>
                <w:szCs w:val="20"/>
              </w:rPr>
            </w:pPr>
            <w:r w:rsidRPr="00023DE3">
              <w:rPr>
                <w:color w:val="000000"/>
                <w:sz w:val="20"/>
                <w:szCs w:val="20"/>
              </w:rPr>
              <w:t>0.65</w:t>
            </w:r>
          </w:p>
        </w:tc>
      </w:tr>
      <w:tr w:rsidRPr="00023DE3" w:rsidR="00EC79FA" w:rsidTr="00CA0B27" w14:paraId="2BC7BFC0"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58C225EA" w14:textId="77777777">
            <w:pPr>
              <w:rPr>
                <w:color w:val="000000"/>
                <w:sz w:val="20"/>
                <w:szCs w:val="20"/>
              </w:rPr>
            </w:pPr>
            <w:r w:rsidRPr="00023DE3">
              <w:rPr>
                <w:color w:val="000000"/>
                <w:sz w:val="20"/>
                <w:szCs w:val="20"/>
              </w:rPr>
              <w:t>Produce Publications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2B35758D" w14:textId="77777777">
            <w:pPr>
              <w:rPr>
                <w:color w:val="000000"/>
                <w:sz w:val="20"/>
                <w:szCs w:val="20"/>
              </w:rPr>
            </w:pPr>
            <w:r w:rsidRPr="00023DE3">
              <w:rPr>
                <w:color w:val="000000"/>
                <w:sz w:val="20"/>
                <w:szCs w:val="20"/>
              </w:rPr>
              <w:t xml:space="preserve"> $    101,532.52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3CEB5925" w14:textId="77777777">
            <w:pPr>
              <w:jc w:val="right"/>
              <w:rPr>
                <w:color w:val="000000"/>
                <w:sz w:val="20"/>
                <w:szCs w:val="20"/>
              </w:rPr>
            </w:pPr>
            <w:r w:rsidRPr="00023DE3">
              <w:rPr>
                <w:color w:val="000000"/>
                <w:sz w:val="20"/>
                <w:szCs w:val="20"/>
              </w:rPr>
              <w:t>0.70</w:t>
            </w:r>
          </w:p>
        </w:tc>
      </w:tr>
      <w:tr w:rsidRPr="00023DE3" w:rsidR="00EC79FA" w:rsidTr="00CA0B27" w14:paraId="4B33C57E"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29140464" w14:textId="6852CF75">
            <w:pPr>
              <w:rPr>
                <w:color w:val="000000"/>
                <w:sz w:val="20"/>
                <w:szCs w:val="20"/>
              </w:rPr>
            </w:pPr>
            <w:r w:rsidRPr="00023DE3">
              <w:rPr>
                <w:color w:val="000000"/>
                <w:sz w:val="20"/>
                <w:szCs w:val="20"/>
              </w:rPr>
              <w:t xml:space="preserve">Provide and </w:t>
            </w:r>
            <w:r w:rsidR="00441EB3">
              <w:rPr>
                <w:color w:val="000000"/>
                <w:sz w:val="20"/>
                <w:szCs w:val="20"/>
              </w:rPr>
              <w:t>A</w:t>
            </w:r>
            <w:r w:rsidRPr="00023DE3">
              <w:rPr>
                <w:color w:val="000000"/>
                <w:sz w:val="20"/>
                <w:szCs w:val="20"/>
              </w:rPr>
              <w:t xml:space="preserve">dminister Databases and Database </w:t>
            </w:r>
            <w:r w:rsidR="001710F6">
              <w:rPr>
                <w:color w:val="000000"/>
                <w:sz w:val="20"/>
                <w:szCs w:val="20"/>
              </w:rPr>
              <w:t>S</w:t>
            </w:r>
            <w:r w:rsidRPr="00023DE3">
              <w:rPr>
                <w:color w:val="000000"/>
                <w:sz w:val="20"/>
                <w:szCs w:val="20"/>
              </w:rPr>
              <w:t>ervices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7FF9296B" w14:textId="77777777">
            <w:pPr>
              <w:rPr>
                <w:color w:val="000000"/>
                <w:sz w:val="20"/>
                <w:szCs w:val="20"/>
              </w:rPr>
            </w:pPr>
            <w:r w:rsidRPr="00023DE3">
              <w:rPr>
                <w:color w:val="000000"/>
                <w:sz w:val="20"/>
                <w:szCs w:val="20"/>
              </w:rPr>
              <w:t xml:space="preserve"> $    163,856.22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14B6FDD0" w14:textId="77777777">
            <w:pPr>
              <w:jc w:val="right"/>
              <w:rPr>
                <w:color w:val="000000"/>
                <w:sz w:val="20"/>
                <w:szCs w:val="20"/>
              </w:rPr>
            </w:pPr>
            <w:r w:rsidRPr="00023DE3">
              <w:rPr>
                <w:color w:val="000000"/>
                <w:sz w:val="20"/>
                <w:szCs w:val="20"/>
              </w:rPr>
              <w:t>1.01</w:t>
            </w:r>
          </w:p>
        </w:tc>
      </w:tr>
      <w:tr w:rsidRPr="00023DE3" w:rsidR="00EC79FA" w:rsidTr="00CA0B27" w14:paraId="6FFA0A50"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1C2C3DB4" w14:textId="21EE259F">
            <w:pPr>
              <w:rPr>
                <w:color w:val="000000"/>
                <w:sz w:val="20"/>
                <w:szCs w:val="20"/>
              </w:rPr>
            </w:pPr>
            <w:r w:rsidRPr="00023DE3">
              <w:rPr>
                <w:color w:val="000000"/>
                <w:sz w:val="20"/>
                <w:szCs w:val="20"/>
              </w:rPr>
              <w:t xml:space="preserve">Provide and </w:t>
            </w:r>
            <w:r w:rsidR="00441EB3">
              <w:rPr>
                <w:color w:val="000000"/>
                <w:sz w:val="20"/>
                <w:szCs w:val="20"/>
              </w:rPr>
              <w:t>A</w:t>
            </w:r>
            <w:r w:rsidRPr="00023DE3">
              <w:rPr>
                <w:color w:val="000000"/>
                <w:sz w:val="20"/>
                <w:szCs w:val="20"/>
              </w:rPr>
              <w:t xml:space="preserve">dminister Middleware </w:t>
            </w:r>
            <w:r w:rsidR="001710F6">
              <w:rPr>
                <w:color w:val="000000"/>
                <w:sz w:val="20"/>
                <w:szCs w:val="20"/>
              </w:rPr>
              <w:t>S</w:t>
            </w:r>
            <w:r w:rsidRPr="00023DE3">
              <w:rPr>
                <w:color w:val="000000"/>
                <w:sz w:val="20"/>
                <w:szCs w:val="20"/>
              </w:rPr>
              <w:t>ervices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6847EE71" w14:textId="77777777">
            <w:pPr>
              <w:rPr>
                <w:color w:val="000000"/>
                <w:sz w:val="20"/>
                <w:szCs w:val="20"/>
              </w:rPr>
            </w:pPr>
            <w:r w:rsidRPr="00023DE3">
              <w:rPr>
                <w:color w:val="000000"/>
                <w:sz w:val="20"/>
                <w:szCs w:val="20"/>
              </w:rPr>
              <w:t xml:space="preserve"> $    120,329.50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2A934CE7" w14:textId="77777777">
            <w:pPr>
              <w:jc w:val="right"/>
              <w:rPr>
                <w:color w:val="000000"/>
                <w:sz w:val="20"/>
                <w:szCs w:val="20"/>
              </w:rPr>
            </w:pPr>
            <w:r w:rsidRPr="00023DE3">
              <w:rPr>
                <w:color w:val="000000"/>
                <w:sz w:val="20"/>
                <w:szCs w:val="20"/>
              </w:rPr>
              <w:t>0.94</w:t>
            </w:r>
          </w:p>
        </w:tc>
      </w:tr>
      <w:tr w:rsidRPr="00023DE3" w:rsidR="00EC79FA" w:rsidTr="00CA0B27" w14:paraId="6F877D96"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666A9B71" w14:textId="779680F4">
            <w:pPr>
              <w:rPr>
                <w:color w:val="000000"/>
                <w:sz w:val="20"/>
                <w:szCs w:val="20"/>
              </w:rPr>
            </w:pPr>
            <w:r w:rsidRPr="00023DE3">
              <w:rPr>
                <w:color w:val="000000"/>
                <w:sz w:val="20"/>
                <w:szCs w:val="20"/>
              </w:rPr>
              <w:t xml:space="preserve">Provide and </w:t>
            </w:r>
            <w:r w:rsidR="001710F6">
              <w:rPr>
                <w:color w:val="000000"/>
                <w:sz w:val="20"/>
                <w:szCs w:val="20"/>
              </w:rPr>
              <w:t>M</w:t>
            </w:r>
            <w:r w:rsidRPr="00023DE3">
              <w:rPr>
                <w:color w:val="000000"/>
                <w:sz w:val="20"/>
                <w:szCs w:val="20"/>
              </w:rPr>
              <w:t>aintain Servers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22DA2BF9" w14:textId="77777777">
            <w:pPr>
              <w:rPr>
                <w:color w:val="000000"/>
                <w:sz w:val="20"/>
                <w:szCs w:val="20"/>
              </w:rPr>
            </w:pPr>
            <w:r w:rsidRPr="00023DE3">
              <w:rPr>
                <w:color w:val="000000"/>
                <w:sz w:val="20"/>
                <w:szCs w:val="20"/>
              </w:rPr>
              <w:t xml:space="preserve"> $      54,086.46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26D5B4D8" w14:textId="77777777">
            <w:pPr>
              <w:jc w:val="right"/>
              <w:rPr>
                <w:color w:val="000000"/>
                <w:sz w:val="20"/>
                <w:szCs w:val="20"/>
              </w:rPr>
            </w:pPr>
            <w:r w:rsidRPr="00023DE3">
              <w:rPr>
                <w:color w:val="000000"/>
                <w:sz w:val="20"/>
                <w:szCs w:val="20"/>
              </w:rPr>
              <w:t>0.41</w:t>
            </w:r>
          </w:p>
        </w:tc>
      </w:tr>
      <w:tr w:rsidRPr="00023DE3" w:rsidR="00EC79FA" w:rsidTr="00CA0B27" w14:paraId="39B5C6E8"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3BE9C965" w14:textId="7C5CCB4C">
            <w:pPr>
              <w:rPr>
                <w:color w:val="000000"/>
                <w:sz w:val="20"/>
                <w:szCs w:val="20"/>
              </w:rPr>
            </w:pPr>
            <w:r w:rsidRPr="00023DE3">
              <w:rPr>
                <w:color w:val="000000"/>
                <w:sz w:val="20"/>
                <w:szCs w:val="20"/>
              </w:rPr>
              <w:t xml:space="preserve">Provide and </w:t>
            </w:r>
            <w:r w:rsidR="001710F6">
              <w:rPr>
                <w:color w:val="000000"/>
                <w:sz w:val="20"/>
                <w:szCs w:val="20"/>
              </w:rPr>
              <w:t>M</w:t>
            </w:r>
            <w:r w:rsidRPr="00023DE3">
              <w:rPr>
                <w:color w:val="000000"/>
                <w:sz w:val="20"/>
                <w:szCs w:val="20"/>
              </w:rPr>
              <w:t xml:space="preserve">aintain UNIX </w:t>
            </w:r>
            <w:r w:rsidR="001710F6">
              <w:rPr>
                <w:color w:val="000000"/>
                <w:sz w:val="20"/>
                <w:szCs w:val="20"/>
              </w:rPr>
              <w:t>O</w:t>
            </w:r>
            <w:r w:rsidRPr="00023DE3">
              <w:rPr>
                <w:color w:val="000000"/>
                <w:sz w:val="20"/>
                <w:szCs w:val="20"/>
              </w:rPr>
              <w:t xml:space="preserve">perating </w:t>
            </w:r>
            <w:r w:rsidR="001710F6">
              <w:rPr>
                <w:color w:val="000000"/>
                <w:sz w:val="20"/>
                <w:szCs w:val="20"/>
              </w:rPr>
              <w:t>S</w:t>
            </w:r>
            <w:r w:rsidRPr="00023DE3">
              <w:rPr>
                <w:color w:val="000000"/>
                <w:sz w:val="20"/>
                <w:szCs w:val="20"/>
              </w:rPr>
              <w:t>ystems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12E002BB" w14:textId="77777777">
            <w:pPr>
              <w:rPr>
                <w:color w:val="000000"/>
                <w:sz w:val="20"/>
                <w:szCs w:val="20"/>
              </w:rPr>
            </w:pPr>
            <w:r w:rsidRPr="00023DE3">
              <w:rPr>
                <w:color w:val="000000"/>
                <w:sz w:val="20"/>
                <w:szCs w:val="20"/>
              </w:rPr>
              <w:t xml:space="preserve"> $      27,370.28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36D58E02" w14:textId="77777777">
            <w:pPr>
              <w:jc w:val="right"/>
              <w:rPr>
                <w:color w:val="000000"/>
                <w:sz w:val="20"/>
                <w:szCs w:val="20"/>
              </w:rPr>
            </w:pPr>
            <w:r w:rsidRPr="00023DE3">
              <w:rPr>
                <w:color w:val="000000"/>
                <w:sz w:val="20"/>
                <w:szCs w:val="20"/>
              </w:rPr>
              <w:t>0.23</w:t>
            </w:r>
          </w:p>
        </w:tc>
      </w:tr>
      <w:tr w:rsidRPr="00023DE3" w:rsidR="00EC79FA" w:rsidTr="00CA0B27" w14:paraId="61E5B0FF"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0D9C8681" w14:textId="2AEAB48A">
            <w:pPr>
              <w:rPr>
                <w:color w:val="000000"/>
                <w:sz w:val="20"/>
                <w:szCs w:val="20"/>
              </w:rPr>
            </w:pPr>
            <w:r w:rsidRPr="00023DE3">
              <w:rPr>
                <w:color w:val="000000"/>
                <w:sz w:val="20"/>
                <w:szCs w:val="20"/>
              </w:rPr>
              <w:t xml:space="preserve">Provide Application Development </w:t>
            </w:r>
            <w:r w:rsidR="001710F6">
              <w:rPr>
                <w:color w:val="000000"/>
                <w:sz w:val="20"/>
                <w:szCs w:val="20"/>
              </w:rPr>
              <w:t>S</w:t>
            </w:r>
            <w:r w:rsidRPr="00023DE3">
              <w:rPr>
                <w:color w:val="000000"/>
                <w:sz w:val="20"/>
                <w:szCs w:val="20"/>
              </w:rPr>
              <w:t>ervices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48E0BCA2" w14:textId="77777777">
            <w:pPr>
              <w:rPr>
                <w:color w:val="000000"/>
                <w:sz w:val="20"/>
                <w:szCs w:val="20"/>
              </w:rPr>
            </w:pPr>
            <w:r w:rsidRPr="00023DE3">
              <w:rPr>
                <w:color w:val="000000"/>
                <w:sz w:val="20"/>
                <w:szCs w:val="20"/>
              </w:rPr>
              <w:t xml:space="preserve"> $    687,257.21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70B16E69" w14:textId="77777777">
            <w:pPr>
              <w:jc w:val="right"/>
              <w:rPr>
                <w:color w:val="000000"/>
                <w:sz w:val="20"/>
                <w:szCs w:val="20"/>
              </w:rPr>
            </w:pPr>
            <w:r w:rsidRPr="00023DE3">
              <w:rPr>
                <w:color w:val="000000"/>
                <w:sz w:val="20"/>
                <w:szCs w:val="20"/>
              </w:rPr>
              <w:t>4.79</w:t>
            </w:r>
          </w:p>
        </w:tc>
      </w:tr>
      <w:tr w:rsidRPr="00023DE3" w:rsidR="00EC79FA" w:rsidTr="00CA0B27" w14:paraId="5339E3EB"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43C41468" w14:textId="326805BB">
            <w:pPr>
              <w:rPr>
                <w:color w:val="000000"/>
                <w:sz w:val="20"/>
                <w:szCs w:val="20"/>
              </w:rPr>
            </w:pPr>
            <w:r w:rsidRPr="00023DE3">
              <w:rPr>
                <w:color w:val="000000"/>
                <w:sz w:val="20"/>
                <w:szCs w:val="20"/>
              </w:rPr>
              <w:t xml:space="preserve">Provide Application Support and Operations </w:t>
            </w:r>
            <w:r w:rsidR="001710F6">
              <w:rPr>
                <w:color w:val="000000"/>
                <w:sz w:val="20"/>
                <w:szCs w:val="20"/>
              </w:rPr>
              <w:t>S</w:t>
            </w:r>
            <w:r w:rsidRPr="00023DE3">
              <w:rPr>
                <w:color w:val="000000"/>
                <w:sz w:val="20"/>
                <w:szCs w:val="20"/>
              </w:rPr>
              <w:t>ervices</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544FB797" w14:textId="77777777">
            <w:pPr>
              <w:rPr>
                <w:color w:val="000000"/>
                <w:sz w:val="20"/>
                <w:szCs w:val="20"/>
              </w:rPr>
            </w:pPr>
            <w:r w:rsidRPr="00023DE3">
              <w:rPr>
                <w:color w:val="000000"/>
                <w:sz w:val="20"/>
                <w:szCs w:val="20"/>
              </w:rPr>
              <w:t xml:space="preserve"> $    111,365.30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11430595" w14:textId="77777777">
            <w:pPr>
              <w:jc w:val="right"/>
              <w:rPr>
                <w:color w:val="000000"/>
                <w:sz w:val="20"/>
                <w:szCs w:val="20"/>
              </w:rPr>
            </w:pPr>
            <w:r w:rsidRPr="00023DE3">
              <w:rPr>
                <w:color w:val="000000"/>
                <w:sz w:val="20"/>
                <w:szCs w:val="20"/>
              </w:rPr>
              <w:t>0.84</w:t>
            </w:r>
          </w:p>
        </w:tc>
      </w:tr>
      <w:tr w:rsidRPr="00023DE3" w:rsidR="00EC79FA" w:rsidTr="00CA0B27" w14:paraId="2A738AF6"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6EE99073" w14:textId="77777777">
            <w:pPr>
              <w:rPr>
                <w:color w:val="000000"/>
                <w:sz w:val="20"/>
                <w:szCs w:val="20"/>
              </w:rPr>
            </w:pPr>
            <w:r w:rsidRPr="00023DE3">
              <w:rPr>
                <w:color w:val="000000"/>
                <w:sz w:val="20"/>
                <w:szCs w:val="20"/>
              </w:rPr>
              <w:t>Provide Editing Services/Support</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11578311" w14:textId="77777777">
            <w:pPr>
              <w:rPr>
                <w:color w:val="000000"/>
                <w:sz w:val="20"/>
                <w:szCs w:val="20"/>
              </w:rPr>
            </w:pPr>
            <w:r w:rsidRPr="00023DE3">
              <w:rPr>
                <w:color w:val="000000"/>
                <w:sz w:val="20"/>
                <w:szCs w:val="20"/>
              </w:rPr>
              <w:t xml:space="preserve"> $    201,792.18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654BDD3E" w14:textId="77777777">
            <w:pPr>
              <w:jc w:val="right"/>
              <w:rPr>
                <w:color w:val="000000"/>
                <w:sz w:val="20"/>
                <w:szCs w:val="20"/>
              </w:rPr>
            </w:pPr>
            <w:r w:rsidRPr="00023DE3">
              <w:rPr>
                <w:color w:val="000000"/>
                <w:sz w:val="20"/>
                <w:szCs w:val="20"/>
              </w:rPr>
              <w:t>1.20</w:t>
            </w:r>
          </w:p>
        </w:tc>
      </w:tr>
      <w:tr w:rsidRPr="00023DE3" w:rsidR="00EC79FA" w:rsidTr="00CA0B27" w14:paraId="05DD5175"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2DA6C760" w14:textId="77777777">
            <w:pPr>
              <w:rPr>
                <w:color w:val="000000"/>
                <w:sz w:val="20"/>
                <w:szCs w:val="20"/>
              </w:rPr>
            </w:pPr>
            <w:r w:rsidRPr="00023DE3">
              <w:rPr>
                <w:color w:val="000000"/>
                <w:sz w:val="20"/>
                <w:szCs w:val="20"/>
              </w:rPr>
              <w:t>Provide Supervisory Review/Oversight</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723B76B4" w14:textId="77777777">
            <w:pPr>
              <w:rPr>
                <w:color w:val="000000"/>
                <w:sz w:val="20"/>
                <w:szCs w:val="20"/>
              </w:rPr>
            </w:pPr>
            <w:r w:rsidRPr="00023DE3">
              <w:rPr>
                <w:color w:val="000000"/>
                <w:sz w:val="20"/>
                <w:szCs w:val="20"/>
              </w:rPr>
              <w:t xml:space="preserve"> $      35,091.60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6E45C682" w14:textId="77777777">
            <w:pPr>
              <w:jc w:val="right"/>
              <w:rPr>
                <w:color w:val="000000"/>
                <w:sz w:val="20"/>
                <w:szCs w:val="20"/>
              </w:rPr>
            </w:pPr>
            <w:r w:rsidRPr="00023DE3">
              <w:rPr>
                <w:color w:val="000000"/>
                <w:sz w:val="20"/>
                <w:szCs w:val="20"/>
              </w:rPr>
              <w:t>0.18</w:t>
            </w:r>
          </w:p>
        </w:tc>
      </w:tr>
      <w:tr w:rsidRPr="00023DE3" w:rsidR="00EC79FA" w:rsidTr="00CA0B27" w14:paraId="6E81BDA0" w14:textId="77777777">
        <w:trPr>
          <w:trHeight w:val="315"/>
        </w:trPr>
        <w:tc>
          <w:tcPr>
            <w:tcW w:w="6589" w:type="dxa"/>
            <w:tcBorders>
              <w:top w:val="nil"/>
              <w:left w:val="nil"/>
              <w:right w:val="nil"/>
            </w:tcBorders>
            <w:shd w:val="clear" w:color="auto" w:fill="auto"/>
            <w:noWrap/>
            <w:vAlign w:val="bottom"/>
            <w:hideMark/>
          </w:tcPr>
          <w:p w:rsidRPr="00023DE3" w:rsidR="00EC79FA" w:rsidP="009E782D" w:rsidRDefault="00EC79FA" w14:paraId="168A9C18" w14:textId="77777777">
            <w:pPr>
              <w:rPr>
                <w:color w:val="000000"/>
                <w:sz w:val="20"/>
                <w:szCs w:val="20"/>
              </w:rPr>
            </w:pPr>
            <w:r w:rsidRPr="00023DE3">
              <w:rPr>
                <w:color w:val="000000"/>
                <w:sz w:val="20"/>
                <w:szCs w:val="20"/>
              </w:rPr>
              <w:t>Provide Writing Services/Support</w:t>
            </w:r>
          </w:p>
        </w:tc>
        <w:tc>
          <w:tcPr>
            <w:tcW w:w="1511" w:type="dxa"/>
            <w:tcBorders>
              <w:top w:val="nil"/>
              <w:left w:val="nil"/>
              <w:right w:val="nil"/>
            </w:tcBorders>
            <w:shd w:val="clear" w:color="auto" w:fill="auto"/>
            <w:noWrap/>
            <w:vAlign w:val="bottom"/>
            <w:hideMark/>
          </w:tcPr>
          <w:p w:rsidRPr="00023DE3" w:rsidR="00EC79FA" w:rsidP="009E782D" w:rsidRDefault="00EC79FA" w14:paraId="5E930D19" w14:textId="77777777">
            <w:pPr>
              <w:rPr>
                <w:color w:val="000000"/>
                <w:sz w:val="20"/>
                <w:szCs w:val="20"/>
              </w:rPr>
            </w:pPr>
            <w:r w:rsidRPr="00023DE3">
              <w:rPr>
                <w:color w:val="000000"/>
                <w:sz w:val="20"/>
                <w:szCs w:val="20"/>
              </w:rPr>
              <w:t xml:space="preserve"> $    179,656.15 </w:t>
            </w:r>
          </w:p>
        </w:tc>
        <w:tc>
          <w:tcPr>
            <w:tcW w:w="2070" w:type="dxa"/>
            <w:gridSpan w:val="2"/>
            <w:tcBorders>
              <w:top w:val="nil"/>
              <w:left w:val="nil"/>
              <w:right w:val="nil"/>
            </w:tcBorders>
            <w:shd w:val="clear" w:color="auto" w:fill="auto"/>
            <w:noWrap/>
            <w:vAlign w:val="bottom"/>
            <w:hideMark/>
          </w:tcPr>
          <w:p w:rsidRPr="00023DE3" w:rsidR="00EC79FA" w:rsidP="009E782D" w:rsidRDefault="00EC79FA" w14:paraId="4A6A63C1" w14:textId="77777777">
            <w:pPr>
              <w:jc w:val="right"/>
              <w:rPr>
                <w:color w:val="000000"/>
                <w:sz w:val="20"/>
                <w:szCs w:val="20"/>
              </w:rPr>
            </w:pPr>
            <w:r w:rsidRPr="00023DE3">
              <w:rPr>
                <w:color w:val="000000"/>
                <w:sz w:val="20"/>
                <w:szCs w:val="20"/>
              </w:rPr>
              <w:t>1.07</w:t>
            </w:r>
          </w:p>
        </w:tc>
      </w:tr>
      <w:tr w:rsidRPr="00023DE3" w:rsidR="00EC79FA" w:rsidTr="00CA0B27" w14:paraId="39336E98" w14:textId="77777777">
        <w:trPr>
          <w:trHeight w:val="315"/>
        </w:trPr>
        <w:tc>
          <w:tcPr>
            <w:tcW w:w="6589" w:type="dxa"/>
            <w:tcBorders>
              <w:left w:val="nil"/>
              <w:bottom w:val="nil"/>
              <w:right w:val="nil"/>
            </w:tcBorders>
            <w:shd w:val="clear" w:color="auto" w:fill="auto"/>
            <w:noWrap/>
            <w:vAlign w:val="bottom"/>
            <w:hideMark/>
          </w:tcPr>
          <w:p w:rsidRPr="00023DE3" w:rsidR="00EC79FA" w:rsidP="009E782D" w:rsidRDefault="00EC79FA" w14:paraId="464107D7" w14:textId="77777777">
            <w:pPr>
              <w:rPr>
                <w:color w:val="000000"/>
                <w:sz w:val="20"/>
                <w:szCs w:val="20"/>
              </w:rPr>
            </w:pPr>
            <w:r w:rsidRPr="00023DE3">
              <w:rPr>
                <w:color w:val="000000"/>
                <w:sz w:val="20"/>
                <w:szCs w:val="20"/>
              </w:rPr>
              <w:t>Support and Manage IT Programs, Product Initiatives</w:t>
            </w:r>
          </w:p>
        </w:tc>
        <w:tc>
          <w:tcPr>
            <w:tcW w:w="1511" w:type="dxa"/>
            <w:tcBorders>
              <w:left w:val="nil"/>
              <w:bottom w:val="nil"/>
              <w:right w:val="nil"/>
            </w:tcBorders>
            <w:shd w:val="clear" w:color="auto" w:fill="auto"/>
            <w:noWrap/>
            <w:vAlign w:val="bottom"/>
            <w:hideMark/>
          </w:tcPr>
          <w:p w:rsidRPr="00023DE3" w:rsidR="00EC79FA" w:rsidP="009E782D" w:rsidRDefault="00EC79FA" w14:paraId="47D690CE" w14:textId="77777777">
            <w:pPr>
              <w:rPr>
                <w:color w:val="000000"/>
                <w:sz w:val="20"/>
                <w:szCs w:val="20"/>
              </w:rPr>
            </w:pPr>
            <w:r w:rsidRPr="00023DE3">
              <w:rPr>
                <w:color w:val="000000"/>
                <w:sz w:val="20"/>
                <w:szCs w:val="20"/>
              </w:rPr>
              <w:t xml:space="preserve"> $    344,140.46 </w:t>
            </w:r>
          </w:p>
        </w:tc>
        <w:tc>
          <w:tcPr>
            <w:tcW w:w="2070" w:type="dxa"/>
            <w:gridSpan w:val="2"/>
            <w:tcBorders>
              <w:left w:val="nil"/>
              <w:bottom w:val="nil"/>
              <w:right w:val="nil"/>
            </w:tcBorders>
            <w:shd w:val="clear" w:color="auto" w:fill="auto"/>
            <w:noWrap/>
            <w:vAlign w:val="bottom"/>
            <w:hideMark/>
          </w:tcPr>
          <w:p w:rsidRPr="00023DE3" w:rsidR="00EC79FA" w:rsidP="009E782D" w:rsidRDefault="00EC79FA" w14:paraId="0D7E168A" w14:textId="77777777">
            <w:pPr>
              <w:jc w:val="right"/>
              <w:rPr>
                <w:color w:val="000000"/>
                <w:sz w:val="20"/>
                <w:szCs w:val="20"/>
              </w:rPr>
            </w:pPr>
            <w:r w:rsidRPr="00023DE3">
              <w:rPr>
                <w:color w:val="000000"/>
                <w:sz w:val="20"/>
                <w:szCs w:val="20"/>
              </w:rPr>
              <w:t>2.45</w:t>
            </w:r>
          </w:p>
        </w:tc>
      </w:tr>
      <w:tr w:rsidRPr="00023DE3" w:rsidR="00EC79FA" w:rsidTr="00CA0B27" w14:paraId="0DE562DC"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05269B7C" w14:textId="77777777">
            <w:pPr>
              <w:rPr>
                <w:color w:val="000000"/>
                <w:sz w:val="20"/>
                <w:szCs w:val="20"/>
              </w:rPr>
            </w:pPr>
            <w:r w:rsidRPr="00023DE3">
              <w:rPr>
                <w:color w:val="000000"/>
                <w:sz w:val="20"/>
                <w:szCs w:val="20"/>
              </w:rPr>
              <w:t>Support CJIS Advisory Policy Board</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3527847E" w14:textId="77777777">
            <w:pPr>
              <w:rPr>
                <w:color w:val="000000"/>
                <w:sz w:val="20"/>
                <w:szCs w:val="20"/>
              </w:rPr>
            </w:pPr>
            <w:r w:rsidRPr="00023DE3">
              <w:rPr>
                <w:color w:val="000000"/>
                <w:sz w:val="20"/>
                <w:szCs w:val="20"/>
              </w:rPr>
              <w:t xml:space="preserve"> $      26,661.76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4812A233" w14:textId="77777777">
            <w:pPr>
              <w:jc w:val="right"/>
              <w:rPr>
                <w:color w:val="000000"/>
                <w:sz w:val="20"/>
                <w:szCs w:val="20"/>
              </w:rPr>
            </w:pPr>
            <w:r w:rsidRPr="00023DE3">
              <w:rPr>
                <w:color w:val="000000"/>
                <w:sz w:val="20"/>
                <w:szCs w:val="20"/>
              </w:rPr>
              <w:t>0.20</w:t>
            </w:r>
          </w:p>
        </w:tc>
      </w:tr>
      <w:tr w:rsidRPr="00023DE3" w:rsidR="00EC79FA" w:rsidTr="00CA0B27" w14:paraId="69D50D19"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340E4DB7" w14:textId="39292FB9">
            <w:pPr>
              <w:rPr>
                <w:color w:val="000000"/>
                <w:sz w:val="20"/>
                <w:szCs w:val="20"/>
              </w:rPr>
            </w:pPr>
            <w:r w:rsidRPr="00023DE3">
              <w:rPr>
                <w:color w:val="000000"/>
                <w:sz w:val="20"/>
                <w:szCs w:val="20"/>
              </w:rPr>
              <w:t xml:space="preserve">Support the </w:t>
            </w:r>
            <w:r w:rsidRPr="001710F6">
              <w:rPr>
                <w:i/>
                <w:iCs/>
                <w:color w:val="000000"/>
                <w:sz w:val="20"/>
                <w:szCs w:val="20"/>
              </w:rPr>
              <w:t>Crime in the United States</w:t>
            </w:r>
            <w:r w:rsidRPr="00023DE3">
              <w:rPr>
                <w:color w:val="000000"/>
                <w:sz w:val="20"/>
                <w:szCs w:val="20"/>
              </w:rPr>
              <w:t xml:space="preserve"> </w:t>
            </w:r>
            <w:r w:rsidR="00E357CD">
              <w:rPr>
                <w:color w:val="000000"/>
                <w:sz w:val="20"/>
                <w:szCs w:val="20"/>
              </w:rPr>
              <w:t>P</w:t>
            </w:r>
            <w:r w:rsidRPr="00023DE3">
              <w:rPr>
                <w:color w:val="000000"/>
                <w:sz w:val="20"/>
                <w:szCs w:val="20"/>
              </w:rPr>
              <w:t>ublication</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23C83D60" w14:textId="77777777">
            <w:pPr>
              <w:rPr>
                <w:color w:val="000000"/>
                <w:sz w:val="20"/>
                <w:szCs w:val="20"/>
              </w:rPr>
            </w:pPr>
            <w:r w:rsidRPr="00023DE3">
              <w:rPr>
                <w:color w:val="000000"/>
                <w:sz w:val="20"/>
                <w:szCs w:val="20"/>
              </w:rPr>
              <w:t xml:space="preserve"> $ 1,051,706.87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53E741D3" w14:textId="77777777">
            <w:pPr>
              <w:jc w:val="right"/>
              <w:rPr>
                <w:color w:val="000000"/>
                <w:sz w:val="20"/>
                <w:szCs w:val="20"/>
              </w:rPr>
            </w:pPr>
            <w:r w:rsidRPr="00023DE3">
              <w:rPr>
                <w:color w:val="000000"/>
                <w:sz w:val="20"/>
                <w:szCs w:val="20"/>
              </w:rPr>
              <w:t>9.04</w:t>
            </w:r>
          </w:p>
        </w:tc>
      </w:tr>
      <w:tr w:rsidRPr="00023DE3" w:rsidR="00EC79FA" w:rsidTr="00CA0B27" w14:paraId="1B52533D"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2D6462EE" w14:textId="77777777">
            <w:pPr>
              <w:rPr>
                <w:color w:val="000000"/>
                <w:sz w:val="20"/>
                <w:szCs w:val="20"/>
              </w:rPr>
            </w:pPr>
            <w:r w:rsidRPr="00023DE3">
              <w:rPr>
                <w:color w:val="000000"/>
                <w:sz w:val="20"/>
                <w:szCs w:val="20"/>
              </w:rPr>
              <w:t>Support the FBI’s Crime Data Explorer (CDE)</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7F341F0C" w14:textId="77777777">
            <w:pPr>
              <w:rPr>
                <w:color w:val="000000"/>
                <w:sz w:val="20"/>
                <w:szCs w:val="20"/>
              </w:rPr>
            </w:pPr>
            <w:r w:rsidRPr="00023DE3">
              <w:rPr>
                <w:color w:val="000000"/>
                <w:sz w:val="20"/>
                <w:szCs w:val="20"/>
              </w:rPr>
              <w:t xml:space="preserve"> $      92,448.35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0D98005B" w14:textId="77777777">
            <w:pPr>
              <w:jc w:val="right"/>
              <w:rPr>
                <w:color w:val="000000"/>
                <w:sz w:val="20"/>
                <w:szCs w:val="20"/>
              </w:rPr>
            </w:pPr>
            <w:r w:rsidRPr="00023DE3">
              <w:rPr>
                <w:color w:val="000000"/>
                <w:sz w:val="20"/>
                <w:szCs w:val="20"/>
              </w:rPr>
              <w:t>0.61</w:t>
            </w:r>
          </w:p>
        </w:tc>
      </w:tr>
      <w:tr w:rsidRPr="00023DE3" w:rsidR="00EC79FA" w:rsidTr="00CA0B27" w14:paraId="59590F4F"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40501D22" w14:textId="3D47DDC1">
            <w:pPr>
              <w:rPr>
                <w:color w:val="000000"/>
                <w:sz w:val="20"/>
                <w:szCs w:val="20"/>
              </w:rPr>
            </w:pPr>
            <w:r w:rsidRPr="00023DE3">
              <w:rPr>
                <w:color w:val="000000"/>
                <w:sz w:val="20"/>
                <w:szCs w:val="20"/>
              </w:rPr>
              <w:t xml:space="preserve">Support the </w:t>
            </w:r>
            <w:r w:rsidRPr="00E357CD">
              <w:rPr>
                <w:i/>
                <w:iCs/>
                <w:color w:val="000000"/>
                <w:sz w:val="20"/>
                <w:szCs w:val="20"/>
              </w:rPr>
              <w:t>Hate Crimes Statistics</w:t>
            </w:r>
            <w:r w:rsidRPr="00023DE3">
              <w:rPr>
                <w:color w:val="000000"/>
                <w:sz w:val="20"/>
                <w:szCs w:val="20"/>
              </w:rPr>
              <w:t xml:space="preserve"> </w:t>
            </w:r>
            <w:r w:rsidR="00E357CD">
              <w:rPr>
                <w:color w:val="000000"/>
                <w:sz w:val="20"/>
                <w:szCs w:val="20"/>
              </w:rPr>
              <w:t>P</w:t>
            </w:r>
            <w:r w:rsidRPr="00023DE3">
              <w:rPr>
                <w:color w:val="000000"/>
                <w:sz w:val="20"/>
                <w:szCs w:val="20"/>
              </w:rPr>
              <w:t>ublication</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5C7A7040" w14:textId="77777777">
            <w:pPr>
              <w:rPr>
                <w:color w:val="000000"/>
                <w:sz w:val="20"/>
                <w:szCs w:val="20"/>
              </w:rPr>
            </w:pPr>
            <w:r w:rsidRPr="00023DE3">
              <w:rPr>
                <w:color w:val="000000"/>
                <w:sz w:val="20"/>
                <w:szCs w:val="20"/>
              </w:rPr>
              <w:t xml:space="preserve"> $    440,587.35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60312B5A" w14:textId="77777777">
            <w:pPr>
              <w:jc w:val="right"/>
              <w:rPr>
                <w:color w:val="000000"/>
                <w:sz w:val="20"/>
                <w:szCs w:val="20"/>
              </w:rPr>
            </w:pPr>
            <w:r w:rsidRPr="00023DE3">
              <w:rPr>
                <w:color w:val="000000"/>
                <w:sz w:val="20"/>
                <w:szCs w:val="20"/>
              </w:rPr>
              <w:t>3.58</w:t>
            </w:r>
          </w:p>
        </w:tc>
      </w:tr>
      <w:tr w:rsidRPr="00023DE3" w:rsidR="00EC79FA" w:rsidTr="00CA0B27" w14:paraId="1280497C" w14:textId="77777777">
        <w:trPr>
          <w:trHeight w:val="315"/>
        </w:trPr>
        <w:tc>
          <w:tcPr>
            <w:tcW w:w="6589" w:type="dxa"/>
            <w:tcBorders>
              <w:top w:val="nil"/>
              <w:left w:val="nil"/>
              <w:bottom w:val="nil"/>
              <w:right w:val="nil"/>
            </w:tcBorders>
            <w:shd w:val="clear" w:color="auto" w:fill="auto"/>
            <w:noWrap/>
            <w:vAlign w:val="bottom"/>
            <w:hideMark/>
          </w:tcPr>
          <w:p w:rsidRPr="00023DE3" w:rsidR="00EC79FA" w:rsidP="009E782D" w:rsidRDefault="00EC79FA" w14:paraId="48AD2DF4" w14:textId="556271AA">
            <w:pPr>
              <w:rPr>
                <w:color w:val="000000"/>
                <w:sz w:val="20"/>
                <w:szCs w:val="20"/>
              </w:rPr>
            </w:pPr>
            <w:r w:rsidRPr="00023DE3">
              <w:rPr>
                <w:color w:val="000000"/>
                <w:sz w:val="20"/>
                <w:szCs w:val="20"/>
              </w:rPr>
              <w:t xml:space="preserve">Support the </w:t>
            </w:r>
            <w:r w:rsidRPr="00E357CD">
              <w:rPr>
                <w:i/>
                <w:iCs/>
                <w:color w:val="000000"/>
                <w:sz w:val="20"/>
                <w:szCs w:val="20"/>
              </w:rPr>
              <w:t>LEOKA</w:t>
            </w:r>
            <w:r w:rsidRPr="00023DE3">
              <w:rPr>
                <w:color w:val="000000"/>
                <w:sz w:val="20"/>
                <w:szCs w:val="20"/>
              </w:rPr>
              <w:t xml:space="preserve"> </w:t>
            </w:r>
            <w:r w:rsidR="00E357CD">
              <w:rPr>
                <w:color w:val="000000"/>
                <w:sz w:val="20"/>
                <w:szCs w:val="20"/>
              </w:rPr>
              <w:t>P</w:t>
            </w:r>
            <w:r w:rsidRPr="00023DE3">
              <w:rPr>
                <w:color w:val="000000"/>
                <w:sz w:val="20"/>
                <w:szCs w:val="20"/>
              </w:rPr>
              <w:t>ublication</w:t>
            </w:r>
          </w:p>
        </w:tc>
        <w:tc>
          <w:tcPr>
            <w:tcW w:w="1511" w:type="dxa"/>
            <w:tcBorders>
              <w:top w:val="nil"/>
              <w:left w:val="nil"/>
              <w:bottom w:val="nil"/>
              <w:right w:val="nil"/>
            </w:tcBorders>
            <w:shd w:val="clear" w:color="auto" w:fill="auto"/>
            <w:noWrap/>
            <w:vAlign w:val="bottom"/>
            <w:hideMark/>
          </w:tcPr>
          <w:p w:rsidRPr="00023DE3" w:rsidR="00EC79FA" w:rsidP="009E782D" w:rsidRDefault="00EC79FA" w14:paraId="36C8C4D4" w14:textId="77777777">
            <w:pPr>
              <w:rPr>
                <w:color w:val="000000"/>
                <w:sz w:val="20"/>
                <w:szCs w:val="20"/>
              </w:rPr>
            </w:pPr>
            <w:r w:rsidRPr="00023DE3">
              <w:rPr>
                <w:color w:val="000000"/>
                <w:sz w:val="20"/>
                <w:szCs w:val="20"/>
              </w:rPr>
              <w:t xml:space="preserve"> $    422,069.73 </w:t>
            </w:r>
          </w:p>
        </w:tc>
        <w:tc>
          <w:tcPr>
            <w:tcW w:w="2070" w:type="dxa"/>
            <w:gridSpan w:val="2"/>
            <w:tcBorders>
              <w:top w:val="nil"/>
              <w:left w:val="nil"/>
              <w:bottom w:val="nil"/>
              <w:right w:val="nil"/>
            </w:tcBorders>
            <w:shd w:val="clear" w:color="auto" w:fill="auto"/>
            <w:noWrap/>
            <w:vAlign w:val="bottom"/>
            <w:hideMark/>
          </w:tcPr>
          <w:p w:rsidRPr="00023DE3" w:rsidR="00EC79FA" w:rsidP="009E782D" w:rsidRDefault="00EC79FA" w14:paraId="4F33D507" w14:textId="77777777">
            <w:pPr>
              <w:jc w:val="right"/>
              <w:rPr>
                <w:color w:val="000000"/>
                <w:sz w:val="20"/>
                <w:szCs w:val="20"/>
              </w:rPr>
            </w:pPr>
            <w:r w:rsidRPr="00023DE3">
              <w:rPr>
                <w:color w:val="000000"/>
                <w:sz w:val="20"/>
                <w:szCs w:val="20"/>
              </w:rPr>
              <w:t>3.49</w:t>
            </w:r>
          </w:p>
        </w:tc>
      </w:tr>
      <w:tr w:rsidRPr="00023DE3" w:rsidR="00EC79FA" w:rsidTr="00CA0B27" w14:paraId="5E9E9209" w14:textId="77777777">
        <w:trPr>
          <w:trHeight w:val="315"/>
        </w:trPr>
        <w:tc>
          <w:tcPr>
            <w:tcW w:w="6589" w:type="dxa"/>
            <w:tcBorders>
              <w:top w:val="nil"/>
              <w:left w:val="nil"/>
              <w:bottom w:val="single" w:color="auto" w:sz="4" w:space="0"/>
              <w:right w:val="nil"/>
            </w:tcBorders>
            <w:shd w:val="clear" w:color="auto" w:fill="auto"/>
            <w:noWrap/>
            <w:vAlign w:val="bottom"/>
            <w:hideMark/>
          </w:tcPr>
          <w:p w:rsidRPr="00023DE3" w:rsidR="00EC79FA" w:rsidP="009E782D" w:rsidRDefault="00EC79FA" w14:paraId="5E8FC8A7" w14:textId="22804BCC">
            <w:pPr>
              <w:rPr>
                <w:color w:val="000000"/>
                <w:sz w:val="20"/>
                <w:szCs w:val="20"/>
              </w:rPr>
            </w:pPr>
            <w:r w:rsidRPr="00023DE3">
              <w:rPr>
                <w:color w:val="000000"/>
                <w:sz w:val="20"/>
                <w:szCs w:val="20"/>
              </w:rPr>
              <w:t>Support the National Use-of-Forc</w:t>
            </w:r>
            <w:r w:rsidR="00E86FFC">
              <w:rPr>
                <w:color w:val="000000"/>
                <w:sz w:val="20"/>
                <w:szCs w:val="20"/>
              </w:rPr>
              <w:t>e</w:t>
            </w:r>
            <w:r w:rsidRPr="00023DE3">
              <w:rPr>
                <w:color w:val="000000"/>
                <w:sz w:val="20"/>
                <w:szCs w:val="20"/>
              </w:rPr>
              <w:t xml:space="preserve"> Data Collection</w:t>
            </w:r>
          </w:p>
        </w:tc>
        <w:tc>
          <w:tcPr>
            <w:tcW w:w="1511" w:type="dxa"/>
            <w:tcBorders>
              <w:top w:val="nil"/>
              <w:left w:val="nil"/>
              <w:bottom w:val="single" w:color="auto" w:sz="4" w:space="0"/>
              <w:right w:val="nil"/>
            </w:tcBorders>
            <w:shd w:val="clear" w:color="auto" w:fill="auto"/>
            <w:noWrap/>
            <w:vAlign w:val="bottom"/>
            <w:hideMark/>
          </w:tcPr>
          <w:p w:rsidRPr="00023DE3" w:rsidR="00EC79FA" w:rsidP="009E782D" w:rsidRDefault="00EC79FA" w14:paraId="4D1187C2" w14:textId="77777777">
            <w:pPr>
              <w:rPr>
                <w:color w:val="000000"/>
                <w:sz w:val="20"/>
                <w:szCs w:val="20"/>
              </w:rPr>
            </w:pPr>
            <w:r w:rsidRPr="00023DE3">
              <w:rPr>
                <w:color w:val="000000"/>
                <w:sz w:val="20"/>
                <w:szCs w:val="20"/>
              </w:rPr>
              <w:t xml:space="preserve"> $    176,977.21 </w:t>
            </w:r>
          </w:p>
        </w:tc>
        <w:tc>
          <w:tcPr>
            <w:tcW w:w="2070" w:type="dxa"/>
            <w:gridSpan w:val="2"/>
            <w:tcBorders>
              <w:top w:val="nil"/>
              <w:left w:val="nil"/>
              <w:bottom w:val="single" w:color="auto" w:sz="4" w:space="0"/>
              <w:right w:val="nil"/>
            </w:tcBorders>
            <w:shd w:val="clear" w:color="auto" w:fill="auto"/>
            <w:noWrap/>
            <w:vAlign w:val="bottom"/>
            <w:hideMark/>
          </w:tcPr>
          <w:p w:rsidRPr="00023DE3" w:rsidR="00EC79FA" w:rsidP="009E782D" w:rsidRDefault="00EC79FA" w14:paraId="3491F631" w14:textId="77777777">
            <w:pPr>
              <w:jc w:val="right"/>
              <w:rPr>
                <w:color w:val="000000"/>
                <w:sz w:val="20"/>
                <w:szCs w:val="20"/>
              </w:rPr>
            </w:pPr>
            <w:r w:rsidRPr="00023DE3">
              <w:rPr>
                <w:color w:val="000000"/>
                <w:sz w:val="20"/>
                <w:szCs w:val="20"/>
              </w:rPr>
              <w:t>1.42</w:t>
            </w:r>
          </w:p>
        </w:tc>
      </w:tr>
      <w:tr w:rsidRPr="00023DE3" w:rsidR="00EC79FA" w:rsidTr="00CA0B27" w14:paraId="262D7B66" w14:textId="77777777">
        <w:trPr>
          <w:trHeight w:val="315"/>
        </w:trPr>
        <w:tc>
          <w:tcPr>
            <w:tcW w:w="6589" w:type="dxa"/>
            <w:tcBorders>
              <w:top w:val="single" w:color="auto" w:sz="4" w:space="0"/>
              <w:left w:val="nil"/>
              <w:bottom w:val="nil"/>
              <w:right w:val="nil"/>
            </w:tcBorders>
            <w:shd w:val="clear" w:color="auto" w:fill="auto"/>
            <w:noWrap/>
            <w:vAlign w:val="center"/>
          </w:tcPr>
          <w:p w:rsidRPr="00023DE3" w:rsidR="00EC79FA" w:rsidP="009E782D" w:rsidRDefault="00EC79FA" w14:paraId="0455541E" w14:textId="77777777">
            <w:pPr>
              <w:rPr>
                <w:color w:val="000000"/>
                <w:sz w:val="20"/>
                <w:szCs w:val="20"/>
              </w:rPr>
            </w:pPr>
            <w:r w:rsidRPr="008841A1">
              <w:rPr>
                <w:b/>
                <w:color w:val="000000" w:themeColor="text1"/>
                <w:sz w:val="20"/>
                <w:szCs w:val="20"/>
              </w:rPr>
              <w:t>Total</w:t>
            </w:r>
          </w:p>
        </w:tc>
        <w:tc>
          <w:tcPr>
            <w:tcW w:w="1511" w:type="dxa"/>
            <w:tcBorders>
              <w:top w:val="single" w:color="auto" w:sz="4" w:space="0"/>
              <w:left w:val="nil"/>
              <w:bottom w:val="nil"/>
              <w:right w:val="nil"/>
            </w:tcBorders>
            <w:shd w:val="clear" w:color="auto" w:fill="auto"/>
            <w:noWrap/>
            <w:vAlign w:val="center"/>
          </w:tcPr>
          <w:p w:rsidRPr="00023DE3" w:rsidR="00EC79FA" w:rsidP="009E782D" w:rsidRDefault="00EC79FA" w14:paraId="5888A524" w14:textId="77777777">
            <w:pPr>
              <w:rPr>
                <w:color w:val="000000"/>
                <w:sz w:val="20"/>
                <w:szCs w:val="20"/>
              </w:rPr>
            </w:pPr>
            <w:r>
              <w:rPr>
                <w:b/>
                <w:color w:val="000000" w:themeColor="text1"/>
                <w:sz w:val="20"/>
                <w:szCs w:val="20"/>
              </w:rPr>
              <w:t xml:space="preserve"> </w:t>
            </w:r>
            <w:r w:rsidRPr="008841A1">
              <w:rPr>
                <w:b/>
                <w:color w:val="000000" w:themeColor="text1"/>
                <w:sz w:val="20"/>
                <w:szCs w:val="20"/>
              </w:rPr>
              <w:t>$</w:t>
            </w:r>
            <w:r>
              <w:rPr>
                <w:b/>
                <w:color w:val="000000" w:themeColor="text1"/>
                <w:sz w:val="20"/>
                <w:szCs w:val="20"/>
              </w:rPr>
              <w:t xml:space="preserve"> 9,115,124.89</w:t>
            </w:r>
          </w:p>
        </w:tc>
        <w:tc>
          <w:tcPr>
            <w:tcW w:w="2070" w:type="dxa"/>
            <w:gridSpan w:val="2"/>
            <w:tcBorders>
              <w:top w:val="single" w:color="auto" w:sz="4" w:space="0"/>
              <w:left w:val="nil"/>
              <w:bottom w:val="nil"/>
              <w:right w:val="nil"/>
            </w:tcBorders>
            <w:shd w:val="clear" w:color="auto" w:fill="auto"/>
            <w:noWrap/>
            <w:vAlign w:val="center"/>
          </w:tcPr>
          <w:p w:rsidRPr="00023DE3" w:rsidR="00EC79FA" w:rsidP="009E782D" w:rsidRDefault="00EC79FA" w14:paraId="0D34304C" w14:textId="77777777">
            <w:pPr>
              <w:jc w:val="right"/>
              <w:rPr>
                <w:color w:val="000000"/>
                <w:sz w:val="20"/>
                <w:szCs w:val="20"/>
              </w:rPr>
            </w:pPr>
            <w:r w:rsidRPr="008841A1">
              <w:rPr>
                <w:b/>
                <w:color w:val="000000" w:themeColor="text1"/>
                <w:sz w:val="20"/>
                <w:szCs w:val="20"/>
              </w:rPr>
              <w:t>6</w:t>
            </w:r>
            <w:r>
              <w:rPr>
                <w:b/>
                <w:color w:val="000000" w:themeColor="text1"/>
                <w:sz w:val="20"/>
                <w:szCs w:val="20"/>
              </w:rPr>
              <w:t>6.38</w:t>
            </w:r>
          </w:p>
        </w:tc>
      </w:tr>
    </w:tbl>
    <w:p w:rsidRPr="00EC79FA" w:rsidR="00B1087D" w:rsidP="00EC79FA" w:rsidRDefault="00B1087D" w14:paraId="561EF37B" w14:textId="032EE54E"/>
    <w:p w:rsidRPr="00A02298" w:rsidR="00CF534E" w:rsidRDefault="00CF534E" w14:paraId="1805A4F3" w14:textId="77777777">
      <w:r w:rsidRPr="00A02298">
        <w:t>15.  Reasons for Change in Burden:</w:t>
      </w:r>
    </w:p>
    <w:p w:rsidRPr="00A02298" w:rsidR="00CF534E" w:rsidRDefault="00CF534E" w14:paraId="2B95C310" w14:textId="77777777"/>
    <w:p w:rsidRPr="006A67DE" w:rsidR="0048246C" w:rsidP="006A67DE" w:rsidRDefault="0048246C" w14:paraId="2B690CEA" w14:textId="71371783">
      <w:r w:rsidRPr="006A67DE">
        <w:t>Not applicable.</w:t>
      </w:r>
      <w:r w:rsidRPr="006A67DE" w:rsidR="00843AAF">
        <w:t xml:space="preserve">  This is a new </w:t>
      </w:r>
      <w:r w:rsidRPr="006A67DE" w:rsidR="00EB3F0F">
        <w:t>program.</w:t>
      </w:r>
    </w:p>
    <w:p w:rsidRPr="00A02298" w:rsidR="00CF534E" w:rsidRDefault="00CF534E" w14:paraId="78212726" w14:textId="77777777"/>
    <w:p w:rsidR="48FF4D46" w:rsidRDefault="00CF534E" w14:paraId="2AE7DB36" w14:textId="192ABC6E">
      <w:r>
        <w:lastRenderedPageBreak/>
        <w:t>16.  Plans for Publication:</w:t>
      </w:r>
    </w:p>
    <w:p w:rsidR="00554598" w:rsidRDefault="00554598" w14:paraId="178B7645" w14:textId="0A02FCAC"/>
    <w:p w:rsidR="00554598" w:rsidRDefault="00DC3C55" w14:paraId="2FA3FBFF" w14:textId="52EB3D6F">
      <w:r>
        <w:t xml:space="preserve">The </w:t>
      </w:r>
      <w:r w:rsidRPr="00DC3C55">
        <w:rPr>
          <w:i/>
          <w:iCs/>
        </w:rPr>
        <w:t>LESDCA</w:t>
      </w:r>
      <w:r>
        <w:rPr>
          <w:i/>
          <w:iCs/>
        </w:rPr>
        <w:t xml:space="preserve"> </w:t>
      </w:r>
      <w:r>
        <w:t xml:space="preserve">requires that LESDC </w:t>
      </w:r>
      <w:r w:rsidR="00C46E95">
        <w:t>information</w:t>
      </w:r>
      <w:r>
        <w:t xml:space="preserve"> be </w:t>
      </w:r>
      <w:r w:rsidR="00C46E95">
        <w:t xml:space="preserve">provided </w:t>
      </w:r>
      <w:r w:rsidR="0058468F">
        <w:t xml:space="preserve">via a report </w:t>
      </w:r>
      <w:r w:rsidR="00C46E95">
        <w:t xml:space="preserve">to </w:t>
      </w:r>
      <w:r w:rsidR="005C4CB9">
        <w:t>C</w:t>
      </w:r>
      <w:r w:rsidR="00C46E95">
        <w:t>ongress</w:t>
      </w:r>
      <w:r>
        <w:t xml:space="preserve"> at an annual cadence</w:t>
      </w:r>
      <w:r w:rsidR="00EE4BB1">
        <w:t xml:space="preserve"> and made available for public consumption.  For the first year of collection,</w:t>
      </w:r>
      <w:r w:rsidR="00CD06AE">
        <w:t xml:space="preserve"> available </w:t>
      </w:r>
      <w:r w:rsidR="00BB73A3">
        <w:t xml:space="preserve">information </w:t>
      </w:r>
      <w:r w:rsidR="00CD06AE">
        <w:t xml:space="preserve">must be </w:t>
      </w:r>
      <w:r w:rsidR="00635815">
        <w:t xml:space="preserve">provided to Congress </w:t>
      </w:r>
      <w:r w:rsidR="0011698F">
        <w:t>on</w:t>
      </w:r>
      <w:r w:rsidR="00635815">
        <w:t xml:space="preserve"> June 16, 2022.</w:t>
      </w:r>
      <w:r w:rsidR="00BB73A3">
        <w:t xml:space="preserve"> </w:t>
      </w:r>
      <w:r w:rsidR="00635815">
        <w:t xml:space="preserve"> After this report, </w:t>
      </w:r>
      <w:r w:rsidR="008D0BE4">
        <w:t xml:space="preserve">LESDC </w:t>
      </w:r>
      <w:r w:rsidR="00BB73A3">
        <w:t>information m</w:t>
      </w:r>
      <w:r w:rsidR="008D0BE4">
        <w:t xml:space="preserve">ust be provided in an </w:t>
      </w:r>
      <w:r w:rsidR="00C3466B">
        <w:t>annual report for each subsequent year</w:t>
      </w:r>
      <w:r w:rsidR="008D0BE4">
        <w:t>.</w:t>
      </w:r>
      <w:r w:rsidR="006B1A68">
        <w:t xml:space="preserve">  The FBI UCR Program</w:t>
      </w:r>
      <w:r w:rsidR="00686730">
        <w:t xml:space="preserve"> plans to publish an annual report of information</w:t>
      </w:r>
      <w:r w:rsidR="00BB73A3">
        <w:t xml:space="preserve"> f</w:t>
      </w:r>
      <w:r w:rsidR="0011698F">
        <w:t xml:space="preserve">rom </w:t>
      </w:r>
      <w:r w:rsidR="00BB73A3">
        <w:t>a</w:t>
      </w:r>
      <w:r w:rsidR="0011698F">
        <w:t xml:space="preserve"> given year during the following calendar year.</w:t>
      </w:r>
    </w:p>
    <w:p w:rsidR="00464CAE" w:rsidRDefault="00464CAE" w14:paraId="2FCC3F12" w14:textId="499C571A"/>
    <w:p w:rsidR="000134C8" w:rsidP="2A4A7109" w:rsidRDefault="009475B6" w14:paraId="58CE3AD9" w14:textId="61491265">
      <w:r>
        <w:t xml:space="preserve">Due to the expanded scope and the nontraditional definitions provided by the </w:t>
      </w:r>
      <w:r w:rsidRPr="006B1A68">
        <w:rPr>
          <w:i/>
          <w:iCs/>
        </w:rPr>
        <w:t>LESDCA</w:t>
      </w:r>
      <w:r>
        <w:t>, the scope of the LESDC consists of agencies not normally counted among LEAs</w:t>
      </w:r>
      <w:r w:rsidR="00C3466B">
        <w:t xml:space="preserve"> by the FBI UCR Program</w:t>
      </w:r>
      <w:r>
        <w:t xml:space="preserve">. </w:t>
      </w:r>
      <w:r w:rsidR="0011698F">
        <w:t xml:space="preserve"> </w:t>
      </w:r>
      <w:r>
        <w:t xml:space="preserve">This has presented a challenge in accurately measuring the </w:t>
      </w:r>
      <w:r w:rsidR="00520DC2">
        <w:t xml:space="preserve">total </w:t>
      </w:r>
      <w:r>
        <w:t xml:space="preserve">population of potential agencies </w:t>
      </w:r>
      <w:r w:rsidR="00520DC2">
        <w:t>and participation percentage</w:t>
      </w:r>
      <w:r w:rsidR="00C3466B">
        <w:t xml:space="preserve">.  To allow for adequate time </w:t>
      </w:r>
      <w:r w:rsidR="00CB069C">
        <w:t xml:space="preserve">to evaluate reported data and ensure proper interpretation of LESDC data, the FBI UCR Program </w:t>
      </w:r>
      <w:r w:rsidR="00966D09">
        <w:t>plans to represent LESDC publications a</w:t>
      </w:r>
      <w:r w:rsidR="00520DC2">
        <w:t>s</w:t>
      </w:r>
      <w:r w:rsidR="00966D09">
        <w:t xml:space="preserve"> simple reports of submitted </w:t>
      </w:r>
      <w:r w:rsidR="00686730">
        <w:t>information</w:t>
      </w:r>
      <w:r w:rsidR="00966D09">
        <w:t xml:space="preserve"> and not as statistical findings </w:t>
      </w:r>
      <w:r w:rsidR="008B4929">
        <w:t>that are representative of the population.</w:t>
      </w:r>
      <w:r w:rsidR="00995828">
        <w:t xml:space="preserve">  </w:t>
      </w:r>
      <w:r w:rsidR="00BB73A3">
        <w:t>Information</w:t>
      </w:r>
      <w:r w:rsidRPr="00BB73A3" w:rsidR="00995828">
        <w:t xml:space="preserve"> collected </w:t>
      </w:r>
      <w:r w:rsidRPr="00BB73A3" w:rsidR="00507E1F">
        <w:t xml:space="preserve">as part of the LESDC will </w:t>
      </w:r>
      <w:r w:rsidRPr="00BB73A3" w:rsidR="00A37CC4">
        <w:t xml:space="preserve">be published </w:t>
      </w:r>
      <w:r w:rsidRPr="00BB73A3" w:rsidR="00A30DBF">
        <w:t>on traditional UCR platforms, such as the CDE.</w:t>
      </w:r>
      <w:r w:rsidRPr="00BB73A3" w:rsidR="0011698F">
        <w:t xml:space="preserve"> </w:t>
      </w:r>
      <w:r w:rsidR="00BB73A3">
        <w:t xml:space="preserve"> However, the FBI UCR program will provide extensive messaging on the CDE to ensure proper interpretation of LESDC information as nonstatistical reporting. </w:t>
      </w:r>
      <w:r w:rsidRPr="00BB73A3" w:rsidR="00A30DBF">
        <w:t xml:space="preserve"> This will help differentiate </w:t>
      </w:r>
      <w:r w:rsidRPr="00BB73A3" w:rsidR="00A230D4">
        <w:t xml:space="preserve">between </w:t>
      </w:r>
      <w:r w:rsidRPr="00BB73A3" w:rsidR="00AF4441">
        <w:t>UCR</w:t>
      </w:r>
      <w:r w:rsidRPr="00BB73A3" w:rsidR="00A230D4">
        <w:t xml:space="preserve"> </w:t>
      </w:r>
      <w:r w:rsidRPr="00BB73A3" w:rsidR="00AF4441">
        <w:t>statistical</w:t>
      </w:r>
      <w:r w:rsidRPr="00BB73A3" w:rsidR="00A230D4">
        <w:t xml:space="preserve"> </w:t>
      </w:r>
      <w:r w:rsidRPr="00BB73A3" w:rsidR="00AF4441">
        <w:t xml:space="preserve">data </w:t>
      </w:r>
      <w:r w:rsidRPr="00BB73A3" w:rsidR="00A230D4">
        <w:t xml:space="preserve">collection </w:t>
      </w:r>
      <w:r w:rsidRPr="00BB73A3" w:rsidR="00AF4441">
        <w:t xml:space="preserve">and </w:t>
      </w:r>
      <w:r w:rsidRPr="00BB73A3" w:rsidR="000134C8">
        <w:t>publications</w:t>
      </w:r>
      <w:r w:rsidRPr="00BB73A3" w:rsidR="00AF4441">
        <w:t xml:space="preserve"> and the LESDC</w:t>
      </w:r>
      <w:r w:rsidR="00BB73A3">
        <w:t xml:space="preserve"> on the CDE</w:t>
      </w:r>
      <w:r w:rsidRPr="00BB73A3" w:rsidR="00AF4441">
        <w:t>.</w:t>
      </w:r>
    </w:p>
    <w:p w:rsidR="000134C8" w:rsidP="2A4A7109" w:rsidRDefault="000134C8" w14:paraId="76E04D54" w14:textId="77777777"/>
    <w:p w:rsidR="48FF4D46" w:rsidP="2A4A7109" w:rsidRDefault="000134C8" w14:paraId="1BD16A94" w14:textId="44F8CACC">
      <w:r>
        <w:t xml:space="preserve">Evaluation of participation and population coverage will be </w:t>
      </w:r>
      <w:r w:rsidR="00F06638">
        <w:t xml:space="preserve">an area of research </w:t>
      </w:r>
      <w:r w:rsidR="00B57853">
        <w:t>and analysis for the future of the LESDC.</w:t>
      </w:r>
      <w:r w:rsidR="004A6227">
        <w:t xml:space="preserve"> </w:t>
      </w:r>
      <w:r w:rsidR="00B57853">
        <w:t xml:space="preserve"> </w:t>
      </w:r>
      <w:r w:rsidR="00911F9B">
        <w:t>Th</w:t>
      </w:r>
      <w:r w:rsidR="0011698F">
        <w:t>e</w:t>
      </w:r>
      <w:r w:rsidR="00911F9B">
        <w:t xml:space="preserve"> need for a study focused on the total population coverage and potential nonresponse will be evaluated after </w:t>
      </w:r>
      <w:r w:rsidR="00296857">
        <w:t xml:space="preserve">sufficient data has been collected to provide a clearer picture of the available data that exists </w:t>
      </w:r>
      <w:r w:rsidR="00112B36">
        <w:t>within the LESDC scope.</w:t>
      </w:r>
      <w:r w:rsidR="001C69C9">
        <w:br/>
      </w:r>
    </w:p>
    <w:p w:rsidR="00CF534E" w:rsidRDefault="00CF534E" w14:paraId="2703AAAE" w14:textId="75B41B92">
      <w:r w:rsidRPr="00A02298">
        <w:t>17.  Expiration Date Approval:</w:t>
      </w:r>
    </w:p>
    <w:p w:rsidR="00EB3F0F" w:rsidRDefault="00EB3F0F" w14:paraId="1992B8DC" w14:textId="2CCA9D79"/>
    <w:p w:rsidRPr="00A02298" w:rsidR="00EB3F0F" w:rsidP="006A67DE" w:rsidRDefault="00EB3F0F" w14:paraId="740804B8" w14:textId="01E8EEB9">
      <w:r w:rsidRPr="00A02298">
        <w:t xml:space="preserve">The FBI does not want to display the expiration date for OMB approval of the information collection due to </w:t>
      </w:r>
      <w:r>
        <w:t>the mode of data</w:t>
      </w:r>
      <w:r w:rsidRPr="00A02298">
        <w:t xml:space="preserve"> collection</w:t>
      </w:r>
      <w:r>
        <w:t xml:space="preserve">.  The LESDC will be collected via </w:t>
      </w:r>
      <w:r w:rsidR="0099465D">
        <w:t>w</w:t>
      </w:r>
      <w:r>
        <w:t>eb form available on</w:t>
      </w:r>
      <w:r w:rsidR="001D6D0D">
        <w:t xml:space="preserve"> </w:t>
      </w:r>
      <w:r w:rsidR="0004710C">
        <w:t>COLECT through</w:t>
      </w:r>
      <w:r>
        <w:t xml:space="preserve"> the restricted-access LEEP.  To keep an expiration date current would require programming changes on the </w:t>
      </w:r>
      <w:r w:rsidR="00A26EAF">
        <w:t>w</w:t>
      </w:r>
      <w:r>
        <w:t>eb form.</w:t>
      </w:r>
    </w:p>
    <w:p w:rsidRPr="00A02298" w:rsidR="00CF534E" w:rsidRDefault="00CF534E" w14:paraId="52B79978" w14:textId="77777777"/>
    <w:p w:rsidRPr="00A02298" w:rsidR="00CF534E" w:rsidRDefault="00CF534E" w14:paraId="29B7B5CD" w14:textId="77777777">
      <w:r w:rsidRPr="00A02298">
        <w:t>18.  Exceptions to the Certification Statement:</w:t>
      </w:r>
      <w:r w:rsidR="00B1087D">
        <w:t xml:space="preserve">  </w:t>
      </w:r>
      <w:r w:rsidR="003D5912">
        <w:br/>
      </w:r>
    </w:p>
    <w:p w:rsidRPr="0090727C" w:rsidR="0090727C" w:rsidP="00EA0FC4" w:rsidRDefault="003D5912" w14:paraId="6BE7F01D" w14:textId="33FB7BBB">
      <w:r>
        <w:t>Not applic</w:t>
      </w:r>
      <w:r w:rsidR="00DC3C55">
        <w:t>abl</w:t>
      </w:r>
      <w:r w:rsidR="006A2A92">
        <w:t>e</w:t>
      </w:r>
    </w:p>
    <w:sectPr w:rsidRPr="0090727C" w:rsidR="0090727C" w:rsidSect="004A61B8">
      <w:footerReference w:type="default" r:id="rId12"/>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7D98" w14:textId="77777777" w:rsidR="000F7981" w:rsidRDefault="000F7981" w:rsidP="00CF534E">
      <w:r>
        <w:separator/>
      </w:r>
    </w:p>
  </w:endnote>
  <w:endnote w:type="continuationSeparator" w:id="0">
    <w:p w14:paraId="7447F87E" w14:textId="77777777" w:rsidR="000F7981" w:rsidRDefault="000F7981" w:rsidP="00CF534E">
      <w:r>
        <w:continuationSeparator/>
      </w:r>
    </w:p>
  </w:endnote>
  <w:endnote w:type="continuationNotice" w:id="1">
    <w:p w14:paraId="27F79B4C" w14:textId="77777777" w:rsidR="000F7981" w:rsidRDefault="000F7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anna MT">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342690887"/>
      <w:docPartObj>
        <w:docPartGallery w:val="Page Numbers (Bottom of Page)"/>
        <w:docPartUnique/>
      </w:docPartObj>
    </w:sdtPr>
    <w:sdtEndPr>
      <w:rPr>
        <w:noProof/>
      </w:rPr>
    </w:sdtEndPr>
    <w:sdtContent>
      <w:p w14:paraId="6AA258D8" w14:textId="0E3AE383" w:rsidR="001F2915" w:rsidRPr="00E433A7" w:rsidRDefault="00801C4D" w:rsidP="00801C4D">
        <w:pPr>
          <w:pStyle w:val="Footer"/>
          <w:rPr>
            <w:rFonts w:ascii="Times New Roman" w:hAnsi="Times New Roman"/>
            <w:noProof/>
            <w:sz w:val="24"/>
            <w:szCs w:val="24"/>
          </w:rPr>
        </w:pPr>
        <w:r w:rsidRPr="00E433A7">
          <w:rPr>
            <w:rFonts w:ascii="Times New Roman" w:hAnsi="Times New Roman"/>
            <w:sz w:val="24"/>
            <w:szCs w:val="24"/>
          </w:rPr>
          <w:tab/>
        </w:r>
        <w:r w:rsidRPr="00E433A7">
          <w:rPr>
            <w:rFonts w:ascii="Times New Roman" w:hAnsi="Times New Roman"/>
            <w:sz w:val="24"/>
            <w:szCs w:val="24"/>
          </w:rPr>
          <w:fldChar w:fldCharType="begin"/>
        </w:r>
        <w:r w:rsidRPr="00E433A7">
          <w:rPr>
            <w:rFonts w:ascii="Times New Roman" w:hAnsi="Times New Roman"/>
            <w:sz w:val="24"/>
            <w:szCs w:val="24"/>
          </w:rPr>
          <w:instrText xml:space="preserve"> PAGE   \* MERGEFORMAT </w:instrText>
        </w:r>
        <w:r w:rsidRPr="00E433A7">
          <w:rPr>
            <w:rFonts w:ascii="Times New Roman" w:hAnsi="Times New Roman"/>
            <w:sz w:val="24"/>
            <w:szCs w:val="24"/>
          </w:rPr>
          <w:fldChar w:fldCharType="separate"/>
        </w:r>
        <w:r w:rsidR="00B00087">
          <w:rPr>
            <w:rFonts w:ascii="Times New Roman" w:hAnsi="Times New Roman"/>
            <w:noProof/>
            <w:sz w:val="24"/>
            <w:szCs w:val="24"/>
          </w:rPr>
          <w:t>10</w:t>
        </w:r>
        <w:r w:rsidRPr="00E433A7">
          <w:rPr>
            <w:rFonts w:ascii="Times New Roman" w:hAnsi="Times New Roman"/>
            <w:noProof/>
            <w:sz w:val="24"/>
            <w:szCs w:val="24"/>
          </w:rPr>
          <w:fldChar w:fldCharType="end"/>
        </w:r>
        <w:r w:rsidRPr="00E433A7">
          <w:rPr>
            <w:rFonts w:ascii="Times New Roman" w:hAnsi="Times New Roman"/>
            <w:noProof/>
            <w:sz w:val="24"/>
            <w:szCs w:val="24"/>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70CE" w14:textId="44D0E2E6" w:rsidR="001F2915" w:rsidRPr="006A2A92" w:rsidRDefault="001F2915" w:rsidP="006A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7D14" w14:textId="77777777" w:rsidR="000F7981" w:rsidRDefault="000F7981" w:rsidP="00CF534E">
      <w:r>
        <w:separator/>
      </w:r>
    </w:p>
  </w:footnote>
  <w:footnote w:type="continuationSeparator" w:id="0">
    <w:p w14:paraId="5394A174" w14:textId="77777777" w:rsidR="000F7981" w:rsidRDefault="000F7981" w:rsidP="00CF534E">
      <w:r>
        <w:continuationSeparator/>
      </w:r>
    </w:p>
  </w:footnote>
  <w:footnote w:type="continuationNotice" w:id="1">
    <w:p w14:paraId="6DFD6A25" w14:textId="77777777" w:rsidR="000F7981" w:rsidRDefault="000F79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912"/>
    <w:multiLevelType w:val="hybridMultilevel"/>
    <w:tmpl w:val="6962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1201"/>
    <w:multiLevelType w:val="hybridMultilevel"/>
    <w:tmpl w:val="E1C27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E56F14"/>
    <w:multiLevelType w:val="hybridMultilevel"/>
    <w:tmpl w:val="1FFECBEC"/>
    <w:lvl w:ilvl="0" w:tplc="BAC8FA04">
      <w:start w:val="1"/>
      <w:numFmt w:val="bullet"/>
      <w:lvlText w:val=""/>
      <w:lvlJc w:val="left"/>
      <w:pPr>
        <w:ind w:left="720" w:hanging="360"/>
      </w:pPr>
      <w:rPr>
        <w:rFonts w:ascii="Symbol" w:hAnsi="Symbol" w:hint="default"/>
      </w:rPr>
    </w:lvl>
    <w:lvl w:ilvl="1" w:tplc="F490C89C">
      <w:start w:val="1"/>
      <w:numFmt w:val="bullet"/>
      <w:lvlText w:val="o"/>
      <w:lvlJc w:val="left"/>
      <w:pPr>
        <w:ind w:left="1440" w:hanging="360"/>
      </w:pPr>
      <w:rPr>
        <w:rFonts w:ascii="Courier New" w:hAnsi="Courier New" w:hint="default"/>
      </w:rPr>
    </w:lvl>
    <w:lvl w:ilvl="2" w:tplc="C5AE2424">
      <w:start w:val="1"/>
      <w:numFmt w:val="bullet"/>
      <w:lvlText w:val=""/>
      <w:lvlJc w:val="left"/>
      <w:pPr>
        <w:ind w:left="2160" w:hanging="360"/>
      </w:pPr>
      <w:rPr>
        <w:rFonts w:ascii="Wingdings" w:hAnsi="Wingdings" w:hint="default"/>
      </w:rPr>
    </w:lvl>
    <w:lvl w:ilvl="3" w:tplc="F93295F8">
      <w:start w:val="1"/>
      <w:numFmt w:val="bullet"/>
      <w:lvlText w:val=""/>
      <w:lvlJc w:val="left"/>
      <w:pPr>
        <w:ind w:left="2880" w:hanging="360"/>
      </w:pPr>
      <w:rPr>
        <w:rFonts w:ascii="Symbol" w:hAnsi="Symbol" w:hint="default"/>
      </w:rPr>
    </w:lvl>
    <w:lvl w:ilvl="4" w:tplc="E7D21A4C">
      <w:start w:val="1"/>
      <w:numFmt w:val="bullet"/>
      <w:lvlText w:val="o"/>
      <w:lvlJc w:val="left"/>
      <w:pPr>
        <w:ind w:left="3600" w:hanging="360"/>
      </w:pPr>
      <w:rPr>
        <w:rFonts w:ascii="Courier New" w:hAnsi="Courier New" w:hint="default"/>
      </w:rPr>
    </w:lvl>
    <w:lvl w:ilvl="5" w:tplc="5B621CDC">
      <w:start w:val="1"/>
      <w:numFmt w:val="bullet"/>
      <w:lvlText w:val=""/>
      <w:lvlJc w:val="left"/>
      <w:pPr>
        <w:ind w:left="4320" w:hanging="360"/>
      </w:pPr>
      <w:rPr>
        <w:rFonts w:ascii="Wingdings" w:hAnsi="Wingdings" w:hint="default"/>
      </w:rPr>
    </w:lvl>
    <w:lvl w:ilvl="6" w:tplc="8116BE74">
      <w:start w:val="1"/>
      <w:numFmt w:val="bullet"/>
      <w:lvlText w:val=""/>
      <w:lvlJc w:val="left"/>
      <w:pPr>
        <w:ind w:left="5040" w:hanging="360"/>
      </w:pPr>
      <w:rPr>
        <w:rFonts w:ascii="Symbol" w:hAnsi="Symbol" w:hint="default"/>
      </w:rPr>
    </w:lvl>
    <w:lvl w:ilvl="7" w:tplc="23CE1776">
      <w:start w:val="1"/>
      <w:numFmt w:val="bullet"/>
      <w:lvlText w:val="o"/>
      <w:lvlJc w:val="left"/>
      <w:pPr>
        <w:ind w:left="5760" w:hanging="360"/>
      </w:pPr>
      <w:rPr>
        <w:rFonts w:ascii="Courier New" w:hAnsi="Courier New" w:hint="default"/>
      </w:rPr>
    </w:lvl>
    <w:lvl w:ilvl="8" w:tplc="56D46188">
      <w:start w:val="1"/>
      <w:numFmt w:val="bullet"/>
      <w:lvlText w:val=""/>
      <w:lvlJc w:val="left"/>
      <w:pPr>
        <w:ind w:left="6480" w:hanging="360"/>
      </w:pPr>
      <w:rPr>
        <w:rFonts w:ascii="Wingdings" w:hAnsi="Wingdings" w:hint="default"/>
      </w:rPr>
    </w:lvl>
  </w:abstractNum>
  <w:abstractNum w:abstractNumId="3" w15:restartNumberingAfterBreak="0">
    <w:nsid w:val="26844C16"/>
    <w:multiLevelType w:val="hybridMultilevel"/>
    <w:tmpl w:val="7E6A1E52"/>
    <w:lvl w:ilvl="0" w:tplc="7AF8E3D0">
      <w:start w:val="1"/>
      <w:numFmt w:val="decimal"/>
      <w:lvlText w:val="%1."/>
      <w:lvlJc w:val="left"/>
      <w:pPr>
        <w:ind w:left="720" w:hanging="360"/>
      </w:pPr>
    </w:lvl>
    <w:lvl w:ilvl="1" w:tplc="430233EA">
      <w:start w:val="1"/>
      <w:numFmt w:val="lowerLetter"/>
      <w:lvlText w:val="%2."/>
      <w:lvlJc w:val="left"/>
      <w:pPr>
        <w:ind w:left="1440" w:hanging="360"/>
      </w:pPr>
    </w:lvl>
    <w:lvl w:ilvl="2" w:tplc="04D0F6AA">
      <w:start w:val="1"/>
      <w:numFmt w:val="lowerRoman"/>
      <w:lvlText w:val="%3."/>
      <w:lvlJc w:val="right"/>
      <w:pPr>
        <w:ind w:left="2160" w:hanging="180"/>
      </w:pPr>
    </w:lvl>
    <w:lvl w:ilvl="3" w:tplc="86C80610">
      <w:start w:val="1"/>
      <w:numFmt w:val="decimal"/>
      <w:lvlText w:val="%4."/>
      <w:lvlJc w:val="left"/>
      <w:pPr>
        <w:ind w:left="2880" w:hanging="360"/>
      </w:pPr>
    </w:lvl>
    <w:lvl w:ilvl="4" w:tplc="FF18EAF8">
      <w:start w:val="1"/>
      <w:numFmt w:val="lowerLetter"/>
      <w:lvlText w:val="%5."/>
      <w:lvlJc w:val="left"/>
      <w:pPr>
        <w:ind w:left="3600" w:hanging="360"/>
      </w:pPr>
    </w:lvl>
    <w:lvl w:ilvl="5" w:tplc="BB5E8328">
      <w:start w:val="1"/>
      <w:numFmt w:val="lowerRoman"/>
      <w:lvlText w:val="%6."/>
      <w:lvlJc w:val="right"/>
      <w:pPr>
        <w:ind w:left="4320" w:hanging="180"/>
      </w:pPr>
    </w:lvl>
    <w:lvl w:ilvl="6" w:tplc="173250A2">
      <w:start w:val="1"/>
      <w:numFmt w:val="decimal"/>
      <w:lvlText w:val="%7."/>
      <w:lvlJc w:val="left"/>
      <w:pPr>
        <w:ind w:left="5040" w:hanging="360"/>
      </w:pPr>
    </w:lvl>
    <w:lvl w:ilvl="7" w:tplc="D51C2FD4">
      <w:start w:val="1"/>
      <w:numFmt w:val="lowerLetter"/>
      <w:lvlText w:val="%8."/>
      <w:lvlJc w:val="left"/>
      <w:pPr>
        <w:ind w:left="5760" w:hanging="360"/>
      </w:pPr>
    </w:lvl>
    <w:lvl w:ilvl="8" w:tplc="2BE41724">
      <w:start w:val="1"/>
      <w:numFmt w:val="lowerRoman"/>
      <w:lvlText w:val="%9."/>
      <w:lvlJc w:val="right"/>
      <w:pPr>
        <w:ind w:left="6480" w:hanging="180"/>
      </w:pPr>
    </w:lvl>
  </w:abstractNum>
  <w:abstractNum w:abstractNumId="4" w15:restartNumberingAfterBreak="0">
    <w:nsid w:val="2C2B249F"/>
    <w:multiLevelType w:val="hybridMultilevel"/>
    <w:tmpl w:val="622A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26A9B"/>
    <w:multiLevelType w:val="hybridMultilevel"/>
    <w:tmpl w:val="2BDE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84BA1"/>
    <w:multiLevelType w:val="hybridMultilevel"/>
    <w:tmpl w:val="60D8B07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8C219E"/>
    <w:multiLevelType w:val="hybridMultilevel"/>
    <w:tmpl w:val="4BF2D292"/>
    <w:lvl w:ilvl="0" w:tplc="DC30E1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D36CF"/>
    <w:multiLevelType w:val="hybridMultilevel"/>
    <w:tmpl w:val="D47088BA"/>
    <w:lvl w:ilvl="0" w:tplc="8A9C1CDC">
      <w:numFmt w:val="bullet"/>
      <w:lvlText w:val="•"/>
      <w:lvlJc w:val="left"/>
      <w:pPr>
        <w:ind w:left="1800" w:hanging="72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8116E7"/>
    <w:multiLevelType w:val="hybridMultilevel"/>
    <w:tmpl w:val="634CBF74"/>
    <w:lvl w:ilvl="0" w:tplc="BAF4AF40">
      <w:start w:val="1"/>
      <w:numFmt w:val="decimal"/>
      <w:lvlText w:val="%1)"/>
      <w:lvlJc w:val="left"/>
      <w:pPr>
        <w:ind w:left="720" w:hanging="360"/>
      </w:pPr>
    </w:lvl>
    <w:lvl w:ilvl="1" w:tplc="5A2827AA">
      <w:start w:val="1"/>
      <w:numFmt w:val="upperLetter"/>
      <w:lvlText w:val="%2."/>
      <w:lvlJc w:val="left"/>
      <w:pPr>
        <w:ind w:left="1440" w:hanging="360"/>
      </w:pPr>
      <w:rPr>
        <w:rFonts w:ascii="Times New Roman" w:eastAsia="Times New Roman" w:hAnsi="Times New Roman" w:cs="Times New Roman"/>
        <w:sz w:val="24"/>
      </w:rPr>
    </w:lvl>
    <w:lvl w:ilvl="2" w:tplc="0CBA88CE">
      <w:start w:val="1"/>
      <w:numFmt w:val="lowerRoman"/>
      <w:lvlText w:val="%3."/>
      <w:lvlJc w:val="right"/>
      <w:pPr>
        <w:ind w:left="2160" w:hanging="180"/>
      </w:pPr>
    </w:lvl>
    <w:lvl w:ilvl="3" w:tplc="E34EEE42">
      <w:start w:val="1"/>
      <w:numFmt w:val="decimal"/>
      <w:lvlText w:val="%4."/>
      <w:lvlJc w:val="left"/>
      <w:pPr>
        <w:ind w:left="2880" w:hanging="360"/>
      </w:pPr>
    </w:lvl>
    <w:lvl w:ilvl="4" w:tplc="042EA02A">
      <w:start w:val="1"/>
      <w:numFmt w:val="lowerLetter"/>
      <w:lvlText w:val="%5."/>
      <w:lvlJc w:val="left"/>
      <w:pPr>
        <w:ind w:left="3600" w:hanging="360"/>
      </w:pPr>
    </w:lvl>
    <w:lvl w:ilvl="5" w:tplc="D78C9578">
      <w:start w:val="1"/>
      <w:numFmt w:val="lowerRoman"/>
      <w:lvlText w:val="%6."/>
      <w:lvlJc w:val="right"/>
      <w:pPr>
        <w:ind w:left="4320" w:hanging="180"/>
      </w:pPr>
    </w:lvl>
    <w:lvl w:ilvl="6" w:tplc="AC7EE68E">
      <w:start w:val="1"/>
      <w:numFmt w:val="decimal"/>
      <w:lvlText w:val="%7."/>
      <w:lvlJc w:val="left"/>
      <w:pPr>
        <w:ind w:left="5040" w:hanging="360"/>
      </w:pPr>
    </w:lvl>
    <w:lvl w:ilvl="7" w:tplc="8B3E3242">
      <w:start w:val="1"/>
      <w:numFmt w:val="lowerLetter"/>
      <w:lvlText w:val="%8."/>
      <w:lvlJc w:val="left"/>
      <w:pPr>
        <w:ind w:left="5760" w:hanging="360"/>
      </w:pPr>
    </w:lvl>
    <w:lvl w:ilvl="8" w:tplc="62A82370">
      <w:start w:val="1"/>
      <w:numFmt w:val="lowerRoman"/>
      <w:lvlText w:val="%9."/>
      <w:lvlJc w:val="right"/>
      <w:pPr>
        <w:ind w:left="6480" w:hanging="180"/>
      </w:pPr>
    </w:lvl>
  </w:abstractNum>
  <w:abstractNum w:abstractNumId="10" w15:restartNumberingAfterBreak="0">
    <w:nsid w:val="5ED14D3A"/>
    <w:multiLevelType w:val="hybridMultilevel"/>
    <w:tmpl w:val="C4AC90F4"/>
    <w:lvl w:ilvl="0" w:tplc="7E62EF24">
      <w:start w:val="14"/>
      <w:numFmt w:val="decimal"/>
      <w:lvlText w:val="%1."/>
      <w:lvlJc w:val="left"/>
      <w:pPr>
        <w:ind w:left="720" w:hanging="360"/>
      </w:pPr>
    </w:lvl>
    <w:lvl w:ilvl="1" w:tplc="DAE03CB0">
      <w:start w:val="1"/>
      <w:numFmt w:val="lowerLetter"/>
      <w:lvlText w:val="%2."/>
      <w:lvlJc w:val="left"/>
      <w:pPr>
        <w:ind w:left="1440" w:hanging="360"/>
      </w:pPr>
    </w:lvl>
    <w:lvl w:ilvl="2" w:tplc="84D68FAA">
      <w:start w:val="1"/>
      <w:numFmt w:val="lowerRoman"/>
      <w:lvlText w:val="%3."/>
      <w:lvlJc w:val="right"/>
      <w:pPr>
        <w:ind w:left="2160" w:hanging="180"/>
      </w:pPr>
    </w:lvl>
    <w:lvl w:ilvl="3" w:tplc="D444D7F0">
      <w:start w:val="1"/>
      <w:numFmt w:val="decimal"/>
      <w:lvlText w:val="%4."/>
      <w:lvlJc w:val="left"/>
      <w:pPr>
        <w:ind w:left="2880" w:hanging="360"/>
      </w:pPr>
    </w:lvl>
    <w:lvl w:ilvl="4" w:tplc="A560D404">
      <w:start w:val="1"/>
      <w:numFmt w:val="lowerLetter"/>
      <w:lvlText w:val="%5."/>
      <w:lvlJc w:val="left"/>
      <w:pPr>
        <w:ind w:left="3600" w:hanging="360"/>
      </w:pPr>
    </w:lvl>
    <w:lvl w:ilvl="5" w:tplc="56FEC94C">
      <w:start w:val="1"/>
      <w:numFmt w:val="lowerRoman"/>
      <w:lvlText w:val="%6."/>
      <w:lvlJc w:val="right"/>
      <w:pPr>
        <w:ind w:left="4320" w:hanging="180"/>
      </w:pPr>
    </w:lvl>
    <w:lvl w:ilvl="6" w:tplc="EEA83F72">
      <w:start w:val="1"/>
      <w:numFmt w:val="decimal"/>
      <w:lvlText w:val="%7."/>
      <w:lvlJc w:val="left"/>
      <w:pPr>
        <w:ind w:left="5040" w:hanging="360"/>
      </w:pPr>
    </w:lvl>
    <w:lvl w:ilvl="7" w:tplc="81121BAA">
      <w:start w:val="1"/>
      <w:numFmt w:val="lowerLetter"/>
      <w:lvlText w:val="%8."/>
      <w:lvlJc w:val="left"/>
      <w:pPr>
        <w:ind w:left="5760" w:hanging="360"/>
      </w:pPr>
    </w:lvl>
    <w:lvl w:ilvl="8" w:tplc="ABC057BA">
      <w:start w:val="1"/>
      <w:numFmt w:val="lowerRoman"/>
      <w:lvlText w:val="%9."/>
      <w:lvlJc w:val="right"/>
      <w:pPr>
        <w:ind w:left="6480" w:hanging="180"/>
      </w:pPr>
    </w:lvl>
  </w:abstractNum>
  <w:abstractNum w:abstractNumId="11" w15:restartNumberingAfterBreak="0">
    <w:nsid w:val="5F6D29E6"/>
    <w:multiLevelType w:val="hybridMultilevel"/>
    <w:tmpl w:val="20582D2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64821EAF"/>
    <w:multiLevelType w:val="hybridMultilevel"/>
    <w:tmpl w:val="CAB8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E2301"/>
    <w:multiLevelType w:val="hybridMultilevel"/>
    <w:tmpl w:val="3828C8A4"/>
    <w:lvl w:ilvl="0" w:tplc="8A9C1CDC">
      <w:numFmt w:val="bullet"/>
      <w:lvlText w:val="•"/>
      <w:lvlJc w:val="left"/>
      <w:pPr>
        <w:ind w:left="2160" w:hanging="72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71286245"/>
    <w:multiLevelType w:val="hybridMultilevel"/>
    <w:tmpl w:val="935EF71E"/>
    <w:lvl w:ilvl="0" w:tplc="DD3ABAFA">
      <w:start w:val="1"/>
      <w:numFmt w:val="decimal"/>
      <w:lvlText w:val="%1)"/>
      <w:lvlJc w:val="left"/>
      <w:pPr>
        <w:ind w:left="720" w:hanging="360"/>
      </w:pPr>
    </w:lvl>
    <w:lvl w:ilvl="1" w:tplc="802238E2">
      <w:start w:val="1"/>
      <w:numFmt w:val="lowerLetter"/>
      <w:lvlText w:val="%2."/>
      <w:lvlJc w:val="left"/>
      <w:pPr>
        <w:ind w:left="1440" w:hanging="360"/>
      </w:pPr>
    </w:lvl>
    <w:lvl w:ilvl="2" w:tplc="AC500098">
      <w:start w:val="1"/>
      <w:numFmt w:val="lowerRoman"/>
      <w:lvlText w:val="%3."/>
      <w:lvlJc w:val="right"/>
      <w:pPr>
        <w:ind w:left="2160" w:hanging="180"/>
      </w:pPr>
    </w:lvl>
    <w:lvl w:ilvl="3" w:tplc="24B6BA9A">
      <w:start w:val="1"/>
      <w:numFmt w:val="decimal"/>
      <w:lvlText w:val="%4."/>
      <w:lvlJc w:val="left"/>
      <w:pPr>
        <w:ind w:left="2880" w:hanging="360"/>
      </w:pPr>
    </w:lvl>
    <w:lvl w:ilvl="4" w:tplc="376A4A62">
      <w:start w:val="1"/>
      <w:numFmt w:val="lowerLetter"/>
      <w:lvlText w:val="%5."/>
      <w:lvlJc w:val="left"/>
      <w:pPr>
        <w:ind w:left="3600" w:hanging="360"/>
      </w:pPr>
    </w:lvl>
    <w:lvl w:ilvl="5" w:tplc="0C80DC5E">
      <w:start w:val="1"/>
      <w:numFmt w:val="lowerRoman"/>
      <w:lvlText w:val="%6."/>
      <w:lvlJc w:val="right"/>
      <w:pPr>
        <w:ind w:left="4320" w:hanging="180"/>
      </w:pPr>
    </w:lvl>
    <w:lvl w:ilvl="6" w:tplc="BE600B02">
      <w:start w:val="1"/>
      <w:numFmt w:val="decimal"/>
      <w:lvlText w:val="%7."/>
      <w:lvlJc w:val="left"/>
      <w:pPr>
        <w:ind w:left="5040" w:hanging="360"/>
      </w:pPr>
    </w:lvl>
    <w:lvl w:ilvl="7" w:tplc="C8726398">
      <w:start w:val="1"/>
      <w:numFmt w:val="lowerLetter"/>
      <w:lvlText w:val="%8."/>
      <w:lvlJc w:val="left"/>
      <w:pPr>
        <w:ind w:left="5760" w:hanging="360"/>
      </w:pPr>
    </w:lvl>
    <w:lvl w:ilvl="8" w:tplc="3CCE3596">
      <w:start w:val="1"/>
      <w:numFmt w:val="lowerRoman"/>
      <w:lvlText w:val="%9."/>
      <w:lvlJc w:val="right"/>
      <w:pPr>
        <w:ind w:left="6480" w:hanging="180"/>
      </w:pPr>
    </w:lvl>
  </w:abstractNum>
  <w:abstractNum w:abstractNumId="15" w15:restartNumberingAfterBreak="0">
    <w:nsid w:val="79BB5A9F"/>
    <w:multiLevelType w:val="hybridMultilevel"/>
    <w:tmpl w:val="A554EF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14"/>
  </w:num>
  <w:num w:numId="4">
    <w:abstractNumId w:val="8"/>
  </w:num>
  <w:num w:numId="5">
    <w:abstractNumId w:val="15"/>
  </w:num>
  <w:num w:numId="6">
    <w:abstractNumId w:val="13"/>
  </w:num>
  <w:num w:numId="7">
    <w:abstractNumId w:val="1"/>
  </w:num>
  <w:num w:numId="8">
    <w:abstractNumId w:val="6"/>
  </w:num>
  <w:num w:numId="9">
    <w:abstractNumId w:val="11"/>
  </w:num>
  <w:num w:numId="10">
    <w:abstractNumId w:val="5"/>
  </w:num>
  <w:num w:numId="11">
    <w:abstractNumId w:val="2"/>
  </w:num>
  <w:num w:numId="12">
    <w:abstractNumId w:val="3"/>
  </w:num>
  <w:num w:numId="13">
    <w:abstractNumId w:val="12"/>
  </w:num>
  <w:num w:numId="14">
    <w:abstractNumId w:val="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00CAC"/>
    <w:rsid w:val="000011BB"/>
    <w:rsid w:val="00001EAB"/>
    <w:rsid w:val="00007D0F"/>
    <w:rsid w:val="00007F8E"/>
    <w:rsid w:val="00013171"/>
    <w:rsid w:val="000134C8"/>
    <w:rsid w:val="000148BE"/>
    <w:rsid w:val="00016A3A"/>
    <w:rsid w:val="0002194B"/>
    <w:rsid w:val="00027409"/>
    <w:rsid w:val="0004710C"/>
    <w:rsid w:val="00062F30"/>
    <w:rsid w:val="00072ED1"/>
    <w:rsid w:val="00074AB6"/>
    <w:rsid w:val="00081144"/>
    <w:rsid w:val="00087CFD"/>
    <w:rsid w:val="00093B53"/>
    <w:rsid w:val="00095F8D"/>
    <w:rsid w:val="0009734F"/>
    <w:rsid w:val="00097654"/>
    <w:rsid w:val="000A1BE2"/>
    <w:rsid w:val="000A6B18"/>
    <w:rsid w:val="000B00E6"/>
    <w:rsid w:val="000B426A"/>
    <w:rsid w:val="000C1DD0"/>
    <w:rsid w:val="000C3F48"/>
    <w:rsid w:val="000C666C"/>
    <w:rsid w:val="000C74F8"/>
    <w:rsid w:val="000D2288"/>
    <w:rsid w:val="000D46D4"/>
    <w:rsid w:val="000E3045"/>
    <w:rsid w:val="000E4025"/>
    <w:rsid w:val="000E6C57"/>
    <w:rsid w:val="000EAF7C"/>
    <w:rsid w:val="000F07E6"/>
    <w:rsid w:val="000F7981"/>
    <w:rsid w:val="001071DB"/>
    <w:rsid w:val="0010737D"/>
    <w:rsid w:val="00110F6C"/>
    <w:rsid w:val="0011144F"/>
    <w:rsid w:val="001121C8"/>
    <w:rsid w:val="00112B36"/>
    <w:rsid w:val="0011698F"/>
    <w:rsid w:val="00123105"/>
    <w:rsid w:val="001240E8"/>
    <w:rsid w:val="00126AEB"/>
    <w:rsid w:val="00134001"/>
    <w:rsid w:val="00137C6E"/>
    <w:rsid w:val="00147EC0"/>
    <w:rsid w:val="0015436E"/>
    <w:rsid w:val="00163F05"/>
    <w:rsid w:val="001648B8"/>
    <w:rsid w:val="001710F6"/>
    <w:rsid w:val="00175521"/>
    <w:rsid w:val="0017698E"/>
    <w:rsid w:val="001916C6"/>
    <w:rsid w:val="00192167"/>
    <w:rsid w:val="001A265B"/>
    <w:rsid w:val="001A6F4A"/>
    <w:rsid w:val="001B1E7C"/>
    <w:rsid w:val="001B6FEF"/>
    <w:rsid w:val="001C25B3"/>
    <w:rsid w:val="001C5290"/>
    <w:rsid w:val="001C69C9"/>
    <w:rsid w:val="001D4249"/>
    <w:rsid w:val="001D6D0D"/>
    <w:rsid w:val="001E1732"/>
    <w:rsid w:val="001E5D38"/>
    <w:rsid w:val="001E71F6"/>
    <w:rsid w:val="001F2915"/>
    <w:rsid w:val="001F47F4"/>
    <w:rsid w:val="001F719A"/>
    <w:rsid w:val="00202BF0"/>
    <w:rsid w:val="002042CB"/>
    <w:rsid w:val="00204C30"/>
    <w:rsid w:val="002056F0"/>
    <w:rsid w:val="00205AD7"/>
    <w:rsid w:val="0021720D"/>
    <w:rsid w:val="00225737"/>
    <w:rsid w:val="002264FB"/>
    <w:rsid w:val="00230CD4"/>
    <w:rsid w:val="00233131"/>
    <w:rsid w:val="00236909"/>
    <w:rsid w:val="002473FF"/>
    <w:rsid w:val="002505C4"/>
    <w:rsid w:val="00251DD6"/>
    <w:rsid w:val="0025588A"/>
    <w:rsid w:val="0026395E"/>
    <w:rsid w:val="00266DB3"/>
    <w:rsid w:val="0027286D"/>
    <w:rsid w:val="002750D1"/>
    <w:rsid w:val="002907A2"/>
    <w:rsid w:val="00291D78"/>
    <w:rsid w:val="00296857"/>
    <w:rsid w:val="002A06F8"/>
    <w:rsid w:val="002A1B6B"/>
    <w:rsid w:val="002B0A11"/>
    <w:rsid w:val="002B10FB"/>
    <w:rsid w:val="002C69DF"/>
    <w:rsid w:val="002C785B"/>
    <w:rsid w:val="002D1553"/>
    <w:rsid w:val="002E54A4"/>
    <w:rsid w:val="002F144E"/>
    <w:rsid w:val="002F4621"/>
    <w:rsid w:val="002F5130"/>
    <w:rsid w:val="00307B1D"/>
    <w:rsid w:val="0031254E"/>
    <w:rsid w:val="00320C89"/>
    <w:rsid w:val="00322C87"/>
    <w:rsid w:val="003239D6"/>
    <w:rsid w:val="00323E14"/>
    <w:rsid w:val="00325301"/>
    <w:rsid w:val="003315F4"/>
    <w:rsid w:val="00331C1E"/>
    <w:rsid w:val="00341957"/>
    <w:rsid w:val="003577FF"/>
    <w:rsid w:val="00370155"/>
    <w:rsid w:val="00370CBD"/>
    <w:rsid w:val="00373ABA"/>
    <w:rsid w:val="00375E89"/>
    <w:rsid w:val="00382B8E"/>
    <w:rsid w:val="00384E22"/>
    <w:rsid w:val="00396704"/>
    <w:rsid w:val="003A197B"/>
    <w:rsid w:val="003A332D"/>
    <w:rsid w:val="003A5981"/>
    <w:rsid w:val="003B0CC1"/>
    <w:rsid w:val="003B2069"/>
    <w:rsid w:val="003B248A"/>
    <w:rsid w:val="003B7EF0"/>
    <w:rsid w:val="003D5912"/>
    <w:rsid w:val="003E24CF"/>
    <w:rsid w:val="003E4C50"/>
    <w:rsid w:val="003E624E"/>
    <w:rsid w:val="003E789E"/>
    <w:rsid w:val="003F5BE7"/>
    <w:rsid w:val="004033C0"/>
    <w:rsid w:val="00404E92"/>
    <w:rsid w:val="00410BC5"/>
    <w:rsid w:val="004113E0"/>
    <w:rsid w:val="00414940"/>
    <w:rsid w:val="0042255D"/>
    <w:rsid w:val="00422F92"/>
    <w:rsid w:val="00430801"/>
    <w:rsid w:val="00437659"/>
    <w:rsid w:val="00441773"/>
    <w:rsid w:val="00441EB3"/>
    <w:rsid w:val="00443913"/>
    <w:rsid w:val="00460F4A"/>
    <w:rsid w:val="004632F2"/>
    <w:rsid w:val="00464CAE"/>
    <w:rsid w:val="00470450"/>
    <w:rsid w:val="00470D8F"/>
    <w:rsid w:val="00473EEE"/>
    <w:rsid w:val="004743AF"/>
    <w:rsid w:val="004762E6"/>
    <w:rsid w:val="0048246C"/>
    <w:rsid w:val="00482B32"/>
    <w:rsid w:val="00485032"/>
    <w:rsid w:val="0049416A"/>
    <w:rsid w:val="004969B1"/>
    <w:rsid w:val="004A61B8"/>
    <w:rsid w:val="004A6227"/>
    <w:rsid w:val="004A66C4"/>
    <w:rsid w:val="004A7A76"/>
    <w:rsid w:val="004B1936"/>
    <w:rsid w:val="004B257B"/>
    <w:rsid w:val="004B2C78"/>
    <w:rsid w:val="004C03F1"/>
    <w:rsid w:val="004C089D"/>
    <w:rsid w:val="004C61EB"/>
    <w:rsid w:val="004D052D"/>
    <w:rsid w:val="004E3882"/>
    <w:rsid w:val="004E47E3"/>
    <w:rsid w:val="004E786C"/>
    <w:rsid w:val="004F328F"/>
    <w:rsid w:val="004F410A"/>
    <w:rsid w:val="004F5038"/>
    <w:rsid w:val="005025A2"/>
    <w:rsid w:val="00504017"/>
    <w:rsid w:val="00504A78"/>
    <w:rsid w:val="00507E1F"/>
    <w:rsid w:val="0052048D"/>
    <w:rsid w:val="00520DC2"/>
    <w:rsid w:val="00520EB2"/>
    <w:rsid w:val="0054289C"/>
    <w:rsid w:val="0054336A"/>
    <w:rsid w:val="00551212"/>
    <w:rsid w:val="00554598"/>
    <w:rsid w:val="00554A25"/>
    <w:rsid w:val="00566720"/>
    <w:rsid w:val="0058468F"/>
    <w:rsid w:val="0059289B"/>
    <w:rsid w:val="00594BFE"/>
    <w:rsid w:val="00596471"/>
    <w:rsid w:val="005A27B0"/>
    <w:rsid w:val="005A5274"/>
    <w:rsid w:val="005A6BF4"/>
    <w:rsid w:val="005B0219"/>
    <w:rsid w:val="005B2D3D"/>
    <w:rsid w:val="005B36D6"/>
    <w:rsid w:val="005B77DF"/>
    <w:rsid w:val="005C3059"/>
    <w:rsid w:val="005C4CB9"/>
    <w:rsid w:val="005D34FC"/>
    <w:rsid w:val="005D6F50"/>
    <w:rsid w:val="005E357A"/>
    <w:rsid w:val="005E427E"/>
    <w:rsid w:val="005E4F65"/>
    <w:rsid w:val="005F482B"/>
    <w:rsid w:val="005F6EA3"/>
    <w:rsid w:val="00603411"/>
    <w:rsid w:val="006049AE"/>
    <w:rsid w:val="00621FBC"/>
    <w:rsid w:val="00625C5D"/>
    <w:rsid w:val="00631EB1"/>
    <w:rsid w:val="0063455A"/>
    <w:rsid w:val="00635815"/>
    <w:rsid w:val="006359C1"/>
    <w:rsid w:val="006410BB"/>
    <w:rsid w:val="006422FD"/>
    <w:rsid w:val="006521D4"/>
    <w:rsid w:val="00653E12"/>
    <w:rsid w:val="00654665"/>
    <w:rsid w:val="00662F59"/>
    <w:rsid w:val="00671449"/>
    <w:rsid w:val="00671FCE"/>
    <w:rsid w:val="006770AE"/>
    <w:rsid w:val="00680E50"/>
    <w:rsid w:val="0068433C"/>
    <w:rsid w:val="00685C6D"/>
    <w:rsid w:val="00686730"/>
    <w:rsid w:val="00693EB1"/>
    <w:rsid w:val="00695CA0"/>
    <w:rsid w:val="006A02E8"/>
    <w:rsid w:val="006A1626"/>
    <w:rsid w:val="006A2931"/>
    <w:rsid w:val="006A2A92"/>
    <w:rsid w:val="006A67DE"/>
    <w:rsid w:val="006A74A8"/>
    <w:rsid w:val="006B15FF"/>
    <w:rsid w:val="006B1A68"/>
    <w:rsid w:val="006B60D7"/>
    <w:rsid w:val="006C0A78"/>
    <w:rsid w:val="006C14AB"/>
    <w:rsid w:val="006C5B15"/>
    <w:rsid w:val="006D1E92"/>
    <w:rsid w:val="006E3A7D"/>
    <w:rsid w:val="006F3497"/>
    <w:rsid w:val="006F47B7"/>
    <w:rsid w:val="006F5222"/>
    <w:rsid w:val="006F5EBF"/>
    <w:rsid w:val="00703726"/>
    <w:rsid w:val="00710897"/>
    <w:rsid w:val="00715A71"/>
    <w:rsid w:val="00716219"/>
    <w:rsid w:val="00730222"/>
    <w:rsid w:val="0073508D"/>
    <w:rsid w:val="00735E5D"/>
    <w:rsid w:val="00742E71"/>
    <w:rsid w:val="007522CE"/>
    <w:rsid w:val="00753A0E"/>
    <w:rsid w:val="007718D1"/>
    <w:rsid w:val="00772623"/>
    <w:rsid w:val="007747E1"/>
    <w:rsid w:val="00776448"/>
    <w:rsid w:val="00785236"/>
    <w:rsid w:val="00790321"/>
    <w:rsid w:val="007A1280"/>
    <w:rsid w:val="007A5F3F"/>
    <w:rsid w:val="007A5FAB"/>
    <w:rsid w:val="007C31EC"/>
    <w:rsid w:val="007C6C6B"/>
    <w:rsid w:val="007F0363"/>
    <w:rsid w:val="007F6617"/>
    <w:rsid w:val="00801C4D"/>
    <w:rsid w:val="0080297D"/>
    <w:rsid w:val="00805004"/>
    <w:rsid w:val="00813F0B"/>
    <w:rsid w:val="008311AE"/>
    <w:rsid w:val="008317FA"/>
    <w:rsid w:val="00835C58"/>
    <w:rsid w:val="008403CE"/>
    <w:rsid w:val="00842671"/>
    <w:rsid w:val="00842DDB"/>
    <w:rsid w:val="00843AAF"/>
    <w:rsid w:val="00845F73"/>
    <w:rsid w:val="0084612E"/>
    <w:rsid w:val="00847EA8"/>
    <w:rsid w:val="008513A1"/>
    <w:rsid w:val="00863F36"/>
    <w:rsid w:val="00870699"/>
    <w:rsid w:val="0087442E"/>
    <w:rsid w:val="00877C44"/>
    <w:rsid w:val="008917AF"/>
    <w:rsid w:val="008A0C3E"/>
    <w:rsid w:val="008A0EB6"/>
    <w:rsid w:val="008A707C"/>
    <w:rsid w:val="008B4929"/>
    <w:rsid w:val="008C1FAA"/>
    <w:rsid w:val="008C2EAB"/>
    <w:rsid w:val="008D0BE4"/>
    <w:rsid w:val="008D65C1"/>
    <w:rsid w:val="008E0D2D"/>
    <w:rsid w:val="008E6996"/>
    <w:rsid w:val="008F1DC3"/>
    <w:rsid w:val="008F3898"/>
    <w:rsid w:val="008F7CC5"/>
    <w:rsid w:val="0090464B"/>
    <w:rsid w:val="009058D1"/>
    <w:rsid w:val="00905F1B"/>
    <w:rsid w:val="0090727C"/>
    <w:rsid w:val="00911457"/>
    <w:rsid w:val="00911F9B"/>
    <w:rsid w:val="00912C01"/>
    <w:rsid w:val="009172E1"/>
    <w:rsid w:val="00917EB1"/>
    <w:rsid w:val="0092237D"/>
    <w:rsid w:val="00924A7C"/>
    <w:rsid w:val="00934010"/>
    <w:rsid w:val="00945AEA"/>
    <w:rsid w:val="009475B6"/>
    <w:rsid w:val="00953215"/>
    <w:rsid w:val="009642C9"/>
    <w:rsid w:val="00966D09"/>
    <w:rsid w:val="0097059D"/>
    <w:rsid w:val="0097575F"/>
    <w:rsid w:val="00980E28"/>
    <w:rsid w:val="00991972"/>
    <w:rsid w:val="00991CC4"/>
    <w:rsid w:val="0099465D"/>
    <w:rsid w:val="00995828"/>
    <w:rsid w:val="00995D1A"/>
    <w:rsid w:val="0099603E"/>
    <w:rsid w:val="009A0E33"/>
    <w:rsid w:val="009B2D7A"/>
    <w:rsid w:val="009C033A"/>
    <w:rsid w:val="009C3920"/>
    <w:rsid w:val="009C5954"/>
    <w:rsid w:val="009D312B"/>
    <w:rsid w:val="009D73A4"/>
    <w:rsid w:val="009E0181"/>
    <w:rsid w:val="009E51BD"/>
    <w:rsid w:val="009E5DC7"/>
    <w:rsid w:val="009F1891"/>
    <w:rsid w:val="009F56EA"/>
    <w:rsid w:val="009F5FFE"/>
    <w:rsid w:val="009F7E9E"/>
    <w:rsid w:val="00A02298"/>
    <w:rsid w:val="00A16A63"/>
    <w:rsid w:val="00A209F4"/>
    <w:rsid w:val="00A22266"/>
    <w:rsid w:val="00A230D4"/>
    <w:rsid w:val="00A238C4"/>
    <w:rsid w:val="00A240A2"/>
    <w:rsid w:val="00A259A3"/>
    <w:rsid w:val="00A26EAF"/>
    <w:rsid w:val="00A30DBF"/>
    <w:rsid w:val="00A358B1"/>
    <w:rsid w:val="00A37CC4"/>
    <w:rsid w:val="00A409D7"/>
    <w:rsid w:val="00A41167"/>
    <w:rsid w:val="00A50AAE"/>
    <w:rsid w:val="00A50E5E"/>
    <w:rsid w:val="00A51CBA"/>
    <w:rsid w:val="00A5335D"/>
    <w:rsid w:val="00A63177"/>
    <w:rsid w:val="00A64EE5"/>
    <w:rsid w:val="00A71A48"/>
    <w:rsid w:val="00A74B60"/>
    <w:rsid w:val="00A800C5"/>
    <w:rsid w:val="00A83782"/>
    <w:rsid w:val="00A84D99"/>
    <w:rsid w:val="00A872E3"/>
    <w:rsid w:val="00A873D0"/>
    <w:rsid w:val="00A93173"/>
    <w:rsid w:val="00A9597E"/>
    <w:rsid w:val="00AA12A5"/>
    <w:rsid w:val="00AA20D9"/>
    <w:rsid w:val="00AA29C7"/>
    <w:rsid w:val="00AA2C06"/>
    <w:rsid w:val="00AA48B5"/>
    <w:rsid w:val="00AA6233"/>
    <w:rsid w:val="00AA6D5F"/>
    <w:rsid w:val="00AB59EE"/>
    <w:rsid w:val="00AB5DD8"/>
    <w:rsid w:val="00AD3C58"/>
    <w:rsid w:val="00AD59F8"/>
    <w:rsid w:val="00AE3802"/>
    <w:rsid w:val="00AE738C"/>
    <w:rsid w:val="00AF015D"/>
    <w:rsid w:val="00AF17CC"/>
    <w:rsid w:val="00AF4441"/>
    <w:rsid w:val="00AF6F09"/>
    <w:rsid w:val="00B00087"/>
    <w:rsid w:val="00B0616A"/>
    <w:rsid w:val="00B1087D"/>
    <w:rsid w:val="00B1320E"/>
    <w:rsid w:val="00B1643A"/>
    <w:rsid w:val="00B37DC7"/>
    <w:rsid w:val="00B50EA9"/>
    <w:rsid w:val="00B55365"/>
    <w:rsid w:val="00B57853"/>
    <w:rsid w:val="00B63CEE"/>
    <w:rsid w:val="00B63E7D"/>
    <w:rsid w:val="00B65021"/>
    <w:rsid w:val="00B70BDA"/>
    <w:rsid w:val="00B7419E"/>
    <w:rsid w:val="00B80B80"/>
    <w:rsid w:val="00B80CA0"/>
    <w:rsid w:val="00B82373"/>
    <w:rsid w:val="00B831E8"/>
    <w:rsid w:val="00B86C25"/>
    <w:rsid w:val="00B86CC3"/>
    <w:rsid w:val="00B92245"/>
    <w:rsid w:val="00BB22A9"/>
    <w:rsid w:val="00BB73A3"/>
    <w:rsid w:val="00BC05AB"/>
    <w:rsid w:val="00BC29AB"/>
    <w:rsid w:val="00BC3F40"/>
    <w:rsid w:val="00BC5D5B"/>
    <w:rsid w:val="00BD0C99"/>
    <w:rsid w:val="00BD161C"/>
    <w:rsid w:val="00BD6BA1"/>
    <w:rsid w:val="00BE2251"/>
    <w:rsid w:val="00BF5653"/>
    <w:rsid w:val="00BF6E1A"/>
    <w:rsid w:val="00C02ABC"/>
    <w:rsid w:val="00C06903"/>
    <w:rsid w:val="00C12708"/>
    <w:rsid w:val="00C176D3"/>
    <w:rsid w:val="00C330A3"/>
    <w:rsid w:val="00C3466B"/>
    <w:rsid w:val="00C46E95"/>
    <w:rsid w:val="00C518A2"/>
    <w:rsid w:val="00C67C36"/>
    <w:rsid w:val="00C70F3F"/>
    <w:rsid w:val="00C75812"/>
    <w:rsid w:val="00C76CB8"/>
    <w:rsid w:val="00C817D6"/>
    <w:rsid w:val="00C835E0"/>
    <w:rsid w:val="00C848B4"/>
    <w:rsid w:val="00C96598"/>
    <w:rsid w:val="00CA0B27"/>
    <w:rsid w:val="00CA0C07"/>
    <w:rsid w:val="00CA6BA5"/>
    <w:rsid w:val="00CB069C"/>
    <w:rsid w:val="00CB09D7"/>
    <w:rsid w:val="00CB6DD8"/>
    <w:rsid w:val="00CC2B20"/>
    <w:rsid w:val="00CC7DF4"/>
    <w:rsid w:val="00CD06AE"/>
    <w:rsid w:val="00CD2EAF"/>
    <w:rsid w:val="00CD382B"/>
    <w:rsid w:val="00CD3ADD"/>
    <w:rsid w:val="00CD50F1"/>
    <w:rsid w:val="00CD5A8C"/>
    <w:rsid w:val="00CD6896"/>
    <w:rsid w:val="00CE17CA"/>
    <w:rsid w:val="00CE212A"/>
    <w:rsid w:val="00CF534E"/>
    <w:rsid w:val="00CF66E2"/>
    <w:rsid w:val="00CF7D5D"/>
    <w:rsid w:val="00D00077"/>
    <w:rsid w:val="00D021FD"/>
    <w:rsid w:val="00D0538E"/>
    <w:rsid w:val="00D11A05"/>
    <w:rsid w:val="00D22132"/>
    <w:rsid w:val="00D30D9C"/>
    <w:rsid w:val="00D3569E"/>
    <w:rsid w:val="00D36EA6"/>
    <w:rsid w:val="00D413AD"/>
    <w:rsid w:val="00D4221C"/>
    <w:rsid w:val="00D450F7"/>
    <w:rsid w:val="00D51DEB"/>
    <w:rsid w:val="00D62ABB"/>
    <w:rsid w:val="00D62C43"/>
    <w:rsid w:val="00D700DC"/>
    <w:rsid w:val="00D758E0"/>
    <w:rsid w:val="00D8484E"/>
    <w:rsid w:val="00D91D0C"/>
    <w:rsid w:val="00D92AE6"/>
    <w:rsid w:val="00D93F3F"/>
    <w:rsid w:val="00DA3222"/>
    <w:rsid w:val="00DB080F"/>
    <w:rsid w:val="00DB21DB"/>
    <w:rsid w:val="00DB35B3"/>
    <w:rsid w:val="00DB4402"/>
    <w:rsid w:val="00DB605A"/>
    <w:rsid w:val="00DC3C55"/>
    <w:rsid w:val="00DC4B09"/>
    <w:rsid w:val="00DC68E8"/>
    <w:rsid w:val="00DD2CF9"/>
    <w:rsid w:val="00DD57CB"/>
    <w:rsid w:val="00DD63ED"/>
    <w:rsid w:val="00DD6895"/>
    <w:rsid w:val="00DE1A26"/>
    <w:rsid w:val="00E013EA"/>
    <w:rsid w:val="00E01C7E"/>
    <w:rsid w:val="00E0538D"/>
    <w:rsid w:val="00E058A0"/>
    <w:rsid w:val="00E0624A"/>
    <w:rsid w:val="00E06D0A"/>
    <w:rsid w:val="00E07FD2"/>
    <w:rsid w:val="00E10E51"/>
    <w:rsid w:val="00E1597B"/>
    <w:rsid w:val="00E17244"/>
    <w:rsid w:val="00E20503"/>
    <w:rsid w:val="00E3071F"/>
    <w:rsid w:val="00E32230"/>
    <w:rsid w:val="00E352DC"/>
    <w:rsid w:val="00E357CD"/>
    <w:rsid w:val="00E35D94"/>
    <w:rsid w:val="00E3601B"/>
    <w:rsid w:val="00E407E3"/>
    <w:rsid w:val="00E41773"/>
    <w:rsid w:val="00E433A7"/>
    <w:rsid w:val="00E44C2B"/>
    <w:rsid w:val="00E5096B"/>
    <w:rsid w:val="00E51671"/>
    <w:rsid w:val="00E5175E"/>
    <w:rsid w:val="00E52095"/>
    <w:rsid w:val="00E6070A"/>
    <w:rsid w:val="00E62295"/>
    <w:rsid w:val="00E7354C"/>
    <w:rsid w:val="00E81EF1"/>
    <w:rsid w:val="00E8234D"/>
    <w:rsid w:val="00E83311"/>
    <w:rsid w:val="00E86FFC"/>
    <w:rsid w:val="00E873DB"/>
    <w:rsid w:val="00E90A60"/>
    <w:rsid w:val="00E91773"/>
    <w:rsid w:val="00EA0FC4"/>
    <w:rsid w:val="00EA143D"/>
    <w:rsid w:val="00EA7B55"/>
    <w:rsid w:val="00EB0C88"/>
    <w:rsid w:val="00EB0DC4"/>
    <w:rsid w:val="00EB1866"/>
    <w:rsid w:val="00EB32C7"/>
    <w:rsid w:val="00EB3F0F"/>
    <w:rsid w:val="00EB46E3"/>
    <w:rsid w:val="00EB5066"/>
    <w:rsid w:val="00EC1CFF"/>
    <w:rsid w:val="00EC5F0C"/>
    <w:rsid w:val="00EC79FA"/>
    <w:rsid w:val="00ED364D"/>
    <w:rsid w:val="00ED71C8"/>
    <w:rsid w:val="00ED7854"/>
    <w:rsid w:val="00EE1861"/>
    <w:rsid w:val="00EE4A6A"/>
    <w:rsid w:val="00EE4BB1"/>
    <w:rsid w:val="00EF0A42"/>
    <w:rsid w:val="00EF2AC7"/>
    <w:rsid w:val="00EF4D39"/>
    <w:rsid w:val="00EF529C"/>
    <w:rsid w:val="00F0573D"/>
    <w:rsid w:val="00F06638"/>
    <w:rsid w:val="00F17105"/>
    <w:rsid w:val="00F23263"/>
    <w:rsid w:val="00F268ED"/>
    <w:rsid w:val="00F34835"/>
    <w:rsid w:val="00F51902"/>
    <w:rsid w:val="00F52077"/>
    <w:rsid w:val="00F562A6"/>
    <w:rsid w:val="00F60C15"/>
    <w:rsid w:val="00F65D05"/>
    <w:rsid w:val="00F704D7"/>
    <w:rsid w:val="00F77BC6"/>
    <w:rsid w:val="00F80808"/>
    <w:rsid w:val="00F82333"/>
    <w:rsid w:val="00F82657"/>
    <w:rsid w:val="00F8292B"/>
    <w:rsid w:val="00F944FC"/>
    <w:rsid w:val="00FA1428"/>
    <w:rsid w:val="00FA62B9"/>
    <w:rsid w:val="00FB21B4"/>
    <w:rsid w:val="00FB4905"/>
    <w:rsid w:val="00FB4ED3"/>
    <w:rsid w:val="00FB537B"/>
    <w:rsid w:val="00FC6005"/>
    <w:rsid w:val="00FD04FA"/>
    <w:rsid w:val="00FE7EA4"/>
    <w:rsid w:val="00FF704E"/>
    <w:rsid w:val="01540009"/>
    <w:rsid w:val="01914F7C"/>
    <w:rsid w:val="04B4AFBE"/>
    <w:rsid w:val="052B1A5B"/>
    <w:rsid w:val="05BE45FF"/>
    <w:rsid w:val="05F569B0"/>
    <w:rsid w:val="07B8635C"/>
    <w:rsid w:val="096D80FA"/>
    <w:rsid w:val="0AF66D02"/>
    <w:rsid w:val="0B529FAB"/>
    <w:rsid w:val="0B5DA437"/>
    <w:rsid w:val="0BCBDF20"/>
    <w:rsid w:val="0C138462"/>
    <w:rsid w:val="0D3FE166"/>
    <w:rsid w:val="0E9BF09A"/>
    <w:rsid w:val="0EA48A29"/>
    <w:rsid w:val="0EB2C687"/>
    <w:rsid w:val="0EB550A1"/>
    <w:rsid w:val="0EDC63F8"/>
    <w:rsid w:val="0FB46061"/>
    <w:rsid w:val="10118FE5"/>
    <w:rsid w:val="102FBE6F"/>
    <w:rsid w:val="115897AF"/>
    <w:rsid w:val="1173046F"/>
    <w:rsid w:val="1179A2CB"/>
    <w:rsid w:val="11EC6C5D"/>
    <w:rsid w:val="145B0DEA"/>
    <w:rsid w:val="14B2C425"/>
    <w:rsid w:val="1508C811"/>
    <w:rsid w:val="151873DC"/>
    <w:rsid w:val="156B76C2"/>
    <w:rsid w:val="1600C808"/>
    <w:rsid w:val="1601DB99"/>
    <w:rsid w:val="17377684"/>
    <w:rsid w:val="174DD9D2"/>
    <w:rsid w:val="183D02C3"/>
    <w:rsid w:val="1ABEA940"/>
    <w:rsid w:val="1B1005DC"/>
    <w:rsid w:val="1B4D9ABD"/>
    <w:rsid w:val="1B76E974"/>
    <w:rsid w:val="1BA825D7"/>
    <w:rsid w:val="1D18A104"/>
    <w:rsid w:val="1DD67CB4"/>
    <w:rsid w:val="1DFA95C5"/>
    <w:rsid w:val="1EC8DF94"/>
    <w:rsid w:val="1EEAE670"/>
    <w:rsid w:val="1F342768"/>
    <w:rsid w:val="1F44B504"/>
    <w:rsid w:val="1F6F6082"/>
    <w:rsid w:val="1FC46B3E"/>
    <w:rsid w:val="1FDFF781"/>
    <w:rsid w:val="2011B8A9"/>
    <w:rsid w:val="20A56493"/>
    <w:rsid w:val="20F8BA99"/>
    <w:rsid w:val="214C3918"/>
    <w:rsid w:val="2187612D"/>
    <w:rsid w:val="21E81969"/>
    <w:rsid w:val="21F7828D"/>
    <w:rsid w:val="2369B699"/>
    <w:rsid w:val="2389339E"/>
    <w:rsid w:val="25DA7E3B"/>
    <w:rsid w:val="25F348BB"/>
    <w:rsid w:val="26015103"/>
    <w:rsid w:val="2627493F"/>
    <w:rsid w:val="263BCE7C"/>
    <w:rsid w:val="2660798E"/>
    <w:rsid w:val="275ADAAB"/>
    <w:rsid w:val="278DC225"/>
    <w:rsid w:val="279E0787"/>
    <w:rsid w:val="297F9BDF"/>
    <w:rsid w:val="29B5D37A"/>
    <w:rsid w:val="2A4813F7"/>
    <w:rsid w:val="2A4A7109"/>
    <w:rsid w:val="2AA79771"/>
    <w:rsid w:val="2ADE507E"/>
    <w:rsid w:val="2ADE93DA"/>
    <w:rsid w:val="2B9349F9"/>
    <w:rsid w:val="2BE16F9B"/>
    <w:rsid w:val="2C36C2DB"/>
    <w:rsid w:val="2C6EDB3E"/>
    <w:rsid w:val="2C85559F"/>
    <w:rsid w:val="2C9ED5F4"/>
    <w:rsid w:val="2CBBBA4E"/>
    <w:rsid w:val="2CEAECB8"/>
    <w:rsid w:val="2E5FD092"/>
    <w:rsid w:val="2F191183"/>
    <w:rsid w:val="2F2AC798"/>
    <w:rsid w:val="2F57B837"/>
    <w:rsid w:val="2FA601C2"/>
    <w:rsid w:val="317D0D16"/>
    <w:rsid w:val="31F9E45D"/>
    <w:rsid w:val="31FD6D6A"/>
    <w:rsid w:val="32230169"/>
    <w:rsid w:val="3333496A"/>
    <w:rsid w:val="33585C6B"/>
    <w:rsid w:val="33D6E851"/>
    <w:rsid w:val="34A752FC"/>
    <w:rsid w:val="354ABEB6"/>
    <w:rsid w:val="35B9C80A"/>
    <w:rsid w:val="35D87BD1"/>
    <w:rsid w:val="360FE968"/>
    <w:rsid w:val="361CA475"/>
    <w:rsid w:val="3745AD13"/>
    <w:rsid w:val="37D8B66C"/>
    <w:rsid w:val="37E51B40"/>
    <w:rsid w:val="389CFC47"/>
    <w:rsid w:val="39FAC407"/>
    <w:rsid w:val="3A41FDAF"/>
    <w:rsid w:val="3A841194"/>
    <w:rsid w:val="3AE9E8DB"/>
    <w:rsid w:val="3BA6B326"/>
    <w:rsid w:val="3BF2B2D2"/>
    <w:rsid w:val="3C02CE5B"/>
    <w:rsid w:val="3C86BB91"/>
    <w:rsid w:val="3CB5D057"/>
    <w:rsid w:val="3D07D0B5"/>
    <w:rsid w:val="3D14D788"/>
    <w:rsid w:val="3D4147D7"/>
    <w:rsid w:val="3E177677"/>
    <w:rsid w:val="3EA496BA"/>
    <w:rsid w:val="3FE19034"/>
    <w:rsid w:val="4042C8D5"/>
    <w:rsid w:val="41199C33"/>
    <w:rsid w:val="41B923DB"/>
    <w:rsid w:val="42763F00"/>
    <w:rsid w:val="427870E6"/>
    <w:rsid w:val="4327DFF0"/>
    <w:rsid w:val="43797F9C"/>
    <w:rsid w:val="44929CFE"/>
    <w:rsid w:val="44AC3F4B"/>
    <w:rsid w:val="44D8FE01"/>
    <w:rsid w:val="451DFC34"/>
    <w:rsid w:val="47EBC166"/>
    <w:rsid w:val="4833D558"/>
    <w:rsid w:val="48761D31"/>
    <w:rsid w:val="48C274B0"/>
    <w:rsid w:val="48FF4D46"/>
    <w:rsid w:val="49ECCF45"/>
    <w:rsid w:val="4A27D64A"/>
    <w:rsid w:val="4BE2F82D"/>
    <w:rsid w:val="4C75F591"/>
    <w:rsid w:val="4D0160B9"/>
    <w:rsid w:val="4F3B5120"/>
    <w:rsid w:val="4F7592CC"/>
    <w:rsid w:val="4F9DF5DE"/>
    <w:rsid w:val="508E7699"/>
    <w:rsid w:val="50BAA781"/>
    <w:rsid w:val="50BBBD7B"/>
    <w:rsid w:val="5123043D"/>
    <w:rsid w:val="516042D5"/>
    <w:rsid w:val="5218A64E"/>
    <w:rsid w:val="52BA5431"/>
    <w:rsid w:val="52C21AD3"/>
    <w:rsid w:val="5364FFE5"/>
    <w:rsid w:val="539753D5"/>
    <w:rsid w:val="539FFDBA"/>
    <w:rsid w:val="540052DF"/>
    <w:rsid w:val="54410D7E"/>
    <w:rsid w:val="546BD663"/>
    <w:rsid w:val="546C358D"/>
    <w:rsid w:val="550CB5C1"/>
    <w:rsid w:val="553F8328"/>
    <w:rsid w:val="5553FB3B"/>
    <w:rsid w:val="55716799"/>
    <w:rsid w:val="55B5BF28"/>
    <w:rsid w:val="5671BB44"/>
    <w:rsid w:val="5672692A"/>
    <w:rsid w:val="578DE98E"/>
    <w:rsid w:val="597DF98C"/>
    <w:rsid w:val="5A190321"/>
    <w:rsid w:val="5A3EBD23"/>
    <w:rsid w:val="5A66FC5A"/>
    <w:rsid w:val="5C4F8E59"/>
    <w:rsid w:val="5C9A64AD"/>
    <w:rsid w:val="5EE37078"/>
    <w:rsid w:val="5EF096BA"/>
    <w:rsid w:val="5F119765"/>
    <w:rsid w:val="5F796E2E"/>
    <w:rsid w:val="620B1766"/>
    <w:rsid w:val="63B44A72"/>
    <w:rsid w:val="6487EF79"/>
    <w:rsid w:val="66570290"/>
    <w:rsid w:val="665F1010"/>
    <w:rsid w:val="675ACA1B"/>
    <w:rsid w:val="67CF4C82"/>
    <w:rsid w:val="67F93744"/>
    <w:rsid w:val="6808BA18"/>
    <w:rsid w:val="685C8E22"/>
    <w:rsid w:val="68E98C5C"/>
    <w:rsid w:val="692FF196"/>
    <w:rsid w:val="6B2E5102"/>
    <w:rsid w:val="6B31383B"/>
    <w:rsid w:val="6BA332A7"/>
    <w:rsid w:val="6BE60FC9"/>
    <w:rsid w:val="6C51D026"/>
    <w:rsid w:val="6CBC94B4"/>
    <w:rsid w:val="6D1315B2"/>
    <w:rsid w:val="6DD04B51"/>
    <w:rsid w:val="6E123820"/>
    <w:rsid w:val="6E369EE9"/>
    <w:rsid w:val="6EDC3FC2"/>
    <w:rsid w:val="6F165CDA"/>
    <w:rsid w:val="70218513"/>
    <w:rsid w:val="71C5FC6F"/>
    <w:rsid w:val="71D55086"/>
    <w:rsid w:val="71F832DC"/>
    <w:rsid w:val="7213FACC"/>
    <w:rsid w:val="72839619"/>
    <w:rsid w:val="72C1418D"/>
    <w:rsid w:val="757B3CD3"/>
    <w:rsid w:val="75FB58FD"/>
    <w:rsid w:val="7647B474"/>
    <w:rsid w:val="786474CC"/>
    <w:rsid w:val="79FCBC23"/>
    <w:rsid w:val="7A18544A"/>
    <w:rsid w:val="7A568A06"/>
    <w:rsid w:val="7AD1EFB9"/>
    <w:rsid w:val="7BAE7692"/>
    <w:rsid w:val="7DCABC77"/>
    <w:rsid w:val="7E0020A3"/>
    <w:rsid w:val="7E0C6E9F"/>
    <w:rsid w:val="7E66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ECBA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paragraph" w:styleId="Heading2">
    <w:name w:val="heading 2"/>
    <w:basedOn w:val="Normal"/>
    <w:next w:val="Normal"/>
    <w:link w:val="Heading2Char"/>
    <w:uiPriority w:val="9"/>
    <w:unhideWhenUsed/>
    <w:qFormat/>
    <w:rsid w:val="00680E50"/>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0E50"/>
    <w:pPr>
      <w:keepNext/>
      <w:keepLines/>
      <w:widowControl/>
      <w:autoSpaceDE/>
      <w:autoSpaceDN/>
      <w:adjustRightInd/>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ListParagraph">
    <w:name w:val="List Paragraph"/>
    <w:basedOn w:val="Normal"/>
    <w:uiPriority w:val="34"/>
    <w:qFormat/>
    <w:rsid w:val="0048246C"/>
    <w:pPr>
      <w:widowControl/>
      <w:autoSpaceDE/>
      <w:autoSpaceDN/>
      <w:adjustRightInd/>
      <w:spacing w:after="160" w:line="259"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48246C"/>
    <w:pPr>
      <w:widowControl/>
      <w:autoSpaceDE/>
      <w:autoSpaceDN/>
      <w:adjustRightInd/>
      <w:spacing w:after="200"/>
    </w:pPr>
    <w:rPr>
      <w:rFonts w:ascii="Calibri" w:eastAsia="Calibri" w:hAnsi="Calibri"/>
      <w:i/>
      <w:iCs/>
      <w:color w:val="44546A"/>
      <w:sz w:val="18"/>
      <w:szCs w:val="18"/>
    </w:rPr>
  </w:style>
  <w:style w:type="paragraph" w:customStyle="1" w:styleId="Default">
    <w:name w:val="Default"/>
    <w:rsid w:val="0048246C"/>
    <w:pPr>
      <w:widowControl w:val="0"/>
      <w:autoSpaceDE w:val="0"/>
      <w:autoSpaceDN w:val="0"/>
      <w:adjustRightInd w:val="0"/>
    </w:pPr>
    <w:rPr>
      <w:rFonts w:ascii="Joanna MT" w:hAnsi="Joanna MT" w:cs="Joanna MT"/>
      <w:color w:val="000000"/>
      <w:sz w:val="24"/>
      <w:szCs w:val="24"/>
    </w:rPr>
  </w:style>
  <w:style w:type="paragraph" w:styleId="Footer">
    <w:name w:val="footer"/>
    <w:basedOn w:val="Normal"/>
    <w:link w:val="FooterChar"/>
    <w:uiPriority w:val="99"/>
    <w:unhideWhenUsed/>
    <w:rsid w:val="0048246C"/>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link w:val="Footer"/>
    <w:uiPriority w:val="99"/>
    <w:rsid w:val="0048246C"/>
    <w:rPr>
      <w:rFonts w:eastAsia="Calibri"/>
      <w:sz w:val="22"/>
      <w:szCs w:val="22"/>
    </w:rPr>
  </w:style>
  <w:style w:type="paragraph" w:styleId="NormalWeb">
    <w:name w:val="Normal (Web)"/>
    <w:basedOn w:val="Normal"/>
    <w:uiPriority w:val="99"/>
    <w:unhideWhenUsed/>
    <w:rsid w:val="0048246C"/>
    <w:pPr>
      <w:widowControl/>
      <w:autoSpaceDE/>
      <w:autoSpaceDN/>
      <w:adjustRightInd/>
    </w:pPr>
    <w:rPr>
      <w:rFonts w:eastAsia="Calibri"/>
    </w:rPr>
  </w:style>
  <w:style w:type="character" w:styleId="CommentReference">
    <w:name w:val="annotation reference"/>
    <w:uiPriority w:val="99"/>
    <w:semiHidden/>
    <w:unhideWhenUsed/>
    <w:rsid w:val="005D6F50"/>
    <w:rPr>
      <w:sz w:val="16"/>
      <w:szCs w:val="16"/>
    </w:rPr>
  </w:style>
  <w:style w:type="paragraph" w:styleId="CommentText">
    <w:name w:val="annotation text"/>
    <w:basedOn w:val="Normal"/>
    <w:link w:val="CommentTextChar"/>
    <w:uiPriority w:val="99"/>
    <w:semiHidden/>
    <w:unhideWhenUsed/>
    <w:rsid w:val="005D6F50"/>
    <w:rPr>
      <w:sz w:val="20"/>
      <w:szCs w:val="20"/>
    </w:rPr>
  </w:style>
  <w:style w:type="character" w:customStyle="1" w:styleId="CommentTextChar">
    <w:name w:val="Comment Text Char"/>
    <w:link w:val="CommentText"/>
    <w:uiPriority w:val="99"/>
    <w:semiHidden/>
    <w:rsid w:val="005D6F5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6F50"/>
    <w:rPr>
      <w:b/>
      <w:bCs/>
    </w:rPr>
  </w:style>
  <w:style w:type="character" w:customStyle="1" w:styleId="CommentSubjectChar">
    <w:name w:val="Comment Subject Char"/>
    <w:link w:val="CommentSubject"/>
    <w:uiPriority w:val="99"/>
    <w:semiHidden/>
    <w:rsid w:val="005D6F50"/>
    <w:rPr>
      <w:rFonts w:ascii="Times New Roman" w:hAnsi="Times New Roman"/>
      <w:b/>
      <w:bCs/>
    </w:rPr>
  </w:style>
  <w:style w:type="paragraph" w:styleId="BalloonText">
    <w:name w:val="Balloon Text"/>
    <w:basedOn w:val="Normal"/>
    <w:link w:val="BalloonTextChar"/>
    <w:uiPriority w:val="99"/>
    <w:semiHidden/>
    <w:unhideWhenUsed/>
    <w:rsid w:val="005D6F50"/>
    <w:rPr>
      <w:rFonts w:ascii="Segoe UI" w:hAnsi="Segoe UI" w:cs="Segoe UI"/>
      <w:sz w:val="18"/>
      <w:szCs w:val="18"/>
    </w:rPr>
  </w:style>
  <w:style w:type="character" w:customStyle="1" w:styleId="BalloonTextChar">
    <w:name w:val="Balloon Text Char"/>
    <w:link w:val="BalloonText"/>
    <w:uiPriority w:val="99"/>
    <w:semiHidden/>
    <w:rsid w:val="005D6F50"/>
    <w:rPr>
      <w:rFonts w:ascii="Segoe UI" w:hAnsi="Segoe UI" w:cs="Segoe UI"/>
      <w:sz w:val="18"/>
      <w:szCs w:val="18"/>
    </w:rPr>
  </w:style>
  <w:style w:type="paragraph" w:styleId="Header">
    <w:name w:val="header"/>
    <w:basedOn w:val="Normal"/>
    <w:link w:val="HeaderChar"/>
    <w:uiPriority w:val="99"/>
    <w:unhideWhenUsed/>
    <w:rsid w:val="00A50E5E"/>
    <w:pPr>
      <w:tabs>
        <w:tab w:val="center" w:pos="4680"/>
        <w:tab w:val="right" w:pos="9360"/>
      </w:tabs>
    </w:pPr>
  </w:style>
  <w:style w:type="character" w:customStyle="1" w:styleId="HeaderChar">
    <w:name w:val="Header Char"/>
    <w:basedOn w:val="DefaultParagraphFont"/>
    <w:link w:val="Header"/>
    <w:uiPriority w:val="99"/>
    <w:rsid w:val="00A50E5E"/>
    <w:rPr>
      <w:rFonts w:ascii="Times New Roman" w:hAnsi="Times New Roman"/>
      <w:sz w:val="24"/>
      <w:szCs w:val="24"/>
    </w:rPr>
  </w:style>
  <w:style w:type="character" w:styleId="Hyperlink">
    <w:name w:val="Hyperlink"/>
    <w:basedOn w:val="DefaultParagraphFont"/>
    <w:uiPriority w:val="99"/>
    <w:unhideWhenUsed/>
    <w:rsid w:val="00E44C2B"/>
    <w:rPr>
      <w:color w:val="0563C1" w:themeColor="hyperlink"/>
      <w:u w:val="singl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FD04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D04FA"/>
    <w:rPr>
      <w:rFonts w:ascii="Courier New" w:hAnsi="Courier New" w:cs="Courier New"/>
    </w:rPr>
  </w:style>
  <w:style w:type="character" w:customStyle="1" w:styleId="Heading2Char">
    <w:name w:val="Heading 2 Char"/>
    <w:basedOn w:val="DefaultParagraphFont"/>
    <w:link w:val="Heading2"/>
    <w:uiPriority w:val="9"/>
    <w:rsid w:val="00680E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80E50"/>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5C4CB9"/>
    <w:rPr>
      <w:sz w:val="20"/>
      <w:szCs w:val="20"/>
    </w:rPr>
  </w:style>
  <w:style w:type="character" w:customStyle="1" w:styleId="FootnoteTextChar">
    <w:name w:val="Footnote Text Char"/>
    <w:basedOn w:val="DefaultParagraphFont"/>
    <w:link w:val="FootnoteText"/>
    <w:uiPriority w:val="99"/>
    <w:semiHidden/>
    <w:rsid w:val="005C4CB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1072">
      <w:bodyDiv w:val="1"/>
      <w:marLeft w:val="0"/>
      <w:marRight w:val="0"/>
      <w:marTop w:val="0"/>
      <w:marBottom w:val="0"/>
      <w:divBdr>
        <w:top w:val="none" w:sz="0" w:space="0" w:color="auto"/>
        <w:left w:val="none" w:sz="0" w:space="0" w:color="auto"/>
        <w:bottom w:val="none" w:sz="0" w:space="0" w:color="auto"/>
        <w:right w:val="none" w:sz="0" w:space="0" w:color="auto"/>
      </w:divBdr>
    </w:div>
    <w:div w:id="320888912">
      <w:bodyDiv w:val="1"/>
      <w:marLeft w:val="0"/>
      <w:marRight w:val="0"/>
      <w:marTop w:val="0"/>
      <w:marBottom w:val="0"/>
      <w:divBdr>
        <w:top w:val="none" w:sz="0" w:space="0" w:color="auto"/>
        <w:left w:val="none" w:sz="0" w:space="0" w:color="auto"/>
        <w:bottom w:val="none" w:sz="0" w:space="0" w:color="auto"/>
        <w:right w:val="none" w:sz="0" w:space="0" w:color="auto"/>
      </w:divBdr>
    </w:div>
    <w:div w:id="1485974712">
      <w:bodyDiv w:val="1"/>
      <w:marLeft w:val="0"/>
      <w:marRight w:val="0"/>
      <w:marTop w:val="0"/>
      <w:marBottom w:val="0"/>
      <w:divBdr>
        <w:top w:val="none" w:sz="0" w:space="0" w:color="auto"/>
        <w:left w:val="none" w:sz="0" w:space="0" w:color="auto"/>
        <w:bottom w:val="none" w:sz="0" w:space="0" w:color="auto"/>
        <w:right w:val="none" w:sz="0" w:space="0" w:color="auto"/>
      </w:divBdr>
    </w:div>
    <w:div w:id="1635520821">
      <w:bodyDiv w:val="1"/>
      <w:marLeft w:val="0"/>
      <w:marRight w:val="0"/>
      <w:marTop w:val="0"/>
      <w:marBottom w:val="0"/>
      <w:divBdr>
        <w:top w:val="none" w:sz="0" w:space="0" w:color="auto"/>
        <w:left w:val="none" w:sz="0" w:space="0" w:color="auto"/>
        <w:bottom w:val="none" w:sz="0" w:space="0" w:color="auto"/>
        <w:right w:val="none" w:sz="0" w:space="0" w:color="auto"/>
      </w:divBdr>
    </w:div>
    <w:div w:id="20882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PublishingExpirationDate xmlns="http://schemas.microsoft.com/sharepoint/v3" xsi:nil="true"/>
    <PublishingStartDate xmlns="http://schemas.microsoft.com/sharepoint/v3" xsi:nil="true"/>
    <SharedWithUsers xmlns="183e5f64-3519-4a88-b621-7c6749c532cb">
      <UserInfo>
        <DisplayName>Blasher, Amy C. (CJISD) (FBI)</DisplayName>
        <AccountId>25</AccountId>
        <AccountType/>
      </UserInfo>
      <UserInfo>
        <DisplayName>Sell, Bryan Allen (CJISD) (FBI)</DisplayName>
        <AccountId>70</AccountId>
        <AccountType/>
      </UserInfo>
      <UserInfo>
        <DisplayName>DeMarco, Sammy J. (CJISD) (FBI)</DisplayName>
        <AccountId>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2" ma:contentTypeDescription="Create a new document." ma:contentTypeScope="" ma:versionID="dd3eefd1232a34cf06ff82a816de4716">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2822ba064ee51ef10878ce411394232e"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3CB79-DDBE-4EE1-B3E1-3B727B10298A}">
  <ds:schemaRefs>
    <ds:schemaRef ds:uri="http://schemas.openxmlformats.org/officeDocument/2006/bibliography"/>
  </ds:schemaRefs>
</ds:datastoreItem>
</file>

<file path=customXml/itemProps2.xml><?xml version="1.0" encoding="utf-8"?>
<ds:datastoreItem xmlns:ds="http://schemas.openxmlformats.org/officeDocument/2006/customXml" ds:itemID="{1AA29F4F-9103-4D6C-BD1B-7D08147CC4EF}">
  <ds:schemaRefs>
    <ds:schemaRef ds:uri="http://schemas.microsoft.com/office/2006/documentManagement/types"/>
    <ds:schemaRef ds:uri="http://schemas.openxmlformats.org/package/2006/metadata/core-properties"/>
    <ds:schemaRef ds:uri="http://purl.org/dc/elements/1.1/"/>
    <ds:schemaRef ds:uri="http://purl.org/dc/terms/"/>
    <ds:schemaRef ds:uri="30df4396-f4f0-49ca-81e6-0622fab6fa8e"/>
    <ds:schemaRef ds:uri="183e5f64-3519-4a88-b621-7c6749c532cb"/>
    <ds:schemaRef ds:uri="http://www.w3.org/XML/1998/namespace"/>
    <ds:schemaRef ds:uri="http://purl.org/dc/dcmitype/"/>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E7A05F-3DDA-4F37-B9BD-C83EF59D893F}">
  <ds:schemaRefs>
    <ds:schemaRef ds:uri="http://schemas.microsoft.com/sharepoint/v3/contenttype/forms"/>
  </ds:schemaRefs>
</ds:datastoreItem>
</file>

<file path=customXml/itemProps4.xml><?xml version="1.0" encoding="utf-8"?>
<ds:datastoreItem xmlns:ds="http://schemas.openxmlformats.org/officeDocument/2006/customXml" ds:itemID="{1D5B4AC1-CA10-4590-8082-D082D6CFA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2561</Words>
  <Characters>14970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2021-09-02T14:51:00Z</dcterms:created>
  <dcterms:modified xsi:type="dcterms:W3CDTF">2021-09-25T12:23:00Z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