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35CF" w:rsidR="00AF7585" w:rsidP="00385311" w:rsidRDefault="00AF7585" w14:paraId="431DB997" w14:textId="77777777">
      <w:pPr>
        <w:rPr>
          <w:b/>
          <w:bCs/>
        </w:rPr>
      </w:pPr>
      <w:r w:rsidRPr="00B235CF">
        <w:rPr>
          <w:b/>
          <w:bCs/>
        </w:rPr>
        <w:t>SUPPORTING STATEMENT</w:t>
      </w:r>
      <w:r w:rsidR="00787478">
        <w:rPr>
          <w:b/>
          <w:bCs/>
        </w:rPr>
        <w:t xml:space="preserve"> </w:t>
      </w:r>
    </w:p>
    <w:p w:rsidR="00AF7585" w:rsidP="00385311" w:rsidRDefault="00FD45D8" w14:paraId="6665B5F3" w14:textId="4FA64A6E">
      <w:pPr>
        <w:rPr>
          <w:b/>
          <w:bCs/>
        </w:rPr>
      </w:pPr>
      <w:r>
        <w:rPr>
          <w:b/>
          <w:bCs/>
        </w:rPr>
        <w:t>202</w:t>
      </w:r>
      <w:r w:rsidR="00FA1923">
        <w:rPr>
          <w:b/>
          <w:bCs/>
        </w:rPr>
        <w:t>1 Survey of Campus Law Enforcement Agencies (SCLEA)</w:t>
      </w:r>
    </w:p>
    <w:p w:rsidR="00323365" w:rsidP="00385311" w:rsidRDefault="00323365" w14:paraId="67021693" w14:textId="77777777">
      <w:pPr>
        <w:rPr>
          <w:b/>
          <w:bCs/>
        </w:rPr>
      </w:pPr>
    </w:p>
    <w:p w:rsidR="00192787" w:rsidP="00385311" w:rsidRDefault="00192787" w14:paraId="65428344" w14:textId="66EBB3F6">
      <w:pPr>
        <w:rPr>
          <w:b/>
          <w:bCs/>
        </w:rPr>
      </w:pPr>
      <w:r>
        <w:rPr>
          <w:b/>
          <w:bCs/>
        </w:rPr>
        <w:t>Overview</w:t>
      </w:r>
    </w:p>
    <w:p w:rsidR="00192787" w:rsidP="00385311" w:rsidRDefault="00192787" w14:paraId="36C9631A" w14:textId="77777777">
      <w:pPr>
        <w:rPr>
          <w:b/>
          <w:bCs/>
        </w:rPr>
      </w:pPr>
    </w:p>
    <w:p w:rsidRPr="00BB7039" w:rsidR="00FA1923" w:rsidP="00385311" w:rsidRDefault="00AF7585" w14:paraId="60344AD9" w14:textId="0473EFF2">
      <w:r w:rsidRPr="00BB7039">
        <w:t xml:space="preserve">The Bureau of Justice Statistics (BJS) </w:t>
      </w:r>
      <w:r w:rsidRPr="00BB7039" w:rsidR="00CF1A90">
        <w:t xml:space="preserve">requests clearance to conduct </w:t>
      </w:r>
      <w:r w:rsidRPr="00BB7039">
        <w:t xml:space="preserve">the </w:t>
      </w:r>
      <w:r w:rsidRPr="00BB7039" w:rsidR="00FA1923">
        <w:t>2021</w:t>
      </w:r>
      <w:r w:rsidRPr="00BB7039" w:rsidR="007E0BB0">
        <w:t xml:space="preserve"> </w:t>
      </w:r>
      <w:r w:rsidRPr="00BB7039" w:rsidR="00FA1923">
        <w:t>Survey of Campus Law Enforcement Agencies (SCLEA)</w:t>
      </w:r>
      <w:r w:rsidRPr="00BB7039">
        <w:t xml:space="preserve">. </w:t>
      </w:r>
      <w:r w:rsidRPr="00BB7039" w:rsidR="00FA1923">
        <w:t>The 2021 SCLEA builds upon the previous three iterations of the SCLEA data collections in 1994-1995, 2004-2005, and 2011-2012</w:t>
      </w:r>
      <w:r w:rsidR="007240D6">
        <w:t xml:space="preserve"> (OMB Control Number 1121-0334)</w:t>
      </w:r>
      <w:r w:rsidRPr="00BB7039" w:rsidR="00FA1923">
        <w:t xml:space="preserve">. The proposed information collection includes all </w:t>
      </w:r>
      <w:r w:rsidRPr="00BB7039" w:rsidR="0074402D">
        <w:t xml:space="preserve">campus law enforcement agencies </w:t>
      </w:r>
      <w:r w:rsidRPr="00BB7039" w:rsidR="001C4461">
        <w:t xml:space="preserve">(LEAs) </w:t>
      </w:r>
      <w:r w:rsidRPr="00BB7039" w:rsidR="0074402D">
        <w:t xml:space="preserve">serving </w:t>
      </w:r>
      <w:r w:rsidRPr="00BB7039" w:rsidR="00FA1923">
        <w:t>public and private postsecondary</w:t>
      </w:r>
      <w:r w:rsidRPr="00BB7039" w:rsidR="0074402D">
        <w:t xml:space="preserve"> educational</w:t>
      </w:r>
      <w:r w:rsidRPr="00BB7039" w:rsidR="00FA1923">
        <w:t xml:space="preserve"> institutions </w:t>
      </w:r>
      <w:r w:rsidRPr="00BB7039" w:rsidR="00E3412C">
        <w:t xml:space="preserve">offering in-person instruction </w:t>
      </w:r>
      <w:r w:rsidRPr="00BB7039" w:rsidR="00FA1923">
        <w:t xml:space="preserve">with a full-time enrollment of 1,000 or more students. BJS plans to field the 2021 SCLEA from </w:t>
      </w:r>
      <w:r w:rsidR="00E3782F">
        <w:t xml:space="preserve">late </w:t>
      </w:r>
      <w:r w:rsidRPr="00BB7039" w:rsidR="00FA1923">
        <w:t xml:space="preserve">September 2021 to </w:t>
      </w:r>
      <w:r w:rsidR="00E3782F">
        <w:t>mid-May</w:t>
      </w:r>
      <w:r w:rsidRPr="00BB7039" w:rsidR="00FA1923">
        <w:t xml:space="preserve"> 2022 with approximately </w:t>
      </w:r>
      <w:r w:rsidR="00860A7C">
        <w:t>2,100</w:t>
      </w:r>
      <w:r w:rsidRPr="00BB7039" w:rsidR="00FA1923">
        <w:t xml:space="preserve"> campus LEAs. </w:t>
      </w:r>
    </w:p>
    <w:p w:rsidRPr="00BB7039" w:rsidR="00FA1923" w:rsidP="00385311" w:rsidRDefault="00FA1923" w14:paraId="1267FF96" w14:textId="77777777"/>
    <w:p w:rsidR="00454D30" w:rsidP="00385311" w:rsidRDefault="00FA1923" w14:paraId="47F52C82" w14:textId="571A4AC7">
      <w:r w:rsidRPr="00BB7039">
        <w:t>Through SCLEA, BJS measures changes in the staffing and operations of campus LEAs</w:t>
      </w:r>
      <w:r w:rsidRPr="00BB7039" w:rsidR="00A34890">
        <w:t xml:space="preserve">. By comparing changes in this content over time, BJS can describe how the landscape of campus law enforcement has changed. </w:t>
      </w:r>
      <w:r w:rsidR="009500FB">
        <w:t xml:space="preserve">For example, </w:t>
      </w:r>
      <w:r w:rsidR="00454D30">
        <w:t>among the agencies contacted for both the 2004-2005 and 2011-2012 SCLEA, the percentage using sworn officers increased from 75% to 77% and the percentage using armed officers increased from 68% to 75%. The number of full-time employees in these agencies increased by 16% during the 7-year period between these two survey waves. This included a 10% increase in the number of full-time sworn personnel. During this same time period, the collective enrollment of students on these campuses increased by 11%.</w:t>
      </w:r>
      <w:bookmarkStart w:name="_Ref77082877" w:id="0"/>
      <w:r w:rsidR="009D48A3">
        <w:rPr>
          <w:rStyle w:val="FootnoteReference"/>
        </w:rPr>
        <w:footnoteReference w:id="1"/>
      </w:r>
      <w:bookmarkEnd w:id="0"/>
    </w:p>
    <w:p w:rsidR="00454D30" w:rsidP="00385311" w:rsidRDefault="00454D30" w14:paraId="18258251" w14:textId="77777777"/>
    <w:p w:rsidRPr="00BB7039" w:rsidR="00FA1923" w:rsidP="00385311" w:rsidRDefault="00A34890" w14:paraId="2EE4657D" w14:textId="23B95603">
      <w:r w:rsidRPr="00BB7039">
        <w:t xml:space="preserve">Elements of campus policing have changed significantly since the last iteration of SCLEA was conducted </w:t>
      </w:r>
      <w:r w:rsidRPr="00BB7039" w:rsidR="002A50B1">
        <w:t>during the</w:t>
      </w:r>
      <w:r w:rsidRPr="00BB7039">
        <w:t xml:space="preserve"> 2011-2012</w:t>
      </w:r>
      <w:r w:rsidRPr="00BB7039" w:rsidR="002A50B1">
        <w:t xml:space="preserve"> school year</w:t>
      </w:r>
      <w:r w:rsidRPr="00BB7039" w:rsidR="00883FF8">
        <w:t xml:space="preserve"> (hereafter referred to as the 2011 SCLEA)</w:t>
      </w:r>
      <w:r w:rsidRPr="00BB7039">
        <w:t xml:space="preserve">. The proposed survey seeks to capture information on new and emerging topics in campus law enforcement while maintaining the ability to </w:t>
      </w:r>
      <w:r w:rsidR="009500FB">
        <w:t xml:space="preserve">measure </w:t>
      </w:r>
      <w:r w:rsidRPr="00BB7039">
        <w:t>trend</w:t>
      </w:r>
      <w:r w:rsidR="009500FB">
        <w:t>s</w:t>
      </w:r>
      <w:r w:rsidRPr="00BB7039">
        <w:t xml:space="preserve"> over time with the previous SCLEA waves. To increase representativeness, the 2021 SCLEA will be a census of </w:t>
      </w:r>
      <w:r w:rsidRPr="00BB7039" w:rsidR="0074402D">
        <w:t xml:space="preserve">public and private </w:t>
      </w:r>
      <w:r w:rsidRPr="00BB7039">
        <w:t xml:space="preserve">postsecondary </w:t>
      </w:r>
      <w:r w:rsidRPr="00BB7039" w:rsidR="0074402D">
        <w:t xml:space="preserve">educational </w:t>
      </w:r>
      <w:r w:rsidRPr="00BB7039">
        <w:t>institutions with 1,000 or more students</w:t>
      </w:r>
      <w:r w:rsidRPr="00BB7039" w:rsidR="0074402D">
        <w:t xml:space="preserve">, </w:t>
      </w:r>
      <w:r w:rsidRPr="00BB7039">
        <w:t>whereas previous waves sampled agencies from smaller institutions.</w:t>
      </w:r>
    </w:p>
    <w:p w:rsidRPr="00BB7039" w:rsidR="00A34890" w:rsidP="00385311" w:rsidRDefault="00A34890" w14:paraId="58088D88" w14:textId="5B2A74EB"/>
    <w:p w:rsidRPr="00BB7039" w:rsidR="00A34890" w:rsidP="00385311" w:rsidRDefault="00A34890" w14:paraId="2A6E8AA8" w14:textId="393F16F5">
      <w:r w:rsidRPr="00BB7039">
        <w:t xml:space="preserve">SCLEA is part of BJS’s law enforcement statistics program. This program has traditionally emphasized surveys of organizations about the operations of the criminal justice system, consistent with BJS’s authorizing statute (34 USC </w:t>
      </w:r>
      <w:r w:rsidRPr="00BB7039">
        <w:rPr>
          <w:rFonts w:ascii="Calibri" w:hAnsi="Calibri" w:cs="Calibri"/>
        </w:rPr>
        <w:t>§</w:t>
      </w:r>
      <w:r w:rsidRPr="00BB7039">
        <w:t xml:space="preserve"> 10132(c)(4)). Core to BJS’s effort in describing the operations of law enforcement agencies are the Census of State and Local Law Enforcement Agencies (CSLLEA</w:t>
      </w:r>
      <w:r w:rsidRPr="00BB7039" w:rsidR="00A12C9E">
        <w:t xml:space="preserve">; </w:t>
      </w:r>
      <w:r w:rsidRPr="00BB7039">
        <w:t xml:space="preserve">OMB Control Number 1121-0346) conducted </w:t>
      </w:r>
      <w:r w:rsidRPr="00BB7039" w:rsidR="00E27241">
        <w:t>regularly</w:t>
      </w:r>
      <w:r w:rsidRPr="00BB7039">
        <w:t xml:space="preserve"> since 1992, and the Law Enforcement Management and Administrative Statistics (LEMAS) Survey (OMB Control Number 1121-0240) conducted every 3-</w:t>
      </w:r>
      <w:r w:rsidRPr="00BB7039" w:rsidR="004E442A">
        <w:t>4</w:t>
      </w:r>
      <w:r w:rsidRPr="00BB7039">
        <w:t xml:space="preserve"> years since 1987.</w:t>
      </w:r>
      <w:r w:rsidRPr="00BB7039" w:rsidR="00902664">
        <w:t xml:space="preserve"> The SCLEA serves to complement these core law enforcement data collections.</w:t>
      </w:r>
    </w:p>
    <w:p w:rsidRPr="00BB7039" w:rsidR="00F44001" w:rsidP="00385311" w:rsidRDefault="00F44001" w14:paraId="5FC85074" w14:textId="22C35D5D"/>
    <w:p w:rsidRPr="00BB7039" w:rsidR="002A2407" w:rsidP="00385311" w:rsidRDefault="008425BC" w14:paraId="037BA716" w14:textId="0E8E3290">
      <w:r w:rsidRPr="00BB7039">
        <w:t>The CSLLEA</w:t>
      </w:r>
      <w:r w:rsidRPr="00BB7039" w:rsidR="00C13DAF">
        <w:t xml:space="preserve"> has been conducted approximately every four years since 1992 and</w:t>
      </w:r>
      <w:r w:rsidRPr="00BB7039">
        <w:t xml:space="preserve"> </w:t>
      </w:r>
      <w:r w:rsidRPr="00BB7039" w:rsidR="002A2407">
        <w:t>is</w:t>
      </w:r>
      <w:r w:rsidRPr="00BB7039">
        <w:t xml:space="preserve"> an enumeration of all publicly funded state, county, local</w:t>
      </w:r>
      <w:r w:rsidRPr="00BB7039" w:rsidR="00E122DC">
        <w:t>,</w:t>
      </w:r>
      <w:r w:rsidRPr="00BB7039">
        <w:t xml:space="preserve"> and tribal law enforcement agencies operating in the United States</w:t>
      </w:r>
      <w:r w:rsidRPr="00BB7039" w:rsidR="002A2407">
        <w:t xml:space="preserve">. It </w:t>
      </w:r>
      <w:r w:rsidRPr="00BB7039">
        <w:t xml:space="preserve">provides personnel counts for the approximately </w:t>
      </w:r>
      <w:r w:rsidRPr="00BB7039" w:rsidR="000A6484">
        <w:t>18</w:t>
      </w:r>
      <w:r w:rsidRPr="00BB7039">
        <w:t>,000 law enforcement agencies operating nationally.</w:t>
      </w:r>
      <w:r w:rsidRPr="00BB7039" w:rsidR="001250FD">
        <w:t xml:space="preserve"> </w:t>
      </w:r>
      <w:r w:rsidRPr="00BB7039" w:rsidR="000A6484">
        <w:t xml:space="preserve">This includes campus law enforcement agencies, but </w:t>
      </w:r>
      <w:r w:rsidRPr="00BB7039" w:rsidR="000A6484">
        <w:lastRenderedPageBreak/>
        <w:t xml:space="preserve">only those serving public educational institutions; it does not include campus law enforcement agencies serving private educational institutions. </w:t>
      </w:r>
      <w:r w:rsidRPr="00BB7039" w:rsidR="001808E9">
        <w:t xml:space="preserve">The CSLLEA </w:t>
      </w:r>
      <w:r w:rsidRPr="00BB7039" w:rsidR="002A2407">
        <w:t xml:space="preserve">also asks what type of entity operates the agency and </w:t>
      </w:r>
      <w:r w:rsidRPr="00BB7039" w:rsidR="00F44001">
        <w:t xml:space="preserve">provides the basis for distinguishing among various types of agencies by asking about the functions they perform (e.g., </w:t>
      </w:r>
      <w:r w:rsidRPr="00BB7039" w:rsidR="002A2407">
        <w:t>patrol and response,</w:t>
      </w:r>
      <w:r w:rsidRPr="00BB7039" w:rsidR="00F44001">
        <w:t xml:space="preserve"> investigative, </w:t>
      </w:r>
      <w:r w:rsidRPr="00BB7039" w:rsidR="002A2407">
        <w:t>and traffic and vehicle-related functions</w:t>
      </w:r>
      <w:r w:rsidRPr="00BB7039" w:rsidR="00F44001">
        <w:t xml:space="preserve">). </w:t>
      </w:r>
    </w:p>
    <w:p w:rsidRPr="00BB7039" w:rsidR="002A2407" w:rsidP="00385311" w:rsidRDefault="002A2407" w14:paraId="71967354" w14:textId="77777777"/>
    <w:p w:rsidRPr="00BB7039" w:rsidR="00F44001" w:rsidP="00385311" w:rsidRDefault="00F44001" w14:paraId="1BFA813A" w14:textId="2B5F4F7D">
      <w:r w:rsidRPr="00BB7039">
        <w:t>Through LEMAS, which has been conducted 1</w:t>
      </w:r>
      <w:r w:rsidRPr="00BB7039" w:rsidR="008425BC">
        <w:t>1</w:t>
      </w:r>
      <w:r w:rsidRPr="00BB7039">
        <w:t xml:space="preserve"> times</w:t>
      </w:r>
      <w:r w:rsidRPr="00BB7039" w:rsidR="00E122DC">
        <w:t xml:space="preserve"> since 1987</w:t>
      </w:r>
      <w:r w:rsidRPr="00BB7039">
        <w:t xml:space="preserve">, BJS captures more detailed information about the organizational structure and operations of </w:t>
      </w:r>
      <w:r w:rsidRPr="00BB7039" w:rsidR="000A6484">
        <w:t xml:space="preserve">general-purpose </w:t>
      </w:r>
      <w:r w:rsidRPr="00BB7039">
        <w:t>law enforcement agencies</w:t>
      </w:r>
      <w:r w:rsidRPr="00BB7039" w:rsidR="002A2407">
        <w:t xml:space="preserve">, </w:t>
      </w:r>
      <w:r w:rsidRPr="00BB7039">
        <w:t xml:space="preserve">including personnel, budgets, salaries, operations, vehicles, equipment, information systems, policies, and use of technology. </w:t>
      </w:r>
      <w:r w:rsidRPr="00BB7039" w:rsidR="002A2407">
        <w:t>The CSLLEA serves as the</w:t>
      </w:r>
      <w:r w:rsidRPr="00BB7039" w:rsidR="00902664">
        <w:t xml:space="preserve"> </w:t>
      </w:r>
      <w:r w:rsidRPr="00BB7039" w:rsidR="002A2407">
        <w:t>frame and a nationally representative sample of approximately 3,500 general-purpose agencies is selected to participate in LEMAS.</w:t>
      </w:r>
      <w:r w:rsidRPr="00BB7039" w:rsidR="00310F7C">
        <w:t xml:space="preserve"> </w:t>
      </w:r>
    </w:p>
    <w:p w:rsidRPr="00BB7039" w:rsidR="00F44001" w:rsidP="00385311" w:rsidRDefault="00F44001" w14:paraId="743C42BE" w14:textId="0D5632A4"/>
    <w:p w:rsidRPr="00BB7039" w:rsidR="00ED4AE4" w:rsidP="00385311" w:rsidRDefault="00F44001" w14:paraId="12291F77" w14:textId="77777777">
      <w:r w:rsidRPr="00BB7039">
        <w:t xml:space="preserve">BJS uses SCLEA to complement the information obtained through CSLLEA and LEMAS. From CSLLEA, BJS has data on staffing and functions </w:t>
      </w:r>
      <w:r w:rsidRPr="00BB7039" w:rsidR="0006527A">
        <w:t>from campus LEAs</w:t>
      </w:r>
      <w:r w:rsidRPr="00BB7039" w:rsidR="00343388">
        <w:t xml:space="preserve"> serving public postsecondary educational institutions</w:t>
      </w:r>
      <w:r w:rsidRPr="00BB7039" w:rsidR="0006527A">
        <w:t xml:space="preserve">. </w:t>
      </w:r>
      <w:r w:rsidRPr="00BB7039" w:rsidR="00310F7C">
        <w:t xml:space="preserve">BJS uses the Integrated Postsecondary </w:t>
      </w:r>
      <w:r w:rsidRPr="00BB7039" w:rsidR="00ED4AE4">
        <w:t xml:space="preserve">Education Data System (IPEDS) from the National Center for Education Statistics (NCES) to ensure the SCLEA frame is complete. IPEDS is the most comprehensive data collection effort in postsecondary education and provides a complete list of postsecondary institutions in the U.S. Using IPEDS allows BJS to identify campus agencies serving public institutions that may not have been included in the most recent CSLLEA and also provides BJS with a list of campus agencies serving private institutions since this agency type does not fall within the CSLLEA universe. </w:t>
      </w:r>
    </w:p>
    <w:p w:rsidRPr="00BB7039" w:rsidR="00ED4AE4" w:rsidP="00385311" w:rsidRDefault="00ED4AE4" w14:paraId="3BA47B8C" w14:textId="77777777"/>
    <w:p w:rsidRPr="00BB7039" w:rsidR="00F44001" w:rsidP="00385311" w:rsidRDefault="00ED4AE4" w14:paraId="3BE18FDA" w14:textId="3E60AAC5">
      <w:r w:rsidRPr="00BB7039">
        <w:t xml:space="preserve">Campus law enforcement agencies are a type of special purpose agency. </w:t>
      </w:r>
      <w:r w:rsidRPr="00BB7039" w:rsidR="0006527A">
        <w:t xml:space="preserve">LEMAS is administered </w:t>
      </w:r>
      <w:r w:rsidRPr="00BB7039">
        <w:t xml:space="preserve">only </w:t>
      </w:r>
      <w:r w:rsidRPr="00BB7039" w:rsidR="0006527A">
        <w:t>to general</w:t>
      </w:r>
      <w:r w:rsidRPr="00BB7039" w:rsidR="00343388">
        <w:t>-</w:t>
      </w:r>
      <w:r w:rsidRPr="00BB7039" w:rsidR="0006527A">
        <w:t>purpose LEAs and therefore campus LEAs are not eligible for LEMAS. The SCLEA survey closely resembles the LEMAS survey so as to collect detailed information about the organization and characteristics of campus LEAs</w:t>
      </w:r>
      <w:r w:rsidRPr="00BB7039" w:rsidR="00310F7C">
        <w:t xml:space="preserve">, allowing BJS to provide national statistics on a wide variety of topics within campus law enforcement. </w:t>
      </w:r>
      <w:r w:rsidRPr="00BB7039" w:rsidR="004E442A">
        <w:t>By closely aligning the SCLEA survey with the LEMAS survey, BJS will be able to provide a national picture of campus law enforcement that is comparable to that provided for general-purpose law enforcement agencies.</w:t>
      </w:r>
    </w:p>
    <w:p w:rsidRPr="00BB7039" w:rsidR="00E3412C" w:rsidP="00385311" w:rsidRDefault="00E3412C" w14:paraId="35FAB9F5" w14:textId="77777777"/>
    <w:p w:rsidRPr="00BB7039" w:rsidR="00A34890" w:rsidP="00385311" w:rsidRDefault="000062A9" w14:paraId="5947CAD8" w14:textId="3BEB6892">
      <w:r w:rsidRPr="00BB7039">
        <w:t xml:space="preserve">In previous iterations of SCLEA, BJS has employed different sample designs. </w:t>
      </w:r>
      <w:r w:rsidRPr="00BB7039" w:rsidR="00E01C01">
        <w:t xml:space="preserve">In </w:t>
      </w:r>
      <w:r w:rsidRPr="00BB7039" w:rsidR="00C205FE">
        <w:t xml:space="preserve">each of the three previous waves, </w:t>
      </w:r>
      <w:r w:rsidR="009657B5">
        <w:t xml:space="preserve">BJS conducted a census of </w:t>
      </w:r>
      <w:r w:rsidR="00426072">
        <w:t xml:space="preserve">a core group of </w:t>
      </w:r>
      <w:r w:rsidR="001B7BA1">
        <w:t>agencies</w:t>
      </w:r>
      <w:r w:rsidR="00426072">
        <w:t xml:space="preserve"> which consisted of </w:t>
      </w:r>
      <w:r w:rsidR="001B7BA1">
        <w:t xml:space="preserve">those serving </w:t>
      </w:r>
      <w:r w:rsidRPr="00BB7039" w:rsidR="00C205FE">
        <w:t xml:space="preserve">public and private 4-year institutions with 2,500 or more students. </w:t>
      </w:r>
      <w:r w:rsidR="001B7BA1">
        <w:t>In 1994-1995, t</w:t>
      </w:r>
      <w:r w:rsidRPr="00BB7039" w:rsidR="00977FBA">
        <w:t>he response rate was 85% among the core group.</w:t>
      </w:r>
      <w:r w:rsidR="001B7BA1">
        <w:t xml:space="preserve"> </w:t>
      </w:r>
      <w:r w:rsidRPr="00BB7039" w:rsidR="00C205FE">
        <w:t xml:space="preserve">In addition to the core group in 1994-1995, </w:t>
      </w:r>
      <w:r w:rsidRPr="004E1158" w:rsidR="00EB2129">
        <w:t>completed surveys were received from campus law enforcement agencies at 112 U.S. 4-year institutions with at least 1,000 but fewer than 2,500 students, 90 U.S. 2-year colleges, 32 U.S. graduate and professional schools, and 31 Canadian 4-year colleges and universities</w:t>
      </w:r>
      <w:r w:rsidRPr="00BB7039" w:rsidR="0000687A">
        <w:t xml:space="preserve">. </w:t>
      </w:r>
      <w:r w:rsidRPr="00BB7039" w:rsidR="00C205FE">
        <w:t xml:space="preserve">These respondents were all members of the International Association of Campus </w:t>
      </w:r>
      <w:r w:rsidR="00977FBA">
        <w:t>L</w:t>
      </w:r>
      <w:r w:rsidRPr="00BB7039" w:rsidR="00C205FE">
        <w:t>aw Enforcement Administrators (IACLEA) who volunteered to participate in the survey.</w:t>
      </w:r>
      <w:r w:rsidRPr="00BB7039" w:rsidR="00ED24E8">
        <w:t xml:space="preserve"> </w:t>
      </w:r>
    </w:p>
    <w:p w:rsidRPr="00BB7039" w:rsidR="00ED24E8" w:rsidP="00385311" w:rsidRDefault="00ED24E8" w14:paraId="50A9B41B" w14:textId="196F532B"/>
    <w:p w:rsidR="00781052" w:rsidP="00385311" w:rsidRDefault="00781052" w14:paraId="67B36321" w14:textId="77777777"/>
    <w:p w:rsidR="00781052" w:rsidP="00385311" w:rsidRDefault="00781052" w14:paraId="538EAD4F" w14:textId="77777777"/>
    <w:p w:rsidR="00781052" w:rsidP="00385311" w:rsidRDefault="00781052" w14:paraId="2117E362" w14:textId="77777777"/>
    <w:p w:rsidR="00781052" w:rsidP="00385311" w:rsidRDefault="00781052" w14:paraId="04B02D88" w14:textId="77777777"/>
    <w:p w:rsidR="00781052" w:rsidP="00385311" w:rsidRDefault="00781052" w14:paraId="2F8C81BC" w14:textId="77777777"/>
    <w:p w:rsidR="00ED24E8" w:rsidP="00385311" w:rsidRDefault="00ED24E8" w14:paraId="5ED6468D" w14:textId="75CF5F6B">
      <w:r w:rsidRPr="00BB7039">
        <w:lastRenderedPageBreak/>
        <w:t xml:space="preserve">In 2004-2005, in addition to the core group, </w:t>
      </w:r>
      <w:r w:rsidR="003A7ABA">
        <w:t xml:space="preserve">BJS also conducted a census of </w:t>
      </w:r>
      <w:r w:rsidR="00284EF8">
        <w:t xml:space="preserve">agencies serving </w:t>
      </w:r>
      <w:r w:rsidRPr="00BB7039">
        <w:t>2-year colleges with 10,000 or more students. The response rate was 81% within the core group and 82% overall</w:t>
      </w:r>
      <w:r w:rsidR="003A34B3">
        <w:t xml:space="preserve"> (</w:t>
      </w:r>
      <w:r w:rsidRPr="008B003F" w:rsidR="003A34B3">
        <w:rPr>
          <w:b/>
        </w:rPr>
        <w:t>Table 1</w:t>
      </w:r>
      <w:r w:rsidR="003A34B3">
        <w:t>)</w:t>
      </w:r>
      <w:r w:rsidRPr="00BB7039" w:rsidR="00A0177D">
        <w:t xml:space="preserve">. The data collection </w:t>
      </w:r>
      <w:r w:rsidRPr="00BB7039" w:rsidR="007F6FF1">
        <w:t xml:space="preserve">was </w:t>
      </w:r>
      <w:r w:rsidRPr="00BB7039" w:rsidR="00A0177D">
        <w:t>further expanded for the 2011</w:t>
      </w:r>
      <w:r w:rsidR="0076246E">
        <w:t xml:space="preserve"> </w:t>
      </w:r>
      <w:r w:rsidRPr="00BB7039" w:rsidR="00A0177D">
        <w:t>wav</w:t>
      </w:r>
      <w:r w:rsidRPr="00BB7039" w:rsidR="00DA4660">
        <w:t xml:space="preserve">e, </w:t>
      </w:r>
      <w:r w:rsidRPr="00BB7039" w:rsidR="00A0177D">
        <w:t xml:space="preserve">including </w:t>
      </w:r>
      <w:r w:rsidRPr="00BB7039" w:rsidR="00DA4660">
        <w:t xml:space="preserve">a </w:t>
      </w:r>
      <w:r w:rsidR="0076246E">
        <w:t xml:space="preserve">census of </w:t>
      </w:r>
      <w:r w:rsidR="00284EF8">
        <w:t xml:space="preserve">agencies serving </w:t>
      </w:r>
      <w:r w:rsidRPr="00BB7039" w:rsidR="0076246E">
        <w:t xml:space="preserve">2-year institutions with 2,500 or more students </w:t>
      </w:r>
      <w:r w:rsidR="0076246E">
        <w:t xml:space="preserve">and a representative </w:t>
      </w:r>
      <w:r w:rsidRPr="00BB7039" w:rsidR="00DA4660">
        <w:t xml:space="preserve">sample of agencies serving </w:t>
      </w:r>
      <w:r w:rsidRPr="00BB7039" w:rsidR="00A0177D">
        <w:t xml:space="preserve">4-year institutions with 1,000 to 2,499 students. </w:t>
      </w:r>
      <w:r w:rsidRPr="00BB7039" w:rsidR="00DA4660">
        <w:t>T</w:t>
      </w:r>
      <w:r w:rsidRPr="00BB7039" w:rsidR="00A0177D">
        <w:t xml:space="preserve">he response rate was 90% in the </w:t>
      </w:r>
      <w:r w:rsidR="0076246E">
        <w:t xml:space="preserve">census of the </w:t>
      </w:r>
      <w:r w:rsidRPr="00BB7039" w:rsidR="00A0177D">
        <w:t>core group of campus LEAs.</w:t>
      </w:r>
    </w:p>
    <w:p w:rsidR="00B17A41" w:rsidP="00385311" w:rsidRDefault="00B17A41" w14:paraId="28148217" w14:textId="2551A222"/>
    <w:p w:rsidRPr="008B003F" w:rsidR="003A34B3" w:rsidP="00385311" w:rsidRDefault="003A34B3" w14:paraId="47C5C346" w14:textId="29D2181A">
      <w:pPr>
        <w:rPr>
          <w:b/>
        </w:rPr>
      </w:pPr>
      <w:r>
        <w:rPr>
          <w:b/>
        </w:rPr>
        <w:t>Table 1. Response rates for 2004-2005 and 2011-2012 SCLEA</w:t>
      </w:r>
    </w:p>
    <w:tbl>
      <w:tblPr>
        <w:tblStyle w:val="TableGrid"/>
        <w:tblW w:w="9445" w:type="dxa"/>
        <w:tblLook w:val="04A0" w:firstRow="1" w:lastRow="0" w:firstColumn="1" w:lastColumn="0" w:noHBand="0" w:noVBand="1"/>
      </w:tblPr>
      <w:tblGrid>
        <w:gridCol w:w="3685"/>
        <w:gridCol w:w="2970"/>
        <w:gridCol w:w="2790"/>
      </w:tblGrid>
      <w:tr w:rsidRPr="008D2096" w:rsidR="003A34B3" w:rsidTr="000D614E" w14:paraId="1BDCADD1" w14:textId="77777777">
        <w:trPr>
          <w:trHeight w:val="343" w:hRule="exact"/>
        </w:trPr>
        <w:tc>
          <w:tcPr>
            <w:tcW w:w="3685" w:type="dxa"/>
          </w:tcPr>
          <w:p w:rsidRPr="008D2096" w:rsidR="003A34B3" w:rsidP="00424DF2" w:rsidRDefault="003A34B3" w14:paraId="210CB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D2096">
              <w:rPr>
                <w:rFonts w:ascii="Times New Roman" w:hAnsi="Times New Roman"/>
              </w:rPr>
              <w:t>Student enrollment</w:t>
            </w:r>
          </w:p>
        </w:tc>
        <w:tc>
          <w:tcPr>
            <w:tcW w:w="2970" w:type="dxa"/>
          </w:tcPr>
          <w:p w:rsidRPr="008D2096" w:rsidR="003A34B3" w:rsidP="00424DF2" w:rsidRDefault="003A34B3" w14:paraId="7FDB2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D2096">
              <w:rPr>
                <w:rFonts w:ascii="Times New Roman" w:hAnsi="Times New Roman"/>
              </w:rPr>
              <w:t>2004-2005 response rates</w:t>
            </w:r>
          </w:p>
        </w:tc>
        <w:tc>
          <w:tcPr>
            <w:tcW w:w="2790" w:type="dxa"/>
          </w:tcPr>
          <w:p w:rsidRPr="008D2096" w:rsidR="003A34B3" w:rsidP="00424DF2" w:rsidRDefault="003A34B3" w14:paraId="161E1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D2096">
              <w:rPr>
                <w:rFonts w:ascii="Times New Roman" w:hAnsi="Times New Roman"/>
              </w:rPr>
              <w:t>2011-2012 response rates</w:t>
            </w:r>
          </w:p>
        </w:tc>
      </w:tr>
      <w:tr w:rsidRPr="008D2096" w:rsidR="003A34B3" w:rsidTr="000D614E" w14:paraId="24C60170" w14:textId="77777777">
        <w:trPr>
          <w:trHeight w:val="415" w:hRule="exact"/>
        </w:trPr>
        <w:tc>
          <w:tcPr>
            <w:tcW w:w="3685" w:type="dxa"/>
          </w:tcPr>
          <w:p w:rsidRPr="008D2096" w:rsidR="003A34B3" w:rsidP="00424DF2" w:rsidRDefault="003A34B3" w14:paraId="7C04F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D2096">
              <w:rPr>
                <w:rFonts w:ascii="Times New Roman" w:hAnsi="Times New Roman"/>
              </w:rPr>
              <w:t>Overall response rate</w:t>
            </w:r>
          </w:p>
        </w:tc>
        <w:tc>
          <w:tcPr>
            <w:tcW w:w="2970" w:type="dxa"/>
          </w:tcPr>
          <w:p w:rsidRPr="008D2096" w:rsidR="003A34B3" w:rsidP="00424DF2" w:rsidRDefault="003A34B3" w14:paraId="65B49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82%</w:t>
            </w:r>
          </w:p>
        </w:tc>
        <w:tc>
          <w:tcPr>
            <w:tcW w:w="2790" w:type="dxa"/>
          </w:tcPr>
          <w:p w:rsidRPr="008D2096" w:rsidR="003A34B3" w:rsidP="00424DF2" w:rsidRDefault="003A34B3" w14:paraId="5C96EB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89%</w:t>
            </w:r>
          </w:p>
        </w:tc>
      </w:tr>
      <w:tr w:rsidRPr="008D2096" w:rsidR="003A34B3" w:rsidTr="000D614E" w14:paraId="29FE823C" w14:textId="77777777">
        <w:trPr>
          <w:trHeight w:val="403" w:hRule="exact"/>
        </w:trPr>
        <w:tc>
          <w:tcPr>
            <w:tcW w:w="3685" w:type="dxa"/>
          </w:tcPr>
          <w:p w:rsidRPr="008D2096" w:rsidR="003A34B3" w:rsidP="00424DF2" w:rsidRDefault="003A34B3" w14:paraId="5B31F9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D2096">
              <w:rPr>
                <w:rFonts w:ascii="Times New Roman" w:hAnsi="Times New Roman"/>
              </w:rPr>
              <w:t>4</w:t>
            </w:r>
            <w:r>
              <w:t>-</w:t>
            </w:r>
            <w:r w:rsidRPr="008D2096">
              <w:rPr>
                <w:rFonts w:ascii="Times New Roman" w:hAnsi="Times New Roman"/>
              </w:rPr>
              <w:t>year with 2,500 or more (core)</w:t>
            </w:r>
          </w:p>
        </w:tc>
        <w:tc>
          <w:tcPr>
            <w:tcW w:w="2970" w:type="dxa"/>
          </w:tcPr>
          <w:p w:rsidRPr="008D2096" w:rsidR="003A34B3" w:rsidP="00424DF2" w:rsidRDefault="003A34B3" w14:paraId="274FF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81%</w:t>
            </w:r>
          </w:p>
        </w:tc>
        <w:tc>
          <w:tcPr>
            <w:tcW w:w="2790" w:type="dxa"/>
          </w:tcPr>
          <w:p w:rsidRPr="008D2096" w:rsidR="003A34B3" w:rsidP="00424DF2" w:rsidRDefault="003A34B3" w14:paraId="421B3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90%</w:t>
            </w:r>
          </w:p>
        </w:tc>
      </w:tr>
      <w:tr w:rsidRPr="008D2096" w:rsidR="003A34B3" w:rsidTr="000D614E" w14:paraId="72DCD02B" w14:textId="77777777">
        <w:trPr>
          <w:trHeight w:val="403" w:hRule="exact"/>
        </w:trPr>
        <w:tc>
          <w:tcPr>
            <w:tcW w:w="3685" w:type="dxa"/>
          </w:tcPr>
          <w:p w:rsidRPr="008D2096" w:rsidR="003A34B3" w:rsidP="00424DF2" w:rsidRDefault="003A34B3" w14:paraId="23D6FB9C" w14:textId="629F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D2096">
              <w:rPr>
                <w:rFonts w:ascii="Times New Roman" w:hAnsi="Times New Roman"/>
              </w:rPr>
              <w:t>4</w:t>
            </w:r>
            <w:r>
              <w:t>-</w:t>
            </w:r>
            <w:r w:rsidRPr="008D2096">
              <w:rPr>
                <w:rFonts w:ascii="Times New Roman" w:hAnsi="Times New Roman"/>
              </w:rPr>
              <w:t>year with 1,000 – 2,499</w:t>
            </w:r>
          </w:p>
        </w:tc>
        <w:tc>
          <w:tcPr>
            <w:tcW w:w="2970" w:type="dxa"/>
          </w:tcPr>
          <w:p w:rsidRPr="008D2096" w:rsidR="003A34B3" w:rsidP="00424DF2" w:rsidRDefault="003A34B3" w14:paraId="097F51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N/A</w:t>
            </w:r>
          </w:p>
        </w:tc>
        <w:tc>
          <w:tcPr>
            <w:tcW w:w="2790" w:type="dxa"/>
          </w:tcPr>
          <w:p w:rsidRPr="008D2096" w:rsidR="003A34B3" w:rsidP="00424DF2" w:rsidRDefault="003A34B3" w14:paraId="74762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84%</w:t>
            </w:r>
          </w:p>
        </w:tc>
      </w:tr>
      <w:tr w:rsidRPr="008D2096" w:rsidR="003A34B3" w:rsidTr="000D614E" w14:paraId="56645FAE" w14:textId="77777777">
        <w:trPr>
          <w:trHeight w:val="403" w:hRule="exact"/>
        </w:trPr>
        <w:tc>
          <w:tcPr>
            <w:tcW w:w="3685" w:type="dxa"/>
            <w:tcBorders>
              <w:bottom w:val="single" w:color="000000" w:themeColor="text1" w:sz="4" w:space="0"/>
            </w:tcBorders>
          </w:tcPr>
          <w:p w:rsidRPr="008D2096" w:rsidR="003A34B3" w:rsidP="00424DF2" w:rsidRDefault="003A34B3" w14:paraId="1C2AF371" w14:textId="503E3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D2096">
              <w:rPr>
                <w:rFonts w:ascii="Times New Roman" w:hAnsi="Times New Roman"/>
              </w:rPr>
              <w:t>2-year</w:t>
            </w:r>
          </w:p>
        </w:tc>
        <w:tc>
          <w:tcPr>
            <w:tcW w:w="2970" w:type="dxa"/>
            <w:tcBorders>
              <w:bottom w:val="single" w:color="000000" w:themeColor="text1" w:sz="4" w:space="0"/>
            </w:tcBorders>
          </w:tcPr>
          <w:p w:rsidRPr="008D2096" w:rsidR="003A34B3" w:rsidP="00424DF2" w:rsidRDefault="003A34B3" w14:paraId="36C9E6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88%</w:t>
            </w:r>
          </w:p>
        </w:tc>
        <w:tc>
          <w:tcPr>
            <w:tcW w:w="2790" w:type="dxa"/>
            <w:tcBorders>
              <w:bottom w:val="single" w:color="000000" w:themeColor="text1" w:sz="4" w:space="0"/>
            </w:tcBorders>
          </w:tcPr>
          <w:p w:rsidRPr="008D2096" w:rsidR="003A34B3" w:rsidP="00424DF2" w:rsidRDefault="003A34B3" w14:paraId="7A923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90%</w:t>
            </w:r>
          </w:p>
        </w:tc>
      </w:tr>
      <w:tr w:rsidRPr="008D2096" w:rsidR="003A34B3" w:rsidTr="000D614E" w14:paraId="5626CFD6" w14:textId="77777777">
        <w:trPr>
          <w:trHeight w:val="403" w:hRule="exact"/>
        </w:trPr>
        <w:tc>
          <w:tcPr>
            <w:tcW w:w="3685" w:type="dxa"/>
            <w:shd w:val="clear" w:color="auto" w:fill="FFFFFF" w:themeFill="background1"/>
          </w:tcPr>
          <w:p w:rsidRPr="008D2096" w:rsidR="003A34B3" w:rsidP="003A34B3" w:rsidRDefault="003A34B3" w14:paraId="63B77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D2096">
              <w:rPr>
                <w:rFonts w:ascii="Times New Roman" w:hAnsi="Times New Roman"/>
              </w:rPr>
              <w:t>10,000 or more</w:t>
            </w:r>
          </w:p>
        </w:tc>
        <w:tc>
          <w:tcPr>
            <w:tcW w:w="2970" w:type="dxa"/>
            <w:shd w:val="clear" w:color="auto" w:fill="FFFFFF" w:themeFill="background1"/>
          </w:tcPr>
          <w:p w:rsidRPr="008D2096" w:rsidR="003A34B3" w:rsidP="00424DF2" w:rsidRDefault="003A34B3" w14:paraId="10DF22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88%</w:t>
            </w:r>
          </w:p>
        </w:tc>
        <w:tc>
          <w:tcPr>
            <w:tcW w:w="2790" w:type="dxa"/>
            <w:shd w:val="clear" w:color="auto" w:fill="FFFFFF" w:themeFill="background1"/>
          </w:tcPr>
          <w:p w:rsidRPr="008D2096" w:rsidR="003A34B3" w:rsidP="00424DF2" w:rsidRDefault="003A34B3" w14:paraId="5B3D34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89%</w:t>
            </w:r>
          </w:p>
        </w:tc>
      </w:tr>
      <w:tr w:rsidRPr="008D2096" w:rsidR="003A34B3" w:rsidTr="000D614E" w14:paraId="358398DD" w14:textId="77777777">
        <w:trPr>
          <w:trHeight w:val="403" w:hRule="exact"/>
        </w:trPr>
        <w:tc>
          <w:tcPr>
            <w:tcW w:w="3685" w:type="dxa"/>
            <w:shd w:val="clear" w:color="auto" w:fill="FFFFFF" w:themeFill="background1"/>
          </w:tcPr>
          <w:p w:rsidRPr="008D2096" w:rsidR="003A34B3" w:rsidP="003A34B3" w:rsidRDefault="003A34B3" w14:paraId="2A001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8D2096">
              <w:rPr>
                <w:rFonts w:ascii="Times New Roman" w:hAnsi="Times New Roman"/>
              </w:rPr>
              <w:t>2,500 - 9,999</w:t>
            </w:r>
          </w:p>
        </w:tc>
        <w:tc>
          <w:tcPr>
            <w:tcW w:w="2970" w:type="dxa"/>
            <w:shd w:val="clear" w:color="auto" w:fill="FFFFFF" w:themeFill="background1"/>
          </w:tcPr>
          <w:p w:rsidRPr="008D2096" w:rsidR="003A34B3" w:rsidP="00424DF2" w:rsidRDefault="003A34B3" w14:paraId="616E4E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N/A</w:t>
            </w:r>
          </w:p>
        </w:tc>
        <w:tc>
          <w:tcPr>
            <w:tcW w:w="2790" w:type="dxa"/>
            <w:shd w:val="clear" w:color="auto" w:fill="FFFFFF" w:themeFill="background1"/>
          </w:tcPr>
          <w:p w:rsidRPr="008D2096" w:rsidR="003A34B3" w:rsidP="00424DF2" w:rsidRDefault="003A34B3" w14:paraId="5FB81E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D2096">
              <w:rPr>
                <w:rFonts w:ascii="Times New Roman" w:hAnsi="Times New Roman"/>
              </w:rPr>
              <w:t>91%</w:t>
            </w:r>
          </w:p>
        </w:tc>
      </w:tr>
    </w:tbl>
    <w:p w:rsidRPr="00BB7039" w:rsidR="00A62BA2" w:rsidP="00385311" w:rsidRDefault="00A62BA2" w14:paraId="368EBECB" w14:textId="1D3A3A0E"/>
    <w:p w:rsidR="00A04C70" w:rsidP="00385311" w:rsidRDefault="00BD19AC" w14:paraId="55861CAE" w14:textId="7F24AE3F">
      <w:r w:rsidRPr="00BB7039">
        <w:t>During the course of review</w:t>
      </w:r>
      <w:r w:rsidR="00977FBA">
        <w:t xml:space="preserve"> of the </w:t>
      </w:r>
      <w:r w:rsidRPr="00BB7039" w:rsidR="00977FBA">
        <w:t>2011 SCLEA data</w:t>
      </w:r>
      <w:r w:rsidRPr="00BB7039">
        <w:t xml:space="preserve">, </w:t>
      </w:r>
      <w:r w:rsidR="00977FBA">
        <w:t xml:space="preserve">BJS identified </w:t>
      </w:r>
      <w:r w:rsidRPr="00BB7039">
        <w:t>concerns about the sample design for the non-core group of institutions. A stratified sampling approach was used for the non-core institutions, with small (1,000 – 2,499 students) public 4-year schools selected with certainty while private institutions were sampled randomly. Stratification for 2-year schools was done by size rather than institutional control, with large schools (10,000 or more students) selected with certainty and smaller schools sampled randomly.</w:t>
      </w:r>
      <w:r w:rsidRPr="00BB7039" w:rsidR="00326A51">
        <w:t xml:space="preserve"> </w:t>
      </w:r>
      <w:r w:rsidRPr="00BB7039" w:rsidR="00A04C70">
        <w:t xml:space="preserve">Issues with the sampling frame were discovered during data analysis, such as institutions that were classified incorrectly. </w:t>
      </w:r>
      <w:r w:rsidRPr="00BB7039" w:rsidR="00326A51">
        <w:t xml:space="preserve">Frame inaccuracies and changes to the frame led to weighting issues and </w:t>
      </w:r>
      <w:r w:rsidRPr="00BB7039" w:rsidR="00A04C70">
        <w:t xml:space="preserve">ultimately the issues with these data were not resolved. </w:t>
      </w:r>
    </w:p>
    <w:p w:rsidRPr="00BB7039" w:rsidR="00717AE5" w:rsidP="00385311" w:rsidRDefault="00717AE5" w14:paraId="3D3DA07F" w14:textId="77777777"/>
    <w:p w:rsidRPr="00BB7039" w:rsidR="00A62BA2" w:rsidP="00385311" w:rsidRDefault="00A04C70" w14:paraId="5DD1E96D" w14:textId="6EC8BDA6">
      <w:r w:rsidRPr="00BB7039">
        <w:t xml:space="preserve">Given the issues encountered and BJS’s inability to produce reasonably precise estimates for smaller institutions from the 2011 SCLEA, the 2021 SCLEA will be a census of 2-year and 4-year institutions with 1,000 or more students. </w:t>
      </w:r>
      <w:r w:rsidRPr="00BB7039" w:rsidR="00E260F4">
        <w:t xml:space="preserve">BJS estimates that </w:t>
      </w:r>
      <w:r w:rsidR="002B6A42">
        <w:t>2,067</w:t>
      </w:r>
      <w:r w:rsidRPr="00BB7039" w:rsidR="00C942C0">
        <w:t xml:space="preserve"> institutions meet these criteria.</w:t>
      </w:r>
      <w:r w:rsidRPr="00BB7039" w:rsidR="00326A51">
        <w:t xml:space="preserve"> </w:t>
      </w:r>
    </w:p>
    <w:p w:rsidRPr="00BB7039" w:rsidR="00AF7585" w:rsidP="00385311" w:rsidRDefault="00AF7585" w14:paraId="79AA17F3" w14:textId="77777777"/>
    <w:p w:rsidRPr="00BB7039" w:rsidR="00DD4387" w:rsidP="00385311" w:rsidRDefault="00FD7BAC" w14:paraId="03244C4C" w14:textId="0DFBA463">
      <w:r>
        <w:t>BJS conducted an</w:t>
      </w:r>
      <w:r w:rsidRPr="00BB7039" w:rsidR="00925176">
        <w:t xml:space="preserve"> expert panel meeting in </w:t>
      </w:r>
      <w:r>
        <w:t xml:space="preserve">July </w:t>
      </w:r>
      <w:r w:rsidRPr="00BB7039" w:rsidR="00925176">
        <w:t>20</w:t>
      </w:r>
      <w:r w:rsidRPr="00BB7039" w:rsidR="00A469DA">
        <w:t>20</w:t>
      </w:r>
      <w:r w:rsidR="006A114F">
        <w:t xml:space="preserve"> with 10 campus law enforcement practitioners and researchers. These experts reviewed the 2011 SCLEA instrument and</w:t>
      </w:r>
      <w:r w:rsidR="00755D11">
        <w:t>,</w:t>
      </w:r>
      <w:r w:rsidR="006A114F">
        <w:t xml:space="preserve"> based on their feedback, BJS drafted the 2021 SCLEA instrument. BJS then </w:t>
      </w:r>
      <w:r w:rsidRPr="00BB7039" w:rsidR="00925176">
        <w:t xml:space="preserve">conducted cognitive interviews on the </w:t>
      </w:r>
      <w:r w:rsidRPr="00BB7039" w:rsidR="00A469DA">
        <w:t xml:space="preserve">2021 SCLEA </w:t>
      </w:r>
      <w:r w:rsidRPr="00BB7039" w:rsidR="00DD4387">
        <w:t>instrument</w:t>
      </w:r>
      <w:r w:rsidRPr="00BB7039" w:rsidR="00925176">
        <w:t xml:space="preserve"> (OMB 1121-0339)</w:t>
      </w:r>
      <w:r w:rsidR="006A114F">
        <w:t xml:space="preserve"> </w:t>
      </w:r>
      <w:r w:rsidRPr="00BB7039" w:rsidR="00A469DA">
        <w:t>in April and May 2021</w:t>
      </w:r>
      <w:r w:rsidRPr="00BB7039" w:rsidR="00925176">
        <w:t xml:space="preserve">. A total of </w:t>
      </w:r>
      <w:r w:rsidRPr="00BB7039" w:rsidR="00A469DA">
        <w:t>14 campus LEAs</w:t>
      </w:r>
      <w:r w:rsidRPr="00BB7039" w:rsidR="007920D6">
        <w:t xml:space="preserve"> </w:t>
      </w:r>
      <w:r w:rsidRPr="00BB7039" w:rsidR="00DE43CE">
        <w:t xml:space="preserve">serving institutions of different types and sizes </w:t>
      </w:r>
      <w:r w:rsidRPr="00BB7039" w:rsidR="00A469DA">
        <w:t>participated</w:t>
      </w:r>
      <w:r w:rsidRPr="00BB7039" w:rsidR="00925176">
        <w:t xml:space="preserve"> in the cognitive testing. </w:t>
      </w:r>
      <w:r w:rsidRPr="00BB7039" w:rsidR="00DD4387">
        <w:t xml:space="preserve">Based on </w:t>
      </w:r>
      <w:r w:rsidRPr="00BB7039" w:rsidR="00DE43CE">
        <w:t>participant</w:t>
      </w:r>
      <w:r w:rsidRPr="00BB7039" w:rsidR="00DD4387">
        <w:t xml:space="preserve"> feedback</w:t>
      </w:r>
      <w:r w:rsidRPr="00BB7039" w:rsidR="007E4ECE">
        <w:t>,</w:t>
      </w:r>
      <w:r w:rsidRPr="00BB7039" w:rsidR="00DD4387">
        <w:t xml:space="preserve"> questions </w:t>
      </w:r>
      <w:r w:rsidRPr="00BB7039" w:rsidR="007E4ECE">
        <w:t xml:space="preserve">and instructions </w:t>
      </w:r>
      <w:r w:rsidRPr="00BB7039" w:rsidR="00DD4387">
        <w:t>were clarified</w:t>
      </w:r>
      <w:r w:rsidRPr="00BB7039" w:rsidR="008D583B">
        <w:t xml:space="preserve"> and </w:t>
      </w:r>
      <w:r w:rsidRPr="00BB7039" w:rsidR="00DE43CE">
        <w:t>several items were</w:t>
      </w:r>
      <w:r w:rsidRPr="00BB7039" w:rsidR="002223DC">
        <w:t xml:space="preserve"> consolidated </w:t>
      </w:r>
      <w:r w:rsidRPr="00BB7039" w:rsidR="008D583B">
        <w:t>to reduce</w:t>
      </w:r>
      <w:r w:rsidRPr="00BB7039" w:rsidR="002223DC">
        <w:t xml:space="preserve"> </w:t>
      </w:r>
      <w:r w:rsidRPr="00BB7039" w:rsidR="008D583B">
        <w:t>burden</w:t>
      </w:r>
      <w:r w:rsidRPr="00BB7039" w:rsidR="00D9241B">
        <w:t xml:space="preserve">. </w:t>
      </w:r>
      <w:r w:rsidRPr="00BB7039" w:rsidR="00D053A7">
        <w:t>These changes are discussed further in Section 5.</w:t>
      </w:r>
    </w:p>
    <w:p w:rsidRPr="00BB7039" w:rsidR="00804E09" w:rsidP="00385311" w:rsidRDefault="00804E09" w14:paraId="64218BDD" w14:textId="77777777"/>
    <w:p w:rsidRPr="00BB7039" w:rsidR="00AF7585" w:rsidP="00385311" w:rsidRDefault="00AF7585" w14:paraId="0EC65913" w14:textId="77777777">
      <w:pPr>
        <w:keepNext/>
        <w:keepLines/>
      </w:pPr>
      <w:r w:rsidRPr="00BB7039">
        <w:rPr>
          <w:b/>
          <w:bCs/>
        </w:rPr>
        <w:lastRenderedPageBreak/>
        <w:t>A.</w:t>
      </w:r>
      <w:r w:rsidRPr="00BB7039" w:rsidR="005D1F5D">
        <w:rPr>
          <w:b/>
          <w:bCs/>
        </w:rPr>
        <w:t xml:space="preserve"> </w:t>
      </w:r>
      <w:r w:rsidRPr="00BB7039">
        <w:rPr>
          <w:b/>
          <w:bCs/>
        </w:rPr>
        <w:t>Justification</w:t>
      </w:r>
      <w:r w:rsidRPr="00BB7039">
        <w:t xml:space="preserve"> </w:t>
      </w:r>
    </w:p>
    <w:p w:rsidRPr="00BB7039" w:rsidR="00AF7585" w:rsidP="00385311" w:rsidRDefault="00AF7585" w14:paraId="6A53DE27" w14:textId="77777777">
      <w:pPr>
        <w:keepNext/>
        <w:keepLines/>
      </w:pPr>
    </w:p>
    <w:p w:rsidRPr="00BB7039" w:rsidR="00AF7585" w:rsidP="00385311" w:rsidRDefault="00AF7585" w14:paraId="2E7E7D79"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Necessity of Information Collection</w:t>
      </w:r>
    </w:p>
    <w:p w:rsidRPr="00BB7039" w:rsidR="00AF7585" w:rsidP="00385311" w:rsidRDefault="00AF7585" w14:paraId="45A055BC" w14:textId="77777777">
      <w:pPr>
        <w:keepNext/>
        <w:keepLines/>
      </w:pPr>
    </w:p>
    <w:p w:rsidR="00717AE5" w:rsidP="00385311" w:rsidRDefault="00AF7585" w14:paraId="2490326D" w14:textId="77777777">
      <w:pPr>
        <w:keepNext/>
        <w:keepLines/>
      </w:pPr>
      <w:r w:rsidRPr="00BB7039">
        <w:t xml:space="preserve">Under Title </w:t>
      </w:r>
      <w:r w:rsidRPr="00BB7039" w:rsidR="00166485">
        <w:t>34</w:t>
      </w:r>
      <w:r w:rsidRPr="00BB7039">
        <w:t>, United</w:t>
      </w:r>
      <w:r w:rsidRPr="00BB7039" w:rsidR="0025418F">
        <w:t xml:space="preserve"> States Code, Section </w:t>
      </w:r>
      <w:r w:rsidRPr="00BB7039" w:rsidR="00166485">
        <w:t xml:space="preserve">10132 </w:t>
      </w:r>
      <w:r w:rsidRPr="00BB7039" w:rsidR="0025418F">
        <w:t>(</w:t>
      </w:r>
      <w:r w:rsidRPr="00BB7039">
        <w:t xml:space="preserve">Attachment </w:t>
      </w:r>
      <w:r w:rsidRPr="00BB7039" w:rsidR="00D775D3">
        <w:t>1</w:t>
      </w:r>
      <w:r w:rsidRPr="00BB7039">
        <w:t xml:space="preserve">), the Bureau of Justice Statistics (BJS) is directed to collect and analyze statistical information concerning the operation of the criminal justice system at the federal, state, and local levels. </w:t>
      </w:r>
      <w:r w:rsidRPr="00BB7039" w:rsidR="003937CE">
        <w:t xml:space="preserve">Campus law enforcement agencies are the most common special-purpose LEAs in the U.S. </w:t>
      </w:r>
    </w:p>
    <w:p w:rsidR="00717AE5" w:rsidP="00385311" w:rsidRDefault="00717AE5" w14:paraId="40464F98" w14:textId="77777777">
      <w:pPr>
        <w:keepNext/>
        <w:keepLines/>
      </w:pPr>
    </w:p>
    <w:p w:rsidRPr="00BB7039" w:rsidR="005E3701" w:rsidP="00385311" w:rsidRDefault="003937CE" w14:paraId="3305F1C7" w14:textId="2C66A507">
      <w:pPr>
        <w:keepNext/>
        <w:keepLines/>
      </w:pPr>
      <w:r w:rsidRPr="00BB7039">
        <w:t xml:space="preserve">According to the 2008 CSLLEA, 44% of special-jurisdiction LEAs were serving 4-year public universities and 2-year colleges. </w:t>
      </w:r>
      <w:r w:rsidRPr="00BB7039" w:rsidR="00461C58">
        <w:t>The most recent estimates from NCES show that as of fall 2019, over 20 million students were enrolled in approximately 6,000 postsecondary institutions</w:t>
      </w:r>
      <w:r w:rsidRPr="00BB7039" w:rsidR="008742A5">
        <w:rPr>
          <w:rStyle w:val="FootnoteReference"/>
        </w:rPr>
        <w:footnoteReference w:id="2"/>
      </w:r>
      <w:r w:rsidRPr="00BB7039" w:rsidR="00461C58">
        <w:t xml:space="preserve"> and these institutions employed approximately four million people</w:t>
      </w:r>
      <w:r w:rsidR="00D100F2">
        <w:t>.</w:t>
      </w:r>
      <w:r w:rsidR="008742A5">
        <w:rPr>
          <w:rStyle w:val="FootnoteReference"/>
        </w:rPr>
        <w:footnoteReference w:id="3"/>
      </w:r>
      <w:r w:rsidRPr="00BB7039" w:rsidR="00461C58">
        <w:t xml:space="preserve"> </w:t>
      </w:r>
      <w:r w:rsidRPr="00BB7039" w:rsidR="00F009E8">
        <w:t xml:space="preserve">Campus law enforcement agencies </w:t>
      </w:r>
      <w:r w:rsidRPr="00BB7039" w:rsidR="00461C58">
        <w:t xml:space="preserve">are responsible for </w:t>
      </w:r>
      <w:r w:rsidRPr="00BB7039" w:rsidR="00E25AF0">
        <w:t>provid</w:t>
      </w:r>
      <w:r w:rsidRPr="00BB7039" w:rsidR="00461C58">
        <w:t>ing</w:t>
      </w:r>
      <w:r w:rsidRPr="00BB7039" w:rsidR="00E25AF0">
        <w:t xml:space="preserve"> safety and law enforcement services to </w:t>
      </w:r>
      <w:r w:rsidRPr="00BB7039" w:rsidR="00461C58">
        <w:t>many of these institutions and their students and faculty.</w:t>
      </w:r>
      <w:r w:rsidRPr="00BB7039" w:rsidR="00E97A19">
        <w:t xml:space="preserve"> </w:t>
      </w:r>
      <w:r w:rsidRPr="00BB7039" w:rsidR="00E25AF0">
        <w:t>In 201</w:t>
      </w:r>
      <w:r w:rsidRPr="00BB7039" w:rsidR="005E23D7">
        <w:t>9</w:t>
      </w:r>
      <w:r w:rsidRPr="00BB7039" w:rsidR="00E25AF0">
        <w:t>, about 3</w:t>
      </w:r>
      <w:r w:rsidRPr="00BB7039" w:rsidR="005E23D7">
        <w:t>5</w:t>
      </w:r>
      <w:r w:rsidRPr="00BB7039" w:rsidR="00E25AF0">
        <w:t>,000 criminal offenses, 17,</w:t>
      </w:r>
      <w:r w:rsidRPr="00BB7039" w:rsidR="005E23D7">
        <w:t>6</w:t>
      </w:r>
      <w:r w:rsidRPr="00BB7039" w:rsidR="00E25AF0">
        <w:t xml:space="preserve">00 acts of violence against women, </w:t>
      </w:r>
      <w:r w:rsidRPr="00BB7039" w:rsidR="00A36559">
        <w:t xml:space="preserve">2,000 hate crimes, </w:t>
      </w:r>
      <w:r w:rsidRPr="00BB7039" w:rsidR="00E25AF0">
        <w:t xml:space="preserve">and </w:t>
      </w:r>
      <w:r w:rsidRPr="00BB7039" w:rsidR="00A36559">
        <w:t>39</w:t>
      </w:r>
      <w:r w:rsidRPr="00BB7039" w:rsidR="00E25AF0">
        <w:t>,000 arrests were reported on college campuses</w:t>
      </w:r>
      <w:r w:rsidRPr="00BB7039" w:rsidR="00A36559">
        <w:t>.</w:t>
      </w:r>
      <w:r w:rsidRPr="00BB7039" w:rsidR="00A36559">
        <w:rPr>
          <w:rStyle w:val="FootnoteReference"/>
        </w:rPr>
        <w:footnoteReference w:id="4"/>
      </w:r>
    </w:p>
    <w:p w:rsidRPr="00BB7039" w:rsidR="00206A16" w:rsidP="00385311" w:rsidRDefault="00206A16" w14:paraId="4A8A06B9" w14:textId="2C30BE20">
      <w:pPr>
        <w:keepNext/>
        <w:keepLines/>
      </w:pPr>
    </w:p>
    <w:p w:rsidR="00206A16" w:rsidP="00385311" w:rsidRDefault="00206A16" w14:paraId="4EDA2BB5" w14:textId="0D5D728F">
      <w:pPr>
        <w:autoSpaceDE w:val="0"/>
        <w:autoSpaceDN w:val="0"/>
        <w:adjustRightInd w:val="0"/>
      </w:pPr>
      <w:r w:rsidRPr="00BB7039">
        <w:t>Campus LEAs perform many of the same functions as traditional LEAs, including routine patrol, investigations, and traffic control. For example, the 2011</w:t>
      </w:r>
      <w:r w:rsidRPr="00BB7039" w:rsidR="00883FF8">
        <w:t xml:space="preserve"> </w:t>
      </w:r>
      <w:r w:rsidRPr="00BB7039">
        <w:t>SCLEA found that over 90% of sworn and non</w:t>
      </w:r>
      <w:r w:rsidR="00C77BA4">
        <w:t>-</w:t>
      </w:r>
      <w:r w:rsidRPr="00BB7039">
        <w:t>sworn staff at 4-year campuses with 2,500 or more students performed parking enforcement and dispatched calls for service. Campus LEAs must also be prepared for critical incidents such as mass shootings, protests and counter protests, and natural disasters. For example, in 2011, nearly one-quarter of sworn campus LEAs at 4-year campuses with 2,500 or more students performed bomb/explosive disposal or detection, and a similar proportion performed tactical operations</w:t>
      </w:r>
      <w:r w:rsidR="00717AE5">
        <w:t xml:space="preserve"> (SWAT)</w:t>
      </w:r>
      <w:r w:rsidRPr="00BB7039">
        <w:t>.</w:t>
      </w:r>
      <w:r w:rsidRPr="00FD3070" w:rsidR="00486B41">
        <w:rPr>
          <w:rStyle w:val="FootnoteReference"/>
        </w:rPr>
        <w:fldChar w:fldCharType="begin"/>
      </w:r>
      <w:r w:rsidRPr="00FD3070" w:rsidR="00486B41">
        <w:rPr>
          <w:vertAlign w:val="superscript"/>
        </w:rPr>
        <w:instrText xml:space="preserve"> NOTEREF _Ref77082877 \h </w:instrText>
      </w:r>
      <w:r w:rsidRPr="00FD3070" w:rsidR="00FD3070">
        <w:rPr>
          <w:rStyle w:val="FootnoteReference"/>
        </w:rPr>
        <w:instrText xml:space="preserve"> \* MERGEFORMAT </w:instrText>
      </w:r>
      <w:r w:rsidRPr="00FD3070" w:rsidR="00486B41">
        <w:rPr>
          <w:rStyle w:val="FootnoteReference"/>
        </w:rPr>
      </w:r>
      <w:r w:rsidRPr="00FD3070" w:rsidR="00486B41">
        <w:rPr>
          <w:rStyle w:val="FootnoteReference"/>
        </w:rPr>
        <w:fldChar w:fldCharType="separate"/>
      </w:r>
      <w:r w:rsidRPr="00FD3070" w:rsidR="00486B41">
        <w:rPr>
          <w:vertAlign w:val="superscript"/>
        </w:rPr>
        <w:t>1</w:t>
      </w:r>
      <w:r w:rsidRPr="00FD3070" w:rsidR="00486B41">
        <w:rPr>
          <w:rStyle w:val="FootnoteReference"/>
        </w:rPr>
        <w:fldChar w:fldCharType="end"/>
      </w:r>
    </w:p>
    <w:p w:rsidRPr="00BB7039" w:rsidR="009D48A3" w:rsidP="00385311" w:rsidRDefault="009D48A3" w14:paraId="016EF38F" w14:textId="77777777">
      <w:pPr>
        <w:autoSpaceDE w:val="0"/>
        <w:autoSpaceDN w:val="0"/>
        <w:adjustRightInd w:val="0"/>
      </w:pPr>
    </w:p>
    <w:p w:rsidRPr="00BB7039" w:rsidR="00206A16" w:rsidP="00385311" w:rsidRDefault="00206A16" w14:paraId="64FAA013" w14:textId="35B2535E">
      <w:pPr>
        <w:keepNext/>
        <w:keepLines/>
      </w:pPr>
      <w:r w:rsidRPr="00BB7039">
        <w:t>Furthermore, these agencies face challenges unique to the campus setting; political discussion, freedom of speech, and other types of activism are encouraged on campuses and could be considered an essential part of academic life. As such, policing in these areas must be sensitive to free expression, the local context, and the needs of a diverse constituency.</w:t>
      </w:r>
      <w:r w:rsidRPr="00BB7039" w:rsidR="003937CE">
        <w:t xml:space="preserve"> </w:t>
      </w:r>
    </w:p>
    <w:p w:rsidRPr="00BB7039" w:rsidR="00210F7A" w:rsidP="00385311" w:rsidRDefault="005E3701" w14:paraId="0C996655" w14:textId="160BAE86">
      <w:r w:rsidRPr="00BB7039">
        <w:t xml:space="preserve"> </w:t>
      </w:r>
    </w:p>
    <w:p w:rsidRPr="00BB7039" w:rsidR="002075FE" w:rsidP="00385311" w:rsidRDefault="00917D6F" w14:paraId="21C351D0" w14:textId="7F7E0097">
      <w:r w:rsidRPr="00BB7039">
        <w:t xml:space="preserve">The </w:t>
      </w:r>
      <w:r w:rsidRPr="00BB7039" w:rsidR="00EF501E">
        <w:t>20</w:t>
      </w:r>
      <w:r w:rsidRPr="00BB7039" w:rsidR="00EB63DD">
        <w:t>2</w:t>
      </w:r>
      <w:r w:rsidRPr="00BB7039" w:rsidR="00B02932">
        <w:t>1</w:t>
      </w:r>
      <w:r w:rsidRPr="00BB7039" w:rsidR="00EB63DD">
        <w:t xml:space="preserve"> </w:t>
      </w:r>
      <w:r w:rsidRPr="00BB7039" w:rsidR="00B02932">
        <w:t>SCLEA</w:t>
      </w:r>
      <w:r w:rsidRPr="00BB7039">
        <w:t xml:space="preserve"> </w:t>
      </w:r>
      <w:r w:rsidRPr="00BB7039" w:rsidR="00C90948">
        <w:t>encompasses</w:t>
      </w:r>
      <w:r w:rsidRPr="00BB7039">
        <w:t xml:space="preserve"> a </w:t>
      </w:r>
      <w:r w:rsidRPr="00BB7039" w:rsidR="00C90948">
        <w:t xml:space="preserve">wide range of topics to provide a robust national picture </w:t>
      </w:r>
      <w:r w:rsidRPr="00BB7039">
        <w:t xml:space="preserve">of </w:t>
      </w:r>
      <w:r w:rsidRPr="00BB7039" w:rsidR="00B02932">
        <w:t xml:space="preserve">campus </w:t>
      </w:r>
      <w:r w:rsidRPr="00BB7039" w:rsidR="008B4565">
        <w:t>LEAs</w:t>
      </w:r>
      <w:r w:rsidRPr="00BB7039">
        <w:t>.</w:t>
      </w:r>
      <w:r w:rsidRPr="00BB7039" w:rsidR="005D1F5D">
        <w:t xml:space="preserve"> </w:t>
      </w:r>
      <w:r w:rsidRPr="00BB7039" w:rsidR="00966D48">
        <w:t xml:space="preserve">As mentioned previously, the </w:t>
      </w:r>
      <w:r w:rsidRPr="00BB7039" w:rsidR="00B02932">
        <w:t>SCLEA</w:t>
      </w:r>
      <w:r w:rsidRPr="00BB7039" w:rsidR="00966D48">
        <w:t xml:space="preserve"> covers a number of </w:t>
      </w:r>
      <w:r w:rsidRPr="00BB7039" w:rsidR="00B02932">
        <w:t xml:space="preserve">campus </w:t>
      </w:r>
      <w:r w:rsidRPr="00BB7039" w:rsidR="00966D48">
        <w:t xml:space="preserve">law enforcement organizational topics </w:t>
      </w:r>
      <w:r w:rsidRPr="00BB7039" w:rsidR="00B02932">
        <w:t>including</w:t>
      </w:r>
      <w:r w:rsidRPr="00BB7039" w:rsidR="00966D48">
        <w:t xml:space="preserve"> personnel, </w:t>
      </w:r>
      <w:r w:rsidRPr="00BB7039" w:rsidR="00B02932">
        <w:t>duties and functions</w:t>
      </w:r>
      <w:r w:rsidRPr="00BB7039" w:rsidR="00966D48">
        <w:t>,</w:t>
      </w:r>
      <w:r w:rsidRPr="00BB7039" w:rsidR="00B02932">
        <w:t xml:space="preserve"> administration, technology and communication</w:t>
      </w:r>
      <w:r w:rsidRPr="00BB7039" w:rsidR="00966D48">
        <w:t>,</w:t>
      </w:r>
      <w:r w:rsidRPr="00BB7039" w:rsidR="00B02932">
        <w:t xml:space="preserve"> officer selection and training,</w:t>
      </w:r>
      <w:r w:rsidRPr="00BB7039" w:rsidR="00966D48">
        <w:t xml:space="preserve"> equipment, </w:t>
      </w:r>
      <w:r w:rsidRPr="00BB7039" w:rsidR="00B02932">
        <w:t xml:space="preserve">problem management, and jurisdiction and joint efforts. </w:t>
      </w:r>
      <w:r w:rsidRPr="00BB7039" w:rsidR="00966D48">
        <w:t xml:space="preserve">The majority of these </w:t>
      </w:r>
      <w:r w:rsidRPr="00BB7039" w:rsidR="008A102D">
        <w:t xml:space="preserve">items </w:t>
      </w:r>
      <w:r w:rsidRPr="00BB7039" w:rsidR="00966D48">
        <w:t xml:space="preserve">have been asked on past </w:t>
      </w:r>
      <w:r w:rsidRPr="00BB7039" w:rsidR="00B02932">
        <w:t>SCLEA</w:t>
      </w:r>
      <w:r w:rsidRPr="00BB7039" w:rsidR="00966D48">
        <w:t xml:space="preserve"> surveys and will </w:t>
      </w:r>
      <w:r w:rsidRPr="00BB7039" w:rsidR="008A102D">
        <w:t xml:space="preserve">allow for </w:t>
      </w:r>
      <w:r w:rsidRPr="00BB7039" w:rsidR="00966D48">
        <w:t xml:space="preserve">trend </w:t>
      </w:r>
      <w:r w:rsidRPr="00BB7039" w:rsidR="008A102D">
        <w:t>comparison</w:t>
      </w:r>
      <w:r w:rsidRPr="00BB7039" w:rsidR="00966D48">
        <w:t>s</w:t>
      </w:r>
      <w:r w:rsidRPr="00BB7039" w:rsidR="008A102D">
        <w:t>.</w:t>
      </w:r>
      <w:r w:rsidRPr="00BB7039" w:rsidR="002C6BED">
        <w:t xml:space="preserve"> </w:t>
      </w:r>
    </w:p>
    <w:p w:rsidR="00052386" w:rsidP="00385311" w:rsidRDefault="00052386" w14:paraId="3559ADFA" w14:textId="77777777"/>
    <w:p w:rsidRPr="00BB7039" w:rsidR="0033660B" w:rsidP="00385311" w:rsidRDefault="00E77CAC" w14:paraId="5DD1AA24" w14:textId="7A554C36">
      <w:r w:rsidRPr="00BB7039">
        <w:lastRenderedPageBreak/>
        <w:t xml:space="preserve">Some questions in the </w:t>
      </w:r>
      <w:r w:rsidRPr="00BB7039" w:rsidR="00FB00CA">
        <w:t>2011</w:t>
      </w:r>
      <w:r w:rsidRPr="00BB7039" w:rsidR="002D2668">
        <w:t xml:space="preserve"> </w:t>
      </w:r>
      <w:r w:rsidRPr="00BB7039" w:rsidR="00FB00CA">
        <w:t>SCLEA</w:t>
      </w:r>
      <w:r w:rsidRPr="00BB7039" w:rsidR="002D2668">
        <w:t xml:space="preserve"> did not make it into the </w:t>
      </w:r>
      <w:r w:rsidRPr="00BB7039">
        <w:t>202</w:t>
      </w:r>
      <w:r w:rsidRPr="00BB7039" w:rsidR="00FB00CA">
        <w:t>1 SCLEA</w:t>
      </w:r>
      <w:r w:rsidRPr="00BB7039" w:rsidR="002D2668">
        <w:t xml:space="preserve"> instrument due to </w:t>
      </w:r>
      <w:r w:rsidRPr="00BB7039">
        <w:t>poor past performance and recommendations from the expert panel and cognitive testing</w:t>
      </w:r>
      <w:r w:rsidRPr="00BB7039" w:rsidR="00FB00CA">
        <w:t>. S</w:t>
      </w:r>
      <w:r w:rsidRPr="00BB7039" w:rsidR="002D2668">
        <w:t xml:space="preserve">ome content was </w:t>
      </w:r>
      <w:r w:rsidRPr="00BB7039" w:rsidR="001A1846">
        <w:t>determined to be out of date</w:t>
      </w:r>
      <w:r w:rsidRPr="00BB7039" w:rsidR="00306CA3">
        <w:t>,</w:t>
      </w:r>
      <w:r w:rsidRPr="00BB7039" w:rsidR="002D2668">
        <w:t xml:space="preserve"> some questions </w:t>
      </w:r>
      <w:r w:rsidRPr="00BB7039" w:rsidR="001A1846">
        <w:t xml:space="preserve">led to inconsistent reporting in </w:t>
      </w:r>
      <w:r w:rsidRPr="00BB7039" w:rsidR="00FB00CA">
        <w:t>the last wave</w:t>
      </w:r>
      <w:r w:rsidRPr="00BB7039" w:rsidR="00306CA3">
        <w:t xml:space="preserve">, </w:t>
      </w:r>
      <w:r w:rsidRPr="00BB7039" w:rsidR="00FB00CA">
        <w:t xml:space="preserve">and </w:t>
      </w:r>
      <w:r w:rsidRPr="00BB7039" w:rsidR="00306CA3">
        <w:t xml:space="preserve">some </w:t>
      </w:r>
      <w:r w:rsidRPr="00BB7039" w:rsidR="002D2668">
        <w:t xml:space="preserve">items needed to be dropped in order to </w:t>
      </w:r>
      <w:r w:rsidRPr="00BB7039" w:rsidR="001A1846">
        <w:t>decrease the overall burden</w:t>
      </w:r>
      <w:r w:rsidRPr="00BB7039" w:rsidR="002D2668">
        <w:t xml:space="preserve">. </w:t>
      </w:r>
      <w:r w:rsidRPr="00BB7039" w:rsidR="0033660B">
        <w:t>Based on recommendations from the expert panel meeting</w:t>
      </w:r>
      <w:r w:rsidRPr="00BB7039" w:rsidR="00306CA3">
        <w:t>,</w:t>
      </w:r>
      <w:r w:rsidRPr="00BB7039" w:rsidR="0033660B">
        <w:t xml:space="preserve"> a number of questions in the </w:t>
      </w:r>
      <w:r w:rsidRPr="00BB7039" w:rsidR="00BE1C2C">
        <w:t xml:space="preserve">personnel, functions, and technology sections </w:t>
      </w:r>
      <w:r w:rsidRPr="00BB7039" w:rsidR="0033660B">
        <w:t>were modified.</w:t>
      </w:r>
      <w:r w:rsidRPr="00BB7039" w:rsidR="00BE1C2C">
        <w:t xml:space="preserve"> Additionally, the </w:t>
      </w:r>
      <w:r w:rsidR="00755D11">
        <w:t xml:space="preserve">expert </w:t>
      </w:r>
      <w:r w:rsidRPr="00BB7039" w:rsidR="00BE1C2C">
        <w:t xml:space="preserve">panel </w:t>
      </w:r>
      <w:r w:rsidRPr="00BB7039" w:rsidR="00755D11">
        <w:t>recommend</w:t>
      </w:r>
      <w:r w:rsidR="00755D11">
        <w:t>ed</w:t>
      </w:r>
      <w:r w:rsidRPr="00BB7039" w:rsidR="00755D11">
        <w:t xml:space="preserve"> </w:t>
      </w:r>
      <w:r w:rsidRPr="00BB7039" w:rsidR="00BE1C2C">
        <w:t xml:space="preserve">removing </w:t>
      </w:r>
      <w:r w:rsidRPr="00BB7039" w:rsidR="00A5724B">
        <w:t>some administration and technology questions they found to be outdated or of minimal utility.</w:t>
      </w:r>
    </w:p>
    <w:p w:rsidRPr="00BB7039" w:rsidR="002075FE" w:rsidP="00385311" w:rsidRDefault="002075FE" w14:paraId="18AA0A4F" w14:textId="77777777">
      <w:pPr>
        <w:rPr>
          <w:u w:val="single"/>
        </w:rPr>
      </w:pPr>
    </w:p>
    <w:p w:rsidR="00A67505" w:rsidP="00385311" w:rsidRDefault="00A67505" w14:paraId="512A78CF" w14:textId="40F77B72">
      <w:r w:rsidRPr="00BB7039">
        <w:t xml:space="preserve">The </w:t>
      </w:r>
      <w:r w:rsidRPr="00BB7039" w:rsidR="0010378F">
        <w:t xml:space="preserve">2011 SCLEA </w:t>
      </w:r>
      <w:r w:rsidRPr="00BB7039" w:rsidR="00EB6BBF">
        <w:t>long form</w:t>
      </w:r>
      <w:r w:rsidRPr="00BB7039" w:rsidR="0010378F">
        <w:t xml:space="preserve"> served as the starting point for the </w:t>
      </w:r>
      <w:r w:rsidRPr="00BB7039">
        <w:t>202</w:t>
      </w:r>
      <w:r w:rsidRPr="00BB7039" w:rsidR="00084E55">
        <w:t>1 SCLEA</w:t>
      </w:r>
      <w:r w:rsidRPr="00BB7039">
        <w:t xml:space="preserve"> instrument</w:t>
      </w:r>
      <w:r w:rsidRPr="00BB7039" w:rsidR="00BE1C2C">
        <w:t xml:space="preserve">. Modifications were made </w:t>
      </w:r>
      <w:r w:rsidRPr="00BB7039">
        <w:t>based on recommendations from the expert panel</w:t>
      </w:r>
      <w:r w:rsidRPr="00BB7039" w:rsidR="00084E55">
        <w:t>, results from cognitive interviewing,</w:t>
      </w:r>
      <w:r w:rsidRPr="00BB7039">
        <w:t xml:space="preserve"> and BJS priorities. </w:t>
      </w:r>
      <w:r w:rsidRPr="00BB7039" w:rsidR="00084E55">
        <w:t>Following is a description of the questionnaire, which consists of 42 questions across eight sections</w:t>
      </w:r>
      <w:r w:rsidRPr="00BB7039" w:rsidR="00C03C9B">
        <w:t xml:space="preserve"> (Attachment 2)</w:t>
      </w:r>
      <w:r w:rsidRPr="00BB7039" w:rsidR="00084E55">
        <w:t>.</w:t>
      </w:r>
      <w:r w:rsidRPr="00BB7039" w:rsidR="00E07FAC">
        <w:t xml:space="preserve"> </w:t>
      </w:r>
    </w:p>
    <w:p w:rsidRPr="00BB7039" w:rsidR="00755D11" w:rsidP="00385311" w:rsidRDefault="00755D11" w14:paraId="3E224884" w14:textId="77777777"/>
    <w:p w:rsidRPr="00BB7039" w:rsidR="00A67505" w:rsidP="00385311" w:rsidRDefault="005C6DF2" w14:paraId="6569741D" w14:textId="27E94ACE">
      <w:pPr>
        <w:rPr>
          <w:b/>
          <w:i/>
        </w:rPr>
      </w:pPr>
      <w:r w:rsidRPr="00BB7039">
        <w:rPr>
          <w:b/>
          <w:i/>
        </w:rPr>
        <w:t>2021 SCLEA Survey Content</w:t>
      </w:r>
    </w:p>
    <w:p w:rsidRPr="00BB7039" w:rsidR="005C6DF2" w:rsidP="00385311" w:rsidRDefault="005C6DF2" w14:paraId="1C39F262" w14:textId="77777777">
      <w:pPr>
        <w:rPr>
          <w:i/>
          <w:u w:val="single"/>
        </w:rPr>
      </w:pPr>
    </w:p>
    <w:p w:rsidRPr="00BB7039" w:rsidR="005C6DF2" w:rsidP="00385311" w:rsidRDefault="005C6DF2" w14:paraId="1509E9A0" w14:textId="77777777">
      <w:pPr>
        <w:rPr>
          <w:u w:val="single"/>
        </w:rPr>
      </w:pPr>
      <w:r w:rsidRPr="00BB7039">
        <w:rPr>
          <w:u w:val="single"/>
        </w:rPr>
        <w:t>Institutional Information (2 items)</w:t>
      </w:r>
    </w:p>
    <w:p w:rsidRPr="00BB7039" w:rsidR="005C6DF2" w:rsidP="00385311" w:rsidRDefault="005C6DF2" w14:paraId="17647EF0" w14:textId="159AE1FA">
      <w:r w:rsidRPr="00BB7039">
        <w:t xml:space="preserve">This section asks the respondent for their contact information along with the campus(es) for which they are reporting. It is important to know if the agency is responsible for a single campus or multiple campuses </w:t>
      </w:r>
      <w:r w:rsidRPr="00BB7039" w:rsidR="001C4461">
        <w:t xml:space="preserve">to help inform the national estimate of campus law enforcement agencies. </w:t>
      </w:r>
    </w:p>
    <w:p w:rsidRPr="00BB7039" w:rsidR="00134DBB" w:rsidP="00385311" w:rsidRDefault="00134DBB" w14:paraId="6716EA42" w14:textId="4465D044"/>
    <w:p w:rsidRPr="00BB7039" w:rsidR="00134DBB" w:rsidP="00385311" w:rsidRDefault="00134DBB" w14:paraId="10F39321" w14:textId="29E722AF">
      <w:pPr>
        <w:rPr>
          <w:u w:val="single"/>
        </w:rPr>
      </w:pPr>
      <w:r w:rsidRPr="00BB7039">
        <w:rPr>
          <w:u w:val="single"/>
        </w:rPr>
        <w:t>Agency Information (2 items)</w:t>
      </w:r>
    </w:p>
    <w:p w:rsidRPr="00BB7039" w:rsidR="00134DBB" w:rsidP="00385311" w:rsidRDefault="00134DBB" w14:paraId="232A67CC" w14:textId="080AB008">
      <w:r w:rsidRPr="00BB7039">
        <w:t xml:space="preserve">This section asks who employed the officers that provided routine law enforcement services </w:t>
      </w:r>
      <w:r w:rsidRPr="00BB7039" w:rsidR="00157497">
        <w:t xml:space="preserve">(Q3) </w:t>
      </w:r>
      <w:r w:rsidRPr="00BB7039">
        <w:t xml:space="preserve">and security for special events </w:t>
      </w:r>
      <w:r w:rsidRPr="00BB7039" w:rsidR="00157497">
        <w:t xml:space="preserve">(Q4) </w:t>
      </w:r>
      <w:r w:rsidRPr="00BB7039">
        <w:t>on campus. This serves as a</w:t>
      </w:r>
      <w:r w:rsidRPr="00BB7039" w:rsidR="001C4461">
        <w:t xml:space="preserve">n eligibility check in that </w:t>
      </w:r>
      <w:r w:rsidRPr="00BB7039">
        <w:t>if the institution does not have a campus police or security agency, the respondent is directed to stop the survey and return the questionnaire; otherwise, the respondent is directed to continue to the next section.</w:t>
      </w:r>
    </w:p>
    <w:p w:rsidRPr="00BB7039" w:rsidR="00134DBB" w:rsidP="00385311" w:rsidRDefault="00134DBB" w14:paraId="763F55A7" w14:textId="77777777"/>
    <w:p w:rsidRPr="00BB7039" w:rsidR="00A67505" w:rsidP="00385311" w:rsidRDefault="00134DBB" w14:paraId="1998715A" w14:textId="5E159B69">
      <w:r w:rsidRPr="00BB7039">
        <w:rPr>
          <w:u w:val="single"/>
        </w:rPr>
        <w:t>Personnel Information (</w:t>
      </w:r>
      <w:r w:rsidRPr="00BB7039" w:rsidR="00A514D5">
        <w:rPr>
          <w:u w:val="single"/>
        </w:rPr>
        <w:t>2 items)</w:t>
      </w:r>
    </w:p>
    <w:p w:rsidRPr="00BB7039" w:rsidR="00A514D5" w:rsidP="00385311" w:rsidRDefault="00DE684D" w14:paraId="7DF7F17E" w14:textId="5993655B">
      <w:r w:rsidRPr="00BB7039">
        <w:t xml:space="preserve">The first item </w:t>
      </w:r>
      <w:r w:rsidRPr="00BB7039" w:rsidR="00391EE5">
        <w:t xml:space="preserve">in this section </w:t>
      </w:r>
      <w:r w:rsidRPr="00BB7039" w:rsidR="000036F4">
        <w:t>capture</w:t>
      </w:r>
      <w:r w:rsidRPr="00BB7039">
        <w:t>s</w:t>
      </w:r>
      <w:r w:rsidRPr="00BB7039" w:rsidR="000036F4">
        <w:t xml:space="preserve"> </w:t>
      </w:r>
      <w:r w:rsidRPr="00BB7039">
        <w:t>details on the personnel employed by the campus LEA by sworn status, type of employment (full- or part-time), and primary job responsibility</w:t>
      </w:r>
      <w:r w:rsidRPr="00BB7039" w:rsidR="003D608D">
        <w:t xml:space="preserve"> (Q5)</w:t>
      </w:r>
      <w:r w:rsidRPr="00BB7039">
        <w:t>. The primary job responsibilities listed largely follow the 2020 LEMAS with some additions that are specific to campus LEAs (contract staff and student support staff). The second item in this section collects race, Hispanic origin</w:t>
      </w:r>
      <w:r w:rsidRPr="00BB7039" w:rsidR="006C51DD">
        <w:t>,</w:t>
      </w:r>
      <w:r w:rsidRPr="00BB7039">
        <w:t xml:space="preserve"> and sex of full-time sworn officers</w:t>
      </w:r>
      <w:r w:rsidRPr="00BB7039" w:rsidR="005634D8">
        <w:t xml:space="preserve"> (Q6)</w:t>
      </w:r>
      <w:r w:rsidRPr="00BB7039" w:rsidR="00834984">
        <w:t>.</w:t>
      </w:r>
      <w:r w:rsidRPr="00BB7039" w:rsidR="005071F6">
        <w:t xml:space="preserve"> These personnel questions collect much more detailed information than the 2011</w:t>
      </w:r>
      <w:r w:rsidRPr="00BB7039" w:rsidR="00883FF8">
        <w:t xml:space="preserve"> </w:t>
      </w:r>
      <w:r w:rsidRPr="00BB7039" w:rsidR="005071F6">
        <w:t>SCLEA and will allow BJS to provide a more complete description of personnel employed by campus LEAs.</w:t>
      </w:r>
    </w:p>
    <w:p w:rsidRPr="00BB7039" w:rsidR="00157497" w:rsidP="00385311" w:rsidRDefault="00157497" w14:paraId="57C398EB" w14:textId="05CE54D4"/>
    <w:p w:rsidRPr="00BB7039" w:rsidR="00157497" w:rsidP="00385311" w:rsidRDefault="00157497" w14:paraId="5798FA3E" w14:textId="7D7D8D80">
      <w:pPr>
        <w:rPr>
          <w:u w:val="single"/>
        </w:rPr>
      </w:pPr>
      <w:r w:rsidRPr="00BB7039">
        <w:rPr>
          <w:u w:val="single"/>
        </w:rPr>
        <w:t>Personnel Duties and Functions (4 items)</w:t>
      </w:r>
    </w:p>
    <w:p w:rsidRPr="00BB7039" w:rsidR="00157497" w:rsidP="00385311" w:rsidRDefault="00160592" w14:paraId="54AA5F89" w14:textId="7FF6737D">
      <w:r w:rsidRPr="00BB7039">
        <w:t>The first item in this section</w:t>
      </w:r>
      <w:r w:rsidRPr="00BB7039" w:rsidR="00157497">
        <w:t xml:space="preserve"> asks campus LEAs if they are primarily responsible for selected security, vehicle-related, public safety, and other specialized functions (Q7). This section also contains questions on the types of facilities and events for which the campus LEA is responsible (Q8 and Q9) and the level of routine patrol coverage provided by the agency at different times during the year (Q10).</w:t>
      </w:r>
    </w:p>
    <w:p w:rsidR="00A514D5" w:rsidP="00385311" w:rsidRDefault="00A514D5" w14:paraId="7578768C" w14:textId="3C59D87F"/>
    <w:p w:rsidR="00781052" w:rsidP="00385311" w:rsidRDefault="00781052" w14:paraId="5DD359C0" w14:textId="1026FDE2"/>
    <w:p w:rsidRPr="00BB7039" w:rsidR="00781052" w:rsidP="00385311" w:rsidRDefault="00781052" w14:paraId="42E6867E" w14:textId="77777777"/>
    <w:p w:rsidRPr="00BB7039" w:rsidR="00A514D5" w:rsidP="00385311" w:rsidRDefault="00EE4B42" w14:paraId="338A8CF2" w14:textId="69C669DC">
      <w:r w:rsidRPr="00BB7039">
        <w:rPr>
          <w:u w:val="single"/>
        </w:rPr>
        <w:lastRenderedPageBreak/>
        <w:t>Administration (4 items)</w:t>
      </w:r>
    </w:p>
    <w:p w:rsidRPr="00BB7039" w:rsidR="00EE4B42" w:rsidP="00385311" w:rsidRDefault="00EE4B42" w14:paraId="4FC577B4" w14:textId="0C06A55F">
      <w:r w:rsidRPr="00BB7039">
        <w:t xml:space="preserve">This section contains questions on the campus LEA’s operating budget (Q11) and salary information for specified full-time positions within the agency (Q12). </w:t>
      </w:r>
      <w:r w:rsidRPr="00BB7039" w:rsidR="009E6937">
        <w:t>Also included are questions about special pay and benefits for full-time personnel by sworn status (Q13) and whether there were any external agreements in place between unions and nonsupervisory staff (Q14).</w:t>
      </w:r>
    </w:p>
    <w:p w:rsidRPr="00BB7039" w:rsidR="009E6937" w:rsidP="00385311" w:rsidRDefault="009E6937" w14:paraId="7602E255" w14:textId="67B1D941"/>
    <w:p w:rsidRPr="00BB7039" w:rsidR="009E6937" w:rsidP="00385311" w:rsidRDefault="009E6937" w14:paraId="2CE86E8D" w14:textId="6F74E754">
      <w:r w:rsidRPr="00BB7039">
        <w:rPr>
          <w:u w:val="single"/>
        </w:rPr>
        <w:t>Technology and Communication (8 items)</w:t>
      </w:r>
    </w:p>
    <w:p w:rsidRPr="00BB7039" w:rsidR="009E6937" w:rsidP="00385311" w:rsidRDefault="009E6937" w14:paraId="72DB66E4" w14:textId="10D9C6B8">
      <w:r w:rsidRPr="00BB7039">
        <w:t xml:space="preserve">This section contains questions on the types of technology and methods of communication used by campus LEAs, including ‘blue-light’ systems (Q15), emergency telephone systems (Q16 and Q17), and mass notification systems (Q18 and Q19). </w:t>
      </w:r>
      <w:r w:rsidRPr="00BB7039" w:rsidR="00000649">
        <w:t>Campus LEAs are also asked about other technologies and their capabilities and uses</w:t>
      </w:r>
      <w:r w:rsidRPr="00BB7039" w:rsidR="009A75CD">
        <w:t>, such as technologies used for law enforcement or investigative purposes</w:t>
      </w:r>
      <w:r w:rsidRPr="00BB7039" w:rsidR="00000649">
        <w:t xml:space="preserve"> (Q20 – Q22). </w:t>
      </w:r>
    </w:p>
    <w:p w:rsidRPr="00BB7039" w:rsidR="00A514D5" w:rsidP="00385311" w:rsidRDefault="00A514D5" w14:paraId="7B2B5604" w14:textId="3D88B21D"/>
    <w:p w:rsidRPr="00BB7039" w:rsidR="00000649" w:rsidP="00385311" w:rsidRDefault="00000649" w14:paraId="4025CCA4" w14:textId="1C509FEA">
      <w:pPr>
        <w:rPr>
          <w:u w:val="single"/>
        </w:rPr>
      </w:pPr>
      <w:r w:rsidRPr="00BB7039">
        <w:rPr>
          <w:u w:val="single"/>
        </w:rPr>
        <w:t>Officer Selection and Training Requirements (5 items)</w:t>
      </w:r>
    </w:p>
    <w:p w:rsidRPr="00BB7039" w:rsidR="00000649" w:rsidP="00385311" w:rsidRDefault="00000649" w14:paraId="5C139E1C" w14:textId="4040EB9B">
      <w:r w:rsidRPr="00BB7039">
        <w:t xml:space="preserve">This section </w:t>
      </w:r>
      <w:r w:rsidRPr="00BB7039" w:rsidR="00B5724F">
        <w:t>first asks</w:t>
      </w:r>
      <w:r w:rsidRPr="00BB7039">
        <w:t xml:space="preserve"> campus LEAs about their minimum education requirement by sworn status and whether military service is an exemption to the requirement (Q23a-b). Also included in this section are questions about screening techniques used to select recruits (Q24) along with academy, field, and in-service training requirements (Q25 – Q26). The final item in this section asks the campus LEA about Active Shooter training (Q27).</w:t>
      </w:r>
    </w:p>
    <w:p w:rsidRPr="00BB7039" w:rsidR="0060222D" w:rsidP="00385311" w:rsidRDefault="0060222D" w14:paraId="41834F99" w14:textId="65916630"/>
    <w:p w:rsidRPr="00BB7039" w:rsidR="0060222D" w:rsidP="00385311" w:rsidRDefault="0060222D" w14:paraId="160A35D4" w14:textId="2028FB8C">
      <w:pPr>
        <w:rPr>
          <w:u w:val="single"/>
        </w:rPr>
      </w:pPr>
      <w:r w:rsidRPr="00BB7039">
        <w:rPr>
          <w:u w:val="single"/>
        </w:rPr>
        <w:t>Equipment and Techniques (3 items)</w:t>
      </w:r>
    </w:p>
    <w:p w:rsidRPr="00BB7039" w:rsidR="0060222D" w:rsidP="00385311" w:rsidRDefault="0060222D" w14:paraId="5F46FEAD" w14:textId="47907A27">
      <w:r w:rsidRPr="00BB7039">
        <w:t>Thi</w:t>
      </w:r>
      <w:r w:rsidRPr="00BB7039" w:rsidR="00954D2C">
        <w:t>s</w:t>
      </w:r>
      <w:r w:rsidRPr="00BB7039">
        <w:t xml:space="preserve"> section asks about firearms, other weapons, and techniques that </w:t>
      </w:r>
      <w:r w:rsidRPr="00BB7039" w:rsidR="00954D2C">
        <w:t xml:space="preserve">were authorized for use by the campus LEA’s sworn officers (Q28 and Q29) along with vehicles </w:t>
      </w:r>
      <w:r w:rsidRPr="00BB7039" w:rsidR="00B5724F">
        <w:t>that the campus LEA operates</w:t>
      </w:r>
      <w:r w:rsidRPr="00BB7039" w:rsidR="00954D2C">
        <w:t xml:space="preserve"> (Q30).</w:t>
      </w:r>
    </w:p>
    <w:p w:rsidRPr="00BB7039" w:rsidR="00987FE6" w:rsidP="00385311" w:rsidRDefault="00987FE6" w14:paraId="3F2F6303" w14:textId="77777777"/>
    <w:p w:rsidRPr="00BB7039" w:rsidR="00954D2C" w:rsidP="00385311" w:rsidRDefault="00954D2C" w14:paraId="3A9A640D" w14:textId="21B7DC69">
      <w:pPr>
        <w:rPr>
          <w:u w:val="single"/>
        </w:rPr>
      </w:pPr>
      <w:r w:rsidRPr="00BB7039">
        <w:rPr>
          <w:u w:val="single"/>
        </w:rPr>
        <w:t>Problem Management (12 items)</w:t>
      </w:r>
    </w:p>
    <w:p w:rsidRPr="00BB7039" w:rsidR="00954D2C" w:rsidP="00385311" w:rsidRDefault="008A46F2" w14:paraId="258F71BA" w14:textId="53E84C15">
      <w:r w:rsidRPr="00BB7039">
        <w:t xml:space="preserve">This section </w:t>
      </w:r>
      <w:r w:rsidRPr="00BB7039" w:rsidR="000E5C2D">
        <w:t xml:space="preserve">first </w:t>
      </w:r>
      <w:r w:rsidRPr="00BB7039">
        <w:t xml:space="preserve">asks about partnerships with a variety of common campus organizations, other law enforcement agencies, and other local programs and officials (Q31). </w:t>
      </w:r>
      <w:r w:rsidRPr="00BB7039" w:rsidR="00C57DFC">
        <w:t xml:space="preserve">This section also includes questions on programs and activities in which the campus LEA engages (Q31 and Q36) and specifically asks about preparedness planning activities (Q33). Also included are questions on the use of student patrols (Q34) and a campus safety escort service (Q37). This section also asks campus LEAs how they address a variety of issues, be it with a specialized unit with full-time personnel or in some other manner (Q35). This section also asks how many complaints were received by current disposition status (Q38). </w:t>
      </w:r>
      <w:r w:rsidRPr="00BB7039" w:rsidR="000E5C2D">
        <w:t>Additionally, t</w:t>
      </w:r>
      <w:r w:rsidRPr="00BB7039" w:rsidR="00C57DFC">
        <w:t>his section covers arrest and patrol jurisdiction for sworn officers (Q39) and patrol jurisdiction for non</w:t>
      </w:r>
      <w:r w:rsidR="00B0148B">
        <w:t>-</w:t>
      </w:r>
      <w:r w:rsidRPr="00BB7039" w:rsidR="00C57DFC">
        <w:t xml:space="preserve">sworn personnel (Q40). Lastly, there is a question </w:t>
      </w:r>
      <w:r w:rsidRPr="00BB7039" w:rsidR="005F0885">
        <w:t>about the existence of a written agreement with other types of agencies (Q41) and a question about the existence of formal policies on topics such as hate crimes and gender-based offenses (Q42).</w:t>
      </w:r>
    </w:p>
    <w:p w:rsidRPr="00BB7039" w:rsidR="006D6E11" w:rsidP="00385311" w:rsidRDefault="006D6E11" w14:paraId="023710EC" w14:textId="6EF682BA">
      <w:pPr>
        <w:rPr>
          <w:u w:val="single"/>
        </w:rPr>
      </w:pPr>
    </w:p>
    <w:p w:rsidRPr="00BB7039" w:rsidR="00192787" w:rsidP="00385311" w:rsidRDefault="0025497D" w14:paraId="2171F5A1" w14:textId="385336D0">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color w:val="FF0000"/>
        </w:rPr>
      </w:pPr>
      <w:r w:rsidRPr="00BB7039">
        <w:rPr>
          <w:rFonts w:ascii="CG Times" w:hAnsi="CG Times"/>
        </w:rPr>
        <w:t>The 2021 SCLEA instrument will be sent to all campus law enforcement agencies with a full-time student enrollment of at least 1,000 students. The data collection will be</w:t>
      </w:r>
      <w:r w:rsidRPr="00BB7039" w:rsidR="00192787">
        <w:rPr>
          <w:rFonts w:ascii="CG Times" w:hAnsi="CG Times"/>
        </w:rPr>
        <w:t xml:space="preserve"> administered </w:t>
      </w:r>
      <w:r w:rsidRPr="00BB7039">
        <w:rPr>
          <w:rFonts w:ascii="CG Times" w:hAnsi="CG Times"/>
        </w:rPr>
        <w:t xml:space="preserve">for a period of almost 8 months, beginning in </w:t>
      </w:r>
      <w:r w:rsidRPr="00BB7039" w:rsidR="00B92380">
        <w:rPr>
          <w:rFonts w:ascii="CG Times" w:hAnsi="CG Times"/>
        </w:rPr>
        <w:t>late September</w:t>
      </w:r>
      <w:r w:rsidRPr="00BB7039" w:rsidR="00B90060">
        <w:rPr>
          <w:rFonts w:ascii="CG Times" w:hAnsi="CG Times"/>
        </w:rPr>
        <w:t xml:space="preserve"> </w:t>
      </w:r>
      <w:r w:rsidRPr="00BB7039" w:rsidR="00192787">
        <w:rPr>
          <w:rFonts w:ascii="CG Times" w:hAnsi="CG Times"/>
        </w:rPr>
        <w:t>20</w:t>
      </w:r>
      <w:r w:rsidRPr="00BB7039" w:rsidR="00A67505">
        <w:rPr>
          <w:rFonts w:ascii="CG Times" w:hAnsi="CG Times"/>
        </w:rPr>
        <w:t>2</w:t>
      </w:r>
      <w:r w:rsidRPr="00BB7039" w:rsidR="00B90060">
        <w:rPr>
          <w:rFonts w:ascii="CG Times" w:hAnsi="CG Times"/>
        </w:rPr>
        <w:t>1</w:t>
      </w:r>
      <w:r w:rsidRPr="00BB7039" w:rsidR="00192787">
        <w:rPr>
          <w:rFonts w:ascii="CG Times" w:hAnsi="CG Times"/>
        </w:rPr>
        <w:t xml:space="preserve"> </w:t>
      </w:r>
      <w:r w:rsidRPr="00BB7039">
        <w:rPr>
          <w:rFonts w:ascii="CG Times" w:hAnsi="CG Times"/>
        </w:rPr>
        <w:t xml:space="preserve">and continuing </w:t>
      </w:r>
      <w:r w:rsidRPr="00BB7039" w:rsidR="00192787">
        <w:rPr>
          <w:rFonts w:ascii="CG Times" w:hAnsi="CG Times"/>
        </w:rPr>
        <w:t xml:space="preserve">through </w:t>
      </w:r>
      <w:r w:rsidRPr="00BB7039" w:rsidR="00B92380">
        <w:rPr>
          <w:rFonts w:ascii="CG Times" w:hAnsi="CG Times"/>
        </w:rPr>
        <w:t>mid-May</w:t>
      </w:r>
      <w:r w:rsidRPr="00BB7039" w:rsidR="00B90060">
        <w:rPr>
          <w:rFonts w:ascii="CG Times" w:hAnsi="CG Times"/>
        </w:rPr>
        <w:t xml:space="preserve"> </w:t>
      </w:r>
      <w:r w:rsidRPr="00BB7039" w:rsidR="00A67505">
        <w:rPr>
          <w:rFonts w:ascii="CG Times" w:hAnsi="CG Times"/>
        </w:rPr>
        <w:t>202</w:t>
      </w:r>
      <w:r w:rsidRPr="00BB7039" w:rsidR="00B92380">
        <w:rPr>
          <w:rFonts w:ascii="CG Times" w:hAnsi="CG Times"/>
        </w:rPr>
        <w:t>2</w:t>
      </w:r>
      <w:r w:rsidRPr="00BB7039" w:rsidR="00192787">
        <w:rPr>
          <w:rFonts w:ascii="CG Times" w:hAnsi="CG Times"/>
        </w:rPr>
        <w:t xml:space="preserve">. </w:t>
      </w:r>
    </w:p>
    <w:p w:rsidR="00192787" w:rsidP="00385311" w:rsidRDefault="00192787" w14:paraId="662E835A" w14:textId="20C25CE0">
      <w:pPr>
        <w:rPr>
          <w:u w:val="single"/>
        </w:rPr>
      </w:pPr>
    </w:p>
    <w:p w:rsidRPr="00BB7039" w:rsidR="00781052" w:rsidP="00385311" w:rsidRDefault="00781052" w14:paraId="5B71D3B1" w14:textId="77777777">
      <w:pPr>
        <w:rPr>
          <w:u w:val="single"/>
        </w:rPr>
      </w:pPr>
    </w:p>
    <w:p w:rsidRPr="00BB7039" w:rsidR="00AF7585" w:rsidP="00385311" w:rsidRDefault="00AF7585" w14:paraId="1590D320" w14:textId="774C27FF">
      <w:pPr>
        <w:pStyle w:val="ListParagraph"/>
        <w:numPr>
          <w:ilvl w:val="0"/>
          <w:numId w:val="2"/>
        </w:numPr>
        <w:rPr>
          <w:b/>
        </w:rPr>
      </w:pPr>
      <w:r w:rsidRPr="00BB7039">
        <w:rPr>
          <w:b/>
        </w:rPr>
        <w:lastRenderedPageBreak/>
        <w:t>Needs and Uses</w:t>
      </w:r>
    </w:p>
    <w:p w:rsidRPr="00BB7039" w:rsidR="00AF7585" w:rsidP="00385311" w:rsidRDefault="00AF7585" w14:paraId="70003E9A" w14:textId="77777777">
      <w:pPr>
        <w:rPr>
          <w:i/>
        </w:rPr>
      </w:pPr>
    </w:p>
    <w:p w:rsidRPr="00BB7039" w:rsidR="00917824" w:rsidP="00385311" w:rsidRDefault="00C666E3" w14:paraId="0376CCC0" w14:textId="196201B2">
      <w:r w:rsidRPr="00BB7039">
        <w:t>BJS employs variou</w:t>
      </w:r>
      <w:r w:rsidRPr="00BB7039" w:rsidR="003B1ED9">
        <w:t xml:space="preserve">s methods to capture data to better understand the criminal justice system. </w:t>
      </w:r>
      <w:r w:rsidRPr="00BB7039">
        <w:t xml:space="preserve">For example, </w:t>
      </w:r>
      <w:r w:rsidRPr="00BB7039" w:rsidR="00E97A19">
        <w:t>BJS</w:t>
      </w:r>
      <w:r w:rsidRPr="00BB7039">
        <w:t xml:space="preserve"> capture</w:t>
      </w:r>
      <w:r w:rsidRPr="00BB7039" w:rsidR="00E97A19">
        <w:t>s</w:t>
      </w:r>
      <w:r w:rsidRPr="00BB7039">
        <w:t xml:space="preserve"> data on crime from resident surveys, inmate surveys</w:t>
      </w:r>
      <w:r w:rsidRPr="00BB7039" w:rsidR="00E97A19">
        <w:t>,</w:t>
      </w:r>
      <w:r w:rsidRPr="00BB7039">
        <w:t xml:space="preserve"> and the collection of administrative data. Data collections on agency characteristics are primarily conducted through establishment surveys, and this is the primary data collection vehicle for the law enforcement core collections. </w:t>
      </w:r>
      <w:r w:rsidRPr="00BB7039" w:rsidR="00AF7585">
        <w:t xml:space="preserve">The </w:t>
      </w:r>
      <w:r w:rsidRPr="00BB7039" w:rsidR="00E97A19">
        <w:t>SCLEA</w:t>
      </w:r>
      <w:r w:rsidRPr="00BB7039" w:rsidR="00E90335">
        <w:t xml:space="preserve"> </w:t>
      </w:r>
      <w:r w:rsidRPr="00BB7039">
        <w:t>is the</w:t>
      </w:r>
      <w:r w:rsidRPr="00BB7039" w:rsidR="00AF7585">
        <w:t xml:space="preserve"> only systematic </w:t>
      </w:r>
      <w:r w:rsidRPr="00BB7039" w:rsidR="003B1ED9">
        <w:t>establishment survey</w:t>
      </w:r>
      <w:r w:rsidRPr="00BB7039" w:rsidR="00AF7585">
        <w:t xml:space="preserve"> </w:t>
      </w:r>
      <w:r w:rsidRPr="00BB7039" w:rsidR="003B1ED9">
        <w:t xml:space="preserve">that </w:t>
      </w:r>
      <w:r w:rsidRPr="00BB7039" w:rsidR="00AF7585">
        <w:t>produce</w:t>
      </w:r>
      <w:r w:rsidRPr="00BB7039" w:rsidR="003B1ED9">
        <w:t>s</w:t>
      </w:r>
      <w:r w:rsidRPr="00BB7039" w:rsidR="00AF7585">
        <w:t xml:space="preserve"> national estimates of personnel, resources, policies, and practices of </w:t>
      </w:r>
      <w:r w:rsidRPr="00BB7039" w:rsidR="00E97A19">
        <w:t>campus law enforcement agencies, which are the most common type of special purpose law enforcement agency in the U.S</w:t>
      </w:r>
      <w:r w:rsidRPr="00BB7039" w:rsidR="00AF7585">
        <w:t>.</w:t>
      </w:r>
      <w:r w:rsidRPr="00BB7039" w:rsidR="003B1ED9">
        <w:t xml:space="preserve"> </w:t>
      </w:r>
    </w:p>
    <w:p w:rsidRPr="00BB7039" w:rsidR="00917824" w:rsidP="00385311" w:rsidRDefault="00917824" w14:paraId="7F998FD4" w14:textId="77777777">
      <w:pPr>
        <w:jc w:val="both"/>
        <w:rPr>
          <w:u w:val="single"/>
        </w:rPr>
      </w:pPr>
    </w:p>
    <w:p w:rsidRPr="00BB7039" w:rsidR="008A2ABA" w:rsidP="00385311" w:rsidRDefault="008A2ABA" w14:paraId="384BB8D9" w14:textId="77777777">
      <w:pPr>
        <w:jc w:val="both"/>
        <w:rPr>
          <w:u w:val="single"/>
        </w:rPr>
      </w:pPr>
      <w:r w:rsidRPr="00BB7039">
        <w:rPr>
          <w:u w:val="single"/>
        </w:rPr>
        <w:t>BJS Needs and Uses</w:t>
      </w:r>
    </w:p>
    <w:p w:rsidRPr="00BB7039" w:rsidR="00AF7585" w:rsidP="00385311" w:rsidRDefault="00A02509" w14:paraId="48718F92" w14:textId="6F075A4A">
      <w:r w:rsidRPr="00BB7039">
        <w:t xml:space="preserve">Without </w:t>
      </w:r>
      <w:r w:rsidRPr="00BB7039" w:rsidR="00E97A19">
        <w:t>SCLEA</w:t>
      </w:r>
      <w:r w:rsidRPr="00BB7039">
        <w:t xml:space="preserve">, BJS will be unable to describe the number and types of officers in </w:t>
      </w:r>
      <w:r w:rsidRPr="00BB7039" w:rsidR="00E97A19">
        <w:t xml:space="preserve">campus </w:t>
      </w:r>
      <w:r w:rsidRPr="00BB7039">
        <w:t xml:space="preserve">LEAs and to report to the nation the activities and functions </w:t>
      </w:r>
      <w:r w:rsidRPr="00BB7039" w:rsidR="00E97A19">
        <w:t xml:space="preserve">these agencies </w:t>
      </w:r>
      <w:r w:rsidRPr="00BB7039">
        <w:t xml:space="preserve">perform. </w:t>
      </w:r>
      <w:r w:rsidRPr="00BB7039" w:rsidR="00AF7585">
        <w:t xml:space="preserve">In addition, this survey provides BJS with systematic knowledge about the resources, policies practices, and organizational responses used to meet the challenges faced by contemporary </w:t>
      </w:r>
      <w:r w:rsidRPr="00BB7039" w:rsidR="00E97A19">
        <w:t xml:space="preserve">campus </w:t>
      </w:r>
      <w:r w:rsidRPr="00BB7039" w:rsidR="008B4565">
        <w:t>LEAs</w:t>
      </w:r>
      <w:r w:rsidRPr="00BB7039" w:rsidR="00AF7585">
        <w:t>.</w:t>
      </w:r>
      <w:r w:rsidRPr="00BB7039" w:rsidR="005D1F5D">
        <w:t xml:space="preserve"> </w:t>
      </w:r>
      <w:r w:rsidRPr="00BB7039" w:rsidR="00481FCA">
        <w:t xml:space="preserve">Comparisons of the </w:t>
      </w:r>
      <w:r w:rsidRPr="00BB7039" w:rsidR="00491CC4">
        <w:t>20</w:t>
      </w:r>
      <w:r w:rsidRPr="00BB7039" w:rsidR="00E53082">
        <w:t>2</w:t>
      </w:r>
      <w:r w:rsidRPr="00BB7039" w:rsidR="00E97A19">
        <w:t>1</w:t>
      </w:r>
      <w:r w:rsidRPr="00BB7039" w:rsidR="00481FCA">
        <w:t xml:space="preserve"> </w:t>
      </w:r>
      <w:r w:rsidRPr="00BB7039" w:rsidR="00E97A19">
        <w:t>SCLEA</w:t>
      </w:r>
      <w:r w:rsidRPr="00BB7039" w:rsidR="00481FCA">
        <w:t xml:space="preserve"> </w:t>
      </w:r>
      <w:r w:rsidRPr="00BB7039" w:rsidR="008A2ABA">
        <w:t xml:space="preserve">data </w:t>
      </w:r>
      <w:r w:rsidRPr="00BB7039" w:rsidR="00481FCA">
        <w:t xml:space="preserve">with </w:t>
      </w:r>
      <w:r w:rsidRPr="00BB7039" w:rsidR="008A2ABA">
        <w:t xml:space="preserve">those from </w:t>
      </w:r>
      <w:r w:rsidRPr="00BB7039" w:rsidR="00481FCA">
        <w:t xml:space="preserve">prior </w:t>
      </w:r>
      <w:r w:rsidRPr="00BB7039" w:rsidR="00E97A19">
        <w:t>SCLEA</w:t>
      </w:r>
      <w:r w:rsidRPr="00BB7039" w:rsidR="00481FCA">
        <w:t xml:space="preserve"> surveys will also provide important information on</w:t>
      </w:r>
      <w:r w:rsidRPr="00BB7039" w:rsidR="006C44A1">
        <w:t xml:space="preserve"> how </w:t>
      </w:r>
      <w:r w:rsidRPr="00BB7039" w:rsidR="00E97A19">
        <w:t xml:space="preserve">campus </w:t>
      </w:r>
      <w:r w:rsidRPr="00BB7039" w:rsidR="006C44A1">
        <w:t>LEAs have changed over time</w:t>
      </w:r>
      <w:r w:rsidRPr="00BB7039" w:rsidR="00E97A19">
        <w:t>,</w:t>
      </w:r>
      <w:r w:rsidRPr="00BB7039" w:rsidR="006C44A1">
        <w:t xml:space="preserve"> including the adoption of new technology, </w:t>
      </w:r>
      <w:r w:rsidRPr="00BB7039" w:rsidR="009928CC">
        <w:t xml:space="preserve">changes in training requirements, </w:t>
      </w:r>
      <w:r w:rsidRPr="00BB7039">
        <w:t xml:space="preserve">adopting community policing practices and changing diversity in </w:t>
      </w:r>
      <w:r w:rsidRPr="00BB7039" w:rsidR="009928CC">
        <w:t xml:space="preserve">campus </w:t>
      </w:r>
      <w:r w:rsidRPr="00BB7039">
        <w:t>law enforcement</w:t>
      </w:r>
      <w:r w:rsidRPr="00BB7039" w:rsidR="00481FCA">
        <w:t>.</w:t>
      </w:r>
      <w:r w:rsidRPr="00BB7039">
        <w:t xml:space="preserve"> </w:t>
      </w:r>
    </w:p>
    <w:p w:rsidRPr="00BB7039" w:rsidR="00AF7585" w:rsidP="00385311" w:rsidRDefault="00AF7585" w14:paraId="479DA4D0" w14:textId="77777777"/>
    <w:p w:rsidRPr="00BB7039" w:rsidR="001D172F" w:rsidP="00385311" w:rsidRDefault="00601F2E" w14:paraId="3F4B2694" w14:textId="1D628FDB">
      <w:r w:rsidRPr="00BB7039">
        <w:t xml:space="preserve">The list below details the type of information that will be available through the </w:t>
      </w:r>
      <w:r w:rsidRPr="00BB7039" w:rsidR="009915CE">
        <w:t>202</w:t>
      </w:r>
      <w:r w:rsidRPr="00BB7039" w:rsidR="005A4181">
        <w:t>1</w:t>
      </w:r>
      <w:r w:rsidRPr="00BB7039" w:rsidR="009915CE">
        <w:t xml:space="preserve"> </w:t>
      </w:r>
      <w:r w:rsidRPr="00BB7039" w:rsidR="005A4181">
        <w:t>SCLEA</w:t>
      </w:r>
      <w:r w:rsidRPr="00BB7039">
        <w:t xml:space="preserve"> data</w:t>
      </w:r>
      <w:r w:rsidRPr="00BB7039" w:rsidR="00D41558">
        <w:t>:</w:t>
      </w:r>
    </w:p>
    <w:p w:rsidRPr="00BB7039" w:rsidR="00D41558" w:rsidP="00385311" w:rsidRDefault="00D41558" w14:paraId="636B6B13" w14:textId="22DE5070">
      <w:pPr>
        <w:pStyle w:val="ListParagraph"/>
        <w:numPr>
          <w:ilvl w:val="0"/>
          <w:numId w:val="29"/>
        </w:numPr>
      </w:pPr>
      <w:r w:rsidRPr="00BB7039">
        <w:t>Number of full-time and part-time sworn officers and non</w:t>
      </w:r>
      <w:r w:rsidRPr="00BB7039" w:rsidR="00380843">
        <w:t>-</w:t>
      </w:r>
      <w:r w:rsidRPr="00BB7039">
        <w:t>sworn employees</w:t>
      </w:r>
      <w:r w:rsidRPr="00BB7039" w:rsidR="00275798">
        <w:t xml:space="preserve"> by task scope (e.g., administration, operations, and support)</w:t>
      </w:r>
    </w:p>
    <w:p w:rsidRPr="00BB7039" w:rsidR="00037327" w:rsidP="00385311" w:rsidRDefault="00275798" w14:paraId="32D38B57" w14:textId="77777777">
      <w:pPr>
        <w:pStyle w:val="ListParagraph"/>
        <w:numPr>
          <w:ilvl w:val="0"/>
          <w:numId w:val="29"/>
        </w:numPr>
      </w:pPr>
      <w:r w:rsidRPr="00BB7039">
        <w:t>Sex</w:t>
      </w:r>
      <w:r w:rsidRPr="00BB7039" w:rsidR="00026EFC">
        <w:t xml:space="preserve"> and</w:t>
      </w:r>
      <w:r w:rsidRPr="00BB7039">
        <w:t xml:space="preserve"> race </w:t>
      </w:r>
      <w:r w:rsidRPr="00BB7039" w:rsidR="00026EFC">
        <w:t xml:space="preserve">or ethnicity of </w:t>
      </w:r>
      <w:r w:rsidRPr="00BB7039" w:rsidR="00037327">
        <w:t>full-time sworn officers</w:t>
      </w:r>
    </w:p>
    <w:p w:rsidRPr="00BB7039" w:rsidR="00037327" w:rsidP="00385311" w:rsidRDefault="00037327" w14:paraId="16E330ED" w14:textId="24835BFA">
      <w:pPr>
        <w:pStyle w:val="ListParagraph"/>
        <w:numPr>
          <w:ilvl w:val="0"/>
          <w:numId w:val="29"/>
        </w:numPr>
      </w:pPr>
      <w:r w:rsidRPr="00BB7039">
        <w:t xml:space="preserve">Percentage of agencies with primary responsibility for </w:t>
      </w:r>
      <w:r w:rsidRPr="00BB7039" w:rsidR="00F56225">
        <w:t>specific</w:t>
      </w:r>
      <w:r w:rsidRPr="00BB7039">
        <w:t xml:space="preserve"> functions</w:t>
      </w:r>
    </w:p>
    <w:p w:rsidRPr="00BB7039" w:rsidR="00037327" w:rsidP="00385311" w:rsidRDefault="00037327" w14:paraId="54CB8EDB" w14:textId="438B7ABE">
      <w:pPr>
        <w:pStyle w:val="ListParagraph"/>
        <w:numPr>
          <w:ilvl w:val="0"/>
          <w:numId w:val="29"/>
        </w:numPr>
      </w:pPr>
      <w:r w:rsidRPr="00BB7039">
        <w:t xml:space="preserve">Percentage of agencies with primary responsibility for on-site security for </w:t>
      </w:r>
      <w:r w:rsidRPr="00BB7039" w:rsidR="00F56225">
        <w:t>specific</w:t>
      </w:r>
      <w:r w:rsidRPr="00BB7039">
        <w:t xml:space="preserve"> facilities and events</w:t>
      </w:r>
    </w:p>
    <w:p w:rsidRPr="00BB7039" w:rsidR="00037327" w:rsidP="00385311" w:rsidRDefault="00037327" w14:paraId="543C3290" w14:textId="77777777">
      <w:pPr>
        <w:pStyle w:val="ListParagraph"/>
        <w:numPr>
          <w:ilvl w:val="0"/>
          <w:numId w:val="29"/>
        </w:numPr>
      </w:pPr>
      <w:r w:rsidRPr="00BB7039">
        <w:t>Percentage of agencies operating a temporary holding cell or facility</w:t>
      </w:r>
    </w:p>
    <w:p w:rsidRPr="00BB7039" w:rsidR="00275798" w:rsidP="00385311" w:rsidRDefault="00CB1120" w14:paraId="45C0ABA2" w14:textId="4F6E0F21">
      <w:pPr>
        <w:pStyle w:val="ListParagraph"/>
        <w:numPr>
          <w:ilvl w:val="0"/>
          <w:numId w:val="29"/>
        </w:numPr>
      </w:pPr>
      <w:r w:rsidRPr="00BB7039">
        <w:t xml:space="preserve">Percentage of agencies with </w:t>
      </w:r>
      <w:r w:rsidRPr="00BB7039" w:rsidR="00037327">
        <w:t>routine patrol coverage</w:t>
      </w:r>
      <w:r w:rsidRPr="00BB7039">
        <w:t xml:space="preserve">, by type of patrol coverage and </w:t>
      </w:r>
      <w:r w:rsidRPr="00BB7039" w:rsidR="00037327">
        <w:t>type of officer</w:t>
      </w:r>
    </w:p>
    <w:p w:rsidRPr="00BB7039" w:rsidR="00037327" w:rsidP="00385311" w:rsidRDefault="00037327" w14:paraId="338C1369" w14:textId="4A7375CB">
      <w:pPr>
        <w:pStyle w:val="ListParagraph"/>
        <w:numPr>
          <w:ilvl w:val="0"/>
          <w:numId w:val="29"/>
        </w:numPr>
      </w:pPr>
      <w:r w:rsidRPr="00BB7039">
        <w:t>Average total operating budget</w:t>
      </w:r>
    </w:p>
    <w:p w:rsidRPr="00BB7039" w:rsidR="00037327" w:rsidP="00385311" w:rsidRDefault="00037327" w14:paraId="4A7AC47D" w14:textId="53ADBEE5">
      <w:pPr>
        <w:pStyle w:val="ListParagraph"/>
        <w:numPr>
          <w:ilvl w:val="0"/>
          <w:numId w:val="29"/>
        </w:numPr>
      </w:pPr>
      <w:r w:rsidRPr="00BB7039">
        <w:t>Average base and maximum salaries by position type</w:t>
      </w:r>
    </w:p>
    <w:p w:rsidRPr="00BB7039" w:rsidR="00037327" w:rsidP="00385311" w:rsidRDefault="00037327" w14:paraId="4B812C9C" w14:textId="0621BFC6">
      <w:pPr>
        <w:pStyle w:val="ListParagraph"/>
        <w:numPr>
          <w:ilvl w:val="0"/>
          <w:numId w:val="29"/>
        </w:numPr>
      </w:pPr>
      <w:r w:rsidRPr="00BB7039">
        <w:t>Percentage of agencies using special pay</w:t>
      </w:r>
    </w:p>
    <w:p w:rsidRPr="00BB7039" w:rsidR="00037327" w:rsidP="00385311" w:rsidRDefault="00037327" w14:paraId="57C6C327" w14:textId="465E41B1">
      <w:pPr>
        <w:pStyle w:val="ListParagraph"/>
        <w:numPr>
          <w:ilvl w:val="0"/>
          <w:numId w:val="29"/>
        </w:numPr>
      </w:pPr>
      <w:r w:rsidRPr="00BB7039">
        <w:t>Percentage of agencies with external agreements between employee representative organizations and nonsupervisory full-time personnel</w:t>
      </w:r>
    </w:p>
    <w:p w:rsidRPr="00BB7039" w:rsidR="00AB0497" w:rsidP="00385311" w:rsidRDefault="00AB0497" w14:paraId="290AF26D" w14:textId="59201F01">
      <w:pPr>
        <w:pStyle w:val="ListParagraph"/>
        <w:numPr>
          <w:ilvl w:val="0"/>
          <w:numId w:val="29"/>
        </w:numPr>
      </w:pPr>
      <w:r w:rsidRPr="00BB7039">
        <w:t>Percentage of agencies with a blue-light or equivalent emergency phone system</w:t>
      </w:r>
    </w:p>
    <w:p w:rsidRPr="00BB7039" w:rsidR="007F5643" w:rsidP="00385311" w:rsidRDefault="00AB0497" w14:paraId="0E62938B" w14:textId="77777777">
      <w:pPr>
        <w:pStyle w:val="ListParagraph"/>
        <w:numPr>
          <w:ilvl w:val="0"/>
          <w:numId w:val="29"/>
        </w:numPr>
      </w:pPr>
      <w:r w:rsidRPr="00BB7039">
        <w:t xml:space="preserve">Percentage of </w:t>
      </w:r>
      <w:r w:rsidRPr="00BB7039" w:rsidR="007F5643">
        <w:t>agencies</w:t>
      </w:r>
      <w:r w:rsidRPr="00BB7039">
        <w:t xml:space="preserve"> </w:t>
      </w:r>
      <w:r w:rsidRPr="00BB7039" w:rsidR="007F5643">
        <w:t>participating in an enhanced 9-1-1 system</w:t>
      </w:r>
    </w:p>
    <w:p w:rsidRPr="00BB7039" w:rsidR="007F5643" w:rsidP="00385311" w:rsidRDefault="007F5643" w14:paraId="6C31DEDF" w14:textId="77777777">
      <w:pPr>
        <w:pStyle w:val="ListParagraph"/>
        <w:numPr>
          <w:ilvl w:val="0"/>
          <w:numId w:val="29"/>
        </w:numPr>
      </w:pPr>
      <w:r w:rsidRPr="00BB7039">
        <w:t>Percentage of agencies serving campuses with various types of mass notification systems</w:t>
      </w:r>
    </w:p>
    <w:p w:rsidRPr="00BB7039" w:rsidR="00AB0497" w:rsidP="00385311" w:rsidRDefault="007F5643" w14:paraId="40524A19" w14:textId="7075562F">
      <w:pPr>
        <w:pStyle w:val="ListParagraph"/>
        <w:numPr>
          <w:ilvl w:val="0"/>
          <w:numId w:val="29"/>
        </w:numPr>
      </w:pPr>
      <w:r w:rsidRPr="00BB7039">
        <w:t>Percentage of agencies using selecting technologies for law enforcement or investigative purposes</w:t>
      </w:r>
      <w:r w:rsidRPr="00BB7039" w:rsidR="00AB0497">
        <w:t xml:space="preserve"> </w:t>
      </w:r>
    </w:p>
    <w:p w:rsidRPr="00BB7039" w:rsidR="00893E54" w:rsidP="00385311" w:rsidRDefault="00893E54" w14:paraId="607842D5" w14:textId="53A25B37">
      <w:pPr>
        <w:pStyle w:val="ListParagraph"/>
        <w:numPr>
          <w:ilvl w:val="0"/>
          <w:numId w:val="29"/>
        </w:numPr>
      </w:pPr>
      <w:r w:rsidRPr="00BB7039">
        <w:t>Percentage of agencies with a campus public safety radio system that was interoperable with local first responders</w:t>
      </w:r>
    </w:p>
    <w:p w:rsidRPr="00BB7039" w:rsidR="00893E54" w:rsidP="00385311" w:rsidRDefault="00893E54" w14:paraId="16922506" w14:textId="0B01EC5E">
      <w:pPr>
        <w:pStyle w:val="ListParagraph"/>
        <w:numPr>
          <w:ilvl w:val="0"/>
          <w:numId w:val="29"/>
        </w:numPr>
      </w:pPr>
      <w:r w:rsidRPr="00BB7039">
        <w:t>Percentage of agencies with a mass notification system by enrollment group and type</w:t>
      </w:r>
    </w:p>
    <w:p w:rsidRPr="00BB7039" w:rsidR="00893E54" w:rsidP="00385311" w:rsidRDefault="00893E54" w14:paraId="63D58FF6" w14:textId="55362A97">
      <w:pPr>
        <w:pStyle w:val="ListParagraph"/>
        <w:numPr>
          <w:ilvl w:val="0"/>
          <w:numId w:val="29"/>
        </w:numPr>
      </w:pPr>
      <w:r w:rsidRPr="00BB7039">
        <w:lastRenderedPageBreak/>
        <w:t>Percentage of agencies using computers or electronic devices for selected functions</w:t>
      </w:r>
    </w:p>
    <w:p w:rsidRPr="00BB7039" w:rsidR="00893E54" w:rsidP="00385311" w:rsidRDefault="00893E54" w14:paraId="0EE56867" w14:textId="11E2F9E0">
      <w:pPr>
        <w:pStyle w:val="ListParagraph"/>
        <w:numPr>
          <w:ilvl w:val="0"/>
          <w:numId w:val="29"/>
        </w:numPr>
      </w:pPr>
      <w:r w:rsidRPr="00BB7039">
        <w:t>Prevalence of educational requirements for new officers</w:t>
      </w:r>
    </w:p>
    <w:p w:rsidRPr="00BB7039" w:rsidR="00893E54" w:rsidP="00385311" w:rsidRDefault="00893E54" w14:paraId="1EDBA5CD" w14:textId="77777777">
      <w:pPr>
        <w:pStyle w:val="ListParagraph"/>
        <w:numPr>
          <w:ilvl w:val="0"/>
          <w:numId w:val="29"/>
        </w:numPr>
      </w:pPr>
      <w:r w:rsidRPr="00BB7039">
        <w:t>Percentage of agencies that employ specific pre-employment screening techniques</w:t>
      </w:r>
    </w:p>
    <w:p w:rsidRPr="00BB7039" w:rsidR="00893E54" w:rsidP="00385311" w:rsidRDefault="00893E54" w14:paraId="4B98AF06" w14:textId="602FBE65">
      <w:pPr>
        <w:pStyle w:val="ListParagraph"/>
        <w:numPr>
          <w:ilvl w:val="0"/>
          <w:numId w:val="29"/>
        </w:numPr>
      </w:pPr>
      <w:r w:rsidRPr="00BB7039">
        <w:t>Average academy</w:t>
      </w:r>
      <w:r w:rsidRPr="00BB7039" w:rsidR="00F56225">
        <w:t xml:space="preserve">, </w:t>
      </w:r>
      <w:r w:rsidRPr="00BB7039">
        <w:t>field</w:t>
      </w:r>
      <w:r w:rsidRPr="00BB7039" w:rsidR="00F56225">
        <w:t>, and in-service</w:t>
      </w:r>
      <w:r w:rsidRPr="00BB7039">
        <w:t xml:space="preserve"> training hours</w:t>
      </w:r>
    </w:p>
    <w:p w:rsidRPr="00BB7039" w:rsidR="00893E54" w:rsidP="00385311" w:rsidRDefault="00F56225" w14:paraId="08A000DD" w14:textId="770AABFE">
      <w:pPr>
        <w:pStyle w:val="ListParagraph"/>
        <w:numPr>
          <w:ilvl w:val="0"/>
          <w:numId w:val="29"/>
        </w:numPr>
      </w:pPr>
      <w:r w:rsidRPr="00BB7039">
        <w:t>Percentage of agencies covering specific topics during in-service training</w:t>
      </w:r>
    </w:p>
    <w:p w:rsidRPr="00BB7039" w:rsidR="00F56225" w:rsidP="00385311" w:rsidRDefault="00F56225" w14:paraId="6F752BA7" w14:textId="3F29970C">
      <w:pPr>
        <w:pStyle w:val="ListParagraph"/>
        <w:numPr>
          <w:ilvl w:val="0"/>
          <w:numId w:val="29"/>
        </w:numPr>
      </w:pPr>
      <w:r w:rsidRPr="00BB7039">
        <w:t>Percentage of agencies with plans to conduct active shooter training during the academic year</w:t>
      </w:r>
    </w:p>
    <w:p w:rsidRPr="00BB7039" w:rsidR="00F56225" w:rsidP="00385311" w:rsidRDefault="00F56225" w14:paraId="39947A28" w14:textId="77758A92">
      <w:pPr>
        <w:pStyle w:val="ListParagraph"/>
        <w:numPr>
          <w:ilvl w:val="0"/>
          <w:numId w:val="29"/>
        </w:numPr>
      </w:pPr>
      <w:r w:rsidRPr="00BB7039">
        <w:t>Percentages of agencies that authorize the use of specific kinds of weapons or force actions</w:t>
      </w:r>
    </w:p>
    <w:p w:rsidRPr="00BB7039" w:rsidR="00F56225" w:rsidP="00385311" w:rsidRDefault="00F56225" w14:paraId="7351FCDF" w14:textId="546736FD">
      <w:pPr>
        <w:pStyle w:val="ListParagraph"/>
        <w:numPr>
          <w:ilvl w:val="0"/>
          <w:numId w:val="29"/>
        </w:numPr>
      </w:pPr>
      <w:r w:rsidRPr="00BB7039">
        <w:t>Percentage of agencies operating specific motorized vehicles or equipment</w:t>
      </w:r>
    </w:p>
    <w:p w:rsidRPr="00BB7039" w:rsidR="00F56225" w:rsidP="00385311" w:rsidRDefault="005742EC" w14:paraId="16B55D7B" w14:textId="21577E26">
      <w:pPr>
        <w:pStyle w:val="ListParagraph"/>
        <w:numPr>
          <w:ilvl w:val="0"/>
          <w:numId w:val="29"/>
        </w:numPr>
      </w:pPr>
      <w:r w:rsidRPr="00BB7039">
        <w:t>Percentage of agencies with a formal written agreement or informal problem-solving partnership with specific groups</w:t>
      </w:r>
    </w:p>
    <w:p w:rsidRPr="00BB7039" w:rsidR="005742EC" w:rsidP="00385311" w:rsidRDefault="005742EC" w14:paraId="348F44E8" w14:textId="18A482E9">
      <w:pPr>
        <w:pStyle w:val="ListParagraph"/>
        <w:numPr>
          <w:ilvl w:val="0"/>
          <w:numId w:val="29"/>
        </w:numPr>
      </w:pPr>
      <w:r w:rsidRPr="00BB7039">
        <w:t>Percentage of agencies with plan to conduct preparedness planning activities</w:t>
      </w:r>
    </w:p>
    <w:p w:rsidRPr="00BB7039" w:rsidR="005742EC" w:rsidP="00385311" w:rsidRDefault="005742EC" w14:paraId="7A3EEB73" w14:textId="6F70FC02">
      <w:pPr>
        <w:pStyle w:val="ListParagraph"/>
        <w:numPr>
          <w:ilvl w:val="0"/>
          <w:numId w:val="29"/>
        </w:numPr>
      </w:pPr>
      <w:r w:rsidRPr="00BB7039">
        <w:t>Percentage of agencies using foot patrols on campus for specific functions</w:t>
      </w:r>
    </w:p>
    <w:p w:rsidRPr="00BB7039" w:rsidR="005742EC" w:rsidP="00385311" w:rsidRDefault="005742EC" w14:paraId="51AB06B3" w14:textId="7A1C0EC8">
      <w:pPr>
        <w:pStyle w:val="ListParagraph"/>
        <w:numPr>
          <w:ilvl w:val="0"/>
          <w:numId w:val="29"/>
        </w:numPr>
      </w:pPr>
      <w:r w:rsidRPr="00BB7039">
        <w:t>Prevalence of specialized units designed to address specific problems</w:t>
      </w:r>
    </w:p>
    <w:p w:rsidRPr="00BB7039" w:rsidR="00C700A9" w:rsidP="00385311" w:rsidRDefault="00C700A9" w14:paraId="217015B7" w14:textId="37E3053C">
      <w:pPr>
        <w:pStyle w:val="ListParagraph"/>
        <w:numPr>
          <w:ilvl w:val="0"/>
          <w:numId w:val="29"/>
        </w:numPr>
      </w:pPr>
      <w:r w:rsidRPr="00BB7039">
        <w:t xml:space="preserve">Percent of agencies </w:t>
      </w:r>
      <w:r w:rsidRPr="00BB7039" w:rsidR="00271AC8">
        <w:t>with campus safety escort services</w:t>
      </w:r>
    </w:p>
    <w:p w:rsidRPr="00BB7039" w:rsidR="00271AC8" w:rsidP="00385311" w:rsidRDefault="00271AC8" w14:paraId="1B4C93A9" w14:textId="392FFFDC">
      <w:pPr>
        <w:pStyle w:val="ListParagraph"/>
        <w:numPr>
          <w:ilvl w:val="0"/>
          <w:numId w:val="29"/>
        </w:numPr>
      </w:pPr>
      <w:r w:rsidRPr="00BB7039">
        <w:t>Prevalence of civilian complaints by disposition status</w:t>
      </w:r>
    </w:p>
    <w:p w:rsidRPr="00BB7039" w:rsidR="00271AC8" w:rsidP="00385311" w:rsidRDefault="00271AC8" w14:paraId="01777331" w14:textId="08D09F01">
      <w:pPr>
        <w:pStyle w:val="ListParagraph"/>
        <w:numPr>
          <w:ilvl w:val="0"/>
          <w:numId w:val="29"/>
        </w:numPr>
      </w:pPr>
      <w:r w:rsidRPr="00BB7039">
        <w:t>Percent of agencies with arrest and patrol jurisdiction by type of jurisdiction</w:t>
      </w:r>
    </w:p>
    <w:p w:rsidRPr="00BB7039" w:rsidR="00271AC8" w:rsidP="00385311" w:rsidRDefault="00271AC8" w14:paraId="46708D54" w14:textId="4BBF0022">
      <w:pPr>
        <w:pStyle w:val="ListParagraph"/>
        <w:numPr>
          <w:ilvl w:val="0"/>
          <w:numId w:val="29"/>
        </w:numPr>
      </w:pPr>
      <w:r w:rsidRPr="00BB7039">
        <w:t>Percent of agencies with an active agreement with other types of agencies</w:t>
      </w:r>
    </w:p>
    <w:p w:rsidRPr="00BB7039" w:rsidR="00271AC8" w:rsidP="00385311" w:rsidRDefault="00271AC8" w14:paraId="7974F87B" w14:textId="54392484">
      <w:pPr>
        <w:pStyle w:val="ListParagraph"/>
        <w:numPr>
          <w:ilvl w:val="0"/>
          <w:numId w:val="29"/>
        </w:numPr>
      </w:pPr>
      <w:r w:rsidRPr="00BB7039">
        <w:t>Percent of agencies with a formal policy on specific offenses and topics</w:t>
      </w:r>
    </w:p>
    <w:p w:rsidRPr="00BB7039" w:rsidR="00275798" w:rsidP="00385311" w:rsidRDefault="00275798" w14:paraId="0BC4A690" w14:textId="31973BEC"/>
    <w:p w:rsidRPr="00BB7039" w:rsidR="00AF7585" w:rsidP="00385311" w:rsidRDefault="004979EE" w14:paraId="7A9822C3" w14:textId="1DA65605">
      <w:r w:rsidRPr="00BB7039">
        <w:t>T</w:t>
      </w:r>
      <w:r w:rsidRPr="00BB7039" w:rsidR="00D41558">
        <w:t xml:space="preserve">hese characteristics can be disaggregated to produce estimates by </w:t>
      </w:r>
      <w:r w:rsidRPr="00BB7039" w:rsidR="00CB1120">
        <w:t>institution type</w:t>
      </w:r>
      <w:r w:rsidRPr="00BB7039" w:rsidR="00C555FB">
        <w:t xml:space="preserve"> (public/private and 2-year/4-year institutions)</w:t>
      </w:r>
      <w:r w:rsidRPr="00BB7039" w:rsidR="00CB1120">
        <w:t xml:space="preserve"> and institution size </w:t>
      </w:r>
      <w:r w:rsidRPr="00BB7039" w:rsidR="00C555FB">
        <w:t xml:space="preserve">(full-time student enrollment) </w:t>
      </w:r>
      <w:r w:rsidRPr="00BB7039">
        <w:t>based on the stratification procedure</w:t>
      </w:r>
      <w:r w:rsidRPr="00BB7039" w:rsidR="00D41558">
        <w:t xml:space="preserve">.  </w:t>
      </w:r>
    </w:p>
    <w:p w:rsidRPr="00BB7039" w:rsidR="00601F2E" w:rsidP="00385311" w:rsidRDefault="00601F2E" w14:paraId="244C51A0" w14:textId="77777777"/>
    <w:p w:rsidRPr="00BB7039" w:rsidR="00601F2E" w:rsidP="00385311" w:rsidRDefault="00EB734D" w14:paraId="74458526" w14:textId="740A4162">
      <w:pPr>
        <w:rPr>
          <w:color w:val="000000"/>
        </w:rPr>
      </w:pPr>
      <w:r w:rsidRPr="00BB7039">
        <w:t>Since 19</w:t>
      </w:r>
      <w:r w:rsidRPr="00BB7039" w:rsidR="00AD14E9">
        <w:t>95</w:t>
      </w:r>
      <w:r w:rsidRPr="00BB7039">
        <w:t>, BJS has published 3</w:t>
      </w:r>
      <w:r w:rsidRPr="00BB7039" w:rsidR="00601F2E">
        <w:t xml:space="preserve"> reports on data obtained from </w:t>
      </w:r>
      <w:r w:rsidRPr="00BB7039" w:rsidR="00A8379F">
        <w:t xml:space="preserve">previous </w:t>
      </w:r>
      <w:r w:rsidRPr="00BB7039" w:rsidR="00AD14E9">
        <w:t>SCLEA</w:t>
      </w:r>
      <w:r w:rsidRPr="00BB7039" w:rsidR="00601F2E">
        <w:t xml:space="preserve"> </w:t>
      </w:r>
      <w:r w:rsidRPr="00BB7039" w:rsidR="00A8379F">
        <w:t xml:space="preserve">surveys </w:t>
      </w:r>
      <w:r w:rsidRPr="00BB7039" w:rsidR="00601F2E">
        <w:rPr>
          <w:color w:val="000000"/>
        </w:rPr>
        <w:t xml:space="preserve">to describe characteristics of </w:t>
      </w:r>
      <w:r w:rsidRPr="00BB7039" w:rsidR="005359FA">
        <w:rPr>
          <w:color w:val="000000"/>
        </w:rPr>
        <w:t>campus</w:t>
      </w:r>
      <w:r w:rsidRPr="00BB7039" w:rsidR="008310A7">
        <w:rPr>
          <w:color w:val="000000"/>
        </w:rPr>
        <w:t xml:space="preserve"> LEAs</w:t>
      </w:r>
      <w:r w:rsidR="00FF6AFD">
        <w:rPr>
          <w:color w:val="000000"/>
        </w:rPr>
        <w:t>.</w:t>
      </w:r>
      <w:r w:rsidRPr="00042399" w:rsidR="00042399">
        <w:rPr>
          <w:color w:val="000000"/>
          <w:vertAlign w:val="superscript"/>
        </w:rPr>
        <w:fldChar w:fldCharType="begin"/>
      </w:r>
      <w:r w:rsidRPr="00042399" w:rsidR="00042399">
        <w:rPr>
          <w:color w:val="000000"/>
          <w:vertAlign w:val="superscript"/>
        </w:rPr>
        <w:instrText xml:space="preserve"> NOTEREF _Ref77082877 \h </w:instrText>
      </w:r>
      <w:r w:rsidR="00042399">
        <w:rPr>
          <w:color w:val="000000"/>
          <w:vertAlign w:val="superscript"/>
        </w:rPr>
        <w:instrText xml:space="preserve"> \* MERGEFORMAT </w:instrText>
      </w:r>
      <w:r w:rsidRPr="00042399" w:rsidR="00042399">
        <w:rPr>
          <w:color w:val="000000"/>
          <w:vertAlign w:val="superscript"/>
        </w:rPr>
      </w:r>
      <w:r w:rsidRPr="00042399" w:rsidR="00042399">
        <w:rPr>
          <w:color w:val="000000"/>
          <w:vertAlign w:val="superscript"/>
        </w:rPr>
        <w:fldChar w:fldCharType="separate"/>
      </w:r>
      <w:r w:rsidRPr="00042399" w:rsidR="00042399">
        <w:rPr>
          <w:color w:val="000000"/>
          <w:vertAlign w:val="superscript"/>
        </w:rPr>
        <w:t>1</w:t>
      </w:r>
      <w:r w:rsidRPr="00042399" w:rsidR="00042399">
        <w:rPr>
          <w:color w:val="000000"/>
          <w:vertAlign w:val="superscript"/>
        </w:rPr>
        <w:fldChar w:fldCharType="end"/>
      </w:r>
      <w:r w:rsidR="00042399">
        <w:rPr>
          <w:color w:val="000000"/>
          <w:vertAlign w:val="superscript"/>
        </w:rPr>
        <w:t>,</w:t>
      </w:r>
      <w:r w:rsidR="00042399">
        <w:rPr>
          <w:rStyle w:val="FootnoteReference"/>
          <w:color w:val="000000"/>
        </w:rPr>
        <w:footnoteReference w:id="5"/>
      </w:r>
      <w:r w:rsidR="00042399">
        <w:rPr>
          <w:color w:val="000000"/>
          <w:vertAlign w:val="superscript"/>
        </w:rPr>
        <w:t>,</w:t>
      </w:r>
      <w:r w:rsidR="00042399">
        <w:rPr>
          <w:rStyle w:val="FootnoteReference"/>
          <w:color w:val="000000"/>
        </w:rPr>
        <w:footnoteReference w:id="6"/>
      </w:r>
      <w:r w:rsidRPr="00BB7039" w:rsidR="00601F2E">
        <w:rPr>
          <w:color w:val="000000"/>
        </w:rPr>
        <w:t xml:space="preserve"> </w:t>
      </w:r>
      <w:r w:rsidRPr="00BB7039" w:rsidR="00293121">
        <w:rPr>
          <w:color w:val="000000"/>
        </w:rPr>
        <w:t>The 2021 SCLEA data will be used to develop an updated report, highlighting trends in campus policing over time along with providing national estimates on new and emerging topics within campus law enforcement.</w:t>
      </w:r>
    </w:p>
    <w:p w:rsidRPr="00BB7039" w:rsidR="009C1BC7" w:rsidP="00385311" w:rsidRDefault="009C1BC7" w14:paraId="2B9EFED1" w14:textId="2BFCF057">
      <w:bookmarkStart w:name="_msoanchor_1" w:id="1"/>
      <w:bookmarkEnd w:id="1"/>
    </w:p>
    <w:p w:rsidRPr="00BB7039" w:rsidR="00F245BB" w:rsidP="00385311" w:rsidRDefault="00F245BB" w14:paraId="219D0EF3" w14:textId="3EEC2172">
      <w:pPr>
        <w:rPr>
          <w:u w:val="single"/>
        </w:rPr>
      </w:pPr>
      <w:r w:rsidRPr="00BB7039">
        <w:rPr>
          <w:u w:val="single"/>
        </w:rPr>
        <w:t>Uses of SCLEA Data by Others</w:t>
      </w:r>
    </w:p>
    <w:p w:rsidRPr="00BB7039" w:rsidR="00F245BB" w:rsidP="00385311" w:rsidRDefault="00F245BB" w14:paraId="3EF46527" w14:textId="73FF5BE4">
      <w:r w:rsidRPr="00BB7039">
        <w:t>The data to be collected from the 20</w:t>
      </w:r>
      <w:r w:rsidRPr="00BB7039" w:rsidR="003C15E2">
        <w:t>2</w:t>
      </w:r>
      <w:r w:rsidRPr="00BB7039">
        <w:t xml:space="preserve">1 </w:t>
      </w:r>
      <w:r w:rsidRPr="00BB7039" w:rsidR="003C15E2">
        <w:t>SCLEA</w:t>
      </w:r>
      <w:r w:rsidRPr="00BB7039">
        <w:t xml:space="preserve"> will be used to provide national-level and campus-level measures of law enforcement personnel, budgets, equipment, and policies and procedures. These statistics are requested and used by police chiefs, security directors, education administrators, legislators, planners, researchers, and others to identify resource needs, trends, and priorities in campus law enforcement.  </w:t>
      </w:r>
    </w:p>
    <w:p w:rsidRPr="00BB7039" w:rsidR="00F245BB" w:rsidP="00385311" w:rsidRDefault="00F245BB" w14:paraId="40D94EC7" w14:textId="77777777"/>
    <w:p w:rsidRPr="00BB7039" w:rsidR="00F245BB" w:rsidP="00385311" w:rsidRDefault="00F245BB" w14:paraId="6BAFF850" w14:textId="0F9EE34E">
      <w:r w:rsidRPr="00BB7039">
        <w:t xml:space="preserve">The primary national membership organization for campus police chiefs and security directors is the International Association of Campus Law Enforcement Administrators (IACLEA). This organization, with </w:t>
      </w:r>
      <w:r w:rsidRPr="00BB7039" w:rsidR="003C15E2">
        <w:t>more than 4,200</w:t>
      </w:r>
      <w:r w:rsidRPr="00BB7039">
        <w:t xml:space="preserve"> members</w:t>
      </w:r>
      <w:r w:rsidRPr="00BB7039" w:rsidR="003C15E2">
        <w:t xml:space="preserve"> representing over 1,000 agencies</w:t>
      </w:r>
      <w:r w:rsidRPr="00BB7039">
        <w:t xml:space="preserve">, recognizes </w:t>
      </w:r>
      <w:r w:rsidR="00C77BA4">
        <w:t>SCLEA</w:t>
      </w:r>
      <w:r w:rsidRPr="00BB7039">
        <w:t xml:space="preserve"> as the only nationwide survey that can produce objective and comprehensive data </w:t>
      </w:r>
      <w:r w:rsidRPr="00BB7039">
        <w:lastRenderedPageBreak/>
        <w:t>covering a wide range of campus public safety issues. Campus law enforcement administrators will use the information collected in the survey to conduct crucial benchmark comparisons to assess their own operations relative to other agencies. Agencies studying potential changes, such as from non</w:t>
      </w:r>
      <w:r w:rsidR="00C77BA4">
        <w:t>-</w:t>
      </w:r>
      <w:r w:rsidRPr="00BB7039">
        <w:t>sworn security to sworn police, or from unarmed to armed officers, have utilized BJS data to examine the costs in terms of salaries and benefits, equipment, and training associated with such changes.</w:t>
      </w:r>
    </w:p>
    <w:p w:rsidRPr="00BB7039" w:rsidR="00F245BB" w:rsidP="00385311" w:rsidRDefault="00F245BB" w14:paraId="58D614F7" w14:textId="77777777"/>
    <w:p w:rsidRPr="00BB7039" w:rsidR="00F245BB" w:rsidP="00385311" w:rsidRDefault="00F245BB" w14:paraId="27EF23F8" w14:textId="7D710D4B">
      <w:r w:rsidRPr="00BB7039">
        <w:t>Agencies have also used BJS data to develop budget requests to hire additional staff by developing comparisons with other agencies serving campuses with similar enrollments, geographic settings, or crime levels in the surrounding area. Agencies also use BJS data to identify agencies that may assist them with the development of policies in areas such as use of force and use of new technologies. Similarly</w:t>
      </w:r>
      <w:r w:rsidRPr="00BB7039" w:rsidR="00C11C79">
        <w:t>,</w:t>
      </w:r>
      <w:r w:rsidRPr="00BB7039">
        <w:t xml:space="preserve"> administrators use BJS data to identify other agencies for assistance in the development of programs in areas such as community policing, drug and alcohol education, rape prevention, victim assistance, and emergency preparedness.  </w:t>
      </w:r>
    </w:p>
    <w:p w:rsidRPr="00BB7039" w:rsidR="00F245BB" w:rsidP="00385311" w:rsidRDefault="00F245BB" w14:paraId="1C43AB93" w14:textId="77777777"/>
    <w:p w:rsidRPr="00BB7039" w:rsidR="00F245BB" w:rsidP="00385311" w:rsidRDefault="00F245BB" w14:paraId="6B19EF01" w14:textId="10409AF4">
      <w:r w:rsidRPr="00BB7039">
        <w:t>Other areas for which campus law enforcement agencies have used the BJS data for comparison purposes include patrol allocation strategies, officer recruitment strategies, officer salaries and benefits, education and training requirements for officers, use of computers and new technologies, and the development of new information systems. The national benchmarks provided by this survey also help campus law enforcement officials and public policy makers identify gaps in areas such as access to services</w:t>
      </w:r>
      <w:r w:rsidRPr="00BB7039" w:rsidR="008B13DA">
        <w:t xml:space="preserve"> and </w:t>
      </w:r>
      <w:r w:rsidRPr="00BB7039">
        <w:t xml:space="preserve">emergency management so that efforts to protect the campus population and prevent crime can be enhanced. </w:t>
      </w:r>
    </w:p>
    <w:p w:rsidRPr="00BB7039" w:rsidR="00F245BB" w:rsidP="00385311" w:rsidRDefault="00F245BB" w14:paraId="5CF2F9F0" w14:textId="77777777"/>
    <w:p w:rsidRPr="00BB7039" w:rsidR="00F245BB" w:rsidP="00385311" w:rsidRDefault="00F245BB" w14:paraId="706B60B3" w14:textId="04E3CB1B">
      <w:r w:rsidRPr="00BB7039">
        <w:t xml:space="preserve">The importance of campus safety is made evident by the Congressionally-mandated reporting of crime on campus required of all U.S. post-secondary institutions receiving federal funding. The data collected by </w:t>
      </w:r>
      <w:r w:rsidRPr="00BB7039" w:rsidR="005947BD">
        <w:t>SCLEA</w:t>
      </w:r>
      <w:r w:rsidRPr="00BB7039">
        <w:t xml:space="preserve"> will provide valuable information to administrators, researchers, and policy makers for the study of the covariates of campus crime both in terms of general campus characteristics and the characteristics of campus law enforcement agencies. Such information could serve to be useful in developing responses that reduce the incidence of crime on campus. </w:t>
      </w:r>
    </w:p>
    <w:p w:rsidRPr="00BB7039" w:rsidR="00F245BB" w:rsidP="00385311" w:rsidRDefault="00F245BB" w14:paraId="78E559A9" w14:textId="77777777"/>
    <w:p w:rsidR="00F245BB" w:rsidP="00385311" w:rsidRDefault="00F245BB" w14:paraId="03CBDD45" w14:textId="7AEAE03C">
      <w:r w:rsidRPr="00BB7039">
        <w:t xml:space="preserve">The data collected in the BJS survey will be linked through the </w:t>
      </w:r>
      <w:r w:rsidRPr="00BB7039" w:rsidR="00376A2B">
        <w:t>Office of Postsecondary Education identifier (</w:t>
      </w:r>
      <w:r w:rsidRPr="00BB7039">
        <w:t>OPEID</w:t>
      </w:r>
      <w:r w:rsidRPr="00BB7039" w:rsidR="00376A2B">
        <w:t>)</w:t>
      </w:r>
      <w:r w:rsidRPr="00BB7039">
        <w:t xml:space="preserve"> to the </w:t>
      </w:r>
      <w:proofErr w:type="spellStart"/>
      <w:r w:rsidRPr="00BB7039">
        <w:t>Clery</w:t>
      </w:r>
      <w:proofErr w:type="spellEnd"/>
      <w:r w:rsidRPr="00BB7039">
        <w:t xml:space="preserve"> Act data collected by the Department of Education. The </w:t>
      </w:r>
      <w:proofErr w:type="spellStart"/>
      <w:r w:rsidRPr="00BB7039">
        <w:t>Clery</w:t>
      </w:r>
      <w:proofErr w:type="spellEnd"/>
      <w:r w:rsidRPr="00BB7039">
        <w:t xml:space="preserve"> Act data include reported serious crimes (except for larceny) and violations related to drugs, alcohol and weapons. These data are required by law to be reported annually and are available for any reference year chosen for use with the BJS survey data. </w:t>
      </w:r>
    </w:p>
    <w:p w:rsidR="004E1882" w:rsidP="00385311" w:rsidRDefault="004E1882" w14:paraId="1FA96545" w14:textId="409ECB21">
      <w:pPr>
        <w:rPr>
          <w:u w:val="single"/>
        </w:rPr>
      </w:pPr>
    </w:p>
    <w:p w:rsidRPr="00670BEC" w:rsidR="004E1882" w:rsidP="00385311" w:rsidRDefault="00F35068" w14:paraId="26E37A45" w14:textId="426D7F0C">
      <w:r>
        <w:t xml:space="preserve">According to </w:t>
      </w:r>
      <w:r w:rsidR="00F85DC1">
        <w:t>the National Archive of Criminal Justice Data (</w:t>
      </w:r>
      <w:r>
        <w:t>NACJD</w:t>
      </w:r>
      <w:r w:rsidR="00F85DC1">
        <w:t>)</w:t>
      </w:r>
      <w:r>
        <w:t>, SCLEA data have been used in 1</w:t>
      </w:r>
      <w:r w:rsidR="003A2666">
        <w:t>3</w:t>
      </w:r>
      <w:r>
        <w:t xml:space="preserve"> academic publications.</w:t>
      </w:r>
      <w:r>
        <w:rPr>
          <w:rStyle w:val="FootnoteReference"/>
        </w:rPr>
        <w:footnoteReference w:id="7"/>
      </w:r>
      <w:r>
        <w:t xml:space="preserve"> </w:t>
      </w:r>
      <w:r w:rsidR="00EE5899">
        <w:t>Researche</w:t>
      </w:r>
      <w:r>
        <w:t>r</w:t>
      </w:r>
      <w:r w:rsidR="00EE5899">
        <w:t xml:space="preserve">s have used SCLEA data </w:t>
      </w:r>
      <w:r w:rsidR="001E54D8">
        <w:t>to examine</w:t>
      </w:r>
      <w:r w:rsidR="00EE5899">
        <w:t xml:space="preserve"> community policing</w:t>
      </w:r>
      <w:r w:rsidR="001E54D8">
        <w:t xml:space="preserve"> on campuses</w:t>
      </w:r>
      <w:r w:rsidR="00EE5899">
        <w:t xml:space="preserve">, including the extent to which it </w:t>
      </w:r>
      <w:r w:rsidR="003A2666">
        <w:t>has been</w:t>
      </w:r>
      <w:r w:rsidR="00EE5899">
        <w:t xml:space="preserve"> adopted by campus LEAs</w:t>
      </w:r>
      <w:r w:rsidR="001C6C85">
        <w:t xml:space="preserve"> and </w:t>
      </w:r>
      <w:r w:rsidR="00EE5899">
        <w:t xml:space="preserve">how it </w:t>
      </w:r>
      <w:r w:rsidR="003A2666">
        <w:t xml:space="preserve">has </w:t>
      </w:r>
      <w:r w:rsidR="00EE5899">
        <w:t>impact</w:t>
      </w:r>
      <w:r w:rsidR="003A2666">
        <w:t>ed</w:t>
      </w:r>
      <w:r w:rsidR="00EE5899">
        <w:t xml:space="preserve"> </w:t>
      </w:r>
      <w:r w:rsidR="001C6C85">
        <w:t xml:space="preserve">the </w:t>
      </w:r>
      <w:r w:rsidR="00EE5899">
        <w:t>organizational structures</w:t>
      </w:r>
      <w:r w:rsidR="001C6C85">
        <w:t xml:space="preserve"> of </w:t>
      </w:r>
      <w:r w:rsidR="003A2666">
        <w:t>these agencies.</w:t>
      </w:r>
      <w:r w:rsidR="003A2666">
        <w:rPr>
          <w:rStyle w:val="FootnoteReference"/>
        </w:rPr>
        <w:footnoteReference w:id="8"/>
      </w:r>
      <w:r w:rsidR="003A2666">
        <w:t xml:space="preserve"> SCLEA data have also been used to </w:t>
      </w:r>
      <w:r w:rsidR="00594541">
        <w:t>assess</w:t>
      </w:r>
      <w:r w:rsidR="003A2666">
        <w:t xml:space="preserve"> the relationship between community policing and emergency preparedness.</w:t>
      </w:r>
      <w:r w:rsidR="003A2666">
        <w:rPr>
          <w:rStyle w:val="FootnoteReference"/>
        </w:rPr>
        <w:footnoteReference w:id="9"/>
      </w:r>
      <w:r w:rsidR="003A2666">
        <w:t xml:space="preserve"> </w:t>
      </w:r>
      <w:r w:rsidR="00594541">
        <w:lastRenderedPageBreak/>
        <w:t xml:space="preserve">Researchers have also used SCLEA data to examine campus </w:t>
      </w:r>
      <w:r w:rsidR="00A62BD8">
        <w:t xml:space="preserve">safety topics such as </w:t>
      </w:r>
      <w:r w:rsidR="00594541">
        <w:t>rape prevention and stalking</w:t>
      </w:r>
      <w:r w:rsidR="0088124B">
        <w:t>,</w:t>
      </w:r>
      <w:r w:rsidR="00594541">
        <w:rPr>
          <w:rStyle w:val="FootnoteReference"/>
        </w:rPr>
        <w:footnoteReference w:id="10"/>
      </w:r>
      <w:r w:rsidR="00594541">
        <w:t xml:space="preserve"> </w:t>
      </w:r>
      <w:r w:rsidR="00897E7C">
        <w:t>as well as</w:t>
      </w:r>
      <w:r w:rsidR="0088124B">
        <w:t xml:space="preserve"> </w:t>
      </w:r>
      <w:r w:rsidR="001E54D8">
        <w:t xml:space="preserve">evaluating </w:t>
      </w:r>
      <w:r w:rsidR="0088124B">
        <w:t xml:space="preserve">the </w:t>
      </w:r>
      <w:r w:rsidR="001E54D8">
        <w:t>relationship</w:t>
      </w:r>
      <w:r w:rsidR="0088124B">
        <w:t xml:space="preserve"> between the number of female law enforcement officers and </w:t>
      </w:r>
      <w:r w:rsidR="00A62BD8">
        <w:t xml:space="preserve">rates of </w:t>
      </w:r>
      <w:r w:rsidR="0088124B">
        <w:t>reporting of sexual assault</w:t>
      </w:r>
      <w:r w:rsidR="00A62BD8">
        <w:t>.</w:t>
      </w:r>
      <w:r w:rsidR="00897E7C">
        <w:rPr>
          <w:rStyle w:val="FootnoteReference"/>
        </w:rPr>
        <w:footnoteReference w:id="11"/>
      </w:r>
    </w:p>
    <w:p w:rsidRPr="00BB7039" w:rsidR="00FA5D16" w:rsidP="00385311" w:rsidRDefault="00FA5D16" w14:paraId="4BE93C99" w14:textId="77777777"/>
    <w:p w:rsidRPr="00BB7039" w:rsidR="00FA5D16" w:rsidP="00385311" w:rsidRDefault="00311517" w14:paraId="4DC68E7A" w14:textId="60C44436">
      <w:r w:rsidRPr="00BB7039">
        <w:t>Other</w:t>
      </w:r>
      <w:r w:rsidRPr="00BB7039" w:rsidR="00FA5D16">
        <w:t xml:space="preserve"> users of the </w:t>
      </w:r>
      <w:r w:rsidRPr="00BB7039" w:rsidR="00C127EE">
        <w:t>SCLEA</w:t>
      </w:r>
      <w:r w:rsidRPr="00BB7039" w:rsidR="00FA5D16">
        <w:t xml:space="preserve"> data are the media and the public. The BJS Law Enforcement Statistics Unit </w:t>
      </w:r>
      <w:r w:rsidRPr="00BB7039" w:rsidR="00C127EE">
        <w:t>periodically receives questions</w:t>
      </w:r>
      <w:r w:rsidRPr="00BB7039" w:rsidR="00FA5D16">
        <w:t xml:space="preserve"> from the public or from reporters</w:t>
      </w:r>
      <w:r w:rsidRPr="00BB7039" w:rsidR="00C127EE">
        <w:t xml:space="preserve"> on campus law enforcement that can </w:t>
      </w:r>
      <w:r w:rsidRPr="00BB7039" w:rsidR="00FA5D16">
        <w:t xml:space="preserve">be answered only with information </w:t>
      </w:r>
      <w:r w:rsidRPr="00BB7039" w:rsidR="00C127EE">
        <w:t>collected through SCLEA</w:t>
      </w:r>
      <w:r w:rsidRPr="00BB7039" w:rsidR="00FA5D16">
        <w:t xml:space="preserve">. </w:t>
      </w:r>
    </w:p>
    <w:p w:rsidR="000449EA" w:rsidP="00385311" w:rsidRDefault="000449EA" w14:paraId="7577DAC2" w14:textId="77777777">
      <w:pPr>
        <w:pStyle w:val="Default"/>
        <w:rPr>
          <w:rFonts w:ascii="Times New Roman" w:hAnsi="Times New Roman" w:cs="Times New Roman"/>
          <w:u w:val="single"/>
        </w:rPr>
      </w:pPr>
    </w:p>
    <w:p w:rsidRPr="00BB7039" w:rsidR="00AF7585" w:rsidP="00385311" w:rsidRDefault="00AF7585" w14:paraId="7432065F" w14:textId="19A1F670">
      <w:pPr>
        <w:pStyle w:val="Default"/>
        <w:rPr>
          <w:rFonts w:ascii="Times New Roman" w:hAnsi="Times New Roman" w:cs="Times New Roman"/>
          <w:u w:val="single"/>
        </w:rPr>
      </w:pPr>
      <w:r w:rsidRPr="00BB7039">
        <w:rPr>
          <w:rFonts w:ascii="Times New Roman" w:hAnsi="Times New Roman" w:cs="Times New Roman"/>
          <w:u w:val="single"/>
        </w:rPr>
        <w:t xml:space="preserve">Anticipated Products </w:t>
      </w:r>
    </w:p>
    <w:p w:rsidRPr="00BB7039" w:rsidR="00AF7585" w:rsidP="00385311" w:rsidRDefault="00AF7585" w14:paraId="25DC9774" w14:textId="24F339E3">
      <w:pPr>
        <w:pStyle w:val="Default"/>
        <w:rPr>
          <w:rFonts w:ascii="Times New Roman" w:hAnsi="Times New Roman" w:cs="Times New Roman"/>
        </w:rPr>
      </w:pPr>
      <w:r w:rsidRPr="00BB7039">
        <w:rPr>
          <w:rFonts w:ascii="Times New Roman" w:hAnsi="Times New Roman" w:cs="Times New Roman"/>
        </w:rPr>
        <w:t>BJS anticipates p</w:t>
      </w:r>
      <w:r w:rsidRPr="00BB7039" w:rsidR="000D5276">
        <w:rPr>
          <w:rFonts w:ascii="Times New Roman" w:hAnsi="Times New Roman" w:cs="Times New Roman"/>
        </w:rPr>
        <w:t>ublishing a summary report of findings</w:t>
      </w:r>
      <w:r w:rsidRPr="00BB7039">
        <w:rPr>
          <w:rFonts w:ascii="Times New Roman" w:hAnsi="Times New Roman" w:cs="Times New Roman"/>
        </w:rPr>
        <w:t xml:space="preserve"> from the </w:t>
      </w:r>
      <w:r w:rsidRPr="00BB7039" w:rsidR="00012F22">
        <w:rPr>
          <w:rFonts w:ascii="Times New Roman" w:hAnsi="Times New Roman" w:cs="Times New Roman"/>
        </w:rPr>
        <w:t>20</w:t>
      </w:r>
      <w:r w:rsidRPr="00BB7039" w:rsidR="00C744C4">
        <w:rPr>
          <w:rFonts w:ascii="Times New Roman" w:hAnsi="Times New Roman" w:cs="Times New Roman"/>
        </w:rPr>
        <w:t>2</w:t>
      </w:r>
      <w:r w:rsidRPr="00BB7039" w:rsidR="000D5276">
        <w:rPr>
          <w:rFonts w:ascii="Times New Roman" w:hAnsi="Times New Roman" w:cs="Times New Roman"/>
        </w:rPr>
        <w:t>1 SCLEA</w:t>
      </w:r>
      <w:r w:rsidRPr="00BB7039">
        <w:rPr>
          <w:rFonts w:ascii="Times New Roman" w:hAnsi="Times New Roman" w:cs="Times New Roman"/>
        </w:rPr>
        <w:t>.</w:t>
      </w:r>
      <w:r w:rsidRPr="00BB7039" w:rsidR="005D1F5D">
        <w:rPr>
          <w:rFonts w:ascii="Times New Roman" w:hAnsi="Times New Roman" w:cs="Times New Roman"/>
        </w:rPr>
        <w:t xml:space="preserve"> </w:t>
      </w:r>
      <w:r w:rsidRPr="00BB7039" w:rsidR="000D5276">
        <w:rPr>
          <w:rFonts w:ascii="Times New Roman" w:hAnsi="Times New Roman" w:cs="Times New Roman"/>
        </w:rPr>
        <w:t xml:space="preserve">More information on this planned report is </w:t>
      </w:r>
      <w:r w:rsidRPr="00BB7039" w:rsidR="00CD4EB4">
        <w:rPr>
          <w:rFonts w:ascii="Times New Roman" w:hAnsi="Times New Roman" w:cs="Times New Roman"/>
        </w:rPr>
        <w:t>d</w:t>
      </w:r>
      <w:r w:rsidRPr="00BB7039" w:rsidR="00E61CD9">
        <w:rPr>
          <w:rFonts w:ascii="Times New Roman" w:hAnsi="Times New Roman" w:cs="Times New Roman"/>
        </w:rPr>
        <w:t>iscussed under 1</w:t>
      </w:r>
      <w:r w:rsidR="00946632">
        <w:rPr>
          <w:rFonts w:ascii="Times New Roman" w:hAnsi="Times New Roman" w:cs="Times New Roman"/>
        </w:rPr>
        <w:t>6</w:t>
      </w:r>
      <w:r w:rsidRPr="00BB7039" w:rsidR="00CD4EB4">
        <w:rPr>
          <w:rFonts w:ascii="Times New Roman" w:hAnsi="Times New Roman" w:cs="Times New Roman"/>
        </w:rPr>
        <w:t xml:space="preserve">. Project Schedule. </w:t>
      </w:r>
    </w:p>
    <w:p w:rsidRPr="00BB7039" w:rsidR="00AF7585" w:rsidP="00385311" w:rsidRDefault="00AF7585" w14:paraId="1AAB08D2" w14:textId="77777777">
      <w:pPr>
        <w:pStyle w:val="Default"/>
        <w:rPr>
          <w:rFonts w:ascii="Times New Roman" w:hAnsi="Times New Roman" w:cs="Times New Roman"/>
        </w:rPr>
      </w:pPr>
    </w:p>
    <w:p w:rsidRPr="00BB7039" w:rsidR="00AF7585" w:rsidP="00385311" w:rsidRDefault="00AF7585" w14:paraId="4B02902E" w14:textId="71479542">
      <w:pPr>
        <w:pStyle w:val="Default"/>
        <w:rPr>
          <w:rFonts w:ascii="Times New Roman" w:hAnsi="Times New Roman" w:cs="Times New Roman"/>
        </w:rPr>
      </w:pPr>
      <w:r w:rsidRPr="00BB7039">
        <w:rPr>
          <w:rFonts w:ascii="Times New Roman" w:hAnsi="Times New Roman" w:cs="Times New Roman"/>
        </w:rPr>
        <w:t xml:space="preserve">At the time of the initial publication from the </w:t>
      </w:r>
      <w:r w:rsidRPr="00BB7039" w:rsidR="00012F22">
        <w:rPr>
          <w:rFonts w:ascii="Times New Roman" w:hAnsi="Times New Roman" w:cs="Times New Roman"/>
        </w:rPr>
        <w:t>20</w:t>
      </w:r>
      <w:r w:rsidRPr="00BB7039" w:rsidR="00C744C4">
        <w:rPr>
          <w:rFonts w:ascii="Times New Roman" w:hAnsi="Times New Roman" w:cs="Times New Roman"/>
        </w:rPr>
        <w:t>2</w:t>
      </w:r>
      <w:r w:rsidRPr="00BB7039" w:rsidR="00A64F95">
        <w:rPr>
          <w:rFonts w:ascii="Times New Roman" w:hAnsi="Times New Roman" w:cs="Times New Roman"/>
        </w:rPr>
        <w:t>1 SCLEA</w:t>
      </w:r>
      <w:r w:rsidRPr="00BB7039">
        <w:rPr>
          <w:rFonts w:ascii="Times New Roman" w:hAnsi="Times New Roman" w:cs="Times New Roman"/>
        </w:rPr>
        <w:t>, BJS will release</w:t>
      </w:r>
      <w:r w:rsidRPr="00BB7039" w:rsidR="000D5276">
        <w:rPr>
          <w:rFonts w:ascii="Times New Roman" w:hAnsi="Times New Roman" w:cs="Times New Roman"/>
        </w:rPr>
        <w:t xml:space="preserve"> a </w:t>
      </w:r>
      <w:r w:rsidRPr="00BB7039">
        <w:rPr>
          <w:rFonts w:ascii="Times New Roman" w:hAnsi="Times New Roman" w:cs="Times New Roman"/>
        </w:rPr>
        <w:t xml:space="preserve">fully-documented data file for public use through </w:t>
      </w:r>
      <w:r w:rsidR="00EE666B">
        <w:rPr>
          <w:rFonts w:ascii="Times New Roman" w:hAnsi="Times New Roman" w:cs="Times New Roman"/>
        </w:rPr>
        <w:t>its archive</w:t>
      </w:r>
      <w:r w:rsidRPr="00BB7039">
        <w:rPr>
          <w:rFonts w:ascii="Times New Roman" w:hAnsi="Times New Roman" w:cs="Times New Roman"/>
        </w:rPr>
        <w:t>.</w:t>
      </w:r>
    </w:p>
    <w:p w:rsidRPr="00BB7039" w:rsidR="00AF7585" w:rsidP="00385311" w:rsidRDefault="00AF7585" w14:paraId="3C620DE0" w14:textId="77777777">
      <w:pPr>
        <w:pStyle w:val="Default"/>
        <w:rPr>
          <w:rFonts w:ascii="Times New Roman" w:hAnsi="Times New Roman" w:cs="Times New Roman"/>
        </w:rPr>
      </w:pPr>
    </w:p>
    <w:p w:rsidRPr="00BB7039" w:rsidR="00AF7585" w:rsidP="00385311" w:rsidRDefault="00AF7585" w14:paraId="18BB2A10"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Use of Information Technology</w:t>
      </w:r>
    </w:p>
    <w:p w:rsidRPr="00BB7039" w:rsidR="00AF7585" w:rsidP="00385311" w:rsidRDefault="00AF7585" w14:paraId="5F4959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BB7039" w:rsidR="00EE666B" w:rsidP="00EE666B" w:rsidRDefault="00EE666B" w14:paraId="36BD24A4" w14:textId="5D82D7BD">
      <w:r w:rsidRPr="00BB7039">
        <w:t xml:space="preserve">BJS will use web-based data collection in the 2021 SCLEA to promote high response rates, rapid data collection, and simplified data verification and report preparation. BJS has selected Research Triangle Institute (RTI) International to act as the data collection agent for this program. RTI will </w:t>
      </w:r>
      <w:r w:rsidR="001A11AF">
        <w:t>provide a final program report to BJS that include</w:t>
      </w:r>
      <w:r w:rsidR="003B2927">
        <w:t>s</w:t>
      </w:r>
      <w:r w:rsidRPr="00BB7039" w:rsidR="001A11AF">
        <w:t xml:space="preserve"> </w:t>
      </w:r>
      <w:r w:rsidRPr="00BB7039">
        <w:t xml:space="preserve">various </w:t>
      </w:r>
      <w:proofErr w:type="spellStart"/>
      <w:r w:rsidRPr="00BB7039">
        <w:t>paradata</w:t>
      </w:r>
      <w:proofErr w:type="spellEnd"/>
      <w:r w:rsidRPr="00BB7039">
        <w:t xml:space="preserve"> (e.g., respondent response mode, time required to answer each question, total time for survey completion, the time interval between respondent access to the survey and completion of the survey, etc.) that will allow BJS to evaluate the impact of promoting online data collection. This information will also enable BJS to develop strategies to encourage greater online data collection for future surveys. </w:t>
      </w:r>
    </w:p>
    <w:p w:rsidR="00EE666B" w:rsidP="00385311" w:rsidRDefault="00EE666B" w14:paraId="031E26A4" w14:textId="77777777"/>
    <w:p w:rsidRPr="00BB7039" w:rsidR="003A3190" w:rsidP="00385311" w:rsidRDefault="003A3190" w14:paraId="6C109F61" w14:textId="080373AD">
      <w:bookmarkStart w:name="_Hlk77084214" w:id="2"/>
      <w:r w:rsidRPr="00BB7039">
        <w:t xml:space="preserve">Agencies may </w:t>
      </w:r>
      <w:r w:rsidR="002242EC">
        <w:t>prefer to respond via paper survey.</w:t>
      </w:r>
      <w:r w:rsidR="00291C4F">
        <w:t xml:space="preserve"> </w:t>
      </w:r>
      <w:r w:rsidR="002242EC">
        <w:t>S</w:t>
      </w:r>
      <w:r w:rsidRPr="00BB7039" w:rsidR="00296CE4">
        <w:t>ome might</w:t>
      </w:r>
      <w:r w:rsidRPr="00BB7039" w:rsidR="004D7AA6">
        <w:t xml:space="preserve"> not</w:t>
      </w:r>
      <w:r w:rsidRPr="00BB7039" w:rsidR="00296CE4">
        <w:t xml:space="preserve"> have reliable internet access and others might find it difficult to complete online </w:t>
      </w:r>
      <w:r w:rsidRPr="00BB7039">
        <w:t xml:space="preserve">because </w:t>
      </w:r>
      <w:r w:rsidRPr="00BB7039" w:rsidR="00296CE4">
        <w:t xml:space="preserve">of </w:t>
      </w:r>
      <w:r w:rsidRPr="00BB7039">
        <w:t xml:space="preserve">the </w:t>
      </w:r>
      <w:r w:rsidRPr="00BB7039" w:rsidR="00296CE4">
        <w:t xml:space="preserve">complexity of the requested </w:t>
      </w:r>
      <w:r w:rsidRPr="00BB7039">
        <w:t xml:space="preserve">data </w:t>
      </w:r>
      <w:r w:rsidRPr="00BB7039" w:rsidR="00296CE4">
        <w:t xml:space="preserve">or the need to involve </w:t>
      </w:r>
      <w:r w:rsidRPr="00BB7039">
        <w:t xml:space="preserve">multiple people </w:t>
      </w:r>
      <w:r w:rsidRPr="00BB7039" w:rsidR="00296CE4">
        <w:t>in preparing the response</w:t>
      </w:r>
      <w:r w:rsidRPr="00BB7039">
        <w:t xml:space="preserve">. Agencies that require paper access will have multiple methods of receiving paper versions of the instrument. Hard copies will be sent via mail during routine non-response follow-up. Hard copies will also be sent via fax </w:t>
      </w:r>
      <w:r w:rsidR="00084E78">
        <w:t>by agency</w:t>
      </w:r>
      <w:r w:rsidRPr="00BB7039" w:rsidR="009915CE">
        <w:t xml:space="preserve"> request</w:t>
      </w:r>
      <w:r w:rsidRPr="00BB7039">
        <w:t xml:space="preserve">. Finally, agencies will be able to download a </w:t>
      </w:r>
      <w:r w:rsidRPr="00BB7039" w:rsidR="00296CE4">
        <w:t xml:space="preserve">PDF </w:t>
      </w:r>
      <w:r w:rsidRPr="00BB7039">
        <w:t xml:space="preserve">version of the survey from the </w:t>
      </w:r>
      <w:r w:rsidRPr="00BB7039" w:rsidR="00296CE4">
        <w:t>survey site that can be printed or e-mailed to agency staff. Respondents can then</w:t>
      </w:r>
      <w:r w:rsidRPr="00BB7039" w:rsidR="009915CE">
        <w:t xml:space="preserve"> complete the</w:t>
      </w:r>
      <w:r w:rsidRPr="00BB7039" w:rsidR="00296CE4">
        <w:t xml:space="preserve"> </w:t>
      </w:r>
      <w:r w:rsidR="00BD5CE6">
        <w:t xml:space="preserve">paper </w:t>
      </w:r>
      <w:r w:rsidRPr="00BB7039">
        <w:t xml:space="preserve">survey and transcribe it to the </w:t>
      </w:r>
      <w:r w:rsidRPr="00BB7039" w:rsidR="00296CE4">
        <w:t xml:space="preserve">online survey </w:t>
      </w:r>
      <w:r w:rsidRPr="00BB7039">
        <w:t xml:space="preserve">instrument, </w:t>
      </w:r>
      <w:r w:rsidR="00BD5CE6">
        <w:t xml:space="preserve">or </w:t>
      </w:r>
      <w:r w:rsidRPr="00BB7039" w:rsidR="00296CE4">
        <w:t xml:space="preserve">scan and </w:t>
      </w:r>
      <w:r w:rsidRPr="00BB7039">
        <w:t xml:space="preserve">return the completed form via </w:t>
      </w:r>
      <w:r w:rsidRPr="00BB7039" w:rsidR="00315BC6">
        <w:t>mail</w:t>
      </w:r>
      <w:r w:rsidRPr="00BB7039" w:rsidR="009915CE">
        <w:t>,</w:t>
      </w:r>
      <w:r w:rsidRPr="00BB7039" w:rsidR="00315BC6">
        <w:t xml:space="preserve"> </w:t>
      </w:r>
      <w:r w:rsidRPr="00BB7039" w:rsidR="00296CE4">
        <w:t>e-mail</w:t>
      </w:r>
      <w:r w:rsidRPr="00BB7039" w:rsidR="009915CE">
        <w:t>, or secure fax</w:t>
      </w:r>
      <w:r w:rsidRPr="00BB7039">
        <w:t xml:space="preserve">. </w:t>
      </w:r>
    </w:p>
    <w:bookmarkEnd w:id="2"/>
    <w:p w:rsidRPr="00BB7039" w:rsidR="00AF7585" w:rsidP="00385311" w:rsidRDefault="00AF7585" w14:paraId="54BF42B3" w14:textId="77777777"/>
    <w:p w:rsidR="00A20FFC" w:rsidP="00385311" w:rsidRDefault="00AF7585" w14:paraId="1F350EE6" w14:textId="3DC669B5">
      <w:r w:rsidRPr="00BB7039">
        <w:t>The dataset and supporting documentation will be made available without charge at</w:t>
      </w:r>
      <w:r w:rsidR="00EE666B">
        <w:t xml:space="preserve"> BJS’s data archive, currently</w:t>
      </w:r>
      <w:r w:rsidRPr="00BB7039">
        <w:t xml:space="preserve"> the National Archive of Criminal Justice Data </w:t>
      </w:r>
      <w:r w:rsidR="00EF5128">
        <w:t xml:space="preserve">(NACJD) </w:t>
      </w:r>
      <w:r w:rsidRPr="00BB7039">
        <w:t>at the Inter-University Consortium for Political and Social Research (ICPSR)</w:t>
      </w:r>
      <w:r w:rsidR="00EE666B">
        <w:t>,</w:t>
      </w:r>
      <w:r w:rsidRPr="00BB7039">
        <w:t xml:space="preserve"> and at Data.gov.</w:t>
      </w:r>
      <w:r w:rsidRPr="00BB7039" w:rsidR="005D1F5D">
        <w:t xml:space="preserve"> </w:t>
      </w:r>
      <w:r w:rsidRPr="00BB7039">
        <w:t>Access to these data permits analysts to identify the specific responses of individual agencies and to conduct statistical analyses about general purpose law agencies.</w:t>
      </w:r>
      <w:r w:rsidRPr="00BB7039" w:rsidR="005D1F5D">
        <w:t xml:space="preserve"> </w:t>
      </w:r>
      <w:r w:rsidRPr="00BB7039">
        <w:t>These data will have agency</w:t>
      </w:r>
      <w:r w:rsidRPr="00BB7039" w:rsidR="00296CE4">
        <w:t>-</w:t>
      </w:r>
      <w:r w:rsidRPr="00BB7039">
        <w:t xml:space="preserve"> and </w:t>
      </w:r>
      <w:r w:rsidRPr="00BB7039">
        <w:lastRenderedPageBreak/>
        <w:t>jurisdiction</w:t>
      </w:r>
      <w:r w:rsidRPr="00BB7039" w:rsidR="00296CE4">
        <w:t>-</w:t>
      </w:r>
      <w:r w:rsidRPr="00BB7039">
        <w:t xml:space="preserve">specific identifiers </w:t>
      </w:r>
      <w:r w:rsidRPr="00BB7039" w:rsidR="00CB7FB2">
        <w:t>that</w:t>
      </w:r>
      <w:r w:rsidRPr="00BB7039">
        <w:t xml:space="preserve"> will permit public use in combination with other data files with similar identifiers.</w:t>
      </w:r>
      <w:r w:rsidR="00247079">
        <w:t xml:space="preserve"> </w:t>
      </w:r>
      <w:r w:rsidRPr="00BB7039">
        <w:t>The BJS</w:t>
      </w:r>
      <w:r w:rsidRPr="00BB7039" w:rsidR="00685039">
        <w:t>-</w:t>
      </w:r>
      <w:r w:rsidRPr="00BB7039">
        <w:t xml:space="preserve">produced findings from the </w:t>
      </w:r>
      <w:r w:rsidRPr="00BB7039" w:rsidR="00A64E5F">
        <w:t>2021 SCLEA</w:t>
      </w:r>
      <w:r w:rsidRPr="00BB7039" w:rsidR="00E952D3">
        <w:t xml:space="preserve"> </w:t>
      </w:r>
      <w:r w:rsidRPr="00BB7039">
        <w:t xml:space="preserve">will be provided to the public in electronic format. The report will be available on the BJS website as </w:t>
      </w:r>
      <w:r w:rsidRPr="00BB7039" w:rsidR="00F24852">
        <w:t xml:space="preserve">a </w:t>
      </w:r>
      <w:r w:rsidRPr="00BB7039">
        <w:t xml:space="preserve">PDF file. </w:t>
      </w:r>
    </w:p>
    <w:p w:rsidR="00A20FFC" w:rsidP="00385311" w:rsidRDefault="00A20FFC" w14:paraId="1D67B55A" w14:textId="3B832652"/>
    <w:p w:rsidRPr="00BB7039" w:rsidR="00AF7585" w:rsidP="00385311" w:rsidRDefault="00AF7585" w14:paraId="37199327"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 xml:space="preserve">Efforts to Identify Duplication </w:t>
      </w:r>
    </w:p>
    <w:p w:rsidRPr="00BB7039" w:rsidR="00AF7585" w:rsidP="00385311" w:rsidRDefault="00AF7585" w14:paraId="6B2F0C7E" w14:textId="25AD9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45199" w:rsidP="00385311" w:rsidRDefault="00A45199" w14:paraId="1EAF9509" w14:textId="791D78EC">
      <w:r w:rsidRPr="00BB7039">
        <w:t>Based on our knowledge of the federal statistical system, in general, and law enforcement surveys in particular, BJS has determined that the 2021 SCLEA does not include measures found in other surveys conducted by any other Federal agencies.</w:t>
      </w:r>
      <w:r w:rsidRPr="00BB7039" w:rsidR="00012F48">
        <w:rPr>
          <w:rStyle w:val="FootnoteReference"/>
        </w:rPr>
        <w:footnoteReference w:id="12"/>
      </w:r>
      <w:r w:rsidRPr="00BB7039">
        <w:t xml:space="preserve"> </w:t>
      </w:r>
    </w:p>
    <w:p w:rsidRPr="00BB7039" w:rsidR="00A551E6" w:rsidP="00385311" w:rsidRDefault="00A551E6" w14:paraId="7AB4FEED" w14:textId="26905923"/>
    <w:p w:rsidRPr="00BB7039" w:rsidR="00B56D33" w:rsidP="00385311" w:rsidRDefault="00E4317C" w14:paraId="427806D0" w14:textId="002BDF3C">
      <w:r w:rsidRPr="00BB7039">
        <w:t>The</w:t>
      </w:r>
      <w:r w:rsidRPr="00BB7039" w:rsidR="00A551E6">
        <w:t xml:space="preserve"> Department of Education’s Office of Postsecondary Education’s (OPE) </w:t>
      </w:r>
      <w:r w:rsidRPr="00BB7039">
        <w:t xml:space="preserve">conducts the </w:t>
      </w:r>
      <w:r w:rsidRPr="00BB7039" w:rsidR="00A551E6">
        <w:t>Campus Safety and Security (CSS) data collection</w:t>
      </w:r>
      <w:r w:rsidRPr="00BB7039">
        <w:t xml:space="preserve"> on an annual basis</w:t>
      </w:r>
      <w:r w:rsidRPr="00BB7039" w:rsidR="00A551E6">
        <w:t xml:space="preserve"> (OMB Control Number 1840-0833). The CSS data collection is authorized by the Jeanne </w:t>
      </w:r>
      <w:proofErr w:type="spellStart"/>
      <w:r w:rsidRPr="00BB7039" w:rsidR="00A551E6">
        <w:t>Clery</w:t>
      </w:r>
      <w:proofErr w:type="spellEnd"/>
      <w:r w:rsidRPr="00BB7039" w:rsidR="00A551E6">
        <w:t xml:space="preserve"> Disclosure of Campus Security Policy and Campus Crime Statistics Act, which requires institutions of higher education that participate in federal financial aid programs to keep and disclose information about crime on and near their campus. The data collected through SCLEA </w:t>
      </w:r>
      <w:r w:rsidRPr="00BB7039">
        <w:t xml:space="preserve">does not duplicate the data collected under the </w:t>
      </w:r>
      <w:proofErr w:type="spellStart"/>
      <w:r w:rsidRPr="00BB7039">
        <w:t>Clery</w:t>
      </w:r>
      <w:proofErr w:type="spellEnd"/>
      <w:r w:rsidRPr="00BB7039">
        <w:t xml:space="preserve"> Act requirement but rather </w:t>
      </w:r>
      <w:r w:rsidRPr="00BB7039" w:rsidR="00A551E6">
        <w:t xml:space="preserve">supplements </w:t>
      </w:r>
      <w:r w:rsidRPr="00BB7039">
        <w:t>this collection</w:t>
      </w:r>
      <w:r w:rsidRPr="00BB7039" w:rsidR="00A551E6">
        <w:t xml:space="preserve"> by providing data on the characteristics of the law enforcement agencies serving each campus and the resources available to these agencies to prevent and respond to crime.</w:t>
      </w:r>
    </w:p>
    <w:p w:rsidRPr="00BB7039" w:rsidR="002E18F7" w:rsidP="00385311" w:rsidRDefault="002E18F7" w14:paraId="7F36B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385311" w:rsidRDefault="00AF7585" w14:paraId="11AA21B9"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Efforts to Minimize Burden</w:t>
      </w:r>
    </w:p>
    <w:p w:rsidRPr="00BB7039" w:rsidR="00AF7585" w:rsidP="00385311" w:rsidRDefault="00AF7585" w14:paraId="46DC6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FB2" w:rsidP="00385311" w:rsidRDefault="007E3570" w14:paraId="32D044FE" w14:textId="7AF39B30">
      <w:r w:rsidRPr="00BB7039">
        <w:t>Efforts to minimize burden are focused on two areas: instrument design and support services</w:t>
      </w:r>
      <w:r w:rsidRPr="00BB7039" w:rsidR="008078B8">
        <w:t xml:space="preserve">.  First, </w:t>
      </w:r>
      <w:r w:rsidRPr="00BB7039" w:rsidR="00726BE3">
        <w:t>i</w:t>
      </w:r>
      <w:r w:rsidRPr="00BB7039">
        <w:t xml:space="preserve">n </w:t>
      </w:r>
      <w:r w:rsidRPr="00BB7039" w:rsidR="00C744C4">
        <w:t xml:space="preserve">July </w:t>
      </w:r>
      <w:r w:rsidRPr="00BB7039" w:rsidR="00CD7C31">
        <w:t>2020,</w:t>
      </w:r>
      <w:r w:rsidRPr="00BB7039">
        <w:t xml:space="preserve"> BJS </w:t>
      </w:r>
      <w:r w:rsidRPr="00BB7039" w:rsidR="00CD7C31">
        <w:t xml:space="preserve">convened an expert panel to </w:t>
      </w:r>
      <w:r w:rsidRPr="00BB7039" w:rsidR="006D7E4F">
        <w:t xml:space="preserve">obtain feedback on </w:t>
      </w:r>
      <w:r w:rsidRPr="00BB7039" w:rsidR="00C744C4">
        <w:t xml:space="preserve">the </w:t>
      </w:r>
      <w:r w:rsidRPr="00BB7039" w:rsidR="00CD7C31">
        <w:t xml:space="preserve">SCLEA instrument, with a primary focus on reducing burden and increasing relevance to campus </w:t>
      </w:r>
      <w:r w:rsidRPr="00BB7039" w:rsidR="006333D3">
        <w:t>law enforcement agencies</w:t>
      </w:r>
      <w:r w:rsidRPr="00BB7039">
        <w:t xml:space="preserve">. This panel was comprised of </w:t>
      </w:r>
      <w:r w:rsidRPr="00BB7039" w:rsidR="006333D3">
        <w:t>1</w:t>
      </w:r>
      <w:r w:rsidRPr="00BB7039" w:rsidR="00CD7C31">
        <w:t>0</w:t>
      </w:r>
      <w:r w:rsidRPr="00BB7039" w:rsidR="00917824">
        <w:t xml:space="preserve"> </w:t>
      </w:r>
      <w:r w:rsidRPr="00BB7039">
        <w:t xml:space="preserve">individuals with expertise in </w:t>
      </w:r>
      <w:r w:rsidRPr="00BB7039" w:rsidR="00CD7C31">
        <w:t xml:space="preserve">campus </w:t>
      </w:r>
      <w:r w:rsidRPr="00BB7039">
        <w:t xml:space="preserve">law enforcement and included both </w:t>
      </w:r>
      <w:r w:rsidRPr="00BB7039" w:rsidR="00CD7C31">
        <w:t xml:space="preserve">campus </w:t>
      </w:r>
      <w:r w:rsidRPr="00BB7039">
        <w:t xml:space="preserve">law enforcement practitioners as well as </w:t>
      </w:r>
      <w:r w:rsidRPr="00BB7039" w:rsidR="00CD7C31">
        <w:t xml:space="preserve">campus </w:t>
      </w:r>
      <w:r w:rsidRPr="00BB7039">
        <w:t xml:space="preserve">policing scholars. </w:t>
      </w:r>
    </w:p>
    <w:p w:rsidR="00586FB2" w:rsidP="00385311" w:rsidRDefault="00586FB2" w14:paraId="6E957540" w14:textId="77777777"/>
    <w:p w:rsidRPr="00BB7039" w:rsidR="007E3570" w:rsidP="00385311" w:rsidRDefault="007E3570" w14:paraId="33102BB5" w14:textId="614518AB">
      <w:r w:rsidRPr="00BB7039">
        <w:t>The outcome of this expert panel resulted in</w:t>
      </w:r>
      <w:r w:rsidRPr="00BB7039" w:rsidR="002759AC">
        <w:t xml:space="preserve"> </w:t>
      </w:r>
      <w:r w:rsidRPr="00BB7039" w:rsidR="006333D3">
        <w:t xml:space="preserve">some significant </w:t>
      </w:r>
      <w:r w:rsidRPr="00BB7039" w:rsidR="002759AC">
        <w:t xml:space="preserve">changes </w:t>
      </w:r>
      <w:r w:rsidRPr="00BB7039" w:rsidR="006333D3">
        <w:t xml:space="preserve">for the </w:t>
      </w:r>
      <w:r w:rsidRPr="00BB7039" w:rsidR="003E5260">
        <w:t>2021 SCLEA</w:t>
      </w:r>
      <w:r w:rsidRPr="00BB7039" w:rsidR="007324D3">
        <w:t xml:space="preserve">. Burden was reduced by clarifying question wording to better reflect the current state of </w:t>
      </w:r>
      <w:r w:rsidRPr="00BB7039" w:rsidR="00CD7C31">
        <w:t xml:space="preserve">campus </w:t>
      </w:r>
      <w:r w:rsidRPr="00BB7039" w:rsidR="007324D3">
        <w:t xml:space="preserve">policing, </w:t>
      </w:r>
      <w:r w:rsidRPr="00BB7039" w:rsidR="00CD7C31">
        <w:t>collapsing items and</w:t>
      </w:r>
      <w:r w:rsidRPr="00BB7039" w:rsidR="007324D3">
        <w:t xml:space="preserve"> response categories, and dropping some items that no longer have utility.</w:t>
      </w:r>
      <w:r w:rsidRPr="00BB7039" w:rsidR="00621D4F">
        <w:t xml:space="preserve"> </w:t>
      </w:r>
      <w:r w:rsidRPr="00BB7039" w:rsidR="006333D3">
        <w:t>Other items were dropped because they were out-of-date and some</w:t>
      </w:r>
      <w:r w:rsidRPr="00BB7039" w:rsidR="00621D4F">
        <w:t xml:space="preserve"> items</w:t>
      </w:r>
      <w:r w:rsidRPr="00BB7039" w:rsidR="006333D3">
        <w:t xml:space="preserve"> were revised in order to be </w:t>
      </w:r>
      <w:r w:rsidRPr="00BB7039" w:rsidR="000E3065">
        <w:t>clearer and more current</w:t>
      </w:r>
      <w:r w:rsidRPr="00BB7039" w:rsidR="006333D3">
        <w:t>.</w:t>
      </w:r>
      <w:r w:rsidRPr="00BB7039" w:rsidR="002759AC">
        <w:t xml:space="preserve"> </w:t>
      </w:r>
      <w:r w:rsidR="008F3829">
        <w:t>A full summary of the expert panel meeting is included as Attachment 3.</w:t>
      </w:r>
      <w:r w:rsidRPr="00BB7039" w:rsidR="002759AC">
        <w:t xml:space="preserve"> </w:t>
      </w:r>
    </w:p>
    <w:p w:rsidR="00AF7585" w:rsidP="00385311" w:rsidRDefault="00AF7585" w14:paraId="52CFC400" w14:textId="3487F70D"/>
    <w:p w:rsidR="00957726" w:rsidP="00385311" w:rsidRDefault="00957726" w14:paraId="5F1D7713" w14:textId="086E0D71"/>
    <w:p w:rsidR="00957726" w:rsidP="00385311" w:rsidRDefault="00957726" w14:paraId="01064CFF" w14:textId="69C474CD"/>
    <w:p w:rsidR="00957726" w:rsidP="00385311" w:rsidRDefault="00957726" w14:paraId="30C1D615" w14:textId="173EC15E"/>
    <w:p w:rsidR="00957726" w:rsidP="00385311" w:rsidRDefault="00957726" w14:paraId="5D8CEF8A" w14:textId="02CE6A69"/>
    <w:p w:rsidR="00957726" w:rsidP="00385311" w:rsidRDefault="00957726" w14:paraId="43D4F97D" w14:textId="5C7404DB"/>
    <w:p w:rsidR="00957726" w:rsidP="00385311" w:rsidRDefault="00957726" w14:paraId="69EB2B3C" w14:textId="7DE6894A"/>
    <w:p w:rsidRPr="00BB7039" w:rsidR="00957726" w:rsidP="00385311" w:rsidRDefault="00957726" w14:paraId="102DDCB0" w14:textId="77777777"/>
    <w:p w:rsidR="00FE5556" w:rsidP="00385311" w:rsidRDefault="00EE24B6" w14:paraId="50234406" w14:textId="07796F6B">
      <w:r w:rsidRPr="00BB7039">
        <w:lastRenderedPageBreak/>
        <w:t>Under an OMB generic clearance (OMB Control Number 1121-0339), the 202</w:t>
      </w:r>
      <w:r w:rsidRPr="00BB7039" w:rsidR="00B44099">
        <w:t xml:space="preserve">1 SCLEA </w:t>
      </w:r>
      <w:r w:rsidRPr="00BB7039">
        <w:t>i</w:t>
      </w:r>
      <w:r w:rsidRPr="00BB7039" w:rsidR="0061161E">
        <w:t xml:space="preserve">nstrument underwent expanded cognitive testing. </w:t>
      </w:r>
      <w:r w:rsidRPr="00BB7039">
        <w:t xml:space="preserve"> </w:t>
      </w:r>
      <w:r w:rsidRPr="00BB7039" w:rsidR="0061161E">
        <w:t>A</w:t>
      </w:r>
      <w:r w:rsidRPr="00BB7039" w:rsidR="006C15B6">
        <w:t xml:space="preserve"> total of </w:t>
      </w:r>
      <w:r w:rsidRPr="00BB7039" w:rsidR="00B44099">
        <w:t>14</w:t>
      </w:r>
      <w:r w:rsidRPr="00BB7039" w:rsidR="006C15B6">
        <w:t xml:space="preserve"> </w:t>
      </w:r>
      <w:r w:rsidRPr="00BB7039" w:rsidR="00B44099">
        <w:t>campus law enforcement agencies</w:t>
      </w:r>
      <w:r w:rsidRPr="00BB7039" w:rsidR="00FE5556">
        <w:t xml:space="preserve"> </w:t>
      </w:r>
      <w:r w:rsidRPr="00BB7039" w:rsidR="0061161E">
        <w:t>participated in the testing</w:t>
      </w:r>
      <w:r w:rsidRPr="00BB7039" w:rsidR="00C4076B">
        <w:t xml:space="preserve"> (</w:t>
      </w:r>
      <w:r w:rsidRPr="001065E2" w:rsidR="00C4076B">
        <w:rPr>
          <w:b/>
        </w:rPr>
        <w:t xml:space="preserve">Table </w:t>
      </w:r>
      <w:r w:rsidR="00876980">
        <w:rPr>
          <w:b/>
        </w:rPr>
        <w:t>2</w:t>
      </w:r>
      <w:r w:rsidRPr="00BB7039" w:rsidR="00C4076B">
        <w:t>)</w:t>
      </w:r>
      <w:r w:rsidRPr="00BB7039" w:rsidR="006C15B6">
        <w:t xml:space="preserve">. </w:t>
      </w:r>
      <w:r w:rsidRPr="00BB7039" w:rsidR="00FE5556">
        <w:t xml:space="preserve">The instrument was </w:t>
      </w:r>
      <w:r w:rsidRPr="00BB7039" w:rsidR="00B44099">
        <w:t xml:space="preserve">divided into two modules and each respondent received instructions to complete one of the modules </w:t>
      </w:r>
      <w:r w:rsidRPr="00BB7039" w:rsidR="00FE5556">
        <w:t>just as they would if they received the survey as part of the regular sample of agencies. Testers were asked to take note of any aspects of the</w:t>
      </w:r>
      <w:r w:rsidRPr="00BB7039" w:rsidR="00B44099">
        <w:t xml:space="preserve"> module </w:t>
      </w:r>
      <w:r w:rsidRPr="00BB7039" w:rsidR="00FE5556">
        <w:t xml:space="preserve">that were unclear, any questions or topics that were omitted, or any answer choices or response categories that were missing. Testers were also asked to time how long it took them to complete the </w:t>
      </w:r>
      <w:r w:rsidRPr="00BB7039" w:rsidR="00B44099">
        <w:t>module</w:t>
      </w:r>
      <w:r w:rsidRPr="00BB7039" w:rsidR="00FE5556">
        <w:t xml:space="preserve">. Respondents were then asked to </w:t>
      </w:r>
      <w:r w:rsidRPr="00BB7039" w:rsidR="00E93C1A">
        <w:t>return the survey and participate in a 1-hour post survey interview.</w:t>
      </w:r>
      <w:r w:rsidR="00E93C1A">
        <w:t xml:space="preserve"> </w:t>
      </w:r>
    </w:p>
    <w:p w:rsidR="00CF7164" w:rsidP="00385311" w:rsidRDefault="00CF7164" w14:paraId="1005A517" w14:textId="2EA4FAC3"/>
    <w:p w:rsidR="00743F08" w:rsidP="00385311" w:rsidRDefault="00B45694" w14:paraId="1E8D2B74" w14:textId="58B41EDB">
      <w:pPr>
        <w:rPr>
          <w:b/>
        </w:rPr>
      </w:pPr>
      <w:r>
        <w:rPr>
          <w:b/>
        </w:rPr>
        <w:t xml:space="preserve">Table </w:t>
      </w:r>
      <w:r w:rsidR="00876980">
        <w:rPr>
          <w:b/>
        </w:rPr>
        <w:t>2</w:t>
      </w:r>
      <w:r>
        <w:rPr>
          <w:b/>
        </w:rPr>
        <w:t>. 2021 SCLEA Cognitive Interview Participants</w:t>
      </w:r>
    </w:p>
    <w:tbl>
      <w:tblPr>
        <w:tblStyle w:val="TableGrid"/>
        <w:tblW w:w="0" w:type="auto"/>
        <w:tblLook w:val="04A0" w:firstRow="1" w:lastRow="0" w:firstColumn="1" w:lastColumn="0" w:noHBand="0" w:noVBand="1"/>
      </w:tblPr>
      <w:tblGrid>
        <w:gridCol w:w="5665"/>
        <w:gridCol w:w="1800"/>
        <w:gridCol w:w="1885"/>
      </w:tblGrid>
      <w:tr w:rsidR="00B45694" w:rsidTr="00B45694" w14:paraId="4FA8F48A" w14:textId="357D68A7">
        <w:tc>
          <w:tcPr>
            <w:tcW w:w="5665" w:type="dxa"/>
          </w:tcPr>
          <w:p w:rsidRPr="00B45694" w:rsidR="00B45694" w:rsidP="00385311" w:rsidRDefault="00B45694" w14:paraId="4B6384C0" w14:textId="598FC70F">
            <w:pPr>
              <w:rPr>
                <w:rFonts w:ascii="Times New Roman" w:hAnsi="Times New Roman"/>
                <w:b/>
              </w:rPr>
            </w:pPr>
            <w:r w:rsidRPr="00B45694">
              <w:rPr>
                <w:rFonts w:ascii="Times New Roman" w:hAnsi="Times New Roman"/>
                <w:b/>
              </w:rPr>
              <w:t>Institution Name</w:t>
            </w:r>
          </w:p>
        </w:tc>
        <w:tc>
          <w:tcPr>
            <w:tcW w:w="1800" w:type="dxa"/>
          </w:tcPr>
          <w:p w:rsidRPr="00B45694" w:rsidR="00B45694" w:rsidP="00385311" w:rsidRDefault="00B45694" w14:paraId="43E8A905" w14:textId="3AFB3843">
            <w:pPr>
              <w:rPr>
                <w:rFonts w:ascii="Times New Roman" w:hAnsi="Times New Roman"/>
                <w:b/>
              </w:rPr>
            </w:pPr>
            <w:r>
              <w:rPr>
                <w:rFonts w:ascii="Times New Roman" w:hAnsi="Times New Roman"/>
                <w:b/>
              </w:rPr>
              <w:t xml:space="preserve">Institution Size </w:t>
            </w:r>
          </w:p>
        </w:tc>
        <w:tc>
          <w:tcPr>
            <w:tcW w:w="1885" w:type="dxa"/>
          </w:tcPr>
          <w:p w:rsidRPr="00B45694" w:rsidR="00B45694" w:rsidP="00385311" w:rsidRDefault="00B45694" w14:paraId="2724904F" w14:textId="50B2401B">
            <w:pPr>
              <w:rPr>
                <w:rFonts w:ascii="Times New Roman" w:hAnsi="Times New Roman"/>
                <w:b/>
              </w:rPr>
            </w:pPr>
            <w:r w:rsidRPr="00B45694">
              <w:rPr>
                <w:rFonts w:ascii="Times New Roman" w:hAnsi="Times New Roman"/>
                <w:b/>
              </w:rPr>
              <w:t>Institution Type</w:t>
            </w:r>
          </w:p>
        </w:tc>
      </w:tr>
      <w:tr w:rsidR="00B45694" w:rsidTr="00C03C9B" w14:paraId="72A72981" w14:textId="40C0DEAC">
        <w:tc>
          <w:tcPr>
            <w:tcW w:w="5665" w:type="dxa"/>
            <w:vAlign w:val="center"/>
          </w:tcPr>
          <w:p w:rsidRPr="00B45694" w:rsidR="00B45694" w:rsidP="00385311" w:rsidRDefault="00B45694" w14:paraId="1FBA362A" w14:textId="4AD452ED">
            <w:pPr>
              <w:rPr>
                <w:rFonts w:ascii="Times New Roman" w:hAnsi="Times New Roman"/>
                <w:b/>
              </w:rPr>
            </w:pPr>
            <w:r w:rsidRPr="00B45694">
              <w:rPr>
                <w:rFonts w:ascii="Times New Roman" w:hAnsi="Times New Roman"/>
                <w:color w:val="000000"/>
              </w:rPr>
              <w:t>Creighton University</w:t>
            </w:r>
            <w:r w:rsidR="0010702C">
              <w:rPr>
                <w:rFonts w:ascii="Times New Roman" w:hAnsi="Times New Roman"/>
                <w:color w:val="000000"/>
              </w:rPr>
              <w:t xml:space="preserve"> (NE)</w:t>
            </w:r>
          </w:p>
        </w:tc>
        <w:tc>
          <w:tcPr>
            <w:tcW w:w="1800" w:type="dxa"/>
            <w:vAlign w:val="center"/>
          </w:tcPr>
          <w:p w:rsidRPr="00B45694" w:rsidR="00B45694" w:rsidP="00385311" w:rsidRDefault="00B45694" w14:paraId="45BCAF8A" w14:textId="10E7D107">
            <w:pPr>
              <w:rPr>
                <w:rFonts w:ascii="Times New Roman" w:hAnsi="Times New Roman"/>
                <w:b/>
              </w:rPr>
            </w:pPr>
            <w:r w:rsidRPr="00B45694">
              <w:rPr>
                <w:rFonts w:ascii="Times New Roman" w:hAnsi="Times New Roman"/>
                <w:color w:val="000000"/>
              </w:rPr>
              <w:t>Large</w:t>
            </w:r>
          </w:p>
        </w:tc>
        <w:tc>
          <w:tcPr>
            <w:tcW w:w="1885" w:type="dxa"/>
            <w:vAlign w:val="center"/>
          </w:tcPr>
          <w:p w:rsidRPr="00B45694" w:rsidR="00B45694" w:rsidP="00385311" w:rsidRDefault="00B45694" w14:paraId="422B3A43" w14:textId="284AA1B5">
            <w:pPr>
              <w:rPr>
                <w:rFonts w:ascii="Times New Roman" w:hAnsi="Times New Roman"/>
                <w:b/>
              </w:rPr>
            </w:pPr>
            <w:r w:rsidRPr="00B45694">
              <w:rPr>
                <w:rFonts w:ascii="Times New Roman" w:hAnsi="Times New Roman"/>
                <w:color w:val="000000"/>
              </w:rPr>
              <w:t>Public</w:t>
            </w:r>
          </w:p>
        </w:tc>
      </w:tr>
      <w:tr w:rsidR="00B45694" w:rsidTr="00C03C9B" w14:paraId="079311CE" w14:textId="0F66E4A6">
        <w:tc>
          <w:tcPr>
            <w:tcW w:w="5665" w:type="dxa"/>
            <w:vAlign w:val="center"/>
          </w:tcPr>
          <w:p w:rsidRPr="00B45694" w:rsidR="00B45694" w:rsidP="00385311" w:rsidRDefault="00B45694" w14:paraId="11F03B0B" w14:textId="660A0A0B">
            <w:pPr>
              <w:rPr>
                <w:rFonts w:ascii="Times New Roman" w:hAnsi="Times New Roman"/>
                <w:b/>
              </w:rPr>
            </w:pPr>
            <w:r w:rsidRPr="00B45694">
              <w:rPr>
                <w:rFonts w:ascii="Times New Roman" w:hAnsi="Times New Roman"/>
                <w:color w:val="000000"/>
              </w:rPr>
              <w:t>Washburn University</w:t>
            </w:r>
            <w:r w:rsidR="00BD01B5">
              <w:rPr>
                <w:rFonts w:ascii="Times New Roman" w:hAnsi="Times New Roman"/>
                <w:color w:val="000000"/>
              </w:rPr>
              <w:t xml:space="preserve"> (KS)</w:t>
            </w:r>
          </w:p>
        </w:tc>
        <w:tc>
          <w:tcPr>
            <w:tcW w:w="1800" w:type="dxa"/>
            <w:vAlign w:val="center"/>
          </w:tcPr>
          <w:p w:rsidRPr="00B45694" w:rsidR="00B45694" w:rsidP="00385311" w:rsidRDefault="00B45694" w14:paraId="4815CE2B" w14:textId="522A5E04">
            <w:pPr>
              <w:rPr>
                <w:rFonts w:ascii="Times New Roman" w:hAnsi="Times New Roman"/>
                <w:b/>
              </w:rPr>
            </w:pPr>
            <w:r w:rsidRPr="00B45694">
              <w:rPr>
                <w:rFonts w:ascii="Times New Roman" w:hAnsi="Times New Roman"/>
                <w:color w:val="000000"/>
              </w:rPr>
              <w:t>Large</w:t>
            </w:r>
          </w:p>
        </w:tc>
        <w:tc>
          <w:tcPr>
            <w:tcW w:w="1885" w:type="dxa"/>
            <w:vAlign w:val="center"/>
          </w:tcPr>
          <w:p w:rsidRPr="00B45694" w:rsidR="00B45694" w:rsidP="00385311" w:rsidRDefault="00B45694" w14:paraId="795E72A4" w14:textId="3E65A14F">
            <w:pPr>
              <w:rPr>
                <w:rFonts w:ascii="Times New Roman" w:hAnsi="Times New Roman"/>
                <w:b/>
              </w:rPr>
            </w:pPr>
            <w:r w:rsidRPr="00B45694">
              <w:rPr>
                <w:rFonts w:ascii="Times New Roman" w:hAnsi="Times New Roman"/>
                <w:color w:val="000000"/>
              </w:rPr>
              <w:t>Public</w:t>
            </w:r>
          </w:p>
        </w:tc>
      </w:tr>
      <w:tr w:rsidR="00B45694" w:rsidTr="00C03C9B" w14:paraId="59259887" w14:textId="37610294">
        <w:tc>
          <w:tcPr>
            <w:tcW w:w="5665" w:type="dxa"/>
            <w:vAlign w:val="center"/>
          </w:tcPr>
          <w:p w:rsidRPr="00B45694" w:rsidR="00B45694" w:rsidP="00385311" w:rsidRDefault="00B45694" w14:paraId="301EB892" w14:textId="10D05B4E">
            <w:pPr>
              <w:rPr>
                <w:rFonts w:ascii="Times New Roman" w:hAnsi="Times New Roman"/>
                <w:b/>
              </w:rPr>
            </w:pPr>
            <w:r w:rsidRPr="00B45694">
              <w:rPr>
                <w:rFonts w:ascii="Times New Roman" w:hAnsi="Times New Roman"/>
                <w:color w:val="000000"/>
              </w:rPr>
              <w:t>San Joaquin Delta College</w:t>
            </w:r>
            <w:r w:rsidR="00BD01B5">
              <w:rPr>
                <w:rFonts w:ascii="Times New Roman" w:hAnsi="Times New Roman"/>
                <w:color w:val="000000"/>
              </w:rPr>
              <w:t xml:space="preserve"> (CA)</w:t>
            </w:r>
          </w:p>
        </w:tc>
        <w:tc>
          <w:tcPr>
            <w:tcW w:w="1800" w:type="dxa"/>
            <w:vAlign w:val="center"/>
          </w:tcPr>
          <w:p w:rsidRPr="00B45694" w:rsidR="00B45694" w:rsidP="00385311" w:rsidRDefault="00B45694" w14:paraId="259B7D60" w14:textId="5BEA3614">
            <w:pPr>
              <w:rPr>
                <w:rFonts w:ascii="Times New Roman" w:hAnsi="Times New Roman"/>
                <w:b/>
              </w:rPr>
            </w:pPr>
            <w:r w:rsidRPr="00B45694">
              <w:rPr>
                <w:rFonts w:ascii="Times New Roman" w:hAnsi="Times New Roman"/>
                <w:color w:val="000000"/>
              </w:rPr>
              <w:t>Large</w:t>
            </w:r>
          </w:p>
        </w:tc>
        <w:tc>
          <w:tcPr>
            <w:tcW w:w="1885" w:type="dxa"/>
            <w:vAlign w:val="center"/>
          </w:tcPr>
          <w:p w:rsidRPr="00B45694" w:rsidR="00B45694" w:rsidP="00385311" w:rsidRDefault="00B45694" w14:paraId="1FACAB21" w14:textId="43298A10">
            <w:pPr>
              <w:rPr>
                <w:rFonts w:ascii="Times New Roman" w:hAnsi="Times New Roman"/>
                <w:b/>
              </w:rPr>
            </w:pPr>
            <w:r w:rsidRPr="00B45694">
              <w:rPr>
                <w:rFonts w:ascii="Times New Roman" w:hAnsi="Times New Roman"/>
                <w:color w:val="000000"/>
              </w:rPr>
              <w:t>Public</w:t>
            </w:r>
          </w:p>
        </w:tc>
      </w:tr>
      <w:tr w:rsidR="00B45694" w:rsidTr="00C03C9B" w14:paraId="62BE4C7C" w14:textId="3E2DCFC7">
        <w:tc>
          <w:tcPr>
            <w:tcW w:w="5665" w:type="dxa"/>
            <w:vAlign w:val="center"/>
          </w:tcPr>
          <w:p w:rsidRPr="00B45694" w:rsidR="00B45694" w:rsidP="00385311" w:rsidRDefault="00B45694" w14:paraId="125945EB" w14:textId="13FED7FA">
            <w:pPr>
              <w:rPr>
                <w:rFonts w:ascii="Times New Roman" w:hAnsi="Times New Roman"/>
                <w:b/>
              </w:rPr>
            </w:pPr>
            <w:r w:rsidRPr="00B45694">
              <w:rPr>
                <w:rFonts w:ascii="Times New Roman" w:hAnsi="Times New Roman"/>
                <w:color w:val="000000"/>
              </w:rPr>
              <w:t>Montgomery College</w:t>
            </w:r>
            <w:r w:rsidR="00BD01B5">
              <w:rPr>
                <w:rFonts w:ascii="Times New Roman" w:hAnsi="Times New Roman"/>
                <w:color w:val="000000"/>
              </w:rPr>
              <w:t xml:space="preserve"> (MD)</w:t>
            </w:r>
          </w:p>
        </w:tc>
        <w:tc>
          <w:tcPr>
            <w:tcW w:w="1800" w:type="dxa"/>
            <w:vAlign w:val="center"/>
          </w:tcPr>
          <w:p w:rsidRPr="00B45694" w:rsidR="00B45694" w:rsidP="00385311" w:rsidRDefault="00B45694" w14:paraId="05DBF7CE" w14:textId="2BA257C3">
            <w:pPr>
              <w:rPr>
                <w:rFonts w:ascii="Times New Roman" w:hAnsi="Times New Roman"/>
                <w:b/>
              </w:rPr>
            </w:pPr>
            <w:r w:rsidRPr="00B45694">
              <w:rPr>
                <w:rFonts w:ascii="Times New Roman" w:hAnsi="Times New Roman"/>
                <w:color w:val="000000"/>
              </w:rPr>
              <w:t>Large</w:t>
            </w:r>
          </w:p>
        </w:tc>
        <w:tc>
          <w:tcPr>
            <w:tcW w:w="1885" w:type="dxa"/>
            <w:vAlign w:val="center"/>
          </w:tcPr>
          <w:p w:rsidRPr="00B45694" w:rsidR="00B45694" w:rsidP="00385311" w:rsidRDefault="00B45694" w14:paraId="7E88E75F" w14:textId="0E0DA66A">
            <w:pPr>
              <w:rPr>
                <w:rFonts w:ascii="Times New Roman" w:hAnsi="Times New Roman"/>
                <w:b/>
              </w:rPr>
            </w:pPr>
            <w:r w:rsidRPr="00B45694">
              <w:rPr>
                <w:rFonts w:ascii="Times New Roman" w:hAnsi="Times New Roman"/>
                <w:color w:val="000000"/>
              </w:rPr>
              <w:t>Public</w:t>
            </w:r>
          </w:p>
        </w:tc>
      </w:tr>
      <w:tr w:rsidR="00B45694" w:rsidTr="00C03C9B" w14:paraId="44F3CBEF" w14:textId="65211ECC">
        <w:tc>
          <w:tcPr>
            <w:tcW w:w="5665" w:type="dxa"/>
            <w:vAlign w:val="center"/>
          </w:tcPr>
          <w:p w:rsidRPr="00B45694" w:rsidR="00B45694" w:rsidP="00385311" w:rsidRDefault="00B45694" w14:paraId="39892928" w14:textId="54A7A92B">
            <w:pPr>
              <w:rPr>
                <w:rFonts w:ascii="Times New Roman" w:hAnsi="Times New Roman"/>
                <w:b/>
              </w:rPr>
            </w:pPr>
            <w:r w:rsidRPr="00B45694">
              <w:rPr>
                <w:rFonts w:ascii="Times New Roman" w:hAnsi="Times New Roman"/>
                <w:color w:val="000000"/>
              </w:rPr>
              <w:t>West Texas A&amp;M University</w:t>
            </w:r>
          </w:p>
        </w:tc>
        <w:tc>
          <w:tcPr>
            <w:tcW w:w="1800" w:type="dxa"/>
            <w:vAlign w:val="center"/>
          </w:tcPr>
          <w:p w:rsidRPr="00B45694" w:rsidR="00B45694" w:rsidP="00385311" w:rsidRDefault="00B45694" w14:paraId="5DFCC3E3" w14:textId="3CB5EA6E">
            <w:pPr>
              <w:rPr>
                <w:rFonts w:ascii="Times New Roman" w:hAnsi="Times New Roman"/>
                <w:b/>
              </w:rPr>
            </w:pPr>
            <w:r w:rsidRPr="00B45694">
              <w:rPr>
                <w:rFonts w:ascii="Times New Roman" w:hAnsi="Times New Roman"/>
                <w:color w:val="000000"/>
              </w:rPr>
              <w:t>Large</w:t>
            </w:r>
          </w:p>
        </w:tc>
        <w:tc>
          <w:tcPr>
            <w:tcW w:w="1885" w:type="dxa"/>
            <w:vAlign w:val="center"/>
          </w:tcPr>
          <w:p w:rsidRPr="00B45694" w:rsidR="00B45694" w:rsidP="00385311" w:rsidRDefault="00B45694" w14:paraId="42A7588B" w14:textId="29EF4119">
            <w:pPr>
              <w:rPr>
                <w:rFonts w:ascii="Times New Roman" w:hAnsi="Times New Roman"/>
                <w:b/>
              </w:rPr>
            </w:pPr>
            <w:r w:rsidRPr="00B45694">
              <w:rPr>
                <w:rFonts w:ascii="Times New Roman" w:hAnsi="Times New Roman"/>
                <w:color w:val="000000"/>
              </w:rPr>
              <w:t>Public</w:t>
            </w:r>
          </w:p>
        </w:tc>
      </w:tr>
      <w:tr w:rsidR="00B45694" w:rsidTr="00C03C9B" w14:paraId="0FE5535D" w14:textId="28FC9D92">
        <w:tc>
          <w:tcPr>
            <w:tcW w:w="5665" w:type="dxa"/>
            <w:vAlign w:val="center"/>
          </w:tcPr>
          <w:p w:rsidRPr="00B45694" w:rsidR="00B45694" w:rsidP="00385311" w:rsidRDefault="00B45694" w14:paraId="57E35BF3" w14:textId="7E6FE235">
            <w:pPr>
              <w:rPr>
                <w:rFonts w:ascii="Times New Roman" w:hAnsi="Times New Roman"/>
                <w:b/>
              </w:rPr>
            </w:pPr>
            <w:r w:rsidRPr="00B45694">
              <w:rPr>
                <w:rFonts w:ascii="Times New Roman" w:hAnsi="Times New Roman"/>
                <w:color w:val="000000"/>
              </w:rPr>
              <w:t>University of Cincinnati-Blue Ash</w:t>
            </w:r>
            <w:r w:rsidR="00BD01B5">
              <w:rPr>
                <w:rFonts w:ascii="Times New Roman" w:hAnsi="Times New Roman"/>
                <w:color w:val="000000"/>
              </w:rPr>
              <w:t xml:space="preserve"> (OH)</w:t>
            </w:r>
          </w:p>
        </w:tc>
        <w:tc>
          <w:tcPr>
            <w:tcW w:w="1800" w:type="dxa"/>
            <w:vAlign w:val="center"/>
          </w:tcPr>
          <w:p w:rsidRPr="00B45694" w:rsidR="00B45694" w:rsidP="00385311" w:rsidRDefault="00B45694" w14:paraId="484B6819" w14:textId="5AA12C54">
            <w:pPr>
              <w:rPr>
                <w:rFonts w:ascii="Times New Roman" w:hAnsi="Times New Roman"/>
                <w:b/>
              </w:rPr>
            </w:pPr>
            <w:r w:rsidRPr="00B45694">
              <w:rPr>
                <w:rFonts w:ascii="Times New Roman" w:hAnsi="Times New Roman"/>
                <w:color w:val="000000"/>
              </w:rPr>
              <w:t>Large</w:t>
            </w:r>
          </w:p>
        </w:tc>
        <w:tc>
          <w:tcPr>
            <w:tcW w:w="1885" w:type="dxa"/>
            <w:vAlign w:val="center"/>
          </w:tcPr>
          <w:p w:rsidRPr="00B45694" w:rsidR="00B45694" w:rsidP="00385311" w:rsidRDefault="00B45694" w14:paraId="7E35B20B" w14:textId="742E80F5">
            <w:pPr>
              <w:rPr>
                <w:rFonts w:ascii="Times New Roman" w:hAnsi="Times New Roman"/>
                <w:b/>
              </w:rPr>
            </w:pPr>
            <w:r w:rsidRPr="00B45694">
              <w:rPr>
                <w:rFonts w:ascii="Times New Roman" w:hAnsi="Times New Roman"/>
                <w:color w:val="000000"/>
              </w:rPr>
              <w:t>Public</w:t>
            </w:r>
          </w:p>
        </w:tc>
      </w:tr>
      <w:tr w:rsidR="00B45694" w:rsidTr="00C03C9B" w14:paraId="76EFCB81" w14:textId="6CFC3F30">
        <w:tc>
          <w:tcPr>
            <w:tcW w:w="5665" w:type="dxa"/>
            <w:vAlign w:val="center"/>
          </w:tcPr>
          <w:p w:rsidRPr="00B45694" w:rsidR="00B45694" w:rsidP="00385311" w:rsidRDefault="00B45694" w14:paraId="6BBBC6D0" w14:textId="23721EA3">
            <w:pPr>
              <w:rPr>
                <w:rFonts w:ascii="Times New Roman" w:hAnsi="Times New Roman"/>
                <w:b/>
              </w:rPr>
            </w:pPr>
            <w:r w:rsidRPr="00B45694">
              <w:rPr>
                <w:rFonts w:ascii="Times New Roman" w:hAnsi="Times New Roman"/>
                <w:color w:val="000000"/>
              </w:rPr>
              <w:t>University of New Hampshire</w:t>
            </w:r>
          </w:p>
        </w:tc>
        <w:tc>
          <w:tcPr>
            <w:tcW w:w="1800" w:type="dxa"/>
            <w:vAlign w:val="center"/>
          </w:tcPr>
          <w:p w:rsidRPr="00B45694" w:rsidR="00B45694" w:rsidP="00385311" w:rsidRDefault="00B45694" w14:paraId="1DC703F7" w14:textId="37162D2B">
            <w:pPr>
              <w:rPr>
                <w:rFonts w:ascii="Times New Roman" w:hAnsi="Times New Roman"/>
                <w:b/>
              </w:rPr>
            </w:pPr>
            <w:r w:rsidRPr="00B45694">
              <w:rPr>
                <w:rFonts w:ascii="Times New Roman" w:hAnsi="Times New Roman"/>
                <w:color w:val="000000"/>
              </w:rPr>
              <w:t>Large</w:t>
            </w:r>
          </w:p>
        </w:tc>
        <w:tc>
          <w:tcPr>
            <w:tcW w:w="1885" w:type="dxa"/>
            <w:vAlign w:val="center"/>
          </w:tcPr>
          <w:p w:rsidRPr="00B45694" w:rsidR="00B45694" w:rsidP="00385311" w:rsidRDefault="00B45694" w14:paraId="2411038F" w14:textId="68CF8F54">
            <w:pPr>
              <w:rPr>
                <w:rFonts w:ascii="Times New Roman" w:hAnsi="Times New Roman"/>
                <w:b/>
              </w:rPr>
            </w:pPr>
            <w:r w:rsidRPr="00B45694">
              <w:rPr>
                <w:rFonts w:ascii="Times New Roman" w:hAnsi="Times New Roman"/>
                <w:color w:val="000000"/>
              </w:rPr>
              <w:t>Public</w:t>
            </w:r>
          </w:p>
        </w:tc>
      </w:tr>
      <w:tr w:rsidR="00B45694" w:rsidTr="00C03C9B" w14:paraId="52739E51" w14:textId="77777777">
        <w:tc>
          <w:tcPr>
            <w:tcW w:w="5665" w:type="dxa"/>
            <w:vAlign w:val="center"/>
          </w:tcPr>
          <w:p w:rsidRPr="00B45694" w:rsidR="00B45694" w:rsidP="00385311" w:rsidRDefault="00B45694" w14:paraId="50FF5D64" w14:textId="7416DB4B">
            <w:pPr>
              <w:rPr>
                <w:rFonts w:ascii="Times New Roman" w:hAnsi="Times New Roman"/>
                <w:color w:val="000000"/>
              </w:rPr>
            </w:pPr>
            <w:r w:rsidRPr="00B45694">
              <w:rPr>
                <w:rFonts w:ascii="Times New Roman" w:hAnsi="Times New Roman"/>
                <w:color w:val="000000"/>
              </w:rPr>
              <w:t>University of Cincinnati-Clermont College</w:t>
            </w:r>
            <w:r w:rsidR="00BD01B5">
              <w:rPr>
                <w:rFonts w:ascii="Times New Roman" w:hAnsi="Times New Roman"/>
                <w:color w:val="000000"/>
              </w:rPr>
              <w:t xml:space="preserve"> (OH)</w:t>
            </w:r>
          </w:p>
        </w:tc>
        <w:tc>
          <w:tcPr>
            <w:tcW w:w="1800" w:type="dxa"/>
            <w:vAlign w:val="center"/>
          </w:tcPr>
          <w:p w:rsidRPr="00B45694" w:rsidR="00B45694" w:rsidP="00385311" w:rsidRDefault="00B45694" w14:paraId="6FAE9CB1" w14:textId="168BF5B1">
            <w:pPr>
              <w:rPr>
                <w:rFonts w:ascii="Times New Roman" w:hAnsi="Times New Roman"/>
                <w:color w:val="000000"/>
              </w:rPr>
            </w:pPr>
            <w:r w:rsidRPr="00B45694">
              <w:rPr>
                <w:rFonts w:ascii="Times New Roman" w:hAnsi="Times New Roman"/>
                <w:color w:val="000000"/>
              </w:rPr>
              <w:t>Small</w:t>
            </w:r>
          </w:p>
        </w:tc>
        <w:tc>
          <w:tcPr>
            <w:tcW w:w="1885" w:type="dxa"/>
            <w:vAlign w:val="center"/>
          </w:tcPr>
          <w:p w:rsidRPr="00B45694" w:rsidR="00B45694" w:rsidP="00385311" w:rsidRDefault="00B45694" w14:paraId="18BE2A90" w14:textId="125D480B">
            <w:pPr>
              <w:rPr>
                <w:rFonts w:ascii="Times New Roman" w:hAnsi="Times New Roman"/>
                <w:color w:val="000000"/>
              </w:rPr>
            </w:pPr>
            <w:r w:rsidRPr="00B45694">
              <w:rPr>
                <w:rFonts w:ascii="Times New Roman" w:hAnsi="Times New Roman"/>
                <w:color w:val="000000"/>
              </w:rPr>
              <w:t>Public</w:t>
            </w:r>
          </w:p>
        </w:tc>
      </w:tr>
      <w:tr w:rsidR="00B45694" w:rsidTr="00C03C9B" w14:paraId="5AB6E5FB" w14:textId="77777777">
        <w:tc>
          <w:tcPr>
            <w:tcW w:w="5665" w:type="dxa"/>
            <w:vAlign w:val="center"/>
          </w:tcPr>
          <w:p w:rsidRPr="00B45694" w:rsidR="00B45694" w:rsidP="00385311" w:rsidRDefault="00B45694" w14:paraId="137E95B8" w14:textId="0AC1B627">
            <w:pPr>
              <w:rPr>
                <w:rFonts w:ascii="Times New Roman" w:hAnsi="Times New Roman"/>
                <w:color w:val="000000"/>
              </w:rPr>
            </w:pPr>
            <w:r w:rsidRPr="00B45694">
              <w:rPr>
                <w:rFonts w:ascii="Times New Roman" w:hAnsi="Times New Roman"/>
                <w:color w:val="000000"/>
              </w:rPr>
              <w:t xml:space="preserve">Kentucky State University </w:t>
            </w:r>
          </w:p>
        </w:tc>
        <w:tc>
          <w:tcPr>
            <w:tcW w:w="1800" w:type="dxa"/>
            <w:vAlign w:val="center"/>
          </w:tcPr>
          <w:p w:rsidRPr="00B45694" w:rsidR="00B45694" w:rsidP="00385311" w:rsidRDefault="00B45694" w14:paraId="7A427960" w14:textId="1FA17F14">
            <w:pPr>
              <w:rPr>
                <w:rFonts w:ascii="Times New Roman" w:hAnsi="Times New Roman"/>
                <w:color w:val="000000"/>
              </w:rPr>
            </w:pPr>
            <w:r w:rsidRPr="00B45694">
              <w:rPr>
                <w:rFonts w:ascii="Times New Roman" w:hAnsi="Times New Roman"/>
                <w:color w:val="000000"/>
              </w:rPr>
              <w:t>Small</w:t>
            </w:r>
          </w:p>
        </w:tc>
        <w:tc>
          <w:tcPr>
            <w:tcW w:w="1885" w:type="dxa"/>
            <w:vAlign w:val="center"/>
          </w:tcPr>
          <w:p w:rsidRPr="00B45694" w:rsidR="00B45694" w:rsidP="00385311" w:rsidRDefault="00B45694" w14:paraId="6337474B" w14:textId="1194D4C5">
            <w:pPr>
              <w:rPr>
                <w:rFonts w:ascii="Times New Roman" w:hAnsi="Times New Roman"/>
                <w:color w:val="000000"/>
              </w:rPr>
            </w:pPr>
            <w:r w:rsidRPr="00B45694">
              <w:rPr>
                <w:rFonts w:ascii="Times New Roman" w:hAnsi="Times New Roman"/>
                <w:color w:val="000000"/>
              </w:rPr>
              <w:t>Public</w:t>
            </w:r>
          </w:p>
        </w:tc>
      </w:tr>
      <w:tr w:rsidR="00B45694" w:rsidTr="00C03C9B" w14:paraId="0AEA62F5" w14:textId="77777777">
        <w:tc>
          <w:tcPr>
            <w:tcW w:w="5665" w:type="dxa"/>
            <w:vAlign w:val="center"/>
          </w:tcPr>
          <w:p w:rsidRPr="00B45694" w:rsidR="00B45694" w:rsidP="00385311" w:rsidRDefault="00B45694" w14:paraId="7B057BD8" w14:textId="4475B0D6">
            <w:pPr>
              <w:rPr>
                <w:rFonts w:ascii="Times New Roman" w:hAnsi="Times New Roman"/>
                <w:color w:val="000000"/>
              </w:rPr>
            </w:pPr>
            <w:r w:rsidRPr="00B45694">
              <w:rPr>
                <w:rFonts w:ascii="Times New Roman" w:hAnsi="Times New Roman"/>
                <w:color w:val="000000"/>
              </w:rPr>
              <w:t xml:space="preserve">Montana Technological University </w:t>
            </w:r>
          </w:p>
        </w:tc>
        <w:tc>
          <w:tcPr>
            <w:tcW w:w="1800" w:type="dxa"/>
            <w:vAlign w:val="center"/>
          </w:tcPr>
          <w:p w:rsidRPr="00B45694" w:rsidR="00B45694" w:rsidP="00385311" w:rsidRDefault="00B45694" w14:paraId="1C6D0282" w14:textId="15B34D61">
            <w:pPr>
              <w:rPr>
                <w:rFonts w:ascii="Times New Roman" w:hAnsi="Times New Roman"/>
                <w:color w:val="000000"/>
              </w:rPr>
            </w:pPr>
            <w:r w:rsidRPr="00B45694">
              <w:rPr>
                <w:rFonts w:ascii="Times New Roman" w:hAnsi="Times New Roman"/>
                <w:color w:val="000000"/>
              </w:rPr>
              <w:t>Small</w:t>
            </w:r>
          </w:p>
        </w:tc>
        <w:tc>
          <w:tcPr>
            <w:tcW w:w="1885" w:type="dxa"/>
            <w:vAlign w:val="center"/>
          </w:tcPr>
          <w:p w:rsidRPr="00B45694" w:rsidR="00B45694" w:rsidP="00385311" w:rsidRDefault="00B45694" w14:paraId="1D060494" w14:textId="1AAC447A">
            <w:pPr>
              <w:rPr>
                <w:rFonts w:ascii="Times New Roman" w:hAnsi="Times New Roman"/>
                <w:color w:val="000000"/>
              </w:rPr>
            </w:pPr>
            <w:r w:rsidRPr="00B45694">
              <w:rPr>
                <w:rFonts w:ascii="Times New Roman" w:hAnsi="Times New Roman"/>
                <w:color w:val="000000"/>
              </w:rPr>
              <w:t>Public</w:t>
            </w:r>
          </w:p>
        </w:tc>
      </w:tr>
      <w:tr w:rsidR="00B45694" w:rsidTr="00C03C9B" w14:paraId="44ABEA6B" w14:textId="77777777">
        <w:tc>
          <w:tcPr>
            <w:tcW w:w="5665" w:type="dxa"/>
            <w:vAlign w:val="center"/>
          </w:tcPr>
          <w:p w:rsidRPr="00B45694" w:rsidR="00B45694" w:rsidP="00385311" w:rsidRDefault="00B45694" w14:paraId="25A9CCD8" w14:textId="686B6C8C">
            <w:pPr>
              <w:rPr>
                <w:rFonts w:ascii="Times New Roman" w:hAnsi="Times New Roman"/>
                <w:color w:val="000000"/>
              </w:rPr>
            </w:pPr>
            <w:r w:rsidRPr="00B45694">
              <w:rPr>
                <w:rFonts w:ascii="Times New Roman" w:hAnsi="Times New Roman"/>
                <w:color w:val="000000"/>
              </w:rPr>
              <w:t>Calvin College</w:t>
            </w:r>
            <w:r w:rsidR="00BD01B5">
              <w:rPr>
                <w:rFonts w:ascii="Times New Roman" w:hAnsi="Times New Roman"/>
                <w:color w:val="000000"/>
              </w:rPr>
              <w:t xml:space="preserve"> (MI)</w:t>
            </w:r>
          </w:p>
        </w:tc>
        <w:tc>
          <w:tcPr>
            <w:tcW w:w="1800" w:type="dxa"/>
            <w:vAlign w:val="center"/>
          </w:tcPr>
          <w:p w:rsidRPr="00B45694" w:rsidR="00B45694" w:rsidP="00385311" w:rsidRDefault="00B45694" w14:paraId="7E243B47" w14:textId="5DCBC5AC">
            <w:pPr>
              <w:rPr>
                <w:rFonts w:ascii="Times New Roman" w:hAnsi="Times New Roman"/>
                <w:color w:val="000000"/>
              </w:rPr>
            </w:pPr>
            <w:r w:rsidRPr="00B45694">
              <w:rPr>
                <w:rFonts w:ascii="Times New Roman" w:hAnsi="Times New Roman"/>
                <w:color w:val="000000"/>
              </w:rPr>
              <w:t>Large</w:t>
            </w:r>
          </w:p>
        </w:tc>
        <w:tc>
          <w:tcPr>
            <w:tcW w:w="1885" w:type="dxa"/>
            <w:vAlign w:val="center"/>
          </w:tcPr>
          <w:p w:rsidRPr="00B45694" w:rsidR="00B45694" w:rsidP="00385311" w:rsidRDefault="00B45694" w14:paraId="4F031791" w14:textId="6D6B5104">
            <w:pPr>
              <w:rPr>
                <w:rFonts w:ascii="Times New Roman" w:hAnsi="Times New Roman"/>
                <w:color w:val="000000"/>
              </w:rPr>
            </w:pPr>
            <w:r w:rsidRPr="00B45694">
              <w:rPr>
                <w:rFonts w:ascii="Times New Roman" w:hAnsi="Times New Roman"/>
                <w:color w:val="000000"/>
              </w:rPr>
              <w:t>Private</w:t>
            </w:r>
          </w:p>
        </w:tc>
      </w:tr>
      <w:tr w:rsidR="00B45694" w:rsidTr="00C03C9B" w14:paraId="00CAA078" w14:textId="77777777">
        <w:tc>
          <w:tcPr>
            <w:tcW w:w="5665" w:type="dxa"/>
            <w:vAlign w:val="center"/>
          </w:tcPr>
          <w:p w:rsidRPr="00B45694" w:rsidR="00B45694" w:rsidP="00385311" w:rsidRDefault="00B45694" w14:paraId="2DD7C060" w14:textId="18A7B0A2">
            <w:pPr>
              <w:rPr>
                <w:rFonts w:ascii="Times New Roman" w:hAnsi="Times New Roman"/>
                <w:color w:val="000000"/>
              </w:rPr>
            </w:pPr>
            <w:r w:rsidRPr="00B45694">
              <w:rPr>
                <w:rFonts w:ascii="Times New Roman" w:hAnsi="Times New Roman"/>
                <w:color w:val="000000"/>
              </w:rPr>
              <w:t>University of Tampa</w:t>
            </w:r>
            <w:r w:rsidR="00BD01B5">
              <w:rPr>
                <w:rFonts w:ascii="Times New Roman" w:hAnsi="Times New Roman"/>
                <w:color w:val="000000"/>
              </w:rPr>
              <w:t xml:space="preserve"> (FL)</w:t>
            </w:r>
          </w:p>
        </w:tc>
        <w:tc>
          <w:tcPr>
            <w:tcW w:w="1800" w:type="dxa"/>
            <w:vAlign w:val="center"/>
          </w:tcPr>
          <w:p w:rsidRPr="00B45694" w:rsidR="00B45694" w:rsidP="00385311" w:rsidRDefault="00B45694" w14:paraId="48FBDC92" w14:textId="490FF81E">
            <w:pPr>
              <w:rPr>
                <w:rFonts w:ascii="Times New Roman" w:hAnsi="Times New Roman"/>
                <w:color w:val="000000"/>
              </w:rPr>
            </w:pPr>
            <w:r w:rsidRPr="00B45694">
              <w:rPr>
                <w:rFonts w:ascii="Times New Roman" w:hAnsi="Times New Roman"/>
                <w:color w:val="000000"/>
              </w:rPr>
              <w:t>Large</w:t>
            </w:r>
          </w:p>
        </w:tc>
        <w:tc>
          <w:tcPr>
            <w:tcW w:w="1885" w:type="dxa"/>
            <w:vAlign w:val="center"/>
          </w:tcPr>
          <w:p w:rsidRPr="00B45694" w:rsidR="00B45694" w:rsidP="00385311" w:rsidRDefault="00B45694" w14:paraId="0149A1A3" w14:textId="04AE85DF">
            <w:pPr>
              <w:rPr>
                <w:rFonts w:ascii="Times New Roman" w:hAnsi="Times New Roman"/>
                <w:color w:val="000000"/>
              </w:rPr>
            </w:pPr>
            <w:r w:rsidRPr="00B45694">
              <w:rPr>
                <w:rFonts w:ascii="Times New Roman" w:hAnsi="Times New Roman"/>
                <w:color w:val="000000"/>
              </w:rPr>
              <w:t>Private</w:t>
            </w:r>
          </w:p>
        </w:tc>
      </w:tr>
      <w:tr w:rsidR="00B45694" w:rsidTr="00C03C9B" w14:paraId="7C5CEBFE" w14:textId="77777777">
        <w:tc>
          <w:tcPr>
            <w:tcW w:w="5665" w:type="dxa"/>
            <w:vAlign w:val="center"/>
          </w:tcPr>
          <w:p w:rsidRPr="00B45694" w:rsidR="00B45694" w:rsidP="00385311" w:rsidRDefault="00B45694" w14:paraId="02DAB996" w14:textId="1346BE88">
            <w:pPr>
              <w:rPr>
                <w:rFonts w:ascii="Times New Roman" w:hAnsi="Times New Roman"/>
                <w:color w:val="000000"/>
              </w:rPr>
            </w:pPr>
            <w:r w:rsidRPr="00B45694">
              <w:rPr>
                <w:rFonts w:ascii="Times New Roman" w:hAnsi="Times New Roman"/>
                <w:color w:val="000000"/>
              </w:rPr>
              <w:t>Gwynedd Mercy University</w:t>
            </w:r>
            <w:r w:rsidR="00BD01B5">
              <w:rPr>
                <w:rFonts w:ascii="Times New Roman" w:hAnsi="Times New Roman"/>
                <w:color w:val="000000"/>
              </w:rPr>
              <w:t xml:space="preserve"> (PA)</w:t>
            </w:r>
          </w:p>
        </w:tc>
        <w:tc>
          <w:tcPr>
            <w:tcW w:w="1800" w:type="dxa"/>
            <w:vAlign w:val="center"/>
          </w:tcPr>
          <w:p w:rsidRPr="00B45694" w:rsidR="00B45694" w:rsidP="00385311" w:rsidRDefault="00B45694" w14:paraId="1C0E52F0" w14:textId="36526FDD">
            <w:pPr>
              <w:rPr>
                <w:rFonts w:ascii="Times New Roman" w:hAnsi="Times New Roman"/>
                <w:color w:val="000000"/>
              </w:rPr>
            </w:pPr>
            <w:r w:rsidRPr="00B45694">
              <w:rPr>
                <w:rFonts w:ascii="Times New Roman" w:hAnsi="Times New Roman"/>
                <w:color w:val="000000"/>
              </w:rPr>
              <w:t>Large</w:t>
            </w:r>
          </w:p>
        </w:tc>
        <w:tc>
          <w:tcPr>
            <w:tcW w:w="1885" w:type="dxa"/>
            <w:vAlign w:val="center"/>
          </w:tcPr>
          <w:p w:rsidRPr="00B45694" w:rsidR="00B45694" w:rsidP="00385311" w:rsidRDefault="00B45694" w14:paraId="6C907171" w14:textId="139A3F70">
            <w:pPr>
              <w:rPr>
                <w:rFonts w:ascii="Times New Roman" w:hAnsi="Times New Roman"/>
                <w:color w:val="000000"/>
              </w:rPr>
            </w:pPr>
            <w:r w:rsidRPr="00B45694">
              <w:rPr>
                <w:rFonts w:ascii="Times New Roman" w:hAnsi="Times New Roman"/>
                <w:color w:val="000000"/>
              </w:rPr>
              <w:t>Private</w:t>
            </w:r>
          </w:p>
        </w:tc>
      </w:tr>
      <w:tr w:rsidR="00B45694" w:rsidTr="00C03C9B" w14:paraId="55758688" w14:textId="77777777">
        <w:tc>
          <w:tcPr>
            <w:tcW w:w="5665" w:type="dxa"/>
            <w:vAlign w:val="center"/>
          </w:tcPr>
          <w:p w:rsidRPr="00B45694" w:rsidR="00B45694" w:rsidP="00385311" w:rsidRDefault="00B45694" w14:paraId="28E4E1FD" w14:textId="6E8F6135">
            <w:pPr>
              <w:rPr>
                <w:rFonts w:ascii="Times New Roman" w:hAnsi="Times New Roman"/>
                <w:color w:val="000000"/>
              </w:rPr>
            </w:pPr>
            <w:r w:rsidRPr="00B45694">
              <w:rPr>
                <w:rFonts w:ascii="Times New Roman" w:hAnsi="Times New Roman"/>
                <w:color w:val="000000"/>
              </w:rPr>
              <w:t>St. Thomas Aquinas University</w:t>
            </w:r>
            <w:r w:rsidR="00BD01B5">
              <w:rPr>
                <w:rFonts w:ascii="Times New Roman" w:hAnsi="Times New Roman"/>
                <w:color w:val="000000"/>
              </w:rPr>
              <w:t xml:space="preserve"> (NY)</w:t>
            </w:r>
          </w:p>
        </w:tc>
        <w:tc>
          <w:tcPr>
            <w:tcW w:w="1800" w:type="dxa"/>
            <w:vAlign w:val="center"/>
          </w:tcPr>
          <w:p w:rsidRPr="00B45694" w:rsidR="00B45694" w:rsidP="00385311" w:rsidRDefault="00B45694" w14:paraId="6FBE817F" w14:textId="1F807079">
            <w:pPr>
              <w:rPr>
                <w:rFonts w:ascii="Times New Roman" w:hAnsi="Times New Roman"/>
                <w:color w:val="000000"/>
              </w:rPr>
            </w:pPr>
            <w:r w:rsidRPr="00B45694">
              <w:rPr>
                <w:rFonts w:ascii="Times New Roman" w:hAnsi="Times New Roman"/>
                <w:color w:val="000000"/>
              </w:rPr>
              <w:t>Small</w:t>
            </w:r>
          </w:p>
        </w:tc>
        <w:tc>
          <w:tcPr>
            <w:tcW w:w="1885" w:type="dxa"/>
            <w:vAlign w:val="center"/>
          </w:tcPr>
          <w:p w:rsidRPr="00B45694" w:rsidR="00B45694" w:rsidP="00385311" w:rsidRDefault="00B45694" w14:paraId="7A7AD620" w14:textId="1D67A20F">
            <w:pPr>
              <w:rPr>
                <w:rFonts w:ascii="Times New Roman" w:hAnsi="Times New Roman"/>
                <w:color w:val="000000"/>
              </w:rPr>
            </w:pPr>
            <w:r w:rsidRPr="00B45694">
              <w:rPr>
                <w:rFonts w:ascii="Times New Roman" w:hAnsi="Times New Roman"/>
                <w:color w:val="000000"/>
              </w:rPr>
              <w:t>Private</w:t>
            </w:r>
          </w:p>
        </w:tc>
      </w:tr>
    </w:tbl>
    <w:p w:rsidRPr="00E93C1A" w:rsidR="00FE040C" w:rsidP="00385311" w:rsidRDefault="00FE040C" w14:paraId="4780172F" w14:textId="77777777">
      <w:pPr>
        <w:rPr>
          <w:b/>
        </w:rPr>
      </w:pPr>
    </w:p>
    <w:p w:rsidR="00586FB2" w:rsidP="00385311" w:rsidRDefault="00CA02B9" w14:paraId="3DBFA234" w14:textId="77777777">
      <w:r w:rsidRPr="00BB7039">
        <w:t>Several modifications were made a</w:t>
      </w:r>
      <w:r w:rsidRPr="00BB7039" w:rsidR="006C15B6">
        <w:t xml:space="preserve">s a result of the </w:t>
      </w:r>
      <w:r w:rsidRPr="00BB7039" w:rsidR="00D053A7">
        <w:t xml:space="preserve">cognitive </w:t>
      </w:r>
      <w:r w:rsidRPr="00BB7039" w:rsidR="006C15B6">
        <w:t xml:space="preserve">testing. </w:t>
      </w:r>
      <w:r w:rsidRPr="00BB7039">
        <w:t xml:space="preserve">To improve understanding of the reference period used throughout the instrument, the definition of “academic year” was updated </w:t>
      </w:r>
      <w:r w:rsidRPr="00BB7039" w:rsidR="00F75259">
        <w:t xml:space="preserve">to be consistent with the </w:t>
      </w:r>
      <w:r w:rsidRPr="00BB7039" w:rsidR="00CF0EAE">
        <w:t xml:space="preserve">definition used by IPEDS. Another instrument-wide update was changing the term “non-sworn officers” to “non-sworn/civilian personnel” </w:t>
      </w:r>
      <w:r w:rsidRPr="00BB7039" w:rsidR="00D711A2">
        <w:t>because</w:t>
      </w:r>
      <w:r w:rsidRPr="00BB7039" w:rsidR="00CF0EAE">
        <w:t xml:space="preserve"> several participants indicated that they do not refer to their non-sworn staff as officers. </w:t>
      </w:r>
      <w:r w:rsidRPr="00BB7039" w:rsidR="00D264EC">
        <w:t xml:space="preserve">In the Personnel section, </w:t>
      </w:r>
      <w:r w:rsidRPr="00BB7039" w:rsidR="00D711A2">
        <w:t xml:space="preserve">there were discrepancies in total full-time sworn officer counts between the responses in Q5 and Q6 for several respondents, so BJS added a “Total” row to Q5 and an instruction to Q6 indicating that the totals should match. </w:t>
      </w:r>
    </w:p>
    <w:p w:rsidR="00586FB2" w:rsidP="00385311" w:rsidRDefault="00586FB2" w14:paraId="57BA0A77" w14:textId="77777777"/>
    <w:p w:rsidRPr="00BB7039" w:rsidR="006C15B6" w:rsidP="00385311" w:rsidRDefault="00CF0EAE" w14:paraId="3E9088B7" w14:textId="7BBE89D1">
      <w:r w:rsidRPr="00BB7039">
        <w:t xml:space="preserve">Other changes included clarifying </w:t>
      </w:r>
      <w:r w:rsidRPr="00BB7039" w:rsidR="00D711A2">
        <w:t xml:space="preserve">existing </w:t>
      </w:r>
      <w:r w:rsidRPr="00BB7039">
        <w:t>instructions</w:t>
      </w:r>
      <w:r w:rsidRPr="00BB7039" w:rsidR="005A3811">
        <w:t>, descriptions,</w:t>
      </w:r>
      <w:r w:rsidRPr="00BB7039">
        <w:t xml:space="preserve"> and response options to reduce confusion. For example, </w:t>
      </w:r>
      <w:r w:rsidRPr="00BB7039" w:rsidR="00D264EC">
        <w:t xml:space="preserve">on Q39, participants reported confusion regarding the areas for which the survey asks about arrest or patrol jurisdiction, noting that the distinction between public places in two subitems was not clear. BJS added more context to these descriptions to alleviate this confusion. This confusion also applied to Q40, so the same updates to the descriptions were applied there as well. </w:t>
      </w:r>
      <w:r w:rsidRPr="00BB7039" w:rsidR="00D17381">
        <w:t>Full r</w:t>
      </w:r>
      <w:r w:rsidRPr="00BB7039" w:rsidR="00E93C1A">
        <w:t xml:space="preserve">esults of the cognitive testing are included in Attachment </w:t>
      </w:r>
      <w:r w:rsidR="008F3829">
        <w:t>4</w:t>
      </w:r>
      <w:r w:rsidRPr="00BB7039" w:rsidR="00E93C1A">
        <w:t xml:space="preserve">. </w:t>
      </w:r>
    </w:p>
    <w:p w:rsidR="006C15B6" w:rsidP="00385311" w:rsidRDefault="006C15B6" w14:paraId="12E05CEF" w14:textId="4A780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7726" w:rsidP="00385311" w:rsidRDefault="00957726" w14:paraId="79F2C724" w14:textId="71CEA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A0745" w:rsidP="00385311" w:rsidRDefault="00BB7039" w14:paraId="2F3F2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lastRenderedPageBreak/>
        <w:t>BJS</w:t>
      </w:r>
      <w:r w:rsidRPr="00BB7039" w:rsidR="00AF7585">
        <w:t xml:space="preserve"> expect</w:t>
      </w:r>
      <w:r w:rsidRPr="00BB7039">
        <w:t>s</w:t>
      </w:r>
      <w:r w:rsidRPr="00BB7039" w:rsidR="00AF7585">
        <w:t xml:space="preserve"> that m</w:t>
      </w:r>
      <w:r w:rsidRPr="00BB7039" w:rsidR="002A019F">
        <w:t>any</w:t>
      </w:r>
      <w:r w:rsidRPr="00BB7039" w:rsidR="00AF7585">
        <w:t xml:space="preserve"> respondents will make use of the online survey software to complete the survey</w:t>
      </w:r>
      <w:r w:rsidRPr="00BB7039" w:rsidR="00B56D33">
        <w:t>.</w:t>
      </w:r>
      <w:r w:rsidRPr="00BB7039" w:rsidR="005D1F5D">
        <w:t xml:space="preserve"> </w:t>
      </w:r>
      <w:r w:rsidRPr="00BB7039" w:rsidR="00B56D33">
        <w:t>A</w:t>
      </w:r>
      <w:r w:rsidRPr="00BB7039" w:rsidR="00C02640">
        <w:t xml:space="preserve"> </w:t>
      </w:r>
      <w:r w:rsidRPr="00BB7039" w:rsidR="00AF7585">
        <w:t>number of web-based system functions will be in place to ease the burden of survey completion.</w:t>
      </w:r>
      <w:r w:rsidRPr="00BB7039" w:rsidR="005D1F5D">
        <w:t xml:space="preserve"> </w:t>
      </w:r>
      <w:r w:rsidRPr="00BB7039" w:rsidR="00A802BD">
        <w:t>RTI</w:t>
      </w:r>
      <w:r w:rsidRPr="00BB7039" w:rsidR="00AF7585">
        <w:t xml:space="preserve"> will utilize an intelligent log-in program for data collection, which will store agency information and responses, allowing for multi-session, non-sequential completion of the survey instrument.</w:t>
      </w:r>
      <w:r w:rsidRPr="00BB7039" w:rsidR="005D1F5D">
        <w:t xml:space="preserve"> </w:t>
      </w:r>
      <w:r w:rsidRPr="00BB7039" w:rsidR="00AF7585">
        <w:t>Since many agencies, particularly the larger ones, will need to seek out multiple information sources within their organizations to answer different sections, this will reduce the burden on them by facilitating data entry from different sources.</w:t>
      </w:r>
      <w:r w:rsidRPr="00BB7039" w:rsidR="005D1F5D">
        <w:t xml:space="preserve"> </w:t>
      </w:r>
      <w:r w:rsidRPr="00BB7039" w:rsidR="00AF7585">
        <w:t>It will also reduce the burden by allowing them to stop response entry pending confirmation of information from others in the agency.</w:t>
      </w:r>
      <w:r w:rsidRPr="00BB7039" w:rsidR="005D1F5D">
        <w:t xml:space="preserve"> </w:t>
      </w:r>
    </w:p>
    <w:p w:rsidR="005A0745" w:rsidP="00385311" w:rsidRDefault="005A0745" w14:paraId="34046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385311" w:rsidRDefault="00AF7585" w14:paraId="2EC6E3D9" w14:textId="68178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_Hlk77084848" w:id="3"/>
      <w:r w:rsidRPr="00BB7039">
        <w:t>Help icons located next to each survey question will link respondents to item-specific information, additional guidance, and helpdesk contact information to facilitate requests for assistance.</w:t>
      </w:r>
      <w:r w:rsidRPr="00BB7039" w:rsidR="005D1F5D">
        <w:t xml:space="preserve"> </w:t>
      </w:r>
      <w:r w:rsidRPr="00BB7039" w:rsidR="00D65556">
        <w:t>The</w:t>
      </w:r>
      <w:r w:rsidRPr="00BB7039">
        <w:t xml:space="preserve"> </w:t>
      </w:r>
      <w:r w:rsidRPr="00BB7039" w:rsidR="007E3570">
        <w:t>h</w:t>
      </w:r>
      <w:r w:rsidRPr="00BB7039">
        <w:t xml:space="preserve">elp </w:t>
      </w:r>
      <w:r w:rsidRPr="00BB7039" w:rsidR="007E3570">
        <w:t>d</w:t>
      </w:r>
      <w:r w:rsidRPr="00BB7039">
        <w:t>esk will be staffed during normal business hours (</w:t>
      </w:r>
      <w:r w:rsidRPr="00BB7039" w:rsidR="00621D4F">
        <w:t>E</w:t>
      </w:r>
      <w:r w:rsidRPr="00BB7039">
        <w:t>ast</w:t>
      </w:r>
      <w:r w:rsidRPr="00BB7039" w:rsidR="00621D4F">
        <w:t>ern</w:t>
      </w:r>
      <w:r w:rsidRPr="00BB7039">
        <w:t xml:space="preserve"> time) and will be available to respondents through a toll</w:t>
      </w:r>
      <w:r w:rsidRPr="00BB7039" w:rsidR="007E3570">
        <w:t>-</w:t>
      </w:r>
      <w:r w:rsidRPr="00BB7039">
        <w:t>free number.</w:t>
      </w:r>
      <w:r w:rsidRPr="00BB7039" w:rsidR="005D1F5D">
        <w:t xml:space="preserve"> </w:t>
      </w:r>
      <w:r w:rsidRPr="00BB7039">
        <w:t xml:space="preserve">Respondents will </w:t>
      </w:r>
      <w:r w:rsidRPr="00BB7039" w:rsidR="002A019F">
        <w:t xml:space="preserve">also </w:t>
      </w:r>
      <w:r w:rsidRPr="00BB7039">
        <w:t xml:space="preserve">receive a </w:t>
      </w:r>
      <w:r w:rsidRPr="00BB7039" w:rsidR="007E3570">
        <w:t xml:space="preserve">hard copy questionnaire, along with </w:t>
      </w:r>
      <w:r w:rsidRPr="00BB7039">
        <w:t>directions</w:t>
      </w:r>
      <w:r w:rsidRPr="00BB7039" w:rsidR="007E3570">
        <w:t>, by mail</w:t>
      </w:r>
      <w:r w:rsidRPr="00BB7039">
        <w:t>.</w:t>
      </w:r>
      <w:r w:rsidRPr="00BB7039" w:rsidR="005D1F5D">
        <w:t xml:space="preserve"> </w:t>
      </w:r>
      <w:r w:rsidRPr="00BB7039" w:rsidR="00A33454">
        <w:t xml:space="preserve">Additionally, respondents will be able to access a PDF version of the survey </w:t>
      </w:r>
      <w:r w:rsidRPr="00BB7039" w:rsidR="002A019F">
        <w:t xml:space="preserve">online, </w:t>
      </w:r>
      <w:r w:rsidRPr="00BB7039" w:rsidR="00A33454">
        <w:t>which can be printed</w:t>
      </w:r>
      <w:r w:rsidRPr="00BB7039" w:rsidR="00F503AD">
        <w:t xml:space="preserve">. Once complete, this paper version of the survey can be used to enter data through the web-based survey instrument or can be returned via </w:t>
      </w:r>
      <w:r w:rsidRPr="00BB7039" w:rsidR="007E3570">
        <w:t>e</w:t>
      </w:r>
      <w:r w:rsidRPr="00BB7039" w:rsidR="00621D4F">
        <w:t>-</w:t>
      </w:r>
      <w:r w:rsidRPr="00BB7039" w:rsidR="007E3570">
        <w:t xml:space="preserve">mail, fax, or </w:t>
      </w:r>
      <w:r w:rsidRPr="00BB7039" w:rsidR="00F503AD">
        <w:t>mail</w:t>
      </w:r>
      <w:r w:rsidRPr="00BB7039" w:rsidR="00A33454">
        <w:t xml:space="preserve">. </w:t>
      </w:r>
    </w:p>
    <w:bookmarkEnd w:id="3"/>
    <w:p w:rsidRPr="00BB7039" w:rsidR="00AF7585" w:rsidP="00385311" w:rsidRDefault="00AF7585" w14:paraId="1F1FC8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5D317C" w:rsidP="00385311" w:rsidRDefault="007E3570" w14:paraId="10FEFE6E" w14:textId="4D980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In addition, </w:t>
      </w:r>
      <w:r w:rsidRPr="00BB7039" w:rsidR="00075C6E">
        <w:t>project</w:t>
      </w:r>
      <w:r w:rsidRPr="00BB7039">
        <w:t xml:space="preserve"> staff from RTI will be available to assist respondents throughout the data collection period.  </w:t>
      </w:r>
      <w:r w:rsidRPr="00BB7039" w:rsidR="00AF7585">
        <w:t xml:space="preserve">A data collection manager will oversee the </w:t>
      </w:r>
      <w:r w:rsidRPr="00BB7039" w:rsidR="00A405F1">
        <w:t>h</w:t>
      </w:r>
      <w:r w:rsidRPr="00BB7039" w:rsidR="00AF7585">
        <w:t xml:space="preserve">elp </w:t>
      </w:r>
      <w:r w:rsidRPr="00BB7039" w:rsidR="00A405F1">
        <w:t>d</w:t>
      </w:r>
      <w:r w:rsidRPr="00BB7039" w:rsidR="00AF7585">
        <w:t>esk</w:t>
      </w:r>
      <w:r w:rsidRPr="00BB7039" w:rsidR="00191F9C">
        <w:t>.</w:t>
      </w:r>
      <w:r w:rsidRPr="00BB7039" w:rsidR="00AF7585">
        <w:t xml:space="preserve"> </w:t>
      </w:r>
      <w:r w:rsidRPr="00BB7039" w:rsidR="00191F9C">
        <w:t>W</w:t>
      </w:r>
      <w:r w:rsidRPr="00BB7039" w:rsidR="00AF7585">
        <w:t xml:space="preserve">hen not available, calls </w:t>
      </w:r>
      <w:r w:rsidRPr="00BB7039" w:rsidR="008E7A3C">
        <w:t xml:space="preserve">to the help desk </w:t>
      </w:r>
      <w:r w:rsidRPr="00BB7039" w:rsidR="00AF7585">
        <w:t xml:space="preserve">will be routed </w:t>
      </w:r>
      <w:r w:rsidRPr="00BB7039">
        <w:t xml:space="preserve">automatically </w:t>
      </w:r>
      <w:r w:rsidRPr="00BB7039" w:rsidR="00AF7585">
        <w:t>to another survey team member for immediate response.</w:t>
      </w:r>
      <w:r w:rsidRPr="00BB7039" w:rsidR="005D1F5D">
        <w:t xml:space="preserve"> </w:t>
      </w:r>
      <w:r w:rsidRPr="00BB7039" w:rsidR="00AF7585">
        <w:t>Voice</w:t>
      </w:r>
      <w:r w:rsidRPr="00BB7039">
        <w:t>-</w:t>
      </w:r>
      <w:r w:rsidRPr="00BB7039" w:rsidR="00AF7585">
        <w:t xml:space="preserve">mail will be available </w:t>
      </w:r>
      <w:r w:rsidRPr="00BB7039">
        <w:t xml:space="preserve">outside of regular business </w:t>
      </w:r>
      <w:r w:rsidRPr="00BB7039" w:rsidR="00AF7585">
        <w:t xml:space="preserve">hours and a dedicated </w:t>
      </w:r>
      <w:r w:rsidRPr="00BB7039" w:rsidR="00D65556">
        <w:t>SCLEA</w:t>
      </w:r>
      <w:r w:rsidRPr="00BB7039" w:rsidR="00AF7585">
        <w:t xml:space="preserve"> help e-mail address will be provided with the introductory letter and survey packet.</w:t>
      </w:r>
      <w:r w:rsidRPr="00BB7039" w:rsidR="005D1F5D">
        <w:t xml:space="preserve"> </w:t>
      </w:r>
      <w:r w:rsidRPr="00BB7039" w:rsidR="00AF7585">
        <w:t xml:space="preserve">The office </w:t>
      </w:r>
      <w:r w:rsidRPr="00BB7039" w:rsidR="00D65556">
        <w:t>p</w:t>
      </w:r>
      <w:r w:rsidRPr="00BB7039" w:rsidR="00AF7585">
        <w:t xml:space="preserve">hone number </w:t>
      </w:r>
      <w:r w:rsidRPr="00BB7039" w:rsidR="00D65556">
        <w:t xml:space="preserve">and </w:t>
      </w:r>
      <w:r w:rsidRPr="00BB7039" w:rsidR="00AF7585">
        <w:t xml:space="preserve">e-mail address for the survey principal investigator will also be provided to respondents to </w:t>
      </w:r>
      <w:r w:rsidRPr="00BB7039" w:rsidR="007E5B4A">
        <w:t>e</w:t>
      </w:r>
      <w:r w:rsidRPr="00BB7039" w:rsidR="00AF7585">
        <w:t xml:space="preserve">nsure timely communications. </w:t>
      </w:r>
    </w:p>
    <w:p w:rsidRPr="00BB7039" w:rsidR="005D317C" w:rsidP="00385311" w:rsidRDefault="005D317C" w14:paraId="21737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5D317C" w:rsidP="00385311" w:rsidRDefault="00AF7585" w14:paraId="2C791F01" w14:textId="5070D8F2">
      <w:pPr>
        <w:pStyle w:val="ListParagraph"/>
        <w:numPr>
          <w:ilvl w:val="0"/>
          <w:numId w:val="2"/>
        </w:numPr>
        <w:rPr>
          <w:b/>
        </w:rPr>
      </w:pPr>
      <w:r w:rsidRPr="00BB7039">
        <w:rPr>
          <w:b/>
        </w:rPr>
        <w:t>Consequences of Less Frequent Collection</w:t>
      </w:r>
    </w:p>
    <w:p w:rsidRPr="00BB7039" w:rsidR="005D317C" w:rsidP="00385311" w:rsidRDefault="005D317C" w14:paraId="12701F23" w14:textId="77777777">
      <w:pPr>
        <w:rPr>
          <w:u w:val="single"/>
        </w:rPr>
      </w:pPr>
    </w:p>
    <w:p w:rsidRPr="00BB7039" w:rsidR="00F83580" w:rsidP="00385311" w:rsidRDefault="00F83580" w14:paraId="161680A4" w14:textId="07236EE6">
      <w:r w:rsidRPr="00BB7039">
        <w:t xml:space="preserve">It has been ten years since SCLEA was last conducted. Many changes have occurred in the field of campus law enforcement over this period of time and the 2021 SCLEA will provide important updated information on campus policing to both practitioners and researchers. The 2021 SCLEA schedule takes agency burden into account, considering that agencies serving public </w:t>
      </w:r>
      <w:r w:rsidRPr="00BB7039" w:rsidR="00C0680A">
        <w:t>institutions</w:t>
      </w:r>
      <w:r w:rsidRPr="00BB7039">
        <w:t xml:space="preserve"> </w:t>
      </w:r>
      <w:r w:rsidRPr="00BB7039" w:rsidR="00C0680A">
        <w:t>are included in the CSLLEA.</w:t>
      </w:r>
      <w:r w:rsidRPr="00BB7039">
        <w:t xml:space="preserve"> </w:t>
      </w:r>
      <w:r w:rsidRPr="00BB7039" w:rsidR="00C0680A">
        <w:t xml:space="preserve">The last CSLLEA was conducted in 2018 and the next CSLLEA is planned for fall 2022; </w:t>
      </w:r>
      <w:r w:rsidRPr="00BB7039" w:rsidR="00E21A1F">
        <w:t xml:space="preserve">the 2021 </w:t>
      </w:r>
      <w:r w:rsidRPr="00BB7039" w:rsidR="00C0680A">
        <w:t xml:space="preserve">SCLEA was planned to fall between the two CSLLEA iterations </w:t>
      </w:r>
      <w:r w:rsidRPr="00BB7039" w:rsidR="00C4403D">
        <w:t xml:space="preserve">to </w:t>
      </w:r>
      <w:r w:rsidRPr="00BB7039" w:rsidR="00E21A1F">
        <w:t xml:space="preserve">avoid an overlapping schedule and </w:t>
      </w:r>
      <w:r w:rsidRPr="00BB7039" w:rsidR="00C4403D">
        <w:t xml:space="preserve">limit the burden on </w:t>
      </w:r>
      <w:r w:rsidRPr="00BB7039" w:rsidR="00E21A1F">
        <w:t xml:space="preserve">the </w:t>
      </w:r>
      <w:r w:rsidRPr="00BB7039" w:rsidR="00C4403D">
        <w:t>agencies</w:t>
      </w:r>
      <w:r w:rsidRPr="00BB7039" w:rsidR="00C0680A">
        <w:t xml:space="preserve"> </w:t>
      </w:r>
      <w:r w:rsidRPr="00BB7039" w:rsidR="00E21A1F">
        <w:t xml:space="preserve">that are </w:t>
      </w:r>
      <w:r w:rsidRPr="00BB7039" w:rsidR="00C0680A">
        <w:t>eligible for both data collections</w:t>
      </w:r>
      <w:r w:rsidRPr="00BB7039" w:rsidR="00C4403D">
        <w:t>.</w:t>
      </w:r>
      <w:r w:rsidRPr="00BB7039" w:rsidR="00B100B3">
        <w:t xml:space="preserve"> </w:t>
      </w:r>
    </w:p>
    <w:p w:rsidRPr="00BB7039" w:rsidR="003F5936" w:rsidP="00385311" w:rsidRDefault="003F5936" w14:paraId="3E797D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385311" w:rsidRDefault="00AF7585" w14:paraId="54EF56C0"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Special Circumstances</w:t>
      </w:r>
    </w:p>
    <w:p w:rsidRPr="00BB7039" w:rsidR="00AF7585" w:rsidP="00385311" w:rsidRDefault="00AF7585" w14:paraId="7CDFD4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28ED" w:rsidP="00385311" w:rsidRDefault="00AF7585" w14:paraId="08DDB082" w14:textId="2B390D4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No special circumstances have been identified for this project. </w:t>
      </w:r>
    </w:p>
    <w:p w:rsidR="008E28ED" w:rsidP="00385311" w:rsidRDefault="008E28ED" w14:paraId="46BE600A" w14:textId="107728E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28ED" w:rsidP="00385311" w:rsidRDefault="008E28ED" w14:paraId="46696536" w14:textId="545C980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28ED" w:rsidP="00385311" w:rsidRDefault="008E28ED" w14:paraId="7F41A626" w14:textId="148FFC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8E28ED" w:rsidP="00385311" w:rsidRDefault="008E28ED" w14:paraId="72E743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385311" w:rsidRDefault="00AF7585" w14:paraId="3DD96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385311" w:rsidRDefault="00A9303C" w14:paraId="575FAEF5" w14:textId="29437D2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lastRenderedPageBreak/>
        <w:t>Federal Register Publication</w:t>
      </w:r>
      <w:r w:rsidRPr="00BB7039" w:rsidR="00AF7585">
        <w:rPr>
          <w:b/>
        </w:rPr>
        <w:t xml:space="preserve"> and Outside Consultations</w:t>
      </w:r>
    </w:p>
    <w:p w:rsidRPr="00BB7039" w:rsidR="002A019F" w:rsidP="00385311" w:rsidRDefault="002A019F" w14:paraId="36C3E82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A91314" w:rsidR="00A91314" w:rsidP="00385311" w:rsidRDefault="00A91314" w14:paraId="4526F78D" w14:textId="270A4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The research under this clearance is consistent with the guidelines in 5 CFR 1320.6. The 60-day notice for public commentary was published in the Federal Register, Volume </w:t>
      </w:r>
      <w:r w:rsidRPr="00BB7039" w:rsidR="00582665">
        <w:t>8</w:t>
      </w:r>
      <w:r w:rsidRPr="00BB7039" w:rsidR="00A219B0">
        <w:t>6</w:t>
      </w:r>
      <w:r w:rsidRPr="00BB7039">
        <w:t xml:space="preserve">, Number </w:t>
      </w:r>
      <w:r w:rsidRPr="00BB7039" w:rsidR="00A219B0">
        <w:t>94</w:t>
      </w:r>
      <w:r w:rsidRPr="00BB7039">
        <w:t>, page</w:t>
      </w:r>
      <w:r w:rsidR="00D63453">
        <w:t>s</w:t>
      </w:r>
      <w:r w:rsidRPr="00BB7039">
        <w:t xml:space="preserve"> </w:t>
      </w:r>
      <w:r w:rsidRPr="00BB7039" w:rsidR="00A219B0">
        <w:t>26944</w:t>
      </w:r>
      <w:r w:rsidR="00D63453">
        <w:t>-26945</w:t>
      </w:r>
      <w:r w:rsidRPr="00BB7039">
        <w:t xml:space="preserve"> on </w:t>
      </w:r>
      <w:r w:rsidRPr="00BB7039" w:rsidR="00A219B0">
        <w:t>Tuesday</w:t>
      </w:r>
      <w:r w:rsidRPr="00BB7039" w:rsidR="00FD36A9">
        <w:t xml:space="preserve">, </w:t>
      </w:r>
      <w:r w:rsidRPr="00BB7039" w:rsidR="00582665">
        <w:t>Ma</w:t>
      </w:r>
      <w:r w:rsidRPr="00BB7039" w:rsidR="00A219B0">
        <w:t>y</w:t>
      </w:r>
      <w:r w:rsidRPr="00BB7039" w:rsidR="00582665">
        <w:t xml:space="preserve"> 1</w:t>
      </w:r>
      <w:r w:rsidRPr="00BB7039" w:rsidR="00A219B0">
        <w:t>8</w:t>
      </w:r>
      <w:r w:rsidRPr="00BB7039" w:rsidR="00FD36A9">
        <w:t>, 20</w:t>
      </w:r>
      <w:r w:rsidRPr="00BB7039" w:rsidR="00582665">
        <w:t>2</w:t>
      </w:r>
      <w:r w:rsidRPr="00BB7039" w:rsidR="00A219B0">
        <w:t>1</w:t>
      </w:r>
      <w:r w:rsidRPr="00BB7039">
        <w:t>.</w:t>
      </w:r>
      <w:r w:rsidRPr="00582665">
        <w:t xml:space="preserve"> </w:t>
      </w:r>
      <w:r w:rsidR="00F23928">
        <w:t xml:space="preserve">BJS did not receive any comments </w:t>
      </w:r>
      <w:r w:rsidRPr="0086518D" w:rsidR="00F23928">
        <w:t>in response to the 60-day notice.</w:t>
      </w:r>
      <w:r w:rsidR="00D63453">
        <w:t xml:space="preserve"> </w:t>
      </w:r>
      <w:r w:rsidRPr="00D63453">
        <w:t xml:space="preserve">The 30-day notice for public commentary was published in the Federal Register, Volume </w:t>
      </w:r>
      <w:r w:rsidRPr="00D63453" w:rsidR="00D63453">
        <w:t>86</w:t>
      </w:r>
      <w:r w:rsidRPr="00D63453">
        <w:t xml:space="preserve">, Number </w:t>
      </w:r>
      <w:r w:rsidRPr="00D63453" w:rsidR="00D63453">
        <w:t>139</w:t>
      </w:r>
      <w:r w:rsidRPr="00D63453" w:rsidR="00984FDA">
        <w:t>,</w:t>
      </w:r>
      <w:r w:rsidRPr="00D63453">
        <w:t xml:space="preserve"> </w:t>
      </w:r>
      <w:r w:rsidRPr="00D63453" w:rsidR="00B45CE8">
        <w:t>page</w:t>
      </w:r>
      <w:r w:rsidRPr="00D63453" w:rsidR="00D63453">
        <w:t>s</w:t>
      </w:r>
      <w:r w:rsidRPr="00D63453" w:rsidR="00B45CE8">
        <w:t xml:space="preserve"> </w:t>
      </w:r>
      <w:r w:rsidRPr="00D63453" w:rsidR="00D63453">
        <w:t>39077-39078</w:t>
      </w:r>
      <w:r w:rsidRPr="00D63453">
        <w:t xml:space="preserve">, on </w:t>
      </w:r>
      <w:r w:rsidRPr="00D63453" w:rsidR="00D63453">
        <w:t>Friday, July 23</w:t>
      </w:r>
      <w:r w:rsidRPr="00D63453" w:rsidR="00B45CE8">
        <w:t>, 202</w:t>
      </w:r>
      <w:r w:rsidRPr="00D63453" w:rsidR="00A219B0">
        <w:t>1</w:t>
      </w:r>
      <w:r w:rsidRPr="00D63453">
        <w:t>.</w:t>
      </w:r>
      <w:r w:rsidRPr="00984FDA">
        <w:t xml:space="preserve"> </w:t>
      </w:r>
      <w:r w:rsidR="00432352">
        <w:t>A correction to the 30-day notice was published in the Federal Register, Volume 86, Number 144, page 41093, on Friday, July 30, 2021,</w:t>
      </w:r>
      <w:bookmarkStart w:name="_GoBack" w:id="4"/>
      <w:bookmarkEnd w:id="4"/>
      <w:r w:rsidR="00432352">
        <w:t xml:space="preserve"> </w:t>
      </w:r>
      <w:r w:rsidR="00F23928">
        <w:t>to correct the burden estimates. The initial estimates, based upon 2018 IPEDS data, were approximately 1,860 respondents and 1,860 total burden hours for the 2021 SCLEA. The 2019 IPEDS data have since become available and provide updated information on the number of eligible agencies. The estimated number of respondents is now 2,067 and the total estimated burden for the collection is 2,067 hours.</w:t>
      </w:r>
    </w:p>
    <w:p w:rsidR="00A91314" w:rsidP="00385311" w:rsidRDefault="00A91314" w14:paraId="02F3C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067B9A" w:rsidP="00385311" w:rsidRDefault="00285E39" w14:paraId="69A2416E" w14:textId="1110A03D">
      <w:r w:rsidRPr="00BB7039">
        <w:t xml:space="preserve">In July </w:t>
      </w:r>
      <w:r w:rsidRPr="00BB7039" w:rsidR="00964BB4">
        <w:t>2020</w:t>
      </w:r>
      <w:r w:rsidRPr="00BB7039">
        <w:t xml:space="preserve">, </w:t>
      </w:r>
      <w:r w:rsidRPr="00BB7039" w:rsidR="00AF7585">
        <w:t xml:space="preserve">BJS </w:t>
      </w:r>
      <w:r w:rsidRPr="00BB7039" w:rsidR="00361932">
        <w:t>convened an expert panel with ten campus law enforcement practitioners and research scholars (</w:t>
      </w:r>
      <w:r w:rsidRPr="001065E2" w:rsidR="00361932">
        <w:rPr>
          <w:b/>
        </w:rPr>
        <w:t xml:space="preserve">Table </w:t>
      </w:r>
      <w:r w:rsidR="00876980">
        <w:rPr>
          <w:b/>
        </w:rPr>
        <w:t>3</w:t>
      </w:r>
      <w:r w:rsidRPr="00BB7039" w:rsidR="00361932">
        <w:t>) with 1) a history of publishing research involving or related to SCLEA or 2) a known interest in campus law enforcement. BJS emailed</w:t>
      </w:r>
      <w:r w:rsidRPr="00BB7039" w:rsidR="007E0195">
        <w:t xml:space="preserve"> </w:t>
      </w:r>
      <w:r w:rsidRPr="00BB7039" w:rsidR="00AF7585">
        <w:t xml:space="preserve">a copy of </w:t>
      </w:r>
      <w:r w:rsidRPr="00BB7039" w:rsidR="00CE0CBB">
        <w:t>the 2011</w:t>
      </w:r>
      <w:r w:rsidRPr="00BB7039" w:rsidR="00964BB4">
        <w:t xml:space="preserve"> SCLEA</w:t>
      </w:r>
      <w:r w:rsidRPr="00BB7039" w:rsidR="00361932">
        <w:t xml:space="preserve"> </w:t>
      </w:r>
      <w:r w:rsidRPr="00BB7039" w:rsidR="00935C77">
        <w:t>long form</w:t>
      </w:r>
      <w:r w:rsidRPr="00BB7039" w:rsidR="00AF7585">
        <w:t xml:space="preserve"> </w:t>
      </w:r>
      <w:r w:rsidRPr="00BB7039" w:rsidR="00361932">
        <w:t>and</w:t>
      </w:r>
      <w:r w:rsidRPr="00BB7039" w:rsidR="00B54730">
        <w:t xml:space="preserve"> asked </w:t>
      </w:r>
      <w:r w:rsidRPr="00BB7039" w:rsidR="00361932">
        <w:t xml:space="preserve">panelists </w:t>
      </w:r>
      <w:r w:rsidRPr="00BB7039" w:rsidR="00B54730">
        <w:t xml:space="preserve">to </w:t>
      </w:r>
      <w:r w:rsidRPr="00BB7039" w:rsidR="00361932">
        <w:t>review it prior to the expert panel meeting so that they would be prepared to provide feedback on items to keep, update, drop, and add. BJS also sent panelists a copy of the 2020 LEMAS instrument for reference</w:t>
      </w:r>
      <w:r w:rsidRPr="00BB7039" w:rsidR="00FE1078">
        <w:t>, providing panelists with a recently updated BJS survey covering many of the same topics as SCLEA.</w:t>
      </w:r>
    </w:p>
    <w:p w:rsidRPr="00BB7039" w:rsidR="00030618" w:rsidP="00385311" w:rsidRDefault="00030618" w14:paraId="11E73129" w14:textId="77777777"/>
    <w:p w:rsidRPr="00BB7039" w:rsidR="00B45694" w:rsidP="00385311" w:rsidRDefault="000D2F8F" w14:paraId="10AF193D" w14:textId="40E71F2A">
      <w:pPr>
        <w:keepNext/>
        <w:keepLines/>
        <w:rPr>
          <w:b/>
        </w:rPr>
      </w:pPr>
      <w:r w:rsidRPr="00BB7039">
        <w:rPr>
          <w:b/>
        </w:rPr>
        <w:t xml:space="preserve">Table </w:t>
      </w:r>
      <w:r w:rsidR="00876980">
        <w:rPr>
          <w:b/>
        </w:rPr>
        <w:t>3</w:t>
      </w:r>
      <w:r w:rsidRPr="00BB7039">
        <w:rPr>
          <w:b/>
        </w:rPr>
        <w:t xml:space="preserve">. </w:t>
      </w:r>
      <w:r w:rsidRPr="00BB7039" w:rsidR="004D3456">
        <w:rPr>
          <w:b/>
        </w:rPr>
        <w:t xml:space="preserve">2021 SCLEA Expert Panel </w:t>
      </w:r>
      <w:r w:rsidRPr="00BB7039" w:rsidR="00244C55">
        <w:rPr>
          <w:b/>
        </w:rPr>
        <w:t>Attendees</w:t>
      </w:r>
    </w:p>
    <w:tbl>
      <w:tblPr>
        <w:tblStyle w:val="TableGrid"/>
        <w:tblW w:w="1026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0"/>
        <w:gridCol w:w="4770"/>
      </w:tblGrid>
      <w:tr w:rsidRPr="00BB7039" w:rsidR="004C3E6F" w:rsidTr="00B45694" w14:paraId="2790F89C" w14:textId="77777777">
        <w:tc>
          <w:tcPr>
            <w:tcW w:w="5490" w:type="dxa"/>
          </w:tcPr>
          <w:p w:rsidRPr="00BB7039" w:rsidR="00951442" w:rsidP="00385311" w:rsidRDefault="00951442" w14:paraId="7F03DBE5" w14:textId="77777777">
            <w:pPr>
              <w:keepNext/>
              <w:keepLines/>
              <w:rPr>
                <w:rFonts w:ascii="Times New Roman" w:hAnsi="Times New Roman"/>
                <w:sz w:val="22"/>
                <w:szCs w:val="22"/>
              </w:rPr>
            </w:pPr>
            <w:r w:rsidRPr="00BB7039">
              <w:rPr>
                <w:rFonts w:ascii="Times New Roman" w:hAnsi="Times New Roman"/>
                <w:sz w:val="22"/>
                <w:szCs w:val="22"/>
              </w:rPr>
              <w:t>Robin Engel, Ph.D., Professor</w:t>
            </w:r>
          </w:p>
          <w:p w:rsidRPr="00BB7039" w:rsidR="00951442" w:rsidP="00385311" w:rsidRDefault="00951442" w14:paraId="5217D049" w14:textId="77777777">
            <w:pPr>
              <w:keepNext/>
              <w:keepLines/>
              <w:rPr>
                <w:rFonts w:ascii="Times New Roman" w:hAnsi="Times New Roman"/>
                <w:sz w:val="22"/>
                <w:szCs w:val="22"/>
              </w:rPr>
            </w:pPr>
            <w:r w:rsidRPr="00BB7039">
              <w:rPr>
                <w:rFonts w:ascii="Times New Roman" w:hAnsi="Times New Roman"/>
                <w:sz w:val="22"/>
                <w:szCs w:val="22"/>
              </w:rPr>
              <w:t>IACP/UC Center for Police Research &amp; Policy Director</w:t>
            </w:r>
          </w:p>
          <w:p w:rsidRPr="00BB7039" w:rsidR="00951442" w:rsidP="00385311" w:rsidRDefault="00951442" w14:paraId="769E502A" w14:textId="77777777">
            <w:pPr>
              <w:keepNext/>
              <w:keepLines/>
              <w:rPr>
                <w:rFonts w:ascii="Times New Roman" w:hAnsi="Times New Roman"/>
                <w:sz w:val="22"/>
                <w:szCs w:val="22"/>
              </w:rPr>
            </w:pPr>
            <w:r w:rsidRPr="00BB7039">
              <w:rPr>
                <w:rFonts w:ascii="Times New Roman" w:hAnsi="Times New Roman"/>
                <w:sz w:val="22"/>
                <w:szCs w:val="22"/>
              </w:rPr>
              <w:t>University of Cincinnati</w:t>
            </w:r>
          </w:p>
          <w:p w:rsidRPr="00BB7039" w:rsidR="00424C21" w:rsidP="00385311" w:rsidRDefault="00951442" w14:paraId="7DA504C0" w14:textId="77777777">
            <w:pPr>
              <w:keepNext/>
              <w:keepLines/>
              <w:rPr>
                <w:rFonts w:ascii="Times New Roman" w:hAnsi="Times New Roman"/>
                <w:sz w:val="22"/>
                <w:szCs w:val="22"/>
              </w:rPr>
            </w:pPr>
            <w:r w:rsidRPr="00BB7039">
              <w:rPr>
                <w:rFonts w:ascii="Times New Roman" w:hAnsi="Times New Roman"/>
                <w:sz w:val="22"/>
                <w:szCs w:val="22"/>
              </w:rPr>
              <w:t>Cincinnati, OH 45221</w:t>
            </w:r>
          </w:p>
          <w:p w:rsidRPr="00BB7039" w:rsidR="00951442" w:rsidP="00385311" w:rsidRDefault="00951442" w14:paraId="331A10CB" w14:textId="351EE787">
            <w:pPr>
              <w:keepNext/>
              <w:keepLines/>
              <w:rPr>
                <w:rFonts w:ascii="Times New Roman" w:hAnsi="Times New Roman"/>
                <w:sz w:val="22"/>
                <w:szCs w:val="22"/>
              </w:rPr>
            </w:pPr>
          </w:p>
        </w:tc>
        <w:tc>
          <w:tcPr>
            <w:tcW w:w="4770" w:type="dxa"/>
          </w:tcPr>
          <w:p w:rsidRPr="00BB7039" w:rsidR="00424C21" w:rsidP="00385311" w:rsidRDefault="00217B22" w14:paraId="4AADE390" w14:textId="4B5431FB">
            <w:pPr>
              <w:keepNext/>
              <w:keepLines/>
              <w:rPr>
                <w:rFonts w:ascii="Times New Roman" w:hAnsi="Times New Roman"/>
                <w:color w:val="000000"/>
                <w:sz w:val="22"/>
                <w:szCs w:val="22"/>
              </w:rPr>
            </w:pPr>
            <w:r w:rsidRPr="00BB7039">
              <w:rPr>
                <w:rFonts w:ascii="Times New Roman" w:hAnsi="Times New Roman"/>
                <w:color w:val="000000"/>
                <w:sz w:val="22"/>
                <w:szCs w:val="22"/>
              </w:rPr>
              <w:t>John Sloan, Ph.D.</w:t>
            </w:r>
            <w:r w:rsidRPr="00BB7039" w:rsidR="00F443EE">
              <w:rPr>
                <w:rFonts w:ascii="Times New Roman" w:hAnsi="Times New Roman"/>
                <w:color w:val="000000"/>
                <w:sz w:val="22"/>
                <w:szCs w:val="22"/>
              </w:rPr>
              <w:t>, Professor</w:t>
            </w:r>
          </w:p>
          <w:p w:rsidRPr="00BB7039" w:rsidR="00217B22" w:rsidP="00385311" w:rsidRDefault="00217B22" w14:paraId="099A9185" w14:textId="77777777">
            <w:pPr>
              <w:keepNext/>
              <w:keepLines/>
              <w:rPr>
                <w:rFonts w:ascii="Times New Roman" w:hAnsi="Times New Roman"/>
                <w:sz w:val="22"/>
                <w:szCs w:val="22"/>
              </w:rPr>
            </w:pPr>
            <w:r w:rsidRPr="00BB7039">
              <w:rPr>
                <w:rFonts w:ascii="Times New Roman" w:hAnsi="Times New Roman"/>
                <w:sz w:val="22"/>
                <w:szCs w:val="22"/>
              </w:rPr>
              <w:t>Department of Criminal Justice</w:t>
            </w:r>
          </w:p>
          <w:p w:rsidRPr="00BB7039" w:rsidR="00217B22" w:rsidP="00385311" w:rsidRDefault="00217B22" w14:paraId="324AF22A" w14:textId="77777777">
            <w:pPr>
              <w:keepNext/>
              <w:keepLines/>
              <w:rPr>
                <w:rFonts w:ascii="Times New Roman" w:hAnsi="Times New Roman"/>
                <w:sz w:val="22"/>
                <w:szCs w:val="22"/>
              </w:rPr>
            </w:pPr>
            <w:r w:rsidRPr="00BB7039">
              <w:rPr>
                <w:rFonts w:ascii="Times New Roman" w:hAnsi="Times New Roman"/>
                <w:sz w:val="22"/>
                <w:szCs w:val="22"/>
              </w:rPr>
              <w:t>University of Alabama at Birmingham</w:t>
            </w:r>
          </w:p>
          <w:p w:rsidRPr="00BB7039" w:rsidR="00217B22" w:rsidP="00385311" w:rsidRDefault="00217B22" w14:paraId="287B91B1" w14:textId="103B3F96">
            <w:pPr>
              <w:keepNext/>
              <w:keepLines/>
              <w:rPr>
                <w:rFonts w:ascii="Times New Roman" w:hAnsi="Times New Roman"/>
                <w:sz w:val="22"/>
                <w:szCs w:val="22"/>
              </w:rPr>
            </w:pPr>
            <w:r w:rsidRPr="00BB7039">
              <w:rPr>
                <w:rFonts w:ascii="Times New Roman" w:hAnsi="Times New Roman"/>
                <w:sz w:val="22"/>
                <w:szCs w:val="22"/>
              </w:rPr>
              <w:t>Birmingham, AL 35294</w:t>
            </w:r>
          </w:p>
        </w:tc>
      </w:tr>
      <w:tr w:rsidRPr="00BB7039" w:rsidR="004C3E6F" w:rsidTr="00B45694" w14:paraId="78261F6B" w14:textId="77777777">
        <w:tc>
          <w:tcPr>
            <w:tcW w:w="5490" w:type="dxa"/>
          </w:tcPr>
          <w:p w:rsidRPr="00BB7039" w:rsidR="00951442" w:rsidP="00385311" w:rsidRDefault="00951442" w14:paraId="2B2ED257" w14:textId="77777777">
            <w:pPr>
              <w:keepNext/>
              <w:keepLines/>
              <w:rPr>
                <w:rFonts w:ascii="Times New Roman" w:hAnsi="Times New Roman"/>
                <w:sz w:val="22"/>
                <w:szCs w:val="22"/>
              </w:rPr>
            </w:pPr>
            <w:r w:rsidRPr="00BB7039">
              <w:rPr>
                <w:rFonts w:ascii="Times New Roman" w:hAnsi="Times New Roman"/>
                <w:sz w:val="22"/>
                <w:szCs w:val="22"/>
              </w:rPr>
              <w:t>Katy Hancock, Ph.D., Associate Professor</w:t>
            </w:r>
          </w:p>
          <w:p w:rsidRPr="00BB7039" w:rsidR="00951442" w:rsidP="00385311" w:rsidRDefault="00951442" w14:paraId="3E481312" w14:textId="77777777">
            <w:pPr>
              <w:keepNext/>
              <w:keepLines/>
              <w:rPr>
                <w:rFonts w:ascii="Times New Roman" w:hAnsi="Times New Roman"/>
                <w:sz w:val="22"/>
                <w:szCs w:val="22"/>
              </w:rPr>
            </w:pPr>
            <w:r w:rsidRPr="00BB7039">
              <w:rPr>
                <w:rFonts w:ascii="Times New Roman" w:hAnsi="Times New Roman"/>
                <w:sz w:val="22"/>
                <w:szCs w:val="22"/>
              </w:rPr>
              <w:t>Department of Community Leadership &amp; Human Services</w:t>
            </w:r>
          </w:p>
          <w:p w:rsidRPr="00BB7039" w:rsidR="00951442" w:rsidP="00385311" w:rsidRDefault="00951442" w14:paraId="6E106D9B" w14:textId="77777777">
            <w:pPr>
              <w:keepNext/>
              <w:keepLines/>
              <w:rPr>
                <w:rFonts w:ascii="Times New Roman" w:hAnsi="Times New Roman"/>
                <w:sz w:val="22"/>
                <w:szCs w:val="22"/>
              </w:rPr>
            </w:pPr>
            <w:r w:rsidRPr="00BB7039">
              <w:rPr>
                <w:rFonts w:ascii="Times New Roman" w:hAnsi="Times New Roman"/>
                <w:sz w:val="22"/>
                <w:szCs w:val="22"/>
              </w:rPr>
              <w:t>Murray State University</w:t>
            </w:r>
          </w:p>
          <w:p w:rsidRPr="00BB7039" w:rsidR="007A0664" w:rsidP="00385311" w:rsidRDefault="00951442" w14:paraId="20CA324A" w14:textId="77777777">
            <w:pPr>
              <w:keepNext/>
              <w:keepLines/>
              <w:rPr>
                <w:rFonts w:ascii="Times New Roman" w:hAnsi="Times New Roman"/>
                <w:sz w:val="22"/>
                <w:szCs w:val="22"/>
              </w:rPr>
            </w:pPr>
            <w:r w:rsidRPr="00BB7039">
              <w:rPr>
                <w:rFonts w:ascii="Times New Roman" w:hAnsi="Times New Roman"/>
                <w:sz w:val="22"/>
                <w:szCs w:val="22"/>
              </w:rPr>
              <w:t>Murray, KY 42071</w:t>
            </w:r>
          </w:p>
          <w:p w:rsidRPr="00BB7039" w:rsidR="00951442" w:rsidP="00385311" w:rsidRDefault="00951442" w14:paraId="4865E1EE" w14:textId="3EB42A5E">
            <w:pPr>
              <w:keepNext/>
              <w:keepLines/>
              <w:rPr>
                <w:rFonts w:ascii="Times New Roman" w:hAnsi="Times New Roman"/>
                <w:sz w:val="22"/>
                <w:szCs w:val="22"/>
              </w:rPr>
            </w:pPr>
          </w:p>
        </w:tc>
        <w:tc>
          <w:tcPr>
            <w:tcW w:w="4770" w:type="dxa"/>
          </w:tcPr>
          <w:p w:rsidRPr="00BB7039" w:rsidR="00424C21" w:rsidP="00385311" w:rsidRDefault="00217B22" w14:paraId="63189FB3" w14:textId="77777777">
            <w:pPr>
              <w:keepNext/>
              <w:keepLines/>
              <w:rPr>
                <w:rFonts w:ascii="Times New Roman" w:hAnsi="Times New Roman"/>
                <w:sz w:val="22"/>
                <w:szCs w:val="22"/>
              </w:rPr>
            </w:pPr>
            <w:proofErr w:type="spellStart"/>
            <w:r w:rsidRPr="00BB7039">
              <w:rPr>
                <w:rFonts w:ascii="Times New Roman" w:hAnsi="Times New Roman"/>
                <w:sz w:val="22"/>
                <w:szCs w:val="22"/>
              </w:rPr>
              <w:t>Janne</w:t>
            </w:r>
            <w:proofErr w:type="spellEnd"/>
            <w:r w:rsidRPr="00BB7039">
              <w:rPr>
                <w:rFonts w:ascii="Times New Roman" w:hAnsi="Times New Roman"/>
                <w:sz w:val="22"/>
                <w:szCs w:val="22"/>
              </w:rPr>
              <w:t xml:space="preserve"> </w:t>
            </w:r>
            <w:proofErr w:type="spellStart"/>
            <w:r w:rsidRPr="00BB7039">
              <w:rPr>
                <w:rFonts w:ascii="Times New Roman" w:hAnsi="Times New Roman"/>
                <w:sz w:val="22"/>
                <w:szCs w:val="22"/>
              </w:rPr>
              <w:t>Gaub</w:t>
            </w:r>
            <w:proofErr w:type="spellEnd"/>
            <w:r w:rsidRPr="00BB7039">
              <w:rPr>
                <w:rFonts w:ascii="Times New Roman" w:hAnsi="Times New Roman"/>
                <w:sz w:val="22"/>
                <w:szCs w:val="22"/>
              </w:rPr>
              <w:t>, Ph.D., Assistant Professor</w:t>
            </w:r>
          </w:p>
          <w:p w:rsidRPr="00BB7039" w:rsidR="00217B22" w:rsidP="00385311" w:rsidRDefault="00217B22" w14:paraId="1016E012" w14:textId="77777777">
            <w:pPr>
              <w:keepNext/>
              <w:keepLines/>
              <w:rPr>
                <w:rFonts w:ascii="Times New Roman" w:hAnsi="Times New Roman"/>
                <w:sz w:val="22"/>
                <w:szCs w:val="22"/>
              </w:rPr>
            </w:pPr>
            <w:r w:rsidRPr="00BB7039">
              <w:rPr>
                <w:rFonts w:ascii="Times New Roman" w:hAnsi="Times New Roman"/>
                <w:sz w:val="22"/>
                <w:szCs w:val="22"/>
              </w:rPr>
              <w:t>Department of Criminal Justice and Criminology</w:t>
            </w:r>
          </w:p>
          <w:p w:rsidRPr="00BB7039" w:rsidR="00217B22" w:rsidP="00385311" w:rsidRDefault="00217B22" w14:paraId="382E52E9" w14:textId="0A691ED9">
            <w:pPr>
              <w:keepNext/>
              <w:keepLines/>
              <w:rPr>
                <w:rFonts w:ascii="Times New Roman" w:hAnsi="Times New Roman"/>
                <w:sz w:val="22"/>
                <w:szCs w:val="22"/>
              </w:rPr>
            </w:pPr>
            <w:r w:rsidRPr="00BB7039">
              <w:rPr>
                <w:rFonts w:ascii="Times New Roman" w:hAnsi="Times New Roman"/>
                <w:sz w:val="22"/>
                <w:szCs w:val="22"/>
              </w:rPr>
              <w:t>University of North Carolina at Charlotte</w:t>
            </w:r>
          </w:p>
          <w:p w:rsidRPr="00BB7039" w:rsidR="00217B22" w:rsidP="00385311" w:rsidRDefault="00217B22" w14:paraId="5FC3DDF0" w14:textId="4BB00773">
            <w:pPr>
              <w:keepNext/>
              <w:keepLines/>
              <w:rPr>
                <w:rFonts w:ascii="Times New Roman" w:hAnsi="Times New Roman"/>
                <w:sz w:val="22"/>
                <w:szCs w:val="22"/>
              </w:rPr>
            </w:pPr>
            <w:r w:rsidRPr="00BB7039">
              <w:rPr>
                <w:rFonts w:ascii="Times New Roman" w:hAnsi="Times New Roman"/>
                <w:sz w:val="22"/>
                <w:szCs w:val="22"/>
              </w:rPr>
              <w:t>Charlotte, NC 28223</w:t>
            </w:r>
          </w:p>
        </w:tc>
      </w:tr>
      <w:tr w:rsidRPr="00BB7039" w:rsidR="004C3E6F" w:rsidTr="00B45694" w14:paraId="44F1780F" w14:textId="77777777">
        <w:tc>
          <w:tcPr>
            <w:tcW w:w="5490" w:type="dxa"/>
          </w:tcPr>
          <w:p w:rsidRPr="00BB7039" w:rsidR="00951442" w:rsidP="00385311" w:rsidRDefault="00951442" w14:paraId="1FB20DDB"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Andrea Allen, Ph.D., Associate Professor</w:t>
            </w:r>
          </w:p>
          <w:p w:rsidRPr="00BB7039" w:rsidR="00951442" w:rsidP="00385311" w:rsidRDefault="00951442" w14:paraId="0CCA43BB"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Department of Social Sciences</w:t>
            </w:r>
          </w:p>
          <w:p w:rsidRPr="00BB7039" w:rsidR="00951442" w:rsidP="00385311" w:rsidRDefault="00951442" w14:paraId="4695271D"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Clayton State University</w:t>
            </w:r>
          </w:p>
          <w:p w:rsidRPr="00BB7039" w:rsidR="002B710A" w:rsidP="00385311" w:rsidRDefault="00951442" w14:paraId="3211C5C3" w14:textId="630A56A1">
            <w:pPr>
              <w:keepNext/>
              <w:keepLines/>
              <w:rPr>
                <w:rFonts w:ascii="Times New Roman" w:hAnsi="Times New Roman"/>
                <w:sz w:val="22"/>
                <w:szCs w:val="22"/>
              </w:rPr>
            </w:pPr>
            <w:r w:rsidRPr="00BB7039">
              <w:rPr>
                <w:rFonts w:ascii="Times New Roman" w:hAnsi="Times New Roman"/>
                <w:color w:val="000000"/>
                <w:sz w:val="22"/>
                <w:szCs w:val="22"/>
              </w:rPr>
              <w:t>Morrow, GA 30260</w:t>
            </w:r>
          </w:p>
        </w:tc>
        <w:tc>
          <w:tcPr>
            <w:tcW w:w="4770" w:type="dxa"/>
          </w:tcPr>
          <w:p w:rsidRPr="00BB7039" w:rsidR="007A0664" w:rsidP="00385311" w:rsidRDefault="00217B22" w14:paraId="7B06435A" w14:textId="4C402695">
            <w:pPr>
              <w:keepNext/>
              <w:keepLines/>
              <w:rPr>
                <w:rFonts w:ascii="Times New Roman" w:hAnsi="Times New Roman"/>
                <w:sz w:val="22"/>
                <w:szCs w:val="22"/>
              </w:rPr>
            </w:pPr>
            <w:r w:rsidRPr="00BB7039">
              <w:rPr>
                <w:rFonts w:ascii="Times New Roman" w:hAnsi="Times New Roman"/>
                <w:sz w:val="22"/>
                <w:szCs w:val="22"/>
              </w:rPr>
              <w:t>Brian Williams, Ph.D., Associate Professor</w:t>
            </w:r>
          </w:p>
          <w:p w:rsidRPr="00BB7039" w:rsidR="00217B22" w:rsidP="00385311" w:rsidRDefault="00217B22" w14:paraId="2480ACE6" w14:textId="382F7C30">
            <w:pPr>
              <w:keepNext/>
              <w:keepLines/>
              <w:rPr>
                <w:rFonts w:ascii="Times New Roman" w:hAnsi="Times New Roman"/>
                <w:color w:val="000000"/>
                <w:sz w:val="22"/>
                <w:szCs w:val="22"/>
              </w:rPr>
            </w:pPr>
            <w:r w:rsidRPr="00BB7039">
              <w:rPr>
                <w:rFonts w:ascii="Times New Roman" w:hAnsi="Times New Roman"/>
                <w:color w:val="000000"/>
                <w:sz w:val="22"/>
                <w:szCs w:val="22"/>
              </w:rPr>
              <w:t>Batten School of Leadership &amp; Public Policy</w:t>
            </w:r>
          </w:p>
          <w:p w:rsidRPr="00BB7039" w:rsidR="00217B22" w:rsidP="00385311" w:rsidRDefault="00217B22" w14:paraId="7775C154"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University of Virginia</w:t>
            </w:r>
          </w:p>
          <w:p w:rsidRPr="00BB7039" w:rsidR="00217B22" w:rsidP="00385311" w:rsidRDefault="00217B22" w14:paraId="7B86A22E"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Charlottesville, VA 22904</w:t>
            </w:r>
          </w:p>
          <w:p w:rsidRPr="00BB7039" w:rsidR="00217B22" w:rsidP="00385311" w:rsidRDefault="00217B22" w14:paraId="59B30C73" w14:textId="01A03B0E">
            <w:pPr>
              <w:keepNext/>
              <w:keepLines/>
              <w:rPr>
                <w:rFonts w:ascii="Times New Roman" w:hAnsi="Times New Roman"/>
                <w:sz w:val="22"/>
                <w:szCs w:val="22"/>
              </w:rPr>
            </w:pPr>
          </w:p>
        </w:tc>
      </w:tr>
      <w:tr w:rsidRPr="00BB7039" w:rsidR="00637AE7" w:rsidTr="00B45694" w14:paraId="4DD431DE" w14:textId="77777777">
        <w:tc>
          <w:tcPr>
            <w:tcW w:w="5490" w:type="dxa"/>
          </w:tcPr>
          <w:p w:rsidRPr="00BB7039" w:rsidR="00951442" w:rsidP="00385311" w:rsidRDefault="00951442" w14:paraId="014898B9" w14:textId="77777777">
            <w:pPr>
              <w:keepNext/>
              <w:keepLines/>
              <w:rPr>
                <w:rFonts w:ascii="Times New Roman" w:hAnsi="Times New Roman"/>
                <w:sz w:val="22"/>
                <w:szCs w:val="22"/>
              </w:rPr>
            </w:pPr>
            <w:r w:rsidRPr="00BB7039">
              <w:rPr>
                <w:rFonts w:ascii="Times New Roman" w:hAnsi="Times New Roman"/>
                <w:sz w:val="22"/>
                <w:szCs w:val="22"/>
              </w:rPr>
              <w:t>Michael Aiello, Ph.D., Assistant Professor</w:t>
            </w:r>
          </w:p>
          <w:p w:rsidRPr="00BB7039" w:rsidR="00951442" w:rsidP="00385311" w:rsidRDefault="00951442" w14:paraId="5917AB33" w14:textId="77777777">
            <w:pPr>
              <w:keepNext/>
              <w:keepLines/>
              <w:rPr>
                <w:rFonts w:ascii="Times New Roman" w:hAnsi="Times New Roman"/>
                <w:sz w:val="22"/>
                <w:szCs w:val="22"/>
              </w:rPr>
            </w:pPr>
            <w:r w:rsidRPr="00BB7039">
              <w:rPr>
                <w:rFonts w:ascii="Times New Roman" w:hAnsi="Times New Roman"/>
                <w:sz w:val="22"/>
                <w:szCs w:val="22"/>
              </w:rPr>
              <w:t>Department of Criminal Justice</w:t>
            </w:r>
          </w:p>
          <w:p w:rsidRPr="00BB7039" w:rsidR="00951442" w:rsidP="00385311" w:rsidRDefault="00951442" w14:paraId="7C0FB3FE" w14:textId="77777777">
            <w:pPr>
              <w:keepNext/>
              <w:keepLines/>
              <w:rPr>
                <w:rFonts w:ascii="Times New Roman" w:hAnsi="Times New Roman"/>
                <w:sz w:val="22"/>
                <w:szCs w:val="22"/>
              </w:rPr>
            </w:pPr>
            <w:r w:rsidRPr="00BB7039">
              <w:rPr>
                <w:rFonts w:ascii="Times New Roman" w:hAnsi="Times New Roman"/>
                <w:sz w:val="22"/>
                <w:szCs w:val="22"/>
              </w:rPr>
              <w:t>Fredonia State University</w:t>
            </w:r>
          </w:p>
          <w:p w:rsidRPr="00BB7039" w:rsidR="00951442" w:rsidP="00385311" w:rsidRDefault="00951442" w14:paraId="0179153B" w14:textId="77777777">
            <w:pPr>
              <w:keepNext/>
              <w:keepLines/>
              <w:rPr>
                <w:rFonts w:ascii="Times New Roman" w:hAnsi="Times New Roman"/>
                <w:color w:val="000000"/>
                <w:sz w:val="22"/>
                <w:szCs w:val="22"/>
              </w:rPr>
            </w:pPr>
            <w:r w:rsidRPr="00BB7039">
              <w:rPr>
                <w:rFonts w:ascii="Times New Roman" w:hAnsi="Times New Roman"/>
                <w:sz w:val="22"/>
                <w:szCs w:val="22"/>
              </w:rPr>
              <w:t>Fredonia, NY 14063</w:t>
            </w:r>
          </w:p>
          <w:p w:rsidRPr="00BB7039" w:rsidR="00244C55" w:rsidDel="00637AE7" w:rsidP="00385311" w:rsidRDefault="00244C55" w14:paraId="5D016AD6" w14:textId="04FD2868">
            <w:pPr>
              <w:keepNext/>
              <w:keepLines/>
              <w:rPr>
                <w:rFonts w:ascii="Times New Roman" w:hAnsi="Times New Roman"/>
                <w:sz w:val="22"/>
                <w:szCs w:val="22"/>
              </w:rPr>
            </w:pPr>
          </w:p>
        </w:tc>
        <w:tc>
          <w:tcPr>
            <w:tcW w:w="4770" w:type="dxa"/>
          </w:tcPr>
          <w:p w:rsidRPr="00BB7039" w:rsidR="00951442" w:rsidP="00385311" w:rsidRDefault="00951442" w14:paraId="670EDE9E" w14:textId="77777777">
            <w:pPr>
              <w:keepNext/>
              <w:keepLines/>
              <w:rPr>
                <w:rFonts w:ascii="Times New Roman" w:hAnsi="Times New Roman"/>
                <w:sz w:val="22"/>
                <w:szCs w:val="22"/>
              </w:rPr>
            </w:pPr>
            <w:r w:rsidRPr="00BB7039">
              <w:rPr>
                <w:rFonts w:ascii="Times New Roman" w:hAnsi="Times New Roman"/>
                <w:color w:val="000000"/>
                <w:sz w:val="22"/>
                <w:szCs w:val="22"/>
              </w:rPr>
              <w:t>Jeffrey Johns, Chief of Police</w:t>
            </w:r>
          </w:p>
          <w:p w:rsidRPr="00BB7039" w:rsidR="00951442" w:rsidP="00385311" w:rsidRDefault="00951442" w14:paraId="407F3747" w14:textId="77777777">
            <w:pPr>
              <w:keepNext/>
              <w:keepLines/>
              <w:rPr>
                <w:rFonts w:ascii="Times New Roman" w:hAnsi="Times New Roman"/>
                <w:sz w:val="22"/>
                <w:szCs w:val="22"/>
              </w:rPr>
            </w:pPr>
            <w:r w:rsidRPr="00BB7039">
              <w:rPr>
                <w:rFonts w:ascii="Times New Roman" w:hAnsi="Times New Roman"/>
                <w:sz w:val="22"/>
                <w:szCs w:val="22"/>
              </w:rPr>
              <w:t>Delta State University</w:t>
            </w:r>
          </w:p>
          <w:p w:rsidRPr="00BB7039" w:rsidR="00951442" w:rsidP="00385311" w:rsidRDefault="00951442" w14:paraId="6B787D80" w14:textId="77777777">
            <w:pPr>
              <w:keepNext/>
              <w:keepLines/>
              <w:rPr>
                <w:rFonts w:ascii="Times New Roman" w:hAnsi="Times New Roman"/>
                <w:sz w:val="22"/>
                <w:szCs w:val="22"/>
              </w:rPr>
            </w:pPr>
            <w:r w:rsidRPr="00BB7039">
              <w:rPr>
                <w:rFonts w:ascii="Times New Roman" w:hAnsi="Times New Roman"/>
                <w:sz w:val="22"/>
                <w:szCs w:val="22"/>
              </w:rPr>
              <w:t>Cleveland, MS 38733</w:t>
            </w:r>
          </w:p>
          <w:p w:rsidRPr="00BB7039" w:rsidR="002B710A" w:rsidDel="00637AE7" w:rsidP="00385311" w:rsidRDefault="002B710A" w14:paraId="1A6C7514" w14:textId="28F37A92">
            <w:pPr>
              <w:keepNext/>
              <w:keepLines/>
              <w:rPr>
                <w:rFonts w:ascii="Times New Roman" w:hAnsi="Times New Roman"/>
                <w:sz w:val="22"/>
                <w:szCs w:val="22"/>
              </w:rPr>
            </w:pPr>
          </w:p>
        </w:tc>
      </w:tr>
      <w:tr w:rsidRPr="00BB7039" w:rsidR="00637AE7" w:rsidTr="00B45694" w14:paraId="011C1A22" w14:textId="77777777">
        <w:tc>
          <w:tcPr>
            <w:tcW w:w="5490" w:type="dxa"/>
          </w:tcPr>
          <w:p w:rsidRPr="00BB7039" w:rsidR="00951442" w:rsidP="00385311" w:rsidRDefault="00951442" w14:paraId="089511D6"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James Whalen, Chief of Police</w:t>
            </w:r>
          </w:p>
          <w:p w:rsidRPr="00BB7039" w:rsidR="00951442" w:rsidP="00385311" w:rsidRDefault="00951442" w14:paraId="59D9E81A"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University of Cincinnati</w:t>
            </w:r>
          </w:p>
          <w:p w:rsidRPr="00BB7039" w:rsidR="00951442" w:rsidP="00385311" w:rsidRDefault="00951442" w14:paraId="17AA117A" w14:textId="77777777">
            <w:pPr>
              <w:keepNext/>
              <w:keepLines/>
              <w:rPr>
                <w:rFonts w:ascii="Times New Roman" w:hAnsi="Times New Roman"/>
                <w:color w:val="000000"/>
                <w:sz w:val="22"/>
                <w:szCs w:val="22"/>
              </w:rPr>
            </w:pPr>
            <w:r w:rsidRPr="00BB7039">
              <w:rPr>
                <w:rFonts w:ascii="Times New Roman" w:hAnsi="Times New Roman"/>
                <w:color w:val="000000"/>
                <w:sz w:val="22"/>
                <w:szCs w:val="22"/>
              </w:rPr>
              <w:t>Cincinnati, OH 45221</w:t>
            </w:r>
          </w:p>
          <w:p w:rsidRPr="00BB7039" w:rsidR="00637AE7" w:rsidP="00385311" w:rsidRDefault="00637AE7" w14:paraId="329557A9" w14:textId="77777777">
            <w:pPr>
              <w:keepNext/>
              <w:keepLines/>
              <w:rPr>
                <w:rFonts w:ascii="Times New Roman" w:hAnsi="Times New Roman"/>
                <w:sz w:val="22"/>
                <w:szCs w:val="22"/>
              </w:rPr>
            </w:pPr>
          </w:p>
        </w:tc>
        <w:tc>
          <w:tcPr>
            <w:tcW w:w="4770" w:type="dxa"/>
          </w:tcPr>
          <w:p w:rsidRPr="00BB7039" w:rsidR="00951442" w:rsidP="00385311" w:rsidRDefault="00951442" w14:paraId="4627EA59" w14:textId="77777777">
            <w:pPr>
              <w:keepNext/>
              <w:keepLines/>
              <w:rPr>
                <w:rFonts w:ascii="Times New Roman" w:hAnsi="Times New Roman"/>
                <w:sz w:val="22"/>
                <w:szCs w:val="22"/>
              </w:rPr>
            </w:pPr>
            <w:r w:rsidRPr="00BB7039">
              <w:rPr>
                <w:rFonts w:ascii="Times New Roman" w:hAnsi="Times New Roman"/>
                <w:sz w:val="22"/>
                <w:szCs w:val="22"/>
              </w:rPr>
              <w:t>John Dailey, Chief of Police</w:t>
            </w:r>
          </w:p>
          <w:p w:rsidRPr="00BB7039" w:rsidR="00951442" w:rsidP="00385311" w:rsidRDefault="00951442" w14:paraId="045644C2" w14:textId="77777777">
            <w:pPr>
              <w:keepNext/>
              <w:keepLines/>
              <w:rPr>
                <w:rFonts w:ascii="Times New Roman" w:hAnsi="Times New Roman"/>
                <w:sz w:val="22"/>
                <w:szCs w:val="22"/>
              </w:rPr>
            </w:pPr>
            <w:r w:rsidRPr="00BB7039">
              <w:rPr>
                <w:rFonts w:ascii="Times New Roman" w:hAnsi="Times New Roman"/>
                <w:color w:val="000000"/>
                <w:sz w:val="22"/>
                <w:szCs w:val="22"/>
              </w:rPr>
              <w:t>Duke University</w:t>
            </w:r>
          </w:p>
          <w:p w:rsidRPr="00BB7039" w:rsidR="00951442" w:rsidP="00385311" w:rsidRDefault="00951442" w14:paraId="7C987394" w14:textId="77777777">
            <w:pPr>
              <w:keepNext/>
              <w:keepLines/>
              <w:rPr>
                <w:rFonts w:ascii="Times New Roman" w:hAnsi="Times New Roman"/>
                <w:sz w:val="22"/>
                <w:szCs w:val="22"/>
              </w:rPr>
            </w:pPr>
            <w:r w:rsidRPr="00BB7039">
              <w:rPr>
                <w:rFonts w:ascii="Times New Roman" w:hAnsi="Times New Roman"/>
                <w:sz w:val="22"/>
                <w:szCs w:val="22"/>
              </w:rPr>
              <w:t>Durham, NC 27708</w:t>
            </w:r>
          </w:p>
          <w:p w:rsidRPr="00BB7039" w:rsidR="00637AE7" w:rsidDel="00637AE7" w:rsidP="00385311" w:rsidRDefault="00637AE7" w14:paraId="2650B428" w14:textId="77777777">
            <w:pPr>
              <w:keepNext/>
              <w:keepLines/>
              <w:rPr>
                <w:rFonts w:ascii="Times New Roman" w:hAnsi="Times New Roman"/>
                <w:sz w:val="22"/>
                <w:szCs w:val="22"/>
              </w:rPr>
            </w:pPr>
          </w:p>
        </w:tc>
      </w:tr>
    </w:tbl>
    <w:p w:rsidR="009134F0" w:rsidP="00385311" w:rsidRDefault="009134F0" w14:paraId="61F8A16A" w14:textId="77777777"/>
    <w:p w:rsidR="00285E39" w:rsidP="00385311" w:rsidRDefault="00285E39" w14:paraId="098943C9" w14:textId="1A554FD4">
      <w:r w:rsidRPr="00BB7039">
        <w:lastRenderedPageBreak/>
        <w:t xml:space="preserve">After development of the draft instruments, </w:t>
      </w:r>
      <w:r w:rsidRPr="00BB7039" w:rsidR="006C6780">
        <w:t>96</w:t>
      </w:r>
      <w:r w:rsidRPr="00BB7039">
        <w:t xml:space="preserve"> agencies</w:t>
      </w:r>
      <w:r w:rsidRPr="00BB7039" w:rsidR="006C6780">
        <w:t>, split evenly between a primary sample and a replacement sample,</w:t>
      </w:r>
      <w:r w:rsidRPr="00BB7039">
        <w:t xml:space="preserve"> were invited to participate in cognitive interviewing under the OMB generic clearance (OMB control number 1121-0339). For cognitive interviewing, </w:t>
      </w:r>
      <w:r w:rsidRPr="00BB7039" w:rsidR="006C6780">
        <w:t xml:space="preserve">the SCLEA instrument was divided into two modules and </w:t>
      </w:r>
      <w:r w:rsidRPr="00BB7039">
        <w:t xml:space="preserve">participants were invited to complete </w:t>
      </w:r>
      <w:r w:rsidRPr="00BB7039" w:rsidR="006C6780">
        <w:t>one of the modules</w:t>
      </w:r>
      <w:r w:rsidRPr="00BB7039">
        <w:t xml:space="preserve"> via paper form and then participate in a</w:t>
      </w:r>
      <w:r w:rsidRPr="00BB7039" w:rsidR="00E93C1A">
        <w:t>n</w:t>
      </w:r>
      <w:r w:rsidRPr="00BB7039">
        <w:t xml:space="preserve"> </w:t>
      </w:r>
      <w:r w:rsidRPr="00BB7039" w:rsidR="006C6780">
        <w:t>hour-long</w:t>
      </w:r>
      <w:r w:rsidRPr="00BB7039">
        <w:t xml:space="preserve"> interview to assess survey content. Of the </w:t>
      </w:r>
      <w:r w:rsidRPr="00BB7039" w:rsidR="006C6780">
        <w:t>96</w:t>
      </w:r>
      <w:r w:rsidRPr="00BB7039">
        <w:t xml:space="preserve"> agencies invited, </w:t>
      </w:r>
      <w:r w:rsidRPr="00BB7039" w:rsidR="006C6780">
        <w:t>14</w:t>
      </w:r>
      <w:r w:rsidRPr="00BB7039">
        <w:t xml:space="preserve"> participated. The results of the cognitive interviews are included in Attachment </w:t>
      </w:r>
      <w:r w:rsidR="008F3829">
        <w:t>4</w:t>
      </w:r>
      <w:r w:rsidRPr="00BB7039">
        <w:t xml:space="preserve">. </w:t>
      </w:r>
    </w:p>
    <w:p w:rsidRPr="00BB7039" w:rsidR="009134F0" w:rsidP="00385311" w:rsidRDefault="009134F0" w14:paraId="55E43635" w14:textId="77777777"/>
    <w:p w:rsidRPr="00BB7039" w:rsidR="006D6E11" w:rsidP="00385311" w:rsidRDefault="006D6E11" w14:paraId="7B52B31A" w14:textId="77777777">
      <w:pPr>
        <w:pStyle w:val="ListParagraph"/>
        <w:numPr>
          <w:ilvl w:val="0"/>
          <w:numId w:val="2"/>
        </w:numPr>
        <w:rPr>
          <w:b/>
        </w:rPr>
      </w:pPr>
      <w:r w:rsidRPr="00BB7039">
        <w:rPr>
          <w:b/>
        </w:rPr>
        <w:t>Paying Respondents</w:t>
      </w:r>
    </w:p>
    <w:p w:rsidRPr="00BB7039" w:rsidR="006D6E11" w:rsidP="00385311" w:rsidRDefault="006D6E11" w14:paraId="2EADE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DDD" w:rsidP="00385311" w:rsidRDefault="006D6E11" w14:paraId="61007230" w14:textId="17493519">
      <w:r w:rsidRPr="00BB7039">
        <w:t xml:space="preserve">Neither BJS nor </w:t>
      </w:r>
      <w:r w:rsidRPr="00BB7039" w:rsidR="00A802BD">
        <w:t>RTI</w:t>
      </w:r>
      <w:r w:rsidRPr="00BB7039">
        <w:t xml:space="preserve"> will provide any payment or gift of any type to respondents. Respondents will participate on a voluntary basis.</w:t>
      </w:r>
    </w:p>
    <w:p w:rsidR="00C75DDD" w:rsidP="00C75DDD" w:rsidRDefault="00C75DDD" w14:paraId="6E86AE16" w14:textId="2A3BFFB6"/>
    <w:p w:rsidRPr="00DE796C" w:rsidR="00DE796C" w:rsidP="00DE796C" w:rsidRDefault="00DE796C" w14:paraId="5ACDAA01" w14:textId="7B86979A">
      <w:pPr>
        <w:pStyle w:val="ListParagraph"/>
        <w:numPr>
          <w:ilvl w:val="0"/>
          <w:numId w:val="2"/>
        </w:numPr>
        <w:rPr>
          <w:b/>
        </w:rPr>
      </w:pPr>
      <w:r w:rsidRPr="00DE796C">
        <w:rPr>
          <w:b/>
        </w:rPr>
        <w:t>Assurance of Confidentiality</w:t>
      </w:r>
    </w:p>
    <w:p w:rsidR="00DE796C" w:rsidP="00DE796C" w:rsidRDefault="00DE796C" w14:paraId="7572E016" w14:textId="5DC894DF"/>
    <w:p w:rsidR="00DE796C" w:rsidP="00DE796C" w:rsidRDefault="00DE796C" w14:paraId="73042399" w14:textId="68529F35">
      <w:r>
        <w:t xml:space="preserve">According to </w:t>
      </w:r>
      <w:r w:rsidRPr="00BB7039">
        <w:t>34 U.S. Code § 10134, the information gathered in this data collection shall be used only for statistical or research purposes, and shall be gathered in a manner that precludes their use for law enforcement or any purpose relating to a particular individual other than statistical or</w:t>
      </w:r>
    </w:p>
    <w:p w:rsidR="00DE796C" w:rsidP="00DE796C" w:rsidRDefault="00DE796C" w14:paraId="44B29297" w14:textId="29F8726F">
      <w:r w:rsidRPr="00BB7039">
        <w:t>research purposes. The data collected through the SCLEA represent institutional characteristics of campus LEAs. Information about these organizations is largely available in the public domain.</w:t>
      </w:r>
    </w:p>
    <w:p w:rsidR="00DE796C" w:rsidP="00DE796C" w:rsidRDefault="00DE796C" w14:paraId="3B4ACF9C" w14:textId="5FB8C3B1">
      <w:r w:rsidRPr="00BB7039">
        <w:t>The fact that participation in this survey is voluntary and that information about individual</w:t>
      </w:r>
    </w:p>
    <w:p w:rsidRPr="00DE796C" w:rsidR="00DE796C" w:rsidP="00DE796C" w:rsidRDefault="00DE796C" w14:paraId="4E383C16" w14:textId="5E65E937">
      <w:r w:rsidRPr="00BB7039">
        <w:t>agency responses will be available to the public is included on the first page of the survey</w:t>
      </w:r>
    </w:p>
    <w:p w:rsidRPr="00BB7039" w:rsidR="00DE796C" w:rsidP="00DE796C" w:rsidRDefault="00DE796C" w14:paraId="0D1CF051" w14:textId="06B0B8ED">
      <w:pPr>
        <w:keepNext/>
        <w:keepLines/>
      </w:pPr>
      <w:r w:rsidRPr="00BB7039">
        <w:t xml:space="preserve">instrument. However, BJS will not release the names, phone numbers or email of the actual persons responsible for completing the 2021 SCLEA. </w:t>
      </w:r>
    </w:p>
    <w:p w:rsidRPr="00BB7039" w:rsidR="007B739F" w:rsidP="00385311" w:rsidRDefault="007B739F" w14:paraId="2B224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7B739F" w:rsidP="00385311" w:rsidRDefault="007B739F" w14:paraId="5C5AF3A3"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Justification for Sensitive Questions</w:t>
      </w:r>
    </w:p>
    <w:p w:rsidRPr="00BB7039" w:rsidR="007B739F" w:rsidP="00385311" w:rsidRDefault="007B739F" w14:paraId="28419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42B6" w:rsidP="00385311" w:rsidRDefault="005E09F0" w14:paraId="309AC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Historically, </w:t>
      </w:r>
      <w:r w:rsidRPr="00BB7039" w:rsidR="007A6095">
        <w:t>BJS has asked</w:t>
      </w:r>
      <w:r w:rsidRPr="00BB7039">
        <w:t xml:space="preserve"> campus</w:t>
      </w:r>
      <w:r w:rsidRPr="00BB7039" w:rsidR="007A6095">
        <w:t xml:space="preserve"> LEAs </w:t>
      </w:r>
      <w:r w:rsidRPr="00BB7039">
        <w:t xml:space="preserve">about policies on the use of firearms and other weapons </w:t>
      </w:r>
      <w:r w:rsidRPr="00BB7039" w:rsidR="007A6095">
        <w:t>(</w:t>
      </w:r>
      <w:r w:rsidRPr="00BB7039" w:rsidR="004A48E5">
        <w:t>Q28 and Q29</w:t>
      </w:r>
      <w:r w:rsidRPr="00BB7039">
        <w:t>)</w:t>
      </w:r>
      <w:r w:rsidRPr="00BB7039" w:rsidR="007A6095">
        <w:t xml:space="preserve"> since </w:t>
      </w:r>
      <w:r w:rsidRPr="00BB7039">
        <w:t xml:space="preserve">1994-1995. For the 2021 SCLEA, in an effort to provide a more complete picture of campus law enforcement and align </w:t>
      </w:r>
      <w:r w:rsidRPr="00BB7039" w:rsidR="008D60E3">
        <w:t xml:space="preserve">more closely </w:t>
      </w:r>
      <w:r w:rsidRPr="00BB7039">
        <w:t>with LEMAS</w:t>
      </w:r>
      <w:r w:rsidRPr="00BB7039" w:rsidR="007A6095">
        <w:t>,</w:t>
      </w:r>
      <w:r w:rsidRPr="00BB7039">
        <w:t xml:space="preserve"> BJS has added questions on authorized techniques (e.g., open hand techniques, closed hand techniques; Q29) and use of force policies (Q38</w:t>
      </w:r>
      <w:r w:rsidRPr="00BB7039" w:rsidR="00FC4A57">
        <w:t xml:space="preserve"> and</w:t>
      </w:r>
      <w:r w:rsidRPr="00BB7039">
        <w:t xml:space="preserve"> Q42</w:t>
      </w:r>
      <w:r w:rsidRPr="00BB7039" w:rsidR="00FC4A57">
        <w:t>).</w:t>
      </w:r>
      <w:r w:rsidRPr="00BB7039" w:rsidR="007A6095">
        <w:t xml:space="preserve"> </w:t>
      </w:r>
      <w:r w:rsidRPr="00BB7039" w:rsidR="0058108E">
        <w:t>C</w:t>
      </w:r>
      <w:r w:rsidRPr="00BB7039">
        <w:t xml:space="preserve">ampus </w:t>
      </w:r>
      <w:r w:rsidRPr="00BB7039" w:rsidR="007A6095">
        <w:t xml:space="preserve">LEAs may conclude that, in an era of increased scrutiny of law enforcement, </w:t>
      </w:r>
      <w:r w:rsidRPr="00BB7039" w:rsidR="0058108E">
        <w:t>this</w:t>
      </w:r>
      <w:r w:rsidRPr="00BB7039" w:rsidR="007A6095">
        <w:t xml:space="preserve"> information may be particularly sensitive. However, there has been a history of criticism o</w:t>
      </w:r>
      <w:r w:rsidR="009F7E12">
        <w:t>f</w:t>
      </w:r>
      <w:r w:rsidRPr="00BB7039" w:rsidR="007A6095">
        <w:t xml:space="preserve"> </w:t>
      </w:r>
      <w:r w:rsidRPr="00BB7039" w:rsidR="009F7E12">
        <w:t xml:space="preserve">law enforcement </w:t>
      </w:r>
      <w:r w:rsidRPr="00BB7039" w:rsidR="007A6095">
        <w:t>use of force techniques, such as the 1991 assault on Rodney King</w:t>
      </w:r>
      <w:r w:rsidR="009F7E12">
        <w:t xml:space="preserve">, the </w:t>
      </w:r>
      <w:r w:rsidRPr="00BB7039" w:rsidR="007A6095">
        <w:t>2014 deaths of Eric Garner and Michael Brown</w:t>
      </w:r>
      <w:r w:rsidR="009F7E12">
        <w:t>, and the 2020 death of George Floyd</w:t>
      </w:r>
      <w:r w:rsidRPr="00BB7039" w:rsidR="007A6095">
        <w:t>. Even in these times</w:t>
      </w:r>
      <w:r w:rsidR="009F7E12">
        <w:t xml:space="preserve"> of </w:t>
      </w:r>
      <w:r w:rsidRPr="00BB7039" w:rsidR="009F7E12">
        <w:t>heightened</w:t>
      </w:r>
      <w:r w:rsidR="009F7E12">
        <w:t xml:space="preserve"> scrutiny of law enforcement practices</w:t>
      </w:r>
      <w:r w:rsidRPr="00BB7039" w:rsidR="007A6095">
        <w:t xml:space="preserve">, </w:t>
      </w:r>
      <w:r w:rsidRPr="00BB7039" w:rsidR="0058108E">
        <w:t>BJS</w:t>
      </w:r>
      <w:r w:rsidRPr="00BB7039" w:rsidR="007A6095">
        <w:t xml:space="preserve"> has maintained these </w:t>
      </w:r>
      <w:r w:rsidRPr="00BB7039" w:rsidR="0058108E">
        <w:t xml:space="preserve">types of </w:t>
      </w:r>
      <w:r w:rsidRPr="00BB7039" w:rsidR="007A6095">
        <w:t xml:space="preserve">questions </w:t>
      </w:r>
      <w:r w:rsidR="009F7E12">
        <w:t>on its LEMAS survey</w:t>
      </w:r>
      <w:r w:rsidRPr="00BB7039" w:rsidR="0058108E">
        <w:t xml:space="preserve"> </w:t>
      </w:r>
      <w:r w:rsidRPr="00BB7039" w:rsidR="007A6095">
        <w:t xml:space="preserve">and </w:t>
      </w:r>
      <w:r w:rsidRPr="00BB7039" w:rsidR="0058108E">
        <w:t xml:space="preserve">has </w:t>
      </w:r>
      <w:r w:rsidRPr="00BB7039" w:rsidR="007A6095">
        <w:t>not received pushback from agencies in completing these items</w:t>
      </w:r>
      <w:r w:rsidRPr="00BB7039" w:rsidR="0058108E">
        <w:t xml:space="preserve">. </w:t>
      </w:r>
    </w:p>
    <w:p w:rsidR="003A42B6" w:rsidP="00385311" w:rsidRDefault="003A42B6" w14:paraId="0DF5D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7A6095" w:rsidP="00385311" w:rsidRDefault="007A6095" w14:paraId="5AC0DEDB" w14:textId="3D4EA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Law enforcement agencies have been supportive in reporting their policies on </w:t>
      </w:r>
      <w:r w:rsidRPr="00BB7039" w:rsidR="0058108E">
        <w:t>these</w:t>
      </w:r>
      <w:r w:rsidRPr="00BB7039">
        <w:t xml:space="preserve"> topic</w:t>
      </w:r>
      <w:r w:rsidRPr="00BB7039" w:rsidR="0058108E">
        <w:t>s</w:t>
      </w:r>
      <w:r w:rsidRPr="00BB7039">
        <w:t xml:space="preserve"> as it leads to increased transparency.</w:t>
      </w:r>
      <w:r w:rsidRPr="00BB7039" w:rsidR="0058108E">
        <w:t xml:space="preserve"> Based upon this experience with LEMAS</w:t>
      </w:r>
      <w:r w:rsidRPr="00BB7039" w:rsidR="0063378F">
        <w:t>, along with feedback received during the expert panel meeting and cognitive interviews</w:t>
      </w:r>
      <w:r w:rsidRPr="00BB7039" w:rsidR="0058108E">
        <w:t xml:space="preserve">, BJS expects </w:t>
      </w:r>
      <w:r w:rsidRPr="00BB7039" w:rsidR="008D60E3">
        <w:t>that campus LEAs will also be supportive in reporting on these types of policies</w:t>
      </w:r>
      <w:r w:rsidRPr="00BB7039" w:rsidR="0058108E">
        <w:t>.</w:t>
      </w:r>
      <w:r w:rsidRPr="00BB7039" w:rsidR="008D60E3">
        <w:t xml:space="preserve"> </w:t>
      </w:r>
    </w:p>
    <w:p w:rsidRPr="00BB7039" w:rsidR="007A6095" w:rsidP="00385311" w:rsidRDefault="007A6095" w14:paraId="34325E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34F0" w:rsidP="00385311" w:rsidRDefault="009134F0" w14:paraId="3C6DDF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7B739F" w:rsidP="00385311" w:rsidRDefault="00B5702C" w14:paraId="7812C850" w14:textId="2F005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lastRenderedPageBreak/>
        <w:t xml:space="preserve">The contact materials, including the survey invitation letter (Attachment </w:t>
      </w:r>
      <w:r w:rsidR="008F3829">
        <w:t>6</w:t>
      </w:r>
      <w:r w:rsidRPr="00BB7039">
        <w:t xml:space="preserve">), stress BJS’s data use policies, including the statement that “BJS uses the data collected in </w:t>
      </w:r>
      <w:r w:rsidRPr="00BB7039" w:rsidR="00AA7FEB">
        <w:t>SCLEA</w:t>
      </w:r>
      <w:r w:rsidRPr="00BB7039">
        <w:t xml:space="preserve"> only for research and statistical purposes, as described in 34 U</w:t>
      </w:r>
      <w:r w:rsidRPr="00BB7039" w:rsidR="00743F08">
        <w:t>.</w:t>
      </w:r>
      <w:r w:rsidRPr="00BB7039">
        <w:t>S</w:t>
      </w:r>
      <w:r w:rsidRPr="00BB7039" w:rsidR="00743F08">
        <w:t xml:space="preserve">. </w:t>
      </w:r>
      <w:r w:rsidRPr="00BB7039">
        <w:t>C</w:t>
      </w:r>
      <w:r w:rsidRPr="00BB7039" w:rsidR="00743F08">
        <w:t>ode</w:t>
      </w:r>
      <w:r w:rsidRPr="00BB7039">
        <w:t xml:space="preserve"> §</w:t>
      </w:r>
      <w:r w:rsidRPr="00BB7039" w:rsidR="00743F08">
        <w:t xml:space="preserve"> </w:t>
      </w:r>
      <w:r w:rsidRPr="00BB7039">
        <w:t>10134”</w:t>
      </w:r>
      <w:r w:rsidRPr="00BB7039" w:rsidR="00016C20">
        <w:t xml:space="preserve"> and pointing respondents to our Data Protection Guidelines. BJS will stress these protections for the data in its communication with respondents.</w:t>
      </w:r>
      <w:r w:rsidRPr="00BB7039">
        <w:t xml:space="preserve"> </w:t>
      </w:r>
      <w:r w:rsidRPr="00BB7039" w:rsidR="00A8213F">
        <w:t xml:space="preserve">  </w:t>
      </w:r>
      <w:r w:rsidRPr="00BB7039" w:rsidR="005D1F5D">
        <w:t xml:space="preserve"> </w:t>
      </w:r>
    </w:p>
    <w:p w:rsidRPr="00BB7039" w:rsidR="00957726" w:rsidP="00385311" w:rsidRDefault="00957726" w14:paraId="42A64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6874D5" w:rsidP="00385311" w:rsidRDefault="007B739F" w14:paraId="0351285A"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Estimate of Respondent Burden</w:t>
      </w:r>
    </w:p>
    <w:p w:rsidRPr="00BB7039" w:rsidR="006874D5" w:rsidP="00385311" w:rsidRDefault="006874D5" w14:paraId="5B85AA9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Pr="00BB7039" w:rsidR="00793FFD" w:rsidP="00385311" w:rsidRDefault="007B739F" w14:paraId="47447017" w14:textId="5360C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BJS has estimated the respondent burden for the </w:t>
      </w:r>
      <w:r w:rsidRPr="00BB7039" w:rsidR="006874D5">
        <w:t xml:space="preserve">proposed </w:t>
      </w:r>
      <w:r w:rsidRPr="00BB7039" w:rsidR="00285E39">
        <w:t>202</w:t>
      </w:r>
      <w:r w:rsidRPr="00BB7039" w:rsidR="00A75060">
        <w:t>1 SCLEA</w:t>
      </w:r>
      <w:r w:rsidRPr="00BB7039" w:rsidR="006874D5">
        <w:t xml:space="preserve"> </w:t>
      </w:r>
      <w:r w:rsidRPr="00BB7039">
        <w:t xml:space="preserve">at </w:t>
      </w:r>
      <w:r w:rsidR="00CD67F8">
        <w:t>2,067</w:t>
      </w:r>
      <w:r w:rsidRPr="00BB7039">
        <w:t xml:space="preserve"> hours</w:t>
      </w:r>
      <w:r w:rsidRPr="00BB7039" w:rsidR="00397842">
        <w:t xml:space="preserve"> (</w:t>
      </w:r>
      <w:r w:rsidRPr="001065E2" w:rsidR="00397842">
        <w:rPr>
          <w:b/>
        </w:rPr>
        <w:t xml:space="preserve">Table </w:t>
      </w:r>
      <w:r w:rsidR="00876980">
        <w:rPr>
          <w:b/>
        </w:rPr>
        <w:t>4</w:t>
      </w:r>
      <w:r w:rsidRPr="00BB7039" w:rsidR="00397842">
        <w:t>)</w:t>
      </w:r>
      <w:r w:rsidRPr="00BB7039">
        <w:t>.</w:t>
      </w:r>
      <w:r w:rsidRPr="00BB7039" w:rsidR="005D1F5D">
        <w:t xml:space="preserve"> </w:t>
      </w:r>
      <w:r w:rsidRPr="00BB7039">
        <w:t xml:space="preserve">This estimate is based </w:t>
      </w:r>
      <w:r w:rsidRPr="00BB7039" w:rsidR="00285E39">
        <w:t>the results of the cognitive interviewing</w:t>
      </w:r>
      <w:r w:rsidRPr="00BB7039" w:rsidR="00EE3A87">
        <w:t xml:space="preserve">. </w:t>
      </w:r>
      <w:r w:rsidRPr="00BB7039" w:rsidR="00285E39">
        <w:t xml:space="preserve">Respondents were asked to time themselves when taking the survey. </w:t>
      </w:r>
      <w:r w:rsidRPr="00BB7039" w:rsidR="000844E7">
        <w:t xml:space="preserve">While participants were only assigned one of two modules of the survey to complete for cognitive testing, many participants chose to complete the whole survey. </w:t>
      </w:r>
      <w:r w:rsidRPr="00BB7039" w:rsidR="00285E39">
        <w:t xml:space="preserve">The burden estimate is the average of these estimates. </w:t>
      </w:r>
      <w:r w:rsidR="00C03B4C">
        <w:t xml:space="preserve">Overall, participants reported that the data needed to complete the survey was readily available to them and they did not have any issues. Further, many reported that data that could be more burdensome was readily available and maintained as part of their </w:t>
      </w:r>
      <w:proofErr w:type="spellStart"/>
      <w:r w:rsidR="00C03B4C">
        <w:t>Clery</w:t>
      </w:r>
      <w:proofErr w:type="spellEnd"/>
      <w:r w:rsidR="00C03B4C">
        <w:t xml:space="preserve"> documentation.</w:t>
      </w:r>
    </w:p>
    <w:p w:rsidRPr="00BB7039" w:rsidR="00793FFD" w:rsidP="00385311" w:rsidRDefault="00793FFD" w14:paraId="64BFB2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66023E" w:rsidP="00385311" w:rsidRDefault="00285E39" w14:paraId="6986A5EC" w14:textId="0465B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The 201</w:t>
      </w:r>
      <w:r w:rsidRPr="00BB7039" w:rsidR="000844E7">
        <w:t>1</w:t>
      </w:r>
      <w:r w:rsidRPr="00BB7039">
        <w:t xml:space="preserve"> </w:t>
      </w:r>
      <w:r w:rsidRPr="00BB7039" w:rsidR="000844E7">
        <w:t>SCLEA</w:t>
      </w:r>
      <w:r w:rsidRPr="00BB7039">
        <w:t xml:space="preserve"> </w:t>
      </w:r>
      <w:r w:rsidRPr="00BB7039" w:rsidR="000844E7">
        <w:t xml:space="preserve">had a long form </w:t>
      </w:r>
      <w:r w:rsidRPr="00BB7039" w:rsidR="00793FFD">
        <w:t xml:space="preserve">(64 questions) </w:t>
      </w:r>
      <w:r w:rsidRPr="00BB7039" w:rsidR="000844E7">
        <w:t>for campus LEAs serving larger institutions and a short form</w:t>
      </w:r>
      <w:r w:rsidRPr="00BB7039" w:rsidR="00793FFD">
        <w:t xml:space="preserve"> (36 questions)</w:t>
      </w:r>
      <w:r w:rsidRPr="00BB7039" w:rsidR="000844E7">
        <w:t xml:space="preserve"> for campus LEAs serving smaller institutions. The long form had a 2-hour burden while the short form had a 1-hour burden. </w:t>
      </w:r>
      <w:r w:rsidRPr="00BB7039">
        <w:t>The 202</w:t>
      </w:r>
      <w:r w:rsidRPr="00BB7039" w:rsidR="00AA7FEB">
        <w:t>1 SCLEA</w:t>
      </w:r>
      <w:r w:rsidRPr="00BB7039">
        <w:t xml:space="preserve"> </w:t>
      </w:r>
      <w:r w:rsidRPr="00BB7039" w:rsidR="00E0773E">
        <w:t>uses a single instrument with 42 questions and is</w:t>
      </w:r>
      <w:r w:rsidRPr="00BB7039">
        <w:t xml:space="preserve"> estimated to have a </w:t>
      </w:r>
      <w:r w:rsidRPr="00BB7039" w:rsidR="00AA7FEB">
        <w:t>1</w:t>
      </w:r>
      <w:r w:rsidRPr="00BB7039" w:rsidR="00EE3C91">
        <w:t>-</w:t>
      </w:r>
      <w:r w:rsidRPr="00BB7039" w:rsidR="00AA7FEB">
        <w:t>h</w:t>
      </w:r>
      <w:r w:rsidRPr="00BB7039">
        <w:t>our burden</w:t>
      </w:r>
      <w:r w:rsidRPr="00BB7039" w:rsidR="00E0773E">
        <w:t>.</w:t>
      </w:r>
      <w:r w:rsidRPr="00BB7039">
        <w:t xml:space="preserve"> </w:t>
      </w:r>
      <w:r w:rsidR="00FA060A">
        <w:t>This burden estimate includes time for reviewing instructions, searching existing data sources, gathering and maintaining the data needed, and completing and reviewing the collection of information.</w:t>
      </w:r>
    </w:p>
    <w:p w:rsidR="00B90D2B" w:rsidP="00385311" w:rsidRDefault="00B90D2B" w14:paraId="297A1C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BB7039" w:rsidR="00397842" w:rsidP="00385311" w:rsidRDefault="00397842" w14:paraId="2F8746C3" w14:textId="492FC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 xml:space="preserve">Table </w:t>
      </w:r>
      <w:r w:rsidR="00876980">
        <w:rPr>
          <w:b/>
        </w:rPr>
        <w:t>4</w:t>
      </w:r>
      <w:r w:rsidRPr="00BB7039">
        <w:rPr>
          <w:b/>
        </w:rPr>
        <w:t>:</w:t>
      </w:r>
      <w:r w:rsidRPr="00BB7039" w:rsidR="00285E39">
        <w:rPr>
          <w:b/>
        </w:rPr>
        <w:t xml:space="preserve"> Estimated Burden Hours for 202</w:t>
      </w:r>
      <w:r w:rsidRPr="00BB7039" w:rsidR="00A75060">
        <w:rPr>
          <w:b/>
        </w:rPr>
        <w:t>1 SCLEA</w:t>
      </w:r>
      <w:r w:rsidRPr="00BB7039">
        <w:rPr>
          <w:b/>
        </w:rPr>
        <w:t>.</w:t>
      </w:r>
    </w:p>
    <w:tbl>
      <w:tblPr>
        <w:tblW w:w="9270" w:type="dxa"/>
        <w:tblInd w:w="-5" w:type="dxa"/>
        <w:tblLayout w:type="fixed"/>
        <w:tblLook w:val="04A0" w:firstRow="1" w:lastRow="0" w:firstColumn="1" w:lastColumn="0" w:noHBand="0" w:noVBand="1"/>
      </w:tblPr>
      <w:tblGrid>
        <w:gridCol w:w="2430"/>
        <w:gridCol w:w="1511"/>
        <w:gridCol w:w="2629"/>
        <w:gridCol w:w="2700"/>
      </w:tblGrid>
      <w:tr w:rsidRPr="00BB7039" w:rsidR="00397842" w:rsidTr="00B235C7" w14:paraId="633A5608"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B7039" w:rsidR="00397842" w:rsidP="00385311" w:rsidRDefault="00397842" w14:paraId="2CC9E369" w14:textId="77777777">
            <w:pPr>
              <w:keepNext/>
              <w:keepLines/>
              <w:jc w:val="right"/>
              <w:rPr>
                <w:bCs/>
                <w:color w:val="000000"/>
              </w:rPr>
            </w:pPr>
          </w:p>
        </w:tc>
        <w:tc>
          <w:tcPr>
            <w:tcW w:w="1511" w:type="dxa"/>
            <w:tcBorders>
              <w:top w:val="single" w:color="auto" w:sz="4" w:space="0"/>
              <w:left w:val="nil"/>
              <w:bottom w:val="single" w:color="auto" w:sz="4" w:space="0"/>
              <w:right w:val="single" w:color="auto" w:sz="4" w:space="0"/>
            </w:tcBorders>
            <w:shd w:val="clear" w:color="auto" w:fill="auto"/>
            <w:noWrap/>
            <w:vAlign w:val="bottom"/>
          </w:tcPr>
          <w:p w:rsidRPr="00BB7039" w:rsidR="00397842" w:rsidP="00385311" w:rsidRDefault="00397842" w14:paraId="58260A96" w14:textId="00C413AB">
            <w:pPr>
              <w:keepNext/>
              <w:keepLines/>
              <w:jc w:val="right"/>
              <w:rPr>
                <w:b/>
                <w:color w:val="000000"/>
              </w:rPr>
            </w:pPr>
            <w:r w:rsidRPr="00BB7039">
              <w:rPr>
                <w:b/>
                <w:bCs/>
                <w:color w:val="000000"/>
              </w:rPr>
              <w:t>Sample Size</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BB7039" w:rsidR="00397842" w:rsidP="00385311" w:rsidRDefault="00397842" w14:paraId="4670F55B" w14:textId="7D333A38">
            <w:pPr>
              <w:keepNext/>
              <w:keepLines/>
              <w:jc w:val="right"/>
              <w:rPr>
                <w:b/>
                <w:bCs/>
                <w:color w:val="000000"/>
              </w:rPr>
            </w:pPr>
            <w:r w:rsidRPr="00BB7039">
              <w:rPr>
                <w:b/>
                <w:bCs/>
                <w:color w:val="000000"/>
              </w:rPr>
              <w:t>Estimated Burden (in hours)</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BB7039" w:rsidR="00397842" w:rsidP="00385311" w:rsidRDefault="00397842" w14:paraId="76818E3B" w14:textId="314D71E7">
            <w:pPr>
              <w:keepNext/>
              <w:keepLines/>
              <w:jc w:val="right"/>
              <w:rPr>
                <w:b/>
                <w:color w:val="000000"/>
              </w:rPr>
            </w:pPr>
            <w:r w:rsidRPr="00BB7039">
              <w:rPr>
                <w:b/>
                <w:bCs/>
                <w:color w:val="000000"/>
              </w:rPr>
              <w:t>Total Burden Hours</w:t>
            </w:r>
          </w:p>
        </w:tc>
      </w:tr>
      <w:tr w:rsidRPr="00BB7039" w:rsidR="00397842" w:rsidTr="00B235C7" w14:paraId="41A37F01"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B7039" w:rsidR="00397842" w:rsidP="00385311" w:rsidRDefault="00FF1AB2" w14:paraId="60DA6B45" w14:textId="7B9016E1">
            <w:pPr>
              <w:keepNext/>
              <w:keepLines/>
              <w:jc w:val="right"/>
              <w:rPr>
                <w:bCs/>
                <w:color w:val="000000"/>
              </w:rPr>
            </w:pPr>
            <w:r w:rsidRPr="00BB7039">
              <w:rPr>
                <w:bCs/>
                <w:color w:val="000000"/>
              </w:rPr>
              <w:t>All campus LEAs in SCLEA universe</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BB7039" w:rsidR="00397842" w:rsidP="00385311" w:rsidRDefault="00CD67F8" w14:paraId="36521740" w14:textId="41F0557D">
            <w:pPr>
              <w:keepNext/>
              <w:keepLines/>
              <w:jc w:val="right"/>
              <w:rPr>
                <w:bCs/>
                <w:color w:val="000000"/>
              </w:rPr>
            </w:pPr>
            <w:r>
              <w:rPr>
                <w:bCs/>
                <w:color w:val="000000"/>
              </w:rPr>
              <w:t>2,067</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BB7039" w:rsidR="00397842" w:rsidP="00385311" w:rsidRDefault="00FF1AB2" w14:paraId="0652BC48" w14:textId="38F4E454">
            <w:pPr>
              <w:keepNext/>
              <w:keepLines/>
              <w:jc w:val="right"/>
              <w:rPr>
                <w:bCs/>
                <w:color w:val="000000"/>
              </w:rPr>
            </w:pPr>
            <w:r w:rsidRPr="00BB7039">
              <w:rPr>
                <w:bCs/>
                <w:color w:val="000000"/>
              </w:rPr>
              <w:t>1</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BB7039" w:rsidR="00397842" w:rsidP="00385311" w:rsidRDefault="00CD67F8" w14:paraId="2F0DDB51" w14:textId="3C0C71C1">
            <w:pPr>
              <w:keepNext/>
              <w:keepLines/>
              <w:jc w:val="right"/>
              <w:rPr>
                <w:color w:val="000000"/>
              </w:rPr>
            </w:pPr>
            <w:r>
              <w:rPr>
                <w:color w:val="000000"/>
              </w:rPr>
              <w:t>2,067</w:t>
            </w:r>
          </w:p>
        </w:tc>
      </w:tr>
      <w:tr w:rsidRPr="00BB7039" w:rsidR="00F67409" w:rsidTr="00B235C7" w14:paraId="57A79425"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B7039" w:rsidR="00F67409" w:rsidP="00385311" w:rsidRDefault="00F67409" w14:paraId="5E17FF12" w14:textId="3ECEC1CB">
            <w:pPr>
              <w:keepNext/>
              <w:keepLines/>
              <w:jc w:val="right"/>
              <w:rPr>
                <w:bCs/>
                <w:color w:val="000000"/>
              </w:rPr>
            </w:pPr>
            <w:r w:rsidRPr="00BB7039">
              <w:rPr>
                <w:bCs/>
                <w:color w:val="000000"/>
              </w:rPr>
              <w:t>Total</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BB7039" w:rsidR="00F67409" w:rsidP="00385311" w:rsidRDefault="00CD67F8" w14:paraId="59A130BA" w14:textId="4474CEAE">
            <w:pPr>
              <w:keepNext/>
              <w:keepLines/>
              <w:jc w:val="right"/>
              <w:rPr>
                <w:color w:val="000000"/>
              </w:rPr>
            </w:pPr>
            <w:r>
              <w:rPr>
                <w:color w:val="000000"/>
              </w:rPr>
              <w:t>2,067</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BB7039" w:rsidR="00F67409" w:rsidP="00385311" w:rsidRDefault="00F67409" w14:paraId="17D72B96" w14:textId="77777777">
            <w:pPr>
              <w:keepNext/>
              <w:keepLines/>
              <w:jc w:val="right"/>
              <w:rPr>
                <w:bCs/>
                <w:color w:val="000000"/>
              </w:rPr>
            </w:pP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BB7039" w:rsidR="00F67409" w:rsidP="00385311" w:rsidRDefault="00CD67F8" w14:paraId="34AFCF11" w14:textId="5029D3AF">
            <w:pPr>
              <w:keepNext/>
              <w:keepLines/>
              <w:jc w:val="right"/>
              <w:rPr>
                <w:color w:val="000000"/>
              </w:rPr>
            </w:pPr>
            <w:r>
              <w:rPr>
                <w:color w:val="000000"/>
              </w:rPr>
              <w:t>2,067</w:t>
            </w:r>
          </w:p>
        </w:tc>
      </w:tr>
    </w:tbl>
    <w:p w:rsidRPr="00BB7039" w:rsidR="00397842" w:rsidP="00385311" w:rsidRDefault="00397842" w14:paraId="73B28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90D2B" w:rsidR="00AF7585" w:rsidP="00385311" w:rsidRDefault="00AF7585" w14:paraId="6FB7BF30"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90D2B">
        <w:rPr>
          <w:b/>
        </w:rPr>
        <w:t>Estimate of Respondent’s Cost Burden</w:t>
      </w:r>
    </w:p>
    <w:p w:rsidRPr="00BB7039" w:rsidR="00AF7585" w:rsidP="00385311" w:rsidRDefault="00AF7585" w14:paraId="772E8E58" w14:textId="77777777">
      <w:pPr>
        <w:pStyle w:val="Default"/>
        <w:rPr>
          <w:rFonts w:ascii="Times New Roman" w:hAnsi="Times New Roman" w:cs="Times New Roman"/>
        </w:rPr>
      </w:pPr>
    </w:p>
    <w:p w:rsidRPr="00BB7039" w:rsidR="009134F0" w:rsidP="00385311" w:rsidRDefault="003D093D" w14:paraId="73EECBC1" w14:textId="2B0B992F">
      <w:pPr>
        <w:pStyle w:val="Default"/>
        <w:rPr>
          <w:rFonts w:ascii="Times New Roman" w:hAnsi="Times New Roman" w:cs="Times New Roman"/>
        </w:rPr>
      </w:pPr>
      <w:r w:rsidRPr="00BB7039">
        <w:rPr>
          <w:rFonts w:ascii="Times New Roman" w:hAnsi="Times New Roman" w:cs="Times New Roman"/>
        </w:rPr>
        <w:t xml:space="preserve">BJS anticipates that </w:t>
      </w:r>
      <w:r w:rsidRPr="00BB7039" w:rsidR="00AF7585">
        <w:rPr>
          <w:rFonts w:ascii="Times New Roman" w:hAnsi="Times New Roman" w:cs="Times New Roman"/>
        </w:rPr>
        <w:t xml:space="preserve">one </w:t>
      </w:r>
      <w:r w:rsidRPr="00BB7039" w:rsidR="004979E4">
        <w:rPr>
          <w:rFonts w:ascii="Times New Roman" w:hAnsi="Times New Roman" w:cs="Times New Roman"/>
        </w:rPr>
        <w:t xml:space="preserve">or more </w:t>
      </w:r>
      <w:r w:rsidRPr="00BB7039" w:rsidR="00AF7585">
        <w:rPr>
          <w:rFonts w:ascii="Times New Roman" w:hAnsi="Times New Roman" w:cs="Times New Roman"/>
        </w:rPr>
        <w:t>person</w:t>
      </w:r>
      <w:r w:rsidRPr="00BB7039" w:rsidR="004979E4">
        <w:rPr>
          <w:rFonts w:ascii="Times New Roman" w:hAnsi="Times New Roman" w:cs="Times New Roman"/>
        </w:rPr>
        <w:t>s</w:t>
      </w:r>
      <w:r w:rsidRPr="00BB7039" w:rsidR="00AF7585">
        <w:rPr>
          <w:rFonts w:ascii="Times New Roman" w:hAnsi="Times New Roman" w:cs="Times New Roman"/>
        </w:rPr>
        <w:t xml:space="preserve"> per surveyed agency will </w:t>
      </w:r>
      <w:r w:rsidRPr="00BB7039" w:rsidR="004979E4">
        <w:rPr>
          <w:rFonts w:ascii="Times New Roman" w:hAnsi="Times New Roman" w:cs="Times New Roman"/>
        </w:rPr>
        <w:t xml:space="preserve">spend time </w:t>
      </w:r>
      <w:r w:rsidRPr="00BB7039" w:rsidR="00DB124B">
        <w:rPr>
          <w:rFonts w:ascii="Times New Roman" w:hAnsi="Times New Roman" w:cs="Times New Roman"/>
        </w:rPr>
        <w:t xml:space="preserve">reviewing instructions, searching existing data sources, gathering and maintaining the data needed, and completing and reviewing the collection of information.  Whether the response is provided by one or more than one person, the </w:t>
      </w:r>
      <w:r w:rsidRPr="00BB7039" w:rsidR="00FA5D16">
        <w:rPr>
          <w:rFonts w:ascii="Times New Roman" w:hAnsi="Times New Roman" w:cs="Times New Roman"/>
        </w:rPr>
        <w:t xml:space="preserve">weighted average for the </w:t>
      </w:r>
      <w:r w:rsidRPr="00BB7039" w:rsidR="00DB124B">
        <w:rPr>
          <w:rFonts w:ascii="Times New Roman" w:hAnsi="Times New Roman" w:cs="Times New Roman"/>
        </w:rPr>
        <w:t xml:space="preserve">total burden for each agency is estimated to be </w:t>
      </w:r>
      <w:r w:rsidRPr="00BB7039" w:rsidR="00EE3C91">
        <w:rPr>
          <w:rFonts w:ascii="Times New Roman" w:hAnsi="Times New Roman" w:cs="Times New Roman"/>
        </w:rPr>
        <w:t>1</w:t>
      </w:r>
      <w:r w:rsidRPr="00BB7039" w:rsidR="00FA5D16">
        <w:rPr>
          <w:rFonts w:ascii="Times New Roman" w:hAnsi="Times New Roman" w:cs="Times New Roman"/>
        </w:rPr>
        <w:t xml:space="preserve"> </w:t>
      </w:r>
      <w:r w:rsidRPr="00BB7039" w:rsidR="00DB124B">
        <w:rPr>
          <w:rFonts w:ascii="Times New Roman" w:hAnsi="Times New Roman" w:cs="Times New Roman"/>
        </w:rPr>
        <w:t xml:space="preserve">hour.  Assuming a </w:t>
      </w:r>
      <w:r w:rsidRPr="00BB7039" w:rsidR="00AF7585">
        <w:rPr>
          <w:rFonts w:ascii="Times New Roman" w:hAnsi="Times New Roman" w:cs="Times New Roman"/>
        </w:rPr>
        <w:t xml:space="preserve">pay </w:t>
      </w:r>
      <w:r w:rsidRPr="00BB7039" w:rsidR="00DB124B">
        <w:rPr>
          <w:rFonts w:ascii="Times New Roman" w:hAnsi="Times New Roman" w:cs="Times New Roman"/>
        </w:rPr>
        <w:t xml:space="preserve">rate </w:t>
      </w:r>
      <w:r w:rsidRPr="00BB7039" w:rsidR="00AF7585">
        <w:rPr>
          <w:rFonts w:ascii="Times New Roman" w:hAnsi="Times New Roman" w:cs="Times New Roman"/>
        </w:rPr>
        <w:t xml:space="preserve">approximately equivalent to the </w:t>
      </w:r>
      <w:r w:rsidRPr="00BB7039" w:rsidR="00C721EA">
        <w:rPr>
          <w:rFonts w:ascii="Times New Roman" w:hAnsi="Times New Roman" w:cs="Times New Roman"/>
        </w:rPr>
        <w:t>G</w:t>
      </w:r>
      <w:r w:rsidRPr="00BB7039" w:rsidR="00E2351D">
        <w:rPr>
          <w:rFonts w:ascii="Times New Roman" w:hAnsi="Times New Roman" w:cs="Times New Roman"/>
        </w:rPr>
        <w:t>S</w:t>
      </w:r>
      <w:r w:rsidRPr="00BB7039" w:rsidR="00AF7585">
        <w:rPr>
          <w:rFonts w:ascii="Times New Roman" w:hAnsi="Times New Roman" w:cs="Times New Roman"/>
        </w:rPr>
        <w:t>-1</w:t>
      </w:r>
      <w:r w:rsidRPr="00BB7039">
        <w:rPr>
          <w:rFonts w:ascii="Times New Roman" w:hAnsi="Times New Roman" w:cs="Times New Roman"/>
        </w:rPr>
        <w:t>2</w:t>
      </w:r>
      <w:r w:rsidRPr="00BB7039" w:rsidR="00AF7585">
        <w:rPr>
          <w:rFonts w:ascii="Times New Roman" w:hAnsi="Times New Roman" w:cs="Times New Roman"/>
        </w:rPr>
        <w:t xml:space="preserve"> / 01 level ($</w:t>
      </w:r>
      <w:r w:rsidRPr="00BB7039" w:rsidR="00B34DFB">
        <w:rPr>
          <w:rFonts w:ascii="Times New Roman" w:hAnsi="Times New Roman" w:cs="Times New Roman"/>
        </w:rPr>
        <w:t>77,488</w:t>
      </w:r>
      <w:r w:rsidRPr="00BB7039" w:rsidR="00AF7585">
        <w:rPr>
          <w:rFonts w:ascii="Times New Roman" w:hAnsi="Times New Roman" w:cs="Times New Roman"/>
        </w:rPr>
        <w:t xml:space="preserve"> per year)</w:t>
      </w:r>
      <w:r w:rsidRPr="00BB7039" w:rsidR="00DB124B">
        <w:rPr>
          <w:rFonts w:ascii="Times New Roman" w:hAnsi="Times New Roman" w:cs="Times New Roman"/>
        </w:rPr>
        <w:t>, the estimated</w:t>
      </w:r>
      <w:r w:rsidRPr="00BB7039" w:rsidR="006D7E4F">
        <w:rPr>
          <w:rFonts w:ascii="Times New Roman" w:hAnsi="Times New Roman" w:cs="Times New Roman"/>
        </w:rPr>
        <w:t xml:space="preserve"> </w:t>
      </w:r>
      <w:r w:rsidRPr="00BB7039" w:rsidR="00AF7585">
        <w:rPr>
          <w:rFonts w:ascii="Times New Roman" w:hAnsi="Times New Roman" w:cs="Times New Roman"/>
        </w:rPr>
        <w:t>agency cost of employee time would be approximately $</w:t>
      </w:r>
      <w:r w:rsidRPr="00BB7039" w:rsidR="00B34DFB">
        <w:rPr>
          <w:rFonts w:ascii="Times New Roman" w:hAnsi="Times New Roman" w:cs="Times New Roman"/>
        </w:rPr>
        <w:t>37.13</w:t>
      </w:r>
      <w:r w:rsidRPr="00BB7039" w:rsidR="00B04143">
        <w:rPr>
          <w:rFonts w:ascii="Times New Roman" w:hAnsi="Times New Roman" w:cs="Times New Roman"/>
        </w:rPr>
        <w:t xml:space="preserve"> per </w:t>
      </w:r>
      <w:r w:rsidRPr="00BB7039" w:rsidR="00AF7585">
        <w:rPr>
          <w:rFonts w:ascii="Times New Roman" w:hAnsi="Times New Roman" w:cs="Times New Roman"/>
        </w:rPr>
        <w:t>hour.</w:t>
      </w:r>
      <w:r w:rsidRPr="00BB7039" w:rsidR="005D1F5D">
        <w:rPr>
          <w:rFonts w:ascii="Times New Roman" w:hAnsi="Times New Roman" w:cs="Times New Roman"/>
        </w:rPr>
        <w:t xml:space="preserve"> </w:t>
      </w:r>
    </w:p>
    <w:p w:rsidRPr="00BB7039" w:rsidR="00F6304E" w:rsidP="00385311" w:rsidRDefault="00F6304E" w14:paraId="5B4B9EC7" w14:textId="77777777">
      <w:pPr>
        <w:pStyle w:val="Default"/>
        <w:rPr>
          <w:rFonts w:ascii="Times New Roman" w:hAnsi="Times New Roman" w:cs="Times New Roman"/>
        </w:rPr>
      </w:pPr>
    </w:p>
    <w:p w:rsidRPr="009134F0" w:rsidR="00AF7585" w:rsidP="009134F0" w:rsidRDefault="00DB124B" w14:paraId="5C7B3443" w14:textId="77007377">
      <w:pPr>
        <w:pStyle w:val="Default"/>
        <w:rPr>
          <w:rFonts w:ascii="Times New Roman" w:hAnsi="Times New Roman" w:cs="Times New Roman"/>
        </w:rPr>
      </w:pPr>
      <w:r w:rsidRPr="00BB7039">
        <w:rPr>
          <w:rFonts w:ascii="Times New Roman" w:hAnsi="Times New Roman" w:cs="Times New Roman"/>
        </w:rPr>
        <w:t xml:space="preserve">Approximately </w:t>
      </w:r>
      <w:r w:rsidR="00CD67F8">
        <w:rPr>
          <w:rFonts w:ascii="Times New Roman" w:hAnsi="Times New Roman" w:cs="Times New Roman"/>
        </w:rPr>
        <w:t>2,067</w:t>
      </w:r>
      <w:r w:rsidRPr="00BB7039" w:rsidR="000B50F8">
        <w:rPr>
          <w:rFonts w:ascii="Times New Roman" w:hAnsi="Times New Roman" w:cs="Times New Roman"/>
        </w:rPr>
        <w:t xml:space="preserve"> </w:t>
      </w:r>
      <w:r w:rsidRPr="00BB7039">
        <w:rPr>
          <w:rFonts w:ascii="Times New Roman" w:hAnsi="Times New Roman" w:cs="Times New Roman"/>
        </w:rPr>
        <w:t xml:space="preserve">agencies will be </w:t>
      </w:r>
      <w:r w:rsidRPr="00BB7039" w:rsidR="00D26ED1">
        <w:rPr>
          <w:rFonts w:ascii="Times New Roman" w:hAnsi="Times New Roman" w:cs="Times New Roman"/>
        </w:rPr>
        <w:t>invited</w:t>
      </w:r>
      <w:r w:rsidRPr="00BB7039" w:rsidR="00E2351D">
        <w:rPr>
          <w:rFonts w:ascii="Times New Roman" w:hAnsi="Times New Roman" w:cs="Times New Roman"/>
        </w:rPr>
        <w:t xml:space="preserve"> to participate in the 202</w:t>
      </w:r>
      <w:r w:rsidRPr="00BB7039" w:rsidR="00EE3C91">
        <w:rPr>
          <w:rFonts w:ascii="Times New Roman" w:hAnsi="Times New Roman" w:cs="Times New Roman"/>
        </w:rPr>
        <w:t>1 SCLEA</w:t>
      </w:r>
      <w:r w:rsidRPr="00BB7039">
        <w:rPr>
          <w:rFonts w:ascii="Times New Roman" w:hAnsi="Times New Roman" w:cs="Times New Roman"/>
        </w:rPr>
        <w:t>. Based on the estimated time burden per response and employee pay rate, t</w:t>
      </w:r>
      <w:r w:rsidRPr="00BB7039" w:rsidR="00AF7585">
        <w:rPr>
          <w:rFonts w:ascii="Times New Roman" w:hAnsi="Times New Roman" w:cs="Times New Roman"/>
        </w:rPr>
        <w:t xml:space="preserve">he total respondent employee time cost burden is estimated at </w:t>
      </w:r>
      <w:r w:rsidRPr="00BB7039" w:rsidR="00B34DFB">
        <w:rPr>
          <w:rFonts w:ascii="Times New Roman" w:hAnsi="Times New Roman" w:cs="Times New Roman"/>
        </w:rPr>
        <w:t xml:space="preserve">about </w:t>
      </w:r>
      <w:r w:rsidRPr="00BB7039" w:rsidR="00FA5D16">
        <w:rPr>
          <w:rFonts w:ascii="Times New Roman" w:hAnsi="Times New Roman" w:cs="Times New Roman"/>
        </w:rPr>
        <w:t>$</w:t>
      </w:r>
      <w:r w:rsidR="00CD67F8">
        <w:rPr>
          <w:rFonts w:ascii="Times New Roman" w:hAnsi="Times New Roman" w:cs="Times New Roman"/>
        </w:rPr>
        <w:t>76,750</w:t>
      </w:r>
      <w:r w:rsidRPr="00BB7039" w:rsidR="00AF7585">
        <w:rPr>
          <w:rFonts w:ascii="Times New Roman" w:hAnsi="Times New Roman" w:cs="Times New Roman"/>
        </w:rPr>
        <w:t xml:space="preserve">. </w:t>
      </w:r>
      <w:r w:rsidRPr="009134F0" w:rsidR="00AF7585">
        <w:rPr>
          <w:rFonts w:ascii="Times New Roman" w:hAnsi="Times New Roman" w:cs="Times New Roman"/>
        </w:rPr>
        <w:t>There are no anticipated costs to respondents beyond the employee time expended during completion of the survey instrument and addressed above.</w:t>
      </w:r>
      <w:r w:rsidRPr="009134F0" w:rsidR="005D1F5D">
        <w:rPr>
          <w:rFonts w:ascii="Times New Roman" w:hAnsi="Times New Roman" w:cs="Times New Roman"/>
        </w:rPr>
        <w:t xml:space="preserve"> </w:t>
      </w:r>
    </w:p>
    <w:p w:rsidRPr="00BB7039" w:rsidR="00F9165F" w:rsidP="00385311" w:rsidRDefault="00F9165F" w14:paraId="4E57B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385311" w:rsidRDefault="00125097" w14:paraId="006DA5C7" w14:textId="7630E8E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lastRenderedPageBreak/>
        <w:t>14. C</w:t>
      </w:r>
      <w:r w:rsidRPr="00BB7039" w:rsidR="00AF7585">
        <w:rPr>
          <w:b/>
        </w:rPr>
        <w:t>osts to Federal Government</w:t>
      </w:r>
    </w:p>
    <w:p w:rsidRPr="00BB7039" w:rsidR="00AF7585" w:rsidP="00385311" w:rsidRDefault="00AF7585" w14:paraId="097D8349"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BB7039" w:rsidR="000D2F8F" w:rsidP="00385311" w:rsidRDefault="000D2F8F" w14:paraId="2EB293EE" w14:textId="4981A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The </w:t>
      </w:r>
      <w:r w:rsidRPr="00BB7039" w:rsidR="002E18F7">
        <w:t>202</w:t>
      </w:r>
      <w:r w:rsidRPr="00BB7039" w:rsidR="000A7F4A">
        <w:t>1 SCLEA</w:t>
      </w:r>
      <w:r w:rsidRPr="00BB7039">
        <w:t xml:space="preserve"> is being developed and conducted under a multi-year cooperative agreement</w:t>
      </w:r>
      <w:r w:rsidRPr="00BB7039" w:rsidR="000A7F4A">
        <w:t>.</w:t>
      </w:r>
      <w:r w:rsidRPr="00BB7039">
        <w:t xml:space="preserve"> </w:t>
      </w:r>
      <w:r w:rsidRPr="001065E2" w:rsidR="00C41196">
        <w:rPr>
          <w:b/>
        </w:rPr>
        <w:t xml:space="preserve">Table </w:t>
      </w:r>
      <w:r w:rsidR="00876980">
        <w:rPr>
          <w:b/>
        </w:rPr>
        <w:t>5</w:t>
      </w:r>
      <w:r w:rsidRPr="00BB7039" w:rsidR="00814593">
        <w:t xml:space="preserve"> reflects</w:t>
      </w:r>
      <w:r w:rsidRPr="00BB7039" w:rsidR="002E18F7">
        <w:t xml:space="preserve"> the cost to administer the 202</w:t>
      </w:r>
      <w:r w:rsidRPr="00BB7039" w:rsidR="000A7F4A">
        <w:t>1 SCLEA</w:t>
      </w:r>
      <w:r w:rsidRPr="00BB7039" w:rsidR="00814593">
        <w:t xml:space="preserve">. </w:t>
      </w:r>
    </w:p>
    <w:p w:rsidRPr="00BB7039" w:rsidR="00030618" w:rsidP="00385311" w:rsidRDefault="00030618" w14:paraId="50A3C1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030618" w:rsidP="00385311" w:rsidRDefault="00030618" w14:paraId="7497A9F2" w14:textId="0CE537E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rPr>
          <w:b/>
          <w:bCs/>
          <w:color w:val="000000"/>
        </w:rPr>
        <w:t xml:space="preserve">Table </w:t>
      </w:r>
      <w:r w:rsidR="00876980">
        <w:rPr>
          <w:b/>
          <w:bCs/>
          <w:color w:val="000000"/>
        </w:rPr>
        <w:t>5</w:t>
      </w:r>
      <w:r w:rsidRPr="00BB7039">
        <w:rPr>
          <w:b/>
          <w:bCs/>
          <w:color w:val="000000"/>
        </w:rPr>
        <w:t xml:space="preserve">. Estimated costs for the </w:t>
      </w:r>
      <w:r w:rsidRPr="00BB7039" w:rsidR="0020369A">
        <w:rPr>
          <w:b/>
          <w:bCs/>
          <w:color w:val="000000"/>
        </w:rPr>
        <w:t>202</w:t>
      </w:r>
      <w:r w:rsidRPr="00BB7039" w:rsidR="000A7F4A">
        <w:rPr>
          <w:b/>
          <w:bCs/>
          <w:color w:val="000000"/>
        </w:rPr>
        <w:t>1 SCLEA</w:t>
      </w:r>
    </w:p>
    <w:tbl>
      <w:tblPr>
        <w:tblW w:w="8640" w:type="dxa"/>
        <w:tblLayout w:type="fixed"/>
        <w:tblLook w:val="04A0" w:firstRow="1" w:lastRow="0" w:firstColumn="1" w:lastColumn="0" w:noHBand="0" w:noVBand="1"/>
      </w:tblPr>
      <w:tblGrid>
        <w:gridCol w:w="360"/>
        <w:gridCol w:w="5310"/>
        <w:gridCol w:w="2970"/>
      </w:tblGrid>
      <w:tr w:rsidRPr="00BB7039" w:rsidR="00441238" w:rsidTr="004259D9" w14:paraId="16D39FA4" w14:textId="77777777">
        <w:trPr>
          <w:trHeight w:val="315"/>
        </w:trPr>
        <w:tc>
          <w:tcPr>
            <w:tcW w:w="5670" w:type="dxa"/>
            <w:gridSpan w:val="2"/>
            <w:tcBorders>
              <w:top w:val="single" w:color="auto" w:sz="4" w:space="0"/>
              <w:left w:val="nil"/>
              <w:bottom w:val="single" w:color="auto" w:sz="4" w:space="0"/>
              <w:right w:val="nil"/>
            </w:tcBorders>
            <w:shd w:val="clear" w:color="auto" w:fill="auto"/>
            <w:noWrap/>
            <w:vAlign w:val="center"/>
          </w:tcPr>
          <w:p w:rsidRPr="00BB7039" w:rsidR="00441238" w:rsidP="00385311" w:rsidRDefault="00441238" w14:paraId="62E1B9F2" w14:textId="4FA01285">
            <w:pPr>
              <w:keepNext/>
              <w:keepLines/>
              <w:jc w:val="center"/>
              <w:rPr>
                <w:b/>
                <w:bCs/>
                <w:color w:val="000000"/>
              </w:rPr>
            </w:pPr>
            <w:r w:rsidRPr="00BB7039">
              <w:rPr>
                <w:b/>
                <w:bCs/>
                <w:color w:val="000000"/>
              </w:rPr>
              <w:t>Category</w:t>
            </w:r>
          </w:p>
        </w:tc>
        <w:tc>
          <w:tcPr>
            <w:tcW w:w="2970" w:type="dxa"/>
            <w:tcBorders>
              <w:top w:val="single" w:color="auto" w:sz="4" w:space="0"/>
              <w:left w:val="nil"/>
              <w:bottom w:val="single" w:color="auto" w:sz="4" w:space="0"/>
              <w:right w:val="nil"/>
            </w:tcBorders>
            <w:shd w:val="clear" w:color="auto" w:fill="auto"/>
            <w:noWrap/>
            <w:vAlign w:val="center"/>
          </w:tcPr>
          <w:p w:rsidRPr="00BB7039" w:rsidR="00441238" w:rsidP="00385311" w:rsidRDefault="00441238" w14:paraId="08A7577A" w14:textId="4AF35E25">
            <w:pPr>
              <w:keepNext/>
              <w:keepLines/>
              <w:jc w:val="center"/>
              <w:rPr>
                <w:b/>
                <w:bCs/>
                <w:color w:val="000000"/>
              </w:rPr>
            </w:pPr>
            <w:r w:rsidRPr="00BB7039">
              <w:rPr>
                <w:b/>
                <w:bCs/>
                <w:color w:val="000000"/>
              </w:rPr>
              <w:t>Cost</w:t>
            </w:r>
          </w:p>
        </w:tc>
      </w:tr>
      <w:tr w:rsidRPr="00BB7039" w:rsidR="008A722C" w:rsidTr="004259D9" w14:paraId="39AC8848" w14:textId="77777777">
        <w:trPr>
          <w:trHeight w:val="315"/>
        </w:trPr>
        <w:tc>
          <w:tcPr>
            <w:tcW w:w="5670" w:type="dxa"/>
            <w:gridSpan w:val="2"/>
            <w:tcBorders>
              <w:top w:val="single" w:color="auto" w:sz="4" w:space="0"/>
              <w:left w:val="nil"/>
              <w:bottom w:val="nil"/>
              <w:right w:val="nil"/>
            </w:tcBorders>
            <w:shd w:val="clear" w:color="auto" w:fill="auto"/>
            <w:noWrap/>
            <w:vAlign w:val="bottom"/>
            <w:hideMark/>
          </w:tcPr>
          <w:p w:rsidRPr="00BB7039" w:rsidR="000D2F8F" w:rsidP="00385311" w:rsidRDefault="000D2F8F" w14:paraId="7B4DC3A3" w14:textId="77777777">
            <w:pPr>
              <w:keepNext/>
              <w:keepLines/>
              <w:rPr>
                <w:bCs/>
                <w:color w:val="000000"/>
                <w:u w:val="single"/>
              </w:rPr>
            </w:pPr>
            <w:r w:rsidRPr="00BB7039">
              <w:rPr>
                <w:bCs/>
                <w:color w:val="000000"/>
                <w:u w:val="single"/>
              </w:rPr>
              <w:t>BJS costs</w:t>
            </w:r>
          </w:p>
        </w:tc>
        <w:tc>
          <w:tcPr>
            <w:tcW w:w="2970" w:type="dxa"/>
            <w:tcBorders>
              <w:top w:val="single" w:color="auto" w:sz="4" w:space="0"/>
              <w:left w:val="nil"/>
              <w:bottom w:val="nil"/>
              <w:right w:val="nil"/>
            </w:tcBorders>
            <w:shd w:val="clear" w:color="auto" w:fill="auto"/>
            <w:noWrap/>
            <w:vAlign w:val="bottom"/>
            <w:hideMark/>
          </w:tcPr>
          <w:p w:rsidRPr="00BB7039" w:rsidR="000D2F8F" w:rsidP="00385311" w:rsidRDefault="000D2F8F" w14:paraId="71573581" w14:textId="77777777">
            <w:pPr>
              <w:keepNext/>
              <w:keepLines/>
              <w:rPr>
                <w:b/>
                <w:bCs/>
                <w:color w:val="000000"/>
              </w:rPr>
            </w:pPr>
          </w:p>
        </w:tc>
      </w:tr>
      <w:tr w:rsidRPr="00BB7039" w:rsidR="00C201AF" w:rsidTr="004259D9" w14:paraId="48ED2DE2"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2AF4F3B8"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1236B137" w14:textId="77777777">
            <w:pPr>
              <w:keepNext/>
              <w:keepLines/>
              <w:rPr>
                <w:bCs/>
                <w:color w:val="000000"/>
              </w:rPr>
            </w:pPr>
            <w:r w:rsidRPr="00BB7039">
              <w:rPr>
                <w:bCs/>
                <w:color w:val="000000"/>
              </w:rPr>
              <w:t>Staff salaries</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57393683" w14:textId="77777777">
            <w:pPr>
              <w:keepNext/>
              <w:keepLines/>
              <w:rPr>
                <w:b/>
                <w:bCs/>
                <w:color w:val="000000"/>
                <w:u w:val="single"/>
              </w:rPr>
            </w:pPr>
          </w:p>
        </w:tc>
      </w:tr>
      <w:tr w:rsidRPr="00BB7039" w:rsidR="00C201AF" w:rsidTr="004259D9" w14:paraId="5566FF3D" w14:textId="77777777">
        <w:trPr>
          <w:trHeight w:val="71"/>
        </w:trPr>
        <w:tc>
          <w:tcPr>
            <w:tcW w:w="360" w:type="dxa"/>
            <w:tcBorders>
              <w:top w:val="nil"/>
              <w:left w:val="nil"/>
              <w:bottom w:val="nil"/>
              <w:right w:val="nil"/>
            </w:tcBorders>
            <w:shd w:val="clear" w:color="auto" w:fill="auto"/>
            <w:noWrap/>
            <w:vAlign w:val="bottom"/>
            <w:hideMark/>
          </w:tcPr>
          <w:p w:rsidRPr="00BB7039" w:rsidR="000D2F8F" w:rsidP="00385311" w:rsidRDefault="000D2F8F" w14:paraId="4E061F5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20369A" w14:paraId="5BECA664" w14:textId="4A9910F7">
            <w:pPr>
              <w:keepNext/>
              <w:keepLines/>
              <w:ind w:left="432"/>
              <w:rPr>
                <w:color w:val="000000"/>
              </w:rPr>
            </w:pPr>
            <w:r w:rsidRPr="00BB7039">
              <w:rPr>
                <w:color w:val="000000"/>
              </w:rPr>
              <w:t>GS-1</w:t>
            </w:r>
            <w:r w:rsidRPr="00BB7039" w:rsidR="000A7F4A">
              <w:rPr>
                <w:color w:val="000000"/>
              </w:rPr>
              <w:t>3</w:t>
            </w:r>
            <w:r w:rsidRPr="00BB7039" w:rsidR="000D2F8F">
              <w:rPr>
                <w:color w:val="000000"/>
              </w:rPr>
              <w:t xml:space="preserve"> Statistician (25%)</w:t>
            </w:r>
          </w:p>
        </w:tc>
        <w:tc>
          <w:tcPr>
            <w:tcW w:w="2970" w:type="dxa"/>
            <w:tcBorders>
              <w:top w:val="nil"/>
              <w:left w:val="nil"/>
              <w:bottom w:val="nil"/>
              <w:right w:val="nil"/>
            </w:tcBorders>
            <w:shd w:val="clear" w:color="auto" w:fill="auto"/>
            <w:noWrap/>
            <w:vAlign w:val="bottom"/>
            <w:hideMark/>
          </w:tcPr>
          <w:p w:rsidRPr="00BB7039" w:rsidR="000D2F8F" w:rsidP="00385311" w:rsidRDefault="00D125F6" w14:paraId="20B8321B" w14:textId="53C133F1">
            <w:pPr>
              <w:keepNext/>
              <w:keepLines/>
              <w:jc w:val="right"/>
              <w:rPr>
                <w:color w:val="000000"/>
              </w:rPr>
            </w:pPr>
            <w:r w:rsidRPr="00BB7039">
              <w:rPr>
                <w:color w:val="000000"/>
              </w:rPr>
              <w:t>$</w:t>
            </w:r>
            <w:r w:rsidRPr="00BB7039" w:rsidR="00D24BDD">
              <w:rPr>
                <w:color w:val="000000"/>
              </w:rPr>
              <w:t>27,650</w:t>
            </w:r>
            <w:r w:rsidRPr="00BB7039" w:rsidR="000D2F8F">
              <w:rPr>
                <w:color w:val="000000"/>
              </w:rPr>
              <w:t xml:space="preserve"> </w:t>
            </w:r>
          </w:p>
        </w:tc>
      </w:tr>
      <w:tr w:rsidRPr="00BB7039" w:rsidR="00C201AF" w:rsidTr="004259D9" w14:paraId="7CF16126" w14:textId="77777777">
        <w:trPr>
          <w:trHeight w:val="71"/>
        </w:trPr>
        <w:tc>
          <w:tcPr>
            <w:tcW w:w="360" w:type="dxa"/>
            <w:tcBorders>
              <w:top w:val="nil"/>
              <w:left w:val="nil"/>
              <w:bottom w:val="nil"/>
              <w:right w:val="nil"/>
            </w:tcBorders>
            <w:shd w:val="clear" w:color="auto" w:fill="auto"/>
            <w:noWrap/>
            <w:vAlign w:val="bottom"/>
            <w:hideMark/>
          </w:tcPr>
          <w:p w:rsidRPr="00BB7039" w:rsidR="000D2F8F" w:rsidP="00385311" w:rsidRDefault="000D2F8F" w14:paraId="6B5AA14C"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0EEACE28" w14:textId="77777777">
            <w:pPr>
              <w:keepNext/>
              <w:keepLines/>
              <w:ind w:left="432"/>
              <w:outlineLvl w:val="3"/>
            </w:pPr>
            <w:r w:rsidRPr="00BB7039">
              <w:t>GS-15 Supervisory Statistician (3%)</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60F39D96" w14:textId="652C65BC">
            <w:pPr>
              <w:keepNext/>
              <w:keepLines/>
              <w:jc w:val="right"/>
              <w:outlineLvl w:val="3"/>
            </w:pPr>
            <w:r w:rsidRPr="00BB7039">
              <w:t>$</w:t>
            </w:r>
            <w:r w:rsidRPr="00BB7039" w:rsidR="0020369A">
              <w:t>4,300</w:t>
            </w:r>
            <w:r w:rsidRPr="00BB7039">
              <w:t xml:space="preserve"> </w:t>
            </w:r>
          </w:p>
        </w:tc>
      </w:tr>
      <w:tr w:rsidRPr="00BB7039" w:rsidR="00C201AF" w:rsidTr="004259D9" w14:paraId="4B6005CD"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5328F0F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64B0AE1C" w14:textId="77777777">
            <w:pPr>
              <w:keepNext/>
              <w:keepLines/>
              <w:ind w:left="432"/>
              <w:rPr>
                <w:color w:val="000000"/>
              </w:rPr>
            </w:pPr>
            <w:r w:rsidRPr="00BB7039">
              <w:rPr>
                <w:color w:val="000000"/>
              </w:rPr>
              <w:t>GS-13 Editor (10%)</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69145078" w14:textId="77777777">
            <w:pPr>
              <w:keepNext/>
              <w:keepLines/>
              <w:jc w:val="right"/>
              <w:rPr>
                <w:color w:val="000000"/>
              </w:rPr>
            </w:pPr>
            <w:r w:rsidRPr="00BB7039">
              <w:rPr>
                <w:color w:val="000000"/>
              </w:rPr>
              <w:t xml:space="preserve">$10,000 </w:t>
            </w:r>
          </w:p>
        </w:tc>
      </w:tr>
      <w:tr w:rsidRPr="00BB7039" w:rsidR="00C201AF" w:rsidTr="004259D9" w14:paraId="3BB9B6BA"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3DCB6D2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402654CB" w14:textId="77777777">
            <w:pPr>
              <w:keepNext/>
              <w:keepLines/>
              <w:ind w:left="432"/>
              <w:rPr>
                <w:color w:val="000000"/>
              </w:rPr>
            </w:pPr>
            <w:r w:rsidRPr="00BB7039">
              <w:rPr>
                <w:color w:val="000000"/>
              </w:rPr>
              <w:t>Other Editorial Staff</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198FC65E" w14:textId="77777777">
            <w:pPr>
              <w:keepNext/>
              <w:keepLines/>
              <w:jc w:val="right"/>
              <w:rPr>
                <w:color w:val="000000"/>
              </w:rPr>
            </w:pPr>
            <w:r w:rsidRPr="00BB7039">
              <w:rPr>
                <w:color w:val="000000"/>
              </w:rPr>
              <w:t xml:space="preserve">$5,000 </w:t>
            </w:r>
          </w:p>
        </w:tc>
      </w:tr>
      <w:tr w:rsidRPr="00BB7039" w:rsidR="00C201AF" w:rsidTr="004259D9" w14:paraId="104A7FE6"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5EA3C859"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4C49E2CF" w14:textId="77777777">
            <w:pPr>
              <w:keepNext/>
              <w:keepLines/>
              <w:ind w:left="432"/>
              <w:rPr>
                <w:color w:val="000000"/>
              </w:rPr>
            </w:pPr>
            <w:r w:rsidRPr="00BB7039">
              <w:rPr>
                <w:color w:val="000000"/>
              </w:rPr>
              <w:t>Front-Office Staff (GS-15 &amp; Directors)</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498F0F4B" w14:textId="77777777">
            <w:pPr>
              <w:keepNext/>
              <w:keepLines/>
              <w:jc w:val="right"/>
              <w:rPr>
                <w:color w:val="000000"/>
              </w:rPr>
            </w:pPr>
            <w:r w:rsidRPr="00BB7039">
              <w:rPr>
                <w:color w:val="000000"/>
              </w:rPr>
              <w:t xml:space="preserve">$2,000 </w:t>
            </w:r>
          </w:p>
        </w:tc>
      </w:tr>
      <w:tr w:rsidRPr="00BB7039" w:rsidR="00C201AF" w:rsidTr="004259D9" w14:paraId="430B7A7A"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1519514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074EF505" w14:textId="77777777">
            <w:pPr>
              <w:keepNext/>
              <w:keepLines/>
              <w:ind w:left="432"/>
              <w:rPr>
                <w:color w:val="000000"/>
              </w:rPr>
            </w:pPr>
            <w:r w:rsidRPr="00BB7039">
              <w:rPr>
                <w:color w:val="000000"/>
              </w:rPr>
              <w:t>Subtotal salaries</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7B1A8273" w14:textId="18C43F83">
            <w:pPr>
              <w:keepNext/>
              <w:keepLines/>
              <w:jc w:val="right"/>
              <w:rPr>
                <w:color w:val="000000"/>
              </w:rPr>
            </w:pPr>
            <w:r w:rsidRPr="00BB7039">
              <w:rPr>
                <w:color w:val="000000"/>
              </w:rPr>
              <w:t>$</w:t>
            </w:r>
            <w:r w:rsidRPr="00BB7039" w:rsidR="00855BFA">
              <w:rPr>
                <w:color w:val="000000"/>
              </w:rPr>
              <w:t>48,950</w:t>
            </w:r>
            <w:r w:rsidRPr="00BB7039">
              <w:rPr>
                <w:color w:val="000000"/>
              </w:rPr>
              <w:t xml:space="preserve"> </w:t>
            </w:r>
          </w:p>
        </w:tc>
      </w:tr>
      <w:tr w:rsidRPr="00BB7039" w:rsidR="00C201AF" w:rsidTr="004259D9" w14:paraId="4F0667F5"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2A66682C"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35B72F42" w14:textId="77777777">
            <w:pPr>
              <w:keepNext/>
              <w:keepLines/>
              <w:rPr>
                <w:color w:val="000000"/>
              </w:rPr>
            </w:pPr>
            <w:r w:rsidRPr="00BB7039">
              <w:rPr>
                <w:color w:val="000000"/>
              </w:rPr>
              <w:t>Fringe benefits (28% of salaries)</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4F9CD78F" w14:textId="49054B78">
            <w:pPr>
              <w:keepNext/>
              <w:keepLines/>
              <w:jc w:val="right"/>
              <w:rPr>
                <w:color w:val="000000"/>
              </w:rPr>
            </w:pPr>
            <w:r w:rsidRPr="00BB7039">
              <w:rPr>
                <w:color w:val="000000"/>
              </w:rPr>
              <w:t>$</w:t>
            </w:r>
            <w:r w:rsidRPr="00BB7039" w:rsidR="00855BFA">
              <w:rPr>
                <w:color w:val="000000"/>
              </w:rPr>
              <w:t>13,706</w:t>
            </w:r>
            <w:r w:rsidRPr="00BB7039">
              <w:rPr>
                <w:color w:val="000000"/>
              </w:rPr>
              <w:t xml:space="preserve"> </w:t>
            </w:r>
          </w:p>
        </w:tc>
      </w:tr>
      <w:tr w:rsidRPr="00BB7039" w:rsidR="00C201AF" w:rsidTr="004259D9" w14:paraId="2DE44826"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43CF0822"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7877C9EE" w14:textId="77777777">
            <w:pPr>
              <w:keepNext/>
              <w:keepLines/>
              <w:rPr>
                <w:i/>
                <w:color w:val="000000"/>
              </w:rPr>
            </w:pPr>
            <w:r w:rsidRPr="00BB7039">
              <w:rPr>
                <w:i/>
                <w:color w:val="000000"/>
              </w:rPr>
              <w:t>Subtotal: Salary &amp; fringe</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268A978A" w14:textId="17FA5823">
            <w:pPr>
              <w:keepNext/>
              <w:keepLines/>
              <w:jc w:val="right"/>
              <w:rPr>
                <w:i/>
                <w:color w:val="000000"/>
              </w:rPr>
            </w:pPr>
            <w:r w:rsidRPr="00BB7039">
              <w:rPr>
                <w:i/>
                <w:color w:val="000000"/>
              </w:rPr>
              <w:t>$</w:t>
            </w:r>
            <w:r w:rsidRPr="00BB7039" w:rsidR="00791F9E">
              <w:rPr>
                <w:i/>
                <w:color w:val="000000"/>
              </w:rPr>
              <w:t>6</w:t>
            </w:r>
            <w:r w:rsidRPr="00BB7039" w:rsidR="0003769A">
              <w:rPr>
                <w:i/>
                <w:color w:val="000000"/>
              </w:rPr>
              <w:t>2,656</w:t>
            </w:r>
            <w:r w:rsidRPr="00BB7039">
              <w:rPr>
                <w:i/>
                <w:color w:val="000000"/>
              </w:rPr>
              <w:t xml:space="preserve"> </w:t>
            </w:r>
          </w:p>
        </w:tc>
      </w:tr>
      <w:tr w:rsidRPr="00BB7039" w:rsidR="00C201AF" w:rsidTr="004259D9" w14:paraId="6A4E1D08"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29B0AA6E"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79870284" w14:textId="77777777">
            <w:pPr>
              <w:keepNext/>
              <w:keepLines/>
              <w:rPr>
                <w:color w:val="000000"/>
              </w:rPr>
            </w:pPr>
            <w:r w:rsidRPr="00BB7039">
              <w:rPr>
                <w:color w:val="000000"/>
              </w:rPr>
              <w:t>Other administrative costs of salary &amp; fringe (15%)</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4B7889DF" w14:textId="54C64612">
            <w:pPr>
              <w:keepNext/>
              <w:keepLines/>
              <w:jc w:val="right"/>
              <w:rPr>
                <w:color w:val="000000"/>
              </w:rPr>
            </w:pPr>
            <w:r w:rsidRPr="00BB7039">
              <w:rPr>
                <w:color w:val="000000"/>
              </w:rPr>
              <w:t>$</w:t>
            </w:r>
            <w:r w:rsidRPr="00BB7039" w:rsidR="0020369A">
              <w:rPr>
                <w:color w:val="000000"/>
              </w:rPr>
              <w:t>9,</w:t>
            </w:r>
            <w:r w:rsidRPr="00BB7039" w:rsidR="0003769A">
              <w:rPr>
                <w:color w:val="000000"/>
              </w:rPr>
              <w:t>398</w:t>
            </w:r>
            <w:r w:rsidRPr="00BB7039">
              <w:rPr>
                <w:color w:val="000000"/>
              </w:rPr>
              <w:t xml:space="preserve"> </w:t>
            </w:r>
          </w:p>
        </w:tc>
      </w:tr>
      <w:tr w:rsidRPr="00BB7039" w:rsidR="00C201AF" w:rsidTr="004259D9" w14:paraId="09186E24"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51BCA0C2"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4C701F0C" w14:textId="77777777">
            <w:pPr>
              <w:keepNext/>
              <w:keepLines/>
              <w:rPr>
                <w:b/>
                <w:bCs/>
                <w:color w:val="000000"/>
              </w:rPr>
            </w:pPr>
            <w:r w:rsidRPr="00BB7039">
              <w:rPr>
                <w:b/>
                <w:bCs/>
                <w:color w:val="000000"/>
              </w:rPr>
              <w:t>Subtotal: BJS costs</w:t>
            </w: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0463F0C5" w14:textId="5A9B4F6D">
            <w:pPr>
              <w:keepNext/>
              <w:keepLines/>
              <w:jc w:val="right"/>
              <w:rPr>
                <w:b/>
                <w:bCs/>
                <w:color w:val="000000"/>
              </w:rPr>
            </w:pPr>
            <w:r w:rsidRPr="00BB7039">
              <w:rPr>
                <w:b/>
                <w:bCs/>
                <w:color w:val="000000"/>
              </w:rPr>
              <w:t>$</w:t>
            </w:r>
            <w:r w:rsidRPr="00BB7039" w:rsidR="0003769A">
              <w:rPr>
                <w:b/>
                <w:bCs/>
                <w:color w:val="000000"/>
              </w:rPr>
              <w:t>72,054</w:t>
            </w:r>
            <w:r w:rsidRPr="00BB7039">
              <w:rPr>
                <w:b/>
                <w:bCs/>
                <w:color w:val="000000"/>
              </w:rPr>
              <w:t xml:space="preserve"> </w:t>
            </w:r>
          </w:p>
        </w:tc>
      </w:tr>
      <w:tr w:rsidRPr="00BB7039" w:rsidR="00C201AF" w:rsidTr="004259D9" w14:paraId="511EB2C5" w14:textId="77777777">
        <w:trPr>
          <w:trHeight w:val="315"/>
        </w:trPr>
        <w:tc>
          <w:tcPr>
            <w:tcW w:w="360" w:type="dxa"/>
            <w:tcBorders>
              <w:top w:val="nil"/>
              <w:left w:val="nil"/>
              <w:bottom w:val="nil"/>
              <w:right w:val="nil"/>
            </w:tcBorders>
            <w:shd w:val="clear" w:color="auto" w:fill="auto"/>
            <w:noWrap/>
            <w:vAlign w:val="bottom"/>
            <w:hideMark/>
          </w:tcPr>
          <w:p w:rsidRPr="00BB7039" w:rsidR="000D2F8F" w:rsidP="00385311" w:rsidRDefault="000D2F8F" w14:paraId="094613E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0D2F8F" w:rsidP="00385311" w:rsidRDefault="000D2F8F" w14:paraId="60754613" w14:textId="77777777">
            <w:pPr>
              <w:keepNext/>
              <w:keepLines/>
              <w:rPr>
                <w:sz w:val="20"/>
                <w:szCs w:val="20"/>
              </w:rPr>
            </w:pPr>
          </w:p>
        </w:tc>
        <w:tc>
          <w:tcPr>
            <w:tcW w:w="2970" w:type="dxa"/>
            <w:tcBorders>
              <w:top w:val="nil"/>
              <w:left w:val="nil"/>
              <w:bottom w:val="nil"/>
              <w:right w:val="nil"/>
            </w:tcBorders>
            <w:shd w:val="clear" w:color="auto" w:fill="auto"/>
            <w:noWrap/>
            <w:vAlign w:val="bottom"/>
            <w:hideMark/>
          </w:tcPr>
          <w:p w:rsidRPr="00BB7039" w:rsidR="000D2F8F" w:rsidP="00385311" w:rsidRDefault="000D2F8F" w14:paraId="0E0E2E9B" w14:textId="77777777">
            <w:pPr>
              <w:keepNext/>
              <w:keepLines/>
              <w:rPr>
                <w:sz w:val="20"/>
                <w:szCs w:val="20"/>
              </w:rPr>
            </w:pPr>
          </w:p>
        </w:tc>
      </w:tr>
      <w:tr w:rsidRPr="00BB7039" w:rsidR="00C201AF" w:rsidTr="004259D9" w14:paraId="11862699" w14:textId="77777777">
        <w:trPr>
          <w:trHeight w:val="315"/>
        </w:trPr>
        <w:tc>
          <w:tcPr>
            <w:tcW w:w="8640" w:type="dxa"/>
            <w:gridSpan w:val="3"/>
            <w:tcBorders>
              <w:top w:val="nil"/>
              <w:left w:val="nil"/>
              <w:bottom w:val="nil"/>
              <w:right w:val="nil"/>
            </w:tcBorders>
            <w:shd w:val="clear" w:color="auto" w:fill="auto"/>
            <w:noWrap/>
            <w:vAlign w:val="bottom"/>
            <w:hideMark/>
          </w:tcPr>
          <w:p w:rsidRPr="00BB7039" w:rsidR="00C201AF" w:rsidP="00385311" w:rsidRDefault="00C201AF" w14:paraId="5A051F14" w14:textId="4158D592">
            <w:pPr>
              <w:keepNext/>
              <w:keepLines/>
              <w:rPr>
                <w:bCs/>
                <w:color w:val="000000"/>
                <w:u w:val="single"/>
              </w:rPr>
            </w:pPr>
            <w:r w:rsidRPr="00BB7039">
              <w:rPr>
                <w:bCs/>
                <w:color w:val="000000"/>
                <w:u w:val="single"/>
              </w:rPr>
              <w:t>Data Collection Agent (RTI)</w:t>
            </w:r>
          </w:p>
        </w:tc>
      </w:tr>
      <w:tr w:rsidRPr="00BB7039" w:rsidR="00C201AF" w:rsidTr="004259D9" w14:paraId="1CF5E567" w14:textId="77777777">
        <w:trPr>
          <w:trHeight w:val="333"/>
        </w:trPr>
        <w:tc>
          <w:tcPr>
            <w:tcW w:w="360" w:type="dxa"/>
            <w:tcBorders>
              <w:top w:val="nil"/>
              <w:left w:val="nil"/>
              <w:bottom w:val="nil"/>
              <w:right w:val="nil"/>
            </w:tcBorders>
            <w:shd w:val="clear" w:color="auto" w:fill="auto"/>
            <w:noWrap/>
            <w:vAlign w:val="bottom"/>
            <w:hideMark/>
          </w:tcPr>
          <w:p w:rsidRPr="00BB7039" w:rsidR="00F63750" w:rsidP="00385311" w:rsidRDefault="00F63750" w14:paraId="6283775F"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F63750" w:rsidP="00385311" w:rsidRDefault="00F63750" w14:paraId="688775C4" w14:textId="77777777">
            <w:pPr>
              <w:keepNext/>
              <w:keepLines/>
              <w:rPr>
                <w:color w:val="000000"/>
              </w:rPr>
            </w:pPr>
            <w:r w:rsidRPr="00BB7039">
              <w:rPr>
                <w:color w:val="000000"/>
              </w:rPr>
              <w:t>Personnel (including fringe)</w:t>
            </w:r>
          </w:p>
        </w:tc>
        <w:tc>
          <w:tcPr>
            <w:tcW w:w="2970" w:type="dxa"/>
            <w:tcBorders>
              <w:top w:val="nil"/>
              <w:left w:val="nil"/>
              <w:bottom w:val="nil"/>
              <w:right w:val="nil"/>
            </w:tcBorders>
            <w:shd w:val="clear" w:color="auto" w:fill="auto"/>
            <w:noWrap/>
            <w:vAlign w:val="bottom"/>
            <w:hideMark/>
          </w:tcPr>
          <w:p w:rsidRPr="00BB7039" w:rsidR="00F63750" w:rsidP="00385311" w:rsidRDefault="00F63750" w14:paraId="2FBDBC84" w14:textId="09C41DA3">
            <w:pPr>
              <w:keepNext/>
              <w:keepLines/>
              <w:jc w:val="right"/>
              <w:outlineLvl w:val="3"/>
              <w:rPr>
                <w:color w:val="FF0000"/>
              </w:rPr>
            </w:pPr>
            <w:r w:rsidRPr="00BB7039">
              <w:rPr>
                <w:color w:val="000000"/>
              </w:rPr>
              <w:t>$</w:t>
            </w:r>
            <w:r w:rsidRPr="00BB7039" w:rsidR="001922B8">
              <w:rPr>
                <w:color w:val="000000"/>
              </w:rPr>
              <w:t>359,404</w:t>
            </w:r>
          </w:p>
        </w:tc>
      </w:tr>
      <w:tr w:rsidRPr="00BB7039" w:rsidR="00C201AF" w:rsidTr="004259D9" w14:paraId="7849E519" w14:textId="77777777">
        <w:trPr>
          <w:trHeight w:val="315"/>
        </w:trPr>
        <w:tc>
          <w:tcPr>
            <w:tcW w:w="360" w:type="dxa"/>
            <w:tcBorders>
              <w:top w:val="nil"/>
              <w:left w:val="nil"/>
              <w:bottom w:val="nil"/>
              <w:right w:val="nil"/>
            </w:tcBorders>
            <w:shd w:val="clear" w:color="auto" w:fill="auto"/>
            <w:noWrap/>
            <w:vAlign w:val="bottom"/>
            <w:hideMark/>
          </w:tcPr>
          <w:p w:rsidRPr="00BB7039" w:rsidR="00F63750" w:rsidP="00385311" w:rsidRDefault="00F63750" w14:paraId="206E64E8"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F63750" w:rsidP="00385311" w:rsidRDefault="00F63750" w14:paraId="4621CC82" w14:textId="77777777">
            <w:pPr>
              <w:keepNext/>
              <w:keepLines/>
              <w:rPr>
                <w:color w:val="000000"/>
              </w:rPr>
            </w:pPr>
            <w:r w:rsidRPr="00BB7039">
              <w:rPr>
                <w:color w:val="000000"/>
              </w:rPr>
              <w:t>Travel</w:t>
            </w:r>
          </w:p>
        </w:tc>
        <w:tc>
          <w:tcPr>
            <w:tcW w:w="2970" w:type="dxa"/>
            <w:tcBorders>
              <w:top w:val="nil"/>
              <w:left w:val="nil"/>
              <w:bottom w:val="nil"/>
              <w:right w:val="nil"/>
            </w:tcBorders>
            <w:shd w:val="clear" w:color="auto" w:fill="auto"/>
            <w:noWrap/>
            <w:vAlign w:val="bottom"/>
            <w:hideMark/>
          </w:tcPr>
          <w:p w:rsidRPr="00BB7039" w:rsidR="00F63750" w:rsidP="00385311" w:rsidRDefault="00F63750" w14:paraId="19AF61DC" w14:textId="55CBE154">
            <w:pPr>
              <w:keepNext/>
              <w:keepLines/>
              <w:jc w:val="right"/>
              <w:outlineLvl w:val="3"/>
              <w:rPr>
                <w:color w:val="FF0000"/>
              </w:rPr>
            </w:pPr>
            <w:r w:rsidRPr="00BB7039">
              <w:rPr>
                <w:color w:val="000000"/>
              </w:rPr>
              <w:t>$</w:t>
            </w:r>
            <w:r w:rsidRPr="00BB7039" w:rsidR="001922B8">
              <w:rPr>
                <w:color w:val="000000"/>
              </w:rPr>
              <w:t>11,529</w:t>
            </w:r>
          </w:p>
        </w:tc>
      </w:tr>
      <w:tr w:rsidRPr="00BB7039" w:rsidR="00C201AF" w:rsidTr="004259D9" w14:paraId="19D3E385" w14:textId="77777777">
        <w:trPr>
          <w:trHeight w:val="315"/>
        </w:trPr>
        <w:tc>
          <w:tcPr>
            <w:tcW w:w="360" w:type="dxa"/>
            <w:tcBorders>
              <w:top w:val="nil"/>
              <w:left w:val="nil"/>
              <w:bottom w:val="nil"/>
              <w:right w:val="nil"/>
            </w:tcBorders>
            <w:shd w:val="clear" w:color="auto" w:fill="auto"/>
            <w:noWrap/>
            <w:vAlign w:val="bottom"/>
            <w:hideMark/>
          </w:tcPr>
          <w:p w:rsidRPr="00BB7039" w:rsidR="00F63750" w:rsidP="00385311" w:rsidRDefault="00F63750" w14:paraId="45E6E86B"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F63750" w:rsidP="00385311" w:rsidRDefault="00F63750" w14:paraId="466F1FEC" w14:textId="77777777">
            <w:pPr>
              <w:keepNext/>
              <w:keepLines/>
              <w:rPr>
                <w:color w:val="000000"/>
              </w:rPr>
            </w:pPr>
            <w:r w:rsidRPr="00BB7039">
              <w:rPr>
                <w:color w:val="000000"/>
              </w:rPr>
              <w:t>Supplies</w:t>
            </w:r>
          </w:p>
        </w:tc>
        <w:tc>
          <w:tcPr>
            <w:tcW w:w="2970" w:type="dxa"/>
            <w:tcBorders>
              <w:top w:val="nil"/>
              <w:left w:val="nil"/>
              <w:bottom w:val="nil"/>
              <w:right w:val="nil"/>
            </w:tcBorders>
            <w:shd w:val="clear" w:color="auto" w:fill="auto"/>
            <w:noWrap/>
            <w:vAlign w:val="bottom"/>
            <w:hideMark/>
          </w:tcPr>
          <w:p w:rsidRPr="00BB7039" w:rsidR="00F63750" w:rsidP="00385311" w:rsidRDefault="00F63750" w14:paraId="30286C6A" w14:textId="09358251">
            <w:pPr>
              <w:keepNext/>
              <w:keepLines/>
              <w:jc w:val="right"/>
              <w:outlineLvl w:val="3"/>
              <w:rPr>
                <w:color w:val="FF0000"/>
              </w:rPr>
            </w:pPr>
            <w:r w:rsidRPr="00BB7039">
              <w:t>$</w:t>
            </w:r>
            <w:r w:rsidRPr="00BB7039" w:rsidR="000C294D">
              <w:t>0</w:t>
            </w:r>
          </w:p>
        </w:tc>
      </w:tr>
      <w:tr w:rsidRPr="00BB7039" w:rsidR="00C201AF" w:rsidTr="004259D9" w14:paraId="5C46DDA5" w14:textId="77777777">
        <w:trPr>
          <w:trHeight w:val="315"/>
        </w:trPr>
        <w:tc>
          <w:tcPr>
            <w:tcW w:w="360" w:type="dxa"/>
            <w:tcBorders>
              <w:top w:val="nil"/>
              <w:left w:val="nil"/>
              <w:bottom w:val="nil"/>
              <w:right w:val="nil"/>
            </w:tcBorders>
            <w:shd w:val="clear" w:color="auto" w:fill="auto"/>
            <w:noWrap/>
            <w:vAlign w:val="bottom"/>
            <w:hideMark/>
          </w:tcPr>
          <w:p w:rsidRPr="00BB7039" w:rsidR="00F63750" w:rsidP="00385311" w:rsidRDefault="00F63750" w14:paraId="70CC23F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F63750" w:rsidP="00385311" w:rsidRDefault="00F63750" w14:paraId="628C4226" w14:textId="77777777">
            <w:pPr>
              <w:keepNext/>
              <w:keepLines/>
              <w:rPr>
                <w:color w:val="000000"/>
              </w:rPr>
            </w:pPr>
            <w:r w:rsidRPr="00BB7039">
              <w:rPr>
                <w:color w:val="000000"/>
              </w:rPr>
              <w:t>Consultant/Contracts</w:t>
            </w:r>
          </w:p>
        </w:tc>
        <w:tc>
          <w:tcPr>
            <w:tcW w:w="2970" w:type="dxa"/>
            <w:tcBorders>
              <w:top w:val="nil"/>
              <w:left w:val="nil"/>
              <w:bottom w:val="nil"/>
              <w:right w:val="nil"/>
            </w:tcBorders>
            <w:shd w:val="clear" w:color="auto" w:fill="auto"/>
            <w:noWrap/>
            <w:vAlign w:val="bottom"/>
            <w:hideMark/>
          </w:tcPr>
          <w:p w:rsidRPr="00BB7039" w:rsidR="00F63750" w:rsidP="00385311" w:rsidRDefault="00F63750" w14:paraId="39D2850C" w14:textId="09EAE900">
            <w:pPr>
              <w:keepNext/>
              <w:keepLines/>
              <w:jc w:val="right"/>
              <w:outlineLvl w:val="3"/>
              <w:rPr>
                <w:color w:val="FF0000"/>
              </w:rPr>
            </w:pPr>
            <w:r w:rsidRPr="00BB7039">
              <w:t>$</w:t>
            </w:r>
            <w:r w:rsidRPr="00BB7039" w:rsidR="001922B8">
              <w:t>55,446</w:t>
            </w:r>
          </w:p>
        </w:tc>
      </w:tr>
      <w:tr w:rsidRPr="00BB7039" w:rsidR="00C201AF" w:rsidTr="004259D9" w14:paraId="775AC381" w14:textId="77777777">
        <w:trPr>
          <w:trHeight w:val="315"/>
        </w:trPr>
        <w:tc>
          <w:tcPr>
            <w:tcW w:w="360" w:type="dxa"/>
            <w:tcBorders>
              <w:top w:val="nil"/>
              <w:left w:val="nil"/>
              <w:bottom w:val="nil"/>
              <w:right w:val="nil"/>
            </w:tcBorders>
            <w:shd w:val="clear" w:color="auto" w:fill="auto"/>
            <w:noWrap/>
            <w:vAlign w:val="bottom"/>
            <w:hideMark/>
          </w:tcPr>
          <w:p w:rsidRPr="00BB7039" w:rsidR="00F63750" w:rsidP="00385311" w:rsidRDefault="00F63750" w14:paraId="25B1FD4D"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F63750" w:rsidP="00385311" w:rsidRDefault="00F63750" w14:paraId="384F3E34" w14:textId="77777777">
            <w:pPr>
              <w:keepNext/>
              <w:keepLines/>
              <w:rPr>
                <w:color w:val="000000"/>
              </w:rPr>
            </w:pPr>
            <w:r w:rsidRPr="00BB7039">
              <w:rPr>
                <w:color w:val="000000"/>
              </w:rPr>
              <w:t>Other</w:t>
            </w:r>
          </w:p>
        </w:tc>
        <w:tc>
          <w:tcPr>
            <w:tcW w:w="2970" w:type="dxa"/>
            <w:tcBorders>
              <w:top w:val="nil"/>
              <w:left w:val="nil"/>
              <w:bottom w:val="nil"/>
              <w:right w:val="nil"/>
            </w:tcBorders>
            <w:shd w:val="clear" w:color="auto" w:fill="auto"/>
            <w:noWrap/>
            <w:vAlign w:val="bottom"/>
            <w:hideMark/>
          </w:tcPr>
          <w:p w:rsidRPr="00BB7039" w:rsidR="00F63750" w:rsidP="00385311" w:rsidRDefault="00F63750" w14:paraId="53121274" w14:textId="35AF5DC5">
            <w:pPr>
              <w:keepNext/>
              <w:keepLines/>
              <w:jc w:val="right"/>
              <w:outlineLvl w:val="3"/>
              <w:rPr>
                <w:color w:val="FF0000"/>
              </w:rPr>
            </w:pPr>
            <w:r w:rsidRPr="00BB7039">
              <w:t>$</w:t>
            </w:r>
            <w:r w:rsidRPr="00BB7039" w:rsidR="001922B8">
              <w:t>18,182</w:t>
            </w:r>
          </w:p>
        </w:tc>
      </w:tr>
      <w:tr w:rsidRPr="00BB7039" w:rsidR="00C201AF" w:rsidTr="004259D9" w14:paraId="6F857446" w14:textId="77777777">
        <w:trPr>
          <w:trHeight w:val="315"/>
        </w:trPr>
        <w:tc>
          <w:tcPr>
            <w:tcW w:w="360" w:type="dxa"/>
            <w:tcBorders>
              <w:top w:val="nil"/>
              <w:left w:val="nil"/>
              <w:bottom w:val="nil"/>
              <w:right w:val="nil"/>
            </w:tcBorders>
            <w:shd w:val="clear" w:color="auto" w:fill="auto"/>
            <w:noWrap/>
            <w:vAlign w:val="bottom"/>
            <w:hideMark/>
          </w:tcPr>
          <w:p w:rsidRPr="00BB7039" w:rsidR="00F63750" w:rsidP="00385311" w:rsidRDefault="00F63750" w14:paraId="700B241F"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B7039" w:rsidR="00F63750" w:rsidP="00385311" w:rsidRDefault="00F63750" w14:paraId="7675A7A1" w14:textId="77777777">
            <w:pPr>
              <w:keepNext/>
              <w:keepLines/>
              <w:rPr>
                <w:color w:val="000000"/>
              </w:rPr>
            </w:pPr>
            <w:r w:rsidRPr="00BB7039">
              <w:rPr>
                <w:color w:val="000000"/>
              </w:rPr>
              <w:t>Total Indirect</w:t>
            </w:r>
          </w:p>
        </w:tc>
        <w:tc>
          <w:tcPr>
            <w:tcW w:w="2970" w:type="dxa"/>
            <w:tcBorders>
              <w:top w:val="nil"/>
              <w:left w:val="nil"/>
              <w:bottom w:val="nil"/>
              <w:right w:val="nil"/>
            </w:tcBorders>
            <w:shd w:val="clear" w:color="auto" w:fill="auto"/>
            <w:noWrap/>
            <w:vAlign w:val="bottom"/>
            <w:hideMark/>
          </w:tcPr>
          <w:p w:rsidRPr="00BB7039" w:rsidR="00F63750" w:rsidP="00385311" w:rsidRDefault="00F63750" w14:paraId="1AACBAC2" w14:textId="71A652F1">
            <w:pPr>
              <w:keepNext/>
              <w:keepLines/>
              <w:jc w:val="right"/>
              <w:outlineLvl w:val="3"/>
              <w:rPr>
                <w:color w:val="FF0000"/>
              </w:rPr>
            </w:pPr>
            <w:r w:rsidRPr="00BB7039">
              <w:rPr>
                <w:color w:val="000000"/>
              </w:rPr>
              <w:t>$</w:t>
            </w:r>
            <w:r w:rsidRPr="00BB7039" w:rsidR="001922B8">
              <w:rPr>
                <w:color w:val="000000"/>
              </w:rPr>
              <w:t>301,314</w:t>
            </w:r>
          </w:p>
        </w:tc>
      </w:tr>
      <w:tr w:rsidRPr="00BB7039" w:rsidR="00C201AF" w:rsidTr="004259D9" w14:paraId="74952A40" w14:textId="77777777">
        <w:trPr>
          <w:trHeight w:val="315"/>
        </w:trPr>
        <w:tc>
          <w:tcPr>
            <w:tcW w:w="360" w:type="dxa"/>
            <w:tcBorders>
              <w:top w:val="nil"/>
              <w:left w:val="nil"/>
              <w:bottom w:val="single" w:color="auto" w:sz="4" w:space="0"/>
              <w:right w:val="nil"/>
            </w:tcBorders>
            <w:shd w:val="clear" w:color="auto" w:fill="auto"/>
            <w:noWrap/>
            <w:vAlign w:val="bottom"/>
            <w:hideMark/>
          </w:tcPr>
          <w:p w:rsidRPr="00BB7039" w:rsidR="00F63750" w:rsidP="00385311" w:rsidRDefault="00F63750" w14:paraId="6DCA8C6D" w14:textId="77777777">
            <w:pPr>
              <w:keepNext/>
              <w:keepLines/>
              <w:rPr>
                <w:sz w:val="20"/>
                <w:szCs w:val="20"/>
              </w:rPr>
            </w:pPr>
          </w:p>
        </w:tc>
        <w:tc>
          <w:tcPr>
            <w:tcW w:w="5310" w:type="dxa"/>
            <w:tcBorders>
              <w:top w:val="nil"/>
              <w:left w:val="nil"/>
              <w:bottom w:val="single" w:color="auto" w:sz="4" w:space="0"/>
              <w:right w:val="nil"/>
            </w:tcBorders>
            <w:shd w:val="clear" w:color="auto" w:fill="auto"/>
            <w:noWrap/>
            <w:vAlign w:val="bottom"/>
            <w:hideMark/>
          </w:tcPr>
          <w:p w:rsidRPr="00BB7039" w:rsidR="00F63750" w:rsidP="00385311" w:rsidRDefault="00F63750" w14:paraId="0E7A1A20" w14:textId="77777777">
            <w:pPr>
              <w:keepNext/>
              <w:keepLines/>
              <w:rPr>
                <w:b/>
                <w:bCs/>
                <w:color w:val="000000"/>
              </w:rPr>
            </w:pPr>
            <w:r w:rsidRPr="00BB7039">
              <w:rPr>
                <w:b/>
                <w:bCs/>
                <w:color w:val="000000"/>
              </w:rPr>
              <w:t>Subtotal Data Collection Agent Costs</w:t>
            </w:r>
          </w:p>
        </w:tc>
        <w:tc>
          <w:tcPr>
            <w:tcW w:w="2970" w:type="dxa"/>
            <w:tcBorders>
              <w:top w:val="nil"/>
              <w:left w:val="nil"/>
              <w:bottom w:val="single" w:color="auto" w:sz="4" w:space="0"/>
              <w:right w:val="nil"/>
            </w:tcBorders>
            <w:shd w:val="clear" w:color="auto" w:fill="auto"/>
            <w:vAlign w:val="bottom"/>
            <w:hideMark/>
          </w:tcPr>
          <w:p w:rsidRPr="00BB7039" w:rsidR="00F63750" w:rsidP="00385311" w:rsidRDefault="00F63750" w14:paraId="7D490015" w14:textId="0BB3F77B">
            <w:pPr>
              <w:keepNext/>
              <w:keepLines/>
              <w:jc w:val="right"/>
              <w:rPr>
                <w:b/>
                <w:bCs/>
                <w:color w:val="000000"/>
              </w:rPr>
            </w:pPr>
            <w:r w:rsidRPr="00BB7039">
              <w:rPr>
                <w:b/>
                <w:bCs/>
                <w:color w:val="000000"/>
              </w:rPr>
              <w:t>$</w:t>
            </w:r>
            <w:r w:rsidRPr="00BB7039" w:rsidR="001922B8">
              <w:rPr>
                <w:b/>
                <w:bCs/>
                <w:color w:val="000000"/>
              </w:rPr>
              <w:t>745,875</w:t>
            </w:r>
          </w:p>
        </w:tc>
      </w:tr>
      <w:tr w:rsidRPr="00BB7039" w:rsidR="00C201AF" w:rsidTr="004259D9" w14:paraId="3C455B84" w14:textId="77777777">
        <w:trPr>
          <w:trHeight w:val="315"/>
        </w:trPr>
        <w:tc>
          <w:tcPr>
            <w:tcW w:w="5670" w:type="dxa"/>
            <w:gridSpan w:val="2"/>
            <w:tcBorders>
              <w:top w:val="single" w:color="auto" w:sz="4" w:space="0"/>
              <w:left w:val="nil"/>
              <w:bottom w:val="single" w:color="auto" w:sz="4" w:space="0"/>
              <w:right w:val="nil"/>
            </w:tcBorders>
            <w:shd w:val="clear" w:color="auto" w:fill="auto"/>
            <w:noWrap/>
            <w:vAlign w:val="bottom"/>
          </w:tcPr>
          <w:p w:rsidRPr="00BB7039" w:rsidR="00C201AF" w:rsidP="00385311" w:rsidRDefault="00C201AF" w14:paraId="256AAC83" w14:textId="3B2CA0B7">
            <w:pPr>
              <w:keepNext/>
              <w:keepLines/>
              <w:rPr>
                <w:b/>
                <w:bCs/>
                <w:color w:val="000000"/>
              </w:rPr>
            </w:pPr>
            <w:r w:rsidRPr="00BB7039">
              <w:rPr>
                <w:b/>
                <w:bCs/>
                <w:color w:val="000000"/>
              </w:rPr>
              <w:t>TOTAL COSTS</w:t>
            </w:r>
          </w:p>
        </w:tc>
        <w:tc>
          <w:tcPr>
            <w:tcW w:w="2970" w:type="dxa"/>
            <w:tcBorders>
              <w:top w:val="single" w:color="auto" w:sz="4" w:space="0"/>
              <w:left w:val="nil"/>
              <w:bottom w:val="single" w:color="auto" w:sz="4" w:space="0"/>
              <w:right w:val="nil"/>
            </w:tcBorders>
            <w:shd w:val="clear" w:color="auto" w:fill="auto"/>
            <w:vAlign w:val="bottom"/>
          </w:tcPr>
          <w:p w:rsidRPr="00BB7039" w:rsidR="00C201AF" w:rsidP="00385311" w:rsidRDefault="00C201AF" w14:paraId="0868EC7E" w14:textId="45E42E05">
            <w:pPr>
              <w:keepNext/>
              <w:keepLines/>
              <w:jc w:val="right"/>
              <w:rPr>
                <w:b/>
                <w:bCs/>
                <w:color w:val="000000"/>
              </w:rPr>
            </w:pPr>
            <w:r w:rsidRPr="00BB7039">
              <w:rPr>
                <w:b/>
                <w:bCs/>
                <w:color w:val="000000"/>
              </w:rPr>
              <w:t>$</w:t>
            </w:r>
            <w:r w:rsidRPr="00BB7039" w:rsidR="00771BA2">
              <w:rPr>
                <w:b/>
                <w:bCs/>
                <w:color w:val="000000"/>
              </w:rPr>
              <w:t>817,929</w:t>
            </w:r>
          </w:p>
        </w:tc>
      </w:tr>
    </w:tbl>
    <w:p w:rsidRPr="00BB7039" w:rsidR="009502B6" w:rsidP="00385311" w:rsidRDefault="009502B6" w14:paraId="05007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90D2B" w:rsidR="00586629" w:rsidP="00B90D2B" w:rsidRDefault="00586629" w14:paraId="7FD08567" w14:textId="3AF80315">
      <w:pPr>
        <w:pStyle w:val="ListParagraph"/>
        <w:keepNext/>
        <w:keepLines/>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90D2B">
        <w:rPr>
          <w:b/>
        </w:rPr>
        <w:t xml:space="preserve">Reason for Change in Burden </w:t>
      </w:r>
    </w:p>
    <w:p w:rsidRPr="00BB7039" w:rsidR="0025418F" w:rsidP="00385311" w:rsidRDefault="0025418F" w14:paraId="62EF0CB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4A6560" w:rsidP="00385311" w:rsidRDefault="006F45AF" w14:paraId="0ACA83B7" w14:textId="3F846B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The to</w:t>
      </w:r>
      <w:r w:rsidRPr="00BB7039" w:rsidR="00125097">
        <w:t xml:space="preserve">tal burden </w:t>
      </w:r>
      <w:proofErr w:type="gramStart"/>
      <w:r w:rsidRPr="00BB7039" w:rsidR="00125097">
        <w:t>estimate</w:t>
      </w:r>
      <w:proofErr w:type="gramEnd"/>
      <w:r w:rsidRPr="00BB7039" w:rsidR="00125097">
        <w:t xml:space="preserve"> for the </w:t>
      </w:r>
      <w:r w:rsidRPr="00BB7039" w:rsidR="00FE1E29">
        <w:t>2021 SCLEA</w:t>
      </w:r>
      <w:r w:rsidRPr="00BB7039">
        <w:t xml:space="preserve"> has been reduced by </w:t>
      </w:r>
      <w:r w:rsidR="00CD67F8">
        <w:t>267</w:t>
      </w:r>
      <w:r w:rsidRPr="00BB7039" w:rsidR="00CD67F8">
        <w:t xml:space="preserve"> </w:t>
      </w:r>
      <w:r w:rsidRPr="00BB7039">
        <w:t xml:space="preserve">hours </w:t>
      </w:r>
      <w:r w:rsidRPr="00BB7039" w:rsidR="00125097">
        <w:t xml:space="preserve">compared to the </w:t>
      </w:r>
      <w:r w:rsidRPr="00BB7039" w:rsidR="00FE1E29">
        <w:t>2011 SCLEA</w:t>
      </w:r>
      <w:r w:rsidRPr="00BB7039" w:rsidR="002D463C">
        <w:t xml:space="preserve">. </w:t>
      </w:r>
      <w:r w:rsidRPr="00BB7039" w:rsidR="00FE1E29">
        <w:t xml:space="preserve">The 2021 SCLEA utilizes a single survey instrument compared to the previous long and short form design used in the last SCLEA wave. Almost half of the 2011 SCLEA agencies (46%) served larger campuses, which meant they received the long form with twice the estimated burden as agencies serving smaller campuses and receiving the short form. </w:t>
      </w:r>
      <w:r w:rsidRPr="00BB7039" w:rsidR="005A4A16">
        <w:t>The 202</w:t>
      </w:r>
      <w:r w:rsidRPr="00BB7039" w:rsidR="00F3277D">
        <w:t>1 SCLEA used the 2011 long form as a starting point and the expert panel served to update and prioritize survey items with respondent burden in mind. The b</w:t>
      </w:r>
      <w:r w:rsidRPr="00BB7039" w:rsidR="005A4A16">
        <w:t xml:space="preserve">urden </w:t>
      </w:r>
      <w:r w:rsidRPr="00BB7039" w:rsidR="00F3277D">
        <w:t xml:space="preserve">estimate </w:t>
      </w:r>
      <w:r w:rsidRPr="00BB7039" w:rsidR="005A4A16">
        <w:t>is based on the average time reported for survey completion during cognitive interviews</w:t>
      </w:r>
      <w:r w:rsidRPr="00BB7039" w:rsidR="00F3277D">
        <w:t>.</w:t>
      </w:r>
      <w:r w:rsidRPr="00BB7039" w:rsidR="005A4A16">
        <w:t xml:space="preserve"> </w:t>
      </w:r>
      <w:r w:rsidRPr="001065E2" w:rsidR="00C41196">
        <w:rPr>
          <w:b/>
        </w:rPr>
        <w:t xml:space="preserve">Table </w:t>
      </w:r>
      <w:r w:rsidR="00876980">
        <w:rPr>
          <w:b/>
        </w:rPr>
        <w:t>6</w:t>
      </w:r>
      <w:r w:rsidRPr="00BB7039" w:rsidR="00C41196">
        <w:t xml:space="preserve"> summarizes the changes in estimated burden between the </w:t>
      </w:r>
      <w:r w:rsidRPr="00BB7039" w:rsidR="00F3277D">
        <w:t>2011 and 2021</w:t>
      </w:r>
      <w:r w:rsidRPr="00BB7039" w:rsidR="00C41196">
        <w:t xml:space="preserve"> </w:t>
      </w:r>
      <w:r w:rsidRPr="00BB7039" w:rsidR="00F3277D">
        <w:t>SCLEA</w:t>
      </w:r>
      <w:r w:rsidRPr="00BB7039" w:rsidR="00C41196">
        <w:t xml:space="preserve"> administrations. </w:t>
      </w:r>
    </w:p>
    <w:p w:rsidRPr="00BB7039" w:rsidR="00586629" w:rsidP="00385311" w:rsidRDefault="00586629" w14:paraId="26786248" w14:textId="744A538B">
      <w:pPr>
        <w:pStyle w:val="Default"/>
        <w:keepNext/>
        <w:keepLines/>
        <w:rPr>
          <w:rFonts w:ascii="Times New Roman" w:hAnsi="Times New Roman" w:cs="Times New Roman"/>
          <w:b/>
        </w:rPr>
      </w:pPr>
      <w:r w:rsidRPr="00BB7039">
        <w:rPr>
          <w:rFonts w:ascii="Times New Roman" w:hAnsi="Times New Roman" w:cs="Times New Roman"/>
          <w:b/>
        </w:rPr>
        <w:lastRenderedPageBreak/>
        <w:t xml:space="preserve">Table </w:t>
      </w:r>
      <w:r w:rsidR="00876980">
        <w:rPr>
          <w:rFonts w:ascii="Times New Roman" w:hAnsi="Times New Roman" w:cs="Times New Roman"/>
          <w:b/>
        </w:rPr>
        <w:t>6</w:t>
      </w:r>
      <w:r w:rsidRPr="00BB7039">
        <w:rPr>
          <w:rFonts w:ascii="Times New Roman" w:hAnsi="Times New Roman" w:cs="Times New Roman"/>
          <w:b/>
        </w:rPr>
        <w:t xml:space="preserve">: Estimated Burden Hours for the </w:t>
      </w:r>
      <w:r w:rsidRPr="00BB7039" w:rsidR="00FE1E29">
        <w:rPr>
          <w:rFonts w:ascii="Times New Roman" w:hAnsi="Times New Roman" w:cs="Times New Roman"/>
          <w:b/>
        </w:rPr>
        <w:t>2011 and 2021 SCLEA</w:t>
      </w:r>
    </w:p>
    <w:tbl>
      <w:tblPr>
        <w:tblW w:w="8564" w:type="dxa"/>
        <w:tblLayout w:type="fixed"/>
        <w:tblLook w:val="04A0" w:firstRow="1" w:lastRow="0" w:firstColumn="1" w:lastColumn="0" w:noHBand="0" w:noVBand="1"/>
      </w:tblPr>
      <w:tblGrid>
        <w:gridCol w:w="2245"/>
        <w:gridCol w:w="2070"/>
        <w:gridCol w:w="2179"/>
        <w:gridCol w:w="2070"/>
      </w:tblGrid>
      <w:tr w:rsidRPr="00BB7039" w:rsidR="005279BB" w:rsidTr="00254306" w14:paraId="265407F8" w14:textId="77777777">
        <w:trPr>
          <w:trHeight w:val="315"/>
        </w:trPr>
        <w:tc>
          <w:tcPr>
            <w:tcW w:w="2245" w:type="dxa"/>
            <w:tcBorders>
              <w:top w:val="single" w:color="auto" w:sz="4" w:space="0"/>
              <w:left w:val="single" w:color="auto" w:sz="4" w:space="0"/>
              <w:bottom w:val="single" w:color="000000" w:sz="8" w:space="0"/>
              <w:right w:val="single" w:color="auto" w:sz="4" w:space="0"/>
            </w:tcBorders>
            <w:vAlign w:val="center"/>
            <w:hideMark/>
          </w:tcPr>
          <w:p w:rsidRPr="00BB7039" w:rsidR="00586629" w:rsidP="00385311" w:rsidRDefault="00586629" w14:paraId="221E9737" w14:textId="4175B82B">
            <w:pPr>
              <w:keepNext/>
              <w:keepLines/>
              <w:jc w:val="center"/>
              <w:rPr>
                <w:color w:val="000000"/>
              </w:rPr>
            </w:pP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5279BB" w14:paraId="0A9BCEB5" w14:textId="2189EAD2">
            <w:pPr>
              <w:keepNext/>
              <w:keepLines/>
              <w:jc w:val="center"/>
              <w:rPr>
                <w:bCs/>
                <w:color w:val="000000"/>
              </w:rPr>
            </w:pPr>
            <w:r w:rsidRPr="00BB7039">
              <w:rPr>
                <w:bCs/>
                <w:color w:val="000000"/>
              </w:rPr>
              <w:t xml:space="preserve">Sample </w:t>
            </w:r>
            <w:r w:rsidRPr="00BB7039" w:rsidR="00586629">
              <w:rPr>
                <w:bCs/>
                <w:color w:val="000000"/>
              </w:rPr>
              <w:t>Size</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5279BB" w14:paraId="1655B24D" w14:textId="4B694BB3">
            <w:pPr>
              <w:keepNext/>
              <w:keepLines/>
              <w:jc w:val="center"/>
              <w:rPr>
                <w:bCs/>
                <w:color w:val="000000"/>
              </w:rPr>
            </w:pPr>
            <w:r w:rsidRPr="00BB7039">
              <w:rPr>
                <w:bCs/>
                <w:color w:val="000000"/>
              </w:rPr>
              <w:t xml:space="preserve">Estimated Burden </w:t>
            </w:r>
            <w:r w:rsidRPr="00BB7039" w:rsidR="00586629">
              <w:rPr>
                <w:bCs/>
                <w:color w:val="000000"/>
              </w:rPr>
              <w:t>(in hours)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5279BB" w14:paraId="70A5DE74" w14:textId="5FF1E419">
            <w:pPr>
              <w:keepNext/>
              <w:keepLines/>
              <w:jc w:val="center"/>
              <w:rPr>
                <w:bCs/>
                <w:color w:val="000000"/>
              </w:rPr>
            </w:pPr>
            <w:r w:rsidRPr="00BB7039">
              <w:rPr>
                <w:bCs/>
                <w:color w:val="000000"/>
              </w:rPr>
              <w:t xml:space="preserve">Total Burden </w:t>
            </w:r>
            <w:r w:rsidRPr="00BB7039" w:rsidR="00586629">
              <w:rPr>
                <w:bCs/>
                <w:color w:val="000000"/>
              </w:rPr>
              <w:t>Hours</w:t>
            </w:r>
          </w:p>
        </w:tc>
      </w:tr>
      <w:tr w:rsidRPr="00BB7039" w:rsidR="005279BB" w:rsidTr="00254306" w14:paraId="2DD1D9F0" w14:textId="77777777">
        <w:trPr>
          <w:trHeight w:val="330"/>
        </w:trPr>
        <w:tc>
          <w:tcPr>
            <w:tcW w:w="2245" w:type="dxa"/>
            <w:tcBorders>
              <w:top w:val="nil"/>
              <w:left w:val="single" w:color="auto" w:sz="4" w:space="0"/>
              <w:bottom w:val="single" w:color="000000" w:sz="8" w:space="0"/>
              <w:right w:val="single" w:color="auto" w:sz="4" w:space="0"/>
            </w:tcBorders>
            <w:vAlign w:val="center"/>
            <w:hideMark/>
          </w:tcPr>
          <w:p w:rsidRPr="00BB7039" w:rsidR="00586629" w:rsidP="00385311" w:rsidRDefault="00586629" w14:paraId="77730554" w14:textId="77777777">
            <w:pPr>
              <w:keepNext/>
              <w:keepLines/>
              <w:rPr>
                <w:bCs/>
                <w:color w:val="000000"/>
              </w:rPr>
            </w:pPr>
          </w:p>
        </w:tc>
        <w:tc>
          <w:tcPr>
            <w:tcW w:w="6319" w:type="dxa"/>
            <w:gridSpan w:val="3"/>
            <w:tcBorders>
              <w:top w:val="nil"/>
              <w:left w:val="nil"/>
              <w:bottom w:val="single" w:color="auto" w:sz="8" w:space="0"/>
              <w:right w:val="single" w:color="000000" w:sz="4" w:space="0"/>
            </w:tcBorders>
            <w:shd w:val="clear" w:color="auto" w:fill="DDD9C3" w:themeFill="background2" w:themeFillShade="E6"/>
            <w:noWrap/>
            <w:vAlign w:val="bottom"/>
            <w:hideMark/>
          </w:tcPr>
          <w:p w:rsidRPr="00BB7039" w:rsidR="00586629" w:rsidP="00385311" w:rsidRDefault="00A47D15" w14:paraId="12A061BA" w14:textId="652900A1">
            <w:pPr>
              <w:keepNext/>
              <w:keepLines/>
              <w:jc w:val="center"/>
              <w:rPr>
                <w:bCs/>
                <w:color w:val="000000"/>
              </w:rPr>
            </w:pPr>
            <w:r w:rsidRPr="00BB7039">
              <w:rPr>
                <w:bCs/>
                <w:color w:val="000000"/>
              </w:rPr>
              <w:t>2011 SCLEA</w:t>
            </w:r>
          </w:p>
        </w:tc>
      </w:tr>
      <w:tr w:rsidRPr="00BB7039" w:rsidR="005279BB" w:rsidTr="00254306" w14:paraId="2644DFC4" w14:textId="77777777">
        <w:trPr>
          <w:trHeight w:val="300"/>
        </w:trPr>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BB7039" w:rsidR="00586629" w:rsidP="00385311" w:rsidRDefault="00586629" w14:paraId="66A29CF5" w14:textId="62E4A96B">
            <w:pPr>
              <w:keepNext/>
              <w:keepLines/>
              <w:jc w:val="right"/>
              <w:rPr>
                <w:bCs/>
                <w:color w:val="000000"/>
              </w:rPr>
            </w:pPr>
            <w:r w:rsidRPr="00BB7039">
              <w:rPr>
                <w:bCs/>
                <w:color w:val="000000"/>
              </w:rPr>
              <w:t>Large</w:t>
            </w:r>
            <w:r w:rsidRPr="00BB7039" w:rsidR="00D13614">
              <w:rPr>
                <w:bCs/>
                <w:color w:val="000000"/>
              </w:rPr>
              <w:t>r campuses</w:t>
            </w:r>
          </w:p>
        </w:tc>
        <w:tc>
          <w:tcPr>
            <w:tcW w:w="2070" w:type="dxa"/>
            <w:tcBorders>
              <w:top w:val="nil"/>
              <w:left w:val="nil"/>
              <w:bottom w:val="single" w:color="auto" w:sz="4" w:space="0"/>
              <w:right w:val="single" w:color="auto" w:sz="4" w:space="0"/>
            </w:tcBorders>
            <w:shd w:val="clear" w:color="auto" w:fill="auto"/>
            <w:noWrap/>
            <w:vAlign w:val="bottom"/>
            <w:hideMark/>
          </w:tcPr>
          <w:p w:rsidRPr="00BB7039" w:rsidR="00586629" w:rsidP="00385311" w:rsidRDefault="00D13614" w14:paraId="076C5BDE" w14:textId="79E4248D">
            <w:pPr>
              <w:keepNext/>
              <w:keepLines/>
              <w:jc w:val="right"/>
              <w:rPr>
                <w:color w:val="000000"/>
              </w:rPr>
            </w:pPr>
            <w:r w:rsidRPr="00BB7039">
              <w:rPr>
                <w:color w:val="000000"/>
              </w:rPr>
              <w:t>735</w:t>
            </w:r>
          </w:p>
        </w:tc>
        <w:tc>
          <w:tcPr>
            <w:tcW w:w="2179" w:type="dxa"/>
            <w:tcBorders>
              <w:top w:val="nil"/>
              <w:left w:val="nil"/>
              <w:bottom w:val="single" w:color="auto" w:sz="4" w:space="0"/>
              <w:right w:val="single" w:color="auto" w:sz="4" w:space="0"/>
            </w:tcBorders>
            <w:shd w:val="clear" w:color="auto" w:fill="auto"/>
            <w:noWrap/>
            <w:vAlign w:val="bottom"/>
            <w:hideMark/>
          </w:tcPr>
          <w:p w:rsidRPr="00BB7039" w:rsidR="00586629" w:rsidP="00385311" w:rsidRDefault="00A47D15" w14:paraId="630D0699" w14:textId="2A619152">
            <w:pPr>
              <w:keepNext/>
              <w:keepLines/>
              <w:jc w:val="right"/>
              <w:rPr>
                <w:color w:val="000000"/>
              </w:rPr>
            </w:pPr>
            <w:r w:rsidRPr="00BB7039">
              <w:rPr>
                <w:color w:val="000000"/>
              </w:rPr>
              <w:t>2</w:t>
            </w:r>
            <w:r w:rsidRPr="00BB7039" w:rsidR="00586629">
              <w:rPr>
                <w:color w:val="000000"/>
              </w:rPr>
              <w:t xml:space="preserve"> </w:t>
            </w:r>
          </w:p>
        </w:tc>
        <w:tc>
          <w:tcPr>
            <w:tcW w:w="2070" w:type="dxa"/>
            <w:tcBorders>
              <w:top w:val="nil"/>
              <w:left w:val="nil"/>
              <w:bottom w:val="single" w:color="auto" w:sz="4" w:space="0"/>
              <w:right w:val="single" w:color="auto" w:sz="8" w:space="0"/>
            </w:tcBorders>
            <w:shd w:val="clear" w:color="auto" w:fill="auto"/>
            <w:noWrap/>
            <w:vAlign w:val="bottom"/>
            <w:hideMark/>
          </w:tcPr>
          <w:p w:rsidRPr="00BB7039" w:rsidR="00586629" w:rsidP="00385311" w:rsidRDefault="00A47D15" w14:paraId="05C30935" w14:textId="6B77B594">
            <w:pPr>
              <w:keepNext/>
              <w:keepLines/>
              <w:jc w:val="right"/>
              <w:rPr>
                <w:color w:val="000000"/>
              </w:rPr>
            </w:pPr>
            <w:r w:rsidRPr="00BB7039">
              <w:rPr>
                <w:color w:val="000000"/>
              </w:rPr>
              <w:t>1,470</w:t>
            </w:r>
            <w:r w:rsidRPr="00BB7039" w:rsidR="00586629">
              <w:rPr>
                <w:color w:val="000000"/>
              </w:rPr>
              <w:t xml:space="preserve"> </w:t>
            </w:r>
          </w:p>
        </w:tc>
      </w:tr>
      <w:tr w:rsidRPr="00BB7039" w:rsidR="005279BB" w:rsidTr="00254306" w14:paraId="21C6F413" w14:textId="77777777">
        <w:trPr>
          <w:trHeight w:val="300"/>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B7039" w:rsidR="00586629" w:rsidP="00385311" w:rsidRDefault="00586629" w14:paraId="3B492DCE" w14:textId="4D52AA63">
            <w:pPr>
              <w:keepNext/>
              <w:keepLines/>
              <w:jc w:val="right"/>
              <w:rPr>
                <w:bCs/>
                <w:color w:val="000000"/>
              </w:rPr>
            </w:pPr>
            <w:r w:rsidRPr="00BB7039">
              <w:rPr>
                <w:bCs/>
                <w:color w:val="000000"/>
              </w:rPr>
              <w:t>Small</w:t>
            </w:r>
            <w:r w:rsidRPr="00BB7039" w:rsidR="00D13614">
              <w:rPr>
                <w:bCs/>
                <w:color w:val="000000"/>
              </w:rPr>
              <w:t>er campuses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A47D15" w14:paraId="016F1C3E" w14:textId="2C51E621">
            <w:pPr>
              <w:keepNext/>
              <w:keepLines/>
              <w:jc w:val="right"/>
              <w:rPr>
                <w:color w:val="000000"/>
              </w:rPr>
            </w:pPr>
            <w:r w:rsidRPr="00BB7039">
              <w:rPr>
                <w:color w:val="000000"/>
              </w:rPr>
              <w:t>864</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A47D15" w14:paraId="1E9B3949" w14:textId="2C657F0F">
            <w:pPr>
              <w:keepNext/>
              <w:keepLines/>
              <w:jc w:val="right"/>
              <w:rPr>
                <w:color w:val="000000"/>
              </w:rPr>
            </w:pPr>
            <w:r w:rsidRPr="00BB7039">
              <w:rPr>
                <w:color w:val="000000"/>
              </w:rPr>
              <w:t>1</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A47D15" w14:paraId="43F1794A" w14:textId="41108014">
            <w:pPr>
              <w:keepNext/>
              <w:keepLines/>
              <w:jc w:val="right"/>
              <w:rPr>
                <w:color w:val="000000"/>
              </w:rPr>
            </w:pPr>
            <w:r w:rsidRPr="00BB7039">
              <w:rPr>
                <w:color w:val="000000"/>
              </w:rPr>
              <w:t>864</w:t>
            </w:r>
          </w:p>
        </w:tc>
      </w:tr>
      <w:tr w:rsidRPr="00BB7039" w:rsidR="005279BB" w:rsidTr="00254306" w14:paraId="7BBFF58A"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B7039" w:rsidR="00586629" w:rsidP="00385311" w:rsidRDefault="00586629" w14:paraId="688E3326" w14:textId="77777777">
            <w:pPr>
              <w:keepNext/>
              <w:keepLines/>
              <w:jc w:val="right"/>
              <w:rPr>
                <w:bCs/>
                <w:color w:val="000000"/>
              </w:rPr>
            </w:pPr>
            <w:r w:rsidRPr="00BB7039">
              <w:rPr>
                <w:bCs/>
                <w:color w:val="000000"/>
              </w:rPr>
              <w:t>Weighted Sample</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A47D15" w14:paraId="324D2620" w14:textId="4DC62DA6">
            <w:pPr>
              <w:keepNext/>
              <w:keepLines/>
              <w:jc w:val="right"/>
              <w:rPr>
                <w:bCs/>
                <w:color w:val="000000"/>
              </w:rPr>
            </w:pPr>
            <w:r w:rsidRPr="00BB7039">
              <w:rPr>
                <w:bCs/>
                <w:color w:val="000000"/>
              </w:rPr>
              <w:t>1,599</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A47D15" w14:paraId="54BC73FD" w14:textId="327A3057">
            <w:pPr>
              <w:keepNext/>
              <w:keepLines/>
              <w:jc w:val="right"/>
              <w:rPr>
                <w:bCs/>
                <w:color w:val="000000"/>
              </w:rPr>
            </w:pPr>
            <w:r w:rsidRPr="00BB7039">
              <w:rPr>
                <w:bCs/>
                <w:color w:val="000000"/>
              </w:rPr>
              <w:t>1.46</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B7039" w:rsidR="00586629" w:rsidP="00385311" w:rsidRDefault="00A47D15" w14:paraId="5CBA8CFF" w14:textId="6C2C106B">
            <w:pPr>
              <w:keepNext/>
              <w:keepLines/>
              <w:jc w:val="right"/>
              <w:rPr>
                <w:color w:val="000000"/>
              </w:rPr>
            </w:pPr>
            <w:r w:rsidRPr="00BB7039">
              <w:rPr>
                <w:color w:val="000000"/>
              </w:rPr>
              <w:t>2,334</w:t>
            </w:r>
            <w:r w:rsidRPr="00BB7039" w:rsidR="00586629">
              <w:rPr>
                <w:color w:val="000000"/>
              </w:rPr>
              <w:t xml:space="preserve"> </w:t>
            </w:r>
          </w:p>
        </w:tc>
      </w:tr>
      <w:tr w:rsidRPr="00BB7039" w:rsidR="00254306" w:rsidTr="00254306" w14:paraId="274A2084"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B7039" w:rsidR="00254306" w:rsidP="00385311" w:rsidRDefault="00254306" w14:paraId="7F6F63D8" w14:textId="77777777">
            <w:pPr>
              <w:keepNext/>
              <w:keepLines/>
              <w:jc w:val="right"/>
              <w:rPr>
                <w:bCs/>
                <w:color w:val="000000"/>
              </w:rPr>
            </w:pPr>
          </w:p>
        </w:tc>
        <w:tc>
          <w:tcPr>
            <w:tcW w:w="6319" w:type="dxa"/>
            <w:gridSpan w:val="3"/>
            <w:tcBorders>
              <w:top w:val="single" w:color="auto" w:sz="4" w:space="0"/>
              <w:left w:val="nil"/>
              <w:bottom w:val="single" w:color="auto" w:sz="4" w:space="0"/>
              <w:right w:val="single" w:color="auto" w:sz="4" w:space="0"/>
            </w:tcBorders>
            <w:shd w:val="clear" w:color="auto" w:fill="DDD9C3" w:themeFill="background2" w:themeFillShade="E6"/>
            <w:noWrap/>
            <w:vAlign w:val="center"/>
          </w:tcPr>
          <w:p w:rsidRPr="00BB7039" w:rsidR="00254306" w:rsidP="00385311" w:rsidRDefault="00254306" w14:paraId="3B903B92" w14:textId="636D8E39">
            <w:pPr>
              <w:keepNext/>
              <w:keepLines/>
              <w:jc w:val="center"/>
              <w:rPr>
                <w:color w:val="000000"/>
              </w:rPr>
            </w:pPr>
            <w:r w:rsidRPr="00BB7039">
              <w:rPr>
                <w:color w:val="000000"/>
              </w:rPr>
              <w:t>202</w:t>
            </w:r>
            <w:r w:rsidRPr="00BB7039" w:rsidR="00375A1C">
              <w:rPr>
                <w:color w:val="000000"/>
              </w:rPr>
              <w:t>1</w:t>
            </w:r>
            <w:r w:rsidRPr="00BB7039">
              <w:rPr>
                <w:color w:val="000000"/>
              </w:rPr>
              <w:t xml:space="preserve"> </w:t>
            </w:r>
            <w:r w:rsidRPr="00BB7039" w:rsidR="00375A1C">
              <w:rPr>
                <w:color w:val="000000"/>
              </w:rPr>
              <w:t>SCLEA</w:t>
            </w:r>
          </w:p>
        </w:tc>
      </w:tr>
      <w:tr w:rsidRPr="00BB7039" w:rsidR="00375A1C" w:rsidTr="007B7134" w14:paraId="751224E6"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B7039" w:rsidR="00375A1C" w:rsidP="00385311" w:rsidRDefault="00375A1C" w14:paraId="35AB6C73" w14:textId="7713B820">
            <w:pPr>
              <w:keepNext/>
              <w:keepLines/>
              <w:jc w:val="right"/>
              <w:rPr>
                <w:bCs/>
                <w:color w:val="000000"/>
              </w:rPr>
            </w:pPr>
            <w:r w:rsidRPr="00BB7039">
              <w:rPr>
                <w:bCs/>
                <w:color w:val="000000"/>
              </w:rPr>
              <w:t>All campus LEAs in SCLEA universe</w:t>
            </w:r>
          </w:p>
        </w:tc>
        <w:tc>
          <w:tcPr>
            <w:tcW w:w="2070" w:type="dxa"/>
            <w:tcBorders>
              <w:top w:val="single" w:color="auto" w:sz="4" w:space="0"/>
              <w:left w:val="nil"/>
              <w:bottom w:val="single" w:color="auto" w:sz="4" w:space="0"/>
              <w:right w:val="single" w:color="auto" w:sz="4" w:space="0"/>
            </w:tcBorders>
            <w:shd w:val="clear" w:color="auto" w:fill="auto"/>
            <w:noWrap/>
            <w:vAlign w:val="center"/>
          </w:tcPr>
          <w:p w:rsidRPr="00BB7039" w:rsidR="00375A1C" w:rsidP="00385311" w:rsidRDefault="00CD67F8" w14:paraId="0C6C5212" w14:textId="560D8329">
            <w:pPr>
              <w:keepNext/>
              <w:keepLines/>
              <w:jc w:val="right"/>
              <w:rPr>
                <w:color w:val="000000"/>
              </w:rPr>
            </w:pPr>
            <w:r>
              <w:rPr>
                <w:bCs/>
                <w:color w:val="000000"/>
              </w:rPr>
              <w:t>2,067</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BB7039" w:rsidR="00375A1C" w:rsidP="00385311" w:rsidRDefault="00375A1C" w14:paraId="32952B4C" w14:textId="7C40D38B">
            <w:pPr>
              <w:keepNext/>
              <w:keepLines/>
              <w:jc w:val="right"/>
              <w:rPr>
                <w:bCs/>
                <w:color w:val="000000"/>
              </w:rPr>
            </w:pPr>
            <w:r w:rsidRPr="00BB7039">
              <w:rPr>
                <w:bCs/>
                <w:color w:val="000000"/>
              </w:rPr>
              <w:t>1</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BB7039" w:rsidR="00375A1C" w:rsidP="00385311" w:rsidRDefault="00CD67F8" w14:paraId="1FAAC346" w14:textId="5F6D9701">
            <w:pPr>
              <w:keepNext/>
              <w:keepLines/>
              <w:jc w:val="right"/>
              <w:rPr>
                <w:color w:val="000000"/>
              </w:rPr>
            </w:pPr>
            <w:r>
              <w:rPr>
                <w:color w:val="000000"/>
              </w:rPr>
              <w:t>2,067</w:t>
            </w:r>
          </w:p>
        </w:tc>
      </w:tr>
      <w:tr w:rsidRPr="00BB7039" w:rsidR="00375A1C" w:rsidTr="007B7134" w14:paraId="5FF2B368" w14:textId="237B17EE">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B7039" w:rsidR="00375A1C" w:rsidP="00385311" w:rsidRDefault="00375A1C" w14:paraId="4556F0BD" w14:textId="05EB7653">
            <w:pPr>
              <w:keepNext/>
              <w:keepLines/>
              <w:jc w:val="right"/>
              <w:rPr>
                <w:bCs/>
                <w:color w:val="000000"/>
              </w:rPr>
            </w:pPr>
            <w:r w:rsidRPr="00BB7039">
              <w:rPr>
                <w:bCs/>
                <w:color w:val="000000"/>
              </w:rPr>
              <w:t>Total</w:t>
            </w:r>
          </w:p>
        </w:tc>
        <w:tc>
          <w:tcPr>
            <w:tcW w:w="2070" w:type="dxa"/>
            <w:tcBorders>
              <w:top w:val="single" w:color="auto" w:sz="4" w:space="0"/>
              <w:left w:val="nil"/>
              <w:bottom w:val="single" w:color="auto" w:sz="4" w:space="0"/>
              <w:right w:val="single" w:color="auto" w:sz="4" w:space="0"/>
            </w:tcBorders>
            <w:shd w:val="clear" w:color="auto" w:fill="auto"/>
            <w:noWrap/>
            <w:vAlign w:val="center"/>
          </w:tcPr>
          <w:p w:rsidRPr="00BB7039" w:rsidR="00375A1C" w:rsidP="00385311" w:rsidRDefault="00CD67F8" w14:paraId="335E5A07" w14:textId="0A46FCC6">
            <w:pPr>
              <w:keepNext/>
              <w:keepLines/>
              <w:jc w:val="right"/>
              <w:rPr>
                <w:color w:val="000000"/>
              </w:rPr>
            </w:pPr>
            <w:r>
              <w:rPr>
                <w:color w:val="000000"/>
              </w:rPr>
              <w:t>2,067</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BB7039" w:rsidR="00375A1C" w:rsidP="00385311" w:rsidRDefault="00375A1C" w14:paraId="45B09071" w14:textId="4F8D49BC">
            <w:pPr>
              <w:keepNext/>
              <w:keepLines/>
              <w:jc w:val="right"/>
              <w:rPr>
                <w:bCs/>
                <w:color w:val="000000"/>
              </w:rPr>
            </w:pP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BB7039" w:rsidR="00375A1C" w:rsidP="00385311" w:rsidRDefault="00CD67F8" w14:paraId="21A206FC" w14:textId="605BF19F">
            <w:pPr>
              <w:keepNext/>
              <w:keepLines/>
              <w:jc w:val="right"/>
              <w:rPr>
                <w:color w:val="000000"/>
              </w:rPr>
            </w:pPr>
            <w:r>
              <w:rPr>
                <w:color w:val="000000"/>
              </w:rPr>
              <w:t>2,067</w:t>
            </w:r>
          </w:p>
        </w:tc>
      </w:tr>
    </w:tbl>
    <w:p w:rsidRPr="00BB7039" w:rsidR="006F45AF" w:rsidP="00385311" w:rsidRDefault="006F45AF" w14:paraId="4E7455A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BB7039" w:rsidR="008D7CC0" w:rsidP="00B90D2B" w:rsidRDefault="008D7CC0" w14:paraId="092E927D" w14:textId="77777777">
      <w:pPr>
        <w:pStyle w:val="ListParagraph"/>
        <w:keepNext/>
        <w:keepLines/>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Project Schedule</w:t>
      </w:r>
    </w:p>
    <w:p w:rsidRPr="00BB7039" w:rsidR="008D7CC0" w:rsidP="00385311" w:rsidRDefault="008D7CC0" w14:paraId="5AB673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8D7CC0" w:rsidP="00385311" w:rsidRDefault="008D7CC0" w14:paraId="1102A240" w14:textId="62740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 xml:space="preserve">The data collection for </w:t>
      </w:r>
      <w:r w:rsidRPr="00BB7039" w:rsidR="007B7EFB">
        <w:t>2021 SCLEA</w:t>
      </w:r>
      <w:r w:rsidRPr="00BB7039">
        <w:t xml:space="preserve"> is scheduled to begin in </w:t>
      </w:r>
      <w:r w:rsidR="00E3782F">
        <w:t>late September</w:t>
      </w:r>
      <w:r w:rsidRPr="00BB7039" w:rsidR="00EA3A79">
        <w:t xml:space="preserve"> 2021</w:t>
      </w:r>
      <w:r w:rsidRPr="00BB7039" w:rsidR="00EA0C7F">
        <w:t xml:space="preserve"> and conclude in </w:t>
      </w:r>
      <w:r w:rsidR="00E3782F">
        <w:t>mid-</w:t>
      </w:r>
      <w:r w:rsidRPr="00BB7039" w:rsidR="00EA0C7F">
        <w:t xml:space="preserve">May 2022 for a </w:t>
      </w:r>
      <w:r w:rsidRPr="00BB7039" w:rsidR="00922B3A">
        <w:t xml:space="preserve">data collection period </w:t>
      </w:r>
      <w:r w:rsidRPr="00BB7039" w:rsidR="00EA0C7F">
        <w:t>of</w:t>
      </w:r>
      <w:r w:rsidRPr="00BB7039" w:rsidR="00922B3A">
        <w:t xml:space="preserve"> </w:t>
      </w:r>
      <w:r w:rsidR="00B60805">
        <w:t>almost 8</w:t>
      </w:r>
      <w:r w:rsidRPr="00BB7039">
        <w:t xml:space="preserve"> months.</w:t>
      </w:r>
      <w:r w:rsidRPr="00BB7039" w:rsidR="005D1F5D">
        <w:t xml:space="preserve"> </w:t>
      </w:r>
      <w:r w:rsidRPr="00BB7039" w:rsidR="00D87D4D">
        <w:t>While t</w:t>
      </w:r>
      <w:r w:rsidRPr="00BB7039">
        <w:t>his program anticipates a fi</w:t>
      </w:r>
      <w:r w:rsidRPr="00BB7039" w:rsidR="00922B3A">
        <w:t xml:space="preserve">nal response rate </w:t>
      </w:r>
      <w:r w:rsidRPr="00BB7039" w:rsidR="00D87D4D">
        <w:t>above</w:t>
      </w:r>
      <w:r w:rsidRPr="00BB7039" w:rsidR="00922B3A">
        <w:t xml:space="preserve"> 8</w:t>
      </w:r>
      <w:r w:rsidRPr="00BB7039">
        <w:t>0%</w:t>
      </w:r>
      <w:r w:rsidRPr="00BB7039" w:rsidR="00D87D4D">
        <w:t>, should</w:t>
      </w:r>
      <w:r w:rsidRPr="00BB7039" w:rsidR="00922B3A">
        <w:t xml:space="preserve"> the response rate should not </w:t>
      </w:r>
      <w:r w:rsidRPr="00BB7039" w:rsidR="00D87D4D">
        <w:t>reach</w:t>
      </w:r>
      <w:r w:rsidRPr="00BB7039" w:rsidR="00922B3A">
        <w:t xml:space="preserve"> 80%, BJS will conduct </w:t>
      </w:r>
      <w:r w:rsidRPr="00BB7039" w:rsidR="00D87D4D">
        <w:t xml:space="preserve">a </w:t>
      </w:r>
      <w:r w:rsidRPr="00BB7039" w:rsidR="00922B3A">
        <w:t>nonresponse bias assessment</w:t>
      </w:r>
      <w:r w:rsidRPr="00BB7039">
        <w:t xml:space="preserve">. </w:t>
      </w:r>
      <w:r w:rsidRPr="001065E2" w:rsidR="00C41196">
        <w:rPr>
          <w:b/>
        </w:rPr>
        <w:t xml:space="preserve">Table </w:t>
      </w:r>
      <w:r w:rsidR="00876980">
        <w:rPr>
          <w:b/>
        </w:rPr>
        <w:t>7</w:t>
      </w:r>
      <w:r w:rsidRPr="00BB7039" w:rsidR="00C41196">
        <w:t xml:space="preserve"> contains the project schedule. </w:t>
      </w:r>
    </w:p>
    <w:p w:rsidRPr="00BB7039" w:rsidR="00F40BDE" w:rsidP="00385311" w:rsidRDefault="00F40BDE" w14:paraId="5DFB2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4D3708" w:rsidP="00385311" w:rsidRDefault="004D3708" w14:paraId="5D8BE617" w14:textId="176C09B1">
      <w:pPr>
        <w:keepNext/>
        <w:shd w:val="clear" w:color="auto" w:fill="FFFFFF"/>
        <w:rPr>
          <w:color w:val="212121"/>
        </w:rPr>
      </w:pPr>
      <w:r w:rsidRPr="00BB7039">
        <w:rPr>
          <w:b/>
          <w:bCs/>
          <w:color w:val="212121"/>
        </w:rPr>
        <w:lastRenderedPageBreak/>
        <w:t xml:space="preserve">Table </w:t>
      </w:r>
      <w:r w:rsidR="00876980">
        <w:rPr>
          <w:b/>
          <w:bCs/>
          <w:color w:val="212121"/>
        </w:rPr>
        <w:t>7</w:t>
      </w:r>
      <w:r w:rsidRPr="00BB7039">
        <w:rPr>
          <w:b/>
          <w:bCs/>
          <w:color w:val="212121"/>
        </w:rPr>
        <w:t>. Project Schedule</w:t>
      </w:r>
    </w:p>
    <w:tbl>
      <w:tblPr>
        <w:tblW w:w="10059"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shd w:val="clear" w:color="auto" w:fill="FFFFFF"/>
        <w:tblCellMar>
          <w:left w:w="0" w:type="dxa"/>
          <w:right w:w="0" w:type="dxa"/>
        </w:tblCellMar>
        <w:tblLook w:val="04A0" w:firstRow="1" w:lastRow="0" w:firstColumn="1" w:lastColumn="0" w:noHBand="0" w:noVBand="1"/>
      </w:tblPr>
      <w:tblGrid>
        <w:gridCol w:w="4950"/>
        <w:gridCol w:w="2070"/>
        <w:gridCol w:w="1800"/>
        <w:gridCol w:w="1239"/>
      </w:tblGrid>
      <w:tr w:rsidRPr="00BB7039" w:rsidR="005279BB" w:rsidTr="0079495C" w14:paraId="45C9C11D" w14:textId="77777777">
        <w:tc>
          <w:tcPr>
            <w:tcW w:w="4950" w:type="dxa"/>
            <w:shd w:val="clear" w:color="auto" w:fill="FFFFFF"/>
            <w:tcMar>
              <w:top w:w="0" w:type="dxa"/>
              <w:left w:w="108" w:type="dxa"/>
              <w:bottom w:w="0" w:type="dxa"/>
              <w:right w:w="108" w:type="dxa"/>
            </w:tcMar>
            <w:hideMark/>
          </w:tcPr>
          <w:p w:rsidRPr="00BB7039" w:rsidR="004D3708" w:rsidP="00385311" w:rsidRDefault="004D3708" w14:paraId="5B06EA27" w14:textId="77777777">
            <w:pPr>
              <w:keepNext/>
              <w:rPr>
                <w:color w:val="212121"/>
              </w:rPr>
            </w:pPr>
            <w:r w:rsidRPr="00BB7039">
              <w:rPr>
                <w:b/>
                <w:bCs/>
                <w:color w:val="212121"/>
              </w:rPr>
              <w:t>Stage</w:t>
            </w:r>
          </w:p>
        </w:tc>
        <w:tc>
          <w:tcPr>
            <w:tcW w:w="2070" w:type="dxa"/>
            <w:shd w:val="clear" w:color="auto" w:fill="FFFFFF"/>
            <w:tcMar>
              <w:top w:w="0" w:type="dxa"/>
              <w:left w:w="108" w:type="dxa"/>
              <w:bottom w:w="0" w:type="dxa"/>
              <w:right w:w="108" w:type="dxa"/>
            </w:tcMar>
            <w:hideMark/>
          </w:tcPr>
          <w:p w:rsidRPr="00BB7039" w:rsidR="004D3708" w:rsidP="00385311" w:rsidRDefault="004D3708" w14:paraId="3351C64A" w14:textId="77777777">
            <w:pPr>
              <w:keepNext/>
              <w:rPr>
                <w:color w:val="212121"/>
              </w:rPr>
            </w:pPr>
            <w:r w:rsidRPr="00BB7039">
              <w:rPr>
                <w:b/>
                <w:bCs/>
                <w:color w:val="212121"/>
              </w:rPr>
              <w:t>Type of contact</w:t>
            </w:r>
          </w:p>
        </w:tc>
        <w:tc>
          <w:tcPr>
            <w:tcW w:w="1800" w:type="dxa"/>
            <w:shd w:val="clear" w:color="auto" w:fill="FFFFFF"/>
            <w:tcMar>
              <w:top w:w="0" w:type="dxa"/>
              <w:left w:w="108" w:type="dxa"/>
              <w:bottom w:w="0" w:type="dxa"/>
              <w:right w:w="108" w:type="dxa"/>
            </w:tcMar>
            <w:hideMark/>
          </w:tcPr>
          <w:p w:rsidRPr="00BB7039" w:rsidR="004D3708" w:rsidP="00385311" w:rsidRDefault="00FD5155" w14:paraId="6330E2D7" w14:textId="1F20361E">
            <w:pPr>
              <w:keepNext/>
              <w:rPr>
                <w:color w:val="212121"/>
              </w:rPr>
            </w:pPr>
            <w:r w:rsidRPr="00BB7039">
              <w:rPr>
                <w:b/>
                <w:bCs/>
                <w:color w:val="212121"/>
              </w:rPr>
              <w:t>Week</w:t>
            </w:r>
          </w:p>
        </w:tc>
        <w:tc>
          <w:tcPr>
            <w:tcW w:w="1239" w:type="dxa"/>
            <w:shd w:val="clear" w:color="auto" w:fill="FFFFFF"/>
          </w:tcPr>
          <w:p w:rsidRPr="00BB7039" w:rsidR="004D3708" w:rsidP="00385311" w:rsidRDefault="005279BB" w14:paraId="657B49C4" w14:textId="448ACE72">
            <w:pPr>
              <w:keepNext/>
              <w:jc w:val="center"/>
              <w:rPr>
                <w:b/>
                <w:bCs/>
                <w:color w:val="212121"/>
              </w:rPr>
            </w:pPr>
            <w:r w:rsidRPr="00BB7039">
              <w:rPr>
                <w:b/>
                <w:bCs/>
                <w:color w:val="212121"/>
              </w:rPr>
              <w:t>Attachment Number</w:t>
            </w:r>
          </w:p>
        </w:tc>
      </w:tr>
      <w:tr w:rsidRPr="00BB7039" w:rsidR="003E000C" w:rsidTr="0079495C" w14:paraId="2961CE6C" w14:textId="77777777">
        <w:tc>
          <w:tcPr>
            <w:tcW w:w="4950" w:type="dxa"/>
            <w:shd w:val="clear" w:color="auto" w:fill="FFFFFF"/>
            <w:tcMar>
              <w:top w:w="0" w:type="dxa"/>
              <w:left w:w="108" w:type="dxa"/>
              <w:bottom w:w="0" w:type="dxa"/>
              <w:right w:w="108" w:type="dxa"/>
            </w:tcMar>
          </w:tcPr>
          <w:p w:rsidRPr="00BB7039" w:rsidR="003E000C" w:rsidP="00385311" w:rsidRDefault="003E000C" w14:paraId="71ED65D6" w14:textId="291AD438">
            <w:pPr>
              <w:keepNext/>
              <w:rPr>
                <w:color w:val="212121"/>
              </w:rPr>
            </w:pPr>
            <w:r w:rsidRPr="00BB7039">
              <w:rPr>
                <w:color w:val="212121"/>
              </w:rPr>
              <w:t>Survey pre</w:t>
            </w:r>
            <w:r w:rsidRPr="00BB7039" w:rsidR="00CA0D6B">
              <w:rPr>
                <w:color w:val="212121"/>
              </w:rPr>
              <w:t>-</w:t>
            </w:r>
            <w:r w:rsidRPr="00BB7039">
              <w:rPr>
                <w:color w:val="212121"/>
              </w:rPr>
              <w:t xml:space="preserve">notification letter </w:t>
            </w:r>
          </w:p>
        </w:tc>
        <w:tc>
          <w:tcPr>
            <w:tcW w:w="2070" w:type="dxa"/>
            <w:shd w:val="clear" w:color="auto" w:fill="FFFFFF"/>
            <w:tcMar>
              <w:top w:w="0" w:type="dxa"/>
              <w:left w:w="108" w:type="dxa"/>
              <w:bottom w:w="0" w:type="dxa"/>
              <w:right w:w="108" w:type="dxa"/>
            </w:tcMar>
          </w:tcPr>
          <w:p w:rsidRPr="00BB7039" w:rsidR="003E000C" w:rsidP="00385311" w:rsidRDefault="003E000C" w14:paraId="3B68A580" w14:textId="36166726">
            <w:pPr>
              <w:keepNext/>
              <w:rPr>
                <w:color w:val="212121"/>
              </w:rPr>
            </w:pPr>
            <w:r w:rsidRPr="00BB7039">
              <w:rPr>
                <w:color w:val="212121"/>
              </w:rPr>
              <w:t>All</w:t>
            </w:r>
          </w:p>
        </w:tc>
        <w:tc>
          <w:tcPr>
            <w:tcW w:w="1800" w:type="dxa"/>
            <w:shd w:val="clear" w:color="auto" w:fill="FFFFFF"/>
            <w:tcMar>
              <w:top w:w="0" w:type="dxa"/>
              <w:left w:w="108" w:type="dxa"/>
              <w:bottom w:w="0" w:type="dxa"/>
              <w:right w:w="108" w:type="dxa"/>
            </w:tcMar>
          </w:tcPr>
          <w:p w:rsidRPr="00BB7039" w:rsidR="003E000C" w:rsidP="00385311" w:rsidRDefault="0079495C" w14:paraId="38A1E290" w14:textId="7632D05A">
            <w:pPr>
              <w:keepNext/>
              <w:rPr>
                <w:color w:val="212121"/>
              </w:rPr>
            </w:pPr>
            <w:r w:rsidRPr="00BB7039">
              <w:rPr>
                <w:color w:val="212121"/>
              </w:rPr>
              <w:t>1</w:t>
            </w:r>
          </w:p>
        </w:tc>
        <w:tc>
          <w:tcPr>
            <w:tcW w:w="1239" w:type="dxa"/>
            <w:shd w:val="clear" w:color="auto" w:fill="FFFFFF"/>
          </w:tcPr>
          <w:p w:rsidRPr="00BB7039" w:rsidR="003E000C" w:rsidP="00385311" w:rsidRDefault="008F3829" w14:paraId="357D7798" w14:textId="55EC59AB">
            <w:pPr>
              <w:keepNext/>
              <w:ind w:left="270"/>
              <w:rPr>
                <w:color w:val="212121"/>
              </w:rPr>
            </w:pPr>
            <w:r>
              <w:rPr>
                <w:color w:val="212121"/>
              </w:rPr>
              <w:t>5</w:t>
            </w:r>
          </w:p>
        </w:tc>
      </w:tr>
      <w:tr w:rsidRPr="00BB7039" w:rsidR="002A019F" w:rsidTr="0079495C" w14:paraId="7687EF99" w14:textId="77777777">
        <w:tc>
          <w:tcPr>
            <w:tcW w:w="4950" w:type="dxa"/>
            <w:shd w:val="clear" w:color="auto" w:fill="FFFFFF"/>
            <w:tcMar>
              <w:top w:w="0" w:type="dxa"/>
              <w:left w:w="108" w:type="dxa"/>
              <w:bottom w:w="0" w:type="dxa"/>
              <w:right w:w="108" w:type="dxa"/>
            </w:tcMar>
            <w:hideMark/>
          </w:tcPr>
          <w:p w:rsidRPr="00BB7039" w:rsidR="002A019F" w:rsidP="00385311" w:rsidRDefault="002A019F" w14:paraId="1CF94DA8" w14:textId="7FD90847">
            <w:pPr>
              <w:keepNext/>
              <w:rPr>
                <w:color w:val="212121"/>
              </w:rPr>
            </w:pPr>
            <w:r w:rsidRPr="00BB7039">
              <w:rPr>
                <w:color w:val="212121"/>
              </w:rPr>
              <w:t xml:space="preserve">Survey invitation letter (with URL and login instructions) </w:t>
            </w:r>
            <w:r w:rsidRPr="00BB7039" w:rsidR="00D46C63">
              <w:rPr>
                <w:color w:val="212121"/>
              </w:rPr>
              <w:t xml:space="preserve">with </w:t>
            </w:r>
            <w:r w:rsidR="000D354F">
              <w:rPr>
                <w:color w:val="212121"/>
              </w:rPr>
              <w:t xml:space="preserve">SCLEA flyer and </w:t>
            </w:r>
            <w:r w:rsidRPr="00BB7039" w:rsidR="00D0596B">
              <w:rPr>
                <w:color w:val="212121"/>
              </w:rPr>
              <w:t xml:space="preserve">IACLEA </w:t>
            </w:r>
            <w:r w:rsidRPr="00BB7039" w:rsidR="00D46C63">
              <w:rPr>
                <w:color w:val="212121"/>
              </w:rPr>
              <w:t>letter of support</w:t>
            </w:r>
          </w:p>
        </w:tc>
        <w:tc>
          <w:tcPr>
            <w:tcW w:w="2070" w:type="dxa"/>
            <w:shd w:val="clear" w:color="auto" w:fill="FFFFFF"/>
            <w:tcMar>
              <w:top w:w="0" w:type="dxa"/>
              <w:left w:w="108" w:type="dxa"/>
              <w:bottom w:w="0" w:type="dxa"/>
              <w:right w:w="108" w:type="dxa"/>
            </w:tcMar>
            <w:hideMark/>
          </w:tcPr>
          <w:p w:rsidRPr="00BB7039" w:rsidR="002A019F" w:rsidP="00385311" w:rsidRDefault="002A019F" w14:paraId="2324DB28" w14:textId="1F37376F">
            <w:pPr>
              <w:keepNext/>
              <w:rPr>
                <w:color w:val="212121"/>
              </w:rPr>
            </w:pPr>
            <w:r w:rsidRPr="00BB7039">
              <w:rPr>
                <w:color w:val="212121"/>
              </w:rPr>
              <w:t>All</w:t>
            </w:r>
          </w:p>
        </w:tc>
        <w:tc>
          <w:tcPr>
            <w:tcW w:w="1800" w:type="dxa"/>
            <w:shd w:val="clear" w:color="auto" w:fill="FFFFFF"/>
            <w:tcMar>
              <w:top w:w="0" w:type="dxa"/>
              <w:left w:w="108" w:type="dxa"/>
              <w:bottom w:w="0" w:type="dxa"/>
              <w:right w:w="108" w:type="dxa"/>
            </w:tcMar>
            <w:hideMark/>
          </w:tcPr>
          <w:p w:rsidRPr="00BB7039" w:rsidR="002A019F" w:rsidP="00385311" w:rsidRDefault="0079495C" w14:paraId="57F85F0D" w14:textId="62D40EED">
            <w:pPr>
              <w:keepNext/>
              <w:rPr>
                <w:color w:val="212121"/>
              </w:rPr>
            </w:pPr>
            <w:r w:rsidRPr="00BB7039">
              <w:rPr>
                <w:color w:val="212121"/>
              </w:rPr>
              <w:t>3</w:t>
            </w:r>
          </w:p>
        </w:tc>
        <w:tc>
          <w:tcPr>
            <w:tcW w:w="1239" w:type="dxa"/>
            <w:shd w:val="clear" w:color="auto" w:fill="FFFFFF"/>
          </w:tcPr>
          <w:p w:rsidRPr="00BB7039" w:rsidR="002A019F" w:rsidP="00385311" w:rsidRDefault="008F3829" w14:paraId="6E636789" w14:textId="0AE04B72">
            <w:pPr>
              <w:keepNext/>
              <w:ind w:left="270"/>
              <w:rPr>
                <w:color w:val="212121"/>
              </w:rPr>
            </w:pPr>
            <w:r>
              <w:rPr>
                <w:color w:val="212121"/>
              </w:rPr>
              <w:t>6, 7, 8</w:t>
            </w:r>
          </w:p>
        </w:tc>
      </w:tr>
      <w:tr w:rsidRPr="00BB7039" w:rsidR="002A019F" w:rsidTr="0079495C" w14:paraId="2478FDAD" w14:textId="77777777">
        <w:tc>
          <w:tcPr>
            <w:tcW w:w="4950" w:type="dxa"/>
            <w:shd w:val="clear" w:color="auto" w:fill="FFFFFF"/>
            <w:tcMar>
              <w:top w:w="0" w:type="dxa"/>
              <w:left w:w="108" w:type="dxa"/>
              <w:bottom w:w="0" w:type="dxa"/>
              <w:right w:w="108" w:type="dxa"/>
            </w:tcMar>
            <w:hideMark/>
          </w:tcPr>
          <w:p w:rsidRPr="00BB7039" w:rsidR="002A019F" w:rsidP="00385311" w:rsidRDefault="002A019F" w14:paraId="57FFB219" w14:textId="698D64DC">
            <w:pPr>
              <w:keepNext/>
              <w:rPr>
                <w:color w:val="212121"/>
              </w:rPr>
            </w:pPr>
            <w:r w:rsidRPr="00BB7039">
              <w:rPr>
                <w:color w:val="212121"/>
              </w:rPr>
              <w:t>Email invitation with URL and login instructions</w:t>
            </w:r>
          </w:p>
        </w:tc>
        <w:tc>
          <w:tcPr>
            <w:tcW w:w="2070" w:type="dxa"/>
            <w:shd w:val="clear" w:color="auto" w:fill="FFFFFF"/>
            <w:tcMar>
              <w:top w:w="0" w:type="dxa"/>
              <w:left w:w="108" w:type="dxa"/>
              <w:bottom w:w="0" w:type="dxa"/>
              <w:right w:w="108" w:type="dxa"/>
            </w:tcMar>
            <w:hideMark/>
          </w:tcPr>
          <w:p w:rsidRPr="00BB7039" w:rsidR="002A019F" w:rsidP="00385311" w:rsidRDefault="002A019F" w14:paraId="07604A1E" w14:textId="2772D297">
            <w:pPr>
              <w:keepNext/>
              <w:rPr>
                <w:color w:val="212121"/>
              </w:rPr>
            </w:pPr>
            <w:r w:rsidRPr="00BB7039">
              <w:rPr>
                <w:color w:val="212121"/>
              </w:rPr>
              <w:t>All</w:t>
            </w:r>
          </w:p>
        </w:tc>
        <w:tc>
          <w:tcPr>
            <w:tcW w:w="1800" w:type="dxa"/>
            <w:shd w:val="clear" w:color="auto" w:fill="FFFFFF"/>
            <w:tcMar>
              <w:top w:w="0" w:type="dxa"/>
              <w:left w:w="108" w:type="dxa"/>
              <w:bottom w:w="0" w:type="dxa"/>
              <w:right w:w="108" w:type="dxa"/>
            </w:tcMar>
            <w:hideMark/>
          </w:tcPr>
          <w:p w:rsidRPr="00BB7039" w:rsidR="002A019F" w:rsidP="00385311" w:rsidRDefault="0079495C" w14:paraId="14081CFE" w14:textId="42A7ACE3">
            <w:pPr>
              <w:keepNext/>
              <w:rPr>
                <w:color w:val="212121"/>
              </w:rPr>
            </w:pPr>
            <w:r w:rsidRPr="00BB7039">
              <w:rPr>
                <w:color w:val="212121"/>
              </w:rPr>
              <w:t>4</w:t>
            </w:r>
          </w:p>
        </w:tc>
        <w:tc>
          <w:tcPr>
            <w:tcW w:w="1239" w:type="dxa"/>
            <w:shd w:val="clear" w:color="auto" w:fill="FFFFFF"/>
          </w:tcPr>
          <w:p w:rsidRPr="00BB7039" w:rsidR="002A019F" w:rsidP="00385311" w:rsidRDefault="008F3829" w14:paraId="164D09AD" w14:textId="77138888">
            <w:pPr>
              <w:keepNext/>
              <w:ind w:left="270"/>
              <w:rPr>
                <w:color w:val="212121"/>
              </w:rPr>
            </w:pPr>
            <w:r>
              <w:rPr>
                <w:color w:val="212121"/>
              </w:rPr>
              <w:t>9</w:t>
            </w:r>
          </w:p>
        </w:tc>
      </w:tr>
      <w:tr w:rsidRPr="00BB7039" w:rsidR="00CE4B9B" w:rsidTr="0079495C" w14:paraId="10116E17" w14:textId="77777777">
        <w:tc>
          <w:tcPr>
            <w:tcW w:w="4950" w:type="dxa"/>
            <w:shd w:val="clear" w:color="auto" w:fill="FFFFFF"/>
            <w:tcMar>
              <w:top w:w="0" w:type="dxa"/>
              <w:left w:w="108" w:type="dxa"/>
              <w:bottom w:w="0" w:type="dxa"/>
              <w:right w:w="108" w:type="dxa"/>
            </w:tcMar>
          </w:tcPr>
          <w:p w:rsidRPr="00BB7039" w:rsidR="00CE4B9B" w:rsidP="00385311" w:rsidRDefault="00CE4B9B" w14:paraId="5A8F5A22" w14:textId="28CF8868">
            <w:pPr>
              <w:keepNext/>
              <w:rPr>
                <w:color w:val="212121"/>
              </w:rPr>
            </w:pPr>
            <w:r w:rsidRPr="00BB7039">
              <w:rPr>
                <w:color w:val="212121"/>
              </w:rPr>
              <w:t>Completion thank you</w:t>
            </w:r>
          </w:p>
        </w:tc>
        <w:tc>
          <w:tcPr>
            <w:tcW w:w="2070" w:type="dxa"/>
            <w:shd w:val="clear" w:color="auto" w:fill="FFFFFF"/>
            <w:tcMar>
              <w:top w:w="0" w:type="dxa"/>
              <w:left w:w="108" w:type="dxa"/>
              <w:bottom w:w="0" w:type="dxa"/>
              <w:right w:w="108" w:type="dxa"/>
            </w:tcMar>
          </w:tcPr>
          <w:p w:rsidRPr="00BB7039" w:rsidR="00CE4B9B" w:rsidP="00385311" w:rsidRDefault="00CE4B9B" w14:paraId="4881B7F9" w14:textId="3CB0BDFF">
            <w:pPr>
              <w:keepNext/>
              <w:rPr>
                <w:color w:val="212121"/>
              </w:rPr>
            </w:pPr>
            <w:r w:rsidRPr="00BB7039">
              <w:rPr>
                <w:color w:val="212121"/>
              </w:rPr>
              <w:t>All</w:t>
            </w:r>
          </w:p>
        </w:tc>
        <w:tc>
          <w:tcPr>
            <w:tcW w:w="1800" w:type="dxa"/>
            <w:shd w:val="clear" w:color="auto" w:fill="FFFFFF"/>
            <w:tcMar>
              <w:top w:w="0" w:type="dxa"/>
              <w:left w:w="108" w:type="dxa"/>
              <w:bottom w:w="0" w:type="dxa"/>
              <w:right w:w="108" w:type="dxa"/>
            </w:tcMar>
          </w:tcPr>
          <w:p w:rsidRPr="00BB7039" w:rsidR="00CE4B9B" w:rsidP="00385311" w:rsidRDefault="00CE4B9B" w14:paraId="337B9B55" w14:textId="6375ACA9">
            <w:pPr>
              <w:keepNext/>
              <w:rPr>
                <w:color w:val="212121"/>
              </w:rPr>
            </w:pPr>
            <w:r w:rsidRPr="00BB7039">
              <w:rPr>
                <w:color w:val="212121"/>
              </w:rPr>
              <w:t>Variable</w:t>
            </w:r>
          </w:p>
        </w:tc>
        <w:tc>
          <w:tcPr>
            <w:tcW w:w="1239" w:type="dxa"/>
            <w:shd w:val="clear" w:color="auto" w:fill="FFFFFF"/>
          </w:tcPr>
          <w:p w:rsidRPr="00BB7039" w:rsidR="00CE4B9B" w:rsidP="00385311" w:rsidRDefault="008F3829" w14:paraId="2802D77C" w14:textId="3BAEA0C2">
            <w:pPr>
              <w:keepNext/>
              <w:ind w:left="270"/>
              <w:rPr>
                <w:color w:val="212121"/>
              </w:rPr>
            </w:pPr>
            <w:r>
              <w:rPr>
                <w:color w:val="212121"/>
              </w:rPr>
              <w:t>10</w:t>
            </w:r>
          </w:p>
        </w:tc>
      </w:tr>
      <w:tr w:rsidRPr="00BB7039" w:rsidR="00CE4B9B" w:rsidTr="0079495C" w14:paraId="44F1074F" w14:textId="77777777">
        <w:tc>
          <w:tcPr>
            <w:tcW w:w="4950" w:type="dxa"/>
            <w:shd w:val="clear" w:color="auto" w:fill="FFFFFF"/>
            <w:tcMar>
              <w:top w:w="0" w:type="dxa"/>
              <w:left w:w="108" w:type="dxa"/>
              <w:bottom w:w="0" w:type="dxa"/>
              <w:right w:w="108" w:type="dxa"/>
            </w:tcMar>
            <w:hideMark/>
          </w:tcPr>
          <w:p w:rsidRPr="00BB7039" w:rsidR="00CE4B9B" w:rsidP="00385311" w:rsidRDefault="00CE4B9B" w14:paraId="50A8A8CB" w14:textId="74EF715B">
            <w:pPr>
              <w:keepNext/>
              <w:rPr>
                <w:color w:val="212121"/>
              </w:rPr>
            </w:pPr>
            <w:r w:rsidRPr="00BB7039">
              <w:rPr>
                <w:color w:val="212121"/>
              </w:rPr>
              <w:t xml:space="preserve">First reminder </w:t>
            </w:r>
            <w:r w:rsidRPr="00BB7039" w:rsidR="0079495C">
              <w:rPr>
                <w:color w:val="212121"/>
              </w:rPr>
              <w:t>(letter with URL and login instructions)</w:t>
            </w:r>
          </w:p>
        </w:tc>
        <w:tc>
          <w:tcPr>
            <w:tcW w:w="2070" w:type="dxa"/>
            <w:shd w:val="clear" w:color="auto" w:fill="FFFFFF"/>
            <w:tcMar>
              <w:top w:w="0" w:type="dxa"/>
              <w:left w:w="108" w:type="dxa"/>
              <w:bottom w:w="0" w:type="dxa"/>
              <w:right w:w="108" w:type="dxa"/>
            </w:tcMar>
            <w:hideMark/>
          </w:tcPr>
          <w:p w:rsidRPr="00BB7039" w:rsidR="00CE4B9B" w:rsidP="00385311" w:rsidRDefault="0035214E" w14:paraId="71605081" w14:textId="4AA3781A">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hideMark/>
          </w:tcPr>
          <w:p w:rsidRPr="00BB7039" w:rsidR="00CE4B9B" w:rsidP="00385311" w:rsidRDefault="0079495C" w14:paraId="16FD6020" w14:textId="60F213D2">
            <w:pPr>
              <w:keepNext/>
              <w:rPr>
                <w:color w:val="212121"/>
              </w:rPr>
            </w:pPr>
            <w:r w:rsidRPr="00BB7039">
              <w:rPr>
                <w:color w:val="212121"/>
              </w:rPr>
              <w:t>6</w:t>
            </w:r>
          </w:p>
        </w:tc>
        <w:tc>
          <w:tcPr>
            <w:tcW w:w="1239" w:type="dxa"/>
            <w:shd w:val="clear" w:color="auto" w:fill="FFFFFF"/>
          </w:tcPr>
          <w:p w:rsidRPr="00BB7039" w:rsidR="00CE4B9B" w:rsidP="00385311" w:rsidRDefault="00BE0459" w14:paraId="115D5776" w14:textId="599A5C7A">
            <w:pPr>
              <w:keepNext/>
              <w:ind w:left="270"/>
              <w:rPr>
                <w:color w:val="212121"/>
              </w:rPr>
            </w:pPr>
            <w:r w:rsidRPr="00BB7039">
              <w:rPr>
                <w:color w:val="212121"/>
              </w:rPr>
              <w:t>1</w:t>
            </w:r>
            <w:r w:rsidR="008F3829">
              <w:rPr>
                <w:color w:val="212121"/>
              </w:rPr>
              <w:t>1</w:t>
            </w:r>
          </w:p>
        </w:tc>
      </w:tr>
      <w:tr w:rsidRPr="00BB7039" w:rsidR="0035214E" w:rsidTr="0079495C" w14:paraId="28D971A6" w14:textId="77777777">
        <w:tc>
          <w:tcPr>
            <w:tcW w:w="4950" w:type="dxa"/>
            <w:shd w:val="clear" w:color="auto" w:fill="FFFFFF"/>
            <w:tcMar>
              <w:top w:w="0" w:type="dxa"/>
              <w:left w:w="108" w:type="dxa"/>
              <w:bottom w:w="0" w:type="dxa"/>
              <w:right w:w="108" w:type="dxa"/>
            </w:tcMar>
          </w:tcPr>
          <w:p w:rsidRPr="00BB7039" w:rsidR="0035214E" w:rsidP="00385311" w:rsidRDefault="0079495C" w14:paraId="1F01755F" w14:textId="20DC936A">
            <w:pPr>
              <w:keepNext/>
              <w:rPr>
                <w:color w:val="212121"/>
              </w:rPr>
            </w:pPr>
            <w:r w:rsidRPr="00BB7039">
              <w:rPr>
                <w:color w:val="212121"/>
              </w:rPr>
              <w:t>First reminder (</w:t>
            </w:r>
            <w:r w:rsidRPr="00BB7039" w:rsidR="0035214E">
              <w:rPr>
                <w:color w:val="212121"/>
              </w:rPr>
              <w:t>email</w:t>
            </w:r>
            <w:r w:rsidRPr="00BB7039">
              <w:rPr>
                <w:color w:val="212121"/>
              </w:rPr>
              <w:t xml:space="preserve"> version; </w:t>
            </w:r>
            <w:r w:rsidRPr="00BB7039" w:rsidR="0035214E">
              <w:rPr>
                <w:color w:val="212121"/>
              </w:rPr>
              <w:t xml:space="preserve">with URL and login instructions) </w:t>
            </w:r>
          </w:p>
        </w:tc>
        <w:tc>
          <w:tcPr>
            <w:tcW w:w="2070" w:type="dxa"/>
            <w:shd w:val="clear" w:color="auto" w:fill="FFFFFF"/>
            <w:tcMar>
              <w:top w:w="0" w:type="dxa"/>
              <w:left w:w="108" w:type="dxa"/>
              <w:bottom w:w="0" w:type="dxa"/>
              <w:right w:w="108" w:type="dxa"/>
            </w:tcMar>
          </w:tcPr>
          <w:p w:rsidRPr="00BB7039" w:rsidR="0035214E" w:rsidP="00385311" w:rsidRDefault="0035214E" w14:paraId="16006E71" w14:textId="408976BA">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tcPr>
          <w:p w:rsidRPr="00BB7039" w:rsidR="0035214E" w:rsidP="00385311" w:rsidRDefault="0079495C" w14:paraId="2999AFFB" w14:textId="4FD8FFCC">
            <w:pPr>
              <w:keepNext/>
              <w:rPr>
                <w:color w:val="212121"/>
              </w:rPr>
            </w:pPr>
            <w:r w:rsidRPr="00BB7039">
              <w:rPr>
                <w:color w:val="212121"/>
              </w:rPr>
              <w:t>7</w:t>
            </w:r>
          </w:p>
        </w:tc>
        <w:tc>
          <w:tcPr>
            <w:tcW w:w="1239" w:type="dxa"/>
            <w:shd w:val="clear" w:color="auto" w:fill="FFFFFF"/>
          </w:tcPr>
          <w:p w:rsidRPr="00BB7039" w:rsidR="0035214E" w:rsidP="00385311" w:rsidRDefault="00BE0459" w14:paraId="0800FC3D" w14:textId="0B162F58">
            <w:pPr>
              <w:keepNext/>
              <w:ind w:left="270"/>
              <w:rPr>
                <w:color w:val="212121"/>
              </w:rPr>
            </w:pPr>
            <w:r w:rsidRPr="00BB7039">
              <w:rPr>
                <w:color w:val="212121"/>
              </w:rPr>
              <w:t>1</w:t>
            </w:r>
            <w:r w:rsidR="008F3829">
              <w:rPr>
                <w:color w:val="212121"/>
              </w:rPr>
              <w:t>1</w:t>
            </w:r>
          </w:p>
        </w:tc>
      </w:tr>
      <w:tr w:rsidRPr="00BB7039" w:rsidR="0035214E" w:rsidTr="0079495C" w14:paraId="2E00B5D0" w14:textId="77777777">
        <w:tc>
          <w:tcPr>
            <w:tcW w:w="4950" w:type="dxa"/>
            <w:shd w:val="clear" w:color="auto" w:fill="FFFFFF"/>
            <w:tcMar>
              <w:top w:w="0" w:type="dxa"/>
              <w:left w:w="108" w:type="dxa"/>
              <w:bottom w:w="0" w:type="dxa"/>
              <w:right w:w="108" w:type="dxa"/>
            </w:tcMar>
            <w:hideMark/>
          </w:tcPr>
          <w:p w:rsidRPr="00BB7039" w:rsidR="0035214E" w:rsidP="00385311" w:rsidRDefault="0079495C" w14:paraId="6DB23970" w14:textId="571D66CA">
            <w:pPr>
              <w:keepNext/>
              <w:rPr>
                <w:color w:val="212121"/>
              </w:rPr>
            </w:pPr>
            <w:r w:rsidRPr="00BB7039">
              <w:rPr>
                <w:color w:val="212121"/>
              </w:rPr>
              <w:t>Second</w:t>
            </w:r>
            <w:r w:rsidRPr="00BB7039" w:rsidR="0035214E">
              <w:rPr>
                <w:color w:val="212121"/>
              </w:rPr>
              <w:t xml:space="preserve"> reminder (postcard with URL and login instructions) </w:t>
            </w:r>
          </w:p>
        </w:tc>
        <w:tc>
          <w:tcPr>
            <w:tcW w:w="2070" w:type="dxa"/>
            <w:shd w:val="clear" w:color="auto" w:fill="FFFFFF"/>
            <w:tcMar>
              <w:top w:w="0" w:type="dxa"/>
              <w:left w:w="108" w:type="dxa"/>
              <w:bottom w:w="0" w:type="dxa"/>
              <w:right w:w="108" w:type="dxa"/>
            </w:tcMar>
            <w:hideMark/>
          </w:tcPr>
          <w:p w:rsidRPr="00BB7039" w:rsidR="0035214E" w:rsidP="00385311" w:rsidRDefault="0035214E" w14:paraId="6952726C" w14:textId="7ABFFA64">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hideMark/>
          </w:tcPr>
          <w:p w:rsidRPr="00BB7039" w:rsidR="0035214E" w:rsidP="00385311" w:rsidRDefault="0079495C" w14:paraId="1AFC9970" w14:textId="35E9BDE9">
            <w:pPr>
              <w:keepNext/>
              <w:rPr>
                <w:color w:val="212121"/>
              </w:rPr>
            </w:pPr>
            <w:r w:rsidRPr="00BB7039">
              <w:rPr>
                <w:color w:val="212121"/>
              </w:rPr>
              <w:t>9</w:t>
            </w:r>
          </w:p>
        </w:tc>
        <w:tc>
          <w:tcPr>
            <w:tcW w:w="1239" w:type="dxa"/>
            <w:shd w:val="clear" w:color="auto" w:fill="FFFFFF"/>
          </w:tcPr>
          <w:p w:rsidRPr="00BB7039" w:rsidR="0035214E" w:rsidP="00385311" w:rsidRDefault="00BE0459" w14:paraId="67972F5B" w14:textId="6FABD839">
            <w:pPr>
              <w:keepNext/>
              <w:ind w:left="270"/>
              <w:rPr>
                <w:color w:val="212121"/>
              </w:rPr>
            </w:pPr>
            <w:r w:rsidRPr="00BB7039">
              <w:rPr>
                <w:color w:val="212121"/>
              </w:rPr>
              <w:t>1</w:t>
            </w:r>
            <w:r w:rsidR="008F3829">
              <w:rPr>
                <w:color w:val="212121"/>
              </w:rPr>
              <w:t>2</w:t>
            </w:r>
          </w:p>
        </w:tc>
      </w:tr>
      <w:tr w:rsidRPr="00BB7039" w:rsidR="0035214E" w:rsidTr="0079495C" w14:paraId="1F5208C0" w14:textId="77777777">
        <w:tc>
          <w:tcPr>
            <w:tcW w:w="4950" w:type="dxa"/>
            <w:shd w:val="clear" w:color="auto" w:fill="FFFFFF"/>
            <w:tcMar>
              <w:top w:w="0" w:type="dxa"/>
              <w:left w:w="108" w:type="dxa"/>
              <w:bottom w:w="0" w:type="dxa"/>
              <w:right w:w="108" w:type="dxa"/>
            </w:tcMar>
          </w:tcPr>
          <w:p w:rsidRPr="00BB7039" w:rsidR="0035214E" w:rsidP="00385311" w:rsidRDefault="0079495C" w14:paraId="393C9594" w14:textId="067D5362">
            <w:pPr>
              <w:keepNext/>
              <w:rPr>
                <w:color w:val="212121"/>
              </w:rPr>
            </w:pPr>
            <w:r w:rsidRPr="00BB7039">
              <w:rPr>
                <w:color w:val="212121"/>
              </w:rPr>
              <w:t>Third</w:t>
            </w:r>
            <w:r w:rsidRPr="00BB7039" w:rsidR="0035214E">
              <w:rPr>
                <w:color w:val="212121"/>
              </w:rPr>
              <w:t xml:space="preserve"> reminder (</w:t>
            </w:r>
            <w:r w:rsidRPr="00BB7039">
              <w:rPr>
                <w:color w:val="212121"/>
              </w:rPr>
              <w:t xml:space="preserve">letter </w:t>
            </w:r>
            <w:r w:rsidRPr="00BB7039" w:rsidR="0035214E">
              <w:rPr>
                <w:color w:val="212121"/>
              </w:rPr>
              <w:t>with URL and login instructions, paper survey, and return envelope)</w:t>
            </w:r>
          </w:p>
        </w:tc>
        <w:tc>
          <w:tcPr>
            <w:tcW w:w="2070" w:type="dxa"/>
            <w:shd w:val="clear" w:color="auto" w:fill="FFFFFF"/>
            <w:tcMar>
              <w:top w:w="0" w:type="dxa"/>
              <w:left w:w="108" w:type="dxa"/>
              <w:bottom w:w="0" w:type="dxa"/>
              <w:right w:w="108" w:type="dxa"/>
            </w:tcMar>
          </w:tcPr>
          <w:p w:rsidRPr="00BB7039" w:rsidR="0035214E" w:rsidP="00385311" w:rsidRDefault="0035214E" w14:paraId="6443266E" w14:textId="449AA6CA">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tcPr>
          <w:p w:rsidRPr="00BB7039" w:rsidR="0035214E" w:rsidP="00385311" w:rsidRDefault="00313FFF" w14:paraId="7F2637BA" w14:textId="2442E83F">
            <w:pPr>
              <w:keepNext/>
              <w:rPr>
                <w:color w:val="212121"/>
              </w:rPr>
            </w:pPr>
            <w:r w:rsidRPr="00BB7039">
              <w:rPr>
                <w:color w:val="212121"/>
              </w:rPr>
              <w:t>11</w:t>
            </w:r>
          </w:p>
        </w:tc>
        <w:tc>
          <w:tcPr>
            <w:tcW w:w="1239" w:type="dxa"/>
            <w:shd w:val="clear" w:color="auto" w:fill="FFFFFF"/>
          </w:tcPr>
          <w:p w:rsidRPr="00BB7039" w:rsidR="0035214E" w:rsidP="00385311" w:rsidRDefault="00BE0459" w14:paraId="7834DEBE" w14:textId="58427DA2">
            <w:pPr>
              <w:keepNext/>
              <w:ind w:left="270"/>
              <w:rPr>
                <w:color w:val="212121"/>
              </w:rPr>
            </w:pPr>
            <w:r w:rsidRPr="00BB7039">
              <w:rPr>
                <w:color w:val="212121"/>
              </w:rPr>
              <w:t>1</w:t>
            </w:r>
            <w:r w:rsidR="008F3829">
              <w:rPr>
                <w:color w:val="212121"/>
              </w:rPr>
              <w:t>3</w:t>
            </w:r>
            <w:r w:rsidRPr="00BB7039">
              <w:rPr>
                <w:color w:val="212121"/>
              </w:rPr>
              <w:t>, 2</w:t>
            </w:r>
          </w:p>
        </w:tc>
      </w:tr>
      <w:tr w:rsidRPr="00BB7039" w:rsidR="00313FFF" w:rsidTr="0079495C" w14:paraId="21D94909" w14:textId="77777777">
        <w:tc>
          <w:tcPr>
            <w:tcW w:w="4950" w:type="dxa"/>
            <w:shd w:val="clear" w:color="auto" w:fill="FFFFFF"/>
            <w:tcMar>
              <w:top w:w="0" w:type="dxa"/>
              <w:left w:w="108" w:type="dxa"/>
              <w:bottom w:w="0" w:type="dxa"/>
              <w:right w:w="108" w:type="dxa"/>
            </w:tcMar>
          </w:tcPr>
          <w:p w:rsidRPr="00BB7039" w:rsidR="00313FFF" w:rsidP="00385311" w:rsidRDefault="00313FFF" w14:paraId="4CE5E0DB" w14:textId="11A8DF73">
            <w:pPr>
              <w:keepNext/>
              <w:rPr>
                <w:color w:val="212121"/>
              </w:rPr>
            </w:pPr>
            <w:r w:rsidRPr="00BB7039">
              <w:rPr>
                <w:color w:val="212121"/>
              </w:rPr>
              <w:t>Fourth reminder (email with URL and login instructions)</w:t>
            </w:r>
          </w:p>
        </w:tc>
        <w:tc>
          <w:tcPr>
            <w:tcW w:w="2070" w:type="dxa"/>
            <w:shd w:val="clear" w:color="auto" w:fill="FFFFFF"/>
            <w:tcMar>
              <w:top w:w="0" w:type="dxa"/>
              <w:left w:w="108" w:type="dxa"/>
              <w:bottom w:w="0" w:type="dxa"/>
              <w:right w:w="108" w:type="dxa"/>
            </w:tcMar>
          </w:tcPr>
          <w:p w:rsidRPr="00BB7039" w:rsidR="00313FFF" w:rsidP="00385311" w:rsidRDefault="00313FFF" w14:paraId="29F00721" w14:textId="573D2749">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tcPr>
          <w:p w:rsidRPr="00BB7039" w:rsidR="00313FFF" w:rsidP="00385311" w:rsidRDefault="00313FFF" w14:paraId="784E4118" w14:textId="33FEAEA6">
            <w:pPr>
              <w:keepNext/>
              <w:rPr>
                <w:color w:val="212121"/>
              </w:rPr>
            </w:pPr>
            <w:r w:rsidRPr="00BB7039">
              <w:rPr>
                <w:color w:val="212121"/>
              </w:rPr>
              <w:t>14</w:t>
            </w:r>
          </w:p>
        </w:tc>
        <w:tc>
          <w:tcPr>
            <w:tcW w:w="1239" w:type="dxa"/>
            <w:shd w:val="clear" w:color="auto" w:fill="FFFFFF"/>
          </w:tcPr>
          <w:p w:rsidRPr="00BB7039" w:rsidR="00313FFF" w:rsidP="00385311" w:rsidRDefault="00BE0459" w14:paraId="6D243A31" w14:textId="20F230B0">
            <w:pPr>
              <w:keepNext/>
              <w:ind w:left="270"/>
              <w:rPr>
                <w:color w:val="212121"/>
              </w:rPr>
            </w:pPr>
            <w:r w:rsidRPr="00BB7039">
              <w:rPr>
                <w:color w:val="212121"/>
              </w:rPr>
              <w:t>1</w:t>
            </w:r>
            <w:r w:rsidR="008F3829">
              <w:rPr>
                <w:color w:val="212121"/>
              </w:rPr>
              <w:t>4</w:t>
            </w:r>
          </w:p>
        </w:tc>
      </w:tr>
      <w:tr w:rsidRPr="00BB7039" w:rsidR="00313FFF" w:rsidTr="0079495C" w14:paraId="4F7D469F" w14:textId="77777777">
        <w:tc>
          <w:tcPr>
            <w:tcW w:w="4950" w:type="dxa"/>
            <w:shd w:val="clear" w:color="auto" w:fill="FFFFFF"/>
            <w:tcMar>
              <w:top w:w="0" w:type="dxa"/>
              <w:left w:w="108" w:type="dxa"/>
              <w:bottom w:w="0" w:type="dxa"/>
              <w:right w:w="108" w:type="dxa"/>
            </w:tcMar>
          </w:tcPr>
          <w:p w:rsidRPr="00BB7039" w:rsidR="00313FFF" w:rsidP="00385311" w:rsidRDefault="00313FFF" w14:paraId="20F71E70" w14:textId="2353DBE9">
            <w:pPr>
              <w:keepNext/>
              <w:rPr>
                <w:color w:val="212121"/>
              </w:rPr>
            </w:pPr>
            <w:r w:rsidRPr="00BB7039">
              <w:rPr>
                <w:color w:val="212121"/>
              </w:rPr>
              <w:t>Fifth reminder (letter with URL and login instructions)</w:t>
            </w:r>
          </w:p>
        </w:tc>
        <w:tc>
          <w:tcPr>
            <w:tcW w:w="2070" w:type="dxa"/>
            <w:shd w:val="clear" w:color="auto" w:fill="FFFFFF"/>
            <w:tcMar>
              <w:top w:w="0" w:type="dxa"/>
              <w:left w:w="108" w:type="dxa"/>
              <w:bottom w:w="0" w:type="dxa"/>
              <w:right w:w="108" w:type="dxa"/>
            </w:tcMar>
          </w:tcPr>
          <w:p w:rsidRPr="00BB7039" w:rsidR="00313FFF" w:rsidP="00385311" w:rsidRDefault="00313FFF" w14:paraId="4357623D" w14:textId="4045A17D">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tcPr>
          <w:p w:rsidRPr="00BB7039" w:rsidR="00313FFF" w:rsidP="00385311" w:rsidRDefault="00313FFF" w14:paraId="0A6096CE" w14:textId="22C5D7F8">
            <w:pPr>
              <w:keepNext/>
              <w:rPr>
                <w:color w:val="212121"/>
              </w:rPr>
            </w:pPr>
            <w:r w:rsidRPr="00BB7039">
              <w:rPr>
                <w:color w:val="212121"/>
              </w:rPr>
              <w:t>16</w:t>
            </w:r>
          </w:p>
        </w:tc>
        <w:tc>
          <w:tcPr>
            <w:tcW w:w="1239" w:type="dxa"/>
            <w:shd w:val="clear" w:color="auto" w:fill="FFFFFF"/>
          </w:tcPr>
          <w:p w:rsidRPr="00BB7039" w:rsidR="00313FFF" w:rsidP="00385311" w:rsidRDefault="00BE0459" w14:paraId="36860BBE" w14:textId="4538F752">
            <w:pPr>
              <w:keepNext/>
              <w:ind w:left="270"/>
              <w:rPr>
                <w:color w:val="212121"/>
              </w:rPr>
            </w:pPr>
            <w:r w:rsidRPr="00BB7039">
              <w:rPr>
                <w:color w:val="212121"/>
              </w:rPr>
              <w:t>1</w:t>
            </w:r>
            <w:r w:rsidR="008F3829">
              <w:rPr>
                <w:color w:val="212121"/>
              </w:rPr>
              <w:t>5</w:t>
            </w:r>
          </w:p>
        </w:tc>
      </w:tr>
      <w:tr w:rsidRPr="00BB7039" w:rsidR="00313FFF" w:rsidTr="0079495C" w14:paraId="35A71E1B" w14:textId="77777777">
        <w:tc>
          <w:tcPr>
            <w:tcW w:w="4950" w:type="dxa"/>
            <w:shd w:val="clear" w:color="auto" w:fill="FFFFFF"/>
            <w:tcMar>
              <w:top w:w="0" w:type="dxa"/>
              <w:left w:w="108" w:type="dxa"/>
              <w:bottom w:w="0" w:type="dxa"/>
              <w:right w:w="108" w:type="dxa"/>
            </w:tcMar>
            <w:hideMark/>
          </w:tcPr>
          <w:p w:rsidRPr="00BB7039" w:rsidR="00313FFF" w:rsidP="00385311" w:rsidRDefault="00313FFF" w14:paraId="739A1410" w14:textId="2AC38868">
            <w:pPr>
              <w:keepNext/>
              <w:rPr>
                <w:color w:val="212121"/>
              </w:rPr>
            </w:pPr>
            <w:r w:rsidRPr="00BB7039">
              <w:rPr>
                <w:color w:val="212121"/>
              </w:rPr>
              <w:t>Telephone non-response contact</w:t>
            </w:r>
          </w:p>
        </w:tc>
        <w:tc>
          <w:tcPr>
            <w:tcW w:w="2070" w:type="dxa"/>
            <w:shd w:val="clear" w:color="auto" w:fill="FFFFFF"/>
            <w:tcMar>
              <w:top w:w="0" w:type="dxa"/>
              <w:left w:w="108" w:type="dxa"/>
              <w:bottom w:w="0" w:type="dxa"/>
              <w:right w:w="108" w:type="dxa"/>
            </w:tcMar>
            <w:hideMark/>
          </w:tcPr>
          <w:p w:rsidRPr="00BB7039" w:rsidR="00313FFF" w:rsidP="00385311" w:rsidRDefault="00313FFF" w14:paraId="7900AEBB" w14:textId="12B00E25">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hideMark/>
          </w:tcPr>
          <w:p w:rsidRPr="00BB7039" w:rsidR="00313FFF" w:rsidP="00385311" w:rsidRDefault="00313FFF" w14:paraId="2A3C4521" w14:textId="505B258E">
            <w:pPr>
              <w:keepNext/>
              <w:rPr>
                <w:color w:val="212121"/>
              </w:rPr>
            </w:pPr>
            <w:r w:rsidRPr="00BB7039">
              <w:rPr>
                <w:color w:val="212121"/>
              </w:rPr>
              <w:t>19</w:t>
            </w:r>
          </w:p>
        </w:tc>
        <w:tc>
          <w:tcPr>
            <w:tcW w:w="1239" w:type="dxa"/>
            <w:shd w:val="clear" w:color="auto" w:fill="FFFFFF"/>
          </w:tcPr>
          <w:p w:rsidRPr="00BB7039" w:rsidR="00313FFF" w:rsidP="00385311" w:rsidRDefault="00BE0459" w14:paraId="6534CCF1" w14:textId="5F0C3DFA">
            <w:pPr>
              <w:keepNext/>
              <w:ind w:left="270"/>
              <w:rPr>
                <w:color w:val="212121"/>
              </w:rPr>
            </w:pPr>
            <w:r w:rsidRPr="00BB7039">
              <w:rPr>
                <w:color w:val="212121"/>
              </w:rPr>
              <w:t>1</w:t>
            </w:r>
            <w:r w:rsidR="008F3829">
              <w:rPr>
                <w:color w:val="212121"/>
              </w:rPr>
              <w:t>6</w:t>
            </w:r>
          </w:p>
        </w:tc>
      </w:tr>
      <w:tr w:rsidRPr="00BB7039" w:rsidR="00313FFF" w:rsidTr="0079495C" w14:paraId="3E5DB85B" w14:textId="77777777">
        <w:tc>
          <w:tcPr>
            <w:tcW w:w="4950" w:type="dxa"/>
            <w:shd w:val="clear" w:color="auto" w:fill="FFFFFF"/>
            <w:tcMar>
              <w:top w:w="0" w:type="dxa"/>
              <w:left w:w="108" w:type="dxa"/>
              <w:bottom w:w="0" w:type="dxa"/>
              <w:right w:w="108" w:type="dxa"/>
            </w:tcMar>
          </w:tcPr>
          <w:p w:rsidRPr="00BB7039" w:rsidR="00313FFF" w:rsidP="00385311" w:rsidRDefault="00313FFF" w14:paraId="673AC281" w14:textId="24FE46FD">
            <w:pPr>
              <w:keepNext/>
              <w:rPr>
                <w:color w:val="212121"/>
              </w:rPr>
            </w:pPr>
            <w:r w:rsidRPr="00BB7039">
              <w:rPr>
                <w:color w:val="212121"/>
              </w:rPr>
              <w:t>Sixth reminder (letter with URL and login instructions)</w:t>
            </w:r>
          </w:p>
        </w:tc>
        <w:tc>
          <w:tcPr>
            <w:tcW w:w="2070" w:type="dxa"/>
            <w:shd w:val="clear" w:color="auto" w:fill="FFFFFF"/>
            <w:tcMar>
              <w:top w:w="0" w:type="dxa"/>
              <w:left w:w="108" w:type="dxa"/>
              <w:bottom w:w="0" w:type="dxa"/>
              <w:right w:w="108" w:type="dxa"/>
            </w:tcMar>
          </w:tcPr>
          <w:p w:rsidRPr="00BB7039" w:rsidR="00313FFF" w:rsidP="00385311" w:rsidRDefault="00313FFF" w14:paraId="5444C0C1" w14:textId="42A4694E">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tcPr>
          <w:p w:rsidRPr="00BB7039" w:rsidR="00313FFF" w:rsidP="00385311" w:rsidRDefault="00313FFF" w14:paraId="6CA3898C" w14:textId="7C0A5A63">
            <w:pPr>
              <w:keepNext/>
              <w:rPr>
                <w:color w:val="212121"/>
              </w:rPr>
            </w:pPr>
            <w:r w:rsidRPr="00BB7039">
              <w:rPr>
                <w:color w:val="212121"/>
              </w:rPr>
              <w:t>21</w:t>
            </w:r>
          </w:p>
        </w:tc>
        <w:tc>
          <w:tcPr>
            <w:tcW w:w="1239" w:type="dxa"/>
            <w:shd w:val="clear" w:color="auto" w:fill="FFFFFF"/>
          </w:tcPr>
          <w:p w:rsidRPr="00BB7039" w:rsidR="00313FFF" w:rsidP="00385311" w:rsidRDefault="00BE0459" w14:paraId="58E0AD1B" w14:textId="25AC439F">
            <w:pPr>
              <w:keepNext/>
              <w:ind w:left="270"/>
              <w:rPr>
                <w:color w:val="212121"/>
              </w:rPr>
            </w:pPr>
            <w:r w:rsidRPr="00BB7039">
              <w:rPr>
                <w:color w:val="212121"/>
              </w:rPr>
              <w:t>1</w:t>
            </w:r>
            <w:r w:rsidR="008F3829">
              <w:rPr>
                <w:color w:val="212121"/>
              </w:rPr>
              <w:t>7</w:t>
            </w:r>
          </w:p>
        </w:tc>
      </w:tr>
      <w:tr w:rsidRPr="00BB7039" w:rsidR="00313FFF" w:rsidTr="0079495C" w14:paraId="6B6D688A" w14:textId="77777777">
        <w:tc>
          <w:tcPr>
            <w:tcW w:w="4950" w:type="dxa"/>
            <w:shd w:val="clear" w:color="auto" w:fill="FFFFFF"/>
            <w:tcMar>
              <w:top w:w="0" w:type="dxa"/>
              <w:left w:w="108" w:type="dxa"/>
              <w:bottom w:w="0" w:type="dxa"/>
              <w:right w:w="108" w:type="dxa"/>
            </w:tcMar>
            <w:hideMark/>
          </w:tcPr>
          <w:p w:rsidRPr="00BB7039" w:rsidR="00313FFF" w:rsidP="00385311" w:rsidRDefault="00313FFF" w14:paraId="2C7642D7" w14:textId="544C21F0">
            <w:pPr>
              <w:keepNext/>
              <w:rPr>
                <w:color w:val="212121"/>
              </w:rPr>
            </w:pPr>
            <w:r w:rsidRPr="00BB7039">
              <w:rPr>
                <w:color w:val="212121"/>
              </w:rPr>
              <w:t>Final mailing (end</w:t>
            </w:r>
            <w:r w:rsidRPr="00BB7039" w:rsidR="00943145">
              <w:rPr>
                <w:color w:val="212121"/>
              </w:rPr>
              <w:t>-</w:t>
            </w:r>
            <w:r w:rsidRPr="00BB7039">
              <w:rPr>
                <w:color w:val="212121"/>
              </w:rPr>
              <w:t>of</w:t>
            </w:r>
            <w:r w:rsidRPr="00BB7039" w:rsidR="00943145">
              <w:rPr>
                <w:color w:val="212121"/>
              </w:rPr>
              <w:t>-</w:t>
            </w:r>
            <w:r w:rsidRPr="00BB7039">
              <w:rPr>
                <w:color w:val="212121"/>
              </w:rPr>
              <w:t>study letter</w:t>
            </w:r>
            <w:r w:rsidRPr="00BB7039" w:rsidR="00943145">
              <w:rPr>
                <w:color w:val="212121"/>
              </w:rPr>
              <w:t xml:space="preserve"> and email</w:t>
            </w:r>
            <w:r w:rsidRPr="00BB7039">
              <w:rPr>
                <w:color w:val="212121"/>
              </w:rPr>
              <w:t>)</w:t>
            </w:r>
          </w:p>
        </w:tc>
        <w:tc>
          <w:tcPr>
            <w:tcW w:w="2070" w:type="dxa"/>
            <w:shd w:val="clear" w:color="auto" w:fill="FFFFFF"/>
            <w:tcMar>
              <w:top w:w="0" w:type="dxa"/>
              <w:left w:w="108" w:type="dxa"/>
              <w:bottom w:w="0" w:type="dxa"/>
              <w:right w:w="108" w:type="dxa"/>
            </w:tcMar>
            <w:hideMark/>
          </w:tcPr>
          <w:p w:rsidRPr="00BB7039" w:rsidR="00313FFF" w:rsidP="00385311" w:rsidRDefault="00313FFF" w14:paraId="4FEF0C65" w14:textId="4FB51FD7">
            <w:pPr>
              <w:keepNext/>
              <w:rPr>
                <w:color w:val="212121"/>
              </w:rPr>
            </w:pPr>
            <w:r w:rsidRPr="00BB7039">
              <w:rPr>
                <w:color w:val="212121"/>
              </w:rPr>
              <w:t>Non-respondents</w:t>
            </w:r>
          </w:p>
        </w:tc>
        <w:tc>
          <w:tcPr>
            <w:tcW w:w="1800" w:type="dxa"/>
            <w:shd w:val="clear" w:color="auto" w:fill="FFFFFF"/>
            <w:tcMar>
              <w:top w:w="0" w:type="dxa"/>
              <w:left w:w="108" w:type="dxa"/>
              <w:bottom w:w="0" w:type="dxa"/>
              <w:right w:w="108" w:type="dxa"/>
            </w:tcMar>
            <w:hideMark/>
          </w:tcPr>
          <w:p w:rsidRPr="00BB7039" w:rsidR="00313FFF" w:rsidP="00385311" w:rsidRDefault="00943145" w14:paraId="20BB53D0" w14:textId="1364038B">
            <w:pPr>
              <w:keepNext/>
              <w:rPr>
                <w:color w:val="212121"/>
              </w:rPr>
            </w:pPr>
            <w:r w:rsidRPr="00BB7039">
              <w:rPr>
                <w:color w:val="212121"/>
              </w:rPr>
              <w:t>25</w:t>
            </w:r>
          </w:p>
        </w:tc>
        <w:tc>
          <w:tcPr>
            <w:tcW w:w="1239" w:type="dxa"/>
            <w:shd w:val="clear" w:color="auto" w:fill="FFFFFF"/>
          </w:tcPr>
          <w:p w:rsidRPr="00BB7039" w:rsidR="00313FFF" w:rsidP="00385311" w:rsidRDefault="00BE0459" w14:paraId="4D8B133A" w14:textId="26836923">
            <w:pPr>
              <w:keepNext/>
              <w:ind w:left="270"/>
              <w:rPr>
                <w:color w:val="212121"/>
              </w:rPr>
            </w:pPr>
            <w:r w:rsidRPr="00BB7039">
              <w:rPr>
                <w:color w:val="212121"/>
              </w:rPr>
              <w:t>1</w:t>
            </w:r>
            <w:r w:rsidR="008F3829">
              <w:rPr>
                <w:color w:val="212121"/>
              </w:rPr>
              <w:t>8</w:t>
            </w:r>
          </w:p>
        </w:tc>
      </w:tr>
      <w:tr w:rsidRPr="00BB7039" w:rsidR="00313FFF" w:rsidTr="0079495C" w14:paraId="2E054565" w14:textId="77777777">
        <w:tc>
          <w:tcPr>
            <w:tcW w:w="4950" w:type="dxa"/>
            <w:shd w:val="clear" w:color="auto" w:fill="FFFFFF"/>
            <w:tcMar>
              <w:top w:w="0" w:type="dxa"/>
              <w:left w:w="108" w:type="dxa"/>
              <w:bottom w:w="0" w:type="dxa"/>
              <w:right w:w="108" w:type="dxa"/>
            </w:tcMar>
          </w:tcPr>
          <w:p w:rsidRPr="00BB7039" w:rsidR="00313FFF" w:rsidP="00385311" w:rsidRDefault="00313FFF" w14:paraId="3F70F053" w14:textId="6CB3BD33">
            <w:pPr>
              <w:keepNext/>
              <w:rPr>
                <w:color w:val="212121"/>
              </w:rPr>
            </w:pPr>
            <w:r w:rsidRPr="00BB7039">
              <w:rPr>
                <w:color w:val="212121"/>
              </w:rPr>
              <w:t>File cleaning and preparation</w:t>
            </w:r>
          </w:p>
        </w:tc>
        <w:tc>
          <w:tcPr>
            <w:tcW w:w="2070" w:type="dxa"/>
            <w:shd w:val="clear" w:color="auto" w:fill="FFFFFF"/>
            <w:tcMar>
              <w:top w:w="0" w:type="dxa"/>
              <w:left w:w="108" w:type="dxa"/>
              <w:bottom w:w="0" w:type="dxa"/>
              <w:right w:w="108" w:type="dxa"/>
            </w:tcMar>
          </w:tcPr>
          <w:p w:rsidRPr="00BB7039" w:rsidR="00313FFF" w:rsidP="00385311" w:rsidRDefault="00313FFF" w14:paraId="6AC0653C" w14:textId="4420051B">
            <w:pPr>
              <w:keepNext/>
              <w:rPr>
                <w:color w:val="212121"/>
              </w:rPr>
            </w:pPr>
            <w:r w:rsidRPr="00BB7039">
              <w:rPr>
                <w:color w:val="212121"/>
              </w:rPr>
              <w:t>N/A</w:t>
            </w:r>
          </w:p>
        </w:tc>
        <w:tc>
          <w:tcPr>
            <w:tcW w:w="1800" w:type="dxa"/>
            <w:shd w:val="clear" w:color="auto" w:fill="FFFFFF"/>
            <w:tcMar>
              <w:top w:w="0" w:type="dxa"/>
              <w:left w:w="108" w:type="dxa"/>
              <w:bottom w:w="0" w:type="dxa"/>
              <w:right w:w="108" w:type="dxa"/>
            </w:tcMar>
          </w:tcPr>
          <w:p w:rsidRPr="00BB7039" w:rsidR="00313FFF" w:rsidP="00385311" w:rsidRDefault="00313FFF" w14:paraId="71F89AC4" w14:textId="3BF11619">
            <w:pPr>
              <w:keepNext/>
              <w:rPr>
                <w:color w:val="212121"/>
              </w:rPr>
            </w:pPr>
            <w:r w:rsidRPr="00BB7039">
              <w:rPr>
                <w:color w:val="212121"/>
              </w:rPr>
              <w:t xml:space="preserve">Months </w:t>
            </w:r>
            <w:r w:rsidRPr="00BB7039" w:rsidR="00943145">
              <w:rPr>
                <w:color w:val="212121"/>
              </w:rPr>
              <w:t>9</w:t>
            </w:r>
            <w:r w:rsidRPr="00BB7039">
              <w:rPr>
                <w:color w:val="212121"/>
              </w:rPr>
              <w:t>-12</w:t>
            </w:r>
          </w:p>
        </w:tc>
        <w:tc>
          <w:tcPr>
            <w:tcW w:w="1239" w:type="dxa"/>
            <w:shd w:val="clear" w:color="auto" w:fill="FFFFFF"/>
          </w:tcPr>
          <w:p w:rsidRPr="00BB7039" w:rsidR="00313FFF" w:rsidP="00385311" w:rsidRDefault="00A20912" w14:paraId="69564796" w14:textId="7C6B122B">
            <w:pPr>
              <w:keepNext/>
              <w:ind w:left="270"/>
              <w:rPr>
                <w:color w:val="212121"/>
              </w:rPr>
            </w:pPr>
            <w:r w:rsidRPr="00BB7039">
              <w:rPr>
                <w:color w:val="212121"/>
              </w:rPr>
              <w:t>--</w:t>
            </w:r>
          </w:p>
        </w:tc>
      </w:tr>
      <w:tr w:rsidRPr="00BB7039" w:rsidR="00313FFF" w:rsidTr="0079495C" w14:paraId="70112A9B" w14:textId="77777777">
        <w:tc>
          <w:tcPr>
            <w:tcW w:w="4950" w:type="dxa"/>
            <w:shd w:val="clear" w:color="auto" w:fill="FFFFFF"/>
            <w:tcMar>
              <w:top w:w="0" w:type="dxa"/>
              <w:left w:w="108" w:type="dxa"/>
              <w:bottom w:w="0" w:type="dxa"/>
              <w:right w:w="108" w:type="dxa"/>
            </w:tcMar>
            <w:hideMark/>
          </w:tcPr>
          <w:p w:rsidRPr="00BB7039" w:rsidR="00313FFF" w:rsidP="00385311" w:rsidRDefault="00313FFF" w14:paraId="5F50797B" w14:textId="635BC645">
            <w:pPr>
              <w:keepNext/>
              <w:rPr>
                <w:color w:val="212121"/>
              </w:rPr>
            </w:pPr>
            <w:r w:rsidRPr="00BB7039">
              <w:rPr>
                <w:color w:val="212121"/>
              </w:rPr>
              <w:t>Analysis</w:t>
            </w:r>
          </w:p>
        </w:tc>
        <w:tc>
          <w:tcPr>
            <w:tcW w:w="2070" w:type="dxa"/>
            <w:shd w:val="clear" w:color="auto" w:fill="FFFFFF"/>
            <w:tcMar>
              <w:top w:w="0" w:type="dxa"/>
              <w:left w:w="108" w:type="dxa"/>
              <w:bottom w:w="0" w:type="dxa"/>
              <w:right w:w="108" w:type="dxa"/>
            </w:tcMar>
            <w:hideMark/>
          </w:tcPr>
          <w:p w:rsidRPr="00BB7039" w:rsidR="00313FFF" w:rsidP="00385311" w:rsidRDefault="00313FFF" w14:paraId="2D514D8F" w14:textId="65F20E2B">
            <w:pPr>
              <w:keepNext/>
              <w:rPr>
                <w:color w:val="212121"/>
              </w:rPr>
            </w:pPr>
            <w:r w:rsidRPr="00BB7039">
              <w:rPr>
                <w:color w:val="212121"/>
              </w:rPr>
              <w:t>N/A</w:t>
            </w:r>
          </w:p>
        </w:tc>
        <w:tc>
          <w:tcPr>
            <w:tcW w:w="1800" w:type="dxa"/>
            <w:shd w:val="clear" w:color="auto" w:fill="FFFFFF"/>
            <w:tcMar>
              <w:top w:w="0" w:type="dxa"/>
              <w:left w:w="108" w:type="dxa"/>
              <w:bottom w:w="0" w:type="dxa"/>
              <w:right w:w="108" w:type="dxa"/>
            </w:tcMar>
            <w:hideMark/>
          </w:tcPr>
          <w:p w:rsidRPr="00BB7039" w:rsidR="00313FFF" w:rsidP="00385311" w:rsidRDefault="00313FFF" w14:paraId="231933AE" w14:textId="07B1F020">
            <w:pPr>
              <w:keepNext/>
              <w:rPr>
                <w:color w:val="212121"/>
              </w:rPr>
            </w:pPr>
            <w:r w:rsidRPr="00BB7039">
              <w:rPr>
                <w:color w:val="212121"/>
              </w:rPr>
              <w:t>Months 12-18</w:t>
            </w:r>
          </w:p>
        </w:tc>
        <w:tc>
          <w:tcPr>
            <w:tcW w:w="1239" w:type="dxa"/>
            <w:shd w:val="clear" w:color="auto" w:fill="FFFFFF"/>
          </w:tcPr>
          <w:p w:rsidRPr="00BB7039" w:rsidR="00313FFF" w:rsidP="00385311" w:rsidRDefault="00313FFF" w14:paraId="18E04DB0" w14:textId="5FAD76AA">
            <w:pPr>
              <w:keepNext/>
              <w:ind w:left="270"/>
              <w:rPr>
                <w:color w:val="212121"/>
              </w:rPr>
            </w:pPr>
            <w:r w:rsidRPr="00BB7039">
              <w:rPr>
                <w:color w:val="212121"/>
              </w:rPr>
              <w:t>--</w:t>
            </w:r>
          </w:p>
        </w:tc>
      </w:tr>
      <w:tr w:rsidRPr="00BB7039" w:rsidR="00313FFF" w:rsidTr="0079495C" w14:paraId="7895EEA2" w14:textId="77777777">
        <w:tc>
          <w:tcPr>
            <w:tcW w:w="4950" w:type="dxa"/>
            <w:shd w:val="clear" w:color="auto" w:fill="FFFFFF"/>
            <w:tcMar>
              <w:top w:w="0" w:type="dxa"/>
              <w:left w:w="108" w:type="dxa"/>
              <w:bottom w:w="0" w:type="dxa"/>
              <w:right w:w="108" w:type="dxa"/>
            </w:tcMar>
            <w:hideMark/>
          </w:tcPr>
          <w:p w:rsidRPr="00BB7039" w:rsidR="00313FFF" w:rsidP="00385311" w:rsidRDefault="00313FFF" w14:paraId="5D9C7C0F" w14:textId="64636D37">
            <w:pPr>
              <w:keepNext/>
              <w:rPr>
                <w:color w:val="212121"/>
              </w:rPr>
            </w:pPr>
            <w:r w:rsidRPr="00BB7039">
              <w:rPr>
                <w:color w:val="212121"/>
              </w:rPr>
              <w:t>Reports</w:t>
            </w:r>
          </w:p>
        </w:tc>
        <w:tc>
          <w:tcPr>
            <w:tcW w:w="2070" w:type="dxa"/>
            <w:shd w:val="clear" w:color="auto" w:fill="FFFFFF"/>
            <w:tcMar>
              <w:top w:w="0" w:type="dxa"/>
              <w:left w:w="108" w:type="dxa"/>
              <w:bottom w:w="0" w:type="dxa"/>
              <w:right w:w="108" w:type="dxa"/>
            </w:tcMar>
            <w:hideMark/>
          </w:tcPr>
          <w:p w:rsidRPr="00BB7039" w:rsidR="00313FFF" w:rsidP="00385311" w:rsidRDefault="00313FFF" w14:paraId="5750401D" w14:textId="20F9EC41">
            <w:pPr>
              <w:keepNext/>
              <w:rPr>
                <w:color w:val="212121"/>
              </w:rPr>
            </w:pPr>
            <w:r w:rsidRPr="00BB7039">
              <w:rPr>
                <w:color w:val="212121"/>
              </w:rPr>
              <w:t>N/A</w:t>
            </w:r>
          </w:p>
        </w:tc>
        <w:tc>
          <w:tcPr>
            <w:tcW w:w="1800" w:type="dxa"/>
            <w:shd w:val="clear" w:color="auto" w:fill="FFFFFF"/>
            <w:tcMar>
              <w:top w:w="0" w:type="dxa"/>
              <w:left w:w="108" w:type="dxa"/>
              <w:bottom w:w="0" w:type="dxa"/>
              <w:right w:w="108" w:type="dxa"/>
            </w:tcMar>
            <w:hideMark/>
          </w:tcPr>
          <w:p w:rsidRPr="00BB7039" w:rsidR="00313FFF" w:rsidP="00385311" w:rsidRDefault="00313FFF" w14:paraId="3CB86B42" w14:textId="1618486C">
            <w:pPr>
              <w:keepNext/>
              <w:rPr>
                <w:color w:val="212121"/>
              </w:rPr>
            </w:pPr>
            <w:r w:rsidRPr="00BB7039">
              <w:rPr>
                <w:color w:val="212121"/>
              </w:rPr>
              <w:t>Months 18-24</w:t>
            </w:r>
          </w:p>
        </w:tc>
        <w:tc>
          <w:tcPr>
            <w:tcW w:w="1239" w:type="dxa"/>
            <w:shd w:val="clear" w:color="auto" w:fill="FFFFFF"/>
          </w:tcPr>
          <w:p w:rsidRPr="00BB7039" w:rsidR="00313FFF" w:rsidP="00385311" w:rsidRDefault="00313FFF" w14:paraId="09F78AD6" w14:textId="21BA9381">
            <w:pPr>
              <w:keepNext/>
              <w:ind w:left="270"/>
              <w:rPr>
                <w:color w:val="212121"/>
              </w:rPr>
            </w:pPr>
            <w:r w:rsidRPr="00BB7039">
              <w:rPr>
                <w:color w:val="212121"/>
              </w:rPr>
              <w:t>--</w:t>
            </w:r>
          </w:p>
        </w:tc>
      </w:tr>
    </w:tbl>
    <w:p w:rsidRPr="00BB7039" w:rsidR="004D3708" w:rsidP="00385311" w:rsidRDefault="004D3708" w14:paraId="2AF0B437" w14:textId="77777777"/>
    <w:p w:rsidRPr="00BB7039" w:rsidR="00F40BDE" w:rsidP="00385311" w:rsidRDefault="00F40BDE" w14:paraId="21859EAE" w14:textId="70F7DA64">
      <w:r w:rsidRPr="00BB7039">
        <w:t xml:space="preserve">BJS will be responsible for the statistical analysis and publication of the data from the </w:t>
      </w:r>
      <w:r w:rsidRPr="00BB7039" w:rsidR="00754E3A">
        <w:t>20</w:t>
      </w:r>
      <w:r w:rsidRPr="00BB7039" w:rsidR="00922B3A">
        <w:t>2</w:t>
      </w:r>
      <w:r w:rsidRPr="00BB7039" w:rsidR="00D87D4D">
        <w:t>1</w:t>
      </w:r>
      <w:r w:rsidRPr="00BB7039" w:rsidR="00754E3A">
        <w:t xml:space="preserve"> </w:t>
      </w:r>
      <w:r w:rsidRPr="00BB7039" w:rsidR="00D87D4D">
        <w:t>SCLEA</w:t>
      </w:r>
      <w:r w:rsidRPr="00BB7039">
        <w:t xml:space="preserve">. Contingent on the processing and delivery of the final data file, BJS anticipates releasing </w:t>
      </w:r>
      <w:r w:rsidRPr="00BB7039" w:rsidR="00F24852">
        <w:t>a summary report</w:t>
      </w:r>
      <w:r w:rsidRPr="00BB7039">
        <w:t xml:space="preserve"> </w:t>
      </w:r>
      <w:r w:rsidRPr="00BB7039" w:rsidR="00204356">
        <w:t xml:space="preserve">and the data </w:t>
      </w:r>
      <w:r w:rsidRPr="00BB7039">
        <w:t xml:space="preserve">by </w:t>
      </w:r>
      <w:r w:rsidRPr="00BB7039" w:rsidR="00943145">
        <w:t>September</w:t>
      </w:r>
      <w:r w:rsidRPr="00BB7039" w:rsidR="00922B3A">
        <w:t xml:space="preserve"> 202</w:t>
      </w:r>
      <w:r w:rsidRPr="00BB7039" w:rsidR="0025486E">
        <w:t>3</w:t>
      </w:r>
      <w:r w:rsidRPr="00BB7039">
        <w:t xml:space="preserve">. </w:t>
      </w:r>
      <w:r w:rsidRPr="00BB7039" w:rsidR="00F24852">
        <w:t xml:space="preserve">This summary report, titled </w:t>
      </w:r>
      <w:r w:rsidRPr="00BB7039" w:rsidR="00F24852">
        <w:rPr>
          <w:i/>
        </w:rPr>
        <w:t>Campus Law Enforcement Agencies, 2021</w:t>
      </w:r>
      <w:r w:rsidRPr="00BB7039" w:rsidR="00F24852">
        <w:t xml:space="preserve">, will provide general information on the characteristics of campus </w:t>
      </w:r>
      <w:r w:rsidRPr="00BB7039" w:rsidR="004825BB">
        <w:t>LEAs</w:t>
      </w:r>
      <w:r w:rsidRPr="00BB7039" w:rsidR="00F24852">
        <w:t xml:space="preserve">, including the composition of campus law enforcement officers by sex and race and Hispanic origin. This report will </w:t>
      </w:r>
      <w:r w:rsidRPr="00BB7039" w:rsidR="007E5B4A">
        <w:t xml:space="preserve">also </w:t>
      </w:r>
      <w:r w:rsidRPr="00BB7039" w:rsidR="003E53D8">
        <w:t>discuss findings related to the functions</w:t>
      </w:r>
      <w:r w:rsidRPr="00BB7039" w:rsidR="004825BB">
        <w:t xml:space="preserve"> for which campus LEAs have primary responsibility</w:t>
      </w:r>
      <w:r w:rsidRPr="00BB7039" w:rsidR="003E53D8">
        <w:t xml:space="preserve">, operations, pay, equipment, technology, </w:t>
      </w:r>
      <w:r w:rsidRPr="00BB7039" w:rsidR="004825BB">
        <w:t>and officer selection and training.</w:t>
      </w:r>
    </w:p>
    <w:p w:rsidRPr="00BB7039" w:rsidR="00F40BDE" w:rsidP="00385311" w:rsidRDefault="00F40BDE" w14:paraId="593D4882" w14:textId="77777777"/>
    <w:p w:rsidRPr="00BB7039" w:rsidR="00AF7585" w:rsidP="00B90D2B" w:rsidRDefault="00AF7585" w14:paraId="4688EC60" w14:textId="77777777">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Display of Expiration Date</w:t>
      </w:r>
    </w:p>
    <w:p w:rsidRPr="00BB7039" w:rsidR="00AF7585" w:rsidP="00385311" w:rsidRDefault="00AF7585" w14:paraId="0DE0F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385311" w:rsidRDefault="00AF7585" w14:paraId="0BB50A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The expiration date will be shown on the survey form.</w:t>
      </w:r>
      <w:r w:rsidRPr="00BB7039" w:rsidR="005D1F5D">
        <w:t xml:space="preserve"> </w:t>
      </w:r>
    </w:p>
    <w:p w:rsidRPr="00BB7039" w:rsidR="00AF7585" w:rsidP="00385311" w:rsidRDefault="00AF7585" w14:paraId="3B612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F7585" w:rsidP="00B90D2B" w:rsidRDefault="00AF7585" w14:paraId="198A416D" w14:textId="77777777">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7039">
        <w:rPr>
          <w:b/>
        </w:rPr>
        <w:t>Exception to the Certificate Statement</w:t>
      </w:r>
    </w:p>
    <w:p w:rsidRPr="00BB7039" w:rsidR="00AF7585" w:rsidP="00385311" w:rsidRDefault="00AF7585" w14:paraId="67FCB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586629" w:rsidP="00385311" w:rsidRDefault="00AF7585" w14:paraId="649E20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039">
        <w:t>BJS is not requesting an exception to the certification of this information collection.</w:t>
      </w:r>
      <w:r w:rsidRPr="00BB7039" w:rsidR="005D1F5D">
        <w:t xml:space="preserve"> </w:t>
      </w:r>
    </w:p>
    <w:p w:rsidRPr="00BB7039" w:rsidR="00586629" w:rsidP="00385311" w:rsidRDefault="00586629" w14:paraId="213E9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7039" w:rsidR="00A96FB0" w:rsidP="00B90D2B" w:rsidRDefault="00A96FB0" w14:paraId="5FB72D51" w14:textId="77777777">
      <w:pPr>
        <w:pStyle w:val="ListParagraph"/>
        <w:numPr>
          <w:ilvl w:val="0"/>
          <w:numId w:val="30"/>
        </w:numPr>
        <w:rPr>
          <w:b/>
        </w:rPr>
      </w:pPr>
      <w:r w:rsidRPr="00BB7039">
        <w:rPr>
          <w:b/>
        </w:rPr>
        <w:lastRenderedPageBreak/>
        <w:t>Contacts for Statistical Aspects and Data Collection</w:t>
      </w:r>
    </w:p>
    <w:p w:rsidRPr="00BB7039" w:rsidR="00A96FB0" w:rsidP="00385311" w:rsidRDefault="00A96FB0" w14:paraId="11526B3F" w14:textId="77777777"/>
    <w:p w:rsidRPr="00BB7039" w:rsidR="00A96FB0" w:rsidP="00385311" w:rsidRDefault="00A96FB0" w14:paraId="21E91C2A" w14:textId="77777777">
      <w:pPr>
        <w:pStyle w:val="ListParagraph"/>
        <w:numPr>
          <w:ilvl w:val="0"/>
          <w:numId w:val="6"/>
        </w:numPr>
        <w:tabs>
          <w:tab w:val="left" w:pos="360"/>
        </w:tabs>
        <w:ind w:left="0" w:firstLine="0"/>
      </w:pPr>
      <w:r w:rsidRPr="00BB7039">
        <w:t>BJS contacts include</w:t>
      </w:r>
      <w:r w:rsidRPr="00BB7039" w:rsidR="006D7E4F">
        <w:t>:</w:t>
      </w:r>
      <w:r w:rsidRPr="00BB7039">
        <w:t xml:space="preserve"> </w:t>
      </w:r>
    </w:p>
    <w:p w:rsidRPr="00BB7039" w:rsidR="00391B4F" w:rsidP="00385311" w:rsidRDefault="00391B4F" w14:paraId="06EA4DA7" w14:textId="77777777">
      <w:pPr>
        <w:pStyle w:val="ListParagraph"/>
        <w:tabs>
          <w:tab w:val="left" w:pos="360"/>
        </w:tabs>
        <w:ind w:left="0"/>
      </w:pPr>
    </w:p>
    <w:p w:rsidRPr="00BB7039" w:rsidR="000F0027" w:rsidP="00385311" w:rsidRDefault="00391B4F" w14:paraId="091B09AE" w14:textId="1F2B0EDF">
      <w:pPr>
        <w:pStyle w:val="ListParagraph"/>
        <w:tabs>
          <w:tab w:val="left" w:pos="360"/>
        </w:tabs>
        <w:ind w:left="0"/>
      </w:pPr>
      <w:r w:rsidRPr="00BB7039">
        <w:tab/>
      </w:r>
      <w:r w:rsidRPr="00BB7039">
        <w:tab/>
      </w:r>
      <w:r w:rsidRPr="00BB7039" w:rsidR="000F0027">
        <w:t>Elizabeth Davis</w:t>
      </w:r>
    </w:p>
    <w:p w:rsidRPr="00BB7039" w:rsidR="000F0027" w:rsidP="00385311" w:rsidRDefault="000F0027" w14:paraId="51E652FC" w14:textId="2C09E70E">
      <w:pPr>
        <w:pStyle w:val="ListParagraph"/>
        <w:tabs>
          <w:tab w:val="left" w:pos="360"/>
        </w:tabs>
        <w:ind w:left="0"/>
      </w:pPr>
      <w:r w:rsidRPr="00BB7039">
        <w:tab/>
      </w:r>
      <w:r w:rsidRPr="00BB7039">
        <w:tab/>
        <w:t>202-305-2667</w:t>
      </w:r>
    </w:p>
    <w:p w:rsidRPr="00BB7039" w:rsidR="000F0027" w:rsidP="00385311" w:rsidRDefault="000F0027" w14:paraId="6DEA3D4F" w14:textId="60ED6086">
      <w:pPr>
        <w:pStyle w:val="ListParagraph"/>
        <w:tabs>
          <w:tab w:val="left" w:pos="360"/>
        </w:tabs>
        <w:ind w:left="0"/>
      </w:pPr>
      <w:r w:rsidRPr="00BB7039">
        <w:tab/>
      </w:r>
      <w:r w:rsidRPr="00BB7039">
        <w:tab/>
        <w:t>Elizabeth.Davis@usdoj.gov</w:t>
      </w:r>
    </w:p>
    <w:p w:rsidRPr="00BB7039" w:rsidR="000F0027" w:rsidP="00385311" w:rsidRDefault="000F0027" w14:paraId="0D8B8496" w14:textId="77777777">
      <w:pPr>
        <w:pStyle w:val="ListParagraph"/>
        <w:tabs>
          <w:tab w:val="left" w:pos="360"/>
        </w:tabs>
        <w:ind w:left="0"/>
      </w:pPr>
    </w:p>
    <w:p w:rsidRPr="00BB7039" w:rsidR="00CD4EB4" w:rsidP="00385311" w:rsidRDefault="000F0027" w14:paraId="52291936" w14:textId="0E31A572">
      <w:pPr>
        <w:pStyle w:val="ListParagraph"/>
        <w:tabs>
          <w:tab w:val="left" w:pos="360"/>
        </w:tabs>
        <w:ind w:left="0"/>
      </w:pPr>
      <w:r w:rsidRPr="00BB7039">
        <w:tab/>
      </w:r>
      <w:r w:rsidRPr="00BB7039">
        <w:tab/>
      </w:r>
      <w:r w:rsidRPr="00BB7039" w:rsidR="00EA3A79">
        <w:t xml:space="preserve">Kevin </w:t>
      </w:r>
      <w:r w:rsidRPr="00BB7039" w:rsidR="00476193">
        <w:t xml:space="preserve">M. </w:t>
      </w:r>
      <w:r w:rsidRPr="00BB7039" w:rsidR="00EA3A79">
        <w:t>Scott, Ph.D.</w:t>
      </w:r>
    </w:p>
    <w:p w:rsidRPr="00BB7039" w:rsidR="00EA3A79" w:rsidP="00385311" w:rsidRDefault="00EA3A79" w14:paraId="5E979D7C" w14:textId="5084ADD2">
      <w:pPr>
        <w:pStyle w:val="ListParagraph"/>
        <w:tabs>
          <w:tab w:val="left" w:pos="360"/>
        </w:tabs>
        <w:ind w:left="0"/>
      </w:pPr>
      <w:r w:rsidRPr="00BB7039">
        <w:tab/>
      </w:r>
      <w:r w:rsidRPr="00BB7039">
        <w:tab/>
        <w:t>202-616-3615</w:t>
      </w:r>
    </w:p>
    <w:p w:rsidRPr="00BB7039" w:rsidR="00EA3A79" w:rsidP="00385311" w:rsidRDefault="00EA3A79" w14:paraId="0D0D37B8" w14:textId="26C8224E">
      <w:pPr>
        <w:pStyle w:val="ListParagraph"/>
        <w:tabs>
          <w:tab w:val="left" w:pos="360"/>
        </w:tabs>
        <w:ind w:left="0"/>
        <w:rPr>
          <w:rStyle w:val="Hyperlink"/>
        </w:rPr>
      </w:pPr>
      <w:r w:rsidRPr="00BB7039">
        <w:tab/>
      </w:r>
      <w:r w:rsidRPr="00BB7039">
        <w:tab/>
        <w:t>Kevin.</w:t>
      </w:r>
      <w:r w:rsidRPr="00BB7039" w:rsidR="00476193">
        <w:t>M.Scott@</w:t>
      </w:r>
      <w:r w:rsidRPr="00BB7039">
        <w:t>usdoj.gov</w:t>
      </w:r>
    </w:p>
    <w:p w:rsidRPr="00BB7039" w:rsidR="00787478" w:rsidP="00385311" w:rsidRDefault="00787478" w14:paraId="62FAE048" w14:textId="77777777"/>
    <w:p w:rsidRPr="00BB7039" w:rsidR="00A96FB0" w:rsidP="00385311" w:rsidRDefault="00A96FB0" w14:paraId="4D7B1F45" w14:textId="77777777">
      <w:pPr>
        <w:pStyle w:val="ListParagraph"/>
        <w:numPr>
          <w:ilvl w:val="0"/>
          <w:numId w:val="6"/>
        </w:numPr>
        <w:tabs>
          <w:tab w:val="left" w:pos="360"/>
        </w:tabs>
        <w:ind w:left="0" w:firstLine="0"/>
      </w:pPr>
      <w:r w:rsidRPr="00BB7039">
        <w:t>Persons consulted on statistical methodology:</w:t>
      </w:r>
    </w:p>
    <w:p w:rsidRPr="00BB7039" w:rsidR="00391B4F" w:rsidP="00385311" w:rsidRDefault="00391B4F" w14:paraId="076B703D" w14:textId="77777777">
      <w:pPr>
        <w:tabs>
          <w:tab w:val="left" w:pos="360"/>
        </w:tabs>
      </w:pPr>
    </w:p>
    <w:p w:rsidRPr="00BB7039" w:rsidR="00393A13" w:rsidP="00385311" w:rsidRDefault="00391B4F" w14:paraId="714D33F5" w14:textId="77777777">
      <w:pPr>
        <w:pStyle w:val="ListParagraph"/>
        <w:tabs>
          <w:tab w:val="left" w:pos="360"/>
        </w:tabs>
        <w:ind w:left="0"/>
      </w:pPr>
      <w:r w:rsidRPr="00BB7039">
        <w:tab/>
      </w:r>
      <w:r w:rsidRPr="00BB7039">
        <w:tab/>
      </w:r>
      <w:r w:rsidRPr="00BB7039" w:rsidR="00393A13">
        <w:t>Nicole Mack</w:t>
      </w:r>
    </w:p>
    <w:p w:rsidRPr="00BB7039" w:rsidR="00393A13" w:rsidP="00385311" w:rsidRDefault="00393A13" w14:paraId="39CF3045" w14:textId="77777777">
      <w:pPr>
        <w:pStyle w:val="ListParagraph"/>
        <w:tabs>
          <w:tab w:val="left" w:pos="360"/>
        </w:tabs>
        <w:ind w:left="0"/>
      </w:pPr>
      <w:r w:rsidRPr="00BB7039">
        <w:tab/>
      </w:r>
      <w:r w:rsidRPr="00BB7039">
        <w:tab/>
        <w:t>RTI International</w:t>
      </w:r>
    </w:p>
    <w:p w:rsidRPr="00BB7039" w:rsidR="00A96FB0" w:rsidP="00385311" w:rsidRDefault="00A96FB0" w14:paraId="34706532" w14:textId="48048ACA">
      <w:pPr>
        <w:pStyle w:val="ListParagraph"/>
        <w:tabs>
          <w:tab w:val="left" w:pos="360"/>
        </w:tabs>
        <w:ind w:left="0"/>
      </w:pPr>
    </w:p>
    <w:p w:rsidRPr="00BB7039" w:rsidR="00A96FB0" w:rsidP="00385311" w:rsidRDefault="00A96FB0" w14:paraId="56E70E06" w14:textId="77777777">
      <w:pPr>
        <w:pStyle w:val="ListParagraph"/>
        <w:keepNext/>
        <w:keepLines/>
        <w:numPr>
          <w:ilvl w:val="0"/>
          <w:numId w:val="6"/>
        </w:numPr>
        <w:tabs>
          <w:tab w:val="left" w:pos="360"/>
        </w:tabs>
        <w:ind w:left="0" w:firstLine="0"/>
      </w:pPr>
      <w:r w:rsidRPr="00BB7039">
        <w:t>Persons consulted on data collection and analysis:</w:t>
      </w:r>
    </w:p>
    <w:p w:rsidRPr="00BB7039" w:rsidR="00391B4F" w:rsidP="00385311" w:rsidRDefault="00391B4F" w14:paraId="7911D45E" w14:textId="77777777">
      <w:pPr>
        <w:ind w:firstLine="720"/>
      </w:pPr>
    </w:p>
    <w:p w:rsidRPr="00BB7039" w:rsidR="00393A13" w:rsidP="00385311" w:rsidRDefault="00393A13" w14:paraId="1C76D19A" w14:textId="77777777">
      <w:pPr>
        <w:ind w:left="720"/>
      </w:pPr>
      <w:r w:rsidRPr="00BB7039">
        <w:t>Dustin Williams</w:t>
      </w:r>
      <w:r w:rsidRPr="00BB7039">
        <w:tab/>
      </w:r>
      <w:r w:rsidRPr="00BB7039">
        <w:tab/>
      </w:r>
      <w:r w:rsidRPr="00BB7039">
        <w:tab/>
      </w:r>
      <w:r w:rsidRPr="00BB7039">
        <w:tab/>
        <w:t>Tim Smith</w:t>
      </w:r>
    </w:p>
    <w:p w:rsidRPr="00BB7039" w:rsidR="00393A13" w:rsidP="00385311" w:rsidRDefault="00393A13" w14:paraId="1553BF37" w14:textId="77777777">
      <w:pPr>
        <w:ind w:left="720"/>
      </w:pPr>
      <w:r w:rsidRPr="00BB7039">
        <w:t>RTI International</w:t>
      </w:r>
      <w:r w:rsidRPr="00BB7039">
        <w:tab/>
      </w:r>
      <w:r w:rsidRPr="00BB7039">
        <w:tab/>
      </w:r>
      <w:r w:rsidRPr="00BB7039">
        <w:tab/>
      </w:r>
      <w:r w:rsidRPr="00BB7039">
        <w:tab/>
        <w:t>RTI International</w:t>
      </w:r>
    </w:p>
    <w:p w:rsidRPr="00BB7039" w:rsidR="00393A13" w:rsidP="00385311" w:rsidRDefault="00393A13" w14:paraId="48DB5248" w14:textId="77777777">
      <w:pPr>
        <w:ind w:left="720"/>
      </w:pPr>
    </w:p>
    <w:p w:rsidRPr="00BB7039" w:rsidR="00393A13" w:rsidP="00385311" w:rsidRDefault="00393A13" w14:paraId="20F081EE" w14:textId="77777777">
      <w:pPr>
        <w:ind w:left="720"/>
      </w:pPr>
      <w:r w:rsidRPr="00BB7039">
        <w:t xml:space="preserve">Christian Genesky </w:t>
      </w:r>
      <w:r w:rsidRPr="00BB7039">
        <w:tab/>
      </w:r>
      <w:r w:rsidRPr="00BB7039">
        <w:tab/>
      </w:r>
      <w:r w:rsidRPr="00BB7039">
        <w:tab/>
      </w:r>
      <w:r w:rsidRPr="00BB7039">
        <w:tab/>
        <w:t>Tim Flanigan</w:t>
      </w:r>
    </w:p>
    <w:p w:rsidR="00393A13" w:rsidP="00385311" w:rsidRDefault="00393A13" w14:paraId="45B53EE8" w14:textId="77777777">
      <w:pPr>
        <w:ind w:left="720"/>
      </w:pPr>
      <w:r w:rsidRPr="00BB7039">
        <w:t>RTI International</w:t>
      </w:r>
      <w:r w:rsidRPr="00BB7039">
        <w:tab/>
      </w:r>
      <w:r w:rsidRPr="00BB7039">
        <w:tab/>
      </w:r>
      <w:r w:rsidRPr="00BB7039">
        <w:tab/>
      </w:r>
      <w:r w:rsidRPr="00BB7039">
        <w:tab/>
        <w:t>RTI International</w:t>
      </w:r>
    </w:p>
    <w:p w:rsidR="00A802BD" w:rsidP="00385311" w:rsidRDefault="00A802BD" w14:paraId="3060F1BA" w14:textId="5A845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A802BD" w:rsidSect="004259D9">
      <w:footerReference w:type="default" r:id="rId8"/>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BE0E" w14:textId="77777777" w:rsidR="009719AB" w:rsidRDefault="009719AB" w:rsidP="00AF7585">
      <w:r>
        <w:separator/>
      </w:r>
    </w:p>
  </w:endnote>
  <w:endnote w:type="continuationSeparator" w:id="0">
    <w:p w14:paraId="3DFE4DB2" w14:textId="77777777" w:rsidR="009719AB" w:rsidRDefault="009719AB"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6B44" w14:textId="5F7B356E" w:rsidR="009719AB" w:rsidRDefault="009719AB">
    <w:pPr>
      <w:pStyle w:val="Footer"/>
      <w:jc w:val="center"/>
    </w:pPr>
    <w:r>
      <w:fldChar w:fldCharType="begin"/>
    </w:r>
    <w:r>
      <w:instrText xml:space="preserve"> PAGE   \* MERGEFORMAT </w:instrText>
    </w:r>
    <w:r>
      <w:fldChar w:fldCharType="separate"/>
    </w:r>
    <w:r>
      <w:rPr>
        <w:noProof/>
      </w:rPr>
      <w:t>24</w:t>
    </w:r>
    <w:r>
      <w:rPr>
        <w:noProof/>
      </w:rPr>
      <w:fldChar w:fldCharType="end"/>
    </w:r>
  </w:p>
  <w:p w14:paraId="3747E14D" w14:textId="77777777" w:rsidR="009719AB" w:rsidRDefault="0097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96995" w14:textId="77777777" w:rsidR="009719AB" w:rsidRDefault="009719AB" w:rsidP="00AF7585">
      <w:r>
        <w:separator/>
      </w:r>
    </w:p>
  </w:footnote>
  <w:footnote w:type="continuationSeparator" w:id="0">
    <w:p w14:paraId="4D6D57DF" w14:textId="77777777" w:rsidR="009719AB" w:rsidRDefault="009719AB" w:rsidP="00AF7585">
      <w:r>
        <w:continuationSeparator/>
      </w:r>
    </w:p>
  </w:footnote>
  <w:footnote w:id="1">
    <w:p w14:paraId="0F8E5175" w14:textId="77777777" w:rsidR="009719AB" w:rsidRPr="00D848DE" w:rsidRDefault="009719AB" w:rsidP="009D48A3">
      <w:pPr>
        <w:autoSpaceDE w:val="0"/>
        <w:autoSpaceDN w:val="0"/>
        <w:adjustRightInd w:val="0"/>
        <w:rPr>
          <w:rFonts w:ascii="TimesNewRomanPSMT" w:hAnsi="TimesNewRomanPSMT" w:cs="TimesNewRomanPSMT"/>
          <w:color w:val="000000"/>
          <w:sz w:val="20"/>
          <w:szCs w:val="20"/>
        </w:rPr>
      </w:pPr>
      <w:r w:rsidRPr="00D848DE">
        <w:rPr>
          <w:rStyle w:val="FootnoteReference"/>
          <w:sz w:val="20"/>
          <w:szCs w:val="20"/>
        </w:rPr>
        <w:footnoteRef/>
      </w:r>
      <w:r w:rsidRPr="00D848DE">
        <w:rPr>
          <w:sz w:val="20"/>
          <w:szCs w:val="20"/>
        </w:rPr>
        <w:t xml:space="preserve"> </w:t>
      </w:r>
      <w:r w:rsidRPr="00D848DE">
        <w:rPr>
          <w:rFonts w:ascii="TimesNewRomanPSMT" w:hAnsi="TimesNewRomanPSMT" w:cs="TimesNewRomanPSMT"/>
          <w:color w:val="000000"/>
          <w:sz w:val="20"/>
          <w:szCs w:val="20"/>
        </w:rPr>
        <w:t>Reaves BA. Campus law enforcement, 2011-12 (NCJ 248028).</w:t>
      </w:r>
    </w:p>
    <w:p w14:paraId="26B38DD6" w14:textId="076A88F1" w:rsidR="009719AB" w:rsidRDefault="00432352" w:rsidP="009D48A3">
      <w:pPr>
        <w:pStyle w:val="FootnoteText"/>
      </w:pPr>
      <w:hyperlink r:id="rId1" w:history="1">
        <w:r w:rsidR="009719AB" w:rsidRPr="00D848DE">
          <w:rPr>
            <w:rStyle w:val="Hyperlink"/>
            <w:rFonts w:ascii="TimesNewRomanPSMT" w:hAnsi="TimesNewRomanPSMT" w:cs="TimesNewRomanPSMT"/>
          </w:rPr>
          <w:t>https://bjs.ojp.gov/content/pub/pdf/cle1112.pdf</w:t>
        </w:r>
      </w:hyperlink>
      <w:r w:rsidR="009719AB" w:rsidRPr="00D848DE">
        <w:rPr>
          <w:rFonts w:ascii="TimesNewRomanPSMT" w:hAnsi="TimesNewRomanPSMT" w:cs="TimesNewRomanPSMT"/>
          <w:color w:val="000000"/>
        </w:rPr>
        <w:t xml:space="preserve">. </w:t>
      </w:r>
      <w:r w:rsidR="009719AB">
        <w:rPr>
          <w:rFonts w:ascii="TimesNewRomanPSMT" w:hAnsi="TimesNewRomanPSMT" w:cs="TimesNewRomanPSMT"/>
          <w:color w:val="000000"/>
        </w:rPr>
        <w:t>January 2015</w:t>
      </w:r>
      <w:r w:rsidR="009719AB" w:rsidRPr="00D848DE">
        <w:rPr>
          <w:rFonts w:ascii="TimesNewRomanPSMT" w:hAnsi="TimesNewRomanPSMT" w:cs="TimesNewRomanPSMT"/>
          <w:color w:val="000000"/>
        </w:rPr>
        <w:t>.</w:t>
      </w:r>
    </w:p>
  </w:footnote>
  <w:footnote w:id="2">
    <w:p w14:paraId="5FEB7993" w14:textId="77777777" w:rsidR="009719AB" w:rsidRPr="008E28ED" w:rsidRDefault="009719AB" w:rsidP="008742A5">
      <w:pPr>
        <w:autoSpaceDE w:val="0"/>
        <w:autoSpaceDN w:val="0"/>
        <w:adjustRightInd w:val="0"/>
        <w:rPr>
          <w:color w:val="000000"/>
          <w:sz w:val="20"/>
          <w:szCs w:val="20"/>
        </w:rPr>
      </w:pPr>
      <w:r w:rsidRPr="008E28ED">
        <w:rPr>
          <w:rStyle w:val="FootnoteReference"/>
          <w:sz w:val="20"/>
          <w:szCs w:val="20"/>
        </w:rPr>
        <w:footnoteRef/>
      </w:r>
      <w:r w:rsidRPr="008E28ED">
        <w:rPr>
          <w:sz w:val="20"/>
          <w:szCs w:val="20"/>
        </w:rPr>
        <w:t xml:space="preserve"> </w:t>
      </w:r>
      <w:r w:rsidRPr="008E28ED">
        <w:rPr>
          <w:color w:val="000000"/>
          <w:sz w:val="20"/>
          <w:szCs w:val="20"/>
        </w:rPr>
        <w:t>National Center for Education Statistics, Institute of Education Sciences. Trend generator.</w:t>
      </w:r>
    </w:p>
    <w:p w14:paraId="67A3E53A" w14:textId="74CF0B7B" w:rsidR="009719AB" w:rsidRPr="008E28ED" w:rsidRDefault="00432352" w:rsidP="008742A5">
      <w:pPr>
        <w:pStyle w:val="FootnoteText"/>
      </w:pPr>
      <w:hyperlink r:id="rId2" w:history="1">
        <w:r w:rsidR="009719AB" w:rsidRPr="008E28ED">
          <w:rPr>
            <w:rStyle w:val="Hyperlink"/>
          </w:rPr>
          <w:t>https://nces.ed.gov/ipeds/TrendGenerator/app/answer/2/3</w:t>
        </w:r>
      </w:hyperlink>
      <w:r w:rsidR="009719AB" w:rsidRPr="008E28ED">
        <w:rPr>
          <w:color w:val="000000"/>
        </w:rPr>
        <w:t>. Published n.d.</w:t>
      </w:r>
    </w:p>
  </w:footnote>
  <w:footnote w:id="3">
    <w:p w14:paraId="6246A92F" w14:textId="77777777" w:rsidR="009719AB" w:rsidRPr="008E28ED" w:rsidRDefault="009719AB" w:rsidP="008742A5">
      <w:pPr>
        <w:autoSpaceDE w:val="0"/>
        <w:autoSpaceDN w:val="0"/>
        <w:adjustRightInd w:val="0"/>
        <w:rPr>
          <w:color w:val="000000"/>
          <w:sz w:val="20"/>
          <w:szCs w:val="20"/>
        </w:rPr>
      </w:pPr>
      <w:r w:rsidRPr="008E28ED">
        <w:rPr>
          <w:rStyle w:val="FootnoteReference"/>
          <w:sz w:val="20"/>
          <w:szCs w:val="20"/>
        </w:rPr>
        <w:footnoteRef/>
      </w:r>
      <w:r w:rsidRPr="008E28ED">
        <w:rPr>
          <w:sz w:val="20"/>
          <w:szCs w:val="20"/>
        </w:rPr>
        <w:t xml:space="preserve"> </w:t>
      </w:r>
      <w:r w:rsidRPr="008E28ED">
        <w:rPr>
          <w:color w:val="000000"/>
          <w:sz w:val="20"/>
          <w:szCs w:val="20"/>
        </w:rPr>
        <w:t>National Center for Education Statistics, Institute of Education Sciences. Trend generator.</w:t>
      </w:r>
    </w:p>
    <w:p w14:paraId="5FE843AF" w14:textId="0BDB0723" w:rsidR="009719AB" w:rsidRPr="008E28ED" w:rsidRDefault="00432352" w:rsidP="008742A5">
      <w:pPr>
        <w:pStyle w:val="FootnoteText"/>
      </w:pPr>
      <w:hyperlink r:id="rId3" w:history="1">
        <w:r w:rsidR="009719AB" w:rsidRPr="008E28ED">
          <w:rPr>
            <w:rStyle w:val="Hyperlink"/>
          </w:rPr>
          <w:t>https://nces.ed.gov/ipeds/TrendGenerator/app/answer/5/30</w:t>
        </w:r>
      </w:hyperlink>
      <w:r w:rsidR="009719AB" w:rsidRPr="008E28ED">
        <w:rPr>
          <w:color w:val="000000"/>
        </w:rPr>
        <w:t>. Published n.d.</w:t>
      </w:r>
    </w:p>
  </w:footnote>
  <w:footnote w:id="4">
    <w:p w14:paraId="65D0BC2E" w14:textId="77777777" w:rsidR="009719AB" w:rsidRPr="008E28ED" w:rsidRDefault="009719AB" w:rsidP="00A36559">
      <w:pPr>
        <w:autoSpaceDE w:val="0"/>
        <w:autoSpaceDN w:val="0"/>
        <w:adjustRightInd w:val="0"/>
        <w:rPr>
          <w:color w:val="000000"/>
          <w:sz w:val="20"/>
          <w:szCs w:val="20"/>
        </w:rPr>
      </w:pPr>
      <w:r w:rsidRPr="008E28ED">
        <w:rPr>
          <w:rStyle w:val="FootnoteReference"/>
          <w:sz w:val="20"/>
          <w:szCs w:val="20"/>
        </w:rPr>
        <w:footnoteRef/>
      </w:r>
      <w:r w:rsidRPr="008E28ED">
        <w:rPr>
          <w:sz w:val="20"/>
          <w:szCs w:val="20"/>
        </w:rPr>
        <w:t xml:space="preserve"> </w:t>
      </w:r>
      <w:r w:rsidRPr="008E28ED">
        <w:rPr>
          <w:color w:val="000000"/>
          <w:sz w:val="20"/>
          <w:szCs w:val="20"/>
        </w:rPr>
        <w:t>Campus Safety and Security, U.S. Department of Education. Generate trend data.</w:t>
      </w:r>
    </w:p>
    <w:p w14:paraId="4B9BD938" w14:textId="217764F7" w:rsidR="009719AB" w:rsidRDefault="00432352" w:rsidP="00A36559">
      <w:pPr>
        <w:pStyle w:val="FootnoteText"/>
      </w:pPr>
      <w:hyperlink r:id="rId4" w:anchor="/subjects" w:history="1">
        <w:r w:rsidR="009719AB" w:rsidRPr="008E28ED">
          <w:rPr>
            <w:rStyle w:val="Hyperlink"/>
          </w:rPr>
          <w:t>https://ope.ed.gov/campussafety/Trend/public/#/subjects</w:t>
        </w:r>
      </w:hyperlink>
      <w:r w:rsidR="009719AB" w:rsidRPr="008E28ED">
        <w:rPr>
          <w:color w:val="000000"/>
        </w:rPr>
        <w:t>. Published n.d.</w:t>
      </w:r>
    </w:p>
  </w:footnote>
  <w:footnote w:id="5">
    <w:p w14:paraId="488A8E5F" w14:textId="7F3E4B2E" w:rsidR="009719AB" w:rsidRDefault="009719AB">
      <w:pPr>
        <w:pStyle w:val="FootnoteText"/>
      </w:pPr>
      <w:r>
        <w:rPr>
          <w:rStyle w:val="FootnoteReference"/>
        </w:rPr>
        <w:footnoteRef/>
      </w:r>
      <w:r>
        <w:t xml:space="preserve"> </w:t>
      </w:r>
      <w:r w:rsidRPr="00D848DE">
        <w:rPr>
          <w:rFonts w:ascii="TimesNewRomanPSMT" w:hAnsi="TimesNewRomanPSMT" w:cs="TimesNewRomanPSMT"/>
          <w:color w:val="000000"/>
        </w:rPr>
        <w:t xml:space="preserve">Reaves BA. Campus law enforcement, </w:t>
      </w:r>
      <w:r>
        <w:rPr>
          <w:rFonts w:ascii="TimesNewRomanPSMT" w:hAnsi="TimesNewRomanPSMT" w:cs="TimesNewRomanPSMT"/>
          <w:color w:val="000000"/>
        </w:rPr>
        <w:t>2004-05</w:t>
      </w:r>
      <w:r w:rsidRPr="00D848DE">
        <w:rPr>
          <w:rFonts w:ascii="TimesNewRomanPSMT" w:hAnsi="TimesNewRomanPSMT" w:cs="TimesNewRomanPSMT"/>
          <w:color w:val="000000"/>
        </w:rPr>
        <w:t xml:space="preserve"> (NCJ </w:t>
      </w:r>
      <w:r>
        <w:rPr>
          <w:rFonts w:ascii="TimesNewRomanPSMT" w:hAnsi="TimesNewRomanPSMT" w:cs="TimesNewRomanPSMT"/>
          <w:color w:val="000000"/>
        </w:rPr>
        <w:t>219374</w:t>
      </w:r>
      <w:r w:rsidRPr="00D848DE">
        <w:rPr>
          <w:rFonts w:ascii="TimesNewRomanPSMT" w:hAnsi="TimesNewRomanPSMT" w:cs="TimesNewRomanPSMT"/>
          <w:color w:val="000000"/>
        </w:rPr>
        <w:t>).</w:t>
      </w:r>
      <w:r>
        <w:t xml:space="preserve"> </w:t>
      </w:r>
      <w:hyperlink r:id="rId5" w:history="1">
        <w:r w:rsidRPr="00433F36">
          <w:rPr>
            <w:rStyle w:val="Hyperlink"/>
          </w:rPr>
          <w:t>https://bjs.ojp.gov/content/pub/pdf/cle0405.pdf</w:t>
        </w:r>
      </w:hyperlink>
      <w:r>
        <w:t>. February 2008.</w:t>
      </w:r>
    </w:p>
  </w:footnote>
  <w:footnote w:id="6">
    <w:p w14:paraId="3997CCBB" w14:textId="4ACCACA2" w:rsidR="009719AB" w:rsidRDefault="009719AB">
      <w:pPr>
        <w:pStyle w:val="FootnoteText"/>
      </w:pPr>
      <w:r>
        <w:rPr>
          <w:rStyle w:val="FootnoteReference"/>
        </w:rPr>
        <w:footnoteRef/>
      </w:r>
      <w:r>
        <w:t xml:space="preserve"> </w:t>
      </w:r>
      <w:r w:rsidRPr="00D848DE">
        <w:rPr>
          <w:rFonts w:ascii="TimesNewRomanPSMT" w:hAnsi="TimesNewRomanPSMT" w:cs="TimesNewRomanPSMT"/>
          <w:color w:val="000000"/>
        </w:rPr>
        <w:t>Reaves BA. Campus law enforcement</w:t>
      </w:r>
      <w:r>
        <w:rPr>
          <w:rFonts w:ascii="TimesNewRomanPSMT" w:hAnsi="TimesNewRomanPSMT" w:cs="TimesNewRomanPSMT"/>
          <w:color w:val="000000"/>
        </w:rPr>
        <w:t xml:space="preserve"> agencies</w:t>
      </w:r>
      <w:r w:rsidRPr="00D848DE">
        <w:rPr>
          <w:rFonts w:ascii="TimesNewRomanPSMT" w:hAnsi="TimesNewRomanPSMT" w:cs="TimesNewRomanPSMT"/>
          <w:color w:val="000000"/>
        </w:rPr>
        <w:t xml:space="preserve">, </w:t>
      </w:r>
      <w:r>
        <w:rPr>
          <w:rFonts w:ascii="TimesNewRomanPSMT" w:hAnsi="TimesNewRomanPSMT" w:cs="TimesNewRomanPSMT"/>
          <w:color w:val="000000"/>
        </w:rPr>
        <w:t>1995</w:t>
      </w:r>
      <w:r w:rsidRPr="00D848DE">
        <w:rPr>
          <w:rFonts w:ascii="TimesNewRomanPSMT" w:hAnsi="TimesNewRomanPSMT" w:cs="TimesNewRomanPSMT"/>
          <w:color w:val="000000"/>
        </w:rPr>
        <w:t xml:space="preserve"> (NCJ</w:t>
      </w:r>
      <w:r>
        <w:rPr>
          <w:rFonts w:ascii="TimesNewRomanPSMT" w:hAnsi="TimesNewRomanPSMT" w:cs="TimesNewRomanPSMT"/>
          <w:color w:val="000000"/>
        </w:rPr>
        <w:t xml:space="preserve"> 161137</w:t>
      </w:r>
      <w:r w:rsidRPr="00D848DE">
        <w:rPr>
          <w:rFonts w:ascii="TimesNewRomanPSMT" w:hAnsi="TimesNewRomanPSMT" w:cs="TimesNewRomanPSMT"/>
          <w:color w:val="000000"/>
        </w:rPr>
        <w:t>).</w:t>
      </w:r>
      <w:r>
        <w:rPr>
          <w:rFonts w:ascii="TimesNewRomanPSMT" w:hAnsi="TimesNewRomanPSMT" w:cs="TimesNewRomanPSMT"/>
          <w:color w:val="000000"/>
        </w:rPr>
        <w:t xml:space="preserve"> </w:t>
      </w:r>
      <w:hyperlink r:id="rId6" w:history="1">
        <w:r w:rsidRPr="00433F36">
          <w:rPr>
            <w:rStyle w:val="Hyperlink"/>
          </w:rPr>
          <w:t>https://files.eric.ed.gov/fulltext/ED408883.pdf</w:t>
        </w:r>
      </w:hyperlink>
      <w:r>
        <w:t>. Dec 1996.</w:t>
      </w:r>
    </w:p>
  </w:footnote>
  <w:footnote w:id="7">
    <w:p w14:paraId="4CEF98CB" w14:textId="057C6D6E" w:rsidR="009719AB" w:rsidRDefault="009719AB" w:rsidP="002C5567">
      <w:pPr>
        <w:pStyle w:val="FootnoteText"/>
      </w:pPr>
      <w:r>
        <w:rPr>
          <w:rStyle w:val="FootnoteReference"/>
        </w:rPr>
        <w:footnoteRef/>
      </w:r>
      <w:r>
        <w:t xml:space="preserve"> </w:t>
      </w:r>
      <w:hyperlink r:id="rId7" w:history="1">
        <w:r w:rsidRPr="00C51A97">
          <w:rPr>
            <w:rStyle w:val="Hyperlink"/>
          </w:rPr>
          <w:t>https://www.icpsr.umich.edu/web/NACJD/series/93/publications</w:t>
        </w:r>
      </w:hyperlink>
    </w:p>
  </w:footnote>
  <w:footnote w:id="8">
    <w:p w14:paraId="544B66F9" w14:textId="0B2E859D" w:rsidR="009719AB" w:rsidRPr="003A2666" w:rsidRDefault="009719AB" w:rsidP="00A733E7">
      <w:pPr>
        <w:pStyle w:val="FootnoteText"/>
      </w:pPr>
      <w:r w:rsidRPr="003A2666">
        <w:rPr>
          <w:rStyle w:val="FootnoteReference"/>
        </w:rPr>
        <w:footnoteRef/>
      </w:r>
      <w:r>
        <w:t xml:space="preserve"> Hancock, K. Community policing within campus law enforcement agencies. </w:t>
      </w:r>
      <w:r>
        <w:rPr>
          <w:i/>
        </w:rPr>
        <w:t>Police Practice and Research</w:t>
      </w:r>
      <w:r>
        <w:t>, 17, (5), 463-476, 2016.</w:t>
      </w:r>
      <w:r w:rsidRPr="003A2666">
        <w:t xml:space="preserve"> </w:t>
      </w:r>
    </w:p>
  </w:footnote>
  <w:footnote w:id="9">
    <w:p w14:paraId="01CF8DAE" w14:textId="005397B7" w:rsidR="009719AB" w:rsidRPr="003A2666" w:rsidRDefault="009719AB" w:rsidP="00897E7C">
      <w:pPr>
        <w:pStyle w:val="FootnoteText"/>
      </w:pPr>
      <w:r w:rsidRPr="003A2666">
        <w:rPr>
          <w:rStyle w:val="FootnoteReference"/>
        </w:rPr>
        <w:footnoteRef/>
      </w:r>
      <w:r w:rsidRPr="003A2666">
        <w:t xml:space="preserve"> </w:t>
      </w:r>
      <w:r w:rsidRPr="008622E2">
        <w:rPr>
          <w:color w:val="333333"/>
          <w:shd w:val="clear" w:color="auto" w:fill="FFFFFF"/>
        </w:rPr>
        <w:t xml:space="preserve">Basham, </w:t>
      </w:r>
      <w:proofErr w:type="spellStart"/>
      <w:r w:rsidRPr="008622E2">
        <w:rPr>
          <w:color w:val="333333"/>
          <w:shd w:val="clear" w:color="auto" w:fill="FFFFFF"/>
        </w:rPr>
        <w:t>Sherah</w:t>
      </w:r>
      <w:proofErr w:type="spellEnd"/>
      <w:r w:rsidRPr="008622E2">
        <w:rPr>
          <w:color w:val="333333"/>
          <w:shd w:val="clear" w:color="auto" w:fill="FFFFFF"/>
        </w:rPr>
        <w:t xml:space="preserve"> L. </w:t>
      </w:r>
      <w:r w:rsidRPr="008622E2">
        <w:rPr>
          <w:bCs/>
          <w:color w:val="333333"/>
          <w:shd w:val="clear" w:color="auto" w:fill="FFFFFF"/>
        </w:rPr>
        <w:t>Campus law enforcement: The relationship between emergency preparedness and community policing</w:t>
      </w:r>
      <w:r w:rsidRPr="008622E2">
        <w:rPr>
          <w:color w:val="333333"/>
          <w:shd w:val="clear" w:color="auto" w:fill="FFFFFF"/>
        </w:rPr>
        <w:t>. </w:t>
      </w:r>
      <w:r w:rsidRPr="008622E2">
        <w:rPr>
          <w:i/>
          <w:iCs/>
          <w:color w:val="333333"/>
          <w:shd w:val="clear" w:color="auto" w:fill="FFFFFF"/>
        </w:rPr>
        <w:t xml:space="preserve">Policing, </w:t>
      </w:r>
      <w:r w:rsidRPr="00BB1534">
        <w:rPr>
          <w:iCs/>
          <w:color w:val="333333"/>
          <w:shd w:val="clear" w:color="auto" w:fill="FFFFFF"/>
        </w:rPr>
        <w:t>2020</w:t>
      </w:r>
      <w:r w:rsidRPr="008622E2">
        <w:rPr>
          <w:i/>
          <w:iCs/>
          <w:color w:val="333333"/>
          <w:shd w:val="clear" w:color="auto" w:fill="FFFFFF"/>
        </w:rPr>
        <w:t>.</w:t>
      </w:r>
    </w:p>
  </w:footnote>
  <w:footnote w:id="10">
    <w:p w14:paraId="7C5D9887" w14:textId="7E34AFAF" w:rsidR="009719AB" w:rsidRPr="00512B04" w:rsidRDefault="009719AB" w:rsidP="00897E7C">
      <w:pPr>
        <w:pStyle w:val="FootnoteText"/>
      </w:pPr>
      <w:r w:rsidRPr="00512B04">
        <w:rPr>
          <w:rStyle w:val="FootnoteReference"/>
        </w:rPr>
        <w:footnoteRef/>
      </w:r>
      <w:r w:rsidRPr="00512B04">
        <w:t xml:space="preserve"> </w:t>
      </w:r>
      <w:proofErr w:type="spellStart"/>
      <w:r w:rsidRPr="00512B04">
        <w:rPr>
          <w:color w:val="333333"/>
          <w:shd w:val="clear" w:color="auto" w:fill="FFFFFF"/>
        </w:rPr>
        <w:t>Pinchevsky</w:t>
      </w:r>
      <w:proofErr w:type="spellEnd"/>
      <w:r w:rsidRPr="00512B04">
        <w:rPr>
          <w:color w:val="333333"/>
          <w:shd w:val="clear" w:color="auto" w:fill="FFFFFF"/>
        </w:rPr>
        <w:t>, Gillian M. </w:t>
      </w:r>
      <w:r w:rsidRPr="00512B04">
        <w:rPr>
          <w:bCs/>
          <w:color w:val="333333"/>
          <w:shd w:val="clear" w:color="auto" w:fill="FFFFFF"/>
        </w:rPr>
        <w:t>Campus law enforcement resources for rape prevention and responses to stalking</w:t>
      </w:r>
      <w:r w:rsidRPr="00512B04">
        <w:rPr>
          <w:color w:val="333333"/>
          <w:shd w:val="clear" w:color="auto" w:fill="FFFFFF"/>
        </w:rPr>
        <w:t>. </w:t>
      </w:r>
      <w:r w:rsidRPr="00512B04">
        <w:rPr>
          <w:i/>
          <w:iCs/>
          <w:color w:val="333333"/>
          <w:shd w:val="clear" w:color="auto" w:fill="FFFFFF"/>
        </w:rPr>
        <w:t>Journal of Interpersonal Violence</w:t>
      </w:r>
      <w:r w:rsidRPr="00512B04">
        <w:rPr>
          <w:color w:val="333333"/>
          <w:shd w:val="clear" w:color="auto" w:fill="FFFFFF"/>
        </w:rPr>
        <w:t>, 2019.</w:t>
      </w:r>
    </w:p>
  </w:footnote>
  <w:footnote w:id="11">
    <w:p w14:paraId="6A6E8A2F" w14:textId="356E71CD" w:rsidR="009719AB" w:rsidRPr="00897E7C" w:rsidRDefault="009719AB">
      <w:pPr>
        <w:pStyle w:val="FootnoteText"/>
      </w:pPr>
      <w:r w:rsidRPr="00512B04">
        <w:rPr>
          <w:rStyle w:val="FootnoteReference"/>
        </w:rPr>
        <w:footnoteRef/>
      </w:r>
      <w:r w:rsidRPr="00512B04">
        <w:t xml:space="preserve"> </w:t>
      </w:r>
      <w:proofErr w:type="spellStart"/>
      <w:r w:rsidRPr="00512B04">
        <w:t>Oehme</w:t>
      </w:r>
      <w:proofErr w:type="spellEnd"/>
      <w:r w:rsidRPr="00512B04">
        <w:rPr>
          <w:color w:val="535353"/>
        </w:rPr>
        <w:t xml:space="preserve">, Karen; Stern, Nat; </w:t>
      </w:r>
      <w:proofErr w:type="spellStart"/>
      <w:r w:rsidRPr="00512B04">
        <w:rPr>
          <w:color w:val="535353"/>
        </w:rPr>
        <w:t>Mennicke</w:t>
      </w:r>
      <w:proofErr w:type="spellEnd"/>
      <w:r w:rsidRPr="00512B04">
        <w:rPr>
          <w:color w:val="535353"/>
        </w:rPr>
        <w:t xml:space="preserve">, Annelise. A deficiency in addressing campus sexual assault: The lack of women law enforcement officers. </w:t>
      </w:r>
      <w:r w:rsidRPr="00512B04">
        <w:rPr>
          <w:i/>
          <w:iCs/>
          <w:color w:val="535353"/>
          <w:bdr w:val="none" w:sz="0" w:space="0" w:color="auto" w:frame="1"/>
        </w:rPr>
        <w:t>Harvard Journal of Law &amp; Gender.</w:t>
      </w:r>
      <w:r w:rsidRPr="00512B04">
        <w:rPr>
          <w:color w:val="535353"/>
        </w:rPr>
        <w:t xml:space="preserve"> Vol. 38, p337-372. 2015.</w:t>
      </w:r>
    </w:p>
  </w:footnote>
  <w:footnote w:id="12">
    <w:p w14:paraId="2134A4D4" w14:textId="665788AE" w:rsidR="009719AB" w:rsidRDefault="009719AB">
      <w:pPr>
        <w:pStyle w:val="FootnoteText"/>
      </w:pPr>
      <w:r>
        <w:rPr>
          <w:rStyle w:val="FootnoteReference"/>
        </w:rPr>
        <w:footnoteRef/>
      </w:r>
      <w:r>
        <w:t xml:space="preserve"> As previously mentioned in the Overview, BJS periodically collects the CSLLEA which includes campus LEAs, but only those serving public institutions. The CSLLEA provides estimates on the number of public campus LEAs, personnel counts, and basic functions performed by these agencies.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235B"/>
    <w:multiLevelType w:val="hybridMultilevel"/>
    <w:tmpl w:val="0E6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3D5B"/>
    <w:multiLevelType w:val="hybridMultilevel"/>
    <w:tmpl w:val="D460217C"/>
    <w:lvl w:ilvl="0" w:tplc="E16455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D9C2912"/>
    <w:multiLevelType w:val="hybridMultilevel"/>
    <w:tmpl w:val="A3C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2FA6"/>
    <w:multiLevelType w:val="hybridMultilevel"/>
    <w:tmpl w:val="9C3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B12EE"/>
    <w:multiLevelType w:val="hybridMultilevel"/>
    <w:tmpl w:val="C01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F55C3"/>
    <w:multiLevelType w:val="hybridMultilevel"/>
    <w:tmpl w:val="D59C5A7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750E"/>
    <w:multiLevelType w:val="hybridMultilevel"/>
    <w:tmpl w:val="D77E8316"/>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D6151F"/>
    <w:multiLevelType w:val="hybridMultilevel"/>
    <w:tmpl w:val="3A16BEA6"/>
    <w:lvl w:ilvl="0" w:tplc="D278C482">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F4B34"/>
    <w:multiLevelType w:val="hybridMultilevel"/>
    <w:tmpl w:val="8932B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90653"/>
    <w:multiLevelType w:val="hybridMultilevel"/>
    <w:tmpl w:val="8932B6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2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9"/>
  </w:num>
  <w:num w:numId="6">
    <w:abstractNumId w:val="5"/>
  </w:num>
  <w:num w:numId="7">
    <w:abstractNumId w:val="8"/>
  </w:num>
  <w:num w:numId="8">
    <w:abstractNumId w:val="20"/>
  </w:num>
  <w:num w:numId="9">
    <w:abstractNumId w:val="6"/>
  </w:num>
  <w:num w:numId="10">
    <w:abstractNumId w:val="27"/>
  </w:num>
  <w:num w:numId="11">
    <w:abstractNumId w:val="17"/>
  </w:num>
  <w:num w:numId="12">
    <w:abstractNumId w:val="1"/>
  </w:num>
  <w:num w:numId="13">
    <w:abstractNumId w:val="25"/>
  </w:num>
  <w:num w:numId="14">
    <w:abstractNumId w:val="18"/>
  </w:num>
  <w:num w:numId="15">
    <w:abstractNumId w:val="3"/>
  </w:num>
  <w:num w:numId="16">
    <w:abstractNumId w:val="14"/>
  </w:num>
  <w:num w:numId="17">
    <w:abstractNumId w:val="2"/>
  </w:num>
  <w:num w:numId="18">
    <w:abstractNumId w:val="22"/>
  </w:num>
  <w:num w:numId="19">
    <w:abstractNumId w:val="23"/>
  </w:num>
  <w:num w:numId="20">
    <w:abstractNumId w:val="16"/>
  </w:num>
  <w:num w:numId="21">
    <w:abstractNumId w:val="10"/>
  </w:num>
  <w:num w:numId="22">
    <w:abstractNumId w:val="7"/>
  </w:num>
  <w:num w:numId="23">
    <w:abstractNumId w:val="24"/>
  </w:num>
  <w:num w:numId="24">
    <w:abstractNumId w:val="19"/>
  </w:num>
  <w:num w:numId="25">
    <w:abstractNumId w:val="4"/>
  </w:num>
  <w:num w:numId="26">
    <w:abstractNumId w:val="11"/>
  </w:num>
  <w:num w:numId="27">
    <w:abstractNumId w:val="0"/>
  </w:num>
  <w:num w:numId="28">
    <w:abstractNumId w:val="28"/>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85"/>
    <w:rsid w:val="0000043D"/>
    <w:rsid w:val="00000649"/>
    <w:rsid w:val="00002117"/>
    <w:rsid w:val="000036F4"/>
    <w:rsid w:val="00004A0A"/>
    <w:rsid w:val="00005DDE"/>
    <w:rsid w:val="000062A9"/>
    <w:rsid w:val="0000687A"/>
    <w:rsid w:val="00012F22"/>
    <w:rsid w:val="00012F48"/>
    <w:rsid w:val="0001462D"/>
    <w:rsid w:val="00014D8C"/>
    <w:rsid w:val="00015C7B"/>
    <w:rsid w:val="000163E6"/>
    <w:rsid w:val="00016C20"/>
    <w:rsid w:val="00017E40"/>
    <w:rsid w:val="00022768"/>
    <w:rsid w:val="00022A58"/>
    <w:rsid w:val="00022E50"/>
    <w:rsid w:val="00024B8C"/>
    <w:rsid w:val="00026EFC"/>
    <w:rsid w:val="00030618"/>
    <w:rsid w:val="00030B08"/>
    <w:rsid w:val="0003174C"/>
    <w:rsid w:val="00034043"/>
    <w:rsid w:val="00037327"/>
    <w:rsid w:val="0003769A"/>
    <w:rsid w:val="00042399"/>
    <w:rsid w:val="00042DFD"/>
    <w:rsid w:val="00043C8B"/>
    <w:rsid w:val="000449EA"/>
    <w:rsid w:val="00045FE2"/>
    <w:rsid w:val="00046702"/>
    <w:rsid w:val="00052386"/>
    <w:rsid w:val="0005282E"/>
    <w:rsid w:val="00054BA9"/>
    <w:rsid w:val="00054F21"/>
    <w:rsid w:val="000572E6"/>
    <w:rsid w:val="0005791D"/>
    <w:rsid w:val="00057B82"/>
    <w:rsid w:val="00064AC4"/>
    <w:rsid w:val="0006527A"/>
    <w:rsid w:val="00066683"/>
    <w:rsid w:val="00067B9A"/>
    <w:rsid w:val="000701B9"/>
    <w:rsid w:val="00071725"/>
    <w:rsid w:val="000744FB"/>
    <w:rsid w:val="00074C49"/>
    <w:rsid w:val="00075C6E"/>
    <w:rsid w:val="000770AF"/>
    <w:rsid w:val="000800A8"/>
    <w:rsid w:val="0008064E"/>
    <w:rsid w:val="00080E7A"/>
    <w:rsid w:val="00080F72"/>
    <w:rsid w:val="000815A9"/>
    <w:rsid w:val="000829BF"/>
    <w:rsid w:val="00083EC8"/>
    <w:rsid w:val="000844E7"/>
    <w:rsid w:val="00084E55"/>
    <w:rsid w:val="00084E78"/>
    <w:rsid w:val="0009114B"/>
    <w:rsid w:val="000941A5"/>
    <w:rsid w:val="00094DB1"/>
    <w:rsid w:val="00095E4C"/>
    <w:rsid w:val="000960E2"/>
    <w:rsid w:val="00096DB3"/>
    <w:rsid w:val="000A370C"/>
    <w:rsid w:val="000A54AC"/>
    <w:rsid w:val="000A56AB"/>
    <w:rsid w:val="000A6484"/>
    <w:rsid w:val="000A6BF7"/>
    <w:rsid w:val="000A7F4A"/>
    <w:rsid w:val="000B0998"/>
    <w:rsid w:val="000B2A2D"/>
    <w:rsid w:val="000B2E6B"/>
    <w:rsid w:val="000B50F8"/>
    <w:rsid w:val="000B68BB"/>
    <w:rsid w:val="000C294D"/>
    <w:rsid w:val="000C29DC"/>
    <w:rsid w:val="000C2FF5"/>
    <w:rsid w:val="000C6B08"/>
    <w:rsid w:val="000C6DA8"/>
    <w:rsid w:val="000D2F8F"/>
    <w:rsid w:val="000D32F1"/>
    <w:rsid w:val="000D354F"/>
    <w:rsid w:val="000D4699"/>
    <w:rsid w:val="000D5276"/>
    <w:rsid w:val="000D614E"/>
    <w:rsid w:val="000D6E19"/>
    <w:rsid w:val="000D7A23"/>
    <w:rsid w:val="000E0605"/>
    <w:rsid w:val="000E2FE3"/>
    <w:rsid w:val="000E3065"/>
    <w:rsid w:val="000E47EC"/>
    <w:rsid w:val="000E55AE"/>
    <w:rsid w:val="000E5B17"/>
    <w:rsid w:val="000E5C2D"/>
    <w:rsid w:val="000F0027"/>
    <w:rsid w:val="000F09E0"/>
    <w:rsid w:val="000F1B88"/>
    <w:rsid w:val="000F543D"/>
    <w:rsid w:val="000F631B"/>
    <w:rsid w:val="000F73AC"/>
    <w:rsid w:val="00101128"/>
    <w:rsid w:val="00102F47"/>
    <w:rsid w:val="0010378F"/>
    <w:rsid w:val="00105617"/>
    <w:rsid w:val="001065E2"/>
    <w:rsid w:val="0010702C"/>
    <w:rsid w:val="001071AB"/>
    <w:rsid w:val="00112738"/>
    <w:rsid w:val="001215E8"/>
    <w:rsid w:val="00122EA6"/>
    <w:rsid w:val="00123BA9"/>
    <w:rsid w:val="00125097"/>
    <w:rsid w:val="001250FD"/>
    <w:rsid w:val="00134DBB"/>
    <w:rsid w:val="00134F37"/>
    <w:rsid w:val="00137DA0"/>
    <w:rsid w:val="001402B7"/>
    <w:rsid w:val="00140957"/>
    <w:rsid w:val="00140C91"/>
    <w:rsid w:val="001452C7"/>
    <w:rsid w:val="00146210"/>
    <w:rsid w:val="001478E0"/>
    <w:rsid w:val="00151878"/>
    <w:rsid w:val="0015414F"/>
    <w:rsid w:val="00155575"/>
    <w:rsid w:val="00157497"/>
    <w:rsid w:val="00160592"/>
    <w:rsid w:val="00162650"/>
    <w:rsid w:val="00162E64"/>
    <w:rsid w:val="00166485"/>
    <w:rsid w:val="00167138"/>
    <w:rsid w:val="0017092D"/>
    <w:rsid w:val="00174A98"/>
    <w:rsid w:val="00176F0F"/>
    <w:rsid w:val="00180054"/>
    <w:rsid w:val="001808E9"/>
    <w:rsid w:val="001822B0"/>
    <w:rsid w:val="0018348A"/>
    <w:rsid w:val="00186149"/>
    <w:rsid w:val="00186E9E"/>
    <w:rsid w:val="00187B31"/>
    <w:rsid w:val="0019015C"/>
    <w:rsid w:val="00191F9C"/>
    <w:rsid w:val="001922B8"/>
    <w:rsid w:val="00192787"/>
    <w:rsid w:val="00194973"/>
    <w:rsid w:val="001970A2"/>
    <w:rsid w:val="001A11AF"/>
    <w:rsid w:val="001A1846"/>
    <w:rsid w:val="001A2EA8"/>
    <w:rsid w:val="001A3BDB"/>
    <w:rsid w:val="001A538D"/>
    <w:rsid w:val="001A6B65"/>
    <w:rsid w:val="001B2EB8"/>
    <w:rsid w:val="001B440D"/>
    <w:rsid w:val="001B5CCD"/>
    <w:rsid w:val="001B6F3B"/>
    <w:rsid w:val="001B7BA1"/>
    <w:rsid w:val="001B7FC0"/>
    <w:rsid w:val="001C0DA6"/>
    <w:rsid w:val="001C1976"/>
    <w:rsid w:val="001C4461"/>
    <w:rsid w:val="001C6C85"/>
    <w:rsid w:val="001C7769"/>
    <w:rsid w:val="001D01D1"/>
    <w:rsid w:val="001D089E"/>
    <w:rsid w:val="001D0A85"/>
    <w:rsid w:val="001D0C2B"/>
    <w:rsid w:val="001D172F"/>
    <w:rsid w:val="001D2124"/>
    <w:rsid w:val="001D30CD"/>
    <w:rsid w:val="001D45A1"/>
    <w:rsid w:val="001D56D0"/>
    <w:rsid w:val="001D6DEB"/>
    <w:rsid w:val="001E03D0"/>
    <w:rsid w:val="001E0408"/>
    <w:rsid w:val="001E2454"/>
    <w:rsid w:val="001E2A3E"/>
    <w:rsid w:val="001E44C5"/>
    <w:rsid w:val="001E4A2A"/>
    <w:rsid w:val="001E54D8"/>
    <w:rsid w:val="001E566D"/>
    <w:rsid w:val="001F2F51"/>
    <w:rsid w:val="001F40BB"/>
    <w:rsid w:val="00200EC2"/>
    <w:rsid w:val="002012CE"/>
    <w:rsid w:val="002029FA"/>
    <w:rsid w:val="0020369A"/>
    <w:rsid w:val="00204356"/>
    <w:rsid w:val="00205760"/>
    <w:rsid w:val="00206A0E"/>
    <w:rsid w:val="00206A16"/>
    <w:rsid w:val="002075FE"/>
    <w:rsid w:val="00210F7A"/>
    <w:rsid w:val="00212EFE"/>
    <w:rsid w:val="00214EAE"/>
    <w:rsid w:val="00215D2D"/>
    <w:rsid w:val="00216355"/>
    <w:rsid w:val="0021710E"/>
    <w:rsid w:val="00217B22"/>
    <w:rsid w:val="00221D64"/>
    <w:rsid w:val="00222135"/>
    <w:rsid w:val="002223DC"/>
    <w:rsid w:val="002242A0"/>
    <w:rsid w:val="002242EC"/>
    <w:rsid w:val="002258DE"/>
    <w:rsid w:val="00231622"/>
    <w:rsid w:val="0023320A"/>
    <w:rsid w:val="00236A09"/>
    <w:rsid w:val="00237D93"/>
    <w:rsid w:val="002416FD"/>
    <w:rsid w:val="002419F9"/>
    <w:rsid w:val="00243BD5"/>
    <w:rsid w:val="00244C55"/>
    <w:rsid w:val="002452A0"/>
    <w:rsid w:val="00247079"/>
    <w:rsid w:val="0025418F"/>
    <w:rsid w:val="00254306"/>
    <w:rsid w:val="0025470A"/>
    <w:rsid w:val="0025486E"/>
    <w:rsid w:val="0025497D"/>
    <w:rsid w:val="00263020"/>
    <w:rsid w:val="002655D7"/>
    <w:rsid w:val="00265D45"/>
    <w:rsid w:val="00265E74"/>
    <w:rsid w:val="00270F52"/>
    <w:rsid w:val="00271AC8"/>
    <w:rsid w:val="002756BD"/>
    <w:rsid w:val="002756CF"/>
    <w:rsid w:val="00275798"/>
    <w:rsid w:val="002759AC"/>
    <w:rsid w:val="002847DD"/>
    <w:rsid w:val="00284EF8"/>
    <w:rsid w:val="00285E39"/>
    <w:rsid w:val="002873C6"/>
    <w:rsid w:val="00287773"/>
    <w:rsid w:val="00291C4F"/>
    <w:rsid w:val="002921CF"/>
    <w:rsid w:val="00292FF5"/>
    <w:rsid w:val="00293121"/>
    <w:rsid w:val="00296CE4"/>
    <w:rsid w:val="00297E51"/>
    <w:rsid w:val="002A019F"/>
    <w:rsid w:val="002A2407"/>
    <w:rsid w:val="002A50B1"/>
    <w:rsid w:val="002B06C8"/>
    <w:rsid w:val="002B19FB"/>
    <w:rsid w:val="002B4D57"/>
    <w:rsid w:val="002B6A42"/>
    <w:rsid w:val="002B6D02"/>
    <w:rsid w:val="002B710A"/>
    <w:rsid w:val="002C017F"/>
    <w:rsid w:val="002C033F"/>
    <w:rsid w:val="002C1E5A"/>
    <w:rsid w:val="002C2155"/>
    <w:rsid w:val="002C36CA"/>
    <w:rsid w:val="002C3956"/>
    <w:rsid w:val="002C5567"/>
    <w:rsid w:val="002C6BED"/>
    <w:rsid w:val="002C6ED1"/>
    <w:rsid w:val="002D0760"/>
    <w:rsid w:val="002D2668"/>
    <w:rsid w:val="002D2DAE"/>
    <w:rsid w:val="002D463C"/>
    <w:rsid w:val="002E109F"/>
    <w:rsid w:val="002E1496"/>
    <w:rsid w:val="002E18F7"/>
    <w:rsid w:val="002E1D3B"/>
    <w:rsid w:val="002E30BD"/>
    <w:rsid w:val="002E6A47"/>
    <w:rsid w:val="002F0CA2"/>
    <w:rsid w:val="0030401E"/>
    <w:rsid w:val="00305CD2"/>
    <w:rsid w:val="00305EB5"/>
    <w:rsid w:val="00306CA3"/>
    <w:rsid w:val="00310CEB"/>
    <w:rsid w:val="00310F7C"/>
    <w:rsid w:val="00311517"/>
    <w:rsid w:val="00313FFF"/>
    <w:rsid w:val="00315BC6"/>
    <w:rsid w:val="003167E3"/>
    <w:rsid w:val="00322D3B"/>
    <w:rsid w:val="00323365"/>
    <w:rsid w:val="003249DB"/>
    <w:rsid w:val="003254B8"/>
    <w:rsid w:val="00325B0B"/>
    <w:rsid w:val="00326A51"/>
    <w:rsid w:val="003273E3"/>
    <w:rsid w:val="00327568"/>
    <w:rsid w:val="0033353B"/>
    <w:rsid w:val="00334260"/>
    <w:rsid w:val="00334DDE"/>
    <w:rsid w:val="0033660B"/>
    <w:rsid w:val="00337115"/>
    <w:rsid w:val="00343388"/>
    <w:rsid w:val="003441BF"/>
    <w:rsid w:val="003446FB"/>
    <w:rsid w:val="0035214E"/>
    <w:rsid w:val="003530A2"/>
    <w:rsid w:val="00353F1A"/>
    <w:rsid w:val="00357789"/>
    <w:rsid w:val="003608A5"/>
    <w:rsid w:val="00360B8E"/>
    <w:rsid w:val="00361932"/>
    <w:rsid w:val="00361ADC"/>
    <w:rsid w:val="00362A91"/>
    <w:rsid w:val="00362C39"/>
    <w:rsid w:val="00363A73"/>
    <w:rsid w:val="00364B0D"/>
    <w:rsid w:val="00364CA2"/>
    <w:rsid w:val="00370D2A"/>
    <w:rsid w:val="003725D6"/>
    <w:rsid w:val="00375A1C"/>
    <w:rsid w:val="00376A2B"/>
    <w:rsid w:val="00376F7F"/>
    <w:rsid w:val="00377A45"/>
    <w:rsid w:val="00380843"/>
    <w:rsid w:val="00381611"/>
    <w:rsid w:val="00382D35"/>
    <w:rsid w:val="003839CF"/>
    <w:rsid w:val="00385311"/>
    <w:rsid w:val="00385BFF"/>
    <w:rsid w:val="00387BC9"/>
    <w:rsid w:val="00391B4F"/>
    <w:rsid w:val="00391EE5"/>
    <w:rsid w:val="00391F13"/>
    <w:rsid w:val="003937CE"/>
    <w:rsid w:val="00393A13"/>
    <w:rsid w:val="00397842"/>
    <w:rsid w:val="003A0051"/>
    <w:rsid w:val="003A0861"/>
    <w:rsid w:val="003A0D1F"/>
    <w:rsid w:val="003A21C1"/>
    <w:rsid w:val="003A2666"/>
    <w:rsid w:val="003A3190"/>
    <w:rsid w:val="003A34B3"/>
    <w:rsid w:val="003A4091"/>
    <w:rsid w:val="003A40C4"/>
    <w:rsid w:val="003A42B6"/>
    <w:rsid w:val="003A5281"/>
    <w:rsid w:val="003A7393"/>
    <w:rsid w:val="003A7ABA"/>
    <w:rsid w:val="003A7E28"/>
    <w:rsid w:val="003B0606"/>
    <w:rsid w:val="003B0921"/>
    <w:rsid w:val="003B092A"/>
    <w:rsid w:val="003B1ED9"/>
    <w:rsid w:val="003B22CF"/>
    <w:rsid w:val="003B2927"/>
    <w:rsid w:val="003B3077"/>
    <w:rsid w:val="003B4770"/>
    <w:rsid w:val="003B71F1"/>
    <w:rsid w:val="003C0041"/>
    <w:rsid w:val="003C0236"/>
    <w:rsid w:val="003C15E2"/>
    <w:rsid w:val="003D0437"/>
    <w:rsid w:val="003D093D"/>
    <w:rsid w:val="003D2358"/>
    <w:rsid w:val="003D2511"/>
    <w:rsid w:val="003D3631"/>
    <w:rsid w:val="003D402D"/>
    <w:rsid w:val="003D5479"/>
    <w:rsid w:val="003D54FE"/>
    <w:rsid w:val="003D608D"/>
    <w:rsid w:val="003E000C"/>
    <w:rsid w:val="003E0868"/>
    <w:rsid w:val="003E235B"/>
    <w:rsid w:val="003E5260"/>
    <w:rsid w:val="003E53D8"/>
    <w:rsid w:val="003E68F0"/>
    <w:rsid w:val="003E779A"/>
    <w:rsid w:val="003E7BF3"/>
    <w:rsid w:val="003F0162"/>
    <w:rsid w:val="003F0ECC"/>
    <w:rsid w:val="003F2888"/>
    <w:rsid w:val="003F36FC"/>
    <w:rsid w:val="003F3E45"/>
    <w:rsid w:val="003F5199"/>
    <w:rsid w:val="003F5860"/>
    <w:rsid w:val="003F5936"/>
    <w:rsid w:val="003F7B31"/>
    <w:rsid w:val="004001DD"/>
    <w:rsid w:val="0040077B"/>
    <w:rsid w:val="00402167"/>
    <w:rsid w:val="00402353"/>
    <w:rsid w:val="00410121"/>
    <w:rsid w:val="00410772"/>
    <w:rsid w:val="00416611"/>
    <w:rsid w:val="00420698"/>
    <w:rsid w:val="00421912"/>
    <w:rsid w:val="00422E19"/>
    <w:rsid w:val="00423E20"/>
    <w:rsid w:val="00424740"/>
    <w:rsid w:val="00424C21"/>
    <w:rsid w:val="00424DF2"/>
    <w:rsid w:val="004259D9"/>
    <w:rsid w:val="00426072"/>
    <w:rsid w:val="00432352"/>
    <w:rsid w:val="004408A1"/>
    <w:rsid w:val="00441238"/>
    <w:rsid w:val="00441966"/>
    <w:rsid w:val="004426D6"/>
    <w:rsid w:val="00442953"/>
    <w:rsid w:val="00444633"/>
    <w:rsid w:val="00453223"/>
    <w:rsid w:val="00454D30"/>
    <w:rsid w:val="0045708F"/>
    <w:rsid w:val="004579EE"/>
    <w:rsid w:val="004608B3"/>
    <w:rsid w:val="0046146F"/>
    <w:rsid w:val="00461C58"/>
    <w:rsid w:val="00470BE2"/>
    <w:rsid w:val="00472D0F"/>
    <w:rsid w:val="004739E9"/>
    <w:rsid w:val="00473AFB"/>
    <w:rsid w:val="00474C39"/>
    <w:rsid w:val="00476193"/>
    <w:rsid w:val="00476485"/>
    <w:rsid w:val="00477993"/>
    <w:rsid w:val="0048037A"/>
    <w:rsid w:val="00480A8B"/>
    <w:rsid w:val="00481FCA"/>
    <w:rsid w:val="004825BB"/>
    <w:rsid w:val="004835E3"/>
    <w:rsid w:val="0048523D"/>
    <w:rsid w:val="00486B41"/>
    <w:rsid w:val="004870E4"/>
    <w:rsid w:val="00490316"/>
    <w:rsid w:val="00491CC4"/>
    <w:rsid w:val="00496919"/>
    <w:rsid w:val="0049747A"/>
    <w:rsid w:val="0049790D"/>
    <w:rsid w:val="004979E4"/>
    <w:rsid w:val="004979EE"/>
    <w:rsid w:val="004A1C6E"/>
    <w:rsid w:val="004A4032"/>
    <w:rsid w:val="004A42AA"/>
    <w:rsid w:val="004A48E5"/>
    <w:rsid w:val="004A6560"/>
    <w:rsid w:val="004A70AC"/>
    <w:rsid w:val="004B1ECD"/>
    <w:rsid w:val="004B2FF1"/>
    <w:rsid w:val="004B3D5A"/>
    <w:rsid w:val="004C0399"/>
    <w:rsid w:val="004C0ECD"/>
    <w:rsid w:val="004C190B"/>
    <w:rsid w:val="004C2371"/>
    <w:rsid w:val="004C29EA"/>
    <w:rsid w:val="004C3346"/>
    <w:rsid w:val="004C3E6F"/>
    <w:rsid w:val="004C74EA"/>
    <w:rsid w:val="004C7A5D"/>
    <w:rsid w:val="004D13ED"/>
    <w:rsid w:val="004D3456"/>
    <w:rsid w:val="004D3708"/>
    <w:rsid w:val="004D7AA6"/>
    <w:rsid w:val="004E0FD0"/>
    <w:rsid w:val="004E1158"/>
    <w:rsid w:val="004E1882"/>
    <w:rsid w:val="004E442A"/>
    <w:rsid w:val="004E4984"/>
    <w:rsid w:val="004E5158"/>
    <w:rsid w:val="004E69F3"/>
    <w:rsid w:val="004F5B5D"/>
    <w:rsid w:val="004F73F7"/>
    <w:rsid w:val="00500378"/>
    <w:rsid w:val="00503321"/>
    <w:rsid w:val="00506640"/>
    <w:rsid w:val="005071F6"/>
    <w:rsid w:val="00507BB6"/>
    <w:rsid w:val="00507FBE"/>
    <w:rsid w:val="00512B04"/>
    <w:rsid w:val="00513255"/>
    <w:rsid w:val="00515788"/>
    <w:rsid w:val="005203D6"/>
    <w:rsid w:val="00521A13"/>
    <w:rsid w:val="005222AA"/>
    <w:rsid w:val="00525000"/>
    <w:rsid w:val="005279BB"/>
    <w:rsid w:val="00530734"/>
    <w:rsid w:val="005342A2"/>
    <w:rsid w:val="00534462"/>
    <w:rsid w:val="005358ED"/>
    <w:rsid w:val="005359FA"/>
    <w:rsid w:val="005416F7"/>
    <w:rsid w:val="00542C76"/>
    <w:rsid w:val="0054565D"/>
    <w:rsid w:val="005462AF"/>
    <w:rsid w:val="005468B0"/>
    <w:rsid w:val="00547CBB"/>
    <w:rsid w:val="005528E3"/>
    <w:rsid w:val="005535FA"/>
    <w:rsid w:val="00553C01"/>
    <w:rsid w:val="0055719F"/>
    <w:rsid w:val="005634D8"/>
    <w:rsid w:val="0056352A"/>
    <w:rsid w:val="00566FFD"/>
    <w:rsid w:val="005672AC"/>
    <w:rsid w:val="00571454"/>
    <w:rsid w:val="00571F9D"/>
    <w:rsid w:val="005742EC"/>
    <w:rsid w:val="00574C7F"/>
    <w:rsid w:val="00575F27"/>
    <w:rsid w:val="00577DC6"/>
    <w:rsid w:val="00577DFE"/>
    <w:rsid w:val="0058108E"/>
    <w:rsid w:val="00582665"/>
    <w:rsid w:val="00583011"/>
    <w:rsid w:val="00584C6A"/>
    <w:rsid w:val="00586629"/>
    <w:rsid w:val="00586FB2"/>
    <w:rsid w:val="00594541"/>
    <w:rsid w:val="0059464A"/>
    <w:rsid w:val="005947BD"/>
    <w:rsid w:val="005961AB"/>
    <w:rsid w:val="005A0745"/>
    <w:rsid w:val="005A1100"/>
    <w:rsid w:val="005A3811"/>
    <w:rsid w:val="005A3925"/>
    <w:rsid w:val="005A4181"/>
    <w:rsid w:val="005A494B"/>
    <w:rsid w:val="005A4A16"/>
    <w:rsid w:val="005A4C95"/>
    <w:rsid w:val="005A5C97"/>
    <w:rsid w:val="005A6FA8"/>
    <w:rsid w:val="005A7706"/>
    <w:rsid w:val="005B0C5A"/>
    <w:rsid w:val="005B374D"/>
    <w:rsid w:val="005C04B6"/>
    <w:rsid w:val="005C0507"/>
    <w:rsid w:val="005C606C"/>
    <w:rsid w:val="005C6564"/>
    <w:rsid w:val="005C6DF2"/>
    <w:rsid w:val="005C77BD"/>
    <w:rsid w:val="005D0FB0"/>
    <w:rsid w:val="005D193F"/>
    <w:rsid w:val="005D1F5D"/>
    <w:rsid w:val="005D317C"/>
    <w:rsid w:val="005D599A"/>
    <w:rsid w:val="005D71C6"/>
    <w:rsid w:val="005E09F0"/>
    <w:rsid w:val="005E23D7"/>
    <w:rsid w:val="005E294C"/>
    <w:rsid w:val="005E2B68"/>
    <w:rsid w:val="005E3701"/>
    <w:rsid w:val="005E37BB"/>
    <w:rsid w:val="005F0885"/>
    <w:rsid w:val="005F2389"/>
    <w:rsid w:val="005F41A2"/>
    <w:rsid w:val="00601F2E"/>
    <w:rsid w:val="006021A8"/>
    <w:rsid w:val="0060222D"/>
    <w:rsid w:val="00610144"/>
    <w:rsid w:val="0061161E"/>
    <w:rsid w:val="006162D0"/>
    <w:rsid w:val="00621D4F"/>
    <w:rsid w:val="00623126"/>
    <w:rsid w:val="00625115"/>
    <w:rsid w:val="00625A67"/>
    <w:rsid w:val="00631754"/>
    <w:rsid w:val="006333D3"/>
    <w:rsid w:val="0063378F"/>
    <w:rsid w:val="0063388F"/>
    <w:rsid w:val="006346E7"/>
    <w:rsid w:val="006352F4"/>
    <w:rsid w:val="00635314"/>
    <w:rsid w:val="0063689C"/>
    <w:rsid w:val="006371E8"/>
    <w:rsid w:val="00637AE7"/>
    <w:rsid w:val="00637CA9"/>
    <w:rsid w:val="00642C10"/>
    <w:rsid w:val="006474CE"/>
    <w:rsid w:val="006477A2"/>
    <w:rsid w:val="00647C6E"/>
    <w:rsid w:val="0065008E"/>
    <w:rsid w:val="00651D10"/>
    <w:rsid w:val="00656538"/>
    <w:rsid w:val="00656F36"/>
    <w:rsid w:val="0066023E"/>
    <w:rsid w:val="006603A9"/>
    <w:rsid w:val="00665976"/>
    <w:rsid w:val="00670BEC"/>
    <w:rsid w:val="00671D27"/>
    <w:rsid w:val="006738BC"/>
    <w:rsid w:val="00682A43"/>
    <w:rsid w:val="00685039"/>
    <w:rsid w:val="0068557C"/>
    <w:rsid w:val="00686B15"/>
    <w:rsid w:val="00686C19"/>
    <w:rsid w:val="006874D5"/>
    <w:rsid w:val="006922BC"/>
    <w:rsid w:val="006944A8"/>
    <w:rsid w:val="006A114F"/>
    <w:rsid w:val="006A5653"/>
    <w:rsid w:val="006A56D7"/>
    <w:rsid w:val="006A67AA"/>
    <w:rsid w:val="006B214F"/>
    <w:rsid w:val="006B3626"/>
    <w:rsid w:val="006C15B6"/>
    <w:rsid w:val="006C276A"/>
    <w:rsid w:val="006C3EFF"/>
    <w:rsid w:val="006C429D"/>
    <w:rsid w:val="006C44A1"/>
    <w:rsid w:val="006C51DD"/>
    <w:rsid w:val="006C670F"/>
    <w:rsid w:val="006C6780"/>
    <w:rsid w:val="006D0048"/>
    <w:rsid w:val="006D078D"/>
    <w:rsid w:val="006D2153"/>
    <w:rsid w:val="006D6D82"/>
    <w:rsid w:val="006D6E11"/>
    <w:rsid w:val="006D7E4F"/>
    <w:rsid w:val="006E16C4"/>
    <w:rsid w:val="006E2C56"/>
    <w:rsid w:val="006E7592"/>
    <w:rsid w:val="006F206D"/>
    <w:rsid w:val="006F45AF"/>
    <w:rsid w:val="006F551A"/>
    <w:rsid w:val="006F77A3"/>
    <w:rsid w:val="0070115D"/>
    <w:rsid w:val="00705BD5"/>
    <w:rsid w:val="00707C7F"/>
    <w:rsid w:val="007115EE"/>
    <w:rsid w:val="00712813"/>
    <w:rsid w:val="0071292D"/>
    <w:rsid w:val="007141BA"/>
    <w:rsid w:val="00715D6C"/>
    <w:rsid w:val="00716E38"/>
    <w:rsid w:val="00717343"/>
    <w:rsid w:val="00717AE5"/>
    <w:rsid w:val="00721411"/>
    <w:rsid w:val="007240D6"/>
    <w:rsid w:val="00726BE3"/>
    <w:rsid w:val="007315F2"/>
    <w:rsid w:val="007324D3"/>
    <w:rsid w:val="00732F46"/>
    <w:rsid w:val="00735ABE"/>
    <w:rsid w:val="00737D74"/>
    <w:rsid w:val="00740C8F"/>
    <w:rsid w:val="0074115D"/>
    <w:rsid w:val="00743089"/>
    <w:rsid w:val="0074364B"/>
    <w:rsid w:val="00743F08"/>
    <w:rsid w:val="0074402D"/>
    <w:rsid w:val="0074628D"/>
    <w:rsid w:val="00747719"/>
    <w:rsid w:val="00750AA5"/>
    <w:rsid w:val="007537A1"/>
    <w:rsid w:val="00754E3A"/>
    <w:rsid w:val="00754E5A"/>
    <w:rsid w:val="00755D11"/>
    <w:rsid w:val="00760A34"/>
    <w:rsid w:val="00761563"/>
    <w:rsid w:val="0076246E"/>
    <w:rsid w:val="00764087"/>
    <w:rsid w:val="00767A13"/>
    <w:rsid w:val="00767E52"/>
    <w:rsid w:val="00771BA2"/>
    <w:rsid w:val="007729D0"/>
    <w:rsid w:val="00774C06"/>
    <w:rsid w:val="007764FB"/>
    <w:rsid w:val="00776ABC"/>
    <w:rsid w:val="00777FFA"/>
    <w:rsid w:val="00781052"/>
    <w:rsid w:val="0078235E"/>
    <w:rsid w:val="00787478"/>
    <w:rsid w:val="007914FC"/>
    <w:rsid w:val="00791F9E"/>
    <w:rsid w:val="007920D6"/>
    <w:rsid w:val="00793944"/>
    <w:rsid w:val="00793FFD"/>
    <w:rsid w:val="0079495C"/>
    <w:rsid w:val="007A04D3"/>
    <w:rsid w:val="007A0664"/>
    <w:rsid w:val="007A135A"/>
    <w:rsid w:val="007A1513"/>
    <w:rsid w:val="007A17BA"/>
    <w:rsid w:val="007A39D9"/>
    <w:rsid w:val="007A6095"/>
    <w:rsid w:val="007A6646"/>
    <w:rsid w:val="007A7E96"/>
    <w:rsid w:val="007B0C85"/>
    <w:rsid w:val="007B2EED"/>
    <w:rsid w:val="007B383E"/>
    <w:rsid w:val="007B3A7E"/>
    <w:rsid w:val="007B3EFF"/>
    <w:rsid w:val="007B7134"/>
    <w:rsid w:val="007B739F"/>
    <w:rsid w:val="007B7EFB"/>
    <w:rsid w:val="007C0338"/>
    <w:rsid w:val="007C0505"/>
    <w:rsid w:val="007C0827"/>
    <w:rsid w:val="007D7430"/>
    <w:rsid w:val="007E0195"/>
    <w:rsid w:val="007E0BB0"/>
    <w:rsid w:val="007E12D0"/>
    <w:rsid w:val="007E2249"/>
    <w:rsid w:val="007E32CD"/>
    <w:rsid w:val="007E3570"/>
    <w:rsid w:val="007E4ECE"/>
    <w:rsid w:val="007E5B4A"/>
    <w:rsid w:val="007E6E03"/>
    <w:rsid w:val="007E7135"/>
    <w:rsid w:val="007E76EF"/>
    <w:rsid w:val="007F105F"/>
    <w:rsid w:val="007F2C9B"/>
    <w:rsid w:val="007F4C03"/>
    <w:rsid w:val="007F5643"/>
    <w:rsid w:val="007F5752"/>
    <w:rsid w:val="007F6FF1"/>
    <w:rsid w:val="00801924"/>
    <w:rsid w:val="00804E09"/>
    <w:rsid w:val="008078B8"/>
    <w:rsid w:val="0081224E"/>
    <w:rsid w:val="0081362E"/>
    <w:rsid w:val="0081371D"/>
    <w:rsid w:val="00814593"/>
    <w:rsid w:val="008165D3"/>
    <w:rsid w:val="00817AFB"/>
    <w:rsid w:val="008222D9"/>
    <w:rsid w:val="00824AA2"/>
    <w:rsid w:val="008310A7"/>
    <w:rsid w:val="00833548"/>
    <w:rsid w:val="00834984"/>
    <w:rsid w:val="00834C0D"/>
    <w:rsid w:val="00836F5C"/>
    <w:rsid w:val="00837762"/>
    <w:rsid w:val="008425BC"/>
    <w:rsid w:val="00847C10"/>
    <w:rsid w:val="00850803"/>
    <w:rsid w:val="00850D6E"/>
    <w:rsid w:val="0085130F"/>
    <w:rsid w:val="00855BFA"/>
    <w:rsid w:val="008569B1"/>
    <w:rsid w:val="00857531"/>
    <w:rsid w:val="00860A7C"/>
    <w:rsid w:val="00860F80"/>
    <w:rsid w:val="008611C1"/>
    <w:rsid w:val="008622E2"/>
    <w:rsid w:val="0086421D"/>
    <w:rsid w:val="0086518D"/>
    <w:rsid w:val="00867626"/>
    <w:rsid w:val="0087358D"/>
    <w:rsid w:val="008742A5"/>
    <w:rsid w:val="00876980"/>
    <w:rsid w:val="00876A3A"/>
    <w:rsid w:val="00877AFE"/>
    <w:rsid w:val="008802F2"/>
    <w:rsid w:val="0088124B"/>
    <w:rsid w:val="00881C02"/>
    <w:rsid w:val="00883FF8"/>
    <w:rsid w:val="0088491D"/>
    <w:rsid w:val="00884CD3"/>
    <w:rsid w:val="00884E14"/>
    <w:rsid w:val="00886453"/>
    <w:rsid w:val="00893E54"/>
    <w:rsid w:val="00895D4F"/>
    <w:rsid w:val="00897E7C"/>
    <w:rsid w:val="008A04AF"/>
    <w:rsid w:val="008A0A1B"/>
    <w:rsid w:val="008A102D"/>
    <w:rsid w:val="008A1B5A"/>
    <w:rsid w:val="008A2ABA"/>
    <w:rsid w:val="008A34B8"/>
    <w:rsid w:val="008A4566"/>
    <w:rsid w:val="008A46F2"/>
    <w:rsid w:val="008A4DF0"/>
    <w:rsid w:val="008A5930"/>
    <w:rsid w:val="008A722C"/>
    <w:rsid w:val="008B003F"/>
    <w:rsid w:val="008B0F7F"/>
    <w:rsid w:val="008B13DA"/>
    <w:rsid w:val="008B29DD"/>
    <w:rsid w:val="008B3707"/>
    <w:rsid w:val="008B4515"/>
    <w:rsid w:val="008B4565"/>
    <w:rsid w:val="008B70CE"/>
    <w:rsid w:val="008C352D"/>
    <w:rsid w:val="008C4871"/>
    <w:rsid w:val="008C5B24"/>
    <w:rsid w:val="008C61EB"/>
    <w:rsid w:val="008D04D0"/>
    <w:rsid w:val="008D063C"/>
    <w:rsid w:val="008D0A06"/>
    <w:rsid w:val="008D4E71"/>
    <w:rsid w:val="008D583B"/>
    <w:rsid w:val="008D60E3"/>
    <w:rsid w:val="008D7CC0"/>
    <w:rsid w:val="008D7DCF"/>
    <w:rsid w:val="008E28ED"/>
    <w:rsid w:val="008E2B2D"/>
    <w:rsid w:val="008E3C00"/>
    <w:rsid w:val="008E48AC"/>
    <w:rsid w:val="008E544C"/>
    <w:rsid w:val="008E7A3C"/>
    <w:rsid w:val="008F14BC"/>
    <w:rsid w:val="008F21E1"/>
    <w:rsid w:val="008F3829"/>
    <w:rsid w:val="008F4CE3"/>
    <w:rsid w:val="008F543F"/>
    <w:rsid w:val="008F72B9"/>
    <w:rsid w:val="008F73CF"/>
    <w:rsid w:val="008F7FAC"/>
    <w:rsid w:val="009001C2"/>
    <w:rsid w:val="00902664"/>
    <w:rsid w:val="00903141"/>
    <w:rsid w:val="00903DB9"/>
    <w:rsid w:val="00907E0B"/>
    <w:rsid w:val="009114FD"/>
    <w:rsid w:val="00911D1F"/>
    <w:rsid w:val="009134F0"/>
    <w:rsid w:val="0091513D"/>
    <w:rsid w:val="0091664B"/>
    <w:rsid w:val="00916D85"/>
    <w:rsid w:val="00917824"/>
    <w:rsid w:val="00917D6F"/>
    <w:rsid w:val="0092236C"/>
    <w:rsid w:val="00922B3A"/>
    <w:rsid w:val="009242C6"/>
    <w:rsid w:val="00924A59"/>
    <w:rsid w:val="00925176"/>
    <w:rsid w:val="009313A7"/>
    <w:rsid w:val="0093370C"/>
    <w:rsid w:val="00934DE0"/>
    <w:rsid w:val="00935C77"/>
    <w:rsid w:val="00937C94"/>
    <w:rsid w:val="009415E6"/>
    <w:rsid w:val="00941DF9"/>
    <w:rsid w:val="00942A54"/>
    <w:rsid w:val="00943145"/>
    <w:rsid w:val="00946632"/>
    <w:rsid w:val="009471EC"/>
    <w:rsid w:val="009500AA"/>
    <w:rsid w:val="009500FB"/>
    <w:rsid w:val="009502B6"/>
    <w:rsid w:val="00951442"/>
    <w:rsid w:val="0095289A"/>
    <w:rsid w:val="00953F7A"/>
    <w:rsid w:val="00954D2C"/>
    <w:rsid w:val="00957726"/>
    <w:rsid w:val="009611E0"/>
    <w:rsid w:val="00964BB4"/>
    <w:rsid w:val="009657B5"/>
    <w:rsid w:val="00966C7F"/>
    <w:rsid w:val="00966D48"/>
    <w:rsid w:val="009717C1"/>
    <w:rsid w:val="009719AB"/>
    <w:rsid w:val="00971D7A"/>
    <w:rsid w:val="00973F49"/>
    <w:rsid w:val="009745C2"/>
    <w:rsid w:val="00974EE5"/>
    <w:rsid w:val="00974FFE"/>
    <w:rsid w:val="009769F0"/>
    <w:rsid w:val="00977FBA"/>
    <w:rsid w:val="009844B8"/>
    <w:rsid w:val="00984FDA"/>
    <w:rsid w:val="0098536C"/>
    <w:rsid w:val="009868DA"/>
    <w:rsid w:val="00987A54"/>
    <w:rsid w:val="00987FE6"/>
    <w:rsid w:val="009915CE"/>
    <w:rsid w:val="009928CC"/>
    <w:rsid w:val="009965CF"/>
    <w:rsid w:val="00996F04"/>
    <w:rsid w:val="0099735C"/>
    <w:rsid w:val="00997507"/>
    <w:rsid w:val="009A101F"/>
    <w:rsid w:val="009A2867"/>
    <w:rsid w:val="009A5619"/>
    <w:rsid w:val="009A564A"/>
    <w:rsid w:val="009A75CD"/>
    <w:rsid w:val="009A7BB0"/>
    <w:rsid w:val="009A7C79"/>
    <w:rsid w:val="009B0885"/>
    <w:rsid w:val="009B1AF7"/>
    <w:rsid w:val="009B1D63"/>
    <w:rsid w:val="009B2BB5"/>
    <w:rsid w:val="009B498C"/>
    <w:rsid w:val="009B4E34"/>
    <w:rsid w:val="009B504F"/>
    <w:rsid w:val="009B7599"/>
    <w:rsid w:val="009B7911"/>
    <w:rsid w:val="009C0430"/>
    <w:rsid w:val="009C1BC7"/>
    <w:rsid w:val="009C1F2D"/>
    <w:rsid w:val="009C3976"/>
    <w:rsid w:val="009C4FB0"/>
    <w:rsid w:val="009C7810"/>
    <w:rsid w:val="009D0FA0"/>
    <w:rsid w:val="009D207D"/>
    <w:rsid w:val="009D48A3"/>
    <w:rsid w:val="009D5C5E"/>
    <w:rsid w:val="009E526C"/>
    <w:rsid w:val="009E5379"/>
    <w:rsid w:val="009E568B"/>
    <w:rsid w:val="009E6937"/>
    <w:rsid w:val="009E7A0F"/>
    <w:rsid w:val="009F52B5"/>
    <w:rsid w:val="009F5A71"/>
    <w:rsid w:val="009F651E"/>
    <w:rsid w:val="009F7980"/>
    <w:rsid w:val="009F7E12"/>
    <w:rsid w:val="00A01062"/>
    <w:rsid w:val="00A0177D"/>
    <w:rsid w:val="00A02509"/>
    <w:rsid w:val="00A0303D"/>
    <w:rsid w:val="00A04C70"/>
    <w:rsid w:val="00A06D71"/>
    <w:rsid w:val="00A07FF9"/>
    <w:rsid w:val="00A12C9E"/>
    <w:rsid w:val="00A13885"/>
    <w:rsid w:val="00A13B24"/>
    <w:rsid w:val="00A200DB"/>
    <w:rsid w:val="00A20912"/>
    <w:rsid w:val="00A20FFC"/>
    <w:rsid w:val="00A218AD"/>
    <w:rsid w:val="00A219B0"/>
    <w:rsid w:val="00A22AF2"/>
    <w:rsid w:val="00A245E8"/>
    <w:rsid w:val="00A24ABF"/>
    <w:rsid w:val="00A275B3"/>
    <w:rsid w:val="00A301FD"/>
    <w:rsid w:val="00A31FE5"/>
    <w:rsid w:val="00A323E8"/>
    <w:rsid w:val="00A32CB6"/>
    <w:rsid w:val="00A33454"/>
    <w:rsid w:val="00A34890"/>
    <w:rsid w:val="00A357F7"/>
    <w:rsid w:val="00A3647B"/>
    <w:rsid w:val="00A36559"/>
    <w:rsid w:val="00A405F1"/>
    <w:rsid w:val="00A4486B"/>
    <w:rsid w:val="00A45199"/>
    <w:rsid w:val="00A459B8"/>
    <w:rsid w:val="00A469DA"/>
    <w:rsid w:val="00A475C1"/>
    <w:rsid w:val="00A47D15"/>
    <w:rsid w:val="00A514D5"/>
    <w:rsid w:val="00A5474F"/>
    <w:rsid w:val="00A549DA"/>
    <w:rsid w:val="00A551E6"/>
    <w:rsid w:val="00A55C8F"/>
    <w:rsid w:val="00A56718"/>
    <w:rsid w:val="00A5724B"/>
    <w:rsid w:val="00A62BA2"/>
    <w:rsid w:val="00A62BD8"/>
    <w:rsid w:val="00A64E5F"/>
    <w:rsid w:val="00A64F95"/>
    <w:rsid w:val="00A66C09"/>
    <w:rsid w:val="00A67505"/>
    <w:rsid w:val="00A67682"/>
    <w:rsid w:val="00A71107"/>
    <w:rsid w:val="00A719AE"/>
    <w:rsid w:val="00A72277"/>
    <w:rsid w:val="00A733E7"/>
    <w:rsid w:val="00A746A7"/>
    <w:rsid w:val="00A75060"/>
    <w:rsid w:val="00A7595A"/>
    <w:rsid w:val="00A77690"/>
    <w:rsid w:val="00A802BD"/>
    <w:rsid w:val="00A8213F"/>
    <w:rsid w:val="00A8379F"/>
    <w:rsid w:val="00A839AB"/>
    <w:rsid w:val="00A91314"/>
    <w:rsid w:val="00A9303C"/>
    <w:rsid w:val="00A9454C"/>
    <w:rsid w:val="00A9636E"/>
    <w:rsid w:val="00A96FB0"/>
    <w:rsid w:val="00AA1816"/>
    <w:rsid w:val="00AA1E39"/>
    <w:rsid w:val="00AA6E48"/>
    <w:rsid w:val="00AA7971"/>
    <w:rsid w:val="00AA7FEB"/>
    <w:rsid w:val="00AB0497"/>
    <w:rsid w:val="00AB1009"/>
    <w:rsid w:val="00AB1537"/>
    <w:rsid w:val="00AB1564"/>
    <w:rsid w:val="00AB3726"/>
    <w:rsid w:val="00AB6A62"/>
    <w:rsid w:val="00AC2B8C"/>
    <w:rsid w:val="00AC45F5"/>
    <w:rsid w:val="00AC6B1C"/>
    <w:rsid w:val="00AC6E92"/>
    <w:rsid w:val="00AD14E9"/>
    <w:rsid w:val="00AE071B"/>
    <w:rsid w:val="00AE1D01"/>
    <w:rsid w:val="00AF0F88"/>
    <w:rsid w:val="00AF49E3"/>
    <w:rsid w:val="00AF6E6C"/>
    <w:rsid w:val="00AF7585"/>
    <w:rsid w:val="00B00A35"/>
    <w:rsid w:val="00B0148B"/>
    <w:rsid w:val="00B02932"/>
    <w:rsid w:val="00B0377E"/>
    <w:rsid w:val="00B04143"/>
    <w:rsid w:val="00B04275"/>
    <w:rsid w:val="00B04A0B"/>
    <w:rsid w:val="00B054C2"/>
    <w:rsid w:val="00B100B3"/>
    <w:rsid w:val="00B1250D"/>
    <w:rsid w:val="00B142D0"/>
    <w:rsid w:val="00B17A41"/>
    <w:rsid w:val="00B235C7"/>
    <w:rsid w:val="00B235CF"/>
    <w:rsid w:val="00B26E46"/>
    <w:rsid w:val="00B312B4"/>
    <w:rsid w:val="00B32700"/>
    <w:rsid w:val="00B34023"/>
    <w:rsid w:val="00B34DFB"/>
    <w:rsid w:val="00B3638E"/>
    <w:rsid w:val="00B40170"/>
    <w:rsid w:val="00B41816"/>
    <w:rsid w:val="00B42001"/>
    <w:rsid w:val="00B438F8"/>
    <w:rsid w:val="00B44099"/>
    <w:rsid w:val="00B45691"/>
    <w:rsid w:val="00B45694"/>
    <w:rsid w:val="00B45CE8"/>
    <w:rsid w:val="00B51FAC"/>
    <w:rsid w:val="00B52D1F"/>
    <w:rsid w:val="00B54730"/>
    <w:rsid w:val="00B55B95"/>
    <w:rsid w:val="00B56D33"/>
    <w:rsid w:val="00B5702C"/>
    <w:rsid w:val="00B5724F"/>
    <w:rsid w:val="00B60805"/>
    <w:rsid w:val="00B6441D"/>
    <w:rsid w:val="00B64888"/>
    <w:rsid w:val="00B673D8"/>
    <w:rsid w:val="00B715BB"/>
    <w:rsid w:val="00B74029"/>
    <w:rsid w:val="00B76F8D"/>
    <w:rsid w:val="00B778C9"/>
    <w:rsid w:val="00B77C38"/>
    <w:rsid w:val="00B812E8"/>
    <w:rsid w:val="00B82DAD"/>
    <w:rsid w:val="00B83BC5"/>
    <w:rsid w:val="00B90060"/>
    <w:rsid w:val="00B90D2B"/>
    <w:rsid w:val="00B92380"/>
    <w:rsid w:val="00B93E36"/>
    <w:rsid w:val="00B96DA3"/>
    <w:rsid w:val="00B9764D"/>
    <w:rsid w:val="00B978A7"/>
    <w:rsid w:val="00B97A97"/>
    <w:rsid w:val="00BA34B5"/>
    <w:rsid w:val="00BA712B"/>
    <w:rsid w:val="00BB1534"/>
    <w:rsid w:val="00BB16C3"/>
    <w:rsid w:val="00BB1FEC"/>
    <w:rsid w:val="00BB22A3"/>
    <w:rsid w:val="00BB7039"/>
    <w:rsid w:val="00BC0217"/>
    <w:rsid w:val="00BC2206"/>
    <w:rsid w:val="00BC3B4C"/>
    <w:rsid w:val="00BC6133"/>
    <w:rsid w:val="00BC665A"/>
    <w:rsid w:val="00BC6DCE"/>
    <w:rsid w:val="00BD01B5"/>
    <w:rsid w:val="00BD14D7"/>
    <w:rsid w:val="00BD19AC"/>
    <w:rsid w:val="00BD493F"/>
    <w:rsid w:val="00BD5CE6"/>
    <w:rsid w:val="00BD6A42"/>
    <w:rsid w:val="00BD71A2"/>
    <w:rsid w:val="00BE0459"/>
    <w:rsid w:val="00BE1C2C"/>
    <w:rsid w:val="00BE24C6"/>
    <w:rsid w:val="00BE4C6F"/>
    <w:rsid w:val="00BF0E95"/>
    <w:rsid w:val="00BF2D30"/>
    <w:rsid w:val="00BF319D"/>
    <w:rsid w:val="00BF7048"/>
    <w:rsid w:val="00C00C85"/>
    <w:rsid w:val="00C02640"/>
    <w:rsid w:val="00C031C8"/>
    <w:rsid w:val="00C03B4C"/>
    <w:rsid w:val="00C03C9B"/>
    <w:rsid w:val="00C03CAE"/>
    <w:rsid w:val="00C061BE"/>
    <w:rsid w:val="00C063A5"/>
    <w:rsid w:val="00C0680A"/>
    <w:rsid w:val="00C07CF2"/>
    <w:rsid w:val="00C11339"/>
    <w:rsid w:val="00C11C79"/>
    <w:rsid w:val="00C11E3E"/>
    <w:rsid w:val="00C127EE"/>
    <w:rsid w:val="00C12F12"/>
    <w:rsid w:val="00C13DAF"/>
    <w:rsid w:val="00C1421D"/>
    <w:rsid w:val="00C2003B"/>
    <w:rsid w:val="00C201AF"/>
    <w:rsid w:val="00C205FE"/>
    <w:rsid w:val="00C21BA4"/>
    <w:rsid w:val="00C21D3D"/>
    <w:rsid w:val="00C22446"/>
    <w:rsid w:val="00C239D7"/>
    <w:rsid w:val="00C24ADC"/>
    <w:rsid w:val="00C27A8A"/>
    <w:rsid w:val="00C30904"/>
    <w:rsid w:val="00C329BE"/>
    <w:rsid w:val="00C339B0"/>
    <w:rsid w:val="00C356B4"/>
    <w:rsid w:val="00C4076B"/>
    <w:rsid w:val="00C41196"/>
    <w:rsid w:val="00C438C8"/>
    <w:rsid w:val="00C4403D"/>
    <w:rsid w:val="00C47124"/>
    <w:rsid w:val="00C5441E"/>
    <w:rsid w:val="00C555FB"/>
    <w:rsid w:val="00C55DF8"/>
    <w:rsid w:val="00C565EC"/>
    <w:rsid w:val="00C57B23"/>
    <w:rsid w:val="00C57DFC"/>
    <w:rsid w:val="00C63AFE"/>
    <w:rsid w:val="00C64E47"/>
    <w:rsid w:val="00C657DA"/>
    <w:rsid w:val="00C666E3"/>
    <w:rsid w:val="00C675C8"/>
    <w:rsid w:val="00C67EE2"/>
    <w:rsid w:val="00C700A9"/>
    <w:rsid w:val="00C721EA"/>
    <w:rsid w:val="00C744C4"/>
    <w:rsid w:val="00C748CB"/>
    <w:rsid w:val="00C75DDD"/>
    <w:rsid w:val="00C77BA4"/>
    <w:rsid w:val="00C85811"/>
    <w:rsid w:val="00C90948"/>
    <w:rsid w:val="00C9124B"/>
    <w:rsid w:val="00C942C0"/>
    <w:rsid w:val="00CA02B9"/>
    <w:rsid w:val="00CA0D6B"/>
    <w:rsid w:val="00CA4229"/>
    <w:rsid w:val="00CA7116"/>
    <w:rsid w:val="00CA7370"/>
    <w:rsid w:val="00CB1120"/>
    <w:rsid w:val="00CB7FB2"/>
    <w:rsid w:val="00CC0460"/>
    <w:rsid w:val="00CC0534"/>
    <w:rsid w:val="00CC24E1"/>
    <w:rsid w:val="00CC7D13"/>
    <w:rsid w:val="00CD0E51"/>
    <w:rsid w:val="00CD1156"/>
    <w:rsid w:val="00CD3CA7"/>
    <w:rsid w:val="00CD4494"/>
    <w:rsid w:val="00CD4EB4"/>
    <w:rsid w:val="00CD57BA"/>
    <w:rsid w:val="00CD5DA9"/>
    <w:rsid w:val="00CD67F8"/>
    <w:rsid w:val="00CD7C31"/>
    <w:rsid w:val="00CE0CBB"/>
    <w:rsid w:val="00CE4B9B"/>
    <w:rsid w:val="00CE4DB3"/>
    <w:rsid w:val="00CE66CE"/>
    <w:rsid w:val="00CE689E"/>
    <w:rsid w:val="00CF0EAE"/>
    <w:rsid w:val="00CF1A90"/>
    <w:rsid w:val="00CF35EF"/>
    <w:rsid w:val="00CF4330"/>
    <w:rsid w:val="00CF44AC"/>
    <w:rsid w:val="00CF5F81"/>
    <w:rsid w:val="00CF7164"/>
    <w:rsid w:val="00D00848"/>
    <w:rsid w:val="00D02873"/>
    <w:rsid w:val="00D02A41"/>
    <w:rsid w:val="00D053A7"/>
    <w:rsid w:val="00D0596B"/>
    <w:rsid w:val="00D100F2"/>
    <w:rsid w:val="00D10701"/>
    <w:rsid w:val="00D125F6"/>
    <w:rsid w:val="00D13028"/>
    <w:rsid w:val="00D13614"/>
    <w:rsid w:val="00D17381"/>
    <w:rsid w:val="00D208B4"/>
    <w:rsid w:val="00D20989"/>
    <w:rsid w:val="00D20ACA"/>
    <w:rsid w:val="00D24BDD"/>
    <w:rsid w:val="00D25DFF"/>
    <w:rsid w:val="00D264EC"/>
    <w:rsid w:val="00D26ED1"/>
    <w:rsid w:val="00D33E52"/>
    <w:rsid w:val="00D343F9"/>
    <w:rsid w:val="00D36629"/>
    <w:rsid w:val="00D41558"/>
    <w:rsid w:val="00D41A9C"/>
    <w:rsid w:val="00D445A5"/>
    <w:rsid w:val="00D46C63"/>
    <w:rsid w:val="00D475E0"/>
    <w:rsid w:val="00D510C9"/>
    <w:rsid w:val="00D573BF"/>
    <w:rsid w:val="00D603A3"/>
    <w:rsid w:val="00D6259B"/>
    <w:rsid w:val="00D62A35"/>
    <w:rsid w:val="00D63453"/>
    <w:rsid w:val="00D65339"/>
    <w:rsid w:val="00D65556"/>
    <w:rsid w:val="00D65767"/>
    <w:rsid w:val="00D66A56"/>
    <w:rsid w:val="00D66C0B"/>
    <w:rsid w:val="00D711A2"/>
    <w:rsid w:val="00D77459"/>
    <w:rsid w:val="00D775D3"/>
    <w:rsid w:val="00D80075"/>
    <w:rsid w:val="00D808E3"/>
    <w:rsid w:val="00D824A3"/>
    <w:rsid w:val="00D829CB"/>
    <w:rsid w:val="00D848DE"/>
    <w:rsid w:val="00D84F15"/>
    <w:rsid w:val="00D87D4D"/>
    <w:rsid w:val="00D87E7F"/>
    <w:rsid w:val="00D906A6"/>
    <w:rsid w:val="00D9241B"/>
    <w:rsid w:val="00D92D4E"/>
    <w:rsid w:val="00D9304C"/>
    <w:rsid w:val="00DA4660"/>
    <w:rsid w:val="00DA596F"/>
    <w:rsid w:val="00DA5C64"/>
    <w:rsid w:val="00DB00D3"/>
    <w:rsid w:val="00DB124B"/>
    <w:rsid w:val="00DB668B"/>
    <w:rsid w:val="00DC225F"/>
    <w:rsid w:val="00DC2B1C"/>
    <w:rsid w:val="00DC384F"/>
    <w:rsid w:val="00DC62A4"/>
    <w:rsid w:val="00DC68FB"/>
    <w:rsid w:val="00DD0A37"/>
    <w:rsid w:val="00DD0C4A"/>
    <w:rsid w:val="00DD0CD3"/>
    <w:rsid w:val="00DD3E64"/>
    <w:rsid w:val="00DD4387"/>
    <w:rsid w:val="00DD774C"/>
    <w:rsid w:val="00DD7DCE"/>
    <w:rsid w:val="00DE2AA0"/>
    <w:rsid w:val="00DE43CE"/>
    <w:rsid w:val="00DE48F9"/>
    <w:rsid w:val="00DE678D"/>
    <w:rsid w:val="00DE684D"/>
    <w:rsid w:val="00DE796C"/>
    <w:rsid w:val="00DF13CB"/>
    <w:rsid w:val="00DF1C91"/>
    <w:rsid w:val="00DF3C17"/>
    <w:rsid w:val="00DF6E35"/>
    <w:rsid w:val="00E01611"/>
    <w:rsid w:val="00E01C01"/>
    <w:rsid w:val="00E021D1"/>
    <w:rsid w:val="00E024D9"/>
    <w:rsid w:val="00E0267A"/>
    <w:rsid w:val="00E03EB1"/>
    <w:rsid w:val="00E074E2"/>
    <w:rsid w:val="00E0773E"/>
    <w:rsid w:val="00E07FAC"/>
    <w:rsid w:val="00E122DC"/>
    <w:rsid w:val="00E1242F"/>
    <w:rsid w:val="00E12F0E"/>
    <w:rsid w:val="00E13CDD"/>
    <w:rsid w:val="00E14A1B"/>
    <w:rsid w:val="00E1570A"/>
    <w:rsid w:val="00E1730A"/>
    <w:rsid w:val="00E21A1F"/>
    <w:rsid w:val="00E2351D"/>
    <w:rsid w:val="00E23E40"/>
    <w:rsid w:val="00E24499"/>
    <w:rsid w:val="00E2534C"/>
    <w:rsid w:val="00E25AF0"/>
    <w:rsid w:val="00E260F4"/>
    <w:rsid w:val="00E27241"/>
    <w:rsid w:val="00E31F5A"/>
    <w:rsid w:val="00E3412C"/>
    <w:rsid w:val="00E35A4D"/>
    <w:rsid w:val="00E35D7C"/>
    <w:rsid w:val="00E3782F"/>
    <w:rsid w:val="00E4317C"/>
    <w:rsid w:val="00E44AEB"/>
    <w:rsid w:val="00E45322"/>
    <w:rsid w:val="00E45B7C"/>
    <w:rsid w:val="00E47EE2"/>
    <w:rsid w:val="00E5056C"/>
    <w:rsid w:val="00E53082"/>
    <w:rsid w:val="00E5390E"/>
    <w:rsid w:val="00E55E76"/>
    <w:rsid w:val="00E61CD9"/>
    <w:rsid w:val="00E632B8"/>
    <w:rsid w:val="00E6610D"/>
    <w:rsid w:val="00E66F1E"/>
    <w:rsid w:val="00E70C20"/>
    <w:rsid w:val="00E73B3F"/>
    <w:rsid w:val="00E740DD"/>
    <w:rsid w:val="00E74FF0"/>
    <w:rsid w:val="00E75F19"/>
    <w:rsid w:val="00E77263"/>
    <w:rsid w:val="00E77CAC"/>
    <w:rsid w:val="00E86B46"/>
    <w:rsid w:val="00E877C8"/>
    <w:rsid w:val="00E87AFD"/>
    <w:rsid w:val="00E90335"/>
    <w:rsid w:val="00E935BA"/>
    <w:rsid w:val="00E93C1A"/>
    <w:rsid w:val="00E93C55"/>
    <w:rsid w:val="00E9433C"/>
    <w:rsid w:val="00E950D8"/>
    <w:rsid w:val="00E950FC"/>
    <w:rsid w:val="00E952D3"/>
    <w:rsid w:val="00E96305"/>
    <w:rsid w:val="00E97A19"/>
    <w:rsid w:val="00EA0C7F"/>
    <w:rsid w:val="00EA159C"/>
    <w:rsid w:val="00EA3A79"/>
    <w:rsid w:val="00EA3FD8"/>
    <w:rsid w:val="00EA7DBE"/>
    <w:rsid w:val="00EB12FA"/>
    <w:rsid w:val="00EB144D"/>
    <w:rsid w:val="00EB1B3F"/>
    <w:rsid w:val="00EB2129"/>
    <w:rsid w:val="00EB33F8"/>
    <w:rsid w:val="00EB63DD"/>
    <w:rsid w:val="00EB6BBF"/>
    <w:rsid w:val="00EB734D"/>
    <w:rsid w:val="00EC0A89"/>
    <w:rsid w:val="00EC24C7"/>
    <w:rsid w:val="00EC2D05"/>
    <w:rsid w:val="00EC5A0F"/>
    <w:rsid w:val="00EC6DCA"/>
    <w:rsid w:val="00EC7F34"/>
    <w:rsid w:val="00ED24E8"/>
    <w:rsid w:val="00ED4935"/>
    <w:rsid w:val="00ED4AE4"/>
    <w:rsid w:val="00ED68D4"/>
    <w:rsid w:val="00ED7134"/>
    <w:rsid w:val="00ED75B9"/>
    <w:rsid w:val="00ED7CC6"/>
    <w:rsid w:val="00ED7E46"/>
    <w:rsid w:val="00EE05DF"/>
    <w:rsid w:val="00EE24B6"/>
    <w:rsid w:val="00EE3A87"/>
    <w:rsid w:val="00EE3C91"/>
    <w:rsid w:val="00EE4B42"/>
    <w:rsid w:val="00EE5745"/>
    <w:rsid w:val="00EE5899"/>
    <w:rsid w:val="00EE5E9E"/>
    <w:rsid w:val="00EE630A"/>
    <w:rsid w:val="00EE666B"/>
    <w:rsid w:val="00EE697B"/>
    <w:rsid w:val="00EF3585"/>
    <w:rsid w:val="00EF3FAF"/>
    <w:rsid w:val="00EF501E"/>
    <w:rsid w:val="00EF5128"/>
    <w:rsid w:val="00EF6E04"/>
    <w:rsid w:val="00EF7B80"/>
    <w:rsid w:val="00F009E8"/>
    <w:rsid w:val="00F0699C"/>
    <w:rsid w:val="00F06F3E"/>
    <w:rsid w:val="00F11688"/>
    <w:rsid w:val="00F11F7E"/>
    <w:rsid w:val="00F1420B"/>
    <w:rsid w:val="00F14FE5"/>
    <w:rsid w:val="00F21C7D"/>
    <w:rsid w:val="00F21D27"/>
    <w:rsid w:val="00F23928"/>
    <w:rsid w:val="00F245BB"/>
    <w:rsid w:val="00F24852"/>
    <w:rsid w:val="00F24C1B"/>
    <w:rsid w:val="00F24DE3"/>
    <w:rsid w:val="00F272FE"/>
    <w:rsid w:val="00F27C9C"/>
    <w:rsid w:val="00F3277D"/>
    <w:rsid w:val="00F35068"/>
    <w:rsid w:val="00F40BDE"/>
    <w:rsid w:val="00F426A4"/>
    <w:rsid w:val="00F44001"/>
    <w:rsid w:val="00F443EE"/>
    <w:rsid w:val="00F46129"/>
    <w:rsid w:val="00F503AD"/>
    <w:rsid w:val="00F524D9"/>
    <w:rsid w:val="00F531F2"/>
    <w:rsid w:val="00F550B3"/>
    <w:rsid w:val="00F56225"/>
    <w:rsid w:val="00F567B3"/>
    <w:rsid w:val="00F62E4A"/>
    <w:rsid w:val="00F6304E"/>
    <w:rsid w:val="00F63750"/>
    <w:rsid w:val="00F661D3"/>
    <w:rsid w:val="00F67409"/>
    <w:rsid w:val="00F7213A"/>
    <w:rsid w:val="00F72AF3"/>
    <w:rsid w:val="00F72B8A"/>
    <w:rsid w:val="00F73ED2"/>
    <w:rsid w:val="00F74626"/>
    <w:rsid w:val="00F75259"/>
    <w:rsid w:val="00F76801"/>
    <w:rsid w:val="00F77B1E"/>
    <w:rsid w:val="00F80447"/>
    <w:rsid w:val="00F813D4"/>
    <w:rsid w:val="00F8276C"/>
    <w:rsid w:val="00F83580"/>
    <w:rsid w:val="00F85DC1"/>
    <w:rsid w:val="00F91417"/>
    <w:rsid w:val="00F9165F"/>
    <w:rsid w:val="00F93B77"/>
    <w:rsid w:val="00F94904"/>
    <w:rsid w:val="00F97DE4"/>
    <w:rsid w:val="00FA060A"/>
    <w:rsid w:val="00FA0721"/>
    <w:rsid w:val="00FA1729"/>
    <w:rsid w:val="00FA1923"/>
    <w:rsid w:val="00FA5D16"/>
    <w:rsid w:val="00FA62D9"/>
    <w:rsid w:val="00FA635B"/>
    <w:rsid w:val="00FA651A"/>
    <w:rsid w:val="00FA7CEC"/>
    <w:rsid w:val="00FB00CA"/>
    <w:rsid w:val="00FB12AC"/>
    <w:rsid w:val="00FB259B"/>
    <w:rsid w:val="00FB264A"/>
    <w:rsid w:val="00FB4502"/>
    <w:rsid w:val="00FB536D"/>
    <w:rsid w:val="00FB5394"/>
    <w:rsid w:val="00FC0C85"/>
    <w:rsid w:val="00FC1F97"/>
    <w:rsid w:val="00FC37AD"/>
    <w:rsid w:val="00FC412D"/>
    <w:rsid w:val="00FC4248"/>
    <w:rsid w:val="00FC4A57"/>
    <w:rsid w:val="00FD0A82"/>
    <w:rsid w:val="00FD29CD"/>
    <w:rsid w:val="00FD2BFF"/>
    <w:rsid w:val="00FD3070"/>
    <w:rsid w:val="00FD36A9"/>
    <w:rsid w:val="00FD39B2"/>
    <w:rsid w:val="00FD45D8"/>
    <w:rsid w:val="00FD5155"/>
    <w:rsid w:val="00FD7BAC"/>
    <w:rsid w:val="00FE040C"/>
    <w:rsid w:val="00FE1078"/>
    <w:rsid w:val="00FE1E29"/>
    <w:rsid w:val="00FE5556"/>
    <w:rsid w:val="00FF0F79"/>
    <w:rsid w:val="00FF1122"/>
    <w:rsid w:val="00FF1AB2"/>
    <w:rsid w:val="00FF1D82"/>
    <w:rsid w:val="00FF3882"/>
    <w:rsid w:val="00FF4116"/>
    <w:rsid w:val="00FF466E"/>
    <w:rsid w:val="00FF5F40"/>
    <w:rsid w:val="00FF6AF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9CF27"/>
  <w15:docId w15:val="{B8C2B9BE-1D1B-4FF7-8D54-EB073E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585"/>
    <w:rPr>
      <w:sz w:val="24"/>
      <w:szCs w:val="24"/>
    </w:rPr>
  </w:style>
  <w:style w:type="paragraph" w:styleId="Heading1">
    <w:name w:val="heading 1"/>
    <w:basedOn w:val="Normal"/>
    <w:next w:val="Normal"/>
    <w:link w:val="Heading1Char"/>
    <w:qFormat/>
    <w:rsid w:val="00877A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customStyle="1" w:styleId="currenthithighlight">
    <w:name w:val="currenthithighlight"/>
    <w:basedOn w:val="DefaultParagraphFont"/>
    <w:rsid w:val="004C3E6F"/>
  </w:style>
  <w:style w:type="character" w:customStyle="1" w:styleId="xbe">
    <w:name w:val="_xbe"/>
    <w:basedOn w:val="DefaultParagraphFont"/>
    <w:rsid w:val="004C3E6F"/>
  </w:style>
  <w:style w:type="character" w:customStyle="1" w:styleId="Heading1Char">
    <w:name w:val="Heading 1 Char"/>
    <w:basedOn w:val="DefaultParagraphFont"/>
    <w:link w:val="Heading1"/>
    <w:rsid w:val="00877AFE"/>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D20989"/>
    <w:rPr>
      <w:color w:val="800080" w:themeColor="followedHyperlink"/>
      <w:u w:val="single"/>
    </w:rPr>
  </w:style>
  <w:style w:type="character" w:styleId="UnresolvedMention">
    <w:name w:val="Unresolved Mention"/>
    <w:basedOn w:val="DefaultParagraphFont"/>
    <w:uiPriority w:val="99"/>
    <w:semiHidden/>
    <w:unhideWhenUsed/>
    <w:rsid w:val="00977FBA"/>
    <w:rPr>
      <w:color w:val="605E5C"/>
      <w:shd w:val="clear" w:color="auto" w:fill="E1DFDD"/>
    </w:rPr>
  </w:style>
  <w:style w:type="character" w:styleId="HTMLCite">
    <w:name w:val="HTML Cite"/>
    <w:basedOn w:val="DefaultParagraphFont"/>
    <w:uiPriority w:val="99"/>
    <w:semiHidden/>
    <w:unhideWhenUsed/>
    <w:rsid w:val="003A2666"/>
    <w:rPr>
      <w:i/>
      <w:iCs/>
    </w:rPr>
  </w:style>
  <w:style w:type="character" w:styleId="Emphasis">
    <w:name w:val="Emphasis"/>
    <w:basedOn w:val="DefaultParagraphFont"/>
    <w:uiPriority w:val="20"/>
    <w:qFormat/>
    <w:rsid w:val="00897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38886">
      <w:bodyDiv w:val="1"/>
      <w:marLeft w:val="0"/>
      <w:marRight w:val="0"/>
      <w:marTop w:val="0"/>
      <w:marBottom w:val="0"/>
      <w:divBdr>
        <w:top w:val="none" w:sz="0" w:space="0" w:color="auto"/>
        <w:left w:val="none" w:sz="0" w:space="0" w:color="auto"/>
        <w:bottom w:val="none" w:sz="0" w:space="0" w:color="auto"/>
        <w:right w:val="none" w:sz="0" w:space="0" w:color="auto"/>
      </w:divBdr>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52349047">
      <w:bodyDiv w:val="1"/>
      <w:marLeft w:val="0"/>
      <w:marRight w:val="0"/>
      <w:marTop w:val="0"/>
      <w:marBottom w:val="0"/>
      <w:divBdr>
        <w:top w:val="none" w:sz="0" w:space="0" w:color="auto"/>
        <w:left w:val="none" w:sz="0" w:space="0" w:color="auto"/>
        <w:bottom w:val="none" w:sz="0" w:space="0" w:color="auto"/>
        <w:right w:val="none" w:sz="0" w:space="0" w:color="auto"/>
      </w:divBdr>
    </w:div>
    <w:div w:id="674655438">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693846564">
      <w:bodyDiv w:val="1"/>
      <w:marLeft w:val="0"/>
      <w:marRight w:val="0"/>
      <w:marTop w:val="0"/>
      <w:marBottom w:val="0"/>
      <w:divBdr>
        <w:top w:val="none" w:sz="0" w:space="0" w:color="auto"/>
        <w:left w:val="none" w:sz="0" w:space="0" w:color="auto"/>
        <w:bottom w:val="none" w:sz="0" w:space="0" w:color="auto"/>
        <w:right w:val="none" w:sz="0" w:space="0" w:color="auto"/>
      </w:divBdr>
    </w:div>
    <w:div w:id="1745487679">
      <w:bodyDiv w:val="1"/>
      <w:marLeft w:val="0"/>
      <w:marRight w:val="0"/>
      <w:marTop w:val="0"/>
      <w:marBottom w:val="0"/>
      <w:divBdr>
        <w:top w:val="none" w:sz="0" w:space="0" w:color="auto"/>
        <w:left w:val="none" w:sz="0" w:space="0" w:color="auto"/>
        <w:bottom w:val="none" w:sz="0" w:space="0" w:color="auto"/>
        <w:right w:val="none" w:sz="0" w:space="0" w:color="auto"/>
      </w:divBdr>
      <w:divsChild>
        <w:div w:id="1445416721">
          <w:marLeft w:val="0"/>
          <w:marRight w:val="0"/>
          <w:marTop w:val="0"/>
          <w:marBottom w:val="0"/>
          <w:divBdr>
            <w:top w:val="none" w:sz="0" w:space="0" w:color="auto"/>
            <w:left w:val="none" w:sz="0" w:space="0" w:color="auto"/>
            <w:bottom w:val="none" w:sz="0" w:space="0" w:color="auto"/>
            <w:right w:val="none" w:sz="0" w:space="0" w:color="auto"/>
          </w:divBdr>
        </w:div>
        <w:div w:id="1655572389">
          <w:marLeft w:val="0"/>
          <w:marRight w:val="0"/>
          <w:marTop w:val="0"/>
          <w:marBottom w:val="0"/>
          <w:divBdr>
            <w:top w:val="none" w:sz="0" w:space="0" w:color="auto"/>
            <w:left w:val="none" w:sz="0" w:space="0" w:color="auto"/>
            <w:bottom w:val="none" w:sz="0" w:space="0" w:color="auto"/>
            <w:right w:val="none" w:sz="0" w:space="0" w:color="auto"/>
          </w:divBdr>
        </w:div>
        <w:div w:id="1019964803">
          <w:marLeft w:val="0"/>
          <w:marRight w:val="0"/>
          <w:marTop w:val="0"/>
          <w:marBottom w:val="0"/>
          <w:divBdr>
            <w:top w:val="none" w:sz="0" w:space="0" w:color="auto"/>
            <w:left w:val="none" w:sz="0" w:space="0" w:color="auto"/>
            <w:bottom w:val="none" w:sz="0" w:space="0" w:color="auto"/>
            <w:right w:val="none" w:sz="0" w:space="0" w:color="auto"/>
          </w:divBdr>
        </w:div>
      </w:divsChild>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059897">
      <w:bodyDiv w:val="1"/>
      <w:marLeft w:val="0"/>
      <w:marRight w:val="0"/>
      <w:marTop w:val="0"/>
      <w:marBottom w:val="0"/>
      <w:divBdr>
        <w:top w:val="none" w:sz="0" w:space="0" w:color="auto"/>
        <w:left w:val="none" w:sz="0" w:space="0" w:color="auto"/>
        <w:bottom w:val="none" w:sz="0" w:space="0" w:color="auto"/>
        <w:right w:val="none" w:sz="0" w:space="0" w:color="auto"/>
      </w:divBdr>
      <w:divsChild>
        <w:div w:id="1710910020">
          <w:marLeft w:val="0"/>
          <w:marRight w:val="0"/>
          <w:marTop w:val="0"/>
          <w:marBottom w:val="0"/>
          <w:divBdr>
            <w:top w:val="none" w:sz="0" w:space="0" w:color="auto"/>
            <w:left w:val="none" w:sz="0" w:space="0" w:color="auto"/>
            <w:bottom w:val="none" w:sz="0" w:space="0" w:color="auto"/>
            <w:right w:val="none" w:sz="0" w:space="0" w:color="auto"/>
          </w:divBdr>
        </w:div>
        <w:div w:id="1816870291">
          <w:marLeft w:val="0"/>
          <w:marRight w:val="0"/>
          <w:marTop w:val="0"/>
          <w:marBottom w:val="0"/>
          <w:divBdr>
            <w:top w:val="none" w:sz="0" w:space="0" w:color="auto"/>
            <w:left w:val="none" w:sz="0" w:space="0" w:color="auto"/>
            <w:bottom w:val="none" w:sz="0" w:space="0" w:color="auto"/>
            <w:right w:val="none" w:sz="0" w:space="0" w:color="auto"/>
          </w:divBdr>
        </w:div>
        <w:div w:id="1297641855">
          <w:marLeft w:val="0"/>
          <w:marRight w:val="0"/>
          <w:marTop w:val="0"/>
          <w:marBottom w:val="0"/>
          <w:divBdr>
            <w:top w:val="none" w:sz="0" w:space="0" w:color="auto"/>
            <w:left w:val="none" w:sz="0" w:space="0" w:color="auto"/>
            <w:bottom w:val="none" w:sz="0" w:space="0" w:color="auto"/>
            <w:right w:val="none" w:sz="0" w:space="0" w:color="auto"/>
          </w:divBdr>
        </w:div>
        <w:div w:id="766658936">
          <w:marLeft w:val="0"/>
          <w:marRight w:val="0"/>
          <w:marTop w:val="0"/>
          <w:marBottom w:val="0"/>
          <w:divBdr>
            <w:top w:val="none" w:sz="0" w:space="0" w:color="auto"/>
            <w:left w:val="none" w:sz="0" w:space="0" w:color="auto"/>
            <w:bottom w:val="none" w:sz="0" w:space="0" w:color="auto"/>
            <w:right w:val="none" w:sz="0" w:space="0" w:color="auto"/>
          </w:divBdr>
        </w:div>
        <w:div w:id="762797193">
          <w:marLeft w:val="0"/>
          <w:marRight w:val="0"/>
          <w:marTop w:val="0"/>
          <w:marBottom w:val="0"/>
          <w:divBdr>
            <w:top w:val="none" w:sz="0" w:space="0" w:color="auto"/>
            <w:left w:val="none" w:sz="0" w:space="0" w:color="auto"/>
            <w:bottom w:val="none" w:sz="0" w:space="0" w:color="auto"/>
            <w:right w:val="none" w:sz="0" w:space="0" w:color="auto"/>
          </w:divBdr>
        </w:div>
        <w:div w:id="493834471">
          <w:marLeft w:val="0"/>
          <w:marRight w:val="0"/>
          <w:marTop w:val="0"/>
          <w:marBottom w:val="0"/>
          <w:divBdr>
            <w:top w:val="none" w:sz="0" w:space="0" w:color="auto"/>
            <w:left w:val="none" w:sz="0" w:space="0" w:color="auto"/>
            <w:bottom w:val="none" w:sz="0" w:space="0" w:color="auto"/>
            <w:right w:val="none" w:sz="0" w:space="0" w:color="auto"/>
          </w:divBdr>
        </w:div>
        <w:div w:id="1588229987">
          <w:marLeft w:val="0"/>
          <w:marRight w:val="0"/>
          <w:marTop w:val="0"/>
          <w:marBottom w:val="0"/>
          <w:divBdr>
            <w:top w:val="none" w:sz="0" w:space="0" w:color="auto"/>
            <w:left w:val="none" w:sz="0" w:space="0" w:color="auto"/>
            <w:bottom w:val="none" w:sz="0" w:space="0" w:color="auto"/>
            <w:right w:val="none" w:sz="0" w:space="0" w:color="auto"/>
          </w:divBdr>
        </w:div>
        <w:div w:id="1275400511">
          <w:marLeft w:val="0"/>
          <w:marRight w:val="0"/>
          <w:marTop w:val="0"/>
          <w:marBottom w:val="0"/>
          <w:divBdr>
            <w:top w:val="none" w:sz="0" w:space="0" w:color="auto"/>
            <w:left w:val="none" w:sz="0" w:space="0" w:color="auto"/>
            <w:bottom w:val="none" w:sz="0" w:space="0" w:color="auto"/>
            <w:right w:val="none" w:sz="0" w:space="0" w:color="auto"/>
          </w:divBdr>
        </w:div>
        <w:div w:id="454250201">
          <w:marLeft w:val="0"/>
          <w:marRight w:val="0"/>
          <w:marTop w:val="0"/>
          <w:marBottom w:val="0"/>
          <w:divBdr>
            <w:top w:val="none" w:sz="0" w:space="0" w:color="auto"/>
            <w:left w:val="none" w:sz="0" w:space="0" w:color="auto"/>
            <w:bottom w:val="none" w:sz="0" w:space="0" w:color="auto"/>
            <w:right w:val="none" w:sz="0" w:space="0" w:color="auto"/>
          </w:divBdr>
        </w:div>
      </w:divsChild>
    </w:div>
    <w:div w:id="1948660483">
      <w:bodyDiv w:val="1"/>
      <w:marLeft w:val="0"/>
      <w:marRight w:val="0"/>
      <w:marTop w:val="0"/>
      <w:marBottom w:val="0"/>
      <w:divBdr>
        <w:top w:val="none" w:sz="0" w:space="0" w:color="auto"/>
        <w:left w:val="none" w:sz="0" w:space="0" w:color="auto"/>
        <w:bottom w:val="none" w:sz="0" w:space="0" w:color="auto"/>
        <w:right w:val="none" w:sz="0" w:space="0" w:color="auto"/>
      </w:divBdr>
    </w:div>
    <w:div w:id="214187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ces.ed.gov/ipeds/TrendGenerator/app/answer/5/30" TargetMode="External"/><Relationship Id="rId7" Type="http://schemas.openxmlformats.org/officeDocument/2006/relationships/hyperlink" Target="https://www.icpsr.umich.edu/web/NACJD/series/93/publications" TargetMode="External"/><Relationship Id="rId2" Type="http://schemas.openxmlformats.org/officeDocument/2006/relationships/hyperlink" Target="https://nces.ed.gov/ipeds/TrendGenerator/app/answer/2/3" TargetMode="External"/><Relationship Id="rId1" Type="http://schemas.openxmlformats.org/officeDocument/2006/relationships/hyperlink" Target="https://bjs.ojp.gov/content/pub/pdf/cle1112.pdf" TargetMode="External"/><Relationship Id="rId6" Type="http://schemas.openxmlformats.org/officeDocument/2006/relationships/hyperlink" Target="https://files.eric.ed.gov/fulltext/ED408883.pdf" TargetMode="External"/><Relationship Id="rId5" Type="http://schemas.openxmlformats.org/officeDocument/2006/relationships/hyperlink" Target="https://bjs.ojp.gov/content/pub/pdf/cle0405.pdf" TargetMode="External"/><Relationship Id="rId4" Type="http://schemas.openxmlformats.org/officeDocument/2006/relationships/hyperlink" Target="https://ope.ed.gov/campussafety/Tre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BDA3E-4D79-41F3-A573-C318BE2C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7550</Words>
  <Characters>43040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 Snyder</dc:creator>
  <cp:lastModifiedBy>Davis, Elizabeth (OJP)</cp:lastModifiedBy>
  <cp:revision>11</cp:revision>
  <cp:lastPrinted>2015-12-28T18:38:00Z</cp:lastPrinted>
  <dcterms:created xsi:type="dcterms:W3CDTF">2021-07-20T18:04:00Z</dcterms:created>
  <dcterms:modified xsi:type="dcterms:W3CDTF">2021-07-30T11:52:00Z</dcterms:modified>
</cp:coreProperties>
</file>