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92735" w:rsidR="00725420" w:rsidP="00C92735" w:rsidRDefault="00C92735" w14:paraId="0C21D035" w14:textId="77777777">
      <w:pPr>
        <w:spacing w:after="0"/>
        <w:rPr>
          <w:rFonts w:ascii="Times New Roman" w:hAnsi="Times New Roman" w:cs="Times New Roman"/>
          <w:b/>
          <w:sz w:val="24"/>
          <w:szCs w:val="24"/>
        </w:rPr>
      </w:pPr>
      <w:r w:rsidRPr="00C92735">
        <w:rPr>
          <w:rFonts w:ascii="Times New Roman" w:hAnsi="Times New Roman" w:cs="Times New Roman"/>
          <w:b/>
          <w:sz w:val="24"/>
          <w:szCs w:val="24"/>
        </w:rPr>
        <w:t>SUPPORTING STATEMENT – Part B</w:t>
      </w:r>
    </w:p>
    <w:p w:rsidR="00C92735" w:rsidP="00C92735" w:rsidRDefault="00C92735" w14:paraId="083D47D7" w14:textId="77777777">
      <w:pPr>
        <w:spacing w:after="0"/>
        <w:rPr>
          <w:rFonts w:ascii="Times New Roman" w:hAnsi="Times New Roman" w:cs="Times New Roman"/>
          <w:b/>
          <w:sz w:val="24"/>
          <w:szCs w:val="24"/>
        </w:rPr>
      </w:pPr>
      <w:r w:rsidRPr="00C92735">
        <w:rPr>
          <w:rFonts w:ascii="Times New Roman" w:hAnsi="Times New Roman" w:cs="Times New Roman"/>
          <w:b/>
          <w:sz w:val="24"/>
          <w:szCs w:val="24"/>
        </w:rPr>
        <w:t>Collection of Information Employing Statistical Methods</w:t>
      </w:r>
    </w:p>
    <w:p w:rsidRPr="00C92735" w:rsidR="00C92735" w:rsidP="00C92735" w:rsidRDefault="00C92735" w14:paraId="31F9C901" w14:textId="77777777">
      <w:pPr>
        <w:spacing w:after="0"/>
        <w:rPr>
          <w:rFonts w:ascii="Times New Roman" w:hAnsi="Times New Roman" w:cs="Times New Roman"/>
          <w:b/>
          <w:sz w:val="24"/>
          <w:szCs w:val="24"/>
        </w:rPr>
      </w:pPr>
    </w:p>
    <w:p w:rsidR="00C92735" w:rsidP="00C92735" w:rsidRDefault="008C52A9" w14:paraId="56A10800" w14:textId="451252BE">
      <w:pPr>
        <w:spacing w:after="0"/>
        <w:rPr>
          <w:rFonts w:ascii="Times New Roman" w:hAnsi="Times New Roman" w:cs="Times New Roman"/>
          <w:b/>
          <w:sz w:val="24"/>
          <w:szCs w:val="24"/>
        </w:rPr>
      </w:pPr>
      <w:r>
        <w:rPr>
          <w:rFonts w:ascii="Times New Roman" w:hAnsi="Times New Roman" w:cs="Times New Roman"/>
          <w:b/>
          <w:sz w:val="24"/>
          <w:szCs w:val="24"/>
        </w:rPr>
        <w:t>2021 Survey of Campus Law Enforcement Agencies</w:t>
      </w:r>
      <w:r w:rsidRPr="00C92735" w:rsidR="00C92735">
        <w:rPr>
          <w:rFonts w:ascii="Times New Roman" w:hAnsi="Times New Roman" w:cs="Times New Roman"/>
          <w:b/>
          <w:sz w:val="24"/>
          <w:szCs w:val="24"/>
        </w:rPr>
        <w:t xml:space="preserve"> (S</w:t>
      </w:r>
      <w:r>
        <w:rPr>
          <w:rFonts w:ascii="Times New Roman" w:hAnsi="Times New Roman" w:cs="Times New Roman"/>
          <w:b/>
          <w:sz w:val="24"/>
          <w:szCs w:val="24"/>
        </w:rPr>
        <w:t>CLEA</w:t>
      </w:r>
      <w:r w:rsidRPr="00C92735" w:rsidR="00C92735">
        <w:rPr>
          <w:rFonts w:ascii="Times New Roman" w:hAnsi="Times New Roman" w:cs="Times New Roman"/>
          <w:b/>
          <w:sz w:val="24"/>
          <w:szCs w:val="24"/>
        </w:rPr>
        <w:t>)</w:t>
      </w:r>
    </w:p>
    <w:p w:rsidR="00C92735" w:rsidP="00C92735" w:rsidRDefault="00C92735" w14:paraId="7ABCDCBC" w14:textId="77777777">
      <w:pPr>
        <w:spacing w:after="0"/>
        <w:rPr>
          <w:rFonts w:ascii="Times New Roman" w:hAnsi="Times New Roman" w:cs="Times New Roman"/>
          <w:b/>
          <w:sz w:val="24"/>
          <w:szCs w:val="24"/>
        </w:rPr>
      </w:pPr>
    </w:p>
    <w:p w:rsidRPr="00A21668" w:rsidR="00C92735" w:rsidP="00C92735" w:rsidRDefault="00C92735" w14:paraId="3A6D185A" w14:textId="77777777">
      <w:pPr>
        <w:pStyle w:val="ListParagraph"/>
        <w:numPr>
          <w:ilvl w:val="0"/>
          <w:numId w:val="1"/>
        </w:numPr>
        <w:ind w:left="360"/>
        <w:contextualSpacing w:val="0"/>
        <w:rPr>
          <w:b/>
          <w:u w:val="single"/>
        </w:rPr>
      </w:pPr>
      <w:r w:rsidRPr="00A21668">
        <w:rPr>
          <w:b/>
          <w:u w:val="single"/>
        </w:rPr>
        <w:t>Universe and Respondent Selection</w:t>
      </w:r>
    </w:p>
    <w:p w:rsidR="00C92735" w:rsidP="00C92735" w:rsidRDefault="005F1A5D" w14:paraId="064BF882" w14:textId="7E2450F8">
      <w:pPr>
        <w:pStyle w:val="SP-SglSpPara"/>
        <w:spacing w:before="240" w:line="240" w:lineRule="auto"/>
        <w:ind w:firstLine="0"/>
        <w:jc w:val="left"/>
        <w:rPr>
          <w:sz w:val="24"/>
          <w:szCs w:val="24"/>
        </w:rPr>
      </w:pPr>
      <w:r>
        <w:rPr>
          <w:sz w:val="24"/>
          <w:szCs w:val="24"/>
        </w:rPr>
        <w:t xml:space="preserve">The 2021 </w:t>
      </w:r>
      <w:r w:rsidRPr="00A27EEA">
        <w:rPr>
          <w:sz w:val="24"/>
          <w:szCs w:val="24"/>
        </w:rPr>
        <w:t xml:space="preserve">Survey of </w:t>
      </w:r>
      <w:r>
        <w:rPr>
          <w:sz w:val="24"/>
          <w:szCs w:val="24"/>
        </w:rPr>
        <w:t>Campus Law Enforcement Agencies</w:t>
      </w:r>
      <w:r w:rsidRPr="00A27EEA">
        <w:rPr>
          <w:sz w:val="24"/>
          <w:szCs w:val="24"/>
        </w:rPr>
        <w:t xml:space="preserve"> (</w:t>
      </w:r>
      <w:r>
        <w:rPr>
          <w:sz w:val="24"/>
          <w:szCs w:val="24"/>
        </w:rPr>
        <w:t>SCLEA)</w:t>
      </w:r>
      <w:r w:rsidRPr="00A27EEA">
        <w:rPr>
          <w:sz w:val="24"/>
          <w:szCs w:val="24"/>
        </w:rPr>
        <w:t xml:space="preserve"> </w:t>
      </w:r>
      <w:r>
        <w:rPr>
          <w:sz w:val="24"/>
          <w:szCs w:val="24"/>
        </w:rPr>
        <w:t xml:space="preserve">is </w:t>
      </w:r>
      <w:r w:rsidR="009A2B24">
        <w:rPr>
          <w:sz w:val="24"/>
          <w:szCs w:val="24"/>
        </w:rPr>
        <w:t>planned</w:t>
      </w:r>
      <w:r>
        <w:rPr>
          <w:sz w:val="24"/>
          <w:szCs w:val="24"/>
        </w:rPr>
        <w:t xml:space="preserve"> as a census of all </w:t>
      </w:r>
      <w:r w:rsidR="009A2B24">
        <w:rPr>
          <w:sz w:val="24"/>
          <w:szCs w:val="24"/>
        </w:rPr>
        <w:t xml:space="preserve">eligible </w:t>
      </w:r>
      <w:r>
        <w:rPr>
          <w:sz w:val="24"/>
          <w:szCs w:val="24"/>
        </w:rPr>
        <w:t>agencies.</w:t>
      </w:r>
      <w:r w:rsidRPr="00A27EEA">
        <w:rPr>
          <w:sz w:val="24"/>
          <w:szCs w:val="24"/>
        </w:rPr>
        <w:t xml:space="preserve"> </w:t>
      </w:r>
      <w:r w:rsidRPr="00A27EEA" w:rsidR="00C92735">
        <w:rPr>
          <w:sz w:val="24"/>
          <w:szCs w:val="24"/>
        </w:rPr>
        <w:t xml:space="preserve">The </w:t>
      </w:r>
      <w:r w:rsidR="001B6DFD">
        <w:rPr>
          <w:sz w:val="24"/>
          <w:szCs w:val="24"/>
        </w:rPr>
        <w:t>universe</w:t>
      </w:r>
      <w:r w:rsidR="00704A7E">
        <w:rPr>
          <w:sz w:val="24"/>
          <w:szCs w:val="24"/>
        </w:rPr>
        <w:t xml:space="preserve"> </w:t>
      </w:r>
      <w:r w:rsidR="009A2B24">
        <w:rPr>
          <w:sz w:val="24"/>
          <w:szCs w:val="24"/>
        </w:rPr>
        <w:t>is defined as</w:t>
      </w:r>
      <w:r>
        <w:rPr>
          <w:sz w:val="24"/>
          <w:szCs w:val="24"/>
        </w:rPr>
        <w:t xml:space="preserve"> </w:t>
      </w:r>
      <w:r w:rsidR="00704A7E">
        <w:rPr>
          <w:sz w:val="24"/>
          <w:szCs w:val="24"/>
        </w:rPr>
        <w:t xml:space="preserve">all law enforcement agencies (LEAs) serving </w:t>
      </w:r>
      <w:r w:rsidR="00286902">
        <w:rPr>
          <w:sz w:val="24"/>
          <w:szCs w:val="24"/>
        </w:rPr>
        <w:t xml:space="preserve">any </w:t>
      </w:r>
      <w:r w:rsidR="00F31E0B">
        <w:rPr>
          <w:sz w:val="24"/>
          <w:szCs w:val="24"/>
        </w:rPr>
        <w:t xml:space="preserve">postsecondary </w:t>
      </w:r>
      <w:r w:rsidR="009A2B24">
        <w:rPr>
          <w:sz w:val="24"/>
          <w:szCs w:val="24"/>
        </w:rPr>
        <w:t xml:space="preserve">educational </w:t>
      </w:r>
      <w:r w:rsidR="00F31E0B">
        <w:rPr>
          <w:sz w:val="24"/>
          <w:szCs w:val="24"/>
        </w:rPr>
        <w:t>institution</w:t>
      </w:r>
      <w:r w:rsidR="009A2B24">
        <w:rPr>
          <w:sz w:val="24"/>
          <w:szCs w:val="24"/>
        </w:rPr>
        <w:t xml:space="preserve"> </w:t>
      </w:r>
      <w:r w:rsidR="00286902">
        <w:rPr>
          <w:sz w:val="24"/>
          <w:szCs w:val="24"/>
        </w:rPr>
        <w:t>which offers</w:t>
      </w:r>
      <w:r w:rsidR="00F31E0B">
        <w:rPr>
          <w:sz w:val="24"/>
          <w:szCs w:val="24"/>
        </w:rPr>
        <w:t xml:space="preserve"> in-person instruction </w:t>
      </w:r>
      <w:r w:rsidR="00286902">
        <w:rPr>
          <w:sz w:val="24"/>
          <w:szCs w:val="24"/>
        </w:rPr>
        <w:t xml:space="preserve">and has </w:t>
      </w:r>
      <w:r w:rsidR="00F31E0B">
        <w:rPr>
          <w:sz w:val="24"/>
          <w:szCs w:val="24"/>
        </w:rPr>
        <w:t xml:space="preserve">a full-time enrollment </w:t>
      </w:r>
      <w:r w:rsidR="00704A7E">
        <w:rPr>
          <w:sz w:val="24"/>
          <w:szCs w:val="24"/>
        </w:rPr>
        <w:t xml:space="preserve">of at least </w:t>
      </w:r>
      <w:r w:rsidR="00F31E0B">
        <w:rPr>
          <w:sz w:val="24"/>
          <w:szCs w:val="24"/>
        </w:rPr>
        <w:t>1,000 students</w:t>
      </w:r>
      <w:r w:rsidRPr="00A27EEA" w:rsidR="00C92735">
        <w:rPr>
          <w:sz w:val="24"/>
          <w:szCs w:val="24"/>
        </w:rPr>
        <w:t xml:space="preserve">. </w:t>
      </w:r>
    </w:p>
    <w:p w:rsidRPr="005647AD" w:rsidR="00CA725C" w:rsidP="00C92735" w:rsidRDefault="00CA725C" w14:paraId="52433F17" w14:textId="72D4FE40">
      <w:pPr>
        <w:pStyle w:val="SP-SglSpPara"/>
        <w:spacing w:before="240" w:line="240" w:lineRule="auto"/>
        <w:ind w:firstLine="0"/>
        <w:jc w:val="left"/>
        <w:rPr>
          <w:sz w:val="24"/>
          <w:szCs w:val="24"/>
        </w:rPr>
      </w:pPr>
      <w:r w:rsidRPr="005647AD">
        <w:rPr>
          <w:sz w:val="24"/>
          <w:szCs w:val="24"/>
        </w:rPr>
        <w:t xml:space="preserve">The primary reason for </w:t>
      </w:r>
      <w:r w:rsidRPr="005647AD" w:rsidR="00DB3449">
        <w:rPr>
          <w:sz w:val="24"/>
          <w:szCs w:val="24"/>
        </w:rPr>
        <w:t>the minimum enrollment threshold of 1,000 students</w:t>
      </w:r>
      <w:r w:rsidRPr="005647AD">
        <w:rPr>
          <w:sz w:val="24"/>
          <w:szCs w:val="24"/>
        </w:rPr>
        <w:t xml:space="preserve"> is to maximize cost efficiency. </w:t>
      </w:r>
      <w:r w:rsidRPr="005647AD" w:rsidR="00DB3449">
        <w:rPr>
          <w:sz w:val="24"/>
          <w:szCs w:val="24"/>
        </w:rPr>
        <w:t xml:space="preserve">According to </w:t>
      </w:r>
      <w:r w:rsidR="00AD55EC">
        <w:rPr>
          <w:sz w:val="24"/>
          <w:szCs w:val="24"/>
        </w:rPr>
        <w:t xml:space="preserve">fall </w:t>
      </w:r>
      <w:r w:rsidRPr="005647AD" w:rsidR="00DB3449">
        <w:rPr>
          <w:sz w:val="24"/>
          <w:szCs w:val="24"/>
        </w:rPr>
        <w:t xml:space="preserve">2018 </w:t>
      </w:r>
      <w:r w:rsidRPr="005647AD" w:rsidR="00DE2E58">
        <w:rPr>
          <w:sz w:val="24"/>
          <w:szCs w:val="24"/>
        </w:rPr>
        <w:t>IPEDS</w:t>
      </w:r>
      <w:r w:rsidRPr="005647AD" w:rsidR="00DB3449">
        <w:rPr>
          <w:sz w:val="24"/>
          <w:szCs w:val="24"/>
        </w:rPr>
        <w:t xml:space="preserve"> data, institutions with 1,000 or more students</w:t>
      </w:r>
      <w:r w:rsidRPr="005647AD">
        <w:rPr>
          <w:sz w:val="24"/>
          <w:szCs w:val="24"/>
        </w:rPr>
        <w:t xml:space="preserve"> </w:t>
      </w:r>
      <w:r w:rsidRPr="005647AD" w:rsidR="00DB3449">
        <w:rPr>
          <w:sz w:val="24"/>
          <w:szCs w:val="24"/>
        </w:rPr>
        <w:t>account</w:t>
      </w:r>
      <w:r w:rsidR="00EC6D4A">
        <w:rPr>
          <w:sz w:val="24"/>
          <w:szCs w:val="24"/>
        </w:rPr>
        <w:t>ed</w:t>
      </w:r>
      <w:r w:rsidRPr="005647AD" w:rsidR="00DB3449">
        <w:rPr>
          <w:sz w:val="24"/>
          <w:szCs w:val="24"/>
        </w:rPr>
        <w:t xml:space="preserve"> for</w:t>
      </w:r>
      <w:r w:rsidRPr="005647AD">
        <w:rPr>
          <w:sz w:val="24"/>
          <w:szCs w:val="24"/>
        </w:rPr>
        <w:t xml:space="preserve"> 97% percent of all 4-year </w:t>
      </w:r>
      <w:r w:rsidRPr="005647AD" w:rsidR="00DB3449">
        <w:rPr>
          <w:sz w:val="24"/>
          <w:szCs w:val="24"/>
        </w:rPr>
        <w:t xml:space="preserve">and 2-year </w:t>
      </w:r>
      <w:r w:rsidRPr="005647AD">
        <w:rPr>
          <w:sz w:val="24"/>
          <w:szCs w:val="24"/>
        </w:rPr>
        <w:t>students enrolled nationwide</w:t>
      </w:r>
      <w:r w:rsidRPr="005647AD" w:rsidR="00DB3449">
        <w:rPr>
          <w:sz w:val="24"/>
          <w:szCs w:val="24"/>
        </w:rPr>
        <w:t>.</w:t>
      </w:r>
      <w:r w:rsidRPr="005647AD" w:rsidR="00DE2E58">
        <w:rPr>
          <w:sz w:val="24"/>
          <w:szCs w:val="24"/>
        </w:rPr>
        <w:t xml:space="preserve"> </w:t>
      </w:r>
      <w:r w:rsidRPr="005647AD" w:rsidR="005647AD">
        <w:rPr>
          <w:sz w:val="24"/>
          <w:szCs w:val="24"/>
        </w:rPr>
        <w:t xml:space="preserve">The remaining 3% of students </w:t>
      </w:r>
      <w:r w:rsidR="00EC6D4A">
        <w:rPr>
          <w:sz w:val="24"/>
          <w:szCs w:val="24"/>
        </w:rPr>
        <w:t>were</w:t>
      </w:r>
      <w:r w:rsidRPr="005647AD" w:rsidR="00EC6D4A">
        <w:rPr>
          <w:sz w:val="24"/>
          <w:szCs w:val="24"/>
        </w:rPr>
        <w:t xml:space="preserve"> </w:t>
      </w:r>
      <w:r w:rsidRPr="005647AD" w:rsidR="005647AD">
        <w:rPr>
          <w:sz w:val="24"/>
          <w:szCs w:val="24"/>
        </w:rPr>
        <w:t xml:space="preserve">enrolled in smaller schools (less than 1,000 students), of which there </w:t>
      </w:r>
      <w:r w:rsidR="00EC6D4A">
        <w:rPr>
          <w:sz w:val="24"/>
          <w:szCs w:val="24"/>
        </w:rPr>
        <w:t>were</w:t>
      </w:r>
      <w:r w:rsidRPr="005647AD" w:rsidR="00EC6D4A">
        <w:rPr>
          <w:sz w:val="24"/>
          <w:szCs w:val="24"/>
        </w:rPr>
        <w:t xml:space="preserve"> </w:t>
      </w:r>
      <w:r w:rsidRPr="005647AD" w:rsidR="005647AD">
        <w:rPr>
          <w:sz w:val="24"/>
          <w:szCs w:val="24"/>
        </w:rPr>
        <w:t xml:space="preserve">nearly 1,600. Including these smallest schools would be costly and add </w:t>
      </w:r>
      <w:r w:rsidRPr="005647AD">
        <w:rPr>
          <w:sz w:val="24"/>
          <w:szCs w:val="24"/>
        </w:rPr>
        <w:t xml:space="preserve">little to the body of knowledge about campus law enforcement. </w:t>
      </w:r>
    </w:p>
    <w:p w:rsidRPr="00A27EEA" w:rsidR="00C92735" w:rsidP="00C92735" w:rsidRDefault="00C92735" w14:paraId="2B895577" w14:textId="77777777">
      <w:pPr>
        <w:pStyle w:val="SP-SglSpPara"/>
        <w:spacing w:line="240" w:lineRule="auto"/>
        <w:ind w:firstLine="0"/>
        <w:jc w:val="left"/>
        <w:rPr>
          <w:sz w:val="24"/>
          <w:szCs w:val="24"/>
        </w:rPr>
      </w:pPr>
    </w:p>
    <w:p w:rsidR="00C92735" w:rsidP="00C92735" w:rsidRDefault="00C92735" w14:paraId="4EA07F96" w14:textId="61DC603D">
      <w:pPr>
        <w:pStyle w:val="SP-SglSpPara"/>
        <w:spacing w:line="240" w:lineRule="auto"/>
        <w:ind w:firstLine="0"/>
        <w:jc w:val="left"/>
        <w:rPr>
          <w:sz w:val="24"/>
          <w:szCs w:val="24"/>
          <w:u w:val="single"/>
        </w:rPr>
      </w:pPr>
      <w:r w:rsidRPr="00A27EEA">
        <w:rPr>
          <w:sz w:val="24"/>
          <w:szCs w:val="24"/>
          <w:u w:val="single"/>
        </w:rPr>
        <w:t>Frame</w:t>
      </w:r>
      <w:r w:rsidRPr="000D3C96" w:rsidR="000D3C96">
        <w:rPr>
          <w:sz w:val="24"/>
          <w:szCs w:val="24"/>
          <w:u w:val="single"/>
        </w:rPr>
        <w:t xml:space="preserve"> </w:t>
      </w:r>
      <w:r w:rsidRPr="00A27EEA" w:rsidR="000D3C96">
        <w:rPr>
          <w:sz w:val="24"/>
          <w:szCs w:val="24"/>
          <w:u w:val="single"/>
        </w:rPr>
        <w:t xml:space="preserve">Design and </w:t>
      </w:r>
      <w:r w:rsidRPr="00533C90" w:rsidR="000D3C96">
        <w:rPr>
          <w:sz w:val="24"/>
          <w:szCs w:val="24"/>
          <w:u w:val="single"/>
        </w:rPr>
        <w:t>Response Rates</w:t>
      </w:r>
    </w:p>
    <w:p w:rsidRPr="00A27EEA" w:rsidR="00C92735" w:rsidP="00C92735" w:rsidRDefault="00C92735" w14:paraId="7E4B70A9" w14:textId="77777777">
      <w:pPr>
        <w:pStyle w:val="SP-SglSpPara"/>
        <w:spacing w:line="240" w:lineRule="auto"/>
        <w:ind w:firstLine="0"/>
        <w:jc w:val="left"/>
        <w:rPr>
          <w:sz w:val="24"/>
          <w:szCs w:val="24"/>
        </w:rPr>
      </w:pPr>
    </w:p>
    <w:p w:rsidR="0070508D" w:rsidP="00C92735" w:rsidRDefault="00C92735" w14:paraId="7A3CCFE6" w14:textId="702AD1C3">
      <w:pPr>
        <w:pStyle w:val="SP-SglSpPara"/>
        <w:spacing w:line="240" w:lineRule="auto"/>
        <w:ind w:firstLine="0"/>
        <w:jc w:val="left"/>
        <w:rPr>
          <w:sz w:val="24"/>
          <w:szCs w:val="24"/>
        </w:rPr>
      </w:pPr>
      <w:r w:rsidRPr="00A27EEA">
        <w:rPr>
          <w:sz w:val="24"/>
          <w:szCs w:val="24"/>
        </w:rPr>
        <w:t xml:space="preserve">The </w:t>
      </w:r>
      <w:r w:rsidR="001A58D0">
        <w:rPr>
          <w:sz w:val="24"/>
          <w:szCs w:val="24"/>
        </w:rPr>
        <w:t>SCLEA</w:t>
      </w:r>
      <w:r w:rsidRPr="00A27EEA">
        <w:rPr>
          <w:sz w:val="24"/>
          <w:szCs w:val="24"/>
        </w:rPr>
        <w:t xml:space="preserve"> </w:t>
      </w:r>
      <w:r w:rsidR="001D5F7C">
        <w:rPr>
          <w:sz w:val="24"/>
          <w:szCs w:val="24"/>
        </w:rPr>
        <w:t>frame</w:t>
      </w:r>
      <w:r w:rsidRPr="00A27EEA">
        <w:rPr>
          <w:sz w:val="24"/>
          <w:szCs w:val="24"/>
        </w:rPr>
        <w:t xml:space="preserve"> is based on the </w:t>
      </w:r>
      <w:r w:rsidR="006D5230">
        <w:rPr>
          <w:sz w:val="24"/>
          <w:szCs w:val="24"/>
        </w:rPr>
        <w:t xml:space="preserve">National Center for Education Statistics’ (NCES) </w:t>
      </w:r>
      <w:r w:rsidRPr="00A27EEA" w:rsidR="00F51A8E">
        <w:rPr>
          <w:sz w:val="24"/>
          <w:szCs w:val="24"/>
        </w:rPr>
        <w:t>201</w:t>
      </w:r>
      <w:r w:rsidR="00F51A8E">
        <w:rPr>
          <w:sz w:val="24"/>
          <w:szCs w:val="24"/>
        </w:rPr>
        <w:t>9</w:t>
      </w:r>
      <w:r w:rsidRPr="00A27EEA" w:rsidR="00F51A8E">
        <w:rPr>
          <w:sz w:val="24"/>
          <w:szCs w:val="24"/>
        </w:rPr>
        <w:t xml:space="preserve"> </w:t>
      </w:r>
      <w:r w:rsidR="00F31E0B">
        <w:rPr>
          <w:sz w:val="24"/>
          <w:szCs w:val="24"/>
        </w:rPr>
        <w:t xml:space="preserve">Integrated Postsecondary Education Data System </w:t>
      </w:r>
      <w:r w:rsidRPr="00A27EEA">
        <w:rPr>
          <w:sz w:val="24"/>
          <w:szCs w:val="24"/>
        </w:rPr>
        <w:t>(</w:t>
      </w:r>
      <w:r w:rsidR="001D5F7C">
        <w:rPr>
          <w:sz w:val="24"/>
          <w:szCs w:val="24"/>
        </w:rPr>
        <w:t>IPEDS</w:t>
      </w:r>
      <w:r w:rsidRPr="00A27EEA">
        <w:rPr>
          <w:sz w:val="24"/>
          <w:szCs w:val="24"/>
        </w:rPr>
        <w:t xml:space="preserve">; OMB </w:t>
      </w:r>
      <w:r w:rsidR="00F31E0B">
        <w:rPr>
          <w:sz w:val="24"/>
          <w:szCs w:val="24"/>
        </w:rPr>
        <w:t>1850-0582</w:t>
      </w:r>
      <w:r w:rsidRPr="00A27EEA">
        <w:rPr>
          <w:sz w:val="24"/>
          <w:szCs w:val="24"/>
        </w:rPr>
        <w:t>)</w:t>
      </w:r>
      <w:r w:rsidR="00D97E59">
        <w:rPr>
          <w:sz w:val="24"/>
          <w:szCs w:val="24"/>
        </w:rPr>
        <w:t xml:space="preserve">, </w:t>
      </w:r>
      <w:r w:rsidR="0000656E">
        <w:rPr>
          <w:sz w:val="24"/>
          <w:szCs w:val="24"/>
        </w:rPr>
        <w:t>BJS’s Law Enforcement Agency Roster (LEAR),</w:t>
      </w:r>
      <w:r w:rsidRPr="00A27EEA">
        <w:rPr>
          <w:sz w:val="24"/>
          <w:szCs w:val="24"/>
        </w:rPr>
        <w:t xml:space="preserve"> </w:t>
      </w:r>
      <w:r w:rsidR="0070508D">
        <w:rPr>
          <w:sz w:val="24"/>
          <w:szCs w:val="24"/>
        </w:rPr>
        <w:t>and BJS’s 2018 Census of State and Local Law Enforcement Agencies (CSLLEA; OMB 1121-0346).</w:t>
      </w:r>
      <w:r w:rsidR="00DD05AE">
        <w:rPr>
          <w:sz w:val="24"/>
          <w:szCs w:val="24"/>
        </w:rPr>
        <w:t xml:space="preserve"> IPEDS provide</w:t>
      </w:r>
      <w:r w:rsidR="0000656E">
        <w:rPr>
          <w:sz w:val="24"/>
          <w:szCs w:val="24"/>
        </w:rPr>
        <w:t>s</w:t>
      </w:r>
      <w:r w:rsidR="00DD05AE">
        <w:rPr>
          <w:sz w:val="24"/>
          <w:szCs w:val="24"/>
        </w:rPr>
        <w:t xml:space="preserve"> information on postsecondary institutions, while</w:t>
      </w:r>
      <w:r w:rsidR="0000656E">
        <w:rPr>
          <w:sz w:val="24"/>
          <w:szCs w:val="24"/>
        </w:rPr>
        <w:t xml:space="preserve"> the LEAR and </w:t>
      </w:r>
      <w:r w:rsidR="00DD05AE">
        <w:rPr>
          <w:sz w:val="24"/>
          <w:szCs w:val="24"/>
        </w:rPr>
        <w:t xml:space="preserve">CSLLEA provide information on </w:t>
      </w:r>
      <w:r w:rsidR="0000656E">
        <w:rPr>
          <w:sz w:val="24"/>
          <w:szCs w:val="24"/>
        </w:rPr>
        <w:t xml:space="preserve">the </w:t>
      </w:r>
      <w:r w:rsidR="00DD05AE">
        <w:rPr>
          <w:sz w:val="24"/>
          <w:szCs w:val="24"/>
        </w:rPr>
        <w:t>LEA</w:t>
      </w:r>
      <w:r w:rsidR="0000656E">
        <w:rPr>
          <w:sz w:val="24"/>
          <w:szCs w:val="24"/>
        </w:rPr>
        <w:t>s serving these institution</w:t>
      </w:r>
      <w:r w:rsidR="00DD05AE">
        <w:rPr>
          <w:sz w:val="24"/>
          <w:szCs w:val="24"/>
        </w:rPr>
        <w:t>s.</w:t>
      </w:r>
    </w:p>
    <w:p w:rsidR="0070508D" w:rsidP="00C92735" w:rsidRDefault="0070508D" w14:paraId="539009A8" w14:textId="77777777">
      <w:pPr>
        <w:pStyle w:val="SP-SglSpPara"/>
        <w:spacing w:line="240" w:lineRule="auto"/>
        <w:ind w:firstLine="0"/>
        <w:jc w:val="left"/>
        <w:rPr>
          <w:sz w:val="24"/>
          <w:szCs w:val="24"/>
        </w:rPr>
      </w:pPr>
    </w:p>
    <w:p w:rsidR="006542BF" w:rsidP="00C92735" w:rsidRDefault="0070508D" w14:paraId="1AB3FCEA" w14:textId="57A169F4">
      <w:pPr>
        <w:pStyle w:val="SP-SglSpPara"/>
        <w:spacing w:line="240" w:lineRule="auto"/>
        <w:ind w:firstLine="0"/>
        <w:jc w:val="left"/>
        <w:rPr>
          <w:sz w:val="24"/>
          <w:szCs w:val="24"/>
        </w:rPr>
      </w:pPr>
      <w:r>
        <w:rPr>
          <w:sz w:val="24"/>
          <w:szCs w:val="24"/>
        </w:rPr>
        <w:t>IPEDS is</w:t>
      </w:r>
      <w:r w:rsidRPr="00A27EEA" w:rsidR="00C92735">
        <w:rPr>
          <w:sz w:val="24"/>
          <w:szCs w:val="24"/>
        </w:rPr>
        <w:t xml:space="preserve"> the </w:t>
      </w:r>
      <w:r>
        <w:rPr>
          <w:sz w:val="24"/>
          <w:szCs w:val="24"/>
        </w:rPr>
        <w:t xml:space="preserve">most comprehensive data collection effort in </w:t>
      </w:r>
      <w:r w:rsidR="00250443">
        <w:rPr>
          <w:sz w:val="24"/>
          <w:szCs w:val="24"/>
        </w:rPr>
        <w:t xml:space="preserve">U.S. </w:t>
      </w:r>
      <w:r>
        <w:rPr>
          <w:sz w:val="24"/>
          <w:szCs w:val="24"/>
        </w:rPr>
        <w:t>postsecondary education</w:t>
      </w:r>
      <w:r w:rsidR="0058208C">
        <w:rPr>
          <w:sz w:val="24"/>
          <w:szCs w:val="24"/>
        </w:rPr>
        <w:t xml:space="preserve">. </w:t>
      </w:r>
      <w:r w:rsidR="00250443">
        <w:rPr>
          <w:sz w:val="24"/>
          <w:szCs w:val="24"/>
        </w:rPr>
        <w:t>BJS used the</w:t>
      </w:r>
      <w:r>
        <w:rPr>
          <w:sz w:val="24"/>
          <w:szCs w:val="24"/>
        </w:rPr>
        <w:t xml:space="preserve"> </w:t>
      </w:r>
      <w:r w:rsidR="00250443">
        <w:rPr>
          <w:sz w:val="24"/>
          <w:szCs w:val="24"/>
        </w:rPr>
        <w:t xml:space="preserve">most recent </w:t>
      </w:r>
      <w:r>
        <w:rPr>
          <w:sz w:val="24"/>
          <w:szCs w:val="24"/>
        </w:rPr>
        <w:t xml:space="preserve">IPEDS </w:t>
      </w:r>
      <w:r w:rsidR="00250443">
        <w:rPr>
          <w:sz w:val="24"/>
          <w:szCs w:val="24"/>
        </w:rPr>
        <w:t>(</w:t>
      </w:r>
      <w:r w:rsidR="00F51A8E">
        <w:rPr>
          <w:sz w:val="24"/>
          <w:szCs w:val="24"/>
        </w:rPr>
        <w:t>201</w:t>
      </w:r>
      <w:r w:rsidR="00F51A8E">
        <w:rPr>
          <w:sz w:val="24"/>
          <w:szCs w:val="24"/>
        </w:rPr>
        <w:t>9</w:t>
      </w:r>
      <w:r w:rsidR="00250443">
        <w:rPr>
          <w:sz w:val="24"/>
          <w:szCs w:val="24"/>
        </w:rPr>
        <w:t xml:space="preserve">) to develop a complete list of </w:t>
      </w:r>
      <w:r w:rsidR="001D5F7C">
        <w:rPr>
          <w:sz w:val="24"/>
          <w:szCs w:val="24"/>
        </w:rPr>
        <w:t>postsecondary institutions</w:t>
      </w:r>
      <w:r w:rsidR="00250443">
        <w:rPr>
          <w:sz w:val="24"/>
          <w:szCs w:val="24"/>
        </w:rPr>
        <w:t xml:space="preserve">. </w:t>
      </w:r>
      <w:r w:rsidRPr="00A27EEA" w:rsidR="00C92735">
        <w:rPr>
          <w:sz w:val="24"/>
          <w:szCs w:val="24"/>
        </w:rPr>
        <w:t xml:space="preserve">The </w:t>
      </w:r>
      <w:r w:rsidRPr="00A27EEA" w:rsidR="00F51A8E">
        <w:rPr>
          <w:sz w:val="24"/>
          <w:szCs w:val="24"/>
        </w:rPr>
        <w:t>201</w:t>
      </w:r>
      <w:r w:rsidR="00F51A8E">
        <w:rPr>
          <w:sz w:val="24"/>
          <w:szCs w:val="24"/>
        </w:rPr>
        <w:t>9</w:t>
      </w:r>
      <w:r w:rsidRPr="00A27EEA" w:rsidR="00F51A8E">
        <w:rPr>
          <w:sz w:val="24"/>
          <w:szCs w:val="24"/>
        </w:rPr>
        <w:t xml:space="preserve"> </w:t>
      </w:r>
      <w:r w:rsidR="001D5F7C">
        <w:rPr>
          <w:sz w:val="24"/>
          <w:szCs w:val="24"/>
        </w:rPr>
        <w:t>IPEDS</w:t>
      </w:r>
      <w:r w:rsidRPr="00A27EEA" w:rsidR="00C92735">
        <w:rPr>
          <w:sz w:val="24"/>
          <w:szCs w:val="24"/>
        </w:rPr>
        <w:t xml:space="preserve"> frame</w:t>
      </w:r>
      <w:r w:rsidR="00286902">
        <w:rPr>
          <w:sz w:val="24"/>
          <w:szCs w:val="24"/>
        </w:rPr>
        <w:t xml:space="preserve"> </w:t>
      </w:r>
      <w:r w:rsidRPr="00A27EEA" w:rsidR="00C92735">
        <w:rPr>
          <w:sz w:val="24"/>
          <w:szCs w:val="24"/>
        </w:rPr>
        <w:t xml:space="preserve">was subset to </w:t>
      </w:r>
      <w:r w:rsidR="00250443">
        <w:rPr>
          <w:sz w:val="24"/>
          <w:szCs w:val="24"/>
        </w:rPr>
        <w:t xml:space="preserve">identify </w:t>
      </w:r>
      <w:r w:rsidR="001D5F7C">
        <w:rPr>
          <w:sz w:val="24"/>
          <w:szCs w:val="24"/>
        </w:rPr>
        <w:t xml:space="preserve">postsecondary </w:t>
      </w:r>
      <w:r w:rsidR="0016797F">
        <w:rPr>
          <w:sz w:val="24"/>
          <w:szCs w:val="24"/>
        </w:rPr>
        <w:t xml:space="preserve">institutions </w:t>
      </w:r>
      <w:r w:rsidR="001A58D0">
        <w:rPr>
          <w:sz w:val="24"/>
          <w:szCs w:val="24"/>
        </w:rPr>
        <w:t xml:space="preserve">offering in-person instruction </w:t>
      </w:r>
      <w:r w:rsidR="0016797F">
        <w:rPr>
          <w:sz w:val="24"/>
          <w:szCs w:val="24"/>
        </w:rPr>
        <w:t>with a full-time student enrol</w:t>
      </w:r>
      <w:r w:rsidR="00F5357F">
        <w:rPr>
          <w:sz w:val="24"/>
          <w:szCs w:val="24"/>
        </w:rPr>
        <w:t>l</w:t>
      </w:r>
      <w:r w:rsidR="0016797F">
        <w:rPr>
          <w:sz w:val="24"/>
          <w:szCs w:val="24"/>
        </w:rPr>
        <w:t xml:space="preserve">ment of more than 1,000 students. </w:t>
      </w:r>
      <w:r w:rsidR="006542BF">
        <w:rPr>
          <w:sz w:val="24"/>
          <w:szCs w:val="24"/>
        </w:rPr>
        <w:t xml:space="preserve">This subset serves as the basis for the SCLEA frame. </w:t>
      </w:r>
      <w:r w:rsidR="0016797F">
        <w:rPr>
          <w:sz w:val="24"/>
          <w:szCs w:val="24"/>
        </w:rPr>
        <w:t>The IPED</w:t>
      </w:r>
      <w:r w:rsidR="00F5357F">
        <w:rPr>
          <w:sz w:val="24"/>
          <w:szCs w:val="24"/>
        </w:rPr>
        <w:t>S</w:t>
      </w:r>
      <w:r w:rsidR="0016797F">
        <w:rPr>
          <w:sz w:val="24"/>
          <w:szCs w:val="24"/>
        </w:rPr>
        <w:t xml:space="preserve"> frame was further subset to identify postsecondary institutions by </w:t>
      </w:r>
      <w:r w:rsidR="006542BF">
        <w:rPr>
          <w:sz w:val="24"/>
          <w:szCs w:val="24"/>
        </w:rPr>
        <w:t>other characteristics</w:t>
      </w:r>
      <w:r w:rsidRPr="00A27EEA" w:rsidR="006542BF">
        <w:rPr>
          <w:sz w:val="24"/>
          <w:szCs w:val="24"/>
        </w:rPr>
        <w:t xml:space="preserve"> </w:t>
      </w:r>
      <w:r w:rsidRPr="00A27EEA" w:rsidR="00C92735">
        <w:rPr>
          <w:sz w:val="24"/>
          <w:szCs w:val="24"/>
        </w:rPr>
        <w:t>of interest</w:t>
      </w:r>
      <w:r w:rsidR="006542BF">
        <w:rPr>
          <w:sz w:val="24"/>
          <w:szCs w:val="24"/>
        </w:rPr>
        <w:t xml:space="preserve">, such as </w:t>
      </w:r>
      <w:r w:rsidR="001D5F7C">
        <w:rPr>
          <w:rFonts w:eastAsia="SimSun"/>
          <w:sz w:val="24"/>
          <w:szCs w:val="24"/>
        </w:rPr>
        <w:t>size of campus served</w:t>
      </w:r>
      <w:r w:rsidR="000F3834">
        <w:rPr>
          <w:rFonts w:eastAsia="SimSun"/>
          <w:sz w:val="24"/>
          <w:szCs w:val="24"/>
        </w:rPr>
        <w:t xml:space="preserve"> (based on </w:t>
      </w:r>
      <w:r w:rsidR="00BA7B2D">
        <w:rPr>
          <w:rFonts w:eastAsia="SimSun"/>
          <w:sz w:val="24"/>
          <w:szCs w:val="24"/>
        </w:rPr>
        <w:t xml:space="preserve">full-time student </w:t>
      </w:r>
      <w:r w:rsidR="000F3834">
        <w:rPr>
          <w:rFonts w:eastAsia="SimSun"/>
          <w:sz w:val="24"/>
          <w:szCs w:val="24"/>
        </w:rPr>
        <w:t>enrollment)</w:t>
      </w:r>
      <w:r w:rsidR="001D5F7C">
        <w:rPr>
          <w:rFonts w:eastAsia="SimSun"/>
          <w:sz w:val="24"/>
          <w:szCs w:val="24"/>
        </w:rPr>
        <w:t>, private/public designation, and 2- or 4- year designation</w:t>
      </w:r>
      <w:r w:rsidR="0016797F">
        <w:rPr>
          <w:sz w:val="24"/>
          <w:szCs w:val="24"/>
        </w:rPr>
        <w:t>.</w:t>
      </w:r>
      <w:r w:rsidR="00B30BB5">
        <w:rPr>
          <w:sz w:val="24"/>
          <w:szCs w:val="24"/>
        </w:rPr>
        <w:t xml:space="preserve"> </w:t>
      </w:r>
      <w:r w:rsidRPr="00A27EEA" w:rsidR="00C92735">
        <w:rPr>
          <w:sz w:val="24"/>
          <w:szCs w:val="24"/>
        </w:rPr>
        <w:t xml:space="preserve"> </w:t>
      </w:r>
    </w:p>
    <w:p w:rsidR="006542BF" w:rsidP="00C92735" w:rsidRDefault="006542BF" w14:paraId="6E1F8007" w14:textId="77777777">
      <w:pPr>
        <w:pStyle w:val="SP-SglSpPara"/>
        <w:spacing w:line="240" w:lineRule="auto"/>
        <w:ind w:firstLine="0"/>
        <w:jc w:val="left"/>
        <w:rPr>
          <w:sz w:val="24"/>
          <w:szCs w:val="24"/>
        </w:rPr>
      </w:pPr>
    </w:p>
    <w:p w:rsidR="00AF3B83" w:rsidP="00C92735" w:rsidRDefault="00BA7B2D" w14:paraId="37BE692D" w14:textId="77777777">
      <w:pPr>
        <w:pStyle w:val="SP-SglSpPara"/>
        <w:spacing w:line="240" w:lineRule="auto"/>
        <w:ind w:firstLine="0"/>
        <w:jc w:val="left"/>
        <w:rPr>
          <w:sz w:val="24"/>
          <w:szCs w:val="24"/>
        </w:rPr>
      </w:pPr>
      <w:r>
        <w:rPr>
          <w:sz w:val="24"/>
          <w:szCs w:val="24"/>
        </w:rPr>
        <w:t xml:space="preserve">The LEAR is a list of all publicly funded law enforcement agencies operating in the United States. Most recently, data from the 2018 CSLLEA were merged into the LEAR to ensure that the LEAR contains the most accurate and timely data available, including contact information for the campus LEAs that responded to the 2018 CSLLEA. </w:t>
      </w:r>
      <w:r w:rsidR="006542BF">
        <w:rPr>
          <w:sz w:val="24"/>
          <w:szCs w:val="24"/>
        </w:rPr>
        <w:t>CSLLEA is the most comprehensive data collection for identifying active LEAs in the U.S.</w:t>
      </w:r>
      <w:r w:rsidR="00F5653B">
        <w:rPr>
          <w:sz w:val="24"/>
          <w:szCs w:val="24"/>
        </w:rPr>
        <w:t xml:space="preserve"> and serves as a frame for numerous other law enforcement collections. </w:t>
      </w:r>
      <w:r w:rsidR="00DD05AE">
        <w:rPr>
          <w:sz w:val="24"/>
          <w:szCs w:val="24"/>
        </w:rPr>
        <w:t xml:space="preserve">Within CSLLEA, campus LEAs are a specifically-targeted population and available to easily identify. </w:t>
      </w:r>
      <w:r w:rsidR="00EC48E0">
        <w:rPr>
          <w:sz w:val="24"/>
          <w:szCs w:val="24"/>
        </w:rPr>
        <w:t xml:space="preserve">In the 2018 CSLLEA, campus LEAs had a response rate of 95.6%. </w:t>
      </w:r>
      <w:r w:rsidRPr="00A27EEA" w:rsidR="00C92735">
        <w:rPr>
          <w:sz w:val="24"/>
          <w:szCs w:val="24"/>
        </w:rPr>
        <w:t xml:space="preserve">BJS </w:t>
      </w:r>
      <w:r w:rsidR="001D5F7C">
        <w:rPr>
          <w:sz w:val="24"/>
          <w:szCs w:val="24"/>
        </w:rPr>
        <w:t xml:space="preserve">appended </w:t>
      </w:r>
      <w:r w:rsidR="00F5653B">
        <w:rPr>
          <w:sz w:val="24"/>
          <w:szCs w:val="24"/>
        </w:rPr>
        <w:t xml:space="preserve">campus LEA </w:t>
      </w:r>
      <w:r w:rsidR="001D5F7C">
        <w:rPr>
          <w:sz w:val="24"/>
          <w:szCs w:val="24"/>
        </w:rPr>
        <w:t xml:space="preserve">information </w:t>
      </w:r>
      <w:r w:rsidR="0067057B">
        <w:rPr>
          <w:sz w:val="24"/>
          <w:szCs w:val="24"/>
        </w:rPr>
        <w:t>from the LEAR</w:t>
      </w:r>
      <w:r w:rsidR="00F5653B">
        <w:rPr>
          <w:sz w:val="24"/>
          <w:szCs w:val="24"/>
        </w:rPr>
        <w:t xml:space="preserve"> to the IPEDS frame.  The appended information </w:t>
      </w:r>
      <w:r w:rsidR="001D5F7C">
        <w:rPr>
          <w:sz w:val="24"/>
          <w:szCs w:val="24"/>
        </w:rPr>
        <w:t>includ</w:t>
      </w:r>
      <w:r w:rsidR="00F5653B">
        <w:rPr>
          <w:sz w:val="24"/>
          <w:szCs w:val="24"/>
        </w:rPr>
        <w:t>ed</w:t>
      </w:r>
      <w:r w:rsidR="001D5F7C">
        <w:rPr>
          <w:sz w:val="24"/>
          <w:szCs w:val="24"/>
        </w:rPr>
        <w:t xml:space="preserve"> campus LEA </w:t>
      </w:r>
      <w:r w:rsidR="00743A76">
        <w:rPr>
          <w:sz w:val="24"/>
          <w:szCs w:val="24"/>
        </w:rPr>
        <w:t>point of contact (POC</w:t>
      </w:r>
      <w:r w:rsidR="00F5653B">
        <w:rPr>
          <w:sz w:val="24"/>
          <w:szCs w:val="24"/>
        </w:rPr>
        <w:t>) with</w:t>
      </w:r>
      <w:r w:rsidR="00743A76">
        <w:rPr>
          <w:sz w:val="24"/>
          <w:szCs w:val="24"/>
        </w:rPr>
        <w:t xml:space="preserve"> </w:t>
      </w:r>
      <w:r w:rsidR="001D5F7C">
        <w:rPr>
          <w:sz w:val="24"/>
          <w:szCs w:val="24"/>
        </w:rPr>
        <w:t xml:space="preserve">email address, campus LEA </w:t>
      </w:r>
      <w:r w:rsidR="00F5653B">
        <w:rPr>
          <w:sz w:val="24"/>
          <w:szCs w:val="24"/>
        </w:rPr>
        <w:t xml:space="preserve">physical </w:t>
      </w:r>
      <w:r w:rsidR="001D5F7C">
        <w:rPr>
          <w:sz w:val="24"/>
          <w:szCs w:val="24"/>
        </w:rPr>
        <w:t xml:space="preserve">address, </w:t>
      </w:r>
      <w:r w:rsidR="0016797F">
        <w:rPr>
          <w:sz w:val="24"/>
          <w:szCs w:val="24"/>
        </w:rPr>
        <w:t xml:space="preserve">and </w:t>
      </w:r>
      <w:r w:rsidR="001D5F7C">
        <w:rPr>
          <w:sz w:val="24"/>
          <w:szCs w:val="24"/>
        </w:rPr>
        <w:t xml:space="preserve">campus LEA phone number. </w:t>
      </w:r>
    </w:p>
    <w:p w:rsidR="00AF3B83" w:rsidP="001A58D0" w:rsidRDefault="00901B7C" w14:paraId="0718C4FD" w14:textId="464C33E0">
      <w:pPr>
        <w:pStyle w:val="SP-SglSpPara"/>
        <w:spacing w:line="240" w:lineRule="auto"/>
        <w:ind w:firstLine="0"/>
        <w:jc w:val="left"/>
        <w:rPr>
          <w:sz w:val="24"/>
          <w:szCs w:val="24"/>
        </w:rPr>
      </w:pPr>
      <w:r>
        <w:rPr>
          <w:sz w:val="24"/>
          <w:szCs w:val="24"/>
        </w:rPr>
        <w:lastRenderedPageBreak/>
        <w:t xml:space="preserve">For campus LEAs </w:t>
      </w:r>
      <w:r w:rsidR="008D01EA">
        <w:rPr>
          <w:sz w:val="24"/>
          <w:szCs w:val="24"/>
        </w:rPr>
        <w:t>missing</w:t>
      </w:r>
      <w:r>
        <w:rPr>
          <w:sz w:val="24"/>
          <w:szCs w:val="24"/>
        </w:rPr>
        <w:t xml:space="preserve"> contact information </w:t>
      </w:r>
      <w:r w:rsidR="008D01EA">
        <w:rPr>
          <w:sz w:val="24"/>
          <w:szCs w:val="24"/>
        </w:rPr>
        <w:t>in</w:t>
      </w:r>
      <w:r>
        <w:rPr>
          <w:sz w:val="24"/>
          <w:szCs w:val="24"/>
        </w:rPr>
        <w:t xml:space="preserve"> the 2018 CSLLEA, BJS </w:t>
      </w:r>
      <w:r w:rsidR="00AC4442">
        <w:rPr>
          <w:sz w:val="24"/>
          <w:szCs w:val="24"/>
        </w:rPr>
        <w:t xml:space="preserve">first </w:t>
      </w:r>
      <w:r w:rsidR="002F75C0">
        <w:rPr>
          <w:sz w:val="24"/>
          <w:szCs w:val="24"/>
        </w:rPr>
        <w:t xml:space="preserve">conducted online research in an effort to find the name of the head of the agency and their contact information. </w:t>
      </w:r>
      <w:r w:rsidR="00A23824">
        <w:rPr>
          <w:sz w:val="24"/>
          <w:szCs w:val="24"/>
        </w:rPr>
        <w:t>Many of the campus LEAs that were missing this information serve private institutions, as agencies serving private institutions are not included in the LEAR or CSLLEA; private institutions were identified through IPEDS.</w:t>
      </w:r>
      <w:r w:rsidR="0032550D">
        <w:rPr>
          <w:sz w:val="24"/>
          <w:szCs w:val="24"/>
        </w:rPr>
        <w:t xml:space="preserve"> </w:t>
      </w:r>
      <w:r w:rsidR="002F75C0">
        <w:rPr>
          <w:sz w:val="24"/>
          <w:szCs w:val="24"/>
        </w:rPr>
        <w:t xml:space="preserve">This online research included reviewing </w:t>
      </w:r>
      <w:r w:rsidR="008F6E10">
        <w:rPr>
          <w:sz w:val="24"/>
          <w:szCs w:val="24"/>
        </w:rPr>
        <w:t xml:space="preserve">institutions’ </w:t>
      </w:r>
      <w:proofErr w:type="spellStart"/>
      <w:r w:rsidR="008F6E10">
        <w:rPr>
          <w:sz w:val="24"/>
          <w:szCs w:val="24"/>
        </w:rPr>
        <w:t>Clery</w:t>
      </w:r>
      <w:proofErr w:type="spellEnd"/>
      <w:r w:rsidR="008F6E10">
        <w:rPr>
          <w:sz w:val="24"/>
          <w:szCs w:val="24"/>
        </w:rPr>
        <w:t xml:space="preserve"> Act reports</w:t>
      </w:r>
      <w:r w:rsidR="00DB1563">
        <w:rPr>
          <w:sz w:val="24"/>
          <w:szCs w:val="24"/>
        </w:rPr>
        <w:t xml:space="preserve">. The </w:t>
      </w:r>
      <w:proofErr w:type="spellStart"/>
      <w:r w:rsidR="00DB1563">
        <w:rPr>
          <w:sz w:val="24"/>
          <w:szCs w:val="24"/>
        </w:rPr>
        <w:t>Clery</w:t>
      </w:r>
      <w:proofErr w:type="spellEnd"/>
      <w:r w:rsidR="00DB1563">
        <w:rPr>
          <w:sz w:val="24"/>
          <w:szCs w:val="24"/>
        </w:rPr>
        <w:t xml:space="preserve"> Act requires colleges and universities that receive federal funding to disseminate a public annual security report each fall</w:t>
      </w:r>
      <w:r w:rsidR="00990C2C">
        <w:rPr>
          <w:sz w:val="24"/>
          <w:szCs w:val="24"/>
        </w:rPr>
        <w:t>.  T</w:t>
      </w:r>
      <w:r w:rsidR="00DB1563">
        <w:rPr>
          <w:sz w:val="24"/>
          <w:szCs w:val="24"/>
        </w:rPr>
        <w:t>he report typically includes contact information for the LEA serv</w:t>
      </w:r>
      <w:r w:rsidR="00990C2C">
        <w:rPr>
          <w:sz w:val="24"/>
          <w:szCs w:val="24"/>
        </w:rPr>
        <w:t>ing</w:t>
      </w:r>
      <w:r w:rsidR="00DB1563">
        <w:rPr>
          <w:sz w:val="24"/>
          <w:szCs w:val="24"/>
        </w:rPr>
        <w:t xml:space="preserve"> the institution. </w:t>
      </w:r>
    </w:p>
    <w:p w:rsidR="00AF3B83" w:rsidP="001A58D0" w:rsidRDefault="00AF3B83" w14:paraId="16E71528" w14:textId="77777777">
      <w:pPr>
        <w:pStyle w:val="SP-SglSpPara"/>
        <w:spacing w:line="240" w:lineRule="auto"/>
        <w:ind w:firstLine="0"/>
        <w:jc w:val="left"/>
        <w:rPr>
          <w:sz w:val="24"/>
          <w:szCs w:val="24"/>
        </w:rPr>
      </w:pPr>
    </w:p>
    <w:p w:rsidR="00DD05AE" w:rsidP="001A58D0" w:rsidRDefault="00DB1563" w14:paraId="2AEA48A3" w14:textId="40C8E7F2">
      <w:pPr>
        <w:pStyle w:val="SP-SglSpPara"/>
        <w:spacing w:line="240" w:lineRule="auto"/>
        <w:ind w:firstLine="0"/>
        <w:jc w:val="left"/>
        <w:rPr>
          <w:sz w:val="24"/>
          <w:szCs w:val="24"/>
        </w:rPr>
      </w:pPr>
      <w:r>
        <w:rPr>
          <w:sz w:val="24"/>
          <w:szCs w:val="24"/>
        </w:rPr>
        <w:t xml:space="preserve">For those LEAs </w:t>
      </w:r>
      <w:r w:rsidR="00990C2C">
        <w:rPr>
          <w:sz w:val="24"/>
          <w:szCs w:val="24"/>
        </w:rPr>
        <w:t>without</w:t>
      </w:r>
      <w:r>
        <w:rPr>
          <w:sz w:val="24"/>
          <w:szCs w:val="24"/>
        </w:rPr>
        <w:t xml:space="preserve"> contact information following </w:t>
      </w:r>
      <w:r w:rsidR="002F75C0">
        <w:rPr>
          <w:sz w:val="24"/>
          <w:szCs w:val="24"/>
        </w:rPr>
        <w:t>the online research effort</w:t>
      </w:r>
      <w:r>
        <w:rPr>
          <w:sz w:val="24"/>
          <w:szCs w:val="24"/>
        </w:rPr>
        <w:t xml:space="preserve">, </w:t>
      </w:r>
      <w:r w:rsidR="008F6E10">
        <w:rPr>
          <w:sz w:val="24"/>
          <w:szCs w:val="24"/>
        </w:rPr>
        <w:t xml:space="preserve">BJS conducted a verification calling effort under BJS’ generic clearance (OMB 1121-0339) through which </w:t>
      </w:r>
      <w:r w:rsidRPr="00DC08F8" w:rsidR="002F75C0">
        <w:rPr>
          <w:sz w:val="24"/>
          <w:szCs w:val="24"/>
        </w:rPr>
        <w:t>325</w:t>
      </w:r>
      <w:r w:rsidRPr="009A5561" w:rsidR="008F6E10">
        <w:rPr>
          <w:sz w:val="24"/>
          <w:szCs w:val="24"/>
        </w:rPr>
        <w:t xml:space="preserve"> </w:t>
      </w:r>
      <w:r w:rsidRPr="009A5561" w:rsidR="002F75C0">
        <w:rPr>
          <w:sz w:val="24"/>
          <w:szCs w:val="24"/>
        </w:rPr>
        <w:t>campus LEAs</w:t>
      </w:r>
      <w:r w:rsidRPr="009A5561" w:rsidR="008F6E10">
        <w:rPr>
          <w:sz w:val="24"/>
          <w:szCs w:val="24"/>
        </w:rPr>
        <w:t xml:space="preserve"> were called and asked to provide a POC.</w:t>
      </w:r>
      <w:r w:rsidRPr="00B30BB5" w:rsidR="00235EAC">
        <w:rPr>
          <w:sz w:val="24"/>
          <w:szCs w:val="24"/>
        </w:rPr>
        <w:t xml:space="preserve"> </w:t>
      </w:r>
      <w:r w:rsidRPr="00DC08F8" w:rsidR="00235EAC">
        <w:rPr>
          <w:sz w:val="24"/>
          <w:szCs w:val="24"/>
        </w:rPr>
        <w:t>As a result of these calls</w:t>
      </w:r>
      <w:r w:rsidRPr="00DC08F8" w:rsidR="009A5561">
        <w:rPr>
          <w:sz w:val="24"/>
          <w:szCs w:val="24"/>
        </w:rPr>
        <w:t>, contact information was obtained for 321 of these LEAs.</w:t>
      </w:r>
      <w:r w:rsidR="003214E8">
        <w:rPr>
          <w:sz w:val="24"/>
          <w:szCs w:val="24"/>
        </w:rPr>
        <w:t xml:space="preserve"> </w:t>
      </w:r>
      <w:r w:rsidR="00C92735">
        <w:rPr>
          <w:sz w:val="24"/>
          <w:szCs w:val="24"/>
        </w:rPr>
        <w:t xml:space="preserve">Based on the data sources noted above, BJS estimates that </w:t>
      </w:r>
      <w:r w:rsidR="00F51A8E">
        <w:rPr>
          <w:sz w:val="24"/>
          <w:szCs w:val="24"/>
        </w:rPr>
        <w:t>2,067</w:t>
      </w:r>
      <w:r w:rsidRPr="00A27EEA" w:rsidR="00C92735">
        <w:rPr>
          <w:sz w:val="24"/>
          <w:szCs w:val="24"/>
        </w:rPr>
        <w:t xml:space="preserve"> </w:t>
      </w:r>
      <w:r w:rsidR="0016797F">
        <w:rPr>
          <w:sz w:val="24"/>
          <w:szCs w:val="24"/>
        </w:rPr>
        <w:t>postsecondary</w:t>
      </w:r>
      <w:r w:rsidR="001D5F7C">
        <w:rPr>
          <w:sz w:val="24"/>
          <w:szCs w:val="24"/>
        </w:rPr>
        <w:t xml:space="preserve"> institutions</w:t>
      </w:r>
      <w:r w:rsidRPr="00A27EEA" w:rsidR="00C92735">
        <w:rPr>
          <w:sz w:val="24"/>
          <w:szCs w:val="24"/>
        </w:rPr>
        <w:t xml:space="preserve"> </w:t>
      </w:r>
      <w:r w:rsidR="00C92735">
        <w:rPr>
          <w:sz w:val="24"/>
          <w:szCs w:val="24"/>
        </w:rPr>
        <w:t xml:space="preserve">meet </w:t>
      </w:r>
      <w:r w:rsidR="0016797F">
        <w:rPr>
          <w:sz w:val="24"/>
          <w:szCs w:val="24"/>
        </w:rPr>
        <w:t>SCLEA’s</w:t>
      </w:r>
      <w:r w:rsidR="001D5F7C">
        <w:rPr>
          <w:sz w:val="24"/>
          <w:szCs w:val="24"/>
        </w:rPr>
        <w:t xml:space="preserve"> </w:t>
      </w:r>
      <w:r w:rsidR="00C92735">
        <w:rPr>
          <w:sz w:val="24"/>
          <w:szCs w:val="24"/>
        </w:rPr>
        <w:t>criteri</w:t>
      </w:r>
      <w:r w:rsidR="0014008D">
        <w:rPr>
          <w:sz w:val="24"/>
          <w:szCs w:val="24"/>
        </w:rPr>
        <w:t>a</w:t>
      </w:r>
      <w:r w:rsidRPr="00A27EEA" w:rsidR="00C92735">
        <w:rPr>
          <w:sz w:val="24"/>
          <w:szCs w:val="24"/>
        </w:rPr>
        <w:t xml:space="preserve">. </w:t>
      </w:r>
      <w:r w:rsidRPr="00A27EEA" w:rsidR="00DD05AE">
        <w:rPr>
          <w:sz w:val="24"/>
          <w:szCs w:val="24"/>
        </w:rPr>
        <w:t xml:space="preserve">The </w:t>
      </w:r>
      <w:r w:rsidR="00DD05AE">
        <w:rPr>
          <w:sz w:val="24"/>
          <w:szCs w:val="24"/>
        </w:rPr>
        <w:t>SCLEA universe is defined as all LEAs serving any postsecondary educational institution which offers in-person instruction and has a full-time enrollment of at least 1,000 students</w:t>
      </w:r>
      <w:r w:rsidRPr="00A27EEA" w:rsidR="00DD05AE">
        <w:rPr>
          <w:sz w:val="24"/>
          <w:szCs w:val="24"/>
        </w:rPr>
        <w:t xml:space="preserve">. </w:t>
      </w:r>
      <w:r w:rsidR="00714692">
        <w:rPr>
          <w:sz w:val="24"/>
          <w:szCs w:val="24"/>
        </w:rPr>
        <w:t>To</w:t>
      </w:r>
      <w:r w:rsidR="001A58D0">
        <w:rPr>
          <w:sz w:val="24"/>
          <w:szCs w:val="24"/>
        </w:rPr>
        <w:t xml:space="preserve"> maximize the utility of SCLEA data, RTI and BJS plan to conduct a census of all agencies in the SCLEA universe. </w:t>
      </w:r>
    </w:p>
    <w:p w:rsidR="00DD05AE" w:rsidP="001A58D0" w:rsidRDefault="00DD05AE" w14:paraId="6571A195" w14:textId="77777777">
      <w:pPr>
        <w:pStyle w:val="SP-SglSpPara"/>
        <w:spacing w:line="240" w:lineRule="auto"/>
        <w:ind w:firstLine="0"/>
        <w:jc w:val="left"/>
        <w:rPr>
          <w:sz w:val="24"/>
          <w:szCs w:val="24"/>
        </w:rPr>
      </w:pPr>
    </w:p>
    <w:p w:rsidR="00EC48E0" w:rsidP="001A58D0" w:rsidRDefault="00C92735" w14:paraId="73F586E4" w14:textId="76770A19">
      <w:pPr>
        <w:pStyle w:val="SP-SglSpPara"/>
        <w:spacing w:line="240" w:lineRule="auto"/>
        <w:ind w:firstLine="0"/>
        <w:jc w:val="left"/>
        <w:rPr>
          <w:sz w:val="24"/>
          <w:szCs w:val="24"/>
        </w:rPr>
      </w:pPr>
      <w:r w:rsidRPr="00A27EEA">
        <w:rPr>
          <w:sz w:val="24"/>
          <w:szCs w:val="24"/>
        </w:rPr>
        <w:t xml:space="preserve">The universe of </w:t>
      </w:r>
      <w:r w:rsidR="000D3C96">
        <w:rPr>
          <w:sz w:val="24"/>
          <w:szCs w:val="24"/>
        </w:rPr>
        <w:t>SCLEA</w:t>
      </w:r>
      <w:r w:rsidRPr="00A27EEA">
        <w:rPr>
          <w:sz w:val="24"/>
          <w:szCs w:val="24"/>
        </w:rPr>
        <w:t xml:space="preserve">-eligible agencies is </w:t>
      </w:r>
      <w:r w:rsidR="00990C2C">
        <w:rPr>
          <w:sz w:val="24"/>
          <w:szCs w:val="24"/>
        </w:rPr>
        <w:t xml:space="preserve">further </w:t>
      </w:r>
      <w:r w:rsidRPr="00A27EEA">
        <w:rPr>
          <w:sz w:val="24"/>
          <w:szCs w:val="24"/>
        </w:rPr>
        <w:t xml:space="preserve">stratified </w:t>
      </w:r>
      <w:r w:rsidR="007A77B9">
        <w:rPr>
          <w:sz w:val="24"/>
          <w:szCs w:val="24"/>
        </w:rPr>
        <w:t>on</w:t>
      </w:r>
      <w:r w:rsidRPr="00A27EEA" w:rsidR="007A77B9">
        <w:rPr>
          <w:sz w:val="24"/>
          <w:szCs w:val="24"/>
        </w:rPr>
        <w:t xml:space="preserve"> </w:t>
      </w:r>
      <w:r w:rsidRPr="00A27EEA">
        <w:rPr>
          <w:sz w:val="24"/>
          <w:szCs w:val="24"/>
        </w:rPr>
        <w:t xml:space="preserve">three </w:t>
      </w:r>
      <w:r w:rsidR="007A77B9">
        <w:rPr>
          <w:sz w:val="24"/>
          <w:szCs w:val="24"/>
        </w:rPr>
        <w:t>factors</w:t>
      </w:r>
      <w:r w:rsidRPr="00A27EEA" w:rsidR="007A77B9">
        <w:rPr>
          <w:sz w:val="24"/>
          <w:szCs w:val="24"/>
        </w:rPr>
        <w:t xml:space="preserve"> </w:t>
      </w:r>
      <w:r w:rsidRPr="00A27EEA">
        <w:rPr>
          <w:sz w:val="24"/>
          <w:szCs w:val="24"/>
        </w:rPr>
        <w:t xml:space="preserve">representing groups of substantive interest for estimates. </w:t>
      </w:r>
      <w:r w:rsidR="00DD05AE">
        <w:rPr>
          <w:sz w:val="24"/>
          <w:szCs w:val="24"/>
        </w:rPr>
        <w:t xml:space="preserve">All stratification is based on data from the IPEDS frame. </w:t>
      </w:r>
      <w:r w:rsidRPr="00A27EEA">
        <w:rPr>
          <w:sz w:val="24"/>
          <w:szCs w:val="24"/>
        </w:rPr>
        <w:t xml:space="preserve">The first </w:t>
      </w:r>
      <w:r w:rsidR="007A77B9">
        <w:rPr>
          <w:sz w:val="24"/>
          <w:szCs w:val="24"/>
        </w:rPr>
        <w:t>factor</w:t>
      </w:r>
      <w:r w:rsidRPr="00A27EEA" w:rsidR="007A77B9">
        <w:rPr>
          <w:sz w:val="24"/>
          <w:szCs w:val="24"/>
        </w:rPr>
        <w:t xml:space="preserve"> </w:t>
      </w:r>
      <w:r w:rsidRPr="00A27EEA">
        <w:rPr>
          <w:sz w:val="24"/>
          <w:szCs w:val="24"/>
        </w:rPr>
        <w:t>separates</w:t>
      </w:r>
      <w:r w:rsidR="000D3C96">
        <w:rPr>
          <w:sz w:val="24"/>
          <w:szCs w:val="24"/>
        </w:rPr>
        <w:t xml:space="preserve"> postsecondary institutions with an enrollment of 1,000-2,499 full-time students from postsecondary institutions with an enrollment of 2,500 </w:t>
      </w:r>
      <w:r w:rsidR="00C173B5">
        <w:rPr>
          <w:sz w:val="24"/>
          <w:szCs w:val="24"/>
        </w:rPr>
        <w:t xml:space="preserve">or more full-time </w:t>
      </w:r>
      <w:r w:rsidR="000D3C96">
        <w:rPr>
          <w:sz w:val="24"/>
          <w:szCs w:val="24"/>
        </w:rPr>
        <w:t xml:space="preserve">students. </w:t>
      </w:r>
      <w:r w:rsidR="007A77B9">
        <w:rPr>
          <w:sz w:val="24"/>
          <w:szCs w:val="24"/>
        </w:rPr>
        <w:t>The second factor is</w:t>
      </w:r>
      <w:r w:rsidRPr="00A27EEA">
        <w:rPr>
          <w:sz w:val="24"/>
          <w:szCs w:val="24"/>
        </w:rPr>
        <w:t xml:space="preserve"> </w:t>
      </w:r>
      <w:r w:rsidR="000D3C96">
        <w:rPr>
          <w:sz w:val="24"/>
          <w:szCs w:val="24"/>
        </w:rPr>
        <w:t>institution</w:t>
      </w:r>
      <w:r w:rsidRPr="00A27EEA">
        <w:rPr>
          <w:sz w:val="24"/>
          <w:szCs w:val="24"/>
        </w:rPr>
        <w:t xml:space="preserve"> type, with separate strata for </w:t>
      </w:r>
      <w:r w:rsidR="000D3C96">
        <w:rPr>
          <w:sz w:val="24"/>
          <w:szCs w:val="24"/>
        </w:rPr>
        <w:t>publicly and privately funded institutions</w:t>
      </w:r>
      <w:r w:rsidRPr="00A27EEA">
        <w:rPr>
          <w:sz w:val="24"/>
          <w:szCs w:val="24"/>
        </w:rPr>
        <w:t xml:space="preserve">. </w:t>
      </w:r>
      <w:r w:rsidR="007A77B9">
        <w:rPr>
          <w:sz w:val="24"/>
          <w:szCs w:val="24"/>
        </w:rPr>
        <w:t xml:space="preserve">The third factor is </w:t>
      </w:r>
      <w:r w:rsidR="000D3C96">
        <w:rPr>
          <w:sz w:val="24"/>
          <w:szCs w:val="24"/>
        </w:rPr>
        <w:t xml:space="preserve">whether the institution is a 4-year </w:t>
      </w:r>
      <w:r w:rsidR="00751ADD">
        <w:rPr>
          <w:sz w:val="24"/>
          <w:szCs w:val="24"/>
        </w:rPr>
        <w:t xml:space="preserve">or a 2-year </w:t>
      </w:r>
      <w:r w:rsidR="000D3C96">
        <w:rPr>
          <w:sz w:val="24"/>
          <w:szCs w:val="24"/>
        </w:rPr>
        <w:t>institution</w:t>
      </w:r>
      <w:r w:rsidRPr="00A27EEA">
        <w:rPr>
          <w:sz w:val="24"/>
          <w:szCs w:val="24"/>
        </w:rPr>
        <w:t xml:space="preserve">. </w:t>
      </w:r>
      <w:r w:rsidRPr="00DC08F8">
        <w:rPr>
          <w:b/>
          <w:sz w:val="24"/>
          <w:szCs w:val="24"/>
        </w:rPr>
        <w:t>Table 1</w:t>
      </w:r>
      <w:r w:rsidRPr="00A27EEA">
        <w:rPr>
          <w:sz w:val="24"/>
          <w:szCs w:val="24"/>
        </w:rPr>
        <w:t xml:space="preserve"> provides the </w:t>
      </w:r>
      <w:r w:rsidR="000D3C96">
        <w:rPr>
          <w:sz w:val="24"/>
          <w:szCs w:val="24"/>
        </w:rPr>
        <w:t>SCLEA</w:t>
      </w:r>
      <w:r w:rsidRPr="00A27EEA">
        <w:rPr>
          <w:sz w:val="24"/>
          <w:szCs w:val="24"/>
        </w:rPr>
        <w:t xml:space="preserve"> universe distribution among these strata.</w:t>
      </w:r>
      <w:r w:rsidR="00B37221">
        <w:rPr>
          <w:sz w:val="24"/>
          <w:szCs w:val="24"/>
        </w:rPr>
        <w:t xml:space="preserve"> </w:t>
      </w:r>
    </w:p>
    <w:p w:rsidR="00EC48E0" w:rsidP="001A58D0" w:rsidRDefault="00EC48E0" w14:paraId="43866DD4" w14:textId="77777777">
      <w:pPr>
        <w:pStyle w:val="SP-SglSpPara"/>
        <w:spacing w:line="240" w:lineRule="auto"/>
        <w:ind w:firstLine="0"/>
        <w:jc w:val="left"/>
        <w:rPr>
          <w:sz w:val="24"/>
          <w:szCs w:val="24"/>
        </w:rPr>
      </w:pPr>
    </w:p>
    <w:p w:rsidRPr="00A27EEA" w:rsidR="001A58D0" w:rsidP="001A58D0" w:rsidRDefault="001A58D0" w14:paraId="496C11FB" w14:textId="4FCB6375">
      <w:pPr>
        <w:pStyle w:val="SP-SglSpPara"/>
        <w:spacing w:line="240" w:lineRule="auto"/>
        <w:ind w:firstLine="0"/>
        <w:jc w:val="left"/>
        <w:rPr>
          <w:sz w:val="24"/>
          <w:szCs w:val="24"/>
        </w:rPr>
      </w:pPr>
      <w:r w:rsidRPr="00A27EEA">
        <w:rPr>
          <w:sz w:val="24"/>
          <w:szCs w:val="24"/>
        </w:rPr>
        <w:t xml:space="preserve">This </w:t>
      </w:r>
      <w:r>
        <w:rPr>
          <w:sz w:val="24"/>
          <w:szCs w:val="24"/>
        </w:rPr>
        <w:t>frame</w:t>
      </w:r>
      <w:r w:rsidRPr="00A27EEA">
        <w:rPr>
          <w:sz w:val="24"/>
          <w:szCs w:val="24"/>
        </w:rPr>
        <w:t xml:space="preserve"> is expected to yield </w:t>
      </w:r>
      <w:r w:rsidR="005946A4">
        <w:rPr>
          <w:sz w:val="24"/>
          <w:szCs w:val="24"/>
        </w:rPr>
        <w:t>a response rate of 90% (</w:t>
      </w:r>
      <w:r w:rsidRPr="00A27EEA">
        <w:rPr>
          <w:sz w:val="24"/>
          <w:szCs w:val="24"/>
        </w:rPr>
        <w:t>1,</w:t>
      </w:r>
      <w:r w:rsidR="00F51A8E">
        <w:rPr>
          <w:sz w:val="24"/>
          <w:szCs w:val="24"/>
        </w:rPr>
        <w:t>860</w:t>
      </w:r>
      <w:r w:rsidR="00F51A8E">
        <w:rPr>
          <w:sz w:val="24"/>
          <w:szCs w:val="24"/>
        </w:rPr>
        <w:t xml:space="preserve"> </w:t>
      </w:r>
      <w:r w:rsidRPr="00A27EEA">
        <w:rPr>
          <w:sz w:val="24"/>
          <w:szCs w:val="24"/>
        </w:rPr>
        <w:t>completes</w:t>
      </w:r>
      <w:r w:rsidR="005946A4">
        <w:rPr>
          <w:sz w:val="24"/>
          <w:szCs w:val="24"/>
        </w:rPr>
        <w:t>)</w:t>
      </w:r>
      <w:r w:rsidRPr="00A27EEA">
        <w:rPr>
          <w:sz w:val="24"/>
          <w:szCs w:val="24"/>
        </w:rPr>
        <w:t>.</w:t>
      </w:r>
      <w:r w:rsidR="005946A4">
        <w:rPr>
          <w:sz w:val="24"/>
          <w:szCs w:val="24"/>
        </w:rPr>
        <w:t xml:space="preserve"> </w:t>
      </w:r>
      <w:r w:rsidR="003C284C">
        <w:rPr>
          <w:sz w:val="24"/>
          <w:szCs w:val="24"/>
        </w:rPr>
        <w:t xml:space="preserve">In the 2018 CSLLEA, campus LEAs had a response rate of </w:t>
      </w:r>
      <w:r w:rsidR="00BB4ED5">
        <w:rPr>
          <w:sz w:val="24"/>
          <w:szCs w:val="24"/>
        </w:rPr>
        <w:t>95.6</w:t>
      </w:r>
      <w:r w:rsidR="003D3CE6">
        <w:rPr>
          <w:sz w:val="24"/>
          <w:szCs w:val="24"/>
        </w:rPr>
        <w:t>%</w:t>
      </w:r>
      <w:r w:rsidR="003C284C">
        <w:rPr>
          <w:sz w:val="24"/>
          <w:szCs w:val="24"/>
        </w:rPr>
        <w:t>.</w:t>
      </w:r>
      <w:r w:rsidR="003D3CE6">
        <w:rPr>
          <w:sz w:val="24"/>
          <w:szCs w:val="24"/>
        </w:rPr>
        <w:t xml:space="preserve"> </w:t>
      </w:r>
      <w:r w:rsidR="003C284C">
        <w:rPr>
          <w:sz w:val="24"/>
          <w:szCs w:val="24"/>
        </w:rPr>
        <w:t>Given the increased burden of SCLEA (60 minutes) as compared to the 2018 CSLLEA (30 minutes), BJS anticipate</w:t>
      </w:r>
      <w:r w:rsidR="00714692">
        <w:rPr>
          <w:sz w:val="24"/>
          <w:szCs w:val="24"/>
        </w:rPr>
        <w:t>s</w:t>
      </w:r>
      <w:r w:rsidR="003C284C">
        <w:rPr>
          <w:sz w:val="24"/>
          <w:szCs w:val="24"/>
        </w:rPr>
        <w:t xml:space="preserve"> challenges with obtaining responses from private and smaller campus agencies due to limited time and resources in these types of agencies.</w:t>
      </w:r>
    </w:p>
    <w:p w:rsidRPr="00A27EEA" w:rsidR="00C92735" w:rsidP="00C92735" w:rsidRDefault="00C92735" w14:paraId="24E9EB75" w14:textId="77777777">
      <w:pPr>
        <w:pStyle w:val="SP-SglSpPara"/>
        <w:spacing w:line="240" w:lineRule="auto"/>
        <w:ind w:firstLine="0"/>
        <w:jc w:val="left"/>
        <w:rPr>
          <w:sz w:val="24"/>
          <w:szCs w:val="24"/>
        </w:rPr>
      </w:pPr>
    </w:p>
    <w:p w:rsidR="00C92735" w:rsidP="00C92735" w:rsidRDefault="00C92735" w14:paraId="3CFAB308" w14:textId="5C562EC0">
      <w:pPr>
        <w:pStyle w:val="SP-SglSpPara"/>
        <w:spacing w:line="240" w:lineRule="auto"/>
        <w:ind w:firstLine="0"/>
        <w:jc w:val="left"/>
        <w:rPr>
          <w:b/>
          <w:sz w:val="24"/>
          <w:szCs w:val="24"/>
        </w:rPr>
      </w:pPr>
      <w:r w:rsidRPr="00A27EEA">
        <w:rPr>
          <w:b/>
          <w:sz w:val="24"/>
          <w:szCs w:val="24"/>
        </w:rPr>
        <w:t xml:space="preserve">Table 1. </w:t>
      </w:r>
      <w:r w:rsidR="001A58D0">
        <w:rPr>
          <w:b/>
          <w:sz w:val="24"/>
          <w:szCs w:val="24"/>
        </w:rPr>
        <w:t>SCLEA</w:t>
      </w:r>
      <w:r w:rsidRPr="00A27EEA">
        <w:rPr>
          <w:b/>
          <w:sz w:val="24"/>
          <w:szCs w:val="24"/>
        </w:rPr>
        <w:t xml:space="preserve"> </w:t>
      </w:r>
      <w:r w:rsidR="009F5F6B">
        <w:rPr>
          <w:b/>
          <w:sz w:val="24"/>
          <w:szCs w:val="24"/>
        </w:rPr>
        <w:t xml:space="preserve">Postsecondary Institution </w:t>
      </w:r>
      <w:r w:rsidRPr="00A27EEA">
        <w:rPr>
          <w:b/>
          <w:sz w:val="24"/>
          <w:szCs w:val="24"/>
        </w:rPr>
        <w:t>Universe Distribution among Design Strata</w:t>
      </w:r>
    </w:p>
    <w:p w:rsidRPr="00A27EEA" w:rsidR="00F51A8E" w:rsidP="00C92735" w:rsidRDefault="00F51A8E" w14:paraId="714C555D" w14:textId="56D3824F">
      <w:pPr>
        <w:pStyle w:val="SP-SglSpPara"/>
        <w:spacing w:line="240" w:lineRule="auto"/>
        <w:ind w:firstLine="0"/>
        <w:jc w:val="left"/>
        <w:rPr>
          <w:b/>
          <w:sz w:val="24"/>
          <w:szCs w:val="24"/>
        </w:rPr>
      </w:pPr>
      <w:r w:rsidRPr="00F51A8E">
        <w:drawing>
          <wp:inline distT="0" distB="0" distL="0" distR="0" wp14:anchorId="2C703264" wp14:editId="72A248E6">
            <wp:extent cx="3486150" cy="2238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6150" cy="2238375"/>
                    </a:xfrm>
                    <a:prstGeom prst="rect">
                      <a:avLst/>
                    </a:prstGeom>
                    <a:noFill/>
                    <a:ln>
                      <a:noFill/>
                    </a:ln>
                  </pic:spPr>
                </pic:pic>
              </a:graphicData>
            </a:graphic>
          </wp:inline>
        </w:drawing>
      </w:r>
    </w:p>
    <w:p w:rsidRPr="00A27EEA" w:rsidR="00C92735" w:rsidP="00C92735" w:rsidRDefault="00C92735" w14:paraId="78B31757" w14:textId="3F96EAC1">
      <w:pPr>
        <w:pStyle w:val="SP-SglSpPara"/>
        <w:spacing w:line="240" w:lineRule="auto"/>
        <w:ind w:firstLine="0"/>
        <w:jc w:val="left"/>
        <w:rPr>
          <w:sz w:val="24"/>
          <w:szCs w:val="24"/>
        </w:rPr>
      </w:pPr>
    </w:p>
    <w:p w:rsidR="00C92735" w:rsidP="00C92735" w:rsidRDefault="00C92735" w14:paraId="25F03D62" w14:textId="77777777">
      <w:pPr>
        <w:pStyle w:val="ListParagraph"/>
        <w:numPr>
          <w:ilvl w:val="0"/>
          <w:numId w:val="1"/>
        </w:numPr>
        <w:ind w:left="360"/>
        <w:contextualSpacing w:val="0"/>
        <w:rPr>
          <w:b/>
          <w:u w:val="single"/>
        </w:rPr>
      </w:pPr>
      <w:r w:rsidRPr="009561F8">
        <w:rPr>
          <w:b/>
          <w:u w:val="single"/>
        </w:rPr>
        <w:lastRenderedPageBreak/>
        <w:t>Procedures for Collecting Information</w:t>
      </w:r>
    </w:p>
    <w:p w:rsidRPr="00C92735" w:rsidR="00C92735" w:rsidP="00C92735" w:rsidRDefault="00C92735" w14:paraId="0C6F9167" w14:textId="77777777">
      <w:pPr>
        <w:pStyle w:val="ListParagraph"/>
        <w:ind w:left="360"/>
        <w:contextualSpacing w:val="0"/>
        <w:rPr>
          <w:b/>
          <w:u w:val="single"/>
        </w:rPr>
      </w:pPr>
    </w:p>
    <w:p w:rsidRPr="00C92735" w:rsidR="00C92735" w:rsidP="00C36166" w:rsidRDefault="00C92735" w14:paraId="2F29C3C2" w14:textId="4851C20B">
      <w:pPr>
        <w:spacing w:line="240" w:lineRule="auto"/>
        <w:rPr>
          <w:rFonts w:ascii="Times New Roman" w:hAnsi="Times New Roman" w:cs="Times New Roman"/>
          <w:b/>
          <w:sz w:val="24"/>
          <w:szCs w:val="24"/>
        </w:rPr>
      </w:pPr>
      <w:r w:rsidRPr="00C92735">
        <w:rPr>
          <w:rFonts w:ascii="Times New Roman" w:hAnsi="Times New Roman" w:cs="Times New Roman"/>
          <w:b/>
          <w:sz w:val="24"/>
          <w:szCs w:val="24"/>
        </w:rPr>
        <w:t xml:space="preserve">Data collection procedures. </w:t>
      </w:r>
      <w:r w:rsidR="008C52A9">
        <w:rPr>
          <w:rFonts w:ascii="Times New Roman" w:hAnsi="Times New Roman" w:cs="Times New Roman"/>
          <w:sz w:val="24"/>
          <w:szCs w:val="24"/>
        </w:rPr>
        <w:t xml:space="preserve">SCLEA data collection </w:t>
      </w:r>
      <w:r w:rsidR="0024493A">
        <w:rPr>
          <w:rFonts w:ascii="Times New Roman" w:hAnsi="Times New Roman" w:cs="Times New Roman"/>
          <w:sz w:val="24"/>
          <w:szCs w:val="24"/>
        </w:rPr>
        <w:t>is</w:t>
      </w:r>
      <w:r w:rsidR="008C52A9">
        <w:rPr>
          <w:rFonts w:ascii="Times New Roman" w:hAnsi="Times New Roman" w:cs="Times New Roman"/>
          <w:sz w:val="24"/>
          <w:szCs w:val="24"/>
        </w:rPr>
        <w:t xml:space="preserve"> designed as</w:t>
      </w:r>
      <w:r w:rsidRPr="00C92735" w:rsidR="008C52A9">
        <w:rPr>
          <w:rFonts w:ascii="Times New Roman" w:hAnsi="Times New Roman" w:cs="Times New Roman"/>
          <w:sz w:val="24"/>
          <w:szCs w:val="24"/>
        </w:rPr>
        <w:t xml:space="preserve"> </w:t>
      </w:r>
      <w:r w:rsidR="00751ADD">
        <w:rPr>
          <w:rFonts w:ascii="Times New Roman" w:hAnsi="Times New Roman" w:cs="Times New Roman"/>
          <w:sz w:val="24"/>
          <w:szCs w:val="24"/>
        </w:rPr>
        <w:t xml:space="preserve">a </w:t>
      </w:r>
      <w:r w:rsidRPr="00C92735" w:rsidR="008C52A9">
        <w:rPr>
          <w:rFonts w:ascii="Times New Roman" w:hAnsi="Times New Roman" w:cs="Times New Roman"/>
          <w:sz w:val="24"/>
          <w:szCs w:val="24"/>
        </w:rPr>
        <w:t xml:space="preserve">multi-mode </w:t>
      </w:r>
      <w:r w:rsidR="0024493A">
        <w:rPr>
          <w:rFonts w:ascii="Times New Roman" w:hAnsi="Times New Roman" w:cs="Times New Roman"/>
          <w:sz w:val="24"/>
          <w:szCs w:val="24"/>
        </w:rPr>
        <w:t>method</w:t>
      </w:r>
      <w:r w:rsidRPr="00C92735" w:rsidR="008C52A9">
        <w:rPr>
          <w:rFonts w:ascii="Times New Roman" w:hAnsi="Times New Roman" w:cs="Times New Roman"/>
          <w:sz w:val="24"/>
          <w:szCs w:val="24"/>
        </w:rPr>
        <w:t xml:space="preserve"> using </w:t>
      </w:r>
      <w:r w:rsidR="00751ADD">
        <w:rPr>
          <w:rFonts w:ascii="Times New Roman" w:hAnsi="Times New Roman" w:cs="Times New Roman"/>
          <w:sz w:val="24"/>
          <w:szCs w:val="24"/>
        </w:rPr>
        <w:t xml:space="preserve">a </w:t>
      </w:r>
      <w:r w:rsidRPr="00C92735" w:rsidR="008C52A9">
        <w:rPr>
          <w:rFonts w:ascii="Times New Roman" w:hAnsi="Times New Roman" w:cs="Times New Roman"/>
          <w:sz w:val="24"/>
          <w:szCs w:val="24"/>
        </w:rPr>
        <w:t>web</w:t>
      </w:r>
      <w:r w:rsidR="008C52A9">
        <w:rPr>
          <w:rFonts w:ascii="Times New Roman" w:hAnsi="Times New Roman" w:cs="Times New Roman"/>
          <w:sz w:val="24"/>
          <w:szCs w:val="24"/>
        </w:rPr>
        <w:t xml:space="preserve"> survey</w:t>
      </w:r>
      <w:r w:rsidRPr="00C92735" w:rsidR="008C52A9">
        <w:rPr>
          <w:rFonts w:ascii="Times New Roman" w:hAnsi="Times New Roman" w:cs="Times New Roman"/>
          <w:sz w:val="24"/>
          <w:szCs w:val="24"/>
        </w:rPr>
        <w:t xml:space="preserve"> as the primary mode, a hard copy survey as an alternative for respondents, and telephone nonresponse follow-up</w:t>
      </w:r>
      <w:r w:rsidR="008C52A9">
        <w:rPr>
          <w:rFonts w:ascii="Times New Roman" w:hAnsi="Times New Roman" w:cs="Times New Roman"/>
          <w:sz w:val="24"/>
          <w:szCs w:val="24"/>
        </w:rPr>
        <w:t xml:space="preserve">. </w:t>
      </w:r>
      <w:r w:rsidR="00751ADD">
        <w:rPr>
          <w:rFonts w:ascii="Times New Roman" w:hAnsi="Times New Roman" w:cs="Times New Roman"/>
          <w:sz w:val="24"/>
          <w:szCs w:val="24"/>
        </w:rPr>
        <w:t xml:space="preserve">The </w:t>
      </w:r>
      <w:r w:rsidR="001C1FAB">
        <w:rPr>
          <w:rFonts w:ascii="Times New Roman" w:hAnsi="Times New Roman" w:cs="Times New Roman"/>
          <w:sz w:val="24"/>
          <w:szCs w:val="24"/>
        </w:rPr>
        <w:t>SCLEA</w:t>
      </w:r>
      <w:r w:rsidRPr="00C92735">
        <w:rPr>
          <w:rFonts w:ascii="Times New Roman" w:hAnsi="Times New Roman" w:cs="Times New Roman"/>
          <w:sz w:val="24"/>
          <w:szCs w:val="24"/>
        </w:rPr>
        <w:t xml:space="preserve"> data collection and nonresponse follow-up period will last approximately </w:t>
      </w:r>
      <w:r w:rsidR="001C1FAB">
        <w:rPr>
          <w:rFonts w:ascii="Times New Roman" w:hAnsi="Times New Roman" w:cs="Times New Roman"/>
          <w:sz w:val="24"/>
          <w:szCs w:val="24"/>
        </w:rPr>
        <w:t>eight</w:t>
      </w:r>
      <w:r w:rsidRPr="00C92735">
        <w:rPr>
          <w:rFonts w:ascii="Times New Roman" w:hAnsi="Times New Roman" w:cs="Times New Roman"/>
          <w:sz w:val="24"/>
          <w:szCs w:val="24"/>
        </w:rPr>
        <w:t xml:space="preserve"> months. </w:t>
      </w:r>
      <w:r w:rsidR="001C1FAB">
        <w:rPr>
          <w:rFonts w:ascii="Times New Roman" w:hAnsi="Times New Roman" w:cs="Times New Roman"/>
          <w:sz w:val="24"/>
          <w:szCs w:val="24"/>
        </w:rPr>
        <w:t xml:space="preserve">SCLEA </w:t>
      </w:r>
      <w:r w:rsidRPr="00C92735">
        <w:rPr>
          <w:rFonts w:ascii="Times New Roman" w:hAnsi="Times New Roman" w:cs="Times New Roman"/>
          <w:sz w:val="24"/>
          <w:szCs w:val="24"/>
        </w:rPr>
        <w:t xml:space="preserve">data collection materials will include a pre-notification letter, mail invitation package, </w:t>
      </w:r>
      <w:r w:rsidR="00823928">
        <w:rPr>
          <w:rFonts w:ascii="Times New Roman" w:hAnsi="Times New Roman" w:cs="Times New Roman"/>
          <w:sz w:val="24"/>
          <w:szCs w:val="24"/>
        </w:rPr>
        <w:t xml:space="preserve">seven </w:t>
      </w:r>
      <w:r w:rsidRPr="00C92735">
        <w:rPr>
          <w:rFonts w:ascii="Times New Roman" w:hAnsi="Times New Roman" w:cs="Times New Roman"/>
          <w:sz w:val="24"/>
          <w:szCs w:val="24"/>
        </w:rPr>
        <w:t>reminders, telephone nonresponse follow-up, and an end-of-study notification letter. A brief description of each contact method for</w:t>
      </w:r>
      <w:r w:rsidR="001C1FAB">
        <w:rPr>
          <w:rFonts w:ascii="Times New Roman" w:hAnsi="Times New Roman" w:cs="Times New Roman"/>
          <w:sz w:val="24"/>
          <w:szCs w:val="24"/>
        </w:rPr>
        <w:t xml:space="preserve"> campus LEA</w:t>
      </w:r>
      <w:r w:rsidR="00751ADD">
        <w:rPr>
          <w:rFonts w:ascii="Times New Roman" w:hAnsi="Times New Roman" w:cs="Times New Roman"/>
          <w:sz w:val="24"/>
          <w:szCs w:val="24"/>
        </w:rPr>
        <w:t>s</w:t>
      </w:r>
      <w:r w:rsidRPr="00C92735">
        <w:rPr>
          <w:rFonts w:ascii="Times New Roman" w:hAnsi="Times New Roman" w:cs="Times New Roman"/>
          <w:sz w:val="24"/>
          <w:szCs w:val="24"/>
        </w:rPr>
        <w:t xml:space="preserve"> is provided below and a </w:t>
      </w:r>
      <w:r w:rsidR="00872FB7">
        <w:rPr>
          <w:rFonts w:ascii="Times New Roman" w:hAnsi="Times New Roman" w:cs="Times New Roman"/>
          <w:sz w:val="24"/>
          <w:szCs w:val="24"/>
        </w:rPr>
        <w:t xml:space="preserve">complete </w:t>
      </w:r>
      <w:r w:rsidRPr="00C92735">
        <w:rPr>
          <w:rFonts w:ascii="Times New Roman" w:hAnsi="Times New Roman" w:cs="Times New Roman"/>
          <w:sz w:val="24"/>
          <w:szCs w:val="24"/>
        </w:rPr>
        <w:t xml:space="preserve">timeline of </w:t>
      </w:r>
      <w:r w:rsidR="001C1FAB">
        <w:rPr>
          <w:rFonts w:ascii="Times New Roman" w:hAnsi="Times New Roman" w:cs="Times New Roman"/>
          <w:sz w:val="24"/>
          <w:szCs w:val="24"/>
        </w:rPr>
        <w:t xml:space="preserve">SCLEA </w:t>
      </w:r>
      <w:r w:rsidRPr="00C92735">
        <w:rPr>
          <w:rFonts w:ascii="Times New Roman" w:hAnsi="Times New Roman" w:cs="Times New Roman"/>
          <w:sz w:val="24"/>
          <w:szCs w:val="24"/>
        </w:rPr>
        <w:t xml:space="preserve">data collection is </w:t>
      </w:r>
      <w:r w:rsidR="00C27D81">
        <w:rPr>
          <w:rFonts w:ascii="Times New Roman" w:hAnsi="Times New Roman" w:cs="Times New Roman"/>
          <w:sz w:val="24"/>
          <w:szCs w:val="24"/>
        </w:rPr>
        <w:t>shown</w:t>
      </w:r>
      <w:r w:rsidRPr="00C92735">
        <w:rPr>
          <w:rFonts w:ascii="Times New Roman" w:hAnsi="Times New Roman" w:cs="Times New Roman"/>
          <w:sz w:val="24"/>
          <w:szCs w:val="24"/>
        </w:rPr>
        <w:t xml:space="preserve"> in </w:t>
      </w:r>
      <w:r w:rsidRPr="00C27D81">
        <w:rPr>
          <w:rFonts w:ascii="Times New Roman" w:hAnsi="Times New Roman" w:cs="Times New Roman"/>
          <w:b/>
          <w:sz w:val="24"/>
          <w:szCs w:val="24"/>
        </w:rPr>
        <w:t xml:space="preserve">Table </w:t>
      </w:r>
      <w:r w:rsidRPr="00C27D81" w:rsidR="001A58D0">
        <w:rPr>
          <w:rFonts w:ascii="Times New Roman" w:hAnsi="Times New Roman" w:cs="Times New Roman"/>
          <w:b/>
          <w:sz w:val="24"/>
          <w:szCs w:val="24"/>
        </w:rPr>
        <w:t>2</w:t>
      </w:r>
      <w:r w:rsidRPr="00C92735">
        <w:rPr>
          <w:rFonts w:ascii="Times New Roman" w:hAnsi="Times New Roman" w:cs="Times New Roman"/>
          <w:sz w:val="24"/>
          <w:szCs w:val="24"/>
        </w:rPr>
        <w:t>.</w:t>
      </w:r>
    </w:p>
    <w:p w:rsidRPr="00EA70C5" w:rsidR="00C92735" w:rsidP="00C92735" w:rsidRDefault="001C1FAB" w14:paraId="7047AAD0" w14:textId="153F7F1D">
      <w:pPr>
        <w:pStyle w:val="ListParagraph"/>
        <w:numPr>
          <w:ilvl w:val="0"/>
          <w:numId w:val="4"/>
        </w:numPr>
        <w:autoSpaceDE w:val="0"/>
        <w:autoSpaceDN w:val="0"/>
        <w:adjustRightInd w:val="0"/>
        <w:ind w:right="58"/>
      </w:pPr>
      <w:r>
        <w:rPr>
          <w:b/>
        </w:rPr>
        <w:t>SCLEA</w:t>
      </w:r>
      <w:r w:rsidR="00C92735">
        <w:rPr>
          <w:b/>
        </w:rPr>
        <w:t xml:space="preserve"> p</w:t>
      </w:r>
      <w:r w:rsidRPr="00BC7BBA" w:rsidR="00C92735">
        <w:rPr>
          <w:b/>
        </w:rPr>
        <w:t>re</w:t>
      </w:r>
      <w:r w:rsidR="00C92735">
        <w:rPr>
          <w:b/>
        </w:rPr>
        <w:t>-</w:t>
      </w:r>
      <w:r w:rsidRPr="00BC7BBA" w:rsidR="00C92735">
        <w:rPr>
          <w:b/>
        </w:rPr>
        <w:t xml:space="preserve">notification letter.  </w:t>
      </w:r>
      <w:r w:rsidRPr="00EA70C5" w:rsidR="00C92735">
        <w:t>The letter (Attachment</w:t>
      </w:r>
      <w:r w:rsidRPr="00EA70C5">
        <w:t xml:space="preserve"> </w:t>
      </w:r>
      <w:r w:rsidRPr="00EA70C5" w:rsidR="00926943">
        <w:t xml:space="preserve">5), </w:t>
      </w:r>
      <w:r w:rsidRPr="00EA70C5" w:rsidR="00C92735">
        <w:t>on BJS letterhead</w:t>
      </w:r>
      <w:r w:rsidRPr="00EA70C5" w:rsidR="002368F3">
        <w:t xml:space="preserve"> and signed by the BJS director</w:t>
      </w:r>
      <w:r w:rsidRPr="00EA70C5" w:rsidR="00C92735">
        <w:t xml:space="preserve">, will be </w:t>
      </w:r>
      <w:r w:rsidRPr="00EA70C5" w:rsidR="002368F3">
        <w:t>mailed via USPS</w:t>
      </w:r>
      <w:r w:rsidRPr="00EA70C5" w:rsidR="00C92735">
        <w:t xml:space="preserve"> to </w:t>
      </w:r>
      <w:r w:rsidRPr="00EA70C5" w:rsidR="0024493A">
        <w:t xml:space="preserve">the chief executive of the </w:t>
      </w:r>
      <w:r w:rsidRPr="00EA70C5" w:rsidR="002368F3">
        <w:t xml:space="preserve">campus </w:t>
      </w:r>
      <w:r w:rsidRPr="00EA70C5" w:rsidR="0024493A">
        <w:t>LEA.</w:t>
      </w:r>
      <w:r w:rsidRPr="00EA70C5" w:rsidR="002368F3">
        <w:t xml:space="preserve"> </w:t>
      </w:r>
      <w:r w:rsidRPr="00EA70C5" w:rsidR="0024493A">
        <w:t xml:space="preserve">This pre-notification will </w:t>
      </w:r>
      <w:r w:rsidRPr="00EA70C5" w:rsidR="00C92735">
        <w:t>highlight the importance of S</w:t>
      </w:r>
      <w:r w:rsidRPr="00EA70C5">
        <w:t>CLEA</w:t>
      </w:r>
      <w:r w:rsidRPr="00EA70C5" w:rsidR="00C92735">
        <w:t xml:space="preserve"> and encourage participation. It </w:t>
      </w:r>
      <w:r w:rsidRPr="00EA70C5" w:rsidR="00751ADD">
        <w:t xml:space="preserve">will </w:t>
      </w:r>
      <w:r w:rsidRPr="00EA70C5" w:rsidR="00C92735">
        <w:t>also provide contact information that can be used to obtain additional information about S</w:t>
      </w:r>
      <w:r w:rsidRPr="00EA70C5">
        <w:t>CLEA</w:t>
      </w:r>
      <w:r w:rsidRPr="00EA70C5" w:rsidR="00C92735">
        <w:t>.</w:t>
      </w:r>
    </w:p>
    <w:p w:rsidRPr="00EA70C5" w:rsidR="00C92735" w:rsidP="00C92735" w:rsidRDefault="00C92735" w14:paraId="0870D664" w14:textId="77777777">
      <w:pPr>
        <w:pStyle w:val="ListParagraph"/>
        <w:autoSpaceDE w:val="0"/>
        <w:autoSpaceDN w:val="0"/>
        <w:adjustRightInd w:val="0"/>
        <w:ind w:right="58"/>
      </w:pPr>
    </w:p>
    <w:p w:rsidRPr="00EA70C5" w:rsidR="00C92735" w:rsidP="00C92735" w:rsidRDefault="001C1FAB" w14:paraId="6BDD724C" w14:textId="7364AE96">
      <w:pPr>
        <w:pStyle w:val="ListParagraph"/>
        <w:numPr>
          <w:ilvl w:val="0"/>
          <w:numId w:val="4"/>
        </w:numPr>
        <w:autoSpaceDE w:val="0"/>
        <w:autoSpaceDN w:val="0"/>
        <w:adjustRightInd w:val="0"/>
        <w:ind w:right="58"/>
      </w:pPr>
      <w:r w:rsidRPr="00EA70C5">
        <w:rPr>
          <w:b/>
        </w:rPr>
        <w:t>SC</w:t>
      </w:r>
      <w:r w:rsidRPr="00EA70C5" w:rsidR="00C92735">
        <w:rPr>
          <w:b/>
        </w:rPr>
        <w:t>LEA invitation package.</w:t>
      </w:r>
      <w:r w:rsidRPr="00EA70C5" w:rsidR="00C92735">
        <w:t xml:space="preserve"> Two weeks after the pre-notification letter, the invitation package will be </w:t>
      </w:r>
      <w:r w:rsidRPr="00EA70C5" w:rsidR="002368F3">
        <w:t xml:space="preserve">mailed via USPS </w:t>
      </w:r>
      <w:r w:rsidRPr="00EA70C5" w:rsidR="00C92735">
        <w:t xml:space="preserve">to all </w:t>
      </w:r>
      <w:r w:rsidRPr="00EA70C5">
        <w:t>SCLEA</w:t>
      </w:r>
      <w:r w:rsidRPr="00EA70C5" w:rsidR="00C92735">
        <w:t xml:space="preserve"> POCs and will include </w:t>
      </w:r>
      <w:r w:rsidRPr="00EA70C5" w:rsidR="00C2189E">
        <w:t xml:space="preserve">three items: </w:t>
      </w:r>
      <w:r w:rsidRPr="00EA70C5" w:rsidR="00C92735">
        <w:t>an invitation letter</w:t>
      </w:r>
      <w:r w:rsidRPr="00EA70C5" w:rsidR="00C2189E">
        <w:t>;</w:t>
      </w:r>
      <w:r w:rsidRPr="00EA70C5" w:rsidR="00745924">
        <w:t xml:space="preserve"> SCLEA flyer</w:t>
      </w:r>
      <w:r w:rsidRPr="00EA70C5" w:rsidR="00C2189E">
        <w:t xml:space="preserve">; </w:t>
      </w:r>
      <w:r w:rsidRPr="00EA70C5" w:rsidR="00C92735">
        <w:t xml:space="preserve">and </w:t>
      </w:r>
      <w:r w:rsidRPr="00EA70C5" w:rsidR="002368F3">
        <w:t xml:space="preserve">a </w:t>
      </w:r>
      <w:r w:rsidRPr="00EA70C5" w:rsidR="00C92735">
        <w:t xml:space="preserve">letter of support from the </w:t>
      </w:r>
      <w:r w:rsidRPr="00EA70C5">
        <w:t>International Association of Campus Law Enforcement Administrators (IACLEA)</w:t>
      </w:r>
      <w:r w:rsidRPr="00EA70C5" w:rsidR="00C92735">
        <w:t xml:space="preserve">. The invitation letter (Attachment </w:t>
      </w:r>
      <w:r w:rsidRPr="00EA70C5" w:rsidR="00B60C16">
        <w:t xml:space="preserve">6), </w:t>
      </w:r>
      <w:r w:rsidRPr="00EA70C5" w:rsidR="00C92735">
        <w:t>on BJS letterhead</w:t>
      </w:r>
      <w:r w:rsidRPr="00EA70C5" w:rsidR="00C2189E">
        <w:t xml:space="preserve"> and signed by</w:t>
      </w:r>
      <w:r w:rsidRPr="00EA70C5" w:rsidR="004E04AF">
        <w:t xml:space="preserve"> the BJS program manager, </w:t>
      </w:r>
      <w:r w:rsidRPr="00EA70C5" w:rsidR="00C92735">
        <w:t xml:space="preserve">will highlight the importance of </w:t>
      </w:r>
      <w:r w:rsidRPr="00EA70C5">
        <w:t xml:space="preserve">SCLEA </w:t>
      </w:r>
      <w:r w:rsidRPr="00EA70C5" w:rsidR="00C92735">
        <w:t xml:space="preserve">and encourage participation. The invitation letter will also provide instructions for accessing and completing the web survey questionnaire (including the web address, username, and password), </w:t>
      </w:r>
      <w:r w:rsidRPr="00EA70C5" w:rsidR="00C2189E">
        <w:t>how to update</w:t>
      </w:r>
      <w:r w:rsidRPr="00EA70C5" w:rsidR="00B022A4">
        <w:t xml:space="preserve"> the agency POC</w:t>
      </w:r>
      <w:r w:rsidRPr="00EA70C5" w:rsidR="00C2189E">
        <w:t xml:space="preserve"> (if required)</w:t>
      </w:r>
      <w:r w:rsidRPr="00EA70C5" w:rsidR="00B022A4">
        <w:t xml:space="preserve">, </w:t>
      </w:r>
      <w:r w:rsidRPr="00EA70C5" w:rsidR="00C92735">
        <w:t>contact information for obtaining additional information about S</w:t>
      </w:r>
      <w:r w:rsidRPr="00EA70C5">
        <w:t>CLEA</w:t>
      </w:r>
      <w:r w:rsidRPr="00EA70C5" w:rsidR="00C92735">
        <w:t>,</w:t>
      </w:r>
      <w:r w:rsidRPr="00EA70C5" w:rsidR="00C92735">
        <w:rPr>
          <w:rFonts w:eastAsiaTheme="minorHAnsi"/>
          <w:spacing w:val="-6"/>
        </w:rPr>
        <w:t xml:space="preserve"> and the data collection end date. </w:t>
      </w:r>
      <w:r w:rsidRPr="00EA70C5" w:rsidR="00745924">
        <w:rPr>
          <w:rFonts w:eastAsiaTheme="minorHAnsi"/>
          <w:spacing w:val="-6"/>
        </w:rPr>
        <w:t xml:space="preserve">The SCLEA flyer </w:t>
      </w:r>
      <w:r w:rsidRPr="00EA70C5" w:rsidR="007B20F3">
        <w:rPr>
          <w:rFonts w:eastAsiaTheme="minorHAnsi"/>
          <w:spacing w:val="-6"/>
        </w:rPr>
        <w:t xml:space="preserve">(Attachment </w:t>
      </w:r>
      <w:r w:rsidRPr="00EA70C5" w:rsidR="00B60C16">
        <w:rPr>
          <w:rFonts w:eastAsiaTheme="minorHAnsi"/>
          <w:spacing w:val="-6"/>
        </w:rPr>
        <w:t xml:space="preserve">7) </w:t>
      </w:r>
      <w:r w:rsidRPr="00EA70C5" w:rsidR="00745924">
        <w:rPr>
          <w:rFonts w:eastAsiaTheme="minorHAnsi"/>
          <w:spacing w:val="-6"/>
        </w:rPr>
        <w:t xml:space="preserve">will highlight the uses and benefits of SCLEA data. </w:t>
      </w:r>
      <w:r w:rsidRPr="00EA70C5" w:rsidR="00C92735">
        <w:rPr>
          <w:rFonts w:eastAsiaTheme="minorHAnsi"/>
          <w:spacing w:val="-6"/>
        </w:rPr>
        <w:t xml:space="preserve">The </w:t>
      </w:r>
      <w:r w:rsidRPr="00EA70C5">
        <w:rPr>
          <w:rFonts w:eastAsiaTheme="minorHAnsi"/>
          <w:spacing w:val="-6"/>
        </w:rPr>
        <w:t xml:space="preserve">IACLEA </w:t>
      </w:r>
      <w:r w:rsidRPr="00EA70C5" w:rsidR="00C92735">
        <w:rPr>
          <w:rFonts w:eastAsiaTheme="minorHAnsi"/>
          <w:spacing w:val="-6"/>
        </w:rPr>
        <w:t xml:space="preserve">letter of support (Attachment </w:t>
      </w:r>
      <w:r w:rsidRPr="00EA70C5" w:rsidR="00B60C16">
        <w:rPr>
          <w:rFonts w:eastAsiaTheme="minorHAnsi"/>
          <w:spacing w:val="-6"/>
        </w:rPr>
        <w:t xml:space="preserve">8) </w:t>
      </w:r>
      <w:r w:rsidRPr="00EA70C5" w:rsidR="00C92735">
        <w:rPr>
          <w:rFonts w:eastAsiaTheme="minorHAnsi"/>
          <w:spacing w:val="-6"/>
        </w:rPr>
        <w:t>will further emphasize the importance of S</w:t>
      </w:r>
      <w:r w:rsidRPr="00EA70C5">
        <w:rPr>
          <w:rFonts w:eastAsiaTheme="minorHAnsi"/>
          <w:spacing w:val="-6"/>
        </w:rPr>
        <w:t>CLEA</w:t>
      </w:r>
      <w:r w:rsidRPr="00EA70C5" w:rsidR="00C92735">
        <w:rPr>
          <w:rFonts w:eastAsiaTheme="minorHAnsi"/>
          <w:spacing w:val="-6"/>
        </w:rPr>
        <w:t xml:space="preserve"> and provide contacts for additional information. </w:t>
      </w:r>
    </w:p>
    <w:p w:rsidRPr="00EA70C5" w:rsidR="00C92735" w:rsidP="00C92735" w:rsidRDefault="00C92735" w14:paraId="2976C1C0" w14:textId="77777777">
      <w:pPr>
        <w:pStyle w:val="ListParagraph"/>
        <w:rPr>
          <w:rFonts w:eastAsiaTheme="minorHAnsi"/>
          <w:bCs/>
        </w:rPr>
      </w:pPr>
    </w:p>
    <w:p w:rsidRPr="002C069E" w:rsidR="00C2189E" w:rsidP="00A90C6D" w:rsidRDefault="00745924" w14:paraId="1B659542" w14:textId="1A7C3583">
      <w:pPr>
        <w:pStyle w:val="ListParagraph"/>
        <w:numPr>
          <w:ilvl w:val="0"/>
          <w:numId w:val="4"/>
        </w:numPr>
        <w:autoSpaceDE w:val="0"/>
        <w:autoSpaceDN w:val="0"/>
        <w:adjustRightInd w:val="0"/>
        <w:spacing w:before="31"/>
        <w:ind w:right="58"/>
        <w:rPr>
          <w:rFonts w:eastAsiaTheme="minorHAnsi"/>
          <w:b/>
          <w:bCs/>
        </w:rPr>
      </w:pPr>
      <w:r w:rsidRPr="00EA70C5">
        <w:rPr>
          <w:rFonts w:eastAsiaTheme="minorHAnsi"/>
          <w:b/>
          <w:bCs/>
        </w:rPr>
        <w:t xml:space="preserve">SCLEA invitation email. </w:t>
      </w:r>
      <w:r w:rsidRPr="00EA70C5">
        <w:t xml:space="preserve">One week after the invitation </w:t>
      </w:r>
      <w:r w:rsidRPr="00EA70C5" w:rsidR="00C2189E">
        <w:t xml:space="preserve">package </w:t>
      </w:r>
      <w:r w:rsidRPr="00EA70C5" w:rsidR="005C64DF">
        <w:t xml:space="preserve">is </w:t>
      </w:r>
      <w:r w:rsidRPr="00EA70C5" w:rsidR="002368F3">
        <w:t>mailed</w:t>
      </w:r>
      <w:r w:rsidRPr="00EA70C5">
        <w:t xml:space="preserve">, an email invitation will be sent to all SCLEA POCs with an email address. The email invitation (Attachment </w:t>
      </w:r>
      <w:r w:rsidRPr="00EA70C5" w:rsidR="00EF3317">
        <w:t xml:space="preserve">9) </w:t>
      </w:r>
      <w:r w:rsidRPr="00EA70C5" w:rsidR="00B022A4">
        <w:t>will be identical to the invitation letter sent the week</w:t>
      </w:r>
      <w:r w:rsidR="00B022A4">
        <w:t xml:space="preserve"> before</w:t>
      </w:r>
      <w:r w:rsidRPr="00C46786">
        <w:t xml:space="preserve">, </w:t>
      </w:r>
      <w:r>
        <w:t>highlight</w:t>
      </w:r>
      <w:r w:rsidR="00B022A4">
        <w:t>ing</w:t>
      </w:r>
      <w:r w:rsidRPr="00C46786">
        <w:t xml:space="preserve"> the importance of </w:t>
      </w:r>
      <w:r>
        <w:t>SCLEA,</w:t>
      </w:r>
      <w:r w:rsidRPr="00C46786">
        <w:t xml:space="preserve"> encourag</w:t>
      </w:r>
      <w:r w:rsidR="00B022A4">
        <w:t>ing</w:t>
      </w:r>
      <w:r w:rsidRPr="00C46786">
        <w:t xml:space="preserve"> participation</w:t>
      </w:r>
      <w:r>
        <w:t>,</w:t>
      </w:r>
      <w:r w:rsidRPr="00C46786">
        <w:t xml:space="preserve"> </w:t>
      </w:r>
      <w:r w:rsidR="00B022A4">
        <w:t xml:space="preserve">and </w:t>
      </w:r>
      <w:r w:rsidRPr="00C46786">
        <w:t>provid</w:t>
      </w:r>
      <w:r w:rsidR="00B022A4">
        <w:t>ing</w:t>
      </w:r>
      <w:r w:rsidRPr="00C46786">
        <w:t xml:space="preserve"> instructions </w:t>
      </w:r>
      <w:r w:rsidR="004A3732">
        <w:t xml:space="preserve">for completion </w:t>
      </w:r>
      <w:r w:rsidR="00B022A4">
        <w:t>and contact</w:t>
      </w:r>
      <w:r w:rsidR="004A3732">
        <w:t>s for additional information.</w:t>
      </w:r>
      <w:r w:rsidRPr="00C46786" w:rsidDel="004A3732" w:rsidR="004A3732">
        <w:t xml:space="preserve"> </w:t>
      </w:r>
      <w:r w:rsidR="00D25D1E">
        <w:t xml:space="preserve">Any email bounce backs will be reviewed on a case-by-case basis. If the bounce back indicates the email address is no longer active or invalid, the case will be flagged for removal from future emails. If the bounce back indicates a full inbox, the case will be included in future email distributions. For those that are flagged as invalid or no longer active from the first email, IACLEA membership files will be reviewed for new email addresses.  </w:t>
      </w:r>
    </w:p>
    <w:p w:rsidRPr="00745924" w:rsidR="00745924" w:rsidP="00745924" w:rsidRDefault="00745924" w14:paraId="74519C4F" w14:textId="77777777">
      <w:pPr>
        <w:pStyle w:val="ListParagraph"/>
        <w:rPr>
          <w:rFonts w:eastAsiaTheme="minorHAnsi"/>
          <w:b/>
          <w:bCs/>
        </w:rPr>
      </w:pPr>
    </w:p>
    <w:p w:rsidRPr="00F35E5D" w:rsidR="00F35E5D" w:rsidP="00DC08F8" w:rsidRDefault="001C1FAB" w14:paraId="014D0568" w14:textId="05682D91">
      <w:pPr>
        <w:pStyle w:val="ListParagraph"/>
        <w:numPr>
          <w:ilvl w:val="0"/>
          <w:numId w:val="4"/>
        </w:numPr>
        <w:autoSpaceDE w:val="0"/>
        <w:autoSpaceDN w:val="0"/>
        <w:adjustRightInd w:val="0"/>
        <w:spacing w:before="31"/>
        <w:ind w:right="58"/>
        <w:rPr>
          <w:rFonts w:eastAsiaTheme="minorHAnsi"/>
          <w:bCs/>
        </w:rPr>
      </w:pPr>
      <w:r>
        <w:rPr>
          <w:rFonts w:eastAsiaTheme="minorHAnsi"/>
          <w:b/>
          <w:bCs/>
        </w:rPr>
        <w:t>SC</w:t>
      </w:r>
      <w:r w:rsidRPr="00023D09" w:rsidR="00C92735">
        <w:rPr>
          <w:rFonts w:eastAsiaTheme="minorHAnsi"/>
          <w:b/>
          <w:bCs/>
        </w:rPr>
        <w:t>LEA mail and email reminders.</w:t>
      </w:r>
      <w:r w:rsidR="00C92735">
        <w:rPr>
          <w:rFonts w:eastAsiaTheme="minorHAnsi"/>
          <w:bCs/>
        </w:rPr>
        <w:t xml:space="preserve"> </w:t>
      </w:r>
      <w:r w:rsidRPr="009223EA" w:rsidR="00C92735">
        <w:rPr>
          <w:rFonts w:eastAsiaTheme="minorHAnsi"/>
          <w:bCs/>
        </w:rPr>
        <w:t xml:space="preserve">Two weeks after the invitation </w:t>
      </w:r>
      <w:r w:rsidRPr="009223EA" w:rsidR="00BD48C4">
        <w:rPr>
          <w:rFonts w:eastAsiaTheme="minorHAnsi"/>
          <w:bCs/>
        </w:rPr>
        <w:t xml:space="preserve">email </w:t>
      </w:r>
      <w:r w:rsidRPr="009223EA" w:rsidR="00C92735">
        <w:rPr>
          <w:rFonts w:eastAsiaTheme="minorHAnsi"/>
          <w:bCs/>
        </w:rPr>
        <w:t xml:space="preserve">is sent, the first </w:t>
      </w:r>
      <w:r w:rsidRPr="009223EA" w:rsidR="00C2189E">
        <w:rPr>
          <w:rFonts w:eastAsiaTheme="minorHAnsi"/>
          <w:bCs/>
        </w:rPr>
        <w:t xml:space="preserve">hardcopy </w:t>
      </w:r>
      <w:r w:rsidRPr="009223EA" w:rsidR="00C92735">
        <w:rPr>
          <w:rFonts w:eastAsiaTheme="minorHAnsi"/>
          <w:bCs/>
        </w:rPr>
        <w:t xml:space="preserve">reminder letter will be mailed to </w:t>
      </w:r>
      <w:proofErr w:type="spellStart"/>
      <w:r w:rsidRPr="009223EA" w:rsidR="00C92735">
        <w:rPr>
          <w:rFonts w:eastAsiaTheme="minorHAnsi"/>
          <w:bCs/>
        </w:rPr>
        <w:t>nonrespondents</w:t>
      </w:r>
      <w:proofErr w:type="spellEnd"/>
      <w:r w:rsidRPr="009223EA" w:rsidR="00C92735">
        <w:rPr>
          <w:rFonts w:eastAsiaTheme="minorHAnsi"/>
          <w:bCs/>
        </w:rPr>
        <w:t xml:space="preserve"> (Attachment </w:t>
      </w:r>
      <w:r w:rsidRPr="009223EA" w:rsidR="00EF3317">
        <w:rPr>
          <w:rFonts w:eastAsiaTheme="minorHAnsi"/>
          <w:bCs/>
        </w:rPr>
        <w:t xml:space="preserve">11). </w:t>
      </w:r>
      <w:r w:rsidRPr="009223EA" w:rsidR="0096249F">
        <w:rPr>
          <w:rFonts w:eastAsiaTheme="minorHAnsi"/>
          <w:bCs/>
        </w:rPr>
        <w:t>One week later</w:t>
      </w:r>
      <w:r w:rsidRPr="009223EA" w:rsidR="00745924">
        <w:rPr>
          <w:rFonts w:eastAsiaTheme="minorHAnsi"/>
          <w:bCs/>
        </w:rPr>
        <w:t xml:space="preserve">, </w:t>
      </w:r>
      <w:r w:rsidRPr="009223EA" w:rsidR="00EF3317">
        <w:rPr>
          <w:rFonts w:eastAsiaTheme="minorHAnsi"/>
          <w:bCs/>
        </w:rPr>
        <w:t>that same letter will be emailed</w:t>
      </w:r>
      <w:r w:rsidRPr="009223EA" w:rsidR="00745924">
        <w:rPr>
          <w:rFonts w:eastAsiaTheme="minorHAnsi"/>
          <w:bCs/>
        </w:rPr>
        <w:t xml:space="preserve"> to </w:t>
      </w:r>
      <w:proofErr w:type="spellStart"/>
      <w:r w:rsidRPr="009223EA" w:rsidR="00745924">
        <w:rPr>
          <w:rFonts w:eastAsiaTheme="minorHAnsi"/>
          <w:bCs/>
        </w:rPr>
        <w:t>nonrespondents</w:t>
      </w:r>
      <w:proofErr w:type="spellEnd"/>
      <w:r w:rsidRPr="009223EA" w:rsidR="00745924">
        <w:rPr>
          <w:rFonts w:eastAsiaTheme="minorHAnsi"/>
          <w:bCs/>
        </w:rPr>
        <w:t xml:space="preserve"> (Attachment </w:t>
      </w:r>
      <w:r w:rsidRPr="009223EA" w:rsidR="00EF3317">
        <w:rPr>
          <w:rFonts w:eastAsiaTheme="minorHAnsi"/>
          <w:bCs/>
        </w:rPr>
        <w:t xml:space="preserve">11). </w:t>
      </w:r>
      <w:r w:rsidRPr="009223EA" w:rsidR="00DB3D47">
        <w:rPr>
          <w:rFonts w:eastAsiaTheme="minorHAnsi"/>
          <w:bCs/>
        </w:rPr>
        <w:t>The reminder letter and email will express the importance of the SCLEA and encourage response via the online survey (or paper copy, if preferred). Two weeks</w:t>
      </w:r>
      <w:r w:rsidRPr="009223EA" w:rsidR="00C92735">
        <w:rPr>
          <w:rFonts w:eastAsiaTheme="minorHAnsi"/>
          <w:bCs/>
        </w:rPr>
        <w:t xml:space="preserve"> later, a reminder postcard will be sent </w:t>
      </w:r>
      <w:r w:rsidRPr="009223EA" w:rsidR="00945D81">
        <w:rPr>
          <w:rFonts w:eastAsiaTheme="minorHAnsi"/>
          <w:bCs/>
        </w:rPr>
        <w:t xml:space="preserve">to POCs </w:t>
      </w:r>
      <w:r w:rsidRPr="009223EA" w:rsidR="00C92735">
        <w:rPr>
          <w:rFonts w:eastAsiaTheme="minorHAnsi"/>
          <w:bCs/>
        </w:rPr>
        <w:t xml:space="preserve">(Attachment </w:t>
      </w:r>
      <w:r w:rsidRPr="009223EA" w:rsidR="00EF3317">
        <w:rPr>
          <w:rFonts w:eastAsiaTheme="minorHAnsi"/>
          <w:bCs/>
        </w:rPr>
        <w:t xml:space="preserve">12) </w:t>
      </w:r>
      <w:r w:rsidRPr="009223EA" w:rsidR="001436B5">
        <w:rPr>
          <w:rFonts w:eastAsiaTheme="minorHAnsi"/>
          <w:bCs/>
        </w:rPr>
        <w:t>that will include the website and their login information</w:t>
      </w:r>
      <w:r w:rsidRPr="009223EA" w:rsidR="00C92735">
        <w:rPr>
          <w:rFonts w:eastAsiaTheme="minorHAnsi"/>
          <w:bCs/>
        </w:rPr>
        <w:t xml:space="preserve">. </w:t>
      </w:r>
      <w:r w:rsidRPr="009223EA" w:rsidR="00745924">
        <w:rPr>
          <w:rFonts w:eastAsiaTheme="minorHAnsi"/>
          <w:bCs/>
        </w:rPr>
        <w:t xml:space="preserve">A third reminder will be mailed two weeks later and will include a </w:t>
      </w:r>
      <w:r w:rsidRPr="009223EA" w:rsidR="00745924">
        <w:rPr>
          <w:rFonts w:eastAsiaTheme="minorHAnsi"/>
          <w:bCs/>
        </w:rPr>
        <w:lastRenderedPageBreak/>
        <w:t xml:space="preserve">reminder letter (Attachment </w:t>
      </w:r>
      <w:r w:rsidRPr="009223EA" w:rsidR="00EF3317">
        <w:rPr>
          <w:rFonts w:eastAsiaTheme="minorHAnsi"/>
          <w:bCs/>
        </w:rPr>
        <w:t xml:space="preserve">13), </w:t>
      </w:r>
      <w:r w:rsidRPr="009223EA" w:rsidR="00745924">
        <w:rPr>
          <w:rFonts w:eastAsiaTheme="minorHAnsi"/>
          <w:bCs/>
        </w:rPr>
        <w:t>a paper copy of the SCLEA survey</w:t>
      </w:r>
      <w:r w:rsidR="00735793">
        <w:rPr>
          <w:rFonts w:eastAsiaTheme="minorHAnsi"/>
          <w:bCs/>
        </w:rPr>
        <w:t xml:space="preserve"> (Attachment 2)</w:t>
      </w:r>
      <w:r w:rsidRPr="009223EA" w:rsidR="00745924">
        <w:rPr>
          <w:rFonts w:eastAsiaTheme="minorHAnsi"/>
          <w:bCs/>
        </w:rPr>
        <w:t xml:space="preserve">, and a business reply envelope. </w:t>
      </w:r>
      <w:r w:rsidRPr="009223EA" w:rsidR="00BD48C4">
        <w:rPr>
          <w:rFonts w:eastAsiaTheme="minorHAnsi"/>
          <w:bCs/>
        </w:rPr>
        <w:t xml:space="preserve">Three </w:t>
      </w:r>
      <w:r w:rsidRPr="009223EA" w:rsidR="00745924">
        <w:rPr>
          <w:rFonts w:eastAsiaTheme="minorHAnsi"/>
          <w:bCs/>
        </w:rPr>
        <w:t>week</w:t>
      </w:r>
      <w:r w:rsidRPr="009223EA" w:rsidR="00BD48C4">
        <w:rPr>
          <w:rFonts w:eastAsiaTheme="minorHAnsi"/>
          <w:bCs/>
        </w:rPr>
        <w:t>s</w:t>
      </w:r>
      <w:r w:rsidRPr="009223EA" w:rsidR="00745924">
        <w:rPr>
          <w:rFonts w:eastAsiaTheme="minorHAnsi"/>
          <w:bCs/>
        </w:rPr>
        <w:t xml:space="preserve"> </w:t>
      </w:r>
      <w:r w:rsidRPr="009223EA" w:rsidR="00C92735">
        <w:rPr>
          <w:rFonts w:eastAsiaTheme="minorHAnsi"/>
          <w:bCs/>
        </w:rPr>
        <w:t xml:space="preserve">later, a </w:t>
      </w:r>
      <w:r w:rsidRPr="009223EA" w:rsidR="00745924">
        <w:rPr>
          <w:rFonts w:eastAsiaTheme="minorHAnsi"/>
          <w:bCs/>
        </w:rPr>
        <w:t>fourth</w:t>
      </w:r>
      <w:r w:rsidRPr="009223EA" w:rsidR="00C92735">
        <w:rPr>
          <w:rFonts w:eastAsiaTheme="minorHAnsi"/>
          <w:bCs/>
        </w:rPr>
        <w:t xml:space="preserve"> reminder will be sent via email (Attachment </w:t>
      </w:r>
      <w:r w:rsidRPr="009223EA" w:rsidR="00EF3317">
        <w:rPr>
          <w:rFonts w:eastAsiaTheme="minorHAnsi"/>
          <w:bCs/>
        </w:rPr>
        <w:t xml:space="preserve">14). </w:t>
      </w:r>
      <w:r w:rsidRPr="009223EA" w:rsidR="00745924">
        <w:rPr>
          <w:rFonts w:eastAsiaTheme="minorHAnsi"/>
          <w:bCs/>
        </w:rPr>
        <w:t xml:space="preserve">Two weeks later, a fifth reminder will be sent via mail (Attachment </w:t>
      </w:r>
      <w:r w:rsidRPr="009223EA" w:rsidR="00EF3317">
        <w:rPr>
          <w:rFonts w:eastAsiaTheme="minorHAnsi"/>
          <w:bCs/>
        </w:rPr>
        <w:t xml:space="preserve">15). </w:t>
      </w:r>
      <w:r w:rsidRPr="009223EA" w:rsidR="00745924">
        <w:rPr>
          <w:rFonts w:eastAsiaTheme="minorHAnsi"/>
          <w:bCs/>
        </w:rPr>
        <w:t xml:space="preserve">Five weeks later, a sixth reminder will be sent via mail (Attachment </w:t>
      </w:r>
      <w:r w:rsidRPr="009223EA" w:rsidR="00EF3317">
        <w:rPr>
          <w:rFonts w:eastAsiaTheme="minorHAnsi"/>
          <w:bCs/>
        </w:rPr>
        <w:t xml:space="preserve">17). </w:t>
      </w:r>
      <w:r w:rsidRPr="009223EA" w:rsidR="00C92735">
        <w:rPr>
          <w:rFonts w:eastAsiaTheme="minorHAnsi"/>
          <w:bCs/>
        </w:rPr>
        <w:t xml:space="preserve">Each reminder will emphasize the importance of </w:t>
      </w:r>
      <w:r w:rsidRPr="009223EA" w:rsidR="001A58D0">
        <w:rPr>
          <w:rFonts w:eastAsiaTheme="minorHAnsi"/>
          <w:bCs/>
        </w:rPr>
        <w:t>SCLEA</w:t>
      </w:r>
      <w:r w:rsidRPr="009223EA" w:rsidR="00C92735">
        <w:rPr>
          <w:rFonts w:eastAsiaTheme="minorHAnsi"/>
          <w:bCs/>
        </w:rPr>
        <w:t>, provide instructions for accessing and completing the survey (via web or mail), contact information</w:t>
      </w:r>
      <w:r w:rsidR="00C92735">
        <w:rPr>
          <w:rFonts w:eastAsiaTheme="minorHAnsi"/>
          <w:bCs/>
        </w:rPr>
        <w:t xml:space="preserve"> for obtaining additional information about </w:t>
      </w:r>
      <w:r w:rsidR="00B8754D">
        <w:rPr>
          <w:rFonts w:eastAsiaTheme="minorHAnsi"/>
          <w:bCs/>
        </w:rPr>
        <w:t>SCLEA</w:t>
      </w:r>
      <w:r w:rsidR="00C92735">
        <w:rPr>
          <w:rFonts w:eastAsiaTheme="minorHAnsi"/>
          <w:bCs/>
        </w:rPr>
        <w:t>, and the data collection end date.</w:t>
      </w:r>
      <w:r w:rsidR="00F35E5D">
        <w:rPr>
          <w:rFonts w:eastAsiaTheme="minorHAnsi"/>
          <w:bCs/>
        </w:rPr>
        <w:t xml:space="preserve"> </w:t>
      </w:r>
      <w:r w:rsidRPr="00F35E5D" w:rsidR="00F35E5D">
        <w:rPr>
          <w:rFonts w:eastAsiaTheme="minorHAnsi"/>
          <w:bCs/>
        </w:rPr>
        <w:t xml:space="preserve">The contact schedule is summarized in </w:t>
      </w:r>
      <w:r w:rsidRPr="00F35E5D" w:rsidR="00F35E5D">
        <w:rPr>
          <w:rFonts w:eastAsiaTheme="minorHAnsi"/>
          <w:b/>
          <w:bCs/>
        </w:rPr>
        <w:t>Table 2.</w:t>
      </w:r>
    </w:p>
    <w:p w:rsidR="00F35E5D" w:rsidP="00F35E5D" w:rsidRDefault="00F35E5D" w14:paraId="02D522A7" w14:textId="77777777">
      <w:pPr>
        <w:pStyle w:val="ListParagraph"/>
        <w:autoSpaceDE w:val="0"/>
        <w:autoSpaceDN w:val="0"/>
        <w:adjustRightInd w:val="0"/>
        <w:spacing w:before="3"/>
        <w:ind w:right="58"/>
        <w:rPr>
          <w:rFonts w:eastAsiaTheme="minorHAnsi"/>
          <w:bCs/>
        </w:rPr>
      </w:pPr>
    </w:p>
    <w:p w:rsidRPr="00060944" w:rsidR="00F35E5D" w:rsidP="00060944" w:rsidRDefault="00F35E5D" w14:paraId="039543F4" w14:textId="084A8FB6">
      <w:pPr>
        <w:pStyle w:val="ListParagraph"/>
        <w:autoSpaceDE w:val="0"/>
        <w:autoSpaceDN w:val="0"/>
        <w:adjustRightInd w:val="0"/>
        <w:spacing w:before="75"/>
        <w:ind w:right="58"/>
        <w:rPr>
          <w:b/>
        </w:rPr>
      </w:pPr>
      <w:r w:rsidRPr="00451FB4">
        <w:rPr>
          <w:b/>
        </w:rPr>
        <w:t>Table 2. SCLEA Survey Contact Schedule</w:t>
      </w:r>
    </w:p>
    <w:tbl>
      <w:tblPr>
        <w:tblStyle w:val="TableGrid"/>
        <w:tblW w:w="0" w:type="auto"/>
        <w:tblInd w:w="715" w:type="dxa"/>
        <w:tblLook w:val="04A0" w:firstRow="1" w:lastRow="0" w:firstColumn="1" w:lastColumn="0" w:noHBand="0" w:noVBand="1"/>
      </w:tblPr>
      <w:tblGrid>
        <w:gridCol w:w="1170"/>
        <w:gridCol w:w="4770"/>
        <w:gridCol w:w="2695"/>
      </w:tblGrid>
      <w:tr w:rsidR="00F35E5D" w:rsidTr="00F35E5D" w14:paraId="73E966FB" w14:textId="77777777">
        <w:tc>
          <w:tcPr>
            <w:tcW w:w="1170" w:type="dxa"/>
          </w:tcPr>
          <w:p w:rsidRPr="00B365A0" w:rsidR="00F35E5D" w:rsidP="00F35E5D" w:rsidRDefault="00F35E5D" w14:paraId="105C8AC9" w14:textId="77777777">
            <w:pPr>
              <w:autoSpaceDE w:val="0"/>
              <w:autoSpaceDN w:val="0"/>
              <w:adjustRightInd w:val="0"/>
              <w:spacing w:before="3"/>
              <w:ind w:right="59"/>
              <w:rPr>
                <w:rFonts w:ascii="Times New Roman" w:hAnsi="Times New Roman" w:cs="Times New Roman"/>
                <w:b/>
                <w:sz w:val="24"/>
                <w:szCs w:val="24"/>
              </w:rPr>
            </w:pPr>
            <w:r w:rsidRPr="00B365A0">
              <w:rPr>
                <w:rFonts w:ascii="Times New Roman" w:hAnsi="Times New Roman" w:cs="Times New Roman"/>
                <w:b/>
                <w:sz w:val="24"/>
                <w:szCs w:val="24"/>
              </w:rPr>
              <w:t>Week</w:t>
            </w:r>
          </w:p>
        </w:tc>
        <w:tc>
          <w:tcPr>
            <w:tcW w:w="4770" w:type="dxa"/>
          </w:tcPr>
          <w:p w:rsidRPr="00B365A0" w:rsidR="00F35E5D" w:rsidP="00F35E5D" w:rsidRDefault="00F35E5D" w14:paraId="4944FBC3" w14:textId="77777777">
            <w:pPr>
              <w:autoSpaceDE w:val="0"/>
              <w:autoSpaceDN w:val="0"/>
              <w:adjustRightInd w:val="0"/>
              <w:spacing w:before="3"/>
              <w:ind w:right="59"/>
              <w:rPr>
                <w:rFonts w:ascii="Times New Roman" w:hAnsi="Times New Roman" w:cs="Times New Roman"/>
                <w:b/>
                <w:sz w:val="24"/>
                <w:szCs w:val="24"/>
              </w:rPr>
            </w:pPr>
            <w:r w:rsidRPr="00B365A0">
              <w:rPr>
                <w:rFonts w:ascii="Times New Roman" w:hAnsi="Times New Roman" w:cs="Times New Roman"/>
                <w:b/>
                <w:sz w:val="24"/>
                <w:szCs w:val="24"/>
              </w:rPr>
              <w:t>Stage</w:t>
            </w:r>
          </w:p>
        </w:tc>
        <w:tc>
          <w:tcPr>
            <w:tcW w:w="2695" w:type="dxa"/>
          </w:tcPr>
          <w:p w:rsidRPr="00B365A0" w:rsidR="00F35E5D" w:rsidP="00F35E5D" w:rsidRDefault="00F35E5D" w14:paraId="767B5143" w14:textId="77777777">
            <w:pPr>
              <w:autoSpaceDE w:val="0"/>
              <w:autoSpaceDN w:val="0"/>
              <w:adjustRightInd w:val="0"/>
              <w:spacing w:before="3"/>
              <w:ind w:right="59"/>
              <w:rPr>
                <w:rFonts w:ascii="Times New Roman" w:hAnsi="Times New Roman" w:cs="Times New Roman"/>
                <w:b/>
                <w:sz w:val="24"/>
                <w:szCs w:val="24"/>
              </w:rPr>
            </w:pPr>
            <w:r w:rsidRPr="00B365A0">
              <w:rPr>
                <w:rFonts w:ascii="Times New Roman" w:hAnsi="Times New Roman" w:cs="Times New Roman"/>
                <w:b/>
                <w:sz w:val="24"/>
                <w:szCs w:val="24"/>
              </w:rPr>
              <w:t>Attachment Number</w:t>
            </w:r>
          </w:p>
        </w:tc>
      </w:tr>
      <w:tr w:rsidR="00F35E5D" w:rsidTr="00F35E5D" w14:paraId="2BECF1EE" w14:textId="77777777">
        <w:tc>
          <w:tcPr>
            <w:tcW w:w="1170" w:type="dxa"/>
          </w:tcPr>
          <w:p w:rsidRPr="00B365A0" w:rsidR="00F35E5D" w:rsidP="00F35E5D" w:rsidRDefault="00F35E5D" w14:paraId="5C209DE6" w14:textId="77777777">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w:t>
            </w:r>
          </w:p>
        </w:tc>
        <w:tc>
          <w:tcPr>
            <w:tcW w:w="4770" w:type="dxa"/>
          </w:tcPr>
          <w:p w:rsidRPr="00B365A0" w:rsidR="00F35E5D" w:rsidP="00F35E5D" w:rsidRDefault="00F35E5D" w14:paraId="6A565DFD" w14:textId="77777777">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SCLEA pre-notification letter (mail)</w:t>
            </w:r>
          </w:p>
        </w:tc>
        <w:tc>
          <w:tcPr>
            <w:tcW w:w="2695" w:type="dxa"/>
          </w:tcPr>
          <w:p w:rsidRPr="00B365A0" w:rsidR="00F35E5D" w:rsidP="00F35E5D" w:rsidRDefault="00EF3317" w14:paraId="0E60A029" w14:textId="0331A957">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5</w:t>
            </w:r>
          </w:p>
        </w:tc>
      </w:tr>
      <w:tr w:rsidR="00F35E5D" w:rsidTr="00F35E5D" w14:paraId="3E10F386" w14:textId="77777777">
        <w:tc>
          <w:tcPr>
            <w:tcW w:w="1170" w:type="dxa"/>
          </w:tcPr>
          <w:p w:rsidRPr="00B365A0" w:rsidR="00F35E5D" w:rsidP="00F35E5D" w:rsidRDefault="00F35E5D" w14:paraId="3C09F14E" w14:textId="77777777">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3</w:t>
            </w:r>
          </w:p>
        </w:tc>
        <w:tc>
          <w:tcPr>
            <w:tcW w:w="4770" w:type="dxa"/>
          </w:tcPr>
          <w:p w:rsidRPr="00B365A0" w:rsidR="00F35E5D" w:rsidP="00F35E5D" w:rsidRDefault="00F35E5D" w14:paraId="647B1FDD" w14:textId="77777777">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SCLEA invitation package (mail)</w:t>
            </w:r>
          </w:p>
        </w:tc>
        <w:tc>
          <w:tcPr>
            <w:tcW w:w="2695" w:type="dxa"/>
          </w:tcPr>
          <w:p w:rsidRPr="00B365A0" w:rsidR="00F35E5D" w:rsidP="00F35E5D" w:rsidRDefault="00EF3317" w14:paraId="62825C04" w14:textId="233A2D6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6, 7, 8</w:t>
            </w:r>
          </w:p>
        </w:tc>
      </w:tr>
      <w:tr w:rsidR="00F35E5D" w:rsidTr="00F35E5D" w14:paraId="2A74ED8F" w14:textId="77777777">
        <w:tc>
          <w:tcPr>
            <w:tcW w:w="1170" w:type="dxa"/>
          </w:tcPr>
          <w:p w:rsidR="00F35E5D" w:rsidP="00F35E5D" w:rsidRDefault="00F35E5D" w14:paraId="2B5B2F00" w14:textId="77777777">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4</w:t>
            </w:r>
          </w:p>
        </w:tc>
        <w:tc>
          <w:tcPr>
            <w:tcW w:w="4770" w:type="dxa"/>
          </w:tcPr>
          <w:p w:rsidR="00F35E5D" w:rsidP="00F35E5D" w:rsidRDefault="00F35E5D" w14:paraId="6426EC3D" w14:textId="77777777">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SCLEA invitation (email)</w:t>
            </w:r>
          </w:p>
        </w:tc>
        <w:tc>
          <w:tcPr>
            <w:tcW w:w="2695" w:type="dxa"/>
          </w:tcPr>
          <w:p w:rsidR="00F35E5D" w:rsidP="00F35E5D" w:rsidRDefault="00EF3317" w14:paraId="4441C6D0" w14:textId="09EC5DC7">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9</w:t>
            </w:r>
          </w:p>
        </w:tc>
      </w:tr>
      <w:tr w:rsidR="00F35E5D" w:rsidTr="00F35E5D" w14:paraId="1B1BD802" w14:textId="77777777">
        <w:tc>
          <w:tcPr>
            <w:tcW w:w="1170" w:type="dxa"/>
          </w:tcPr>
          <w:p w:rsidRPr="00B365A0" w:rsidR="00F35E5D" w:rsidP="00F35E5D" w:rsidRDefault="00F35E5D" w14:paraId="62CA522D" w14:textId="77777777">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6</w:t>
            </w:r>
          </w:p>
        </w:tc>
        <w:tc>
          <w:tcPr>
            <w:tcW w:w="4770" w:type="dxa"/>
          </w:tcPr>
          <w:p w:rsidRPr="00B365A0" w:rsidR="00F35E5D" w:rsidP="00F35E5D" w:rsidRDefault="00F35E5D" w14:paraId="06BF7047" w14:textId="43D84E9C">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 xml:space="preserve">SCLEA reminder </w:t>
            </w:r>
            <w:r w:rsidR="006869FD">
              <w:rPr>
                <w:rFonts w:ascii="Times New Roman" w:hAnsi="Times New Roman" w:cs="Times New Roman"/>
                <w:sz w:val="24"/>
                <w:szCs w:val="24"/>
              </w:rPr>
              <w:t xml:space="preserve">letter </w:t>
            </w:r>
            <w:r>
              <w:rPr>
                <w:rFonts w:ascii="Times New Roman" w:hAnsi="Times New Roman" w:cs="Times New Roman"/>
                <w:sz w:val="24"/>
                <w:szCs w:val="24"/>
              </w:rPr>
              <w:t>#1 (mail)</w:t>
            </w:r>
          </w:p>
        </w:tc>
        <w:tc>
          <w:tcPr>
            <w:tcW w:w="2695" w:type="dxa"/>
          </w:tcPr>
          <w:p w:rsidRPr="00B365A0" w:rsidR="00F35E5D" w:rsidP="00F35E5D" w:rsidRDefault="00EF3317" w14:paraId="794304CB" w14:textId="4BD65CDB">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11</w:t>
            </w:r>
          </w:p>
        </w:tc>
      </w:tr>
      <w:tr w:rsidR="00F35E5D" w:rsidTr="00F35E5D" w14:paraId="7DC40C2C" w14:textId="77777777">
        <w:tc>
          <w:tcPr>
            <w:tcW w:w="1170" w:type="dxa"/>
          </w:tcPr>
          <w:p w:rsidRPr="00B365A0" w:rsidR="00F35E5D" w:rsidP="00F35E5D" w:rsidRDefault="00F35E5D" w14:paraId="163A8CBC" w14:textId="77777777">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7</w:t>
            </w:r>
          </w:p>
        </w:tc>
        <w:tc>
          <w:tcPr>
            <w:tcW w:w="4770" w:type="dxa"/>
          </w:tcPr>
          <w:p w:rsidRPr="00B365A0" w:rsidR="00F35E5D" w:rsidP="00F35E5D" w:rsidRDefault="00F35E5D" w14:paraId="5F35D120" w14:textId="79B514EC">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 xml:space="preserve">SCLEA reminder </w:t>
            </w:r>
            <w:r w:rsidR="006869FD">
              <w:rPr>
                <w:rFonts w:ascii="Times New Roman" w:hAnsi="Times New Roman" w:cs="Times New Roman"/>
                <w:sz w:val="24"/>
                <w:szCs w:val="24"/>
              </w:rPr>
              <w:t xml:space="preserve">letter </w:t>
            </w:r>
            <w:r>
              <w:rPr>
                <w:rFonts w:ascii="Times New Roman" w:hAnsi="Times New Roman" w:cs="Times New Roman"/>
                <w:sz w:val="24"/>
                <w:szCs w:val="24"/>
              </w:rPr>
              <w:t>#</w:t>
            </w:r>
            <w:r w:rsidR="006869FD">
              <w:rPr>
                <w:rFonts w:ascii="Times New Roman" w:hAnsi="Times New Roman" w:cs="Times New Roman"/>
                <w:sz w:val="24"/>
                <w:szCs w:val="24"/>
              </w:rPr>
              <w:t>1</w:t>
            </w:r>
            <w:r>
              <w:rPr>
                <w:rFonts w:ascii="Times New Roman" w:hAnsi="Times New Roman" w:cs="Times New Roman"/>
                <w:sz w:val="24"/>
                <w:szCs w:val="24"/>
              </w:rPr>
              <w:t xml:space="preserve"> (email)</w:t>
            </w:r>
          </w:p>
        </w:tc>
        <w:tc>
          <w:tcPr>
            <w:tcW w:w="2695" w:type="dxa"/>
          </w:tcPr>
          <w:p w:rsidRPr="00B365A0" w:rsidR="00F35E5D" w:rsidP="00F35E5D" w:rsidRDefault="00EF3317" w14:paraId="2EA4A7BF" w14:textId="32F099FF">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11</w:t>
            </w:r>
          </w:p>
        </w:tc>
      </w:tr>
      <w:tr w:rsidR="00F35E5D" w:rsidTr="00F35E5D" w14:paraId="6AE1947D" w14:textId="77777777">
        <w:tc>
          <w:tcPr>
            <w:tcW w:w="1170" w:type="dxa"/>
          </w:tcPr>
          <w:p w:rsidRPr="00B365A0" w:rsidR="00F35E5D" w:rsidP="00F35E5D" w:rsidRDefault="00F35E5D" w14:paraId="6513E041" w14:textId="77777777">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9</w:t>
            </w:r>
          </w:p>
        </w:tc>
        <w:tc>
          <w:tcPr>
            <w:tcW w:w="4770" w:type="dxa"/>
          </w:tcPr>
          <w:p w:rsidRPr="00B365A0" w:rsidR="00F35E5D" w:rsidP="00F35E5D" w:rsidRDefault="00F35E5D" w14:paraId="468F0996" w14:textId="553CE9C5">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 xml:space="preserve">SCLEA </w:t>
            </w:r>
            <w:r w:rsidR="00CD1062">
              <w:rPr>
                <w:rFonts w:ascii="Times New Roman" w:hAnsi="Times New Roman" w:cs="Times New Roman"/>
                <w:sz w:val="24"/>
                <w:szCs w:val="24"/>
              </w:rPr>
              <w:t>r</w:t>
            </w:r>
            <w:r>
              <w:rPr>
                <w:rFonts w:ascii="Times New Roman" w:hAnsi="Times New Roman" w:cs="Times New Roman"/>
                <w:sz w:val="24"/>
                <w:szCs w:val="24"/>
              </w:rPr>
              <w:t xml:space="preserve">eminder </w:t>
            </w:r>
            <w:r w:rsidR="00CD1062">
              <w:rPr>
                <w:rFonts w:ascii="Times New Roman" w:hAnsi="Times New Roman" w:cs="Times New Roman"/>
                <w:sz w:val="24"/>
                <w:szCs w:val="24"/>
              </w:rPr>
              <w:t>#</w:t>
            </w:r>
            <w:r w:rsidR="006869FD">
              <w:rPr>
                <w:rFonts w:ascii="Times New Roman" w:hAnsi="Times New Roman" w:cs="Times New Roman"/>
                <w:sz w:val="24"/>
                <w:szCs w:val="24"/>
              </w:rPr>
              <w:t>2</w:t>
            </w:r>
            <w:r w:rsidR="00CD1062">
              <w:rPr>
                <w:rFonts w:ascii="Times New Roman" w:hAnsi="Times New Roman" w:cs="Times New Roman"/>
                <w:sz w:val="24"/>
                <w:szCs w:val="24"/>
              </w:rPr>
              <w:t xml:space="preserve"> (p</w:t>
            </w:r>
            <w:r>
              <w:rPr>
                <w:rFonts w:ascii="Times New Roman" w:hAnsi="Times New Roman" w:cs="Times New Roman"/>
                <w:sz w:val="24"/>
                <w:szCs w:val="24"/>
              </w:rPr>
              <w:t>ostcard</w:t>
            </w:r>
            <w:r w:rsidR="00CD1062">
              <w:rPr>
                <w:rFonts w:ascii="Times New Roman" w:hAnsi="Times New Roman" w:cs="Times New Roman"/>
                <w:sz w:val="24"/>
                <w:szCs w:val="24"/>
              </w:rPr>
              <w:t>)</w:t>
            </w:r>
          </w:p>
        </w:tc>
        <w:tc>
          <w:tcPr>
            <w:tcW w:w="2695" w:type="dxa"/>
          </w:tcPr>
          <w:p w:rsidRPr="00B365A0" w:rsidR="00F35E5D" w:rsidP="00F35E5D" w:rsidRDefault="00EF3317" w14:paraId="786F8F83" w14:textId="1CE119B0">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12</w:t>
            </w:r>
          </w:p>
        </w:tc>
      </w:tr>
      <w:tr w:rsidR="00F35E5D" w:rsidTr="00F35E5D" w14:paraId="034EB1EC" w14:textId="77777777">
        <w:tc>
          <w:tcPr>
            <w:tcW w:w="1170" w:type="dxa"/>
          </w:tcPr>
          <w:p w:rsidRPr="00B365A0" w:rsidR="00F35E5D" w:rsidP="00F35E5D" w:rsidRDefault="00F35E5D" w14:paraId="6B0A8202" w14:textId="77777777">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11</w:t>
            </w:r>
          </w:p>
        </w:tc>
        <w:tc>
          <w:tcPr>
            <w:tcW w:w="4770" w:type="dxa"/>
          </w:tcPr>
          <w:p w:rsidR="00F35E5D" w:rsidP="00F35E5D" w:rsidRDefault="00F35E5D" w14:paraId="0D2A77A6" w14:textId="64E5A15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SCLEA reminder #3 (mail reminder package)</w:t>
            </w:r>
          </w:p>
        </w:tc>
        <w:tc>
          <w:tcPr>
            <w:tcW w:w="2695" w:type="dxa"/>
          </w:tcPr>
          <w:p w:rsidR="00F35E5D" w:rsidP="00F35E5D" w:rsidRDefault="00EF3317" w14:paraId="313CC497" w14:textId="02A336BB">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13, 2</w:t>
            </w:r>
          </w:p>
        </w:tc>
      </w:tr>
      <w:tr w:rsidR="00F35E5D" w:rsidTr="00F35E5D" w14:paraId="7B94110D" w14:textId="77777777">
        <w:tc>
          <w:tcPr>
            <w:tcW w:w="1170" w:type="dxa"/>
          </w:tcPr>
          <w:p w:rsidRPr="00B365A0" w:rsidR="00F35E5D" w:rsidP="00F35E5D" w:rsidRDefault="00F35E5D" w14:paraId="7D0C4EC6" w14:textId="52B59E65">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14</w:t>
            </w:r>
          </w:p>
        </w:tc>
        <w:tc>
          <w:tcPr>
            <w:tcW w:w="4770" w:type="dxa"/>
          </w:tcPr>
          <w:p w:rsidRPr="00B365A0" w:rsidR="00F35E5D" w:rsidP="00F35E5D" w:rsidRDefault="00F35E5D" w14:paraId="5C36E9EE" w14:textId="5C648B38">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SCLEA reminder #</w:t>
            </w:r>
            <w:r w:rsidR="00DC08F8">
              <w:rPr>
                <w:rFonts w:ascii="Times New Roman" w:hAnsi="Times New Roman" w:cs="Times New Roman"/>
                <w:sz w:val="24"/>
                <w:szCs w:val="24"/>
              </w:rPr>
              <w:t>4</w:t>
            </w:r>
            <w:r>
              <w:rPr>
                <w:rFonts w:ascii="Times New Roman" w:hAnsi="Times New Roman" w:cs="Times New Roman"/>
                <w:sz w:val="24"/>
                <w:szCs w:val="24"/>
              </w:rPr>
              <w:t xml:space="preserve"> (email)</w:t>
            </w:r>
          </w:p>
        </w:tc>
        <w:tc>
          <w:tcPr>
            <w:tcW w:w="2695" w:type="dxa"/>
          </w:tcPr>
          <w:p w:rsidRPr="00B365A0" w:rsidR="00F35E5D" w:rsidP="00F35E5D" w:rsidRDefault="00EF3317" w14:paraId="41B944E0" w14:textId="0D5F7EB3">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14</w:t>
            </w:r>
          </w:p>
        </w:tc>
      </w:tr>
      <w:tr w:rsidR="004113D9" w:rsidTr="00F35E5D" w14:paraId="50BB349F" w14:textId="77777777">
        <w:tc>
          <w:tcPr>
            <w:tcW w:w="1170" w:type="dxa"/>
          </w:tcPr>
          <w:p w:rsidR="004113D9" w:rsidP="004113D9" w:rsidRDefault="004113D9" w14:paraId="7A5F0B17" w14:textId="1C8A62C2">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16</w:t>
            </w:r>
          </w:p>
        </w:tc>
        <w:tc>
          <w:tcPr>
            <w:tcW w:w="4770" w:type="dxa"/>
          </w:tcPr>
          <w:p w:rsidR="004113D9" w:rsidP="004113D9" w:rsidRDefault="004113D9" w14:paraId="2B397CCC" w14:textId="5C1AB7A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SCLEA reminder #5 (mail)</w:t>
            </w:r>
          </w:p>
        </w:tc>
        <w:tc>
          <w:tcPr>
            <w:tcW w:w="2695" w:type="dxa"/>
          </w:tcPr>
          <w:p w:rsidR="004113D9" w:rsidP="004113D9" w:rsidRDefault="00EF3317" w14:paraId="5775794C" w14:textId="238C4EC1">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15</w:t>
            </w:r>
          </w:p>
        </w:tc>
      </w:tr>
      <w:tr w:rsidRPr="00B365A0" w:rsidR="004113D9" w:rsidTr="00F35E5D" w14:paraId="6A8D2948" w14:textId="77777777">
        <w:tc>
          <w:tcPr>
            <w:tcW w:w="1170" w:type="dxa"/>
          </w:tcPr>
          <w:p w:rsidRPr="00B365A0" w:rsidR="004113D9" w:rsidP="004113D9" w:rsidRDefault="004113D9" w14:paraId="38DE93B3" w14:textId="080452D2">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19</w:t>
            </w:r>
          </w:p>
        </w:tc>
        <w:tc>
          <w:tcPr>
            <w:tcW w:w="4770" w:type="dxa"/>
          </w:tcPr>
          <w:p w:rsidRPr="00B365A0" w:rsidR="004113D9" w:rsidP="004113D9" w:rsidRDefault="004113D9" w14:paraId="4DD50EFF" w14:textId="0160BC08">
            <w:pPr>
              <w:autoSpaceDE w:val="0"/>
              <w:autoSpaceDN w:val="0"/>
              <w:adjustRightInd w:val="0"/>
              <w:spacing w:before="3"/>
              <w:ind w:right="59"/>
              <w:rPr>
                <w:rFonts w:ascii="Times New Roman" w:hAnsi="Times New Roman" w:cs="Times New Roman"/>
                <w:sz w:val="24"/>
                <w:szCs w:val="24"/>
              </w:rPr>
            </w:pPr>
            <w:r w:rsidRPr="006869FD">
              <w:rPr>
                <w:rFonts w:ascii="Times New Roman" w:hAnsi="Times New Roman" w:cs="Times New Roman"/>
                <w:sz w:val="24"/>
                <w:szCs w:val="24"/>
              </w:rPr>
              <w:t>SCLEA telephone nonresponse follow-up</w:t>
            </w:r>
          </w:p>
        </w:tc>
        <w:tc>
          <w:tcPr>
            <w:tcW w:w="2695" w:type="dxa"/>
          </w:tcPr>
          <w:p w:rsidRPr="00B365A0" w:rsidR="004113D9" w:rsidP="004113D9" w:rsidRDefault="00EF3317" w14:paraId="01AD25BB" w14:textId="58B5FEA7">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16</w:t>
            </w:r>
          </w:p>
        </w:tc>
      </w:tr>
      <w:tr w:rsidR="004113D9" w:rsidTr="00F35E5D" w14:paraId="1E488B52" w14:textId="77777777">
        <w:tc>
          <w:tcPr>
            <w:tcW w:w="1170" w:type="dxa"/>
          </w:tcPr>
          <w:p w:rsidR="004113D9" w:rsidP="004113D9" w:rsidRDefault="004113D9" w14:paraId="4475B1C2" w14:textId="77777777">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21</w:t>
            </w:r>
          </w:p>
        </w:tc>
        <w:tc>
          <w:tcPr>
            <w:tcW w:w="4770" w:type="dxa"/>
          </w:tcPr>
          <w:p w:rsidR="004113D9" w:rsidP="004113D9" w:rsidRDefault="004113D9" w14:paraId="723140F5" w14:textId="30E564A1">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SCLEA reminder #6 (mail)</w:t>
            </w:r>
          </w:p>
        </w:tc>
        <w:tc>
          <w:tcPr>
            <w:tcW w:w="2695" w:type="dxa"/>
          </w:tcPr>
          <w:p w:rsidR="004113D9" w:rsidP="004113D9" w:rsidRDefault="00EF3317" w14:paraId="6695DCE8" w14:textId="58F743E1">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17</w:t>
            </w:r>
          </w:p>
        </w:tc>
      </w:tr>
      <w:tr w:rsidRPr="00B365A0" w:rsidR="004113D9" w:rsidTr="00F35E5D" w14:paraId="2E8D00E9" w14:textId="77777777">
        <w:trPr>
          <w:trHeight w:val="70"/>
        </w:trPr>
        <w:tc>
          <w:tcPr>
            <w:tcW w:w="1170" w:type="dxa"/>
          </w:tcPr>
          <w:p w:rsidR="004113D9" w:rsidP="004113D9" w:rsidRDefault="004113D9" w14:paraId="601596DD" w14:textId="77777777">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25</w:t>
            </w:r>
          </w:p>
        </w:tc>
        <w:tc>
          <w:tcPr>
            <w:tcW w:w="4770" w:type="dxa"/>
          </w:tcPr>
          <w:p w:rsidR="004113D9" w:rsidP="004113D9" w:rsidRDefault="004113D9" w14:paraId="37498077" w14:textId="77777777">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SCLEA end-of-study notification letter (mail and email)</w:t>
            </w:r>
          </w:p>
        </w:tc>
        <w:tc>
          <w:tcPr>
            <w:tcW w:w="2695" w:type="dxa"/>
          </w:tcPr>
          <w:p w:rsidRPr="00B365A0" w:rsidR="004113D9" w:rsidP="004113D9" w:rsidRDefault="00EF3317" w14:paraId="19D22974" w14:textId="20F3E834">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18</w:t>
            </w:r>
          </w:p>
        </w:tc>
      </w:tr>
      <w:tr w:rsidR="004113D9" w:rsidTr="00F35E5D" w14:paraId="203FC59C" w14:textId="77777777">
        <w:tc>
          <w:tcPr>
            <w:tcW w:w="1170" w:type="dxa"/>
          </w:tcPr>
          <w:p w:rsidR="004113D9" w:rsidP="004113D9" w:rsidRDefault="004113D9" w14:paraId="23245F50" w14:textId="77777777">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Ongoing</w:t>
            </w:r>
          </w:p>
        </w:tc>
        <w:tc>
          <w:tcPr>
            <w:tcW w:w="4770" w:type="dxa"/>
          </w:tcPr>
          <w:p w:rsidR="004113D9" w:rsidP="004113D9" w:rsidRDefault="004113D9" w14:paraId="45693EED" w14:textId="77777777">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SCLEA thank you letter</w:t>
            </w:r>
          </w:p>
        </w:tc>
        <w:tc>
          <w:tcPr>
            <w:tcW w:w="2695" w:type="dxa"/>
          </w:tcPr>
          <w:p w:rsidRPr="00B365A0" w:rsidR="004113D9" w:rsidP="004113D9" w:rsidRDefault="00EF3317" w14:paraId="719FF325" w14:textId="481FE815">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10</w:t>
            </w:r>
          </w:p>
        </w:tc>
      </w:tr>
    </w:tbl>
    <w:p w:rsidRPr="00451FB4" w:rsidR="00F35E5D" w:rsidP="00F35E5D" w:rsidRDefault="00F35E5D" w14:paraId="498CAC31" w14:textId="77777777">
      <w:pPr>
        <w:pStyle w:val="ListParagraph"/>
        <w:autoSpaceDE w:val="0"/>
        <w:autoSpaceDN w:val="0"/>
        <w:adjustRightInd w:val="0"/>
        <w:ind w:right="58"/>
        <w:rPr>
          <w:b/>
          <w:bCs/>
        </w:rPr>
      </w:pPr>
    </w:p>
    <w:p w:rsidR="00AF3B83" w:rsidP="00C27D81" w:rsidRDefault="00BD4625" w14:paraId="521BEA9F" w14:textId="0B3AFA20">
      <w:pPr>
        <w:pStyle w:val="ListParagraph"/>
        <w:numPr>
          <w:ilvl w:val="0"/>
          <w:numId w:val="4"/>
        </w:numPr>
        <w:autoSpaceDE w:val="0"/>
        <w:autoSpaceDN w:val="0"/>
        <w:adjustRightInd w:val="0"/>
        <w:ind w:right="58"/>
        <w:rPr>
          <w:rFonts w:eastAsiaTheme="minorHAnsi"/>
          <w:bCs/>
        </w:rPr>
      </w:pPr>
      <w:r>
        <w:rPr>
          <w:rFonts w:eastAsiaTheme="minorHAnsi"/>
          <w:b/>
          <w:bCs/>
        </w:rPr>
        <w:t xml:space="preserve">SCLEA </w:t>
      </w:r>
      <w:r w:rsidRPr="008B62F9" w:rsidR="00C92735">
        <w:rPr>
          <w:rFonts w:eastAsiaTheme="minorHAnsi"/>
          <w:b/>
          <w:bCs/>
        </w:rPr>
        <w:t>telephone nonresponse follow-up.</w:t>
      </w:r>
      <w:r w:rsidRPr="008B62F9" w:rsidR="00C92735">
        <w:rPr>
          <w:rFonts w:eastAsiaTheme="minorHAnsi"/>
          <w:spacing w:val="9"/>
        </w:rPr>
        <w:t xml:space="preserve"> </w:t>
      </w:r>
      <w:r w:rsidR="009271BD">
        <w:rPr>
          <w:rFonts w:eastAsiaTheme="minorHAnsi"/>
          <w:bCs/>
        </w:rPr>
        <w:t>F</w:t>
      </w:r>
      <w:r w:rsidRPr="007E4AF9" w:rsidR="009271BD">
        <w:rPr>
          <w:rFonts w:eastAsiaTheme="minorHAnsi"/>
          <w:bCs/>
        </w:rPr>
        <w:t xml:space="preserve">ollow-up with </w:t>
      </w:r>
      <w:proofErr w:type="spellStart"/>
      <w:r w:rsidRPr="007E4AF9" w:rsidR="009271BD">
        <w:rPr>
          <w:rFonts w:eastAsiaTheme="minorHAnsi"/>
          <w:bCs/>
        </w:rPr>
        <w:t>nonrespondents</w:t>
      </w:r>
      <w:proofErr w:type="spellEnd"/>
      <w:r w:rsidRPr="007E4AF9" w:rsidR="009271BD">
        <w:rPr>
          <w:rFonts w:eastAsiaTheme="minorHAnsi"/>
          <w:bCs/>
        </w:rPr>
        <w:t xml:space="preserve"> </w:t>
      </w:r>
      <w:r w:rsidR="009271BD">
        <w:rPr>
          <w:rFonts w:eastAsiaTheme="minorHAnsi"/>
          <w:bCs/>
        </w:rPr>
        <w:t xml:space="preserve">by telephone </w:t>
      </w:r>
      <w:r w:rsidRPr="007E4AF9" w:rsidR="009271BD">
        <w:rPr>
          <w:rFonts w:eastAsiaTheme="minorHAnsi"/>
          <w:bCs/>
        </w:rPr>
        <w:t>(</w:t>
      </w:r>
      <w:r w:rsidRPr="00735793" w:rsidR="009271BD">
        <w:rPr>
          <w:rFonts w:eastAsiaTheme="minorHAnsi"/>
          <w:bCs/>
        </w:rPr>
        <w:t xml:space="preserve">Attachment </w:t>
      </w:r>
      <w:r w:rsidRPr="00735793" w:rsidR="00EF3317">
        <w:rPr>
          <w:rFonts w:eastAsiaTheme="minorHAnsi"/>
          <w:bCs/>
        </w:rPr>
        <w:t>16)</w:t>
      </w:r>
      <w:r w:rsidR="00EF3317">
        <w:rPr>
          <w:rFonts w:eastAsiaTheme="minorHAnsi"/>
          <w:bCs/>
        </w:rPr>
        <w:t xml:space="preserve"> </w:t>
      </w:r>
      <w:r w:rsidR="009271BD">
        <w:rPr>
          <w:rFonts w:eastAsiaTheme="minorHAnsi"/>
          <w:bCs/>
        </w:rPr>
        <w:t>will begin t</w:t>
      </w:r>
      <w:r w:rsidR="00BD48C4">
        <w:rPr>
          <w:rFonts w:eastAsiaTheme="minorHAnsi"/>
          <w:spacing w:val="9"/>
        </w:rPr>
        <w:t xml:space="preserve">hree </w:t>
      </w:r>
      <w:r w:rsidR="00745924">
        <w:rPr>
          <w:rFonts w:eastAsiaTheme="minorHAnsi"/>
          <w:spacing w:val="9"/>
        </w:rPr>
        <w:t>week</w:t>
      </w:r>
      <w:r w:rsidR="00BD48C4">
        <w:rPr>
          <w:rFonts w:eastAsiaTheme="minorHAnsi"/>
          <w:spacing w:val="9"/>
        </w:rPr>
        <w:t>s</w:t>
      </w:r>
      <w:r w:rsidRPr="006051D5" w:rsidR="00C92735">
        <w:rPr>
          <w:rFonts w:eastAsiaTheme="minorHAnsi"/>
          <w:spacing w:val="9"/>
        </w:rPr>
        <w:t xml:space="preserve"> after the </w:t>
      </w:r>
      <w:r w:rsidR="00BD48C4">
        <w:rPr>
          <w:rFonts w:eastAsiaTheme="minorHAnsi"/>
          <w:spacing w:val="9"/>
        </w:rPr>
        <w:t xml:space="preserve">fifth </w:t>
      </w:r>
      <w:r w:rsidRPr="006051D5" w:rsidR="00C92735">
        <w:rPr>
          <w:rFonts w:eastAsiaTheme="minorHAnsi"/>
          <w:spacing w:val="9"/>
        </w:rPr>
        <w:t>reminder and 1</w:t>
      </w:r>
      <w:r w:rsidR="00743A76">
        <w:rPr>
          <w:rFonts w:eastAsiaTheme="minorHAnsi"/>
          <w:spacing w:val="9"/>
        </w:rPr>
        <w:t>9</w:t>
      </w:r>
      <w:r w:rsidRPr="006051D5" w:rsidR="00C92735">
        <w:rPr>
          <w:rFonts w:eastAsiaTheme="minorHAnsi"/>
          <w:spacing w:val="9"/>
        </w:rPr>
        <w:t xml:space="preserve"> weeks into the survey</w:t>
      </w:r>
      <w:r w:rsidR="009271BD">
        <w:rPr>
          <w:rFonts w:eastAsiaTheme="minorHAnsi"/>
          <w:spacing w:val="9"/>
        </w:rPr>
        <w:t>.</w:t>
      </w:r>
      <w:r w:rsidRPr="007E4AF9" w:rsidR="00C92735">
        <w:rPr>
          <w:rFonts w:eastAsiaTheme="minorHAnsi"/>
          <w:bCs/>
        </w:rPr>
        <w:t xml:space="preserve"> </w:t>
      </w:r>
      <w:r w:rsidR="00A90C6D">
        <w:rPr>
          <w:rFonts w:eastAsiaTheme="minorHAnsi"/>
          <w:bCs/>
        </w:rPr>
        <w:t xml:space="preserve">As direct telephone contact can be labor-intensive, this process starts late in the survey time frame to limit the number of </w:t>
      </w:r>
      <w:proofErr w:type="spellStart"/>
      <w:r w:rsidR="00A90C6D">
        <w:rPr>
          <w:rFonts w:eastAsiaTheme="minorHAnsi"/>
          <w:bCs/>
        </w:rPr>
        <w:t>nonrespondents</w:t>
      </w:r>
      <w:proofErr w:type="spellEnd"/>
      <w:r w:rsidR="00A90C6D">
        <w:rPr>
          <w:rFonts w:eastAsiaTheme="minorHAnsi"/>
          <w:bCs/>
        </w:rPr>
        <w:t xml:space="preserve"> being contacted and will be concurrent with other mail/email reminders. </w:t>
      </w:r>
      <w:r w:rsidRPr="006051D5" w:rsidR="00C92735">
        <w:rPr>
          <w:rFonts w:eastAsiaTheme="minorHAnsi"/>
          <w:bCs/>
        </w:rPr>
        <w:t xml:space="preserve">Up to </w:t>
      </w:r>
      <w:r w:rsidR="00360A19">
        <w:rPr>
          <w:rFonts w:eastAsiaTheme="minorHAnsi"/>
          <w:bCs/>
        </w:rPr>
        <w:t>five</w:t>
      </w:r>
      <w:r w:rsidRPr="008B62F9" w:rsidR="00360A19">
        <w:rPr>
          <w:rFonts w:eastAsiaTheme="minorHAnsi"/>
          <w:bCs/>
        </w:rPr>
        <w:t xml:space="preserve"> </w:t>
      </w:r>
      <w:r w:rsidRPr="008B62F9" w:rsidR="00C92735">
        <w:rPr>
          <w:rFonts w:eastAsiaTheme="minorHAnsi"/>
          <w:bCs/>
        </w:rPr>
        <w:t xml:space="preserve">call attempts will be made for each </w:t>
      </w:r>
      <w:r w:rsidR="00B8754D">
        <w:rPr>
          <w:rFonts w:eastAsiaTheme="minorHAnsi"/>
          <w:bCs/>
        </w:rPr>
        <w:t>LEA</w:t>
      </w:r>
      <w:r w:rsidRPr="008B62F9" w:rsidR="00C92735">
        <w:rPr>
          <w:rFonts w:eastAsiaTheme="minorHAnsi"/>
          <w:bCs/>
        </w:rPr>
        <w:t xml:space="preserve"> before the case receives a “maximum call attempts reached” code. An attempt is defined as a call where an interviewer talks to the POC at the LEA or leaves a message on the POC’s answering machine</w:t>
      </w:r>
      <w:r w:rsidR="0095301C">
        <w:rPr>
          <w:rFonts w:eastAsiaTheme="minorHAnsi"/>
          <w:bCs/>
        </w:rPr>
        <w:t xml:space="preserve"> or voicemail</w:t>
      </w:r>
      <w:r w:rsidRPr="008B62F9" w:rsidR="00C92735">
        <w:rPr>
          <w:rFonts w:eastAsiaTheme="minorHAnsi"/>
          <w:bCs/>
        </w:rPr>
        <w:t xml:space="preserve">. </w:t>
      </w:r>
      <w:r w:rsidR="0095301C">
        <w:rPr>
          <w:rFonts w:eastAsiaTheme="minorHAnsi"/>
          <w:bCs/>
        </w:rPr>
        <w:t>During each</w:t>
      </w:r>
      <w:r w:rsidRPr="008B62F9" w:rsidR="00C92735">
        <w:rPr>
          <w:rFonts w:eastAsiaTheme="minorHAnsi"/>
          <w:bCs/>
        </w:rPr>
        <w:t xml:space="preserve"> attempt, the </w:t>
      </w:r>
      <w:r w:rsidR="0095301C">
        <w:rPr>
          <w:rFonts w:eastAsiaTheme="minorHAnsi"/>
          <w:bCs/>
        </w:rPr>
        <w:t>POC</w:t>
      </w:r>
      <w:r w:rsidRPr="008B62F9" w:rsidR="0095301C">
        <w:rPr>
          <w:rFonts w:eastAsiaTheme="minorHAnsi"/>
          <w:bCs/>
        </w:rPr>
        <w:t xml:space="preserve"> </w:t>
      </w:r>
      <w:r w:rsidRPr="008B62F9" w:rsidR="00C92735">
        <w:rPr>
          <w:rFonts w:eastAsiaTheme="minorHAnsi"/>
          <w:bCs/>
        </w:rPr>
        <w:t xml:space="preserve">will be reminded of the purpose and importance of the survey and informed of the goal of receiving a completed survey from each LEA. The telephone interviewer will reference the most recent communication in the introduction of the phone call to determine if </w:t>
      </w:r>
      <w:r w:rsidR="00A90C6D">
        <w:rPr>
          <w:rFonts w:eastAsiaTheme="minorHAnsi"/>
          <w:bCs/>
        </w:rPr>
        <w:t>the POC</w:t>
      </w:r>
      <w:r w:rsidRPr="008B62F9" w:rsidR="00A90C6D">
        <w:rPr>
          <w:rFonts w:eastAsiaTheme="minorHAnsi"/>
          <w:bCs/>
        </w:rPr>
        <w:t xml:space="preserve"> </w:t>
      </w:r>
      <w:r w:rsidRPr="008B62F9" w:rsidR="00C92735">
        <w:rPr>
          <w:rFonts w:eastAsiaTheme="minorHAnsi"/>
          <w:bCs/>
        </w:rPr>
        <w:t>ha</w:t>
      </w:r>
      <w:r w:rsidR="00060944">
        <w:rPr>
          <w:rFonts w:eastAsiaTheme="minorHAnsi"/>
          <w:bCs/>
        </w:rPr>
        <w:t>s</w:t>
      </w:r>
      <w:r w:rsidRPr="008B62F9" w:rsidR="00C92735">
        <w:rPr>
          <w:rFonts w:eastAsiaTheme="minorHAnsi"/>
          <w:bCs/>
        </w:rPr>
        <w:t xml:space="preserve"> received any of the </w:t>
      </w:r>
      <w:r w:rsidR="00A90C6D">
        <w:rPr>
          <w:rFonts w:eastAsiaTheme="minorHAnsi"/>
          <w:bCs/>
        </w:rPr>
        <w:t xml:space="preserve">previous </w:t>
      </w:r>
      <w:r w:rsidRPr="008B62F9" w:rsidR="00C92735">
        <w:rPr>
          <w:rFonts w:eastAsiaTheme="minorHAnsi"/>
          <w:bCs/>
        </w:rPr>
        <w:t xml:space="preserve">communications. Those who did not receive any of the </w:t>
      </w:r>
      <w:r w:rsidR="00A90C6D">
        <w:rPr>
          <w:rFonts w:eastAsiaTheme="minorHAnsi"/>
          <w:bCs/>
        </w:rPr>
        <w:t xml:space="preserve">letters, reminders, </w:t>
      </w:r>
      <w:r w:rsidRPr="008B62F9" w:rsidR="00C92735">
        <w:rPr>
          <w:rFonts w:eastAsiaTheme="minorHAnsi"/>
          <w:bCs/>
        </w:rPr>
        <w:t>messages</w:t>
      </w:r>
      <w:r w:rsidR="00A90C6D">
        <w:rPr>
          <w:rFonts w:eastAsiaTheme="minorHAnsi"/>
          <w:bCs/>
        </w:rPr>
        <w:t>,</w:t>
      </w:r>
      <w:r w:rsidRPr="008B62F9" w:rsidR="00C92735">
        <w:rPr>
          <w:rFonts w:eastAsiaTheme="minorHAnsi"/>
          <w:bCs/>
        </w:rPr>
        <w:t xml:space="preserve"> or the </w:t>
      </w:r>
      <w:r w:rsidR="00A90C6D">
        <w:rPr>
          <w:rFonts w:eastAsiaTheme="minorHAnsi"/>
          <w:bCs/>
        </w:rPr>
        <w:t>invitation</w:t>
      </w:r>
      <w:r w:rsidRPr="008B62F9" w:rsidR="00A90C6D">
        <w:rPr>
          <w:rFonts w:eastAsiaTheme="minorHAnsi"/>
          <w:bCs/>
        </w:rPr>
        <w:t xml:space="preserve"> </w:t>
      </w:r>
      <w:r w:rsidRPr="008B62F9" w:rsidR="00C92735">
        <w:rPr>
          <w:rFonts w:eastAsiaTheme="minorHAnsi"/>
          <w:bCs/>
        </w:rPr>
        <w:t xml:space="preserve">packet will be assisted by the interviewer in getting the information they need to complete the survey. For those who received the </w:t>
      </w:r>
      <w:r w:rsidR="00A90C6D">
        <w:rPr>
          <w:rFonts w:eastAsiaTheme="minorHAnsi"/>
          <w:bCs/>
        </w:rPr>
        <w:t xml:space="preserve">previous </w:t>
      </w:r>
      <w:r w:rsidRPr="008B62F9" w:rsidR="00C92735">
        <w:rPr>
          <w:rFonts w:eastAsiaTheme="minorHAnsi"/>
          <w:bCs/>
        </w:rPr>
        <w:t xml:space="preserve">communications </w:t>
      </w:r>
      <w:r w:rsidR="00A90C6D">
        <w:rPr>
          <w:rFonts w:eastAsiaTheme="minorHAnsi"/>
          <w:bCs/>
        </w:rPr>
        <w:t>and/</w:t>
      </w:r>
      <w:r w:rsidRPr="008B62F9" w:rsidR="00C92735">
        <w:rPr>
          <w:rFonts w:eastAsiaTheme="minorHAnsi"/>
          <w:bCs/>
        </w:rPr>
        <w:t xml:space="preserve">or the </w:t>
      </w:r>
      <w:r w:rsidR="00A90C6D">
        <w:rPr>
          <w:rFonts w:eastAsiaTheme="minorHAnsi"/>
          <w:bCs/>
        </w:rPr>
        <w:t>invitation</w:t>
      </w:r>
      <w:r w:rsidRPr="008B62F9" w:rsidR="00A90C6D">
        <w:rPr>
          <w:rFonts w:eastAsiaTheme="minorHAnsi"/>
          <w:bCs/>
        </w:rPr>
        <w:t xml:space="preserve"> </w:t>
      </w:r>
      <w:r w:rsidRPr="008B62F9" w:rsidR="00C92735">
        <w:rPr>
          <w:rFonts w:eastAsiaTheme="minorHAnsi"/>
          <w:bCs/>
        </w:rPr>
        <w:t xml:space="preserve">packet, the interviewer will determine why they have not yet completed the survey, </w:t>
      </w:r>
      <w:proofErr w:type="gramStart"/>
      <w:r w:rsidRPr="008B62F9" w:rsidR="00C92735">
        <w:rPr>
          <w:rFonts w:eastAsiaTheme="minorHAnsi"/>
          <w:bCs/>
        </w:rPr>
        <w:t>offer assistance</w:t>
      </w:r>
      <w:proofErr w:type="gramEnd"/>
      <w:r w:rsidRPr="008B62F9" w:rsidR="00C92735">
        <w:rPr>
          <w:rFonts w:eastAsiaTheme="minorHAnsi"/>
          <w:bCs/>
        </w:rPr>
        <w:t xml:space="preserve">, and try to gain cooperation. </w:t>
      </w:r>
      <w:r w:rsidR="00A90C6D">
        <w:rPr>
          <w:rFonts w:eastAsiaTheme="minorHAnsi"/>
          <w:bCs/>
        </w:rPr>
        <w:t>Given the telephone follow-up is taking place late in the survey timeframe, POCs</w:t>
      </w:r>
      <w:r w:rsidRPr="008B62F9" w:rsidR="00A90C6D">
        <w:rPr>
          <w:rFonts w:eastAsiaTheme="minorHAnsi"/>
          <w:bCs/>
        </w:rPr>
        <w:t xml:space="preserve"> </w:t>
      </w:r>
      <w:r w:rsidRPr="008B62F9" w:rsidR="00C92735">
        <w:rPr>
          <w:rFonts w:eastAsiaTheme="minorHAnsi"/>
          <w:bCs/>
        </w:rPr>
        <w:t>who agree to complete the full survey will be asked to submit the survey online but will be sent another hard copy version of the survey if requested.</w:t>
      </w:r>
    </w:p>
    <w:p w:rsidR="00401036" w:rsidP="00F35E5D" w:rsidRDefault="00401036" w14:paraId="3F1A9E07" w14:textId="372BAAD5">
      <w:pPr>
        <w:pStyle w:val="ListParagraph"/>
        <w:numPr>
          <w:ilvl w:val="0"/>
          <w:numId w:val="4"/>
        </w:numPr>
        <w:autoSpaceDE w:val="0"/>
        <w:autoSpaceDN w:val="0"/>
        <w:adjustRightInd w:val="0"/>
        <w:ind w:right="58"/>
        <w:rPr>
          <w:rFonts w:eastAsiaTheme="minorHAnsi"/>
          <w:bCs/>
        </w:rPr>
      </w:pPr>
      <w:r w:rsidRPr="00DE3EA9">
        <w:rPr>
          <w:rFonts w:eastAsiaTheme="minorHAnsi"/>
          <w:b/>
          <w:bCs/>
        </w:rPr>
        <w:lastRenderedPageBreak/>
        <w:t>SCLEA  end-of-study notification.</w:t>
      </w:r>
      <w:r w:rsidRPr="00401036">
        <w:rPr>
          <w:rFonts w:eastAsiaTheme="minorHAnsi"/>
          <w:bCs/>
        </w:rPr>
        <w:t xml:space="preserve"> Six weeks after the start of telephone nonresponse follow-up, we will mail an end-of-study letter to LEA </w:t>
      </w:r>
      <w:proofErr w:type="spellStart"/>
      <w:r w:rsidRPr="00401036">
        <w:rPr>
          <w:rFonts w:eastAsiaTheme="minorHAnsi"/>
          <w:bCs/>
        </w:rPr>
        <w:t>nonrespondents</w:t>
      </w:r>
      <w:proofErr w:type="spellEnd"/>
      <w:r w:rsidRPr="00401036">
        <w:rPr>
          <w:rFonts w:eastAsiaTheme="minorHAnsi"/>
          <w:bCs/>
        </w:rPr>
        <w:t xml:space="preserve">. The letter (Attachment 18), on BJS letterhead, will notify </w:t>
      </w:r>
      <w:proofErr w:type="spellStart"/>
      <w:r w:rsidRPr="00401036">
        <w:rPr>
          <w:rFonts w:eastAsiaTheme="minorHAnsi"/>
          <w:bCs/>
        </w:rPr>
        <w:t>nonrespondents</w:t>
      </w:r>
      <w:proofErr w:type="spellEnd"/>
      <w:r w:rsidRPr="00401036">
        <w:rPr>
          <w:rFonts w:eastAsiaTheme="minorHAnsi"/>
          <w:bCs/>
        </w:rPr>
        <w:t xml:space="preserve"> that the study is coming to an end and that their response is needed within two weeks. Data collection will continue for approximately three more weeks to allow for receipt of any remaining </w:t>
      </w:r>
      <w:r w:rsidR="0072306F">
        <w:rPr>
          <w:rFonts w:eastAsiaTheme="minorHAnsi"/>
          <w:bCs/>
        </w:rPr>
        <w:t>surveys</w:t>
      </w:r>
      <w:r w:rsidRPr="00401036">
        <w:rPr>
          <w:rFonts w:eastAsiaTheme="minorHAnsi"/>
          <w:bCs/>
        </w:rPr>
        <w:t xml:space="preserve">. This letter will again provide instructions for accessing and completing the survey (via web or mail) and contact information for obtaining additional information. An end-of-study email will be sent concurrently with the end-of-study letter.  </w:t>
      </w:r>
    </w:p>
    <w:p w:rsidRPr="00C36166" w:rsidR="00B2134B" w:rsidP="00C36166" w:rsidRDefault="00C92735" w14:paraId="26EB798F" w14:textId="351A528F">
      <w:pPr>
        <w:pStyle w:val="ListParagraph"/>
        <w:autoSpaceDE w:val="0"/>
        <w:autoSpaceDN w:val="0"/>
        <w:adjustRightInd w:val="0"/>
        <w:ind w:right="58"/>
        <w:rPr>
          <w:rFonts w:eastAsiaTheme="minorHAnsi"/>
        </w:rPr>
      </w:pPr>
      <w:r w:rsidRPr="008B62F9">
        <w:rPr>
          <w:rFonts w:eastAsiaTheme="minorHAnsi"/>
          <w:bCs/>
        </w:rPr>
        <w:t xml:space="preserve"> </w:t>
      </w:r>
    </w:p>
    <w:p w:rsidR="00C92735" w:rsidP="00F35E5D" w:rsidRDefault="00BD4625" w14:paraId="637FFF28" w14:textId="6E193DED">
      <w:pPr>
        <w:pStyle w:val="ListParagraph"/>
        <w:numPr>
          <w:ilvl w:val="0"/>
          <w:numId w:val="4"/>
        </w:numPr>
        <w:autoSpaceDE w:val="0"/>
        <w:autoSpaceDN w:val="0"/>
        <w:adjustRightInd w:val="0"/>
        <w:ind w:right="58"/>
        <w:rPr>
          <w:rFonts w:eastAsiaTheme="minorHAnsi"/>
        </w:rPr>
      </w:pPr>
      <w:r>
        <w:rPr>
          <w:rFonts w:eastAsiaTheme="minorHAnsi"/>
          <w:b/>
        </w:rPr>
        <w:t>SCLEA</w:t>
      </w:r>
      <w:r w:rsidR="00C92735">
        <w:rPr>
          <w:rFonts w:eastAsiaTheme="minorHAnsi"/>
          <w:b/>
        </w:rPr>
        <w:t xml:space="preserve"> </w:t>
      </w:r>
      <w:r w:rsidRPr="00D65C89" w:rsidR="00C92735">
        <w:rPr>
          <w:rFonts w:eastAsiaTheme="minorHAnsi"/>
          <w:b/>
        </w:rPr>
        <w:t xml:space="preserve">thank you </w:t>
      </w:r>
      <w:r w:rsidR="00C92735">
        <w:rPr>
          <w:rFonts w:eastAsiaTheme="minorHAnsi"/>
          <w:b/>
        </w:rPr>
        <w:t>correspondence</w:t>
      </w:r>
      <w:r w:rsidRPr="00D65C89" w:rsidR="00C92735">
        <w:rPr>
          <w:rFonts w:eastAsiaTheme="minorHAnsi"/>
          <w:b/>
        </w:rPr>
        <w:t xml:space="preserve">. </w:t>
      </w:r>
      <w:r w:rsidRPr="00D65C89" w:rsidR="00C92735">
        <w:rPr>
          <w:rFonts w:eastAsiaTheme="minorHAnsi"/>
        </w:rPr>
        <w:t>After</w:t>
      </w:r>
      <w:r>
        <w:rPr>
          <w:rFonts w:eastAsiaTheme="minorHAnsi"/>
        </w:rPr>
        <w:t xml:space="preserve"> SCLEA</w:t>
      </w:r>
      <w:r w:rsidR="00C92735">
        <w:rPr>
          <w:rFonts w:eastAsiaTheme="minorHAnsi"/>
        </w:rPr>
        <w:t xml:space="preserve"> POCs</w:t>
      </w:r>
      <w:r w:rsidRPr="00D65C89" w:rsidR="00C92735">
        <w:rPr>
          <w:rFonts w:eastAsiaTheme="minorHAnsi"/>
        </w:rPr>
        <w:t xml:space="preserve"> complete</w:t>
      </w:r>
      <w:r w:rsidR="00C92735">
        <w:rPr>
          <w:rFonts w:eastAsiaTheme="minorHAnsi"/>
        </w:rPr>
        <w:t xml:space="preserve"> their survey, a thank you will be sent to the POC. If the POC has an email on file, they will receive a thank you e-mail</w:t>
      </w:r>
      <w:r w:rsidR="006832E3">
        <w:rPr>
          <w:rFonts w:eastAsiaTheme="minorHAnsi"/>
        </w:rPr>
        <w:t xml:space="preserve"> </w:t>
      </w:r>
      <w:r w:rsidR="003D48D8">
        <w:rPr>
          <w:rFonts w:eastAsiaTheme="minorHAnsi"/>
        </w:rPr>
        <w:t>immediately following their submission</w:t>
      </w:r>
      <w:r w:rsidR="00C92735">
        <w:rPr>
          <w:rFonts w:eastAsiaTheme="minorHAnsi"/>
        </w:rPr>
        <w:t xml:space="preserve">. If the POC does not have an e-mail address on file, they will receive a thank you letter printed on BJS letterhead. </w:t>
      </w:r>
      <w:r w:rsidR="007B43CA">
        <w:rPr>
          <w:rFonts w:eastAsiaTheme="minorHAnsi"/>
        </w:rPr>
        <w:t xml:space="preserve">Thank you letters will be mailed in batches on a biweekly basis. </w:t>
      </w:r>
      <w:r w:rsidR="00C92735">
        <w:rPr>
          <w:rFonts w:eastAsiaTheme="minorHAnsi"/>
        </w:rPr>
        <w:t>The thank you correspondence (</w:t>
      </w:r>
      <w:r w:rsidRPr="00023D09" w:rsidR="00C92735">
        <w:rPr>
          <w:rFonts w:eastAsiaTheme="minorHAnsi"/>
        </w:rPr>
        <w:t xml:space="preserve">Attachment </w:t>
      </w:r>
      <w:r w:rsidR="008C1409">
        <w:rPr>
          <w:rFonts w:eastAsiaTheme="minorHAnsi"/>
        </w:rPr>
        <w:t>10</w:t>
      </w:r>
      <w:r w:rsidR="003D48D8">
        <w:rPr>
          <w:rFonts w:eastAsiaTheme="minorHAnsi"/>
        </w:rPr>
        <w:t xml:space="preserve">) </w:t>
      </w:r>
      <w:r w:rsidR="00C92735">
        <w:rPr>
          <w:rFonts w:eastAsiaTheme="minorHAnsi"/>
        </w:rPr>
        <w:t xml:space="preserve">will thank </w:t>
      </w:r>
      <w:r>
        <w:rPr>
          <w:rFonts w:eastAsiaTheme="minorHAnsi"/>
        </w:rPr>
        <w:t xml:space="preserve">the </w:t>
      </w:r>
      <w:r w:rsidR="00C92735">
        <w:rPr>
          <w:rFonts w:eastAsiaTheme="minorHAnsi"/>
        </w:rPr>
        <w:t>POC for their time</w:t>
      </w:r>
      <w:r>
        <w:rPr>
          <w:rFonts w:eastAsiaTheme="minorHAnsi"/>
        </w:rPr>
        <w:t xml:space="preserve"> </w:t>
      </w:r>
      <w:r w:rsidR="00C92735">
        <w:rPr>
          <w:rFonts w:eastAsiaTheme="minorHAnsi"/>
        </w:rPr>
        <w:t xml:space="preserve">and provide contact information for obtaining additional information about participation. </w:t>
      </w:r>
    </w:p>
    <w:p w:rsidRPr="00D043C6" w:rsidR="00D043C6" w:rsidP="00C36166" w:rsidRDefault="00D043C6" w14:paraId="7904655B" w14:textId="77777777">
      <w:pPr>
        <w:pStyle w:val="ListParagraph"/>
        <w:rPr>
          <w:rFonts w:eastAsiaTheme="minorHAnsi"/>
        </w:rPr>
      </w:pPr>
    </w:p>
    <w:p w:rsidR="00C92735" w:rsidP="00DE3EA9" w:rsidRDefault="00C92735" w14:paraId="1515D54D" w14:textId="32C507E1">
      <w:pPr>
        <w:autoSpaceDE w:val="0"/>
        <w:autoSpaceDN w:val="0"/>
        <w:adjustRightInd w:val="0"/>
        <w:spacing w:after="0" w:line="240" w:lineRule="auto"/>
        <w:rPr>
          <w:rFonts w:ascii="Times New Roman" w:hAnsi="Times New Roman" w:cs="Times New Roman"/>
          <w:bCs/>
          <w:sz w:val="24"/>
          <w:szCs w:val="24"/>
        </w:rPr>
      </w:pPr>
      <w:r w:rsidRPr="00C92735">
        <w:rPr>
          <w:rFonts w:ascii="Times New Roman" w:hAnsi="Times New Roman" w:cs="Times New Roman"/>
          <w:b/>
          <w:bCs/>
          <w:sz w:val="24"/>
          <w:szCs w:val="24"/>
        </w:rPr>
        <w:t xml:space="preserve">Data Editing. </w:t>
      </w:r>
      <w:r w:rsidRPr="00C92735">
        <w:rPr>
          <w:rFonts w:ascii="Times New Roman" w:hAnsi="Times New Roman" w:cs="Times New Roman"/>
          <w:bCs/>
          <w:sz w:val="24"/>
          <w:szCs w:val="24"/>
        </w:rPr>
        <w:t xml:space="preserve">RTI will attempt to reconcile missing or erroneous data through automated and manual edits of each </w:t>
      </w:r>
      <w:r w:rsidR="005C0269">
        <w:rPr>
          <w:rFonts w:ascii="Times New Roman" w:hAnsi="Times New Roman" w:cs="Times New Roman"/>
          <w:bCs/>
          <w:sz w:val="24"/>
          <w:szCs w:val="24"/>
        </w:rPr>
        <w:t>survey</w:t>
      </w:r>
      <w:r w:rsidRPr="00C92735" w:rsidR="005C0269">
        <w:rPr>
          <w:rFonts w:ascii="Times New Roman" w:hAnsi="Times New Roman" w:cs="Times New Roman"/>
          <w:bCs/>
          <w:sz w:val="24"/>
          <w:szCs w:val="24"/>
        </w:rPr>
        <w:t xml:space="preserve"> </w:t>
      </w:r>
      <w:r w:rsidRPr="00C92735">
        <w:rPr>
          <w:rFonts w:ascii="Times New Roman" w:hAnsi="Times New Roman" w:cs="Times New Roman"/>
          <w:bCs/>
          <w:sz w:val="24"/>
          <w:szCs w:val="24"/>
        </w:rPr>
        <w:t>within two weeks of completion. In collaboration with BJS, RTI will develop a set of edit</w:t>
      </w:r>
      <w:r w:rsidR="005C0269">
        <w:rPr>
          <w:rFonts w:ascii="Times New Roman" w:hAnsi="Times New Roman" w:cs="Times New Roman"/>
          <w:bCs/>
          <w:sz w:val="24"/>
          <w:szCs w:val="24"/>
        </w:rPr>
        <w:t xml:space="preserve"> rules</w:t>
      </w:r>
      <w:r w:rsidRPr="00C92735">
        <w:rPr>
          <w:rFonts w:ascii="Times New Roman" w:hAnsi="Times New Roman" w:cs="Times New Roman"/>
          <w:bCs/>
          <w:sz w:val="24"/>
          <w:szCs w:val="24"/>
        </w:rPr>
        <w:t xml:space="preserve"> </w:t>
      </w:r>
      <w:r w:rsidR="005C0269">
        <w:rPr>
          <w:rFonts w:ascii="Times New Roman" w:hAnsi="Times New Roman" w:cs="Times New Roman"/>
          <w:bCs/>
          <w:sz w:val="24"/>
          <w:szCs w:val="24"/>
        </w:rPr>
        <w:t>that use</w:t>
      </w:r>
      <w:r w:rsidRPr="00C92735">
        <w:rPr>
          <w:rFonts w:ascii="Times New Roman" w:hAnsi="Times New Roman" w:cs="Times New Roman"/>
          <w:bCs/>
          <w:sz w:val="24"/>
          <w:szCs w:val="24"/>
        </w:rPr>
        <w:t xml:space="preserve"> other </w:t>
      </w:r>
      <w:r w:rsidR="005C0269">
        <w:rPr>
          <w:rFonts w:ascii="Times New Roman" w:hAnsi="Times New Roman" w:cs="Times New Roman"/>
          <w:bCs/>
          <w:sz w:val="24"/>
          <w:szCs w:val="24"/>
        </w:rPr>
        <w:t xml:space="preserve">completed survey fields </w:t>
      </w:r>
      <w:r w:rsidRPr="00C92735">
        <w:rPr>
          <w:rFonts w:ascii="Times New Roman" w:hAnsi="Times New Roman" w:cs="Times New Roman"/>
          <w:bCs/>
          <w:sz w:val="24"/>
          <w:szCs w:val="24"/>
        </w:rPr>
        <w:t>to confirm acceptable responses or identify possible errors due to missing or inconsistent data elements. For example</w:t>
      </w:r>
      <w:r w:rsidR="005C0269">
        <w:rPr>
          <w:rFonts w:ascii="Times New Roman" w:hAnsi="Times New Roman" w:cs="Times New Roman"/>
          <w:bCs/>
          <w:sz w:val="24"/>
          <w:szCs w:val="24"/>
        </w:rPr>
        <w:t>, if Q6 of the instrument had the race and ethnicity sworn officer breakdowns provided (Q6, a.-g.) but the total sworn officer summation (Q6, h.) missing</w:t>
      </w:r>
      <w:r w:rsidRPr="00C92735">
        <w:rPr>
          <w:rFonts w:ascii="Times New Roman" w:hAnsi="Times New Roman" w:cs="Times New Roman"/>
          <w:bCs/>
          <w:sz w:val="24"/>
          <w:szCs w:val="24"/>
        </w:rPr>
        <w:t xml:space="preserve">, a manual edit </w:t>
      </w:r>
      <w:r w:rsidR="007C042F">
        <w:rPr>
          <w:rFonts w:ascii="Times New Roman" w:hAnsi="Times New Roman" w:cs="Times New Roman"/>
          <w:bCs/>
          <w:sz w:val="24"/>
          <w:szCs w:val="24"/>
        </w:rPr>
        <w:t xml:space="preserve">would be made to compute a total value in (h.) based on (a.-g.) and cross-checked with Q5 to validate the total </w:t>
      </w:r>
      <w:r w:rsidR="0067579A">
        <w:rPr>
          <w:rFonts w:ascii="Times New Roman" w:hAnsi="Times New Roman" w:cs="Times New Roman"/>
          <w:bCs/>
          <w:sz w:val="24"/>
          <w:szCs w:val="24"/>
        </w:rPr>
        <w:t xml:space="preserve">full-time </w:t>
      </w:r>
      <w:r w:rsidR="007C042F">
        <w:rPr>
          <w:rFonts w:ascii="Times New Roman" w:hAnsi="Times New Roman" w:cs="Times New Roman"/>
          <w:bCs/>
          <w:sz w:val="24"/>
          <w:szCs w:val="24"/>
        </w:rPr>
        <w:t>sworn count</w:t>
      </w:r>
      <w:r w:rsidRPr="00C92735">
        <w:rPr>
          <w:rFonts w:ascii="Times New Roman" w:hAnsi="Times New Roman" w:cs="Times New Roman"/>
          <w:bCs/>
          <w:sz w:val="24"/>
          <w:szCs w:val="24"/>
        </w:rPr>
        <w:t xml:space="preserve">. </w:t>
      </w:r>
      <w:r w:rsidR="005257FB">
        <w:rPr>
          <w:rFonts w:ascii="Times New Roman" w:hAnsi="Times New Roman" w:cs="Times New Roman"/>
          <w:bCs/>
          <w:sz w:val="24"/>
          <w:szCs w:val="24"/>
        </w:rPr>
        <w:t xml:space="preserve">Through this </w:t>
      </w:r>
      <w:r w:rsidR="007C042F">
        <w:rPr>
          <w:rFonts w:ascii="Times New Roman" w:hAnsi="Times New Roman" w:cs="Times New Roman"/>
          <w:bCs/>
          <w:sz w:val="24"/>
          <w:szCs w:val="24"/>
        </w:rPr>
        <w:t xml:space="preserve">type of </w:t>
      </w:r>
      <w:r w:rsidR="005257FB">
        <w:rPr>
          <w:rFonts w:ascii="Times New Roman" w:hAnsi="Times New Roman" w:cs="Times New Roman"/>
          <w:bCs/>
          <w:sz w:val="24"/>
          <w:szCs w:val="24"/>
        </w:rPr>
        <w:t>process, RTI can quickly identify which cases require follow-up and indicate the items that need clarification or retrieval from the respondent.</w:t>
      </w:r>
    </w:p>
    <w:p w:rsidR="00F35E5D" w:rsidP="00DE3EA9" w:rsidRDefault="00F35E5D" w14:paraId="48639E66" w14:textId="77777777">
      <w:pPr>
        <w:keepNext/>
        <w:keepLines/>
        <w:autoSpaceDE w:val="0"/>
        <w:autoSpaceDN w:val="0"/>
        <w:adjustRightInd w:val="0"/>
        <w:spacing w:after="0" w:line="240" w:lineRule="auto"/>
        <w:rPr>
          <w:rFonts w:ascii="Times New Roman" w:hAnsi="Times New Roman" w:cs="Times New Roman"/>
          <w:bCs/>
          <w:sz w:val="24"/>
          <w:szCs w:val="24"/>
        </w:rPr>
      </w:pPr>
    </w:p>
    <w:p w:rsidR="006E060D" w:rsidP="00DE3EA9" w:rsidRDefault="00C92735" w14:paraId="2398F0DD" w14:textId="61F9DEE9">
      <w:pPr>
        <w:spacing w:after="0" w:line="240" w:lineRule="auto"/>
        <w:rPr>
          <w:rFonts w:ascii="Times New Roman" w:hAnsi="Times New Roman" w:cs="Times New Roman"/>
          <w:sz w:val="24"/>
          <w:szCs w:val="24"/>
        </w:rPr>
      </w:pPr>
      <w:r w:rsidRPr="00C92735">
        <w:rPr>
          <w:rFonts w:ascii="Times New Roman" w:hAnsi="Times New Roman" w:cs="Times New Roman"/>
          <w:b/>
          <w:sz w:val="24"/>
          <w:szCs w:val="24"/>
        </w:rPr>
        <w:t>Data Entry.</w:t>
      </w:r>
      <w:r w:rsidRPr="00C92735">
        <w:rPr>
          <w:rFonts w:ascii="Times New Roman" w:hAnsi="Times New Roman" w:cs="Times New Roman"/>
          <w:sz w:val="24"/>
          <w:szCs w:val="24"/>
        </w:rPr>
        <w:t xml:space="preserve"> Respondents completing the </w:t>
      </w:r>
      <w:r w:rsidR="00BD4625">
        <w:rPr>
          <w:rFonts w:ascii="Times New Roman" w:hAnsi="Times New Roman" w:cs="Times New Roman"/>
          <w:sz w:val="24"/>
          <w:szCs w:val="24"/>
        </w:rPr>
        <w:t xml:space="preserve">SCLEA </w:t>
      </w:r>
      <w:r w:rsidRPr="00C92735">
        <w:rPr>
          <w:rFonts w:ascii="Times New Roman" w:hAnsi="Times New Roman" w:cs="Times New Roman"/>
          <w:sz w:val="24"/>
          <w:szCs w:val="24"/>
        </w:rPr>
        <w:t xml:space="preserve">survey via the web instrument will enter their responses directly into the online instrument. For those respondents returning their survey via hardcopy (mail), the survey will be scanned upon receipt and the data will be extracted from the </w:t>
      </w:r>
      <w:proofErr w:type="spellStart"/>
      <w:r w:rsidRPr="00C92735">
        <w:rPr>
          <w:rFonts w:ascii="Times New Roman" w:hAnsi="Times New Roman" w:cs="Times New Roman"/>
          <w:sz w:val="24"/>
          <w:szCs w:val="24"/>
        </w:rPr>
        <w:t>TeleForm</w:t>
      </w:r>
      <w:proofErr w:type="spellEnd"/>
      <w:r w:rsidRPr="00C92735">
        <w:rPr>
          <w:rFonts w:ascii="Times New Roman" w:hAnsi="Times New Roman" w:cs="Times New Roman"/>
          <w:sz w:val="24"/>
          <w:szCs w:val="24"/>
        </w:rPr>
        <w:t xml:space="preserve">. RTI will perform a quality control check on randomly selected survey forms to ensure all data is scanned correctly. To confirm editing rules are being followed, RTI will review frequencies for the entered data and any anomalies, inconsistencies, or unexpected values will be investigated and resolved. Throughout the remainder of the data collection period, RTI staff will conduct regular data frequency reviews to evaluate the quality and completeness of data captured  </w:t>
      </w:r>
      <w:r w:rsidR="00E6772A">
        <w:rPr>
          <w:rFonts w:ascii="Times New Roman" w:hAnsi="Times New Roman" w:cs="Times New Roman"/>
          <w:sz w:val="24"/>
          <w:szCs w:val="24"/>
        </w:rPr>
        <w:t>via</w:t>
      </w:r>
      <w:r w:rsidRPr="00C92735">
        <w:rPr>
          <w:rFonts w:ascii="Times New Roman" w:hAnsi="Times New Roman" w:cs="Times New Roman"/>
          <w:sz w:val="24"/>
          <w:szCs w:val="24"/>
        </w:rPr>
        <w:t xml:space="preserve"> web</w:t>
      </w:r>
      <w:r w:rsidR="00BD4625">
        <w:rPr>
          <w:rFonts w:ascii="Times New Roman" w:hAnsi="Times New Roman" w:cs="Times New Roman"/>
          <w:sz w:val="24"/>
          <w:szCs w:val="24"/>
        </w:rPr>
        <w:t xml:space="preserve"> and</w:t>
      </w:r>
      <w:r w:rsidRPr="00C92735">
        <w:rPr>
          <w:rFonts w:ascii="Times New Roman" w:hAnsi="Times New Roman" w:cs="Times New Roman"/>
          <w:sz w:val="24"/>
          <w:szCs w:val="24"/>
        </w:rPr>
        <w:t xml:space="preserve"> hard copy. </w:t>
      </w:r>
      <w:r w:rsidRPr="00EC6F2C">
        <w:rPr>
          <w:rFonts w:ascii="Times New Roman" w:hAnsi="Times New Roman" w:cs="Times New Roman"/>
          <w:sz w:val="24"/>
          <w:szCs w:val="24"/>
        </w:rPr>
        <w:t xml:space="preserve">RTI will deliver </w:t>
      </w:r>
      <w:r w:rsidR="00940503">
        <w:rPr>
          <w:rFonts w:ascii="Times New Roman" w:hAnsi="Times New Roman" w:cs="Times New Roman"/>
          <w:sz w:val="24"/>
          <w:szCs w:val="24"/>
        </w:rPr>
        <w:t xml:space="preserve">at least three data files to BJS, including two </w:t>
      </w:r>
      <w:r w:rsidRPr="00EC6F2C">
        <w:rPr>
          <w:rFonts w:ascii="Times New Roman" w:hAnsi="Times New Roman" w:cs="Times New Roman"/>
          <w:sz w:val="24"/>
          <w:szCs w:val="24"/>
        </w:rPr>
        <w:t xml:space="preserve">preliminary </w:t>
      </w:r>
      <w:r w:rsidR="00757700">
        <w:rPr>
          <w:rFonts w:ascii="Times New Roman" w:hAnsi="Times New Roman" w:cs="Times New Roman"/>
          <w:sz w:val="24"/>
          <w:szCs w:val="24"/>
        </w:rPr>
        <w:t>files</w:t>
      </w:r>
      <w:r w:rsidR="00E6772A">
        <w:rPr>
          <w:rFonts w:ascii="Times New Roman" w:hAnsi="Times New Roman" w:cs="Times New Roman"/>
          <w:sz w:val="24"/>
          <w:szCs w:val="24"/>
        </w:rPr>
        <w:t xml:space="preserve"> (at 50% and 75% response) and</w:t>
      </w:r>
      <w:r w:rsidR="00757700">
        <w:rPr>
          <w:rFonts w:ascii="Times New Roman" w:hAnsi="Times New Roman" w:cs="Times New Roman"/>
          <w:sz w:val="24"/>
          <w:szCs w:val="24"/>
        </w:rPr>
        <w:t xml:space="preserve"> a </w:t>
      </w:r>
      <w:r w:rsidRPr="00EC6F2C">
        <w:rPr>
          <w:rFonts w:ascii="Times New Roman" w:hAnsi="Times New Roman" w:cs="Times New Roman"/>
          <w:sz w:val="24"/>
          <w:szCs w:val="24"/>
        </w:rPr>
        <w:t xml:space="preserve">final dataset </w:t>
      </w:r>
      <w:r w:rsidR="00E6772A">
        <w:rPr>
          <w:rFonts w:ascii="Times New Roman" w:hAnsi="Times New Roman" w:cs="Times New Roman"/>
          <w:sz w:val="24"/>
          <w:szCs w:val="24"/>
        </w:rPr>
        <w:t>upon</w:t>
      </w:r>
      <w:r w:rsidRPr="00EC6F2C">
        <w:rPr>
          <w:rFonts w:ascii="Times New Roman" w:hAnsi="Times New Roman" w:cs="Times New Roman"/>
          <w:sz w:val="24"/>
          <w:szCs w:val="24"/>
        </w:rPr>
        <w:t xml:space="preserve"> completion of the</w:t>
      </w:r>
      <w:r w:rsidR="00E6772A">
        <w:rPr>
          <w:rFonts w:ascii="Times New Roman" w:hAnsi="Times New Roman" w:cs="Times New Roman"/>
          <w:sz w:val="24"/>
          <w:szCs w:val="24"/>
        </w:rPr>
        <w:t xml:space="preserve"> </w:t>
      </w:r>
      <w:r w:rsidRPr="00EC6F2C" w:rsidR="00BD4625">
        <w:rPr>
          <w:rFonts w:ascii="Times New Roman" w:hAnsi="Times New Roman" w:cs="Times New Roman"/>
          <w:sz w:val="24"/>
          <w:szCs w:val="24"/>
        </w:rPr>
        <w:t>survey</w:t>
      </w:r>
      <w:r w:rsidRPr="00EC6F2C">
        <w:rPr>
          <w:rFonts w:ascii="Times New Roman" w:hAnsi="Times New Roman" w:cs="Times New Roman"/>
          <w:sz w:val="24"/>
          <w:szCs w:val="24"/>
        </w:rPr>
        <w:t>.</w:t>
      </w:r>
      <w:r w:rsidRPr="00C92735">
        <w:rPr>
          <w:rFonts w:ascii="Times New Roman" w:hAnsi="Times New Roman" w:cs="Times New Roman"/>
          <w:sz w:val="24"/>
          <w:szCs w:val="24"/>
        </w:rPr>
        <w:t xml:space="preserve"> </w:t>
      </w:r>
    </w:p>
    <w:p w:rsidR="00B2134B" w:rsidRDefault="00B2134B" w14:paraId="2F10ADDB" w14:textId="77777777">
      <w:pPr>
        <w:pStyle w:val="ListParagraph"/>
        <w:keepNext/>
        <w:keepLines/>
        <w:ind w:left="0"/>
        <w:rPr>
          <w:b/>
        </w:rPr>
      </w:pPr>
    </w:p>
    <w:p w:rsidR="007E4AF9" w:rsidP="00DE3EA9" w:rsidRDefault="007E4AF9" w14:paraId="31763E74" w14:textId="6E6A9E7B">
      <w:pPr>
        <w:pStyle w:val="ListParagraph"/>
        <w:ind w:left="0"/>
      </w:pPr>
      <w:r w:rsidRPr="00C36166">
        <w:rPr>
          <w:b/>
        </w:rPr>
        <w:t>Data Retrieval</w:t>
      </w:r>
      <w:r w:rsidRPr="0079398A">
        <w:t xml:space="preserve">. </w:t>
      </w:r>
      <w:r w:rsidR="008B2023">
        <w:t xml:space="preserve">When errors due to missing or inconsistent data elements are found during data review and editing, attempts to verify or collect the correct information with the respondent will occur. </w:t>
      </w:r>
      <w:r w:rsidRPr="0079398A">
        <w:t>When it is determined that additional data retrieval is needed, a</w:t>
      </w:r>
      <w:r>
        <w:t>n Agency Liaison (AL)</w:t>
      </w:r>
      <w:r w:rsidRPr="0079398A">
        <w:t xml:space="preserve"> will contact the </w:t>
      </w:r>
      <w:r>
        <w:t xml:space="preserve">respondent </w:t>
      </w:r>
      <w:r w:rsidRPr="0079398A">
        <w:t xml:space="preserve">for clarification. Throughout the data retrieval process, </w:t>
      </w:r>
      <w:r>
        <w:t xml:space="preserve">RTI </w:t>
      </w:r>
      <w:r w:rsidRPr="0079398A">
        <w:t xml:space="preserve">will document the questions needing retrieval (e.g. missing or inconsistent data elements), request clarification on the provided information, obtain values for missing data elements, and examine any other issues related to the respondent’s submission. </w:t>
      </w:r>
      <w:r w:rsidRPr="00F35E5D" w:rsidR="00F35E5D">
        <w:t xml:space="preserve"> </w:t>
      </w:r>
      <w:r w:rsidRPr="0079398A" w:rsidR="00F35E5D">
        <w:t>Any issues will be investigated and resolved</w:t>
      </w:r>
      <w:r w:rsidR="00F35E5D">
        <w:t xml:space="preserve"> within two weeks</w:t>
      </w:r>
      <w:r w:rsidRPr="0079398A" w:rsidR="00F35E5D">
        <w:t>.</w:t>
      </w:r>
    </w:p>
    <w:p w:rsidR="007E4AF9" w:rsidP="00DE3EA9" w:rsidRDefault="007E4AF9" w14:paraId="560551ED" w14:textId="3AA6B5DC">
      <w:pPr>
        <w:pStyle w:val="ListParagraph"/>
        <w:ind w:left="0"/>
      </w:pPr>
      <w:r w:rsidRPr="00C36166">
        <w:rPr>
          <w:b/>
        </w:rPr>
        <w:lastRenderedPageBreak/>
        <w:t>Data Quality Review</w:t>
      </w:r>
      <w:r w:rsidRPr="0079398A">
        <w:t xml:space="preserve">. </w:t>
      </w:r>
      <w:r>
        <w:t xml:space="preserve">RTI </w:t>
      </w:r>
      <w:r w:rsidRPr="0079398A">
        <w:t xml:space="preserve">staff will conduct regular data </w:t>
      </w:r>
      <w:r>
        <w:t xml:space="preserve">quality </w:t>
      </w:r>
      <w:r w:rsidRPr="0079398A">
        <w:t xml:space="preserve">reviews to evaluate the quality and completeness of data captured in both the web </w:t>
      </w:r>
      <w:r>
        <w:t xml:space="preserve">and paper copy </w:t>
      </w:r>
      <w:r w:rsidRPr="0079398A">
        <w:t>modes.</w:t>
      </w:r>
      <w:r>
        <w:t xml:space="preserve"> </w:t>
      </w:r>
      <w:r w:rsidRPr="0079398A">
        <w:t xml:space="preserve">To confirm that editing rules are being followed, </w:t>
      </w:r>
      <w:r>
        <w:t xml:space="preserve">RTI </w:t>
      </w:r>
      <w:r w:rsidRPr="0079398A">
        <w:t xml:space="preserve">will review frequencies for the entered data </w:t>
      </w:r>
      <w:r>
        <w:t>within one week of submission</w:t>
      </w:r>
      <w:r w:rsidRPr="0079398A">
        <w:t>. Any issues will be investigated and resolved</w:t>
      </w:r>
      <w:r>
        <w:t xml:space="preserve"> within </w:t>
      </w:r>
      <w:r w:rsidR="00531975">
        <w:t xml:space="preserve">two </w:t>
      </w:r>
      <w:r>
        <w:t>weeks</w:t>
      </w:r>
      <w:r w:rsidRPr="0079398A">
        <w:t xml:space="preserve">. </w:t>
      </w:r>
      <w:r w:rsidR="00AF3B83">
        <w:t xml:space="preserve">RTI will provide </w:t>
      </w:r>
      <w:r w:rsidR="0045731C">
        <w:t xml:space="preserve">BJS with </w:t>
      </w:r>
      <w:r w:rsidR="00AF3B83">
        <w:t>data quality updates as part of their weekly data collection status reports and include a summary in the final program report to be delivered to BJS</w:t>
      </w:r>
      <w:r w:rsidR="0045731C">
        <w:t xml:space="preserve"> once the dataset is cleaned and verified.</w:t>
      </w:r>
      <w:r w:rsidR="00AF3B83">
        <w:t xml:space="preserve"> </w:t>
      </w:r>
    </w:p>
    <w:p w:rsidRPr="00C408AE" w:rsidR="007E4AF9" w:rsidP="009968C6" w:rsidRDefault="007E4AF9" w14:paraId="0172F038" w14:textId="0C02297A">
      <w:pPr>
        <w:keepNext/>
        <w:keepLines/>
        <w:spacing w:after="0"/>
        <w:rPr>
          <w:rFonts w:ascii="Times New Roman" w:hAnsi="Times New Roman" w:cs="Times New Roman"/>
          <w:sz w:val="24"/>
          <w:szCs w:val="24"/>
        </w:rPr>
      </w:pPr>
    </w:p>
    <w:p w:rsidRPr="004A0444" w:rsidR="006E060D" w:rsidP="00C36166" w:rsidRDefault="006E060D" w14:paraId="3D5D21FB" w14:textId="77777777">
      <w:pPr>
        <w:pStyle w:val="ListParagraph"/>
        <w:numPr>
          <w:ilvl w:val="0"/>
          <w:numId w:val="7"/>
        </w:numPr>
        <w:ind w:left="403"/>
        <w:rPr>
          <w:b/>
          <w:u w:val="single"/>
        </w:rPr>
      </w:pPr>
      <w:r w:rsidRPr="004A0444">
        <w:rPr>
          <w:b/>
          <w:u w:val="single"/>
        </w:rPr>
        <w:t>Methods to Maximize Response Rates</w:t>
      </w:r>
    </w:p>
    <w:p w:rsidRPr="009561F8" w:rsidR="006E060D" w:rsidP="006E060D" w:rsidRDefault="006E060D" w14:paraId="38ED7B67" w14:textId="77777777">
      <w:pPr>
        <w:spacing w:after="0"/>
        <w:rPr>
          <w:highlight w:val="yellow"/>
        </w:rPr>
      </w:pPr>
    </w:p>
    <w:p w:rsidRPr="006E060D" w:rsidR="006E060D" w:rsidP="00C36166" w:rsidRDefault="00531975" w14:paraId="09A3FF14" w14:textId="70DBE113">
      <w:pPr>
        <w:spacing w:line="240" w:lineRule="auto"/>
        <w:rPr>
          <w:rFonts w:ascii="Times New Roman" w:hAnsi="Times New Roman" w:cs="Times New Roman"/>
          <w:sz w:val="24"/>
          <w:szCs w:val="24"/>
        </w:rPr>
      </w:pPr>
      <w:r>
        <w:rPr>
          <w:rFonts w:ascii="Times New Roman" w:hAnsi="Times New Roman" w:cs="Times New Roman"/>
          <w:sz w:val="24"/>
          <w:szCs w:val="24"/>
        </w:rPr>
        <w:t xml:space="preserve">The 2011 SCLEA achieved a response rate of 90% amongst the core agencies and the 2018 CSLLEA had a response rate of approximately 96% from campus agencies. </w:t>
      </w:r>
      <w:r w:rsidRPr="006E060D" w:rsidR="006E060D">
        <w:rPr>
          <w:rFonts w:ascii="Times New Roman" w:hAnsi="Times New Roman" w:cs="Times New Roman"/>
          <w:sz w:val="24"/>
          <w:szCs w:val="24"/>
        </w:rPr>
        <w:t xml:space="preserve">BJS and RTI will undertake various activities to ensure that high response rates are achieved for </w:t>
      </w:r>
      <w:r w:rsidR="004C1D6B">
        <w:rPr>
          <w:rFonts w:ascii="Times New Roman" w:hAnsi="Times New Roman" w:cs="Times New Roman"/>
          <w:sz w:val="24"/>
          <w:szCs w:val="24"/>
        </w:rPr>
        <w:t xml:space="preserve">the 2021 </w:t>
      </w:r>
      <w:r w:rsidR="00797103">
        <w:rPr>
          <w:rFonts w:ascii="Times New Roman" w:hAnsi="Times New Roman" w:cs="Times New Roman"/>
          <w:sz w:val="24"/>
          <w:szCs w:val="24"/>
        </w:rPr>
        <w:t>SCLEA</w:t>
      </w:r>
      <w:r w:rsidRPr="006E060D" w:rsidR="006E060D">
        <w:rPr>
          <w:rFonts w:ascii="Times New Roman" w:hAnsi="Times New Roman" w:cs="Times New Roman"/>
          <w:sz w:val="24"/>
          <w:szCs w:val="24"/>
        </w:rPr>
        <w:t xml:space="preserve">. </w:t>
      </w:r>
    </w:p>
    <w:p w:rsidRPr="009561F8" w:rsidR="006E060D" w:rsidP="00C36166" w:rsidRDefault="004C1D6B" w14:paraId="2C20D6BF" w14:textId="1DBED973">
      <w:pPr>
        <w:spacing w:line="240" w:lineRule="auto"/>
      </w:pPr>
      <w:r>
        <w:rPr>
          <w:rFonts w:ascii="Times New Roman" w:hAnsi="Times New Roman" w:cs="Times New Roman"/>
          <w:sz w:val="24"/>
          <w:szCs w:val="24"/>
        </w:rPr>
        <w:t>T</w:t>
      </w:r>
      <w:r w:rsidRPr="006E060D" w:rsidR="006E060D">
        <w:rPr>
          <w:rFonts w:ascii="Times New Roman" w:hAnsi="Times New Roman" w:cs="Times New Roman"/>
          <w:sz w:val="24"/>
          <w:szCs w:val="24"/>
        </w:rPr>
        <w:t xml:space="preserve">he </w:t>
      </w:r>
      <w:r w:rsidR="00797103">
        <w:rPr>
          <w:rFonts w:ascii="Times New Roman" w:hAnsi="Times New Roman" w:cs="Times New Roman"/>
          <w:sz w:val="24"/>
          <w:szCs w:val="24"/>
        </w:rPr>
        <w:t>SCLEA</w:t>
      </w:r>
      <w:r w:rsidRPr="006E060D" w:rsidR="006E060D">
        <w:rPr>
          <w:rFonts w:ascii="Times New Roman" w:hAnsi="Times New Roman" w:cs="Times New Roman"/>
          <w:sz w:val="24"/>
          <w:szCs w:val="24"/>
        </w:rPr>
        <w:t xml:space="preserve"> survey instrument</w:t>
      </w:r>
      <w:r w:rsidR="00797103">
        <w:rPr>
          <w:rFonts w:ascii="Times New Roman" w:hAnsi="Times New Roman" w:cs="Times New Roman"/>
          <w:sz w:val="24"/>
          <w:szCs w:val="24"/>
        </w:rPr>
        <w:t xml:space="preserve"> was</w:t>
      </w:r>
      <w:r w:rsidRPr="006E060D" w:rsidR="006E060D">
        <w:rPr>
          <w:rFonts w:ascii="Times New Roman" w:hAnsi="Times New Roman" w:cs="Times New Roman"/>
          <w:sz w:val="24"/>
          <w:szCs w:val="24"/>
        </w:rPr>
        <w:t xml:space="preserve"> reviewed to ensure the collection of the most pertinent information, removing any unnecessary questions to reduce burden. </w:t>
      </w:r>
      <w:r w:rsidR="00531975">
        <w:rPr>
          <w:rFonts w:ascii="Times New Roman" w:hAnsi="Times New Roman" w:cs="Times New Roman"/>
          <w:sz w:val="24"/>
          <w:szCs w:val="24"/>
        </w:rPr>
        <w:t xml:space="preserve">BJS convened an expert panel to provide feedback on the 2011 questionnaire, noting items that were no longer relevant and identifying new topics of interest. </w:t>
      </w:r>
      <w:r w:rsidRPr="006E060D" w:rsidR="006E060D">
        <w:rPr>
          <w:rFonts w:ascii="Times New Roman" w:hAnsi="Times New Roman" w:cs="Times New Roman"/>
          <w:sz w:val="24"/>
          <w:szCs w:val="24"/>
        </w:rPr>
        <w:t>The questionnaires were also reviewed by BJS and RTI staff for ease of use, flow, and compliance with questionnaire design best practices to ensure ease of administration.</w:t>
      </w:r>
      <w:r w:rsidR="00360A19">
        <w:rPr>
          <w:rFonts w:ascii="Times New Roman" w:hAnsi="Times New Roman" w:cs="Times New Roman"/>
          <w:sz w:val="24"/>
          <w:szCs w:val="24"/>
        </w:rPr>
        <w:t xml:space="preserve"> </w:t>
      </w:r>
      <w:r w:rsidR="00797103">
        <w:rPr>
          <w:rFonts w:ascii="Times New Roman" w:hAnsi="Times New Roman" w:cs="Times New Roman"/>
          <w:sz w:val="24"/>
          <w:szCs w:val="24"/>
        </w:rPr>
        <w:t xml:space="preserve">In addition, </w:t>
      </w:r>
      <w:r w:rsidR="00531975">
        <w:rPr>
          <w:rFonts w:ascii="Times New Roman" w:hAnsi="Times New Roman" w:cs="Times New Roman"/>
          <w:sz w:val="24"/>
          <w:szCs w:val="24"/>
        </w:rPr>
        <w:t>c</w:t>
      </w:r>
      <w:r w:rsidR="00360A19">
        <w:rPr>
          <w:rFonts w:ascii="Times New Roman" w:hAnsi="Times New Roman" w:cs="Times New Roman"/>
          <w:sz w:val="24"/>
          <w:szCs w:val="24"/>
        </w:rPr>
        <w:t xml:space="preserve">ognitive interviews were conducted on </w:t>
      </w:r>
      <w:r w:rsidR="00797103">
        <w:rPr>
          <w:rFonts w:ascii="Times New Roman" w:hAnsi="Times New Roman" w:cs="Times New Roman"/>
          <w:sz w:val="24"/>
          <w:szCs w:val="24"/>
        </w:rPr>
        <w:t xml:space="preserve">the SCLEA survey. </w:t>
      </w:r>
      <w:r w:rsidR="00360A19">
        <w:rPr>
          <w:rFonts w:ascii="Times New Roman" w:hAnsi="Times New Roman" w:cs="Times New Roman"/>
          <w:sz w:val="24"/>
          <w:szCs w:val="24"/>
        </w:rPr>
        <w:t xml:space="preserve">More details are included in </w:t>
      </w:r>
      <w:r w:rsidR="00EA163F">
        <w:rPr>
          <w:rFonts w:ascii="Times New Roman" w:hAnsi="Times New Roman" w:cs="Times New Roman"/>
          <w:sz w:val="24"/>
          <w:szCs w:val="24"/>
        </w:rPr>
        <w:t>B.</w:t>
      </w:r>
      <w:r w:rsidR="00360A19">
        <w:rPr>
          <w:rFonts w:ascii="Times New Roman" w:hAnsi="Times New Roman" w:cs="Times New Roman"/>
          <w:sz w:val="24"/>
          <w:szCs w:val="24"/>
        </w:rPr>
        <w:t>4</w:t>
      </w:r>
      <w:r w:rsidR="00EA163F">
        <w:rPr>
          <w:rFonts w:ascii="Times New Roman" w:hAnsi="Times New Roman" w:cs="Times New Roman"/>
          <w:sz w:val="24"/>
          <w:szCs w:val="24"/>
        </w:rPr>
        <w:t>,</w:t>
      </w:r>
      <w:r w:rsidR="00360A19">
        <w:rPr>
          <w:rFonts w:ascii="Times New Roman" w:hAnsi="Times New Roman" w:cs="Times New Roman"/>
          <w:sz w:val="24"/>
          <w:szCs w:val="24"/>
        </w:rPr>
        <w:t xml:space="preserve"> Testing of Procedures.</w:t>
      </w:r>
      <w:r w:rsidRPr="006E060D" w:rsidR="006E060D">
        <w:rPr>
          <w:rFonts w:ascii="Times New Roman" w:hAnsi="Times New Roman" w:cs="Times New Roman"/>
          <w:sz w:val="24"/>
          <w:szCs w:val="24"/>
        </w:rPr>
        <w:t xml:space="preserve"> </w:t>
      </w:r>
    </w:p>
    <w:p w:rsidRPr="006E060D" w:rsidR="006E060D" w:rsidP="00C36166" w:rsidRDefault="00531975" w14:paraId="02DB2758" w14:textId="3E5684F3">
      <w:pPr>
        <w:spacing w:line="240" w:lineRule="auto"/>
        <w:rPr>
          <w:rFonts w:ascii="Times New Roman" w:hAnsi="Times New Roman" w:cs="Times New Roman"/>
          <w:sz w:val="24"/>
          <w:szCs w:val="24"/>
        </w:rPr>
      </w:pPr>
      <w:r>
        <w:rPr>
          <w:rFonts w:ascii="Times New Roman" w:hAnsi="Times New Roman" w:cs="Times New Roman"/>
          <w:sz w:val="24"/>
          <w:szCs w:val="24"/>
        </w:rPr>
        <w:t>BJS will use a</w:t>
      </w:r>
      <w:r w:rsidRPr="006E060D" w:rsidR="006E060D">
        <w:rPr>
          <w:rFonts w:ascii="Times New Roman" w:hAnsi="Times New Roman" w:cs="Times New Roman"/>
          <w:sz w:val="24"/>
          <w:szCs w:val="24"/>
        </w:rPr>
        <w:t xml:space="preserve"> web-based instrument supported by several online help functions to maximize</w:t>
      </w:r>
      <w:r w:rsidR="00797103">
        <w:rPr>
          <w:rFonts w:ascii="Times New Roman" w:hAnsi="Times New Roman" w:cs="Times New Roman"/>
          <w:sz w:val="24"/>
          <w:szCs w:val="24"/>
        </w:rPr>
        <w:t xml:space="preserve"> the</w:t>
      </w:r>
      <w:r w:rsidRPr="006E060D" w:rsidR="006E060D">
        <w:rPr>
          <w:rFonts w:ascii="Times New Roman" w:hAnsi="Times New Roman" w:cs="Times New Roman"/>
          <w:sz w:val="24"/>
          <w:szCs w:val="24"/>
        </w:rPr>
        <w:t xml:space="preserve"> response rate. </w:t>
      </w:r>
      <w:r w:rsidR="009D1629">
        <w:rPr>
          <w:rFonts w:ascii="Times New Roman" w:hAnsi="Times New Roman" w:cs="Times New Roman"/>
          <w:sz w:val="24"/>
          <w:szCs w:val="24"/>
        </w:rPr>
        <w:t>The</w:t>
      </w:r>
      <w:r w:rsidRPr="006E060D" w:rsidR="006E060D">
        <w:rPr>
          <w:rFonts w:ascii="Times New Roman" w:hAnsi="Times New Roman" w:cs="Times New Roman"/>
          <w:sz w:val="24"/>
          <w:szCs w:val="24"/>
        </w:rPr>
        <w:t xml:space="preserve"> web survey interface</w:t>
      </w:r>
      <w:r w:rsidR="00797103">
        <w:rPr>
          <w:rFonts w:ascii="Times New Roman" w:hAnsi="Times New Roman" w:cs="Times New Roman"/>
          <w:sz w:val="24"/>
          <w:szCs w:val="24"/>
        </w:rPr>
        <w:t xml:space="preserve"> is </w:t>
      </w:r>
      <w:r w:rsidRPr="006E060D" w:rsidR="006E060D">
        <w:rPr>
          <w:rFonts w:ascii="Times New Roman" w:hAnsi="Times New Roman" w:cs="Times New Roman"/>
          <w:sz w:val="24"/>
          <w:szCs w:val="24"/>
        </w:rPr>
        <w:t xml:space="preserve">user-friendly, which encourages response and ensures more accurate responses. Because online submission is such an important response method, close attention will be paid to the formatting of the web survey instrument. The online application will be flexible so it can adapt to meet the needs of multiple device types (e.g., desktop computer, tablet, and phone), browser types (e.g., </w:t>
      </w:r>
      <w:r w:rsidR="001B266D">
        <w:rPr>
          <w:rFonts w:ascii="Times New Roman" w:hAnsi="Times New Roman" w:cs="Times New Roman"/>
          <w:sz w:val="24"/>
          <w:szCs w:val="24"/>
        </w:rPr>
        <w:t>Microsoft Edge</w:t>
      </w:r>
      <w:r w:rsidRPr="006E060D" w:rsidR="006E060D">
        <w:rPr>
          <w:rFonts w:ascii="Times New Roman" w:hAnsi="Times New Roman" w:cs="Times New Roman"/>
          <w:sz w:val="24"/>
          <w:szCs w:val="24"/>
        </w:rPr>
        <w:t xml:space="preserve"> and Google Chrome), and screen sizes. Other features of the web instrument will include the following:</w:t>
      </w:r>
    </w:p>
    <w:p w:rsidRPr="00B6021B" w:rsidR="006E060D" w:rsidP="006E060D" w:rsidRDefault="006E060D" w14:paraId="2C811929" w14:textId="77777777">
      <w:pPr>
        <w:pStyle w:val="ListParagraph"/>
        <w:keepNext/>
        <w:keepLines/>
        <w:numPr>
          <w:ilvl w:val="0"/>
          <w:numId w:val="6"/>
        </w:numPr>
      </w:pPr>
      <w:r w:rsidRPr="00B6021B">
        <w:t>Respondents’ answers will be saved automatically, and they will have the option to leave the survey partway through and return later to finish.</w:t>
      </w:r>
    </w:p>
    <w:p w:rsidR="006E060D" w:rsidP="006E060D" w:rsidRDefault="006E060D" w14:paraId="6FAF0A98" w14:textId="6FCDF446">
      <w:pPr>
        <w:pStyle w:val="ListParagraph"/>
        <w:keepNext/>
        <w:keepLines/>
        <w:numPr>
          <w:ilvl w:val="0"/>
          <w:numId w:val="6"/>
        </w:numPr>
      </w:pPr>
      <w:r w:rsidRPr="00B6021B">
        <w:t xml:space="preserve">The online instrument will be programmed with data consistency checks and automatic prompts to ensure inter-item consistency and reduce the likelihood of “don’t know” and out-of-range responses, thereby eliminating the need for follow-up with the respondent after survey submission. </w:t>
      </w:r>
      <w:r w:rsidR="00D1109E">
        <w:t>For example, the total number of full-time sworn officers by race or ethnicity and sex in question 6 will be checked against the total number of full-time sworn officers reported in question 5.</w:t>
      </w:r>
    </w:p>
    <w:p w:rsidRPr="00B6021B" w:rsidR="006E060D" w:rsidP="006E060D" w:rsidRDefault="006E060D" w14:paraId="29364BC0" w14:textId="77777777">
      <w:pPr>
        <w:pStyle w:val="ListParagraph"/>
        <w:keepNext/>
        <w:keepLines/>
        <w:numPr>
          <w:ilvl w:val="0"/>
          <w:numId w:val="6"/>
        </w:numPr>
      </w:pPr>
      <w:r>
        <w:t>The online instrument will also have a version of the survey that respondents can print out and mail back.</w:t>
      </w:r>
    </w:p>
    <w:p w:rsidR="0071153A" w:rsidP="006E060D" w:rsidRDefault="0071153A" w14:paraId="5E0C4995" w14:textId="77777777">
      <w:pPr>
        <w:spacing w:after="0"/>
      </w:pPr>
    </w:p>
    <w:p w:rsidR="0000500B" w:rsidP="00C36166" w:rsidRDefault="006E060D" w14:paraId="5D8E9183" w14:textId="65CD29CE">
      <w:pPr>
        <w:spacing w:line="240" w:lineRule="auto"/>
        <w:rPr>
          <w:rFonts w:ascii="Times New Roman" w:hAnsi="Times New Roman" w:cs="Times New Roman"/>
          <w:sz w:val="24"/>
          <w:szCs w:val="24"/>
        </w:rPr>
      </w:pPr>
      <w:r w:rsidRPr="006E060D">
        <w:rPr>
          <w:rFonts w:ascii="Times New Roman" w:hAnsi="Times New Roman" w:cs="Times New Roman"/>
          <w:sz w:val="24"/>
          <w:szCs w:val="24"/>
        </w:rPr>
        <w:t>At all stages of the survey, a Help Desk will be available to provide both substantive and technical assistance. BJS will supply the Help Desk with answers to frequently asked questions and guidance on additional questions that may arise.</w:t>
      </w:r>
    </w:p>
    <w:p w:rsidRPr="002C069E" w:rsidR="0000500B" w:rsidP="00E85FEA" w:rsidRDefault="0000500B" w14:paraId="6449CAE4" w14:textId="0AC9B98D">
      <w:pPr>
        <w:keepNext/>
        <w:keepLines/>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In the case that agencies may prefer to complete a paper survey, </w:t>
      </w:r>
      <w:r w:rsidRPr="00DC6B80">
        <w:rPr>
          <w:rFonts w:ascii="Times New Roman" w:hAnsi="Times New Roman" w:eastAsia="Times New Roman" w:cs="Times New Roman"/>
          <w:sz w:val="24"/>
          <w:szCs w:val="24"/>
        </w:rPr>
        <w:t>a hard copy</w:t>
      </w:r>
      <w:r>
        <w:rPr>
          <w:rFonts w:ascii="Times New Roman" w:hAnsi="Times New Roman" w:eastAsia="Times New Roman" w:cs="Times New Roman"/>
          <w:sz w:val="24"/>
          <w:szCs w:val="24"/>
        </w:rPr>
        <w:t xml:space="preserve"> of the SCLEA questionnaire</w:t>
      </w:r>
      <w:r w:rsidRPr="00DC6B80">
        <w:rPr>
          <w:rFonts w:ascii="Times New Roman" w:hAnsi="Times New Roman" w:eastAsia="Times New Roman" w:cs="Times New Roman"/>
          <w:sz w:val="24"/>
          <w:szCs w:val="24"/>
        </w:rPr>
        <w:t xml:space="preserve"> will be sent to </w:t>
      </w:r>
      <w:proofErr w:type="spellStart"/>
      <w:r w:rsidRPr="00DC6B80">
        <w:rPr>
          <w:rFonts w:ascii="Times New Roman" w:hAnsi="Times New Roman" w:eastAsia="Times New Roman" w:cs="Times New Roman"/>
          <w:sz w:val="24"/>
          <w:szCs w:val="24"/>
        </w:rPr>
        <w:t>nonrespondents</w:t>
      </w:r>
      <w:proofErr w:type="spellEnd"/>
      <w:r w:rsidRPr="00DC6B80">
        <w:rPr>
          <w:rFonts w:ascii="Times New Roman" w:hAnsi="Times New Roman" w:eastAsia="Times New Roman" w:cs="Times New Roman"/>
          <w:sz w:val="24"/>
          <w:szCs w:val="24"/>
        </w:rPr>
        <w:t xml:space="preserve"> several weeks into the survey period.</w:t>
      </w:r>
      <w:r>
        <w:rPr>
          <w:rFonts w:ascii="Times New Roman" w:hAnsi="Times New Roman" w:eastAsia="Times New Roman" w:cs="Times New Roman"/>
          <w:sz w:val="24"/>
          <w:szCs w:val="24"/>
        </w:rPr>
        <w:t xml:space="preserve"> Additionally, an agency may contact the Help Desk at any time to request that a hard copy be mailed to them.</w:t>
      </w:r>
    </w:p>
    <w:p w:rsidR="00E85FEA" w:rsidP="00E85FEA" w:rsidRDefault="00E85FEA" w14:paraId="782075BF" w14:textId="77777777">
      <w:pPr>
        <w:spacing w:after="0" w:line="240" w:lineRule="auto"/>
        <w:rPr>
          <w:rFonts w:ascii="Times New Roman" w:hAnsi="Times New Roman" w:cs="Times New Roman"/>
          <w:sz w:val="24"/>
          <w:szCs w:val="24"/>
        </w:rPr>
      </w:pPr>
    </w:p>
    <w:p w:rsidR="006E060D" w:rsidP="00E85FEA" w:rsidRDefault="00640595" w14:paraId="16003669" w14:textId="6E16B4BC">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Pr="0000500B" w:rsidR="006E060D">
        <w:rPr>
          <w:rFonts w:ascii="Times New Roman" w:hAnsi="Times New Roman" w:cs="Times New Roman"/>
          <w:sz w:val="24"/>
          <w:szCs w:val="24"/>
        </w:rPr>
        <w:t>ulti-stage</w:t>
      </w:r>
      <w:r w:rsidRPr="006E060D" w:rsidR="006E060D">
        <w:rPr>
          <w:rFonts w:ascii="Times New Roman" w:hAnsi="Times New Roman" w:cs="Times New Roman"/>
          <w:sz w:val="24"/>
          <w:szCs w:val="24"/>
        </w:rPr>
        <w:t xml:space="preserve"> survey administration and follow-up procedures have been incorporated into BJS’s response plans to obtain higher response rates and to ensure unbiased estimates. Ensuring adequate response (not just unit/agency response rates, but also item responses) begins with introducing </w:t>
      </w:r>
      <w:r w:rsidR="00797103">
        <w:rPr>
          <w:rFonts w:ascii="Times New Roman" w:hAnsi="Times New Roman" w:cs="Times New Roman"/>
          <w:sz w:val="24"/>
          <w:szCs w:val="24"/>
        </w:rPr>
        <w:t xml:space="preserve">campus </w:t>
      </w:r>
      <w:r w:rsidRPr="006E060D" w:rsidR="006E060D">
        <w:rPr>
          <w:rFonts w:ascii="Times New Roman" w:hAnsi="Times New Roman" w:cs="Times New Roman"/>
          <w:sz w:val="24"/>
          <w:szCs w:val="24"/>
        </w:rPr>
        <w:t xml:space="preserve">LEA POCs </w:t>
      </w:r>
      <w:r w:rsidR="00CF3B89">
        <w:rPr>
          <w:rFonts w:ascii="Times New Roman" w:hAnsi="Times New Roman" w:cs="Times New Roman"/>
          <w:sz w:val="24"/>
          <w:szCs w:val="24"/>
        </w:rPr>
        <w:t xml:space="preserve">to </w:t>
      </w:r>
      <w:r w:rsidR="00797103">
        <w:rPr>
          <w:rFonts w:ascii="Times New Roman" w:hAnsi="Times New Roman" w:cs="Times New Roman"/>
          <w:sz w:val="24"/>
          <w:szCs w:val="24"/>
        </w:rPr>
        <w:t>SCLEA</w:t>
      </w:r>
      <w:r w:rsidRPr="006E060D" w:rsidR="006E060D">
        <w:rPr>
          <w:rFonts w:ascii="Times New Roman" w:hAnsi="Times New Roman" w:cs="Times New Roman"/>
          <w:sz w:val="24"/>
          <w:szCs w:val="24"/>
        </w:rPr>
        <w:t xml:space="preserve">. This will be accomplished </w:t>
      </w:r>
      <w:r w:rsidR="0000500B">
        <w:rPr>
          <w:rFonts w:ascii="Times New Roman" w:hAnsi="Times New Roman" w:cs="Times New Roman"/>
          <w:sz w:val="24"/>
          <w:szCs w:val="24"/>
        </w:rPr>
        <w:t xml:space="preserve">initially </w:t>
      </w:r>
      <w:r w:rsidRPr="006E060D" w:rsidR="006E060D">
        <w:rPr>
          <w:rFonts w:ascii="Times New Roman" w:hAnsi="Times New Roman" w:cs="Times New Roman"/>
          <w:sz w:val="24"/>
          <w:szCs w:val="24"/>
        </w:rPr>
        <w:t xml:space="preserve">through the </w:t>
      </w:r>
      <w:r w:rsidR="00797103">
        <w:rPr>
          <w:rFonts w:ascii="Times New Roman" w:hAnsi="Times New Roman" w:cs="Times New Roman"/>
          <w:sz w:val="24"/>
          <w:szCs w:val="24"/>
        </w:rPr>
        <w:t>SCLEA</w:t>
      </w:r>
      <w:r w:rsidRPr="006E060D" w:rsidR="006E060D">
        <w:rPr>
          <w:rFonts w:ascii="Times New Roman" w:hAnsi="Times New Roman" w:cs="Times New Roman"/>
          <w:sz w:val="24"/>
          <w:szCs w:val="24"/>
        </w:rPr>
        <w:t xml:space="preserve"> </w:t>
      </w:r>
      <w:r w:rsidR="0000500B">
        <w:rPr>
          <w:rFonts w:ascii="Times New Roman" w:hAnsi="Times New Roman" w:cs="Times New Roman"/>
          <w:sz w:val="24"/>
          <w:szCs w:val="24"/>
        </w:rPr>
        <w:t xml:space="preserve">pre-notification letter, followed by the </w:t>
      </w:r>
      <w:r w:rsidRPr="006E060D" w:rsidR="006E060D">
        <w:rPr>
          <w:rFonts w:ascii="Times New Roman" w:hAnsi="Times New Roman" w:cs="Times New Roman"/>
          <w:sz w:val="24"/>
          <w:szCs w:val="24"/>
        </w:rPr>
        <w:t>invitation package,</w:t>
      </w:r>
      <w:r w:rsidR="0000500B">
        <w:rPr>
          <w:rFonts w:ascii="Times New Roman" w:hAnsi="Times New Roman" w:cs="Times New Roman"/>
          <w:sz w:val="24"/>
          <w:szCs w:val="24"/>
        </w:rPr>
        <w:t xml:space="preserve"> which will include a flyer describing the importance of the data collection and a letter of support from IACLEA.</w:t>
      </w:r>
      <w:r w:rsidRPr="006E060D" w:rsidR="006E060D">
        <w:rPr>
          <w:rFonts w:ascii="Times New Roman" w:hAnsi="Times New Roman" w:cs="Times New Roman"/>
          <w:sz w:val="24"/>
          <w:szCs w:val="24"/>
        </w:rPr>
        <w:t xml:space="preserve"> </w:t>
      </w:r>
      <w:r w:rsidR="0000500B">
        <w:rPr>
          <w:rFonts w:ascii="Times New Roman" w:hAnsi="Times New Roman" w:cs="Times New Roman"/>
          <w:sz w:val="24"/>
          <w:szCs w:val="24"/>
        </w:rPr>
        <w:t xml:space="preserve">These introductory mailings will be followed by various </w:t>
      </w:r>
      <w:r w:rsidRPr="006E060D" w:rsidR="006E060D">
        <w:rPr>
          <w:rFonts w:ascii="Times New Roman" w:hAnsi="Times New Roman" w:cs="Times New Roman"/>
          <w:sz w:val="24"/>
          <w:szCs w:val="24"/>
        </w:rPr>
        <w:t>reminders</w:t>
      </w:r>
      <w:r w:rsidR="0000500B">
        <w:rPr>
          <w:rFonts w:ascii="Times New Roman" w:hAnsi="Times New Roman" w:cs="Times New Roman"/>
          <w:sz w:val="24"/>
          <w:szCs w:val="24"/>
        </w:rPr>
        <w:t xml:space="preserve"> encouraging agencies to participate</w:t>
      </w:r>
      <w:r w:rsidRPr="006E060D" w:rsidR="006E060D">
        <w:rPr>
          <w:rFonts w:ascii="Times New Roman" w:hAnsi="Times New Roman" w:cs="Times New Roman"/>
          <w:sz w:val="24"/>
          <w:szCs w:val="24"/>
        </w:rPr>
        <w:t xml:space="preserve">. Resources available to help </w:t>
      </w:r>
      <w:r w:rsidR="00797103">
        <w:rPr>
          <w:rFonts w:ascii="Times New Roman" w:hAnsi="Times New Roman" w:cs="Times New Roman"/>
          <w:sz w:val="24"/>
          <w:szCs w:val="24"/>
        </w:rPr>
        <w:t>SCLEA</w:t>
      </w:r>
      <w:r w:rsidRPr="006E060D" w:rsidR="006E060D">
        <w:rPr>
          <w:rFonts w:ascii="Times New Roman" w:hAnsi="Times New Roman" w:cs="Times New Roman"/>
          <w:sz w:val="24"/>
          <w:szCs w:val="24"/>
        </w:rPr>
        <w:t xml:space="preserve"> respondents complete the survey (e.g. telephone- or e-mail-based Help Desk support) will be described in </w:t>
      </w:r>
      <w:r w:rsidR="0000500B">
        <w:rPr>
          <w:rFonts w:ascii="Times New Roman" w:hAnsi="Times New Roman" w:cs="Times New Roman"/>
          <w:sz w:val="24"/>
          <w:szCs w:val="24"/>
        </w:rPr>
        <w:t>each</w:t>
      </w:r>
      <w:r w:rsidRPr="006E060D" w:rsidR="0000500B">
        <w:rPr>
          <w:rFonts w:ascii="Times New Roman" w:hAnsi="Times New Roman" w:cs="Times New Roman"/>
          <w:sz w:val="24"/>
          <w:szCs w:val="24"/>
        </w:rPr>
        <w:t xml:space="preserve"> </w:t>
      </w:r>
      <w:r w:rsidRPr="006E060D" w:rsidR="006E060D">
        <w:rPr>
          <w:rFonts w:ascii="Times New Roman" w:hAnsi="Times New Roman" w:cs="Times New Roman"/>
          <w:sz w:val="24"/>
          <w:szCs w:val="24"/>
        </w:rPr>
        <w:t xml:space="preserve">communication. </w:t>
      </w:r>
    </w:p>
    <w:p w:rsidR="00E85FEA" w:rsidP="00E85FEA" w:rsidRDefault="00E85FEA" w14:paraId="39689639" w14:textId="77777777">
      <w:pPr>
        <w:spacing w:after="0"/>
        <w:rPr>
          <w:rFonts w:ascii="Times New Roman" w:hAnsi="Times New Roman" w:cs="Times New Roman"/>
          <w:sz w:val="24"/>
          <w:szCs w:val="24"/>
          <w:u w:val="single"/>
        </w:rPr>
      </w:pPr>
    </w:p>
    <w:p w:rsidR="00C96103" w:rsidP="00E85FEA" w:rsidRDefault="00C96103" w14:paraId="262F44EC" w14:textId="7C57E95C">
      <w:pPr>
        <w:spacing w:after="0"/>
        <w:rPr>
          <w:rFonts w:ascii="Times New Roman" w:hAnsi="Times New Roman" w:cs="Times New Roman"/>
          <w:sz w:val="24"/>
          <w:szCs w:val="24"/>
          <w:u w:val="single"/>
        </w:rPr>
      </w:pPr>
      <w:r>
        <w:rPr>
          <w:rFonts w:ascii="Times New Roman" w:hAnsi="Times New Roman" w:cs="Times New Roman"/>
          <w:sz w:val="24"/>
          <w:szCs w:val="24"/>
          <w:u w:val="single"/>
        </w:rPr>
        <w:t>Nonresponse Adjustments</w:t>
      </w:r>
    </w:p>
    <w:p w:rsidR="00E85FEA" w:rsidP="00E85FEA" w:rsidRDefault="00E85FEA" w14:paraId="53A07AC3" w14:textId="77777777">
      <w:pPr>
        <w:spacing w:after="0"/>
        <w:rPr>
          <w:rFonts w:ascii="Times New Roman" w:hAnsi="Times New Roman" w:cs="Times New Roman"/>
          <w:sz w:val="24"/>
          <w:szCs w:val="24"/>
        </w:rPr>
      </w:pPr>
    </w:p>
    <w:p w:rsidR="00C96103" w:rsidP="00C36166" w:rsidRDefault="00C96103" w14:paraId="7E73D7A4" w14:textId="6FE5ED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Despite a purposeful design and best efforts to collect </w:t>
      </w:r>
      <w:r w:rsidR="00704120">
        <w:rPr>
          <w:rFonts w:ascii="Times New Roman" w:hAnsi="Times New Roman" w:cs="Times New Roman"/>
          <w:sz w:val="24"/>
          <w:szCs w:val="24"/>
        </w:rPr>
        <w:t xml:space="preserve">complete </w:t>
      </w:r>
      <w:r>
        <w:rPr>
          <w:rFonts w:ascii="Times New Roman" w:hAnsi="Times New Roman" w:cs="Times New Roman"/>
          <w:sz w:val="24"/>
          <w:szCs w:val="24"/>
        </w:rPr>
        <w:t xml:space="preserve">data from all </w:t>
      </w:r>
      <w:r w:rsidR="004A3AAA">
        <w:rPr>
          <w:rFonts w:ascii="Times New Roman" w:hAnsi="Times New Roman" w:cs="Times New Roman"/>
          <w:sz w:val="24"/>
          <w:szCs w:val="24"/>
        </w:rPr>
        <w:t xml:space="preserve">campus </w:t>
      </w:r>
      <w:r>
        <w:rPr>
          <w:rFonts w:ascii="Times New Roman" w:hAnsi="Times New Roman" w:cs="Times New Roman"/>
          <w:sz w:val="24"/>
          <w:szCs w:val="24"/>
        </w:rPr>
        <w:t xml:space="preserve">LEAs, some </w:t>
      </w:r>
      <w:r w:rsidR="004A3AAA">
        <w:rPr>
          <w:rFonts w:ascii="Times New Roman" w:hAnsi="Times New Roman" w:cs="Times New Roman"/>
          <w:sz w:val="24"/>
          <w:szCs w:val="24"/>
        </w:rPr>
        <w:t xml:space="preserve">campus </w:t>
      </w:r>
      <w:r>
        <w:rPr>
          <w:rFonts w:ascii="Times New Roman" w:hAnsi="Times New Roman" w:cs="Times New Roman"/>
          <w:sz w:val="24"/>
          <w:szCs w:val="24"/>
        </w:rPr>
        <w:t xml:space="preserve">LEAs will not </w:t>
      </w:r>
      <w:r w:rsidR="00704120">
        <w:rPr>
          <w:rFonts w:ascii="Times New Roman" w:hAnsi="Times New Roman" w:cs="Times New Roman"/>
          <w:sz w:val="24"/>
          <w:szCs w:val="24"/>
        </w:rPr>
        <w:t xml:space="preserve">respond to </w:t>
      </w:r>
      <w:r>
        <w:rPr>
          <w:rFonts w:ascii="Times New Roman" w:hAnsi="Times New Roman" w:cs="Times New Roman"/>
          <w:sz w:val="24"/>
          <w:szCs w:val="24"/>
        </w:rPr>
        <w:t xml:space="preserve">the </w:t>
      </w:r>
      <w:r w:rsidR="004A3AAA">
        <w:rPr>
          <w:rFonts w:ascii="Times New Roman" w:hAnsi="Times New Roman" w:cs="Times New Roman"/>
          <w:sz w:val="24"/>
          <w:szCs w:val="24"/>
        </w:rPr>
        <w:t>SCLEA</w:t>
      </w:r>
      <w:r>
        <w:rPr>
          <w:rFonts w:ascii="Times New Roman" w:hAnsi="Times New Roman" w:cs="Times New Roman"/>
          <w:sz w:val="24"/>
          <w:szCs w:val="24"/>
        </w:rPr>
        <w:t xml:space="preserve"> survey</w:t>
      </w:r>
      <w:r w:rsidR="00704120">
        <w:rPr>
          <w:rFonts w:ascii="Times New Roman" w:hAnsi="Times New Roman" w:cs="Times New Roman"/>
          <w:sz w:val="24"/>
          <w:szCs w:val="24"/>
        </w:rPr>
        <w:t xml:space="preserve"> request (i.e., unit nonresponse); among those agencies that do respond to the survey, some will not respond to particular questions (i.e., item nonresponse)</w:t>
      </w:r>
      <w:r w:rsidR="004A3AAA">
        <w:rPr>
          <w:rFonts w:ascii="Times New Roman" w:hAnsi="Times New Roman" w:cs="Times New Roman"/>
          <w:sz w:val="24"/>
          <w:szCs w:val="24"/>
        </w:rPr>
        <w:t xml:space="preserve">. </w:t>
      </w:r>
      <w:r>
        <w:rPr>
          <w:rFonts w:ascii="Times New Roman" w:hAnsi="Times New Roman" w:cs="Times New Roman"/>
          <w:sz w:val="24"/>
          <w:szCs w:val="24"/>
        </w:rPr>
        <w:t xml:space="preserve">In order to ensure all agencies in the </w:t>
      </w:r>
      <w:r w:rsidR="004A3AAA">
        <w:rPr>
          <w:rFonts w:ascii="Times New Roman" w:hAnsi="Times New Roman" w:cs="Times New Roman"/>
          <w:sz w:val="24"/>
          <w:szCs w:val="24"/>
        </w:rPr>
        <w:t>SC</w:t>
      </w:r>
      <w:r>
        <w:rPr>
          <w:rFonts w:ascii="Times New Roman" w:hAnsi="Times New Roman" w:cs="Times New Roman"/>
          <w:sz w:val="24"/>
          <w:szCs w:val="24"/>
        </w:rPr>
        <w:t xml:space="preserve">LEA universe (as captured in the </w:t>
      </w:r>
      <w:r w:rsidR="007840A3">
        <w:rPr>
          <w:rFonts w:ascii="Times New Roman" w:hAnsi="Times New Roman" w:cs="Times New Roman"/>
          <w:sz w:val="24"/>
          <w:szCs w:val="24"/>
        </w:rPr>
        <w:t>201</w:t>
      </w:r>
      <w:r w:rsidR="007840A3">
        <w:rPr>
          <w:rFonts w:ascii="Times New Roman" w:hAnsi="Times New Roman" w:cs="Times New Roman"/>
          <w:sz w:val="24"/>
          <w:szCs w:val="24"/>
        </w:rPr>
        <w:t>9</w:t>
      </w:r>
      <w:r w:rsidR="007840A3">
        <w:rPr>
          <w:rFonts w:ascii="Times New Roman" w:hAnsi="Times New Roman" w:cs="Times New Roman"/>
          <w:sz w:val="24"/>
          <w:szCs w:val="24"/>
        </w:rPr>
        <w:t xml:space="preserve"> </w:t>
      </w:r>
      <w:r w:rsidR="004A3AAA">
        <w:rPr>
          <w:rFonts w:ascii="Times New Roman" w:hAnsi="Times New Roman" w:cs="Times New Roman"/>
          <w:sz w:val="24"/>
          <w:szCs w:val="24"/>
        </w:rPr>
        <w:t>IPEDS</w:t>
      </w:r>
      <w:r w:rsidR="00640595">
        <w:rPr>
          <w:rFonts w:ascii="Times New Roman" w:hAnsi="Times New Roman" w:cs="Times New Roman"/>
          <w:sz w:val="24"/>
          <w:szCs w:val="24"/>
        </w:rPr>
        <w:t xml:space="preserve"> and </w:t>
      </w:r>
      <w:r w:rsidR="00516FAF">
        <w:rPr>
          <w:rFonts w:ascii="Times New Roman" w:hAnsi="Times New Roman" w:cs="Times New Roman"/>
          <w:sz w:val="24"/>
          <w:szCs w:val="24"/>
        </w:rPr>
        <w:t xml:space="preserve">2018 </w:t>
      </w:r>
      <w:r w:rsidR="00640595">
        <w:rPr>
          <w:rFonts w:ascii="Times New Roman" w:hAnsi="Times New Roman" w:cs="Times New Roman"/>
          <w:sz w:val="24"/>
          <w:szCs w:val="24"/>
        </w:rPr>
        <w:t>CSLLEA</w:t>
      </w:r>
      <w:r>
        <w:rPr>
          <w:rFonts w:ascii="Times New Roman" w:hAnsi="Times New Roman" w:cs="Times New Roman"/>
          <w:sz w:val="24"/>
          <w:szCs w:val="24"/>
        </w:rPr>
        <w:t xml:space="preserve">) are represented by </w:t>
      </w:r>
      <w:r w:rsidR="004A3AAA">
        <w:rPr>
          <w:rFonts w:ascii="Times New Roman" w:hAnsi="Times New Roman" w:cs="Times New Roman"/>
          <w:sz w:val="24"/>
          <w:szCs w:val="24"/>
        </w:rPr>
        <w:t>SCLEA</w:t>
      </w:r>
      <w:r>
        <w:rPr>
          <w:rFonts w:ascii="Times New Roman" w:hAnsi="Times New Roman" w:cs="Times New Roman"/>
          <w:sz w:val="24"/>
          <w:szCs w:val="24"/>
        </w:rPr>
        <w:t xml:space="preserve"> respondents, and to mitigate against any potential bias introduced by differential nonresponse, </w:t>
      </w:r>
      <w:r w:rsidRPr="00704120">
        <w:rPr>
          <w:rFonts w:ascii="Times New Roman" w:hAnsi="Times New Roman" w:cs="Times New Roman"/>
          <w:sz w:val="24"/>
          <w:szCs w:val="24"/>
        </w:rPr>
        <w:t>weight calibration will be used</w:t>
      </w:r>
      <w:r w:rsidR="00640595">
        <w:rPr>
          <w:rFonts w:ascii="Times New Roman" w:hAnsi="Times New Roman" w:cs="Times New Roman"/>
          <w:sz w:val="24"/>
          <w:szCs w:val="24"/>
        </w:rPr>
        <w:t xml:space="preserve"> to finalize the dataset and during analysis</w:t>
      </w:r>
      <w:r>
        <w:rPr>
          <w:rFonts w:ascii="Times New Roman" w:hAnsi="Times New Roman" w:cs="Times New Roman"/>
          <w:sz w:val="24"/>
          <w:szCs w:val="24"/>
        </w:rPr>
        <w:t>.</w:t>
      </w:r>
      <w:r w:rsidR="00676ADB">
        <w:rPr>
          <w:rFonts w:ascii="Times New Roman" w:hAnsi="Times New Roman" w:cs="Times New Roman"/>
          <w:sz w:val="24"/>
          <w:szCs w:val="24"/>
        </w:rPr>
        <w:t xml:space="preserve"> Throughout SCLEA data collection, RTI and BJS will monitor unit response rate goals and develop a weighting plan based on unit response rates and current weighting best practices for census data collections. </w:t>
      </w:r>
    </w:p>
    <w:p w:rsidR="00A1284C" w:rsidP="00C36166" w:rsidRDefault="00A1284C" w14:paraId="504DB4D2" w14:textId="77777777">
      <w:pPr>
        <w:spacing w:after="0" w:line="240" w:lineRule="auto"/>
        <w:rPr>
          <w:rFonts w:ascii="Times New Roman" w:hAnsi="Times New Roman" w:cs="Times New Roman"/>
          <w:sz w:val="24"/>
          <w:szCs w:val="24"/>
        </w:rPr>
      </w:pPr>
    </w:p>
    <w:p w:rsidR="00C96103" w:rsidP="00C36166" w:rsidRDefault="00676ADB" w14:paraId="3D249A7A" w14:textId="02F56C9F">
      <w:pPr>
        <w:spacing w:after="0" w:line="240" w:lineRule="auto"/>
        <w:rPr>
          <w:rFonts w:ascii="Times New Roman" w:hAnsi="Times New Roman" w:cs="Times New Roman"/>
          <w:sz w:val="24"/>
          <w:szCs w:val="24"/>
        </w:rPr>
      </w:pPr>
      <w:r>
        <w:rPr>
          <w:rFonts w:ascii="Times New Roman" w:hAnsi="Times New Roman" w:cs="Times New Roman"/>
          <w:sz w:val="24"/>
          <w:szCs w:val="24"/>
        </w:rPr>
        <w:t>Campus LEA</w:t>
      </w:r>
      <w:r w:rsidR="00C96103">
        <w:rPr>
          <w:rFonts w:ascii="Times New Roman" w:hAnsi="Times New Roman" w:cs="Times New Roman"/>
          <w:sz w:val="24"/>
          <w:szCs w:val="24"/>
        </w:rPr>
        <w:t xml:space="preserve"> characteristics predictive of response propensity will be retained in final nonresponse adjustment models</w:t>
      </w:r>
      <w:r w:rsidR="00640595">
        <w:rPr>
          <w:rFonts w:ascii="Times New Roman" w:hAnsi="Times New Roman" w:cs="Times New Roman"/>
          <w:sz w:val="24"/>
          <w:szCs w:val="24"/>
        </w:rPr>
        <w:t>,</w:t>
      </w:r>
      <w:r w:rsidR="00C96103">
        <w:rPr>
          <w:rFonts w:ascii="Times New Roman" w:hAnsi="Times New Roman" w:cs="Times New Roman"/>
          <w:sz w:val="24"/>
          <w:szCs w:val="24"/>
        </w:rPr>
        <w:t xml:space="preserve"> stratified by the </w:t>
      </w:r>
      <w:r>
        <w:rPr>
          <w:rFonts w:ascii="Times New Roman" w:hAnsi="Times New Roman" w:cs="Times New Roman"/>
          <w:sz w:val="24"/>
          <w:szCs w:val="24"/>
        </w:rPr>
        <w:t xml:space="preserve">institution type </w:t>
      </w:r>
      <w:r w:rsidR="00C96103">
        <w:rPr>
          <w:rFonts w:ascii="Times New Roman" w:hAnsi="Times New Roman" w:cs="Times New Roman"/>
          <w:sz w:val="24"/>
          <w:szCs w:val="24"/>
        </w:rPr>
        <w:t xml:space="preserve">and size categories. These nonresponse-adjusted weights will be used for estimation of </w:t>
      </w:r>
      <w:r w:rsidRPr="0028132A" w:rsidR="00C96103">
        <w:rPr>
          <w:rFonts w:ascii="Times New Roman" w:hAnsi="Times New Roman" w:cs="Times New Roman"/>
          <w:sz w:val="24"/>
          <w:szCs w:val="24"/>
        </w:rPr>
        <w:t>agency characteristics</w:t>
      </w:r>
      <w:r w:rsidR="00C96103">
        <w:rPr>
          <w:rFonts w:ascii="Times New Roman" w:hAnsi="Times New Roman" w:cs="Times New Roman"/>
          <w:sz w:val="24"/>
          <w:szCs w:val="24"/>
        </w:rPr>
        <w:t xml:space="preserve"> measured in the </w:t>
      </w:r>
      <w:r>
        <w:rPr>
          <w:rFonts w:ascii="Times New Roman" w:hAnsi="Times New Roman" w:cs="Times New Roman"/>
          <w:sz w:val="24"/>
          <w:szCs w:val="24"/>
        </w:rPr>
        <w:t>SCLEA</w:t>
      </w:r>
      <w:r w:rsidR="00C96103">
        <w:rPr>
          <w:rFonts w:ascii="Times New Roman" w:hAnsi="Times New Roman" w:cs="Times New Roman"/>
          <w:sz w:val="24"/>
          <w:szCs w:val="24"/>
        </w:rPr>
        <w:t xml:space="preserve"> questionnaire.</w:t>
      </w:r>
    </w:p>
    <w:p w:rsidRPr="007A6131" w:rsidR="007A6131" w:rsidP="00C36166" w:rsidRDefault="007A6131" w14:paraId="6E83E88A" w14:textId="77777777">
      <w:pPr>
        <w:spacing w:after="0" w:line="240" w:lineRule="auto"/>
        <w:rPr>
          <w:rFonts w:ascii="Times New Roman" w:hAnsi="Times New Roman" w:cs="Times New Roman"/>
          <w:sz w:val="24"/>
          <w:szCs w:val="24"/>
        </w:rPr>
      </w:pPr>
    </w:p>
    <w:p w:rsidR="00C96103" w:rsidP="00C36166" w:rsidRDefault="00C96103" w14:paraId="46557B0E" w14:textId="487E64D6">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Nonresponse bias analysis. </w:t>
      </w:r>
      <w:r>
        <w:rPr>
          <w:rFonts w:ascii="Times New Roman" w:hAnsi="Times New Roman" w:cs="Times New Roman"/>
          <w:sz w:val="24"/>
          <w:szCs w:val="24"/>
        </w:rPr>
        <w:t xml:space="preserve">In the event that </w:t>
      </w:r>
      <w:r w:rsidR="00E34C35">
        <w:rPr>
          <w:rFonts w:ascii="Times New Roman" w:hAnsi="Times New Roman" w:cs="Times New Roman"/>
          <w:sz w:val="24"/>
          <w:szCs w:val="24"/>
        </w:rPr>
        <w:t>SCLEA</w:t>
      </w:r>
      <w:r>
        <w:rPr>
          <w:rFonts w:ascii="Times New Roman" w:hAnsi="Times New Roman" w:cs="Times New Roman"/>
          <w:sz w:val="24"/>
          <w:szCs w:val="24"/>
        </w:rPr>
        <w:t xml:space="preserve"> </w:t>
      </w:r>
      <w:r w:rsidR="0059510E">
        <w:rPr>
          <w:rFonts w:ascii="Times New Roman" w:hAnsi="Times New Roman" w:cs="Times New Roman"/>
          <w:sz w:val="24"/>
          <w:szCs w:val="24"/>
        </w:rPr>
        <w:t xml:space="preserve">unit </w:t>
      </w:r>
      <w:r>
        <w:rPr>
          <w:rFonts w:ascii="Times New Roman" w:hAnsi="Times New Roman" w:cs="Times New Roman"/>
          <w:sz w:val="24"/>
          <w:szCs w:val="24"/>
        </w:rPr>
        <w:t xml:space="preserve">response falls below 80%, </w:t>
      </w:r>
      <w:r w:rsidR="00586295">
        <w:rPr>
          <w:rFonts w:ascii="Times New Roman" w:hAnsi="Times New Roman" w:cs="Times New Roman"/>
          <w:sz w:val="24"/>
          <w:szCs w:val="24"/>
        </w:rPr>
        <w:t xml:space="preserve">a </w:t>
      </w:r>
      <w:r>
        <w:rPr>
          <w:rFonts w:ascii="Times New Roman" w:hAnsi="Times New Roman" w:cs="Times New Roman"/>
          <w:sz w:val="24"/>
          <w:szCs w:val="24"/>
        </w:rPr>
        <w:t xml:space="preserve">nonresponse bias </w:t>
      </w:r>
      <w:r w:rsidR="00586295">
        <w:rPr>
          <w:rFonts w:ascii="Times New Roman" w:hAnsi="Times New Roman" w:cs="Times New Roman"/>
          <w:sz w:val="24"/>
          <w:szCs w:val="24"/>
        </w:rPr>
        <w:t xml:space="preserve">analysis </w:t>
      </w:r>
      <w:r>
        <w:rPr>
          <w:rFonts w:ascii="Times New Roman" w:hAnsi="Times New Roman" w:cs="Times New Roman"/>
          <w:sz w:val="24"/>
          <w:szCs w:val="24"/>
        </w:rPr>
        <w:t xml:space="preserve">will be used to assess the potential for bias resulting from differential nonresponse. For </w:t>
      </w:r>
      <w:r w:rsidR="00E34C35">
        <w:rPr>
          <w:rFonts w:ascii="Times New Roman" w:hAnsi="Times New Roman" w:cs="Times New Roman"/>
          <w:sz w:val="24"/>
          <w:szCs w:val="24"/>
        </w:rPr>
        <w:t xml:space="preserve">campus </w:t>
      </w:r>
      <w:r>
        <w:rPr>
          <w:rFonts w:ascii="Times New Roman" w:hAnsi="Times New Roman" w:cs="Times New Roman"/>
          <w:sz w:val="24"/>
          <w:szCs w:val="24"/>
        </w:rPr>
        <w:t xml:space="preserve">LEAs, agency </w:t>
      </w:r>
      <w:r w:rsidR="00E34C35">
        <w:rPr>
          <w:rFonts w:ascii="Times New Roman" w:hAnsi="Times New Roman" w:cs="Times New Roman"/>
          <w:sz w:val="24"/>
          <w:szCs w:val="24"/>
        </w:rPr>
        <w:t xml:space="preserve">and institution </w:t>
      </w:r>
      <w:r>
        <w:rPr>
          <w:rFonts w:ascii="Times New Roman" w:hAnsi="Times New Roman" w:cs="Times New Roman"/>
          <w:sz w:val="24"/>
          <w:szCs w:val="24"/>
        </w:rPr>
        <w:t xml:space="preserve">characteristics available for both respondents and </w:t>
      </w:r>
      <w:proofErr w:type="spellStart"/>
      <w:r>
        <w:rPr>
          <w:rFonts w:ascii="Times New Roman" w:hAnsi="Times New Roman" w:cs="Times New Roman"/>
          <w:sz w:val="24"/>
          <w:szCs w:val="24"/>
        </w:rPr>
        <w:t>nonrespondents</w:t>
      </w:r>
      <w:proofErr w:type="spellEnd"/>
      <w:r>
        <w:rPr>
          <w:rFonts w:ascii="Times New Roman" w:hAnsi="Times New Roman" w:cs="Times New Roman"/>
          <w:sz w:val="24"/>
          <w:szCs w:val="24"/>
        </w:rPr>
        <w:t xml:space="preserve"> (from </w:t>
      </w:r>
      <w:r w:rsidR="0059510E">
        <w:rPr>
          <w:rFonts w:ascii="Times New Roman" w:hAnsi="Times New Roman" w:cs="Times New Roman"/>
          <w:sz w:val="24"/>
          <w:szCs w:val="24"/>
        </w:rPr>
        <w:t>201</w:t>
      </w:r>
      <w:r w:rsidR="007840A3">
        <w:rPr>
          <w:rFonts w:ascii="Times New Roman" w:hAnsi="Times New Roman" w:cs="Times New Roman"/>
          <w:sz w:val="24"/>
          <w:szCs w:val="24"/>
        </w:rPr>
        <w:t>9</w:t>
      </w:r>
      <w:r w:rsidR="0059510E">
        <w:rPr>
          <w:rFonts w:ascii="Times New Roman" w:hAnsi="Times New Roman" w:cs="Times New Roman"/>
          <w:sz w:val="24"/>
          <w:szCs w:val="24"/>
        </w:rPr>
        <w:t xml:space="preserve"> </w:t>
      </w:r>
      <w:r w:rsidR="00E34C35">
        <w:rPr>
          <w:rFonts w:ascii="Times New Roman" w:hAnsi="Times New Roman" w:cs="Times New Roman"/>
          <w:sz w:val="24"/>
          <w:szCs w:val="24"/>
        </w:rPr>
        <w:t xml:space="preserve">IPEDS and </w:t>
      </w:r>
      <w:r w:rsidR="007840A3">
        <w:rPr>
          <w:rFonts w:ascii="Times New Roman" w:hAnsi="Times New Roman" w:cs="Times New Roman"/>
          <w:sz w:val="24"/>
          <w:szCs w:val="24"/>
        </w:rPr>
        <w:t xml:space="preserve">2018 </w:t>
      </w:r>
      <w:r>
        <w:rPr>
          <w:rFonts w:ascii="Times New Roman" w:hAnsi="Times New Roman" w:cs="Times New Roman"/>
          <w:sz w:val="24"/>
          <w:szCs w:val="24"/>
        </w:rPr>
        <w:t xml:space="preserve">CSLLEA) will be compared across response groups. </w:t>
      </w:r>
      <w:r w:rsidR="00792A32">
        <w:rPr>
          <w:rFonts w:ascii="Times New Roman" w:hAnsi="Times New Roman" w:cs="Times New Roman"/>
          <w:sz w:val="24"/>
          <w:szCs w:val="24"/>
        </w:rPr>
        <w:t>BJS will use</w:t>
      </w:r>
      <w:r w:rsidR="0059510E">
        <w:rPr>
          <w:rFonts w:ascii="Times New Roman" w:hAnsi="Times New Roman" w:cs="Times New Roman"/>
          <w:sz w:val="24"/>
          <w:szCs w:val="24"/>
        </w:rPr>
        <w:t>:</w:t>
      </w:r>
    </w:p>
    <w:p w:rsidR="00A1284C" w:rsidP="00C36166" w:rsidRDefault="00A1284C" w14:paraId="62544D4F" w14:textId="77777777">
      <w:pPr>
        <w:spacing w:after="0" w:line="240" w:lineRule="auto"/>
        <w:rPr>
          <w:rFonts w:ascii="Times New Roman" w:hAnsi="Times New Roman" w:cs="Times New Roman"/>
          <w:sz w:val="24"/>
          <w:szCs w:val="24"/>
        </w:rPr>
      </w:pPr>
    </w:p>
    <w:p w:rsidRPr="001B6DFD" w:rsidR="00C96103" w:rsidP="002C069E" w:rsidRDefault="0059510E" w14:paraId="585EB063" w14:textId="372A8CBF">
      <w:pPr>
        <w:pStyle w:val="ListParagraph"/>
        <w:numPr>
          <w:ilvl w:val="0"/>
          <w:numId w:val="13"/>
        </w:numPr>
      </w:pPr>
      <w:r>
        <w:t>I</w:t>
      </w:r>
      <w:r w:rsidRPr="0059510E" w:rsidR="00E34C35">
        <w:t>nstitution</w:t>
      </w:r>
      <w:r w:rsidRPr="0059510E" w:rsidR="00C96103">
        <w:t xml:space="preserve"> type</w:t>
      </w:r>
      <w:r>
        <w:t xml:space="preserve"> (private or public</w:t>
      </w:r>
      <w:r w:rsidR="001B266D">
        <w:t>; 2-year or 4-year</w:t>
      </w:r>
      <w:r>
        <w:t>);</w:t>
      </w:r>
    </w:p>
    <w:p w:rsidR="00C96103" w:rsidP="0059510E" w:rsidRDefault="0059510E" w14:paraId="43A199CF" w14:textId="16F28549">
      <w:pPr>
        <w:pStyle w:val="ListParagraph"/>
        <w:numPr>
          <w:ilvl w:val="0"/>
          <w:numId w:val="13"/>
        </w:numPr>
      </w:pPr>
      <w:r>
        <w:t>I</w:t>
      </w:r>
      <w:r w:rsidRPr="0059510E" w:rsidR="00E34C35">
        <w:t xml:space="preserve">nstitution </w:t>
      </w:r>
      <w:r w:rsidRPr="0059510E" w:rsidR="00C96103">
        <w:t>size</w:t>
      </w:r>
      <w:r>
        <w:t xml:space="preserve"> </w:t>
      </w:r>
      <w:r w:rsidRPr="0059510E" w:rsidR="00C96103">
        <w:t xml:space="preserve">(measured by </w:t>
      </w:r>
      <w:r w:rsidRPr="0059510E" w:rsidR="00E34C35">
        <w:t>full-time enrollment</w:t>
      </w:r>
      <w:r w:rsidRPr="0059510E" w:rsidR="00C96103">
        <w:t>), and</w:t>
      </w:r>
      <w:r>
        <w:t>;</w:t>
      </w:r>
    </w:p>
    <w:p w:rsidR="00C96103" w:rsidP="002C069E" w:rsidRDefault="0059510E" w14:paraId="29967DDB" w14:textId="3E831003">
      <w:pPr>
        <w:pStyle w:val="ListParagraph"/>
        <w:numPr>
          <w:ilvl w:val="0"/>
          <w:numId w:val="13"/>
        </w:numPr>
      </w:pPr>
      <w:r>
        <w:t>G</w:t>
      </w:r>
      <w:r w:rsidRPr="00CD2B61" w:rsidR="007C029A">
        <w:t xml:space="preserve">eographic </w:t>
      </w:r>
      <w:r w:rsidRPr="00CD2B61" w:rsidR="00C96103">
        <w:t>location (measured by Census region</w:t>
      </w:r>
      <w:r w:rsidR="00C96103">
        <w:t>).</w:t>
      </w:r>
    </w:p>
    <w:p w:rsidR="00A1284C" w:rsidP="00C36166" w:rsidRDefault="00A1284C" w14:paraId="5726B00E" w14:textId="77777777">
      <w:pPr>
        <w:spacing w:after="0" w:line="240" w:lineRule="auto"/>
        <w:rPr>
          <w:rFonts w:ascii="Times New Roman" w:hAnsi="Times New Roman" w:cs="Times New Roman"/>
          <w:sz w:val="24"/>
          <w:szCs w:val="24"/>
        </w:rPr>
      </w:pPr>
    </w:p>
    <w:p w:rsidR="00C96103" w:rsidP="00C36166" w:rsidRDefault="00C96103" w14:paraId="0D67045E" w14:textId="67190C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any of these characteristics is found to differ meaningfully (as measured by Cohen’s </w:t>
      </w:r>
      <w:r>
        <w:rPr>
          <w:rFonts w:ascii="Times New Roman" w:hAnsi="Times New Roman" w:cs="Times New Roman"/>
          <w:i/>
          <w:sz w:val="24"/>
          <w:szCs w:val="24"/>
        </w:rPr>
        <w:t xml:space="preserve">d </w:t>
      </w:r>
      <w:r>
        <w:rPr>
          <w:rFonts w:ascii="Times New Roman" w:hAnsi="Times New Roman" w:cs="Times New Roman"/>
          <w:sz w:val="24"/>
          <w:szCs w:val="24"/>
        </w:rPr>
        <w:t xml:space="preserve">&gt; 0.5) across response groups, </w:t>
      </w:r>
      <w:r w:rsidR="0059510E">
        <w:rPr>
          <w:rFonts w:ascii="Times New Roman" w:hAnsi="Times New Roman" w:cs="Times New Roman"/>
          <w:sz w:val="24"/>
          <w:szCs w:val="24"/>
        </w:rPr>
        <w:t>then there is</w:t>
      </w:r>
      <w:r>
        <w:rPr>
          <w:rFonts w:ascii="Times New Roman" w:hAnsi="Times New Roman" w:cs="Times New Roman"/>
          <w:sz w:val="24"/>
          <w:szCs w:val="24"/>
        </w:rPr>
        <w:t xml:space="preserve"> a potential indication of bias. </w:t>
      </w:r>
      <w:r w:rsidR="0059510E">
        <w:rPr>
          <w:rFonts w:ascii="Times New Roman" w:hAnsi="Times New Roman" w:cs="Times New Roman"/>
          <w:sz w:val="24"/>
          <w:szCs w:val="24"/>
        </w:rPr>
        <w:t xml:space="preserve">Confirming nonresponse bias </w:t>
      </w:r>
      <w:r>
        <w:rPr>
          <w:rFonts w:ascii="Times New Roman" w:hAnsi="Times New Roman" w:cs="Times New Roman"/>
          <w:sz w:val="24"/>
          <w:szCs w:val="24"/>
        </w:rPr>
        <w:t>depends on how strongly each of these identified characteristics correlates to characteristics measured on the</w:t>
      </w:r>
      <w:r w:rsidR="00E34C35">
        <w:rPr>
          <w:rFonts w:ascii="Times New Roman" w:hAnsi="Times New Roman" w:cs="Times New Roman"/>
          <w:sz w:val="24"/>
          <w:szCs w:val="24"/>
        </w:rPr>
        <w:t xml:space="preserve"> SCLEA</w:t>
      </w:r>
      <w:r>
        <w:rPr>
          <w:rFonts w:ascii="Times New Roman" w:hAnsi="Times New Roman" w:cs="Times New Roman"/>
          <w:sz w:val="24"/>
          <w:szCs w:val="24"/>
        </w:rPr>
        <w:t xml:space="preserve"> survey. Survey measurements strongly associated with identified frame characteristics among </w:t>
      </w:r>
      <w:r w:rsidR="00E34C35">
        <w:rPr>
          <w:rFonts w:ascii="Times New Roman" w:hAnsi="Times New Roman" w:cs="Times New Roman"/>
          <w:sz w:val="24"/>
          <w:szCs w:val="24"/>
        </w:rPr>
        <w:t>SC</w:t>
      </w:r>
      <w:r>
        <w:rPr>
          <w:rFonts w:ascii="Times New Roman" w:hAnsi="Times New Roman" w:cs="Times New Roman"/>
          <w:sz w:val="24"/>
          <w:szCs w:val="24"/>
        </w:rPr>
        <w:t xml:space="preserve">LEA respondents are those most at risk for nonresponse bias. This </w:t>
      </w:r>
      <w:r>
        <w:rPr>
          <w:rFonts w:ascii="Times New Roman" w:hAnsi="Times New Roman" w:cs="Times New Roman"/>
          <w:sz w:val="24"/>
          <w:szCs w:val="24"/>
        </w:rPr>
        <w:lastRenderedPageBreak/>
        <w:t>analysis will take place both at the stratum level and overall, and frame characteristics associated both with response propensity and survey measurements among respondents will be incorporated in nonresponse weight adjustment models to mitigate against nonresponse bias. Additionally, since hard-to-reach agencies</w:t>
      </w:r>
      <w:r w:rsidR="00E34C35">
        <w:rPr>
          <w:rFonts w:ascii="Times New Roman" w:hAnsi="Times New Roman" w:cs="Times New Roman"/>
          <w:sz w:val="24"/>
          <w:szCs w:val="24"/>
        </w:rPr>
        <w:t>/institutions</w:t>
      </w:r>
      <w:r>
        <w:rPr>
          <w:rFonts w:ascii="Times New Roman" w:hAnsi="Times New Roman" w:cs="Times New Roman"/>
          <w:sz w:val="24"/>
          <w:szCs w:val="24"/>
        </w:rPr>
        <w:t xml:space="preserve"> have lower relative response propensities, incorporating time to respond into nonresponse weighting models may help to ameliorate bias. To assess whether or not this is necessary, survey estimates will be compared across groups comprised of early and late responders. If meaningful differences are observed, time to respond will be included as part of nonresponse weight calibration.</w:t>
      </w:r>
    </w:p>
    <w:p w:rsidR="003C783D" w:rsidP="00C36166" w:rsidRDefault="003C783D" w14:paraId="0AB28165" w14:textId="77777777">
      <w:pPr>
        <w:spacing w:after="0" w:line="240" w:lineRule="auto"/>
        <w:rPr>
          <w:rFonts w:ascii="Times New Roman" w:hAnsi="Times New Roman" w:cs="Times New Roman"/>
          <w:sz w:val="24"/>
          <w:szCs w:val="24"/>
        </w:rPr>
      </w:pPr>
    </w:p>
    <w:p w:rsidRPr="00BB1A03" w:rsidR="00BB1A03" w:rsidRDefault="00BB1A03" w14:paraId="0664D039" w14:textId="77777777">
      <w:pPr>
        <w:pStyle w:val="Quick1"/>
        <w:numPr>
          <w:ilvl w:val="0"/>
          <w:numId w:val="7"/>
        </w:numPr>
        <w:tabs>
          <w:tab w:val="left" w:pos="-1080"/>
          <w:tab w:val="left" w:pos="-720"/>
          <w:tab w:val="left" w:pos="0"/>
          <w:tab w:val="left" w:pos="450"/>
          <w:tab w:val="left" w:pos="90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B1A03">
        <w:rPr>
          <w:b/>
          <w:u w:val="single"/>
        </w:rPr>
        <w:t>Testing of Procedures</w:t>
      </w:r>
      <w:r w:rsidRPr="00BB1A03">
        <w:rPr>
          <w:b/>
        </w:rPr>
        <w:t xml:space="preserve"> </w:t>
      </w:r>
    </w:p>
    <w:p w:rsidR="00BB1A03" w:rsidP="00C36166" w:rsidRDefault="00BB1A03" w14:paraId="6494D825" w14:textId="77777777">
      <w:pPr>
        <w:widowControl w:val="0"/>
        <w:tabs>
          <w:tab w:val="left" w:pos="-1080"/>
          <w:tab w:val="left" w:pos="-720"/>
          <w:tab w:val="left" w:pos="0"/>
          <w:tab w:val="left" w:pos="450"/>
          <w:tab w:val="left" w:pos="90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
        <w:tab/>
      </w:r>
    </w:p>
    <w:p w:rsidR="00BB1A03" w:rsidP="00C36166" w:rsidRDefault="00BB1A03" w14:paraId="3D35018C" w14:textId="54E57E25">
      <w:pPr>
        <w:spacing w:after="0" w:line="240" w:lineRule="auto"/>
        <w:rPr>
          <w:rFonts w:ascii="Times New Roman" w:hAnsi="Times New Roman" w:cs="Times New Roman"/>
          <w:sz w:val="24"/>
          <w:szCs w:val="24"/>
        </w:rPr>
      </w:pPr>
      <w:r w:rsidRPr="00BB1A03">
        <w:rPr>
          <w:rFonts w:ascii="Times New Roman" w:hAnsi="Times New Roman" w:cs="Times New Roman"/>
          <w:sz w:val="24"/>
          <w:szCs w:val="24"/>
        </w:rPr>
        <w:t xml:space="preserve">The proposed questions in the </w:t>
      </w:r>
      <w:r w:rsidR="007A6131">
        <w:rPr>
          <w:rFonts w:ascii="Times New Roman" w:hAnsi="Times New Roman" w:cs="Times New Roman"/>
          <w:sz w:val="24"/>
          <w:szCs w:val="24"/>
        </w:rPr>
        <w:t>2021 SCLEA</w:t>
      </w:r>
      <w:r w:rsidRPr="00BB1A03">
        <w:rPr>
          <w:rFonts w:ascii="Times New Roman" w:hAnsi="Times New Roman" w:cs="Times New Roman"/>
          <w:sz w:val="24"/>
          <w:szCs w:val="24"/>
        </w:rPr>
        <w:t xml:space="preserve"> instrument </w:t>
      </w:r>
      <w:r w:rsidRPr="00BB1A03" w:rsidR="003405D8">
        <w:rPr>
          <w:rFonts w:ascii="Times New Roman" w:hAnsi="Times New Roman" w:cs="Times New Roman"/>
          <w:sz w:val="24"/>
          <w:szCs w:val="24"/>
        </w:rPr>
        <w:t>w</w:t>
      </w:r>
      <w:r w:rsidR="003405D8">
        <w:rPr>
          <w:rFonts w:ascii="Times New Roman" w:hAnsi="Times New Roman" w:cs="Times New Roman"/>
          <w:sz w:val="24"/>
          <w:szCs w:val="24"/>
        </w:rPr>
        <w:t xml:space="preserve">ere </w:t>
      </w:r>
      <w:r w:rsidRPr="00BB1A03">
        <w:rPr>
          <w:rFonts w:ascii="Times New Roman" w:hAnsi="Times New Roman" w:cs="Times New Roman"/>
          <w:sz w:val="24"/>
          <w:szCs w:val="24"/>
        </w:rPr>
        <w:t>developed through a multi</w:t>
      </w:r>
      <w:r w:rsidR="0059510E">
        <w:rPr>
          <w:rFonts w:ascii="Times New Roman" w:hAnsi="Times New Roman" w:cs="Times New Roman"/>
          <w:sz w:val="24"/>
          <w:szCs w:val="24"/>
        </w:rPr>
        <w:t>-</w:t>
      </w:r>
      <w:r w:rsidRPr="00BB1A03">
        <w:rPr>
          <w:rFonts w:ascii="Times New Roman" w:hAnsi="Times New Roman" w:cs="Times New Roman"/>
          <w:sz w:val="24"/>
          <w:szCs w:val="24"/>
        </w:rPr>
        <w:t>stage effort</w:t>
      </w:r>
      <w:r w:rsidR="00BD4625">
        <w:rPr>
          <w:rFonts w:ascii="Times New Roman" w:hAnsi="Times New Roman" w:cs="Times New Roman"/>
          <w:sz w:val="24"/>
          <w:szCs w:val="24"/>
        </w:rPr>
        <w:t xml:space="preserve"> to update the 2011 SCLEA </w:t>
      </w:r>
      <w:r w:rsidR="00E237AB">
        <w:rPr>
          <w:rFonts w:ascii="Times New Roman" w:hAnsi="Times New Roman" w:cs="Times New Roman"/>
          <w:sz w:val="24"/>
          <w:szCs w:val="24"/>
        </w:rPr>
        <w:t>instrument</w:t>
      </w:r>
      <w:r w:rsidRPr="00BB1A03">
        <w:rPr>
          <w:rFonts w:ascii="Times New Roman" w:hAnsi="Times New Roman" w:cs="Times New Roman"/>
          <w:sz w:val="24"/>
          <w:szCs w:val="24"/>
        </w:rPr>
        <w:t>. Those processes are described below.</w:t>
      </w:r>
    </w:p>
    <w:p w:rsidRPr="00BB1A03" w:rsidR="003C783D" w:rsidP="00C36166" w:rsidRDefault="003C783D" w14:paraId="7D1AB44A" w14:textId="77777777">
      <w:pPr>
        <w:spacing w:after="0" w:line="240" w:lineRule="auto"/>
        <w:rPr>
          <w:rFonts w:ascii="Times New Roman" w:hAnsi="Times New Roman" w:cs="Times New Roman"/>
          <w:sz w:val="24"/>
          <w:szCs w:val="24"/>
        </w:rPr>
      </w:pPr>
    </w:p>
    <w:p w:rsidR="00BB1A03" w:rsidP="00E237AB" w:rsidRDefault="00BB1A03" w14:paraId="53B57025" w14:textId="3FA5372C">
      <w:pPr>
        <w:pStyle w:val="ListParagraph"/>
        <w:numPr>
          <w:ilvl w:val="0"/>
          <w:numId w:val="8"/>
        </w:numPr>
      </w:pPr>
      <w:r w:rsidRPr="001833A5">
        <w:rPr>
          <w:b/>
        </w:rPr>
        <w:t>Expert Panel</w:t>
      </w:r>
      <w:r>
        <w:t xml:space="preserve">. BJS, RTI, and </w:t>
      </w:r>
      <w:r w:rsidR="00BD4625">
        <w:t xml:space="preserve">IACLEA </w:t>
      </w:r>
      <w:r>
        <w:t xml:space="preserve">hosted an Expert Panel meeting in </w:t>
      </w:r>
      <w:r w:rsidR="00BD4625">
        <w:t>July 2020</w:t>
      </w:r>
      <w:r>
        <w:t xml:space="preserve"> with representatives and experts in the area of </w:t>
      </w:r>
      <w:r w:rsidR="00BD4625">
        <w:t>campus policing</w:t>
      </w:r>
      <w:r>
        <w:t xml:space="preserve">. As a result of that meeting, BJS compiled feedback </w:t>
      </w:r>
      <w:r w:rsidR="003405D8">
        <w:t xml:space="preserve">from </w:t>
      </w:r>
      <w:r>
        <w:t xml:space="preserve">the panel and was </w:t>
      </w:r>
      <w:r w:rsidR="00E237AB">
        <w:t>able to i</w:t>
      </w:r>
      <w:r>
        <w:t xml:space="preserve">dentify key measures to collect from </w:t>
      </w:r>
      <w:r w:rsidR="00E237AB">
        <w:t xml:space="preserve">campus </w:t>
      </w:r>
      <w:r>
        <w:t xml:space="preserve">law enforcement agencies </w:t>
      </w:r>
      <w:r w:rsidR="00E237AB">
        <w:t>and update the types of department technologies, policies, and trainings that are currently relevant to campus policing</w:t>
      </w:r>
      <w:r w:rsidR="00AB12F4">
        <w:t xml:space="preserve"> (Attachment </w:t>
      </w:r>
      <w:r w:rsidR="00F26B9F">
        <w:t>3).</w:t>
      </w:r>
    </w:p>
    <w:p w:rsidR="00BB1A03" w:rsidRDefault="00BB1A03" w14:paraId="45383AD6" w14:textId="77777777">
      <w:pPr>
        <w:pStyle w:val="ListParagraph"/>
        <w:ind w:left="1500"/>
      </w:pPr>
    </w:p>
    <w:p w:rsidR="00BB1A03" w:rsidRDefault="00BB1A03" w14:paraId="1935F8A3" w14:textId="08E84B75">
      <w:pPr>
        <w:pStyle w:val="ListParagraph"/>
        <w:numPr>
          <w:ilvl w:val="0"/>
          <w:numId w:val="8"/>
        </w:numPr>
      </w:pPr>
      <w:r w:rsidRPr="001833A5">
        <w:rPr>
          <w:b/>
        </w:rPr>
        <w:t>Cognitive Interviews</w:t>
      </w:r>
      <w:r>
        <w:t xml:space="preserve">. </w:t>
      </w:r>
      <w:r w:rsidR="00E237AB">
        <w:t>One round</w:t>
      </w:r>
      <w:r>
        <w:t xml:space="preserve"> of cognitive testing </w:t>
      </w:r>
      <w:r w:rsidR="00E237AB">
        <w:t>was</w:t>
      </w:r>
      <w:r>
        <w:t xml:space="preserve"> conducted with </w:t>
      </w:r>
      <w:r w:rsidR="00E237AB">
        <w:t>SCLEA POCs</w:t>
      </w:r>
      <w:r>
        <w:t xml:space="preserve">. The cognitive interviews focused on (1) the clarity of the instructions and question wording; (2) respondents’ ability and willingness to apply the study definitions when answering the questions; (3) the availability of data needed to provide accurate responses; (4) the estimated burden associated with participation, and (5) the </w:t>
      </w:r>
      <w:r w:rsidR="00E237AB">
        <w:t xml:space="preserve">SCLEA </w:t>
      </w:r>
      <w:r>
        <w:t xml:space="preserve">POC’s thoughts on efficient and effective data collection methodology. </w:t>
      </w:r>
      <w:r w:rsidR="0028381D">
        <w:t>SCLEA</w:t>
      </w:r>
      <w:r>
        <w:t xml:space="preserve"> cognitive testing included </w:t>
      </w:r>
      <w:r w:rsidR="003D48D8">
        <w:t>14</w:t>
      </w:r>
      <w:r>
        <w:t xml:space="preserve"> respondents and led to </w:t>
      </w:r>
      <w:r w:rsidR="009A5561">
        <w:t xml:space="preserve">minor </w:t>
      </w:r>
      <w:r>
        <w:t>changes</w:t>
      </w:r>
      <w:r w:rsidR="009A5561">
        <w:t>, including clarifying instructions and replacing “nonsworn officers” with “nonsworn personnel”</w:t>
      </w:r>
      <w:r w:rsidR="0028381D">
        <w:t>.</w:t>
      </w:r>
      <w:r>
        <w:t xml:space="preserve"> RTI provided a report on </w:t>
      </w:r>
      <w:r w:rsidR="0028381D">
        <w:t>the</w:t>
      </w:r>
      <w:r>
        <w:t xml:space="preserve"> cognitive testing effort describing all findings and recommendations (</w:t>
      </w:r>
      <w:r w:rsidRPr="00735793">
        <w:t xml:space="preserve">Attachment </w:t>
      </w:r>
      <w:r w:rsidRPr="00735793" w:rsidR="00792ABF">
        <w:t>4</w:t>
      </w:r>
      <w:r w:rsidRPr="00735793" w:rsidR="003D48D8">
        <w:t>).</w:t>
      </w:r>
    </w:p>
    <w:p w:rsidRPr="0012062D" w:rsidR="00BB1A03" w:rsidP="00C36166" w:rsidRDefault="00BB1A03" w14:paraId="2679EA21" w14:textId="77777777">
      <w:pPr>
        <w:spacing w:after="0" w:line="240" w:lineRule="auto"/>
      </w:pPr>
    </w:p>
    <w:p w:rsidR="00BB1A03" w:rsidP="00C36166" w:rsidRDefault="00BB1A03" w14:paraId="2E17C1FD" w14:textId="2E39C8C7">
      <w:pPr>
        <w:spacing w:after="0" w:line="240" w:lineRule="auto"/>
        <w:rPr>
          <w:rFonts w:ascii="Times New Roman" w:hAnsi="Times New Roman" w:cs="Times New Roman"/>
          <w:sz w:val="24"/>
          <w:szCs w:val="24"/>
        </w:rPr>
      </w:pPr>
      <w:r w:rsidRPr="00BB1A03">
        <w:rPr>
          <w:rFonts w:ascii="Times New Roman" w:hAnsi="Times New Roman" w:cs="Times New Roman"/>
          <w:sz w:val="24"/>
          <w:szCs w:val="24"/>
        </w:rPr>
        <w:t xml:space="preserve">Prior to the national implementation of the </w:t>
      </w:r>
      <w:r w:rsidR="0028381D">
        <w:rPr>
          <w:rFonts w:ascii="Times New Roman" w:hAnsi="Times New Roman" w:cs="Times New Roman"/>
          <w:sz w:val="24"/>
          <w:szCs w:val="24"/>
        </w:rPr>
        <w:t>2021 SCLEA</w:t>
      </w:r>
      <w:r w:rsidRPr="00BB1A03">
        <w:rPr>
          <w:rFonts w:ascii="Times New Roman" w:hAnsi="Times New Roman" w:cs="Times New Roman"/>
          <w:sz w:val="24"/>
          <w:szCs w:val="24"/>
        </w:rPr>
        <w:t xml:space="preserve">, BJS and RTI will (1) conduct thorough testing of the web-based survey administration system through systematic user testing, including testing skip patterns, ensuring seamless reporting of data, and back-end data checks on entered responses, and (2) use respondent recruitment and support procedures informed by the above tests of procedures, which in many respects are the same as used on other successful BJS agency collections (e.g., </w:t>
      </w:r>
      <w:r w:rsidRPr="00C44E4F">
        <w:rPr>
          <w:rFonts w:ascii="Times New Roman" w:hAnsi="Times New Roman" w:cs="Times New Roman"/>
          <w:sz w:val="24"/>
          <w:szCs w:val="24"/>
        </w:rPr>
        <w:t>LEMAS</w:t>
      </w:r>
      <w:r w:rsidRPr="00BB1A03">
        <w:rPr>
          <w:rFonts w:ascii="Times New Roman" w:hAnsi="Times New Roman" w:cs="Times New Roman"/>
          <w:sz w:val="24"/>
          <w:szCs w:val="24"/>
        </w:rPr>
        <w:t xml:space="preserve">, CSLLEA), which have been field tested and successfully employed. These include mailing a pre-notification letter, letter of support, and offering several </w:t>
      </w:r>
      <w:proofErr w:type="gramStart"/>
      <w:r w:rsidRPr="00BB1A03">
        <w:rPr>
          <w:rFonts w:ascii="Times New Roman" w:hAnsi="Times New Roman" w:cs="Times New Roman"/>
          <w:sz w:val="24"/>
          <w:szCs w:val="24"/>
        </w:rPr>
        <w:t>help</w:t>
      </w:r>
      <w:proofErr w:type="gramEnd"/>
      <w:r w:rsidRPr="00BB1A03">
        <w:rPr>
          <w:rFonts w:ascii="Times New Roman" w:hAnsi="Times New Roman" w:cs="Times New Roman"/>
          <w:sz w:val="24"/>
          <w:szCs w:val="24"/>
        </w:rPr>
        <w:t xml:space="preserve"> functions to respondents</w:t>
      </w:r>
      <w:r w:rsidRPr="00BB1A03" w:rsidR="003C783D">
        <w:rPr>
          <w:rFonts w:ascii="Times New Roman" w:hAnsi="Times New Roman" w:cs="Times New Roman"/>
          <w:sz w:val="24"/>
          <w:szCs w:val="24"/>
        </w:rPr>
        <w:t xml:space="preserve">. </w:t>
      </w:r>
    </w:p>
    <w:p w:rsidRPr="00BB1A03" w:rsidR="003C783D" w:rsidP="00C36166" w:rsidRDefault="003C783D" w14:paraId="078FC0DE" w14:textId="77777777">
      <w:pPr>
        <w:spacing w:after="0" w:line="240" w:lineRule="auto"/>
        <w:rPr>
          <w:rFonts w:ascii="Times New Roman" w:hAnsi="Times New Roman" w:cs="Times New Roman"/>
          <w:sz w:val="24"/>
          <w:szCs w:val="24"/>
        </w:rPr>
      </w:pPr>
    </w:p>
    <w:p w:rsidR="00636A94" w:rsidP="00C36166" w:rsidRDefault="00BB1A03" w14:paraId="0D60FB44" w14:textId="68BD2C0E">
      <w:pPr>
        <w:spacing w:after="0" w:line="240" w:lineRule="auto"/>
        <w:rPr>
          <w:rFonts w:ascii="Times New Roman" w:hAnsi="Times New Roman" w:cs="Times New Roman"/>
          <w:sz w:val="24"/>
          <w:szCs w:val="24"/>
        </w:rPr>
      </w:pPr>
      <w:r w:rsidRPr="00BB1A03">
        <w:rPr>
          <w:rFonts w:ascii="Times New Roman" w:hAnsi="Times New Roman" w:cs="Times New Roman"/>
          <w:sz w:val="24"/>
          <w:szCs w:val="24"/>
        </w:rPr>
        <w:t xml:space="preserve">Additionally, RTI has developed and utilized web-based survey instruments that are substantially similar to the format and design for the </w:t>
      </w:r>
      <w:r w:rsidR="0028381D">
        <w:rPr>
          <w:rFonts w:ascii="Times New Roman" w:hAnsi="Times New Roman" w:cs="Times New Roman"/>
          <w:sz w:val="24"/>
          <w:szCs w:val="24"/>
        </w:rPr>
        <w:t>2021 SCLEA</w:t>
      </w:r>
      <w:r w:rsidRPr="00BB1A03">
        <w:rPr>
          <w:rFonts w:ascii="Times New Roman" w:hAnsi="Times New Roman" w:cs="Times New Roman"/>
          <w:sz w:val="24"/>
          <w:szCs w:val="24"/>
        </w:rPr>
        <w:t xml:space="preserve">. The web-based survey administration procedures successfully employed in similar BJS collections, such as LEMAS and Annual Surveys of Probation and Parole (ASPP; OMB 1121-0064), will be followed to ensure the successful administration of the </w:t>
      </w:r>
      <w:r w:rsidR="00797103">
        <w:rPr>
          <w:rFonts w:ascii="Times New Roman" w:hAnsi="Times New Roman" w:cs="Times New Roman"/>
          <w:sz w:val="24"/>
          <w:szCs w:val="24"/>
        </w:rPr>
        <w:t>2021 SCLEA</w:t>
      </w:r>
      <w:r w:rsidRPr="00BB1A03">
        <w:rPr>
          <w:rFonts w:ascii="Times New Roman" w:hAnsi="Times New Roman" w:cs="Times New Roman"/>
          <w:sz w:val="24"/>
          <w:szCs w:val="24"/>
        </w:rPr>
        <w:t>.</w:t>
      </w:r>
    </w:p>
    <w:p w:rsidRPr="008D7CC0" w:rsidR="009D1629" w:rsidP="00C36166" w:rsidRDefault="009D1629" w14:paraId="48401B51" w14:textId="77777777">
      <w:pPr>
        <w:pStyle w:val="ListParagraph"/>
        <w:numPr>
          <w:ilvl w:val="0"/>
          <w:numId w:val="7"/>
        </w:numPr>
        <w:rPr>
          <w:b/>
          <w:u w:val="single"/>
        </w:rPr>
      </w:pPr>
      <w:bookmarkStart w:name="_GoBack" w:id="0"/>
      <w:bookmarkEnd w:id="0"/>
      <w:r w:rsidRPr="008D7CC0">
        <w:rPr>
          <w:b/>
          <w:u w:val="single"/>
        </w:rPr>
        <w:lastRenderedPageBreak/>
        <w:t>Contacts for Statistical Aspects and Data Collection</w:t>
      </w:r>
    </w:p>
    <w:p w:rsidRPr="00596C3F" w:rsidR="009D1629" w:rsidP="009D1629" w:rsidRDefault="009D1629" w14:paraId="5E64BF9A" w14:textId="77777777">
      <w:pPr>
        <w:rPr>
          <w:u w:val="single"/>
        </w:rPr>
      </w:pPr>
    </w:p>
    <w:p w:rsidR="009D1629" w:rsidP="00C36166" w:rsidRDefault="009D1629" w14:paraId="5A17543B" w14:textId="77777777">
      <w:pPr>
        <w:pStyle w:val="ListParagraph"/>
        <w:numPr>
          <w:ilvl w:val="0"/>
          <w:numId w:val="9"/>
        </w:numPr>
        <w:tabs>
          <w:tab w:val="left" w:pos="360"/>
        </w:tabs>
        <w:ind w:left="0" w:firstLine="0"/>
      </w:pPr>
      <w:r>
        <w:t xml:space="preserve">BJS contacts include: </w:t>
      </w:r>
    </w:p>
    <w:p w:rsidRPr="00EB0A16" w:rsidR="00746FE1" w:rsidP="00C36166" w:rsidRDefault="00746FE1" w14:paraId="3A6E9B19" w14:textId="05791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Pr="00C36166" w:rsidR="00746FE1" w:rsidP="00C36166" w:rsidRDefault="003C783D" w14:paraId="15FD9239" w14:textId="20B0F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36166" w:rsidR="00746FE1">
        <w:rPr>
          <w:rFonts w:ascii="Times New Roman" w:hAnsi="Times New Roman" w:cs="Times New Roman"/>
          <w:sz w:val="24"/>
          <w:szCs w:val="24"/>
        </w:rPr>
        <w:t>Elizabeth Davis</w:t>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Pr>
          <w:rFonts w:ascii="Times New Roman" w:hAnsi="Times New Roman" w:cs="Times New Roman"/>
          <w:sz w:val="24"/>
          <w:szCs w:val="24"/>
        </w:rPr>
        <w:tab/>
      </w:r>
    </w:p>
    <w:p w:rsidRPr="00C36166" w:rsidR="00746FE1" w:rsidP="00C36166" w:rsidRDefault="00746FE1" w14:paraId="09376729" w14:textId="439E0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C36166">
        <w:rPr>
          <w:rFonts w:ascii="Times New Roman" w:hAnsi="Times New Roman" w:cs="Times New Roman"/>
          <w:sz w:val="24"/>
          <w:szCs w:val="24"/>
        </w:rPr>
        <w:tab/>
        <w:t>202-305-2667</w:t>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Pr>
          <w:rFonts w:ascii="Times New Roman" w:hAnsi="Times New Roman" w:cs="Times New Roman"/>
          <w:sz w:val="24"/>
          <w:szCs w:val="24"/>
        </w:rPr>
        <w:tab/>
      </w:r>
    </w:p>
    <w:p w:rsidRPr="00C36166" w:rsidR="00746FE1" w:rsidP="004973D5" w:rsidRDefault="00746FE1" w14:paraId="2D7D4937" w14:textId="09E57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C36166">
        <w:rPr>
          <w:rFonts w:ascii="Times New Roman" w:hAnsi="Times New Roman" w:cs="Times New Roman"/>
          <w:sz w:val="24"/>
          <w:szCs w:val="24"/>
        </w:rPr>
        <w:tab/>
      </w:r>
      <w:hyperlink w:history="1" r:id="rId9">
        <w:r w:rsidRPr="00B829B0" w:rsidR="004973D5">
          <w:rPr>
            <w:rStyle w:val="Hyperlink"/>
            <w:rFonts w:ascii="Times New Roman" w:hAnsi="Times New Roman"/>
            <w:sz w:val="24"/>
            <w:szCs w:val="24"/>
          </w:rPr>
          <w:t>Elizabeth.Davis@usdoj.gov</w:t>
        </w:r>
      </w:hyperlink>
      <w:r w:rsidRPr="004973D5" w:rsidR="004973D5">
        <w:rPr>
          <w:rStyle w:val="Hyperlink"/>
          <w:rFonts w:ascii="Times New Roman" w:hAnsi="Times New Roman"/>
          <w:sz w:val="24"/>
          <w:szCs w:val="24"/>
          <w:u w:val="none"/>
        </w:rPr>
        <w:tab/>
      </w:r>
      <w:r w:rsidRPr="004973D5" w:rsidR="004973D5">
        <w:rPr>
          <w:rStyle w:val="Hyperlink"/>
          <w:rFonts w:ascii="Times New Roman" w:hAnsi="Times New Roman"/>
          <w:sz w:val="24"/>
          <w:szCs w:val="24"/>
          <w:u w:val="none"/>
        </w:rPr>
        <w:tab/>
      </w:r>
      <w:r w:rsidRPr="004973D5" w:rsidR="004973D5">
        <w:rPr>
          <w:rStyle w:val="Hyperlink"/>
          <w:rFonts w:ascii="Times New Roman" w:hAnsi="Times New Roman"/>
          <w:sz w:val="24"/>
          <w:szCs w:val="24"/>
          <w:u w:val="none"/>
        </w:rPr>
        <w:tab/>
      </w:r>
    </w:p>
    <w:p w:rsidR="00746FE1" w:rsidP="00C36166" w:rsidRDefault="00746FE1" w14:paraId="4A509F7C" w14:textId="77777777">
      <w:pPr>
        <w:pStyle w:val="ListParagraph"/>
        <w:tabs>
          <w:tab w:val="left" w:pos="360"/>
        </w:tabs>
        <w:ind w:left="0"/>
      </w:pPr>
    </w:p>
    <w:p w:rsidR="009D1629" w:rsidP="00C36166" w:rsidRDefault="009D1629" w14:paraId="79B51936" w14:textId="4C1B864F">
      <w:pPr>
        <w:pStyle w:val="ListParagraph"/>
        <w:tabs>
          <w:tab w:val="left" w:pos="360"/>
        </w:tabs>
        <w:ind w:left="0"/>
      </w:pPr>
      <w:r>
        <w:tab/>
      </w:r>
      <w:r>
        <w:tab/>
        <w:t>Kevin</w:t>
      </w:r>
      <w:r w:rsidR="00746FE1">
        <w:t xml:space="preserve"> </w:t>
      </w:r>
      <w:r w:rsidR="001B266D">
        <w:t xml:space="preserve">M. </w:t>
      </w:r>
      <w:r w:rsidR="00746FE1">
        <w:t>Scott, Ph.D.</w:t>
      </w:r>
    </w:p>
    <w:p w:rsidR="00746FE1" w:rsidP="00C36166" w:rsidRDefault="00746FE1" w14:paraId="356DB714" w14:textId="00388301">
      <w:pPr>
        <w:pStyle w:val="ListParagraph"/>
        <w:tabs>
          <w:tab w:val="left" w:pos="360"/>
        </w:tabs>
        <w:ind w:left="0"/>
      </w:pPr>
      <w:r>
        <w:tab/>
      </w:r>
      <w:r>
        <w:tab/>
        <w:t>202-616-3615</w:t>
      </w:r>
    </w:p>
    <w:p w:rsidR="00746FE1" w:rsidP="00C36166" w:rsidRDefault="00746FE1" w14:paraId="3F782BE3" w14:textId="2CCAA175">
      <w:pPr>
        <w:pStyle w:val="ListParagraph"/>
        <w:tabs>
          <w:tab w:val="left" w:pos="360"/>
        </w:tabs>
        <w:ind w:left="0"/>
        <w:rPr>
          <w:rStyle w:val="Hyperlink"/>
        </w:rPr>
      </w:pPr>
      <w:r>
        <w:tab/>
      </w:r>
      <w:r>
        <w:tab/>
      </w:r>
      <w:hyperlink w:history="1" r:id="rId10">
        <w:r w:rsidRPr="000A7086" w:rsidR="003C783D">
          <w:rPr>
            <w:rStyle w:val="Hyperlink"/>
          </w:rPr>
          <w:t>Kevin.M.Scott@usdoj.gov</w:t>
        </w:r>
      </w:hyperlink>
      <w:r w:rsidR="003C783D">
        <w:t xml:space="preserve"> </w:t>
      </w:r>
    </w:p>
    <w:p w:rsidR="009D1629" w:rsidRDefault="009D1629" w14:paraId="584360C8" w14:textId="77777777">
      <w:pPr>
        <w:pStyle w:val="ListParagraph"/>
        <w:tabs>
          <w:tab w:val="left" w:pos="360"/>
        </w:tabs>
        <w:ind w:left="0"/>
      </w:pPr>
    </w:p>
    <w:p w:rsidR="009D1629" w:rsidP="00C36166" w:rsidRDefault="009D1629" w14:paraId="2BE4C2FB" w14:textId="77777777">
      <w:pPr>
        <w:pStyle w:val="ListParagraph"/>
        <w:numPr>
          <w:ilvl w:val="0"/>
          <w:numId w:val="9"/>
        </w:numPr>
        <w:tabs>
          <w:tab w:val="left" w:pos="360"/>
        </w:tabs>
        <w:ind w:left="0" w:firstLine="0"/>
      </w:pPr>
      <w:r>
        <w:t>Persons consulted on statistical methodology:</w:t>
      </w:r>
    </w:p>
    <w:p w:rsidR="009D1629" w:rsidP="00C36166" w:rsidRDefault="009D1629" w14:paraId="0218E75C" w14:textId="74A0D8AC">
      <w:pPr>
        <w:tabs>
          <w:tab w:val="left" w:pos="360"/>
        </w:tabs>
        <w:spacing w:after="0" w:line="240" w:lineRule="auto"/>
      </w:pPr>
    </w:p>
    <w:p w:rsidR="009D1629" w:rsidRDefault="009D1629" w14:paraId="1070758A" w14:textId="7CD7A8DB">
      <w:pPr>
        <w:pStyle w:val="ListParagraph"/>
        <w:tabs>
          <w:tab w:val="left" w:pos="360"/>
        </w:tabs>
        <w:ind w:left="0"/>
      </w:pPr>
      <w:r>
        <w:tab/>
      </w:r>
      <w:r>
        <w:tab/>
      </w:r>
      <w:r w:rsidR="00BD4625">
        <w:t>Nicole Mack</w:t>
      </w:r>
    </w:p>
    <w:p w:rsidR="009D1629" w:rsidRDefault="009D1629" w14:paraId="4559DCB1" w14:textId="77777777">
      <w:pPr>
        <w:pStyle w:val="ListParagraph"/>
        <w:tabs>
          <w:tab w:val="left" w:pos="360"/>
        </w:tabs>
        <w:ind w:left="0"/>
      </w:pPr>
      <w:r>
        <w:tab/>
      </w:r>
      <w:r>
        <w:tab/>
        <w:t>RTI International</w:t>
      </w:r>
    </w:p>
    <w:p w:rsidR="009D1629" w:rsidP="00C36166" w:rsidRDefault="009D1629" w14:paraId="23744D91" w14:textId="77777777">
      <w:pPr>
        <w:spacing w:after="0" w:line="240" w:lineRule="auto"/>
      </w:pPr>
    </w:p>
    <w:p w:rsidR="009D1629" w:rsidP="00C36166" w:rsidRDefault="009D1629" w14:paraId="3FD0704B" w14:textId="77777777">
      <w:pPr>
        <w:pStyle w:val="ListParagraph"/>
        <w:numPr>
          <w:ilvl w:val="0"/>
          <w:numId w:val="9"/>
        </w:numPr>
        <w:tabs>
          <w:tab w:val="left" w:pos="360"/>
        </w:tabs>
        <w:ind w:left="0" w:firstLine="0"/>
      </w:pPr>
      <w:r>
        <w:t>Persons consulted on data collection and analysis:</w:t>
      </w:r>
    </w:p>
    <w:p w:rsidR="003C783D" w:rsidP="00C36166" w:rsidRDefault="003C783D" w14:paraId="0401CC74" w14:textId="77777777">
      <w:pPr>
        <w:spacing w:after="0" w:line="240" w:lineRule="auto"/>
        <w:ind w:left="720"/>
        <w:rPr>
          <w:rFonts w:ascii="Times New Roman" w:hAnsi="Times New Roman" w:cs="Times New Roman"/>
          <w:sz w:val="24"/>
          <w:szCs w:val="24"/>
        </w:rPr>
      </w:pPr>
    </w:p>
    <w:p w:rsidRPr="00C36166" w:rsidR="004973D5" w:rsidP="004973D5" w:rsidRDefault="009D1629" w14:paraId="7AAE2CE0" w14:textId="3EFE1506">
      <w:pPr>
        <w:spacing w:after="0" w:line="240" w:lineRule="auto"/>
        <w:ind w:left="720"/>
        <w:rPr>
          <w:rFonts w:ascii="Times New Roman" w:hAnsi="Times New Roman" w:cs="Times New Roman"/>
          <w:sz w:val="24"/>
          <w:szCs w:val="24"/>
        </w:rPr>
      </w:pPr>
      <w:r w:rsidRPr="00C36166">
        <w:rPr>
          <w:rFonts w:ascii="Times New Roman" w:hAnsi="Times New Roman" w:cs="Times New Roman"/>
          <w:sz w:val="24"/>
          <w:szCs w:val="24"/>
        </w:rPr>
        <w:t>Dustin</w:t>
      </w:r>
      <w:r w:rsidRPr="00C36166" w:rsidR="000B6C74">
        <w:rPr>
          <w:rFonts w:ascii="Times New Roman" w:hAnsi="Times New Roman" w:cs="Times New Roman"/>
          <w:sz w:val="24"/>
          <w:szCs w:val="24"/>
        </w:rPr>
        <w:t xml:space="preserve"> William</w:t>
      </w:r>
      <w:r w:rsidR="003C783D">
        <w:rPr>
          <w:rFonts w:ascii="Times New Roman" w:hAnsi="Times New Roman" w:cs="Times New Roman"/>
          <w:sz w:val="24"/>
          <w:szCs w:val="24"/>
        </w:rPr>
        <w:t>s</w:t>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Pr>
          <w:rFonts w:ascii="Times New Roman" w:hAnsi="Times New Roman" w:cs="Times New Roman"/>
          <w:sz w:val="24"/>
          <w:szCs w:val="24"/>
        </w:rPr>
        <w:tab/>
      </w:r>
      <w:r w:rsidR="00BD4625">
        <w:rPr>
          <w:rFonts w:ascii="Times New Roman" w:hAnsi="Times New Roman" w:cs="Times New Roman"/>
          <w:sz w:val="24"/>
          <w:szCs w:val="24"/>
        </w:rPr>
        <w:t>Tim Smith</w:t>
      </w:r>
    </w:p>
    <w:p w:rsidR="004973D5" w:rsidP="004973D5" w:rsidRDefault="000B6C74" w14:paraId="76878964" w14:textId="77777777">
      <w:pPr>
        <w:spacing w:after="0" w:line="240" w:lineRule="auto"/>
        <w:ind w:left="720"/>
        <w:rPr>
          <w:rFonts w:ascii="Times New Roman" w:hAnsi="Times New Roman" w:cs="Times New Roman"/>
          <w:sz w:val="24"/>
          <w:szCs w:val="24"/>
        </w:rPr>
      </w:pPr>
      <w:r w:rsidRPr="00C36166">
        <w:rPr>
          <w:rFonts w:ascii="Times New Roman" w:hAnsi="Times New Roman" w:cs="Times New Roman"/>
          <w:sz w:val="24"/>
          <w:szCs w:val="24"/>
        </w:rPr>
        <w:t>RTI International</w:t>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Pr>
          <w:rFonts w:ascii="Times New Roman" w:hAnsi="Times New Roman" w:cs="Times New Roman"/>
          <w:sz w:val="24"/>
          <w:szCs w:val="24"/>
        </w:rPr>
        <w:tab/>
      </w:r>
      <w:r w:rsidRPr="00C36166" w:rsidR="004973D5">
        <w:rPr>
          <w:rFonts w:ascii="Times New Roman" w:hAnsi="Times New Roman" w:cs="Times New Roman"/>
          <w:sz w:val="24"/>
          <w:szCs w:val="24"/>
        </w:rPr>
        <w:t>RTI International</w:t>
      </w:r>
    </w:p>
    <w:p w:rsidRPr="00C36166" w:rsidR="00D043C6" w:rsidP="00C36166" w:rsidRDefault="00D043C6" w14:paraId="71757BAA" w14:textId="77777777">
      <w:pPr>
        <w:spacing w:after="0" w:line="240" w:lineRule="auto"/>
        <w:ind w:left="720"/>
        <w:rPr>
          <w:rFonts w:ascii="Times New Roman" w:hAnsi="Times New Roman" w:cs="Times New Roman"/>
          <w:sz w:val="24"/>
          <w:szCs w:val="24"/>
        </w:rPr>
      </w:pPr>
    </w:p>
    <w:p w:rsidR="009D1629" w:rsidP="00C36166" w:rsidRDefault="009D1629" w14:paraId="654604C4" w14:textId="5295157C">
      <w:pPr>
        <w:spacing w:after="0" w:line="240" w:lineRule="auto"/>
        <w:ind w:left="720"/>
        <w:rPr>
          <w:rFonts w:ascii="Times New Roman" w:hAnsi="Times New Roman" w:cs="Times New Roman"/>
          <w:sz w:val="24"/>
          <w:szCs w:val="24"/>
        </w:rPr>
      </w:pPr>
      <w:r w:rsidRPr="00C36166">
        <w:rPr>
          <w:rFonts w:ascii="Times New Roman" w:hAnsi="Times New Roman" w:cs="Times New Roman"/>
          <w:sz w:val="24"/>
          <w:szCs w:val="24"/>
        </w:rPr>
        <w:t>Chris</w:t>
      </w:r>
      <w:r w:rsidR="00BD4625">
        <w:rPr>
          <w:rFonts w:ascii="Times New Roman" w:hAnsi="Times New Roman" w:cs="Times New Roman"/>
          <w:sz w:val="24"/>
          <w:szCs w:val="24"/>
        </w:rPr>
        <w:t xml:space="preserve">tian Genesky </w:t>
      </w:r>
      <w:r w:rsidR="00BD4625">
        <w:rPr>
          <w:rFonts w:ascii="Times New Roman" w:hAnsi="Times New Roman" w:cs="Times New Roman"/>
          <w:sz w:val="24"/>
          <w:szCs w:val="24"/>
        </w:rPr>
        <w:tab/>
      </w:r>
      <w:r w:rsidR="00BD4625">
        <w:rPr>
          <w:rFonts w:ascii="Times New Roman" w:hAnsi="Times New Roman" w:cs="Times New Roman"/>
          <w:sz w:val="24"/>
          <w:szCs w:val="24"/>
        </w:rPr>
        <w:tab/>
      </w:r>
      <w:r w:rsidR="00BD4625">
        <w:rPr>
          <w:rFonts w:ascii="Times New Roman" w:hAnsi="Times New Roman" w:cs="Times New Roman"/>
          <w:sz w:val="24"/>
          <w:szCs w:val="24"/>
        </w:rPr>
        <w:tab/>
      </w:r>
      <w:r w:rsidR="00BD4625">
        <w:rPr>
          <w:rFonts w:ascii="Times New Roman" w:hAnsi="Times New Roman" w:cs="Times New Roman"/>
          <w:sz w:val="24"/>
          <w:szCs w:val="24"/>
        </w:rPr>
        <w:tab/>
        <w:t>Tim Flanigan</w:t>
      </w:r>
    </w:p>
    <w:p w:rsidR="006E060D" w:rsidP="004973D5" w:rsidRDefault="0066524B" w14:paraId="42CEB87A" w14:textId="102CAEF9">
      <w:pPr>
        <w:spacing w:after="0" w:line="240" w:lineRule="auto"/>
        <w:ind w:left="720"/>
      </w:pPr>
      <w:r>
        <w:rPr>
          <w:rFonts w:ascii="Times New Roman" w:hAnsi="Times New Roman" w:cs="Times New Roman"/>
          <w:sz w:val="24"/>
          <w:szCs w:val="24"/>
        </w:rPr>
        <w:t>RTI International</w:t>
      </w:r>
      <w:r w:rsidR="00BD4625">
        <w:rPr>
          <w:rFonts w:ascii="Times New Roman" w:hAnsi="Times New Roman" w:cs="Times New Roman"/>
          <w:sz w:val="24"/>
          <w:szCs w:val="24"/>
        </w:rPr>
        <w:tab/>
      </w:r>
      <w:r w:rsidR="00BD4625">
        <w:rPr>
          <w:rFonts w:ascii="Times New Roman" w:hAnsi="Times New Roman" w:cs="Times New Roman"/>
          <w:sz w:val="24"/>
          <w:szCs w:val="24"/>
        </w:rPr>
        <w:tab/>
      </w:r>
      <w:r w:rsidR="00BD4625">
        <w:rPr>
          <w:rFonts w:ascii="Times New Roman" w:hAnsi="Times New Roman" w:cs="Times New Roman"/>
          <w:sz w:val="24"/>
          <w:szCs w:val="24"/>
        </w:rPr>
        <w:tab/>
      </w:r>
      <w:r w:rsidR="00BD4625">
        <w:rPr>
          <w:rFonts w:ascii="Times New Roman" w:hAnsi="Times New Roman" w:cs="Times New Roman"/>
          <w:sz w:val="24"/>
          <w:szCs w:val="24"/>
        </w:rPr>
        <w:tab/>
        <w:t>RTI International</w:t>
      </w:r>
    </w:p>
    <w:p w:rsidR="00C92735" w:rsidP="00C92735" w:rsidRDefault="00C92735" w14:paraId="04BBC1F3" w14:textId="7071D089"/>
    <w:p w:rsidRPr="00C92735" w:rsidR="00C92735" w:rsidP="00C92735" w:rsidRDefault="00C92735" w14:paraId="320C42D9" w14:textId="77777777">
      <w:pPr>
        <w:spacing w:after="0"/>
        <w:rPr>
          <w:rFonts w:ascii="Times New Roman" w:hAnsi="Times New Roman" w:cs="Times New Roman"/>
          <w:b/>
          <w:sz w:val="24"/>
          <w:szCs w:val="24"/>
        </w:rPr>
      </w:pPr>
    </w:p>
    <w:sectPr w:rsidRPr="00C92735" w:rsidR="00C927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BE19D" w14:textId="77777777" w:rsidR="00F35E5D" w:rsidRDefault="00F35E5D" w:rsidP="00C92735">
      <w:pPr>
        <w:spacing w:after="0" w:line="240" w:lineRule="auto"/>
      </w:pPr>
      <w:r>
        <w:separator/>
      </w:r>
    </w:p>
  </w:endnote>
  <w:endnote w:type="continuationSeparator" w:id="0">
    <w:p w14:paraId="72D7C29A" w14:textId="77777777" w:rsidR="00F35E5D" w:rsidRDefault="00F35E5D" w:rsidP="00C92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B2178" w14:textId="77777777" w:rsidR="00F35E5D" w:rsidRDefault="00F35E5D" w:rsidP="00C92735">
      <w:pPr>
        <w:spacing w:after="0" w:line="240" w:lineRule="auto"/>
      </w:pPr>
      <w:r>
        <w:separator/>
      </w:r>
    </w:p>
  </w:footnote>
  <w:footnote w:type="continuationSeparator" w:id="0">
    <w:p w14:paraId="591146A2" w14:textId="77777777" w:rsidR="00F35E5D" w:rsidRDefault="00F35E5D" w:rsidP="00C92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01E1"/>
    <w:multiLevelType w:val="hybridMultilevel"/>
    <w:tmpl w:val="812C00E2"/>
    <w:lvl w:ilvl="0" w:tplc="6570FF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8651F"/>
    <w:multiLevelType w:val="hybridMultilevel"/>
    <w:tmpl w:val="535A1AFC"/>
    <w:lvl w:ilvl="0" w:tplc="89DC6168">
      <w:start w:val="5"/>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F5109"/>
    <w:multiLevelType w:val="hybridMultilevel"/>
    <w:tmpl w:val="9432B50A"/>
    <w:lvl w:ilvl="0" w:tplc="0FA2106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F514D"/>
    <w:multiLevelType w:val="hybridMultilevel"/>
    <w:tmpl w:val="3E96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4BB37B9"/>
    <w:multiLevelType w:val="hybridMultilevel"/>
    <w:tmpl w:val="5F523BEA"/>
    <w:lvl w:ilvl="0" w:tplc="56BA94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7C96A12"/>
    <w:multiLevelType w:val="hybridMultilevel"/>
    <w:tmpl w:val="5F523BEA"/>
    <w:lvl w:ilvl="0" w:tplc="56BA94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8577E82"/>
    <w:multiLevelType w:val="hybridMultilevel"/>
    <w:tmpl w:val="81EA7D1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BB81E2C"/>
    <w:multiLevelType w:val="hybridMultilevel"/>
    <w:tmpl w:val="492C8C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CD4296"/>
    <w:multiLevelType w:val="hybridMultilevel"/>
    <w:tmpl w:val="FBAA31F0"/>
    <w:lvl w:ilvl="0" w:tplc="0409000F">
      <w:start w:val="3"/>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15:restartNumberingAfterBreak="0">
    <w:nsid w:val="78E65CDB"/>
    <w:multiLevelType w:val="hybridMultilevel"/>
    <w:tmpl w:val="A0C076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2"/>
  </w:num>
  <w:num w:numId="3">
    <w:abstractNumId w:val="0"/>
  </w:num>
  <w:num w:numId="4">
    <w:abstractNumId w:val="8"/>
  </w:num>
  <w:num w:numId="5">
    <w:abstractNumId w:val="10"/>
  </w:num>
  <w:num w:numId="6">
    <w:abstractNumId w:val="3"/>
  </w:num>
  <w:num w:numId="7">
    <w:abstractNumId w:val="9"/>
  </w:num>
  <w:num w:numId="8">
    <w:abstractNumId w:val="7"/>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35"/>
    <w:rsid w:val="0000500B"/>
    <w:rsid w:val="0000503B"/>
    <w:rsid w:val="0000656E"/>
    <w:rsid w:val="000128EB"/>
    <w:rsid w:val="000129F2"/>
    <w:rsid w:val="00055A4B"/>
    <w:rsid w:val="00060944"/>
    <w:rsid w:val="00066E5C"/>
    <w:rsid w:val="00090708"/>
    <w:rsid w:val="000B6C74"/>
    <w:rsid w:val="000D3C96"/>
    <w:rsid w:val="000E1738"/>
    <w:rsid w:val="000F3834"/>
    <w:rsid w:val="00100BEF"/>
    <w:rsid w:val="00106E1F"/>
    <w:rsid w:val="0014008D"/>
    <w:rsid w:val="001436B5"/>
    <w:rsid w:val="0016797F"/>
    <w:rsid w:val="001A58D0"/>
    <w:rsid w:val="001B266D"/>
    <w:rsid w:val="001B5B86"/>
    <w:rsid w:val="001B6DFD"/>
    <w:rsid w:val="001C1FAB"/>
    <w:rsid w:val="001D5F7C"/>
    <w:rsid w:val="001D6860"/>
    <w:rsid w:val="0021400B"/>
    <w:rsid w:val="00224DB3"/>
    <w:rsid w:val="00232B35"/>
    <w:rsid w:val="00235EAC"/>
    <w:rsid w:val="002368F3"/>
    <w:rsid w:val="0024072A"/>
    <w:rsid w:val="0024493A"/>
    <w:rsid w:val="00250443"/>
    <w:rsid w:val="0028132A"/>
    <w:rsid w:val="0028381D"/>
    <w:rsid w:val="00286902"/>
    <w:rsid w:val="00297744"/>
    <w:rsid w:val="002C069E"/>
    <w:rsid w:val="002F75C0"/>
    <w:rsid w:val="003214E8"/>
    <w:rsid w:val="0032550D"/>
    <w:rsid w:val="003405D8"/>
    <w:rsid w:val="00345966"/>
    <w:rsid w:val="00347035"/>
    <w:rsid w:val="00356DFB"/>
    <w:rsid w:val="00360A19"/>
    <w:rsid w:val="00361220"/>
    <w:rsid w:val="00370472"/>
    <w:rsid w:val="00381E79"/>
    <w:rsid w:val="003B0675"/>
    <w:rsid w:val="003B4F30"/>
    <w:rsid w:val="003C284C"/>
    <w:rsid w:val="003C783D"/>
    <w:rsid w:val="003D39D4"/>
    <w:rsid w:val="003D3CE6"/>
    <w:rsid w:val="003D48D8"/>
    <w:rsid w:val="003F1F77"/>
    <w:rsid w:val="003F3B94"/>
    <w:rsid w:val="003F4EDD"/>
    <w:rsid w:val="00401036"/>
    <w:rsid w:val="004071F0"/>
    <w:rsid w:val="004113D9"/>
    <w:rsid w:val="00413B5B"/>
    <w:rsid w:val="00451FB4"/>
    <w:rsid w:val="0045731C"/>
    <w:rsid w:val="004649F3"/>
    <w:rsid w:val="00481927"/>
    <w:rsid w:val="00484912"/>
    <w:rsid w:val="00493F51"/>
    <w:rsid w:val="004973D5"/>
    <w:rsid w:val="004A3732"/>
    <w:rsid w:val="004A3AAA"/>
    <w:rsid w:val="004B464D"/>
    <w:rsid w:val="004B7D5D"/>
    <w:rsid w:val="004C1D6B"/>
    <w:rsid w:val="004D5926"/>
    <w:rsid w:val="004E04AF"/>
    <w:rsid w:val="00516FAF"/>
    <w:rsid w:val="0052129D"/>
    <w:rsid w:val="005257FB"/>
    <w:rsid w:val="00531975"/>
    <w:rsid w:val="00533C90"/>
    <w:rsid w:val="0053745C"/>
    <w:rsid w:val="00540B52"/>
    <w:rsid w:val="005631B9"/>
    <w:rsid w:val="005647AD"/>
    <w:rsid w:val="00565519"/>
    <w:rsid w:val="00567205"/>
    <w:rsid w:val="00574EDB"/>
    <w:rsid w:val="0058157E"/>
    <w:rsid w:val="0058208C"/>
    <w:rsid w:val="00586295"/>
    <w:rsid w:val="00587982"/>
    <w:rsid w:val="005946A4"/>
    <w:rsid w:val="0059510E"/>
    <w:rsid w:val="005B5C37"/>
    <w:rsid w:val="005C0269"/>
    <w:rsid w:val="005C64DF"/>
    <w:rsid w:val="005E5FED"/>
    <w:rsid w:val="005F1A5D"/>
    <w:rsid w:val="006051D5"/>
    <w:rsid w:val="00621001"/>
    <w:rsid w:val="0063001D"/>
    <w:rsid w:val="00636A94"/>
    <w:rsid w:val="00640595"/>
    <w:rsid w:val="00643E45"/>
    <w:rsid w:val="006542BF"/>
    <w:rsid w:val="0066524B"/>
    <w:rsid w:val="0067057B"/>
    <w:rsid w:val="00674B4A"/>
    <w:rsid w:val="0067579A"/>
    <w:rsid w:val="00675B61"/>
    <w:rsid w:val="00676ADB"/>
    <w:rsid w:val="006832E3"/>
    <w:rsid w:val="006869FD"/>
    <w:rsid w:val="00697093"/>
    <w:rsid w:val="006D5230"/>
    <w:rsid w:val="006E060D"/>
    <w:rsid w:val="00704120"/>
    <w:rsid w:val="00704A7E"/>
    <w:rsid w:val="0070508D"/>
    <w:rsid w:val="0071153A"/>
    <w:rsid w:val="00714692"/>
    <w:rsid w:val="0072306F"/>
    <w:rsid w:val="00723CF1"/>
    <w:rsid w:val="00725420"/>
    <w:rsid w:val="00735793"/>
    <w:rsid w:val="00742DD4"/>
    <w:rsid w:val="00743A76"/>
    <w:rsid w:val="00745924"/>
    <w:rsid w:val="00746FE1"/>
    <w:rsid w:val="00751ADD"/>
    <w:rsid w:val="00754F1E"/>
    <w:rsid w:val="00757700"/>
    <w:rsid w:val="007840A3"/>
    <w:rsid w:val="00792A32"/>
    <w:rsid w:val="00792ABF"/>
    <w:rsid w:val="00794FE6"/>
    <w:rsid w:val="00797103"/>
    <w:rsid w:val="007A6131"/>
    <w:rsid w:val="007A77B9"/>
    <w:rsid w:val="007B04AF"/>
    <w:rsid w:val="007B20F3"/>
    <w:rsid w:val="007B43CA"/>
    <w:rsid w:val="007C029A"/>
    <w:rsid w:val="007C042F"/>
    <w:rsid w:val="007E4AF9"/>
    <w:rsid w:val="00812729"/>
    <w:rsid w:val="008227F8"/>
    <w:rsid w:val="00823928"/>
    <w:rsid w:val="00823F69"/>
    <w:rsid w:val="00872FB7"/>
    <w:rsid w:val="008B2023"/>
    <w:rsid w:val="008C1409"/>
    <w:rsid w:val="008C52A9"/>
    <w:rsid w:val="008D01EA"/>
    <w:rsid w:val="008D486C"/>
    <w:rsid w:val="008F6292"/>
    <w:rsid w:val="008F6E10"/>
    <w:rsid w:val="00901B7C"/>
    <w:rsid w:val="009035A5"/>
    <w:rsid w:val="00921DA5"/>
    <w:rsid w:val="009223EA"/>
    <w:rsid w:val="00926943"/>
    <w:rsid w:val="009271BD"/>
    <w:rsid w:val="0093108D"/>
    <w:rsid w:val="00936F36"/>
    <w:rsid w:val="00940503"/>
    <w:rsid w:val="00945D81"/>
    <w:rsid w:val="0095301C"/>
    <w:rsid w:val="00957800"/>
    <w:rsid w:val="0096249F"/>
    <w:rsid w:val="00977325"/>
    <w:rsid w:val="00990C2C"/>
    <w:rsid w:val="009968C6"/>
    <w:rsid w:val="009A2B24"/>
    <w:rsid w:val="009A5561"/>
    <w:rsid w:val="009D1629"/>
    <w:rsid w:val="009D1A25"/>
    <w:rsid w:val="009D670B"/>
    <w:rsid w:val="009F5F6B"/>
    <w:rsid w:val="00A12298"/>
    <w:rsid w:val="00A1284C"/>
    <w:rsid w:val="00A14CF1"/>
    <w:rsid w:val="00A23824"/>
    <w:rsid w:val="00A843F8"/>
    <w:rsid w:val="00A90C6D"/>
    <w:rsid w:val="00AB12F4"/>
    <w:rsid w:val="00AB6957"/>
    <w:rsid w:val="00AC4442"/>
    <w:rsid w:val="00AD55EC"/>
    <w:rsid w:val="00AE3EC4"/>
    <w:rsid w:val="00AF3B83"/>
    <w:rsid w:val="00B022A4"/>
    <w:rsid w:val="00B16A47"/>
    <w:rsid w:val="00B2134B"/>
    <w:rsid w:val="00B22174"/>
    <w:rsid w:val="00B30BB5"/>
    <w:rsid w:val="00B35569"/>
    <w:rsid w:val="00B365A0"/>
    <w:rsid w:val="00B37221"/>
    <w:rsid w:val="00B5115E"/>
    <w:rsid w:val="00B51AFB"/>
    <w:rsid w:val="00B60C16"/>
    <w:rsid w:val="00B653FB"/>
    <w:rsid w:val="00B8754D"/>
    <w:rsid w:val="00B9388A"/>
    <w:rsid w:val="00BA5850"/>
    <w:rsid w:val="00BA7B2D"/>
    <w:rsid w:val="00BB1A03"/>
    <w:rsid w:val="00BB4ED5"/>
    <w:rsid w:val="00BD4625"/>
    <w:rsid w:val="00BD48C4"/>
    <w:rsid w:val="00BD5189"/>
    <w:rsid w:val="00BD7E7A"/>
    <w:rsid w:val="00C045B2"/>
    <w:rsid w:val="00C05564"/>
    <w:rsid w:val="00C173B5"/>
    <w:rsid w:val="00C2189E"/>
    <w:rsid w:val="00C27D81"/>
    <w:rsid w:val="00C30335"/>
    <w:rsid w:val="00C36166"/>
    <w:rsid w:val="00C408AE"/>
    <w:rsid w:val="00C44E4F"/>
    <w:rsid w:val="00C515C8"/>
    <w:rsid w:val="00C51BD4"/>
    <w:rsid w:val="00C53530"/>
    <w:rsid w:val="00C62353"/>
    <w:rsid w:val="00C672DB"/>
    <w:rsid w:val="00C736EE"/>
    <w:rsid w:val="00C8455B"/>
    <w:rsid w:val="00C92735"/>
    <w:rsid w:val="00C9590C"/>
    <w:rsid w:val="00C96103"/>
    <w:rsid w:val="00CA725C"/>
    <w:rsid w:val="00CB4C87"/>
    <w:rsid w:val="00CD1062"/>
    <w:rsid w:val="00CD2B61"/>
    <w:rsid w:val="00CE13D8"/>
    <w:rsid w:val="00CE3C29"/>
    <w:rsid w:val="00CF3B89"/>
    <w:rsid w:val="00D043C6"/>
    <w:rsid w:val="00D1109E"/>
    <w:rsid w:val="00D15405"/>
    <w:rsid w:val="00D25D1E"/>
    <w:rsid w:val="00D30705"/>
    <w:rsid w:val="00D67F54"/>
    <w:rsid w:val="00D97E59"/>
    <w:rsid w:val="00DA3079"/>
    <w:rsid w:val="00DB1563"/>
    <w:rsid w:val="00DB3449"/>
    <w:rsid w:val="00DB3D47"/>
    <w:rsid w:val="00DC08F8"/>
    <w:rsid w:val="00DC31D8"/>
    <w:rsid w:val="00DD05AE"/>
    <w:rsid w:val="00DE2E58"/>
    <w:rsid w:val="00DE3EA9"/>
    <w:rsid w:val="00DF71AC"/>
    <w:rsid w:val="00E13F77"/>
    <w:rsid w:val="00E237AB"/>
    <w:rsid w:val="00E27197"/>
    <w:rsid w:val="00E34C35"/>
    <w:rsid w:val="00E6459F"/>
    <w:rsid w:val="00E6772A"/>
    <w:rsid w:val="00E67B1A"/>
    <w:rsid w:val="00E85FEA"/>
    <w:rsid w:val="00EA163F"/>
    <w:rsid w:val="00EA437C"/>
    <w:rsid w:val="00EA70C5"/>
    <w:rsid w:val="00EC48E0"/>
    <w:rsid w:val="00EC5505"/>
    <w:rsid w:val="00EC6D4A"/>
    <w:rsid w:val="00EC6F2C"/>
    <w:rsid w:val="00ED1138"/>
    <w:rsid w:val="00ED4002"/>
    <w:rsid w:val="00EE61BE"/>
    <w:rsid w:val="00EF3317"/>
    <w:rsid w:val="00EF77D8"/>
    <w:rsid w:val="00EF79D4"/>
    <w:rsid w:val="00F25BBC"/>
    <w:rsid w:val="00F26B9F"/>
    <w:rsid w:val="00F31E0B"/>
    <w:rsid w:val="00F35E5D"/>
    <w:rsid w:val="00F45251"/>
    <w:rsid w:val="00F51A8E"/>
    <w:rsid w:val="00F5357F"/>
    <w:rsid w:val="00F5653B"/>
    <w:rsid w:val="00F67F5A"/>
    <w:rsid w:val="00F949E4"/>
    <w:rsid w:val="00FE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30E6"/>
  <w15:chartTrackingRefBased/>
  <w15:docId w15:val="{47CEAA84-37B9-4107-8AA8-6A4E0DFD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735"/>
    <w:pPr>
      <w:spacing w:after="0" w:line="240" w:lineRule="auto"/>
      <w:ind w:left="720"/>
      <w:contextualSpacing/>
    </w:pPr>
    <w:rPr>
      <w:rFonts w:ascii="Times New Roman" w:eastAsia="Times New Roman" w:hAnsi="Times New Roman" w:cs="Times New Roman"/>
      <w:sz w:val="24"/>
      <w:szCs w:val="24"/>
    </w:rPr>
  </w:style>
  <w:style w:type="paragraph" w:customStyle="1" w:styleId="SP-SglSpPara">
    <w:name w:val="SP-Sgl Sp Para"/>
    <w:link w:val="SP-SglSpParaChar"/>
    <w:uiPriority w:val="99"/>
    <w:rsid w:val="00C9273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C92735"/>
    <w:rPr>
      <w:rFonts w:ascii="Times New Roman" w:eastAsia="Times New Roman" w:hAnsi="Times New Roman" w:cs="Times New Roman"/>
      <w:szCs w:val="20"/>
    </w:rPr>
  </w:style>
  <w:style w:type="paragraph" w:styleId="FootnoteText">
    <w:name w:val="footnote text"/>
    <w:basedOn w:val="Normal"/>
    <w:link w:val="FootnoteTextChar"/>
    <w:uiPriority w:val="99"/>
    <w:unhideWhenUsed/>
    <w:rsid w:val="00C92735"/>
    <w:pPr>
      <w:spacing w:after="0" w:line="240" w:lineRule="auto"/>
    </w:pPr>
    <w:rPr>
      <w:sz w:val="20"/>
      <w:szCs w:val="20"/>
    </w:rPr>
  </w:style>
  <w:style w:type="character" w:customStyle="1" w:styleId="FootnoteTextChar">
    <w:name w:val="Footnote Text Char"/>
    <w:basedOn w:val="DefaultParagraphFont"/>
    <w:link w:val="FootnoteText"/>
    <w:uiPriority w:val="99"/>
    <w:rsid w:val="00C92735"/>
    <w:rPr>
      <w:sz w:val="20"/>
      <w:szCs w:val="20"/>
    </w:rPr>
  </w:style>
  <w:style w:type="character" w:styleId="FootnoteReference">
    <w:name w:val="footnote reference"/>
    <w:basedOn w:val="DefaultParagraphFont"/>
    <w:uiPriority w:val="99"/>
    <w:unhideWhenUsed/>
    <w:rsid w:val="00C92735"/>
    <w:rPr>
      <w:vertAlign w:val="superscript"/>
    </w:rPr>
  </w:style>
  <w:style w:type="paragraph" w:customStyle="1" w:styleId="Default">
    <w:name w:val="Default"/>
    <w:uiPriority w:val="99"/>
    <w:rsid w:val="00C9273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Quick1">
    <w:name w:val="Quick 1."/>
    <w:basedOn w:val="Normal"/>
    <w:rsid w:val="00BB1A03"/>
    <w:pPr>
      <w:widowControl w:val="0"/>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B1A03"/>
    <w:rPr>
      <w:sz w:val="16"/>
      <w:szCs w:val="16"/>
    </w:rPr>
  </w:style>
  <w:style w:type="paragraph" w:styleId="CommentText">
    <w:name w:val="annotation text"/>
    <w:basedOn w:val="Normal"/>
    <w:link w:val="CommentTextChar"/>
    <w:uiPriority w:val="99"/>
    <w:unhideWhenUsed/>
    <w:rsid w:val="00BB1A0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B1A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1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A0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4FE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94FE6"/>
    <w:rPr>
      <w:rFonts w:ascii="Times New Roman" w:eastAsia="Times New Roman" w:hAnsi="Times New Roman" w:cs="Times New Roman"/>
      <w:b/>
      <w:bCs/>
      <w:sz w:val="20"/>
      <w:szCs w:val="20"/>
    </w:rPr>
  </w:style>
  <w:style w:type="character" w:styleId="Hyperlink">
    <w:name w:val="Hyperlink"/>
    <w:basedOn w:val="DefaultParagraphFont"/>
    <w:uiPriority w:val="99"/>
    <w:rsid w:val="009D1629"/>
    <w:rPr>
      <w:rFonts w:cs="Times New Roman"/>
      <w:color w:val="0000FF"/>
      <w:u w:val="single"/>
    </w:rPr>
  </w:style>
  <w:style w:type="table" w:styleId="TableGrid">
    <w:name w:val="Table Grid"/>
    <w:basedOn w:val="TableNormal"/>
    <w:uiPriority w:val="39"/>
    <w:rsid w:val="00B36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5E5D"/>
    <w:pPr>
      <w:spacing w:after="0" w:line="240" w:lineRule="auto"/>
    </w:pPr>
  </w:style>
  <w:style w:type="paragraph" w:styleId="Header">
    <w:name w:val="header"/>
    <w:basedOn w:val="Normal"/>
    <w:link w:val="HeaderChar"/>
    <w:uiPriority w:val="99"/>
    <w:unhideWhenUsed/>
    <w:rsid w:val="00F51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A8E"/>
  </w:style>
  <w:style w:type="paragraph" w:styleId="Footer">
    <w:name w:val="footer"/>
    <w:basedOn w:val="Normal"/>
    <w:link w:val="FooterChar"/>
    <w:uiPriority w:val="99"/>
    <w:unhideWhenUsed/>
    <w:rsid w:val="00F51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551231">
      <w:bodyDiv w:val="1"/>
      <w:marLeft w:val="0"/>
      <w:marRight w:val="0"/>
      <w:marTop w:val="0"/>
      <w:marBottom w:val="0"/>
      <w:divBdr>
        <w:top w:val="none" w:sz="0" w:space="0" w:color="auto"/>
        <w:left w:val="none" w:sz="0" w:space="0" w:color="auto"/>
        <w:bottom w:val="none" w:sz="0" w:space="0" w:color="auto"/>
        <w:right w:val="none" w:sz="0" w:space="0" w:color="auto"/>
      </w:divBdr>
    </w:div>
    <w:div w:id="624506474">
      <w:bodyDiv w:val="1"/>
      <w:marLeft w:val="0"/>
      <w:marRight w:val="0"/>
      <w:marTop w:val="0"/>
      <w:marBottom w:val="0"/>
      <w:divBdr>
        <w:top w:val="none" w:sz="0" w:space="0" w:color="auto"/>
        <w:left w:val="none" w:sz="0" w:space="0" w:color="auto"/>
        <w:bottom w:val="none" w:sz="0" w:space="0" w:color="auto"/>
        <w:right w:val="none" w:sz="0" w:space="0" w:color="auto"/>
      </w:divBdr>
    </w:div>
    <w:div w:id="11291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evin.M.Scott@usdoj.gov" TargetMode="External"/><Relationship Id="rId4" Type="http://schemas.openxmlformats.org/officeDocument/2006/relationships/settings" Target="settings.xml"/><Relationship Id="rId9" Type="http://schemas.openxmlformats.org/officeDocument/2006/relationships/hyperlink" Target="mailto:Elizabeth.Davis@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2E49C-7CE5-4103-A49D-965857A2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3850</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Elizabeth</dc:creator>
  <cp:keywords/>
  <dc:description/>
  <cp:lastModifiedBy>Davis, Elizabeth (OJP)</cp:lastModifiedBy>
  <cp:revision>10</cp:revision>
  <dcterms:created xsi:type="dcterms:W3CDTF">2021-07-20T17:39:00Z</dcterms:created>
  <dcterms:modified xsi:type="dcterms:W3CDTF">2021-07-20T17:50:00Z</dcterms:modified>
</cp:coreProperties>
</file>