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Pr="00E2774B" w:rsidR="0007580F" w:rsidP="00E2774B" w:rsidRDefault="0007580F" w14:paraId="6A4CA93A" w14:textId="77777777">
      <w:pPr>
        <w:widowControl/>
        <w:tabs>
          <w:tab w:val="left" w:pos="720"/>
        </w:tabs>
        <w:ind w:left="720" w:hanging="1440"/>
        <w:jc w:val="center"/>
        <w:rPr>
          <w:rFonts w:ascii="Times New Roman" w:hAnsi="Times New Roman"/>
          <w:b/>
          <w:bCs/>
        </w:rPr>
      </w:pPr>
      <w:r w:rsidRPr="00E2774B">
        <w:rPr>
          <w:rFonts w:ascii="Times New Roman" w:hAnsi="Times New Roman"/>
          <w:b/>
          <w:bCs/>
        </w:rPr>
        <w:t>Experience Rating Report</w:t>
      </w:r>
    </w:p>
    <w:p w:rsidR="00A10441" w:rsidP="0007580F" w:rsidRDefault="00A10441" w14:paraId="35B2BDB0" w14:textId="77777777">
      <w:pPr>
        <w:widowControl/>
        <w:rPr>
          <w:rFonts w:ascii="Times New Roman" w:hAnsi="Times New Roman"/>
          <w:b/>
          <w:bCs/>
        </w:rPr>
      </w:pPr>
    </w:p>
    <w:p w:rsidRPr="00871CA6" w:rsidR="00690F56" w:rsidP="00E2774B" w:rsidRDefault="00116CD5" w14:paraId="6C3E63C8" w14:textId="687B8A32">
      <w:pPr>
        <w:widowControl/>
        <w:tabs>
          <w:tab w:val="left" w:pos="720"/>
        </w:tabs>
        <w:ind w:left="720" w:hanging="1440"/>
        <w:jc w:val="center"/>
        <w:rPr>
          <w:rFonts w:ascii="Times New Roman" w:hAnsi="Times New Roman"/>
          <w:b/>
          <w:bCs/>
        </w:rPr>
      </w:pPr>
      <w:r w:rsidRPr="00871CA6">
        <w:rPr>
          <w:rFonts w:ascii="Times New Roman" w:hAnsi="Times New Roman"/>
          <w:b/>
          <w:bCs/>
        </w:rPr>
        <w:t>OMB</w:t>
      </w:r>
      <w:r w:rsidR="00E2774B">
        <w:rPr>
          <w:rFonts w:ascii="Times New Roman" w:hAnsi="Times New Roman"/>
          <w:b/>
          <w:bCs/>
        </w:rPr>
        <w:t xml:space="preserve"> </w:t>
      </w:r>
      <w:r w:rsidRPr="00871CA6" w:rsidR="00690F56">
        <w:rPr>
          <w:rFonts w:ascii="Times New Roman" w:hAnsi="Times New Roman"/>
          <w:b/>
          <w:bCs/>
        </w:rPr>
        <w:t xml:space="preserve">CONTROL NO. </w:t>
      </w:r>
      <w:r w:rsidRPr="00E2774B" w:rsidR="0007580F">
        <w:rPr>
          <w:rFonts w:ascii="Times New Roman" w:hAnsi="Times New Roman"/>
          <w:b/>
          <w:bCs/>
        </w:rPr>
        <w:t>1205-0164</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530EBD" w14:paraId="42A7085D" w14:textId="52B3B45A">
      <w:pPr>
        <w:widowControl/>
        <w:rPr>
          <w:rFonts w:ascii="Times New Roman" w:hAnsi="Times New Roman"/>
          <w:bCs/>
        </w:rPr>
      </w:pPr>
      <w:r w:rsidRPr="00D53DEB">
        <w:rPr>
          <w:rFonts w:ascii="Times New Roman" w:hAnsi="Times New Roman"/>
          <w:bCs/>
        </w:rPr>
        <w:t xml:space="preserve">This ICR seeks </w:t>
      </w:r>
      <w:r w:rsidRPr="0007580F" w:rsidR="0007580F">
        <w:rPr>
          <w:rFonts w:ascii="Times New Roman" w:hAnsi="Times New Roman"/>
          <w:bCs/>
        </w:rPr>
        <w:t xml:space="preserve">approval of </w:t>
      </w:r>
      <w:r w:rsidR="0007580F">
        <w:rPr>
          <w:rFonts w:ascii="Times New Roman" w:hAnsi="Times New Roman"/>
          <w:bCs/>
        </w:rPr>
        <w:t xml:space="preserve">an </w:t>
      </w:r>
      <w:r w:rsidRPr="0007580F" w:rsidR="0007580F">
        <w:rPr>
          <w:rFonts w:ascii="Times New Roman" w:hAnsi="Times New Roman"/>
          <w:bCs/>
        </w:rPr>
        <w:t>extension without change for ETA 204, Experience</w:t>
      </w:r>
      <w:r w:rsidR="0007580F">
        <w:rPr>
          <w:rFonts w:ascii="Times New Roman" w:hAnsi="Times New Roman"/>
          <w:bCs/>
        </w:rPr>
        <w:t xml:space="preserve"> Rating Report</w:t>
      </w:r>
      <w:r w:rsidRPr="0007580F" w:rsidR="0007580F">
        <w:rPr>
          <w:rFonts w:ascii="Times New Roman" w:hAnsi="Times New Roman"/>
          <w:bCs/>
        </w:rPr>
        <w:t>.</w:t>
      </w: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14:paraId="38CEE6AD" w14:textId="35FCC6D3">
      <w:pPr>
        <w:widowControl/>
        <w:rPr>
          <w:rFonts w:ascii="Times New Roman" w:hAnsi="Times New Roman"/>
        </w:rPr>
      </w:pPr>
    </w:p>
    <w:p w:rsidRPr="00A47DA7" w:rsidR="00667EDE" w:rsidP="00690F56" w:rsidRDefault="00667EDE" w14:paraId="3D64527C" w14:textId="1E447609">
      <w:pPr>
        <w:widowControl/>
        <w:rPr>
          <w:rFonts w:ascii="Times New Roman" w:hAnsi="Times New Roman"/>
        </w:rPr>
      </w:pPr>
      <w:r w:rsidRPr="00136ABE">
        <w:t xml:space="preserve">ETA 204, </w:t>
      </w:r>
      <w:r>
        <w:t xml:space="preserve">the </w:t>
      </w:r>
      <w:r w:rsidRPr="00136ABE">
        <w:t>Experience Rating Report, provides the Employment and Training Administration (ETA) with the data to measure the variations in assigned contribution rates which result from different experience rating systems.  Section 303 of the Social Security Act (SSA 303(a)(6)) authorizes ETA to collect this information.</w:t>
      </w:r>
    </w:p>
    <w:p w:rsidRPr="00D53DEB" w:rsidR="00690F56" w:rsidP="00690F56" w:rsidRDefault="00690F56" w14:paraId="74744673" w14:textId="77777777">
      <w:pPr>
        <w:widowControl/>
        <w:rPr>
          <w:rFonts w:ascii="Times New Roman" w:hAnsi="Times New Roman"/>
        </w:rPr>
      </w:pPr>
    </w:p>
    <w:p w:rsidR="00690F56" w:rsidP="00690F56" w:rsidRDefault="00690F56" w14:paraId="2BBF8E2F" w14:textId="0D09651D">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67EDE" w:rsidP="00690F56" w:rsidRDefault="00667EDE" w14:paraId="3C78B512" w14:textId="7C7C7EDB">
      <w:pPr>
        <w:widowControl/>
        <w:rPr>
          <w:rFonts w:ascii="Times New Roman" w:hAnsi="Times New Roman"/>
          <w:b/>
          <w:bCs/>
        </w:rPr>
      </w:pPr>
    </w:p>
    <w:p w:rsidR="00667EDE" w:rsidP="00667EDE" w:rsidRDefault="00667EDE" w14:paraId="612633BB" w14:textId="77777777">
      <w:r w:rsidRPr="00136ABE">
        <w:t xml:space="preserve">ETA 204, when used in conjunction with </w:t>
      </w:r>
      <w:r>
        <w:t>Quarterly Census of Employment and Wages (QCEW)</w:t>
      </w:r>
      <w:r w:rsidRPr="00136ABE">
        <w:t xml:space="preserve"> (OMB No. 1220-0012), provides data to ETA to study </w:t>
      </w:r>
      <w:r w:rsidRPr="00136ABE">
        <w:lastRenderedPageBreak/>
        <w:t>the impact of seasonality, stabilization, expansion or contraction on employment and payrolls and the degree to which these affect employer experience with unemployment.  The data are used to provide an indication of whether solvency problems exist in the State's Trust Fund accounts and in analyzing factors which give rise to solvency problems; the data allows for an evaluat</w:t>
      </w:r>
      <w:r>
        <w:t xml:space="preserve">ion of the effectiveness of the </w:t>
      </w:r>
      <w:r w:rsidRPr="00136ABE">
        <w:t xml:space="preserve">approaches taken to correct the problem using modeling techniques.  The data also are the basis for estimating state average tax rates for the subsequent tax year.  Finally, the data are the basis for </w:t>
      </w:r>
      <w:r>
        <w:t xml:space="preserve">the publication of the yearly report of Significant Measures of State UI Tax Systems, which provides information necessary to evaluate the extent to which benefits are effectively charged, noncharged and ineffectively charged.  </w:t>
      </w:r>
      <w:r w:rsidRPr="00136ABE">
        <w:t>Thus, the foregoing information is of value to ETA in analyzing statutory provisions regarding experience rating in preparing recommendations or advising states on proposed legislation involving experience rating, and in responding to legislation involving experience rating, and in responding to inquiries from state agencies, employer groups, unions, and other interested individuals.  Further, the data are a vital part of a state's management information system and a tool for the administrator and legislators to assess the state experience rating system.</w:t>
      </w:r>
    </w:p>
    <w:p w:rsidRPr="00D53DEB" w:rsidR="00667EDE" w:rsidP="00690F56" w:rsidRDefault="00667EDE" w14:paraId="4F1BA4CC" w14:textId="77777777">
      <w:pPr>
        <w:widowControl/>
        <w:rPr>
          <w:rFonts w:ascii="Times New Roman" w:hAnsi="Times New Roman"/>
        </w:rPr>
      </w:pPr>
    </w:p>
    <w:p w:rsidRPr="00A47DA7" w:rsidR="00690F56" w:rsidP="00690F56" w:rsidRDefault="00690F56" w14:paraId="6EBE63D5" w14:textId="77777777">
      <w:pPr>
        <w:widowControl/>
        <w:rPr>
          <w:rFonts w:ascii="Times New Roman" w:hAnsi="Times New Roman"/>
          <w:u w:val="single"/>
        </w:rPr>
      </w:pPr>
    </w:p>
    <w:p w:rsidRPr="00D53DEB" w:rsidR="00690F56" w:rsidP="00690F56" w:rsidRDefault="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rsidRDefault="00690F56" w14:paraId="04006A6E" w14:textId="5202169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67EDE" w:rsidP="00690F56" w:rsidRDefault="00667EDE" w14:paraId="352A950C" w14:textId="3EC5EA4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t xml:space="preserve">States generate the ETA 204 </w:t>
      </w:r>
      <w:r w:rsidRPr="00136ABE">
        <w:t>electronically at</w:t>
      </w:r>
      <w:r>
        <w:t xml:space="preserve"> the state level, and it is downloaded electronically at the </w:t>
      </w:r>
      <w:r w:rsidRPr="00136ABE">
        <w:t xml:space="preserve">National </w:t>
      </w:r>
      <w:r>
        <w:t>Office.</w:t>
      </w:r>
    </w:p>
    <w:p w:rsidRPr="006A4637" w:rsidR="00690F56" w:rsidP="00690F56" w:rsidRDefault="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rsidRDefault="00690F56" w14:paraId="2693B8DC" w14:textId="5F2E7F5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67EDE" w:rsidR="00667EDE" w:rsidP="00667EDE" w:rsidRDefault="00667EDE" w14:paraId="15D8A825" w14:textId="7AB05DAC">
      <w:r w:rsidRPr="00136ABE">
        <w:t>This is the only such collection of this information.  No similar information is available elsewhere.</w:t>
      </w:r>
    </w:p>
    <w:p w:rsidRPr="00A973AA"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A47DA7" w:rsidR="00690F56" w:rsidP="00690F56" w:rsidRDefault="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67EDE" w14:paraId="5D56A05A" w14:textId="4F3EAB7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36ABE">
        <w:t>Collection does not involve small business or other small entities.</w:t>
      </w:r>
    </w:p>
    <w:p w:rsidRPr="00A973AA" w:rsidR="00667EDE" w:rsidP="00690F56" w:rsidRDefault="00667EDE" w14:paraId="3245B34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rsidRDefault="00690F56" w14:paraId="7C4C2F67" w14:textId="7F1A9CB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B7F2C" w:rsidR="00667EDE" w:rsidP="00667EDE" w:rsidRDefault="00667EDE" w14:paraId="2E315F09" w14:textId="77777777">
      <w:r w:rsidRPr="005B7F2C">
        <w:t xml:space="preserve">Less frequent collection of the annual 204 report would render the data useless for several reasons. </w:t>
      </w:r>
      <w:r>
        <w:t xml:space="preserve"> </w:t>
      </w:r>
      <w:r w:rsidRPr="005B7F2C">
        <w:t xml:space="preserve">The 204 report is based on capturing data attributable to a specific tax rate year because each state sets its employer unemployment insurance tax rates annually assigning each employer a specific tax rate for four quarters. </w:t>
      </w:r>
      <w:r>
        <w:t xml:space="preserve"> </w:t>
      </w:r>
      <w:r w:rsidRPr="005B7F2C">
        <w:t>By collecting data over several years the information for a single tax rate year would either be unidentifiable or unusable if it was combined with data for other tax rate years and certainly less valuable if it was reported by rate year over several years since it would be so out of date.</w:t>
      </w:r>
    </w:p>
    <w:p w:rsidRPr="005B7F2C" w:rsidR="00667EDE" w:rsidP="00667EDE" w:rsidRDefault="00667EDE" w14:paraId="3717A241" w14:textId="77777777">
      <w:pPr>
        <w:ind w:left="360"/>
      </w:pPr>
    </w:p>
    <w:p w:rsidR="00667EDE" w:rsidP="00667EDE" w:rsidRDefault="00667EDE" w14:paraId="3AFC1CC2" w14:textId="61797BB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5B7F2C">
        <w:t xml:space="preserve">Additionally, this report is a primary source of data for estimating UI revenues for Federal budget purposes. </w:t>
      </w:r>
      <w:r>
        <w:t xml:space="preserve"> </w:t>
      </w:r>
      <w:r w:rsidRPr="005B7F2C">
        <w:t xml:space="preserve">The accuracy of these important estimates would be severely constrained if the report was submitted less frequently than </w:t>
      </w:r>
      <w:r w:rsidRPr="005B7F2C">
        <w:lastRenderedPageBreak/>
        <w:t xml:space="preserve">on a yearly basis. </w:t>
      </w:r>
      <w:r>
        <w:t xml:space="preserve"> </w:t>
      </w:r>
      <w:r w:rsidRPr="005B7F2C">
        <w:t>Finally, the data are also used to produce the yearly “Significant Measures of State UI Tax Systems Report”, this report, used by many stakeholders, could not show meaningful changes to a state’s trust fund revenue and solvency without annual data.</w:t>
      </w:r>
    </w:p>
    <w:p w:rsidR="00667EDE" w:rsidP="00667EDE" w:rsidRDefault="00667EDE" w14:paraId="0C8CA8B4" w14:textId="613B9F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Pr="00A47DA7" w:rsidR="00667EDE" w:rsidP="00667EDE" w:rsidRDefault="00667EDE" w14:paraId="4772252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w:t>
      </w:r>
      <w:r w:rsidRPr="00D53DEB" w:rsidR="00690F56">
        <w:rPr>
          <w:b/>
          <w:bCs/>
        </w:rPr>
        <w:lastRenderedPageBreak/>
        <w:t>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Pr="00D53DEB"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07580F" w:rsidP="0007580F" w:rsidRDefault="0007580F" w14:paraId="7A85D946" w14:textId="77777777">
      <w:r>
        <w:t>Collection is</w:t>
      </w:r>
      <w:r w:rsidRPr="00136ABE">
        <w:t xml:space="preserve"> conducted in a manner consistent with guidelines in 5 CFR 1320.5</w:t>
      </w:r>
      <w:r>
        <w:t>.</w:t>
      </w:r>
    </w:p>
    <w:p w:rsidRPr="00871CA6"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690F56" w14:paraId="767B60FC" w14:textId="6DE105C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D53DEB" w:rsidR="00456C14" w:rsidP="00690F56" w:rsidRDefault="00456C14" w14:paraId="6CA719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67EDE" w14:paraId="7644A432" w14:textId="438BE1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37A90">
        <w:t>In accordance with the PRA of 1995, the public was allowed 60 days to review and comment through the Federal Reg</w:t>
      </w:r>
      <w:r>
        <w:t xml:space="preserve">ister Notice posted on </w:t>
      </w:r>
      <w:r w:rsidR="00D94D91">
        <w:t>March 24, 2021</w:t>
      </w:r>
      <w:r w:rsidRPr="00D94D91">
        <w:t xml:space="preserve"> (8</w:t>
      </w:r>
      <w:r w:rsidR="00D94D91">
        <w:t>6</w:t>
      </w:r>
      <w:r w:rsidRPr="00D94D91">
        <w:t xml:space="preserve"> FR </w:t>
      </w:r>
      <w:r w:rsidR="00D94D91">
        <w:t>15722</w:t>
      </w:r>
      <w:r w:rsidRPr="00D94D91">
        <w:t>)</w:t>
      </w:r>
      <w:r w:rsidRPr="00A37A90">
        <w:t>.</w:t>
      </w:r>
      <w:r>
        <w:t xml:space="preserve">  No public comments were received.</w:t>
      </w:r>
    </w:p>
    <w:p w:rsidRPr="00A47DA7" w:rsidR="0060114B" w:rsidP="0060114B" w:rsidRDefault="0060114B" w14:paraId="425C0DB9" w14:textId="77777777">
      <w:pPr>
        <w:widowControl/>
        <w:autoSpaceDE/>
        <w:autoSpaceDN/>
        <w:adjustRightInd/>
        <w:rPr>
          <w:rFonts w:ascii="Times New Roman" w:hAnsi="Times New Roman" w:eastAsia="Calibri"/>
        </w:rPr>
      </w:pPr>
    </w:p>
    <w:p w:rsidRPr="00D53DEB"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A47DA7" w:rsidR="00690F56" w:rsidP="00690F56" w:rsidRDefault="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667EDE" w14:paraId="3D9804C1" w14:textId="16B956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36ABE">
        <w:t>No payment or gift has been provided to respondents.</w:t>
      </w:r>
    </w:p>
    <w:p w:rsidRPr="00871CA6" w:rsidR="00667EDE" w:rsidP="00690F56" w:rsidRDefault="00667EDE" w14:paraId="5F3018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A47DA7" w:rsidR="00690F56" w:rsidP="00690F56" w:rsidRDefault="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667EDE" w14:paraId="61F2ECC1" w14:textId="777C36C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36ABE">
        <w:t>There is no assurance of confidentiality.  However, the detail of the data reported by the States is broad enough to preclude any identification of individual firms or business entities, thus effectively conferring anonymity at the firm level.</w:t>
      </w:r>
    </w:p>
    <w:p w:rsidRPr="00871CA6" w:rsidR="00667EDE" w:rsidP="00690F56" w:rsidRDefault="00667EDE" w14:paraId="734E36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A47DA7" w:rsidR="00690F56" w:rsidP="00690F56" w:rsidRDefault="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667EDE" w14:paraId="27A67CE6" w14:textId="06411C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46632">
        <w:t>There are no items to be completed which involve sensitive information of a private nature</w:t>
      </w:r>
      <w:r w:rsidRPr="005C2743">
        <w:t xml:space="preserve"> or otherwise.</w:t>
      </w:r>
    </w:p>
    <w:p w:rsidRPr="00871CA6" w:rsidR="00667EDE" w:rsidP="00690F56" w:rsidRDefault="00667EDE" w14:paraId="0AED759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lastRenderedPageBreak/>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rsidRDefault="00690F56" w14:paraId="1904007E" w14:textId="6CAA2D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74AB3" w:rsidP="00574AB3" w:rsidRDefault="00574AB3" w14:paraId="5E335CCD" w14:textId="77777777">
      <w:r w:rsidRPr="00136ABE">
        <w:t xml:space="preserve">The </w:t>
      </w:r>
      <w:r>
        <w:t xml:space="preserve">ETA 204 </w:t>
      </w:r>
      <w:r w:rsidRPr="00136ABE">
        <w:t>report is computer</w:t>
      </w:r>
      <w:r>
        <w:t>-</w:t>
      </w:r>
      <w:r w:rsidRPr="00136ABE">
        <w:t xml:space="preserve">generated in the states.  Therefore, the only time normally required would be that needed to electronically submit the report run.  Based on past experience, this takes approximately </w:t>
      </w:r>
      <w:r>
        <w:t>30</w:t>
      </w:r>
      <w:r w:rsidRPr="00136ABE">
        <w:t xml:space="preserve"> minutes per state or, for all states, </w:t>
      </w:r>
      <w:r>
        <w:t>26</w:t>
      </w:r>
      <w:r w:rsidRPr="00136ABE">
        <w:t xml:space="preserve"> hours:</w:t>
      </w:r>
      <w:r>
        <w:t xml:space="preserve">  </w:t>
      </w:r>
      <w:r w:rsidRPr="00136ABE">
        <w:t>53 respondents x 1 report per state x .</w:t>
      </w:r>
      <w:r>
        <w:t>5</w:t>
      </w:r>
      <w:r w:rsidRPr="00136ABE">
        <w:t xml:space="preserve"> hours per state.</w:t>
      </w:r>
    </w:p>
    <w:p w:rsidR="00574AB3" w:rsidP="00690F56" w:rsidRDefault="00574AB3" w14:paraId="57A478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626FF" w:rsidR="006626FF" w:rsidP="006626FF" w:rsidRDefault="006626FF" w14:paraId="49938EA8" w14:textId="77777777">
      <w:pPr>
        <w:ind w:left="720"/>
        <w:rPr>
          <w:rFonts w:ascii="Times New Roman" w:hAnsi="Times New Roman"/>
          <w:i/>
        </w:rPr>
      </w:pPr>
    </w:p>
    <w:p w:rsidRPr="00E60FB0" w:rsidR="006626FF" w:rsidP="006626FF" w:rsidRDefault="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4"/>
        <w:gridCol w:w="1415"/>
        <w:gridCol w:w="1329"/>
        <w:gridCol w:w="1183"/>
        <w:gridCol w:w="1070"/>
        <w:gridCol w:w="964"/>
        <w:gridCol w:w="907"/>
        <w:gridCol w:w="1198"/>
      </w:tblGrid>
      <w:tr w:rsidRPr="00E60FB0" w:rsidR="006626FF" w:rsidTr="00667EDE" w14:paraId="2DF04903" w14:textId="77777777">
        <w:trPr>
          <w:trHeight w:val="890"/>
        </w:trPr>
        <w:tc>
          <w:tcPr>
            <w:tcW w:w="128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RDefault="006626FF" w14:paraId="1393DF7B" w14:textId="77777777">
            <w:pPr>
              <w:spacing w:line="276" w:lineRule="auto"/>
              <w:jc w:val="center"/>
              <w:rPr>
                <w:rFonts w:ascii="Times New Roman" w:hAnsi="Times New Roman"/>
                <w:b/>
                <w:sz w:val="22"/>
                <w:szCs w:val="22"/>
              </w:rPr>
            </w:pPr>
          </w:p>
          <w:p w:rsidRPr="00E60FB0" w:rsidR="006626FF"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6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07"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19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667EDE" w:rsidTr="00667EDE" w14:paraId="09169E28" w14:textId="77777777">
        <w:tc>
          <w:tcPr>
            <w:tcW w:w="1284" w:type="dxa"/>
            <w:tcBorders>
              <w:top w:val="nil"/>
              <w:left w:val="single" w:color="auto" w:sz="8" w:space="0"/>
              <w:bottom w:val="single" w:color="auto" w:sz="8" w:space="0"/>
              <w:right w:val="single" w:color="auto" w:sz="8" w:space="0"/>
            </w:tcBorders>
            <w:vAlign w:val="bottom"/>
            <w:hideMark/>
          </w:tcPr>
          <w:p w:rsidRPr="00E60FB0" w:rsidR="00667EDE" w:rsidP="00667EDE" w:rsidRDefault="00667EDE" w14:paraId="762DB321" w14:textId="5D55F717">
            <w:pPr>
              <w:spacing w:line="276" w:lineRule="auto"/>
              <w:rPr>
                <w:rFonts w:ascii="Times New Roman" w:hAnsi="Times New Roman"/>
                <w:sz w:val="22"/>
                <w:szCs w:val="22"/>
              </w:rPr>
            </w:pPr>
            <w:r w:rsidRPr="00AC3031">
              <w:rPr>
                <w:rFonts w:ascii="Calibri" w:hAnsi="Calibri" w:cs="Calibri"/>
                <w:i/>
                <w:color w:val="000000"/>
                <w:sz w:val="22"/>
                <w:szCs w:val="22"/>
              </w:rPr>
              <w:t>Reporting of 204</w:t>
            </w:r>
          </w:p>
        </w:tc>
        <w:tc>
          <w:tcPr>
            <w:tcW w:w="1415" w:type="dxa"/>
            <w:tcBorders>
              <w:top w:val="nil"/>
              <w:left w:val="nil"/>
              <w:bottom w:val="single" w:color="auto" w:sz="8" w:space="0"/>
              <w:right w:val="single" w:color="auto" w:sz="8" w:space="0"/>
            </w:tcBorders>
            <w:vAlign w:val="bottom"/>
          </w:tcPr>
          <w:p w:rsidRPr="00E60FB0" w:rsidR="00667EDE" w:rsidP="00667EDE" w:rsidRDefault="00667EDE" w14:paraId="2F5115C1" w14:textId="45F515CE">
            <w:pPr>
              <w:spacing w:line="276" w:lineRule="auto"/>
              <w:jc w:val="center"/>
              <w:rPr>
                <w:rFonts w:ascii="Times New Roman" w:hAnsi="Times New Roman"/>
                <w:sz w:val="22"/>
                <w:szCs w:val="22"/>
              </w:rPr>
            </w:pPr>
            <w:r w:rsidRPr="00AC3031">
              <w:rPr>
                <w:rFonts w:ascii="Calibri" w:hAnsi="Calibri" w:cs="Calibri"/>
                <w:i/>
                <w:color w:val="000000"/>
                <w:sz w:val="22"/>
                <w:szCs w:val="22"/>
              </w:rPr>
              <w:t>53</w:t>
            </w:r>
          </w:p>
        </w:tc>
        <w:tc>
          <w:tcPr>
            <w:tcW w:w="1329" w:type="dxa"/>
            <w:tcBorders>
              <w:top w:val="nil"/>
              <w:left w:val="nil"/>
              <w:bottom w:val="single" w:color="auto" w:sz="8" w:space="0"/>
              <w:right w:val="single" w:color="auto" w:sz="8" w:space="0"/>
            </w:tcBorders>
            <w:vAlign w:val="bottom"/>
          </w:tcPr>
          <w:p w:rsidRPr="00E60FB0" w:rsidR="00667EDE" w:rsidP="00667EDE" w:rsidRDefault="00667EDE" w14:paraId="5A00193C" w14:textId="6652619E">
            <w:pPr>
              <w:spacing w:line="276" w:lineRule="auto"/>
              <w:jc w:val="center"/>
              <w:rPr>
                <w:rFonts w:ascii="Times New Roman" w:hAnsi="Times New Roman"/>
                <w:sz w:val="22"/>
                <w:szCs w:val="22"/>
              </w:rPr>
            </w:pPr>
            <w:r w:rsidRPr="00AC3031">
              <w:rPr>
                <w:i/>
                <w:color w:val="000000"/>
                <w:sz w:val="22"/>
                <w:szCs w:val="22"/>
              </w:rPr>
              <w:t>1</w:t>
            </w:r>
          </w:p>
        </w:tc>
        <w:tc>
          <w:tcPr>
            <w:tcW w:w="1183" w:type="dxa"/>
            <w:tcBorders>
              <w:top w:val="nil"/>
              <w:left w:val="nil"/>
              <w:bottom w:val="single" w:color="auto" w:sz="8" w:space="0"/>
              <w:right w:val="single" w:color="auto" w:sz="8" w:space="0"/>
            </w:tcBorders>
            <w:vAlign w:val="bottom"/>
          </w:tcPr>
          <w:p w:rsidRPr="00E60FB0" w:rsidR="00667EDE" w:rsidP="00667EDE" w:rsidRDefault="00667EDE" w14:paraId="15D44061" w14:textId="0177C5D1">
            <w:pPr>
              <w:spacing w:line="276" w:lineRule="auto"/>
              <w:jc w:val="center"/>
              <w:rPr>
                <w:rFonts w:ascii="Times New Roman" w:hAnsi="Times New Roman"/>
                <w:sz w:val="22"/>
                <w:szCs w:val="22"/>
              </w:rPr>
            </w:pPr>
            <w:r w:rsidRPr="00AC3031">
              <w:rPr>
                <w:rFonts w:ascii="Calibri" w:hAnsi="Calibri" w:cs="Calibri"/>
                <w:i/>
                <w:color w:val="000000"/>
                <w:sz w:val="22"/>
                <w:szCs w:val="22"/>
              </w:rPr>
              <w:t>53</w:t>
            </w:r>
          </w:p>
        </w:tc>
        <w:tc>
          <w:tcPr>
            <w:tcW w:w="1070" w:type="dxa"/>
            <w:tcBorders>
              <w:top w:val="nil"/>
              <w:left w:val="nil"/>
              <w:bottom w:val="single" w:color="auto" w:sz="8" w:space="0"/>
              <w:right w:val="single" w:color="auto" w:sz="8" w:space="0"/>
            </w:tcBorders>
            <w:vAlign w:val="bottom"/>
          </w:tcPr>
          <w:p w:rsidRPr="00E60FB0" w:rsidR="00667EDE" w:rsidP="00667EDE" w:rsidRDefault="00667EDE" w14:paraId="460B8B6B" w14:textId="6AEC871D">
            <w:pPr>
              <w:spacing w:line="276" w:lineRule="auto"/>
              <w:jc w:val="center"/>
              <w:rPr>
                <w:rFonts w:ascii="Times New Roman" w:hAnsi="Times New Roman"/>
                <w:sz w:val="22"/>
                <w:szCs w:val="22"/>
              </w:rPr>
            </w:pPr>
            <w:r w:rsidRPr="00AC3031">
              <w:rPr>
                <w:rFonts w:ascii="Calibri" w:hAnsi="Calibri" w:cs="Calibri"/>
                <w:i/>
                <w:color w:val="000000"/>
                <w:sz w:val="22"/>
                <w:szCs w:val="22"/>
              </w:rPr>
              <w:t>.5</w:t>
            </w:r>
          </w:p>
        </w:tc>
        <w:tc>
          <w:tcPr>
            <w:tcW w:w="964" w:type="dxa"/>
            <w:tcBorders>
              <w:top w:val="nil"/>
              <w:left w:val="nil"/>
              <w:bottom w:val="single" w:color="auto" w:sz="8" w:space="0"/>
              <w:right w:val="single" w:color="auto" w:sz="8" w:space="0"/>
            </w:tcBorders>
            <w:vAlign w:val="bottom"/>
          </w:tcPr>
          <w:p w:rsidRPr="00E60FB0" w:rsidR="00667EDE" w:rsidP="00667EDE" w:rsidRDefault="00667EDE" w14:paraId="752F73D3" w14:textId="0F08597A">
            <w:pPr>
              <w:spacing w:line="276" w:lineRule="auto"/>
              <w:jc w:val="center"/>
              <w:rPr>
                <w:rFonts w:ascii="Times New Roman" w:hAnsi="Times New Roman"/>
                <w:sz w:val="22"/>
                <w:szCs w:val="22"/>
              </w:rPr>
            </w:pPr>
            <w:r w:rsidRPr="00AC3031">
              <w:rPr>
                <w:rFonts w:ascii="Calibri" w:hAnsi="Calibri" w:cs="Calibri" w:eastAsiaTheme="minorHAnsi"/>
                <w:i/>
                <w:color w:val="000000"/>
                <w:sz w:val="22"/>
                <w:szCs w:val="22"/>
              </w:rPr>
              <w:t>26.5</w:t>
            </w:r>
          </w:p>
        </w:tc>
        <w:tc>
          <w:tcPr>
            <w:tcW w:w="907" w:type="dxa"/>
            <w:tcBorders>
              <w:top w:val="single" w:color="auto" w:sz="4" w:space="0"/>
              <w:left w:val="single" w:color="auto" w:sz="4" w:space="0"/>
              <w:bottom w:val="single" w:color="auto" w:sz="4" w:space="0"/>
              <w:right w:val="single" w:color="auto" w:sz="4" w:space="0"/>
            </w:tcBorders>
            <w:vAlign w:val="center"/>
          </w:tcPr>
          <w:p w:rsidRPr="00574AB3" w:rsidR="00667EDE" w:rsidP="00667EDE" w:rsidRDefault="00667EDE" w14:paraId="387B5D04" w14:textId="77777777">
            <w:pPr>
              <w:spacing w:line="276" w:lineRule="auto"/>
              <w:jc w:val="center"/>
              <w:rPr>
                <w:rFonts w:ascii="Calibri" w:hAnsi="Calibri" w:cs="Calibri" w:eastAsiaTheme="minorHAnsi"/>
                <w:i/>
                <w:color w:val="000000"/>
                <w:sz w:val="22"/>
                <w:szCs w:val="22"/>
              </w:rPr>
            </w:pPr>
          </w:p>
          <w:p w:rsidRPr="00574AB3" w:rsidR="00667EDE" w:rsidP="00667EDE" w:rsidRDefault="00574AB3" w14:paraId="6FAC2390" w14:textId="75D2867C">
            <w:pPr>
              <w:spacing w:line="276" w:lineRule="auto"/>
              <w:jc w:val="center"/>
              <w:rPr>
                <w:rFonts w:ascii="Calibri" w:hAnsi="Calibri" w:cs="Calibri" w:eastAsiaTheme="minorHAnsi"/>
                <w:i/>
                <w:color w:val="000000"/>
                <w:sz w:val="22"/>
                <w:szCs w:val="22"/>
              </w:rPr>
            </w:pPr>
            <w:r>
              <w:rPr>
                <w:rFonts w:ascii="Calibri" w:hAnsi="Calibri" w:cs="Calibri" w:eastAsiaTheme="minorHAnsi"/>
                <w:i/>
                <w:color w:val="000000"/>
                <w:sz w:val="22"/>
                <w:szCs w:val="22"/>
              </w:rPr>
              <w:t>$</w:t>
            </w:r>
            <w:r w:rsidRPr="00574AB3">
              <w:rPr>
                <w:rFonts w:ascii="Calibri" w:hAnsi="Calibri" w:cs="Calibri" w:eastAsiaTheme="minorHAnsi"/>
                <w:i/>
                <w:color w:val="000000"/>
                <w:sz w:val="22"/>
                <w:szCs w:val="22"/>
              </w:rPr>
              <w:t>5</w:t>
            </w:r>
            <w:r w:rsidR="00D94D91">
              <w:rPr>
                <w:rFonts w:ascii="Calibri" w:hAnsi="Calibri" w:cs="Calibri" w:eastAsiaTheme="minorHAnsi"/>
                <w:i/>
                <w:color w:val="000000"/>
                <w:sz w:val="22"/>
                <w:szCs w:val="22"/>
              </w:rPr>
              <w:t>2.20</w:t>
            </w:r>
          </w:p>
        </w:tc>
        <w:tc>
          <w:tcPr>
            <w:tcW w:w="1198" w:type="dxa"/>
            <w:tcBorders>
              <w:top w:val="single" w:color="auto" w:sz="4" w:space="0"/>
              <w:left w:val="single" w:color="auto" w:sz="4" w:space="0"/>
              <w:bottom w:val="single" w:color="auto" w:sz="4" w:space="0"/>
              <w:right w:val="single" w:color="auto" w:sz="4" w:space="0"/>
            </w:tcBorders>
            <w:vAlign w:val="center"/>
          </w:tcPr>
          <w:p w:rsidRPr="00574AB3" w:rsidR="00667EDE" w:rsidP="00667EDE" w:rsidRDefault="00667EDE" w14:paraId="39DD4599" w14:textId="77777777">
            <w:pPr>
              <w:spacing w:line="276" w:lineRule="auto"/>
              <w:jc w:val="center"/>
              <w:rPr>
                <w:rFonts w:ascii="Calibri" w:hAnsi="Calibri" w:cs="Calibri" w:eastAsiaTheme="minorHAnsi"/>
                <w:i/>
                <w:color w:val="000000"/>
                <w:sz w:val="22"/>
                <w:szCs w:val="22"/>
              </w:rPr>
            </w:pPr>
          </w:p>
          <w:p w:rsidRPr="00574AB3" w:rsidR="00667EDE" w:rsidP="00667EDE" w:rsidRDefault="00574AB3" w14:paraId="78C3C2D7" w14:textId="287E2DE5">
            <w:pPr>
              <w:spacing w:line="276" w:lineRule="auto"/>
              <w:jc w:val="center"/>
              <w:rPr>
                <w:rFonts w:ascii="Calibri" w:hAnsi="Calibri" w:cs="Calibri" w:eastAsiaTheme="minorHAnsi"/>
                <w:i/>
                <w:color w:val="000000"/>
                <w:sz w:val="22"/>
                <w:szCs w:val="22"/>
              </w:rPr>
            </w:pPr>
            <w:r>
              <w:rPr>
                <w:rFonts w:ascii="Calibri" w:hAnsi="Calibri" w:cs="Calibri" w:eastAsiaTheme="minorHAnsi"/>
                <w:i/>
                <w:color w:val="000000"/>
                <w:sz w:val="22"/>
                <w:szCs w:val="22"/>
              </w:rPr>
              <w:t>$</w:t>
            </w:r>
            <w:r w:rsidRPr="00574AB3">
              <w:rPr>
                <w:rFonts w:ascii="Calibri" w:hAnsi="Calibri" w:cs="Calibri" w:eastAsiaTheme="minorHAnsi"/>
                <w:i/>
                <w:color w:val="000000"/>
                <w:sz w:val="22"/>
                <w:szCs w:val="22"/>
              </w:rPr>
              <w:t>13</w:t>
            </w:r>
            <w:r w:rsidR="00D94D91">
              <w:rPr>
                <w:rFonts w:ascii="Calibri" w:hAnsi="Calibri" w:cs="Calibri" w:eastAsiaTheme="minorHAnsi"/>
                <w:i/>
                <w:color w:val="000000"/>
                <w:sz w:val="22"/>
                <w:szCs w:val="22"/>
              </w:rPr>
              <w:t>83.30</w:t>
            </w:r>
          </w:p>
        </w:tc>
      </w:tr>
    </w:tbl>
    <w:p w:rsidRPr="00A47DA7" w:rsidR="006626FF" w:rsidP="00690F56" w:rsidRDefault="006626FF"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94D91" w:rsidR="00D94D91" w:rsidP="00D94D91" w:rsidRDefault="00D94D91" w14:paraId="21E79E64" w14:textId="3CAC5AE6">
      <w:pPr>
        <w:widowControl/>
        <w:autoSpaceDE/>
        <w:autoSpaceDN/>
        <w:adjustRightInd/>
        <w:rPr>
          <w:i/>
          <w:iCs/>
        </w:rPr>
      </w:pPr>
      <w:r w:rsidRPr="00D94D91">
        <w:rPr>
          <w:i/>
          <w:iCs/>
        </w:rPr>
        <w:t>*Source: The hourly rate is computed by dividing the FY 2021 national average PS/PB annual salary for state staff as provided for through the distribution of state UI administrative grants (</w:t>
      </w:r>
      <w:hyperlink w:history="1" r:id="rId8">
        <w:r w:rsidRPr="00590268" w:rsidR="00A63DD6">
          <w:rPr>
            <w:rStyle w:val="Hyperlink"/>
            <w:i/>
            <w:iCs/>
          </w:rPr>
          <w:t>https://wdr.doleta.gov/directives/corr_doc.cfm?DOCN=5168</w:t>
        </w:r>
      </w:hyperlink>
      <w:r w:rsidRPr="00D94D91">
        <w:rPr>
          <w:i/>
          <w:iCs/>
        </w:rPr>
        <w:t>)</w:t>
      </w:r>
      <w:r w:rsidR="00A63DD6">
        <w:rPr>
          <w:i/>
          <w:iCs/>
        </w:rPr>
        <w:t xml:space="preserve"> </w:t>
      </w:r>
      <w:bookmarkStart w:name="_GoBack" w:id="0"/>
      <w:bookmarkEnd w:id="0"/>
      <w:r w:rsidRPr="00D94D91">
        <w:rPr>
          <w:i/>
          <w:iCs/>
        </w:rPr>
        <w:t>by the average number of hours worked in a year (1,711).  For FY 2021, this calculation is:  $89,306 / 1,711= $52.20.</w:t>
      </w:r>
    </w:p>
    <w:p w:rsidRPr="00F72D66" w:rsidR="00574AB3" w:rsidP="00E60FB0" w:rsidRDefault="00574AB3" w14:paraId="1E22086C" w14:textId="77777777">
      <w:pPr>
        <w:widowControl/>
        <w:autoSpaceDE/>
        <w:autoSpaceDN/>
        <w:adjustRightInd/>
        <w:rPr>
          <w:rFonts w:ascii="Times New Roman" w:hAnsi="Times New Roman"/>
          <w:highlight w:val="yellow"/>
        </w:rPr>
      </w:pPr>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lastRenderedPageBreak/>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P="00CD215D" w:rsidRDefault="00CD215D" w14:paraId="0AAEE3FF" w14:textId="777C74C5">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7580F" w:rsidR="0007580F" w:rsidP="0007580F" w:rsidRDefault="0007580F" w14:paraId="7C98AF4F" w14:textId="36952A0B">
      <w:r w:rsidRPr="00136ABE">
        <w:t xml:space="preserve">There are no other costs than those described in </w:t>
      </w:r>
      <w:r>
        <w:t xml:space="preserve">item </w:t>
      </w:r>
      <w:r w:rsidRPr="00136ABE">
        <w:t>12 above.</w:t>
      </w:r>
    </w:p>
    <w:p w:rsidRPr="00F4518C"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w:t>
      </w:r>
      <w:r w:rsidRPr="00D53DEB">
        <w:rPr>
          <w:rFonts w:ascii="Times New Roman" w:hAnsi="Times New Roman"/>
          <w:b/>
          <w:bCs/>
        </w:rPr>
        <w:lastRenderedPageBreak/>
        <w:t>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690F56" w:rsidP="00690F56" w:rsidRDefault="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50449" w:rsidP="00550449" w:rsidRDefault="00550449" w14:paraId="23677EBF" w14:textId="77777777">
      <w:pPr>
        <w:rPr>
          <w:rFonts w:ascii="Times New Roman" w:hAnsi="Times New Roman"/>
        </w:rPr>
      </w:pPr>
      <w:r>
        <w:t>Federal Burden for Data Collection: ETA 204.</w:t>
      </w:r>
    </w:p>
    <w:p w:rsidR="00550449" w:rsidP="00550449" w:rsidRDefault="00550449" w14:paraId="54763C14" w14:textId="77777777">
      <w:pPr>
        <w:ind w:left="720"/>
      </w:pPr>
    </w:p>
    <w:p w:rsidR="00550449" w:rsidP="00550449" w:rsidRDefault="00550449" w14:paraId="56EBAB2C" w14:textId="77777777">
      <w:r>
        <w:t>Annual Burden Hours: 10.6 hours (average 15 minutes per report).</w:t>
      </w:r>
    </w:p>
    <w:p w:rsidR="00550449" w:rsidP="00550449" w:rsidRDefault="00550449" w14:paraId="2A12A402" w14:textId="77777777">
      <w:pPr>
        <w:ind w:left="720"/>
      </w:pPr>
    </w:p>
    <w:p w:rsidR="00550449" w:rsidP="00550449" w:rsidRDefault="00550449" w14:paraId="282A9F38" w14:textId="6E49C363">
      <w:r>
        <w:t>Estimated Annual Salary Cost to Review Data: $</w:t>
      </w:r>
      <w:r w:rsidR="00A02AE2">
        <w:t>475.62</w:t>
      </w:r>
    </w:p>
    <w:p w:rsidR="00550449" w:rsidP="00550449" w:rsidRDefault="00550449" w14:paraId="062AED8E" w14:textId="77777777">
      <w:pPr>
        <w:ind w:left="720"/>
      </w:pPr>
    </w:p>
    <w:p w:rsidR="00550449" w:rsidP="00550449" w:rsidRDefault="00550449" w14:paraId="412B0147" w14:textId="17E32D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Note: The estimated cost is based upon the annual salary for a Washington, DC based GS-11, Step 10 at $44.87 per hour.  (See Office of Personnel Management Salary Table 2020-DCB, </w:t>
      </w:r>
      <w:r w:rsidRPr="00550449">
        <w:t>https://www.opm.gov/policy-data-oversight/pay-leave/salaries-wages/2020/general-schedule/</w:t>
      </w:r>
      <w:r>
        <w:t>).  $44.87 x 10.6 hours = $475.62.  The data is received and stored on Department owned computer equipment along with all other Unemployment Insurance Reports data.</w:t>
      </w:r>
    </w:p>
    <w:p w:rsidR="00550449" w:rsidP="00550449" w:rsidRDefault="00550449" w14:paraId="0E4F01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690F56" w:rsidRDefault="00550449" w14:paraId="3F8C7E1B" w14:textId="28E174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550449">
        <w:t>Although no staff is required to process this report, ETA has budgeted $1,0</w:t>
      </w:r>
      <w:r w:rsidR="00793AFA">
        <w:t>55,487.22</w:t>
      </w:r>
      <w:r w:rsidRPr="00550449">
        <w:t xml:space="preserve"> in fiscal year 202</w:t>
      </w:r>
      <w:r w:rsidR="00793AFA">
        <w:t>1</w:t>
      </w:r>
      <w:r w:rsidRPr="00550449">
        <w:t>, 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$3</w:t>
      </w:r>
      <w:r w:rsidR="00793AFA">
        <w:t>5,182.91</w:t>
      </w:r>
      <w:r w:rsidRPr="00550449">
        <w:t xml:space="preserve"> ($1,0</w:t>
      </w:r>
      <w:r w:rsidR="00793AFA">
        <w:t>55,487.22</w:t>
      </w:r>
      <w:r w:rsidRPr="00550449">
        <w:t xml:space="preserve"> system cost/30 information collections).</w:t>
      </w:r>
    </w:p>
    <w:p w:rsidRPr="00550449" w:rsidR="00550449" w:rsidP="00690F56" w:rsidRDefault="00550449" w14:paraId="350704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Pr="00A47DA7"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690F56" w:rsidRDefault="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07580F" w14:paraId="5321AF4F" w14:textId="32054A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C3031">
        <w:lastRenderedPageBreak/>
        <w:t>There are no changes in burden.</w:t>
      </w:r>
    </w:p>
    <w:p w:rsidRPr="00F4518C" w:rsidR="0007580F" w:rsidP="00690F56" w:rsidRDefault="0007580F" w14:paraId="100558F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690F56" w:rsidRDefault="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7580F" w:rsidP="0007580F" w:rsidRDefault="0007580F" w14:paraId="0E6F0FDA" w14:textId="77777777">
      <w:r w:rsidRPr="00136ABE">
        <w:t xml:space="preserve">Selected data, along with the </w:t>
      </w:r>
      <w:r>
        <w:t>Significant Measures of State Unemployment Insurance Tax Systems</w:t>
      </w:r>
      <w:r w:rsidRPr="00136ABE">
        <w:t xml:space="preserve"> derived from the data, are published once each ye</w:t>
      </w:r>
      <w:r>
        <w:t xml:space="preserve">ar. Using data from the ETA 204 </w:t>
      </w:r>
      <w:r w:rsidRPr="00136ABE">
        <w:t xml:space="preserve">report, the </w:t>
      </w:r>
      <w:r>
        <w:t>Significant Measures of State Unemployment Insurance Tax Systems</w:t>
      </w:r>
      <w:r w:rsidRPr="00136ABE">
        <w:t xml:space="preserve"> is published once a year </w:t>
      </w:r>
      <w:r>
        <w:t>on the OUI website</w:t>
      </w:r>
      <w:r w:rsidRPr="00136ABE">
        <w:t xml:space="preserve">. </w:t>
      </w:r>
      <w:r>
        <w:t>Using data from the ETA 204 states estimated average tax rates are also published once a year on the OUI website.</w:t>
      </w:r>
      <w:r w:rsidRPr="00136ABE">
        <w:t xml:space="preserve"> There are no complex analytical techniques used, beyond simple addition, subtraction and multiplication. </w:t>
      </w:r>
    </w:p>
    <w:p w:rsidR="0007580F" w:rsidP="0007580F" w:rsidRDefault="0007580F" w14:paraId="55BFE06E" w14:textId="77777777"/>
    <w:p w:rsidR="0007580F" w:rsidP="00935F1F" w:rsidRDefault="0007580F" w14:paraId="7D739989" w14:textId="3BE348C8">
      <w:pPr>
        <w:widowControl/>
        <w:numPr>
          <w:ilvl w:val="0"/>
          <w:numId w:val="14"/>
        </w:numPr>
        <w:autoSpaceDE/>
        <w:autoSpaceDN/>
        <w:adjustRightInd/>
      </w:pPr>
      <w:r>
        <w:t xml:space="preserve">January </w:t>
      </w:r>
      <w:r w:rsidR="00E2774B">
        <w:t xml:space="preserve">15 </w:t>
      </w:r>
      <w:r>
        <w:t xml:space="preserve">– Significant Measures of State Unemployment Insurance Tax Systems published </w:t>
      </w:r>
    </w:p>
    <w:p w:rsidR="0007580F" w:rsidP="00935F1F" w:rsidRDefault="0007580F" w14:paraId="3D11CBAE" w14:textId="245574EE">
      <w:pPr>
        <w:widowControl/>
        <w:numPr>
          <w:ilvl w:val="0"/>
          <w:numId w:val="14"/>
        </w:numPr>
        <w:autoSpaceDE/>
        <w:autoSpaceDN/>
        <w:adjustRightInd/>
      </w:pPr>
      <w:r>
        <w:t>May 15 – States Estimated Average Tax Rates published</w:t>
      </w:r>
    </w:p>
    <w:p w:rsidRPr="00871CA6"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36ABE" w:rsidR="00E2774B" w:rsidP="00E2774B" w:rsidRDefault="00E2774B" w14:paraId="33284130" w14:textId="77777777">
      <w:pPr>
        <w:tabs>
          <w:tab w:val="left" w:pos="270"/>
        </w:tabs>
      </w:pPr>
      <w:r w:rsidRPr="00135454">
        <w:t>The expiration date for OMB approval is displayed.</w:t>
      </w:r>
    </w:p>
    <w:p w:rsidRPr="00A973AA" w:rsidR="000C3A92" w:rsidP="00690F56"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Pr="00A47DA7" w:rsidR="000C3A92" w:rsidP="000C3A9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2774B" w:rsidP="00E2774B" w:rsidRDefault="00E2774B" w14:paraId="3A6D7CD5" w14:textId="77777777">
      <w:pPr>
        <w:pStyle w:val="ListParagraph"/>
        <w:ind w:left="0"/>
      </w:pPr>
      <w:r w:rsidRPr="00314496">
        <w:t>There are no exceptions.</w:t>
      </w:r>
    </w:p>
    <w:p w:rsidRPr="00871CA6"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P="007A7F79" w:rsidRDefault="007A7F79" w14:paraId="077F6D32" w14:textId="3017C0B0">
      <w:pPr>
        <w:widowControl/>
        <w:autoSpaceDE/>
        <w:autoSpaceDN/>
        <w:adjustRightInd/>
        <w:spacing w:after="200" w:line="276" w:lineRule="auto"/>
        <w:rPr>
          <w:rFonts w:ascii="Times New Roman" w:hAnsi="Times New Roman"/>
          <w:b/>
          <w:bCs/>
        </w:rPr>
      </w:pPr>
      <w:r w:rsidRPr="00A973AA">
        <w:rPr>
          <w:rFonts w:ascii="Times New Roman" w:hAnsi="Times New Roman"/>
          <w:b/>
          <w:bCs/>
        </w:rPr>
        <w:t>B. COLLECTIONS OF INFORMATON EMPLOYING STATISTICAL METHODS.</w:t>
      </w:r>
    </w:p>
    <w:p w:rsidRPr="00136ABE" w:rsidR="00E2774B" w:rsidP="00E2774B" w:rsidRDefault="00E2774B" w14:paraId="3A3E59A9" w14:textId="77777777">
      <w:r w:rsidRPr="00135454">
        <w:t>This information collection request does not contain statistical methods.</w:t>
      </w:r>
    </w:p>
    <w:p w:rsidRPr="00A973AA" w:rsidR="00E2774B" w:rsidP="007A7F79" w:rsidRDefault="00E2774B" w14:paraId="5618A394" w14:textId="77777777">
      <w:pPr>
        <w:widowControl/>
        <w:autoSpaceDE/>
        <w:autoSpaceDN/>
        <w:adjustRightInd/>
        <w:spacing w:after="200" w:line="276" w:lineRule="auto"/>
        <w:rPr>
          <w:rFonts w:ascii="Times New Roman" w:hAnsi="Times New Roman"/>
        </w:rPr>
      </w:pPr>
    </w:p>
    <w:p w:rsidRPr="00D53DEB" w:rsidR="00332F98" w:rsidRDefault="00332F98" w14:paraId="3E8CBCDA" w14:textId="77777777">
      <w:pPr>
        <w:rPr>
          <w:rFonts w:ascii="Times New Roman" w:hAnsi="Times New Roman"/>
        </w:rPr>
      </w:pPr>
    </w:p>
    <w:sectPr w:rsidRPr="00D53DEB" w:rsidR="00332F98"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1786B" w14:textId="77777777" w:rsidR="00FA3D8C" w:rsidRDefault="00FA3D8C">
      <w:r>
        <w:separator/>
      </w:r>
    </w:p>
  </w:endnote>
  <w:endnote w:type="continuationSeparator" w:id="0">
    <w:p w14:paraId="7F85FADB" w14:textId="77777777" w:rsidR="00FA3D8C" w:rsidRDefault="00FA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57E62DD2"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A63DD6">
      <w:rPr>
        <w:rStyle w:val="PageNumber"/>
        <w:rFonts w:ascii="Times New Roman" w:hAnsi="Times New Roman"/>
        <w:noProof/>
      </w:rPr>
      <w:t>1</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A8A76" w14:textId="77777777" w:rsidR="00FA3D8C" w:rsidRDefault="00FA3D8C">
      <w:r>
        <w:separator/>
      </w:r>
    </w:p>
  </w:footnote>
  <w:footnote w:type="continuationSeparator" w:id="0">
    <w:p w14:paraId="611BA0DC" w14:textId="77777777" w:rsidR="00FA3D8C" w:rsidRDefault="00FA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7277" w14:textId="2351A617" w:rsidR="006626FF" w:rsidRPr="006626FF" w:rsidRDefault="00A57D11" w:rsidP="00F8164B">
    <w:pPr>
      <w:pStyle w:val="Header"/>
      <w:rPr>
        <w:rFonts w:ascii="Times New Roman" w:hAnsi="Times New Roman"/>
        <w:bCs/>
        <w:sz w:val="20"/>
        <w:szCs w:val="20"/>
      </w:rPr>
    </w:pPr>
    <w:r>
      <w:rPr>
        <w:rFonts w:ascii="Times New Roman" w:hAnsi="Times New Roman"/>
        <w:bCs/>
        <w:sz w:val="20"/>
        <w:szCs w:val="20"/>
      </w:rPr>
      <w:t>Experience Rating Report</w:t>
    </w:r>
  </w:p>
  <w:p w14:paraId="52F50703" w14:textId="3B2CE511"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A57D11">
      <w:rPr>
        <w:rFonts w:ascii="Times New Roman" w:hAnsi="Times New Roman"/>
        <w:sz w:val="20"/>
        <w:szCs w:val="20"/>
      </w:rPr>
      <w:t xml:space="preserve"> 1205-0164</w:t>
    </w:r>
  </w:p>
  <w:p w14:paraId="1D1AD862" w14:textId="712D9310"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A57D11">
      <w:rPr>
        <w:rFonts w:ascii="Times New Roman" w:hAnsi="Times New Roman"/>
        <w:sz w:val="20"/>
        <w:szCs w:val="20"/>
      </w:rPr>
      <w:t>November 30, 2021</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406F9"/>
    <w:multiLevelType w:val="hybridMultilevel"/>
    <w:tmpl w:val="5122F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9"/>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1"/>
  </w:num>
  <w:num w:numId="9">
    <w:abstractNumId w:val="1"/>
  </w:num>
  <w:num w:numId="10">
    <w:abstractNumId w:val="10"/>
  </w:num>
  <w:num w:numId="11">
    <w:abstractNumId w:val="7"/>
  </w:num>
  <w:num w:numId="12">
    <w:abstractNumId w:val="8"/>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7580F"/>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6842"/>
    <w:rsid w:val="00247146"/>
    <w:rsid w:val="00273D58"/>
    <w:rsid w:val="00277C1F"/>
    <w:rsid w:val="002866AD"/>
    <w:rsid w:val="00286BE3"/>
    <w:rsid w:val="0029135D"/>
    <w:rsid w:val="00292951"/>
    <w:rsid w:val="00293CD1"/>
    <w:rsid w:val="002A3962"/>
    <w:rsid w:val="002A5972"/>
    <w:rsid w:val="002E238B"/>
    <w:rsid w:val="002E4200"/>
    <w:rsid w:val="00304132"/>
    <w:rsid w:val="00312124"/>
    <w:rsid w:val="00313820"/>
    <w:rsid w:val="0032649A"/>
    <w:rsid w:val="00332F98"/>
    <w:rsid w:val="003430A6"/>
    <w:rsid w:val="003448FC"/>
    <w:rsid w:val="003548D8"/>
    <w:rsid w:val="00363CC2"/>
    <w:rsid w:val="00371EEC"/>
    <w:rsid w:val="003876F3"/>
    <w:rsid w:val="00390426"/>
    <w:rsid w:val="00394AEB"/>
    <w:rsid w:val="003A6353"/>
    <w:rsid w:val="003C13C6"/>
    <w:rsid w:val="003D5958"/>
    <w:rsid w:val="003D6AC7"/>
    <w:rsid w:val="003E49A6"/>
    <w:rsid w:val="003E5E34"/>
    <w:rsid w:val="003F53FB"/>
    <w:rsid w:val="00400B4D"/>
    <w:rsid w:val="00401F18"/>
    <w:rsid w:val="004056B7"/>
    <w:rsid w:val="00410AC8"/>
    <w:rsid w:val="00414664"/>
    <w:rsid w:val="00443460"/>
    <w:rsid w:val="0044773C"/>
    <w:rsid w:val="00456C14"/>
    <w:rsid w:val="004672B5"/>
    <w:rsid w:val="004844D1"/>
    <w:rsid w:val="0048559D"/>
    <w:rsid w:val="00494A93"/>
    <w:rsid w:val="00494D75"/>
    <w:rsid w:val="004A1763"/>
    <w:rsid w:val="004B1E83"/>
    <w:rsid w:val="004D1C78"/>
    <w:rsid w:val="004D441E"/>
    <w:rsid w:val="004D46D1"/>
    <w:rsid w:val="004E1D9E"/>
    <w:rsid w:val="005164DC"/>
    <w:rsid w:val="00530EBD"/>
    <w:rsid w:val="00550449"/>
    <w:rsid w:val="00556DE9"/>
    <w:rsid w:val="00567912"/>
    <w:rsid w:val="00570098"/>
    <w:rsid w:val="00574AB3"/>
    <w:rsid w:val="005805E7"/>
    <w:rsid w:val="00583F5D"/>
    <w:rsid w:val="0058424C"/>
    <w:rsid w:val="00584F8D"/>
    <w:rsid w:val="005A0350"/>
    <w:rsid w:val="005B5990"/>
    <w:rsid w:val="005C6147"/>
    <w:rsid w:val="005D5F8C"/>
    <w:rsid w:val="005E5148"/>
    <w:rsid w:val="0060114B"/>
    <w:rsid w:val="00611DE2"/>
    <w:rsid w:val="006227B3"/>
    <w:rsid w:val="00642220"/>
    <w:rsid w:val="00652ED1"/>
    <w:rsid w:val="006626FF"/>
    <w:rsid w:val="006650A8"/>
    <w:rsid w:val="00667EDE"/>
    <w:rsid w:val="0067772C"/>
    <w:rsid w:val="00685435"/>
    <w:rsid w:val="00690F56"/>
    <w:rsid w:val="006A4637"/>
    <w:rsid w:val="006C39F8"/>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93AFA"/>
    <w:rsid w:val="007A7F79"/>
    <w:rsid w:val="007D46C2"/>
    <w:rsid w:val="008043E5"/>
    <w:rsid w:val="00804A1A"/>
    <w:rsid w:val="0081073D"/>
    <w:rsid w:val="008323ED"/>
    <w:rsid w:val="00835955"/>
    <w:rsid w:val="00846701"/>
    <w:rsid w:val="008624D5"/>
    <w:rsid w:val="00871CA6"/>
    <w:rsid w:val="00882AB5"/>
    <w:rsid w:val="00882B1D"/>
    <w:rsid w:val="0088672C"/>
    <w:rsid w:val="008A1F0C"/>
    <w:rsid w:val="008A40D1"/>
    <w:rsid w:val="008B541B"/>
    <w:rsid w:val="00901003"/>
    <w:rsid w:val="0090158E"/>
    <w:rsid w:val="00901EF6"/>
    <w:rsid w:val="0090413E"/>
    <w:rsid w:val="009271B1"/>
    <w:rsid w:val="009441E2"/>
    <w:rsid w:val="00963680"/>
    <w:rsid w:val="00964D3F"/>
    <w:rsid w:val="009700D9"/>
    <w:rsid w:val="00985C15"/>
    <w:rsid w:val="009A6DCA"/>
    <w:rsid w:val="009B00FD"/>
    <w:rsid w:val="009B38D1"/>
    <w:rsid w:val="009B4116"/>
    <w:rsid w:val="009C2A10"/>
    <w:rsid w:val="009D1EA2"/>
    <w:rsid w:val="009E0141"/>
    <w:rsid w:val="009E234B"/>
    <w:rsid w:val="009F52F3"/>
    <w:rsid w:val="00A02AE2"/>
    <w:rsid w:val="00A10441"/>
    <w:rsid w:val="00A15094"/>
    <w:rsid w:val="00A21F98"/>
    <w:rsid w:val="00A41C21"/>
    <w:rsid w:val="00A47DA7"/>
    <w:rsid w:val="00A52DE7"/>
    <w:rsid w:val="00A55023"/>
    <w:rsid w:val="00A56B86"/>
    <w:rsid w:val="00A57D11"/>
    <w:rsid w:val="00A632EF"/>
    <w:rsid w:val="00A63DD6"/>
    <w:rsid w:val="00A677E9"/>
    <w:rsid w:val="00A740AB"/>
    <w:rsid w:val="00A834BF"/>
    <w:rsid w:val="00A90769"/>
    <w:rsid w:val="00A973AA"/>
    <w:rsid w:val="00AA177A"/>
    <w:rsid w:val="00AB4DC3"/>
    <w:rsid w:val="00AC775D"/>
    <w:rsid w:val="00AD022F"/>
    <w:rsid w:val="00AD75AC"/>
    <w:rsid w:val="00AF2C11"/>
    <w:rsid w:val="00AF3788"/>
    <w:rsid w:val="00AF5262"/>
    <w:rsid w:val="00AF7928"/>
    <w:rsid w:val="00B35DAD"/>
    <w:rsid w:val="00B47443"/>
    <w:rsid w:val="00B5377A"/>
    <w:rsid w:val="00B6181C"/>
    <w:rsid w:val="00B66231"/>
    <w:rsid w:val="00BA6C9C"/>
    <w:rsid w:val="00BB3BEF"/>
    <w:rsid w:val="00BC5821"/>
    <w:rsid w:val="00BD34F2"/>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D05EAB"/>
    <w:rsid w:val="00D2331B"/>
    <w:rsid w:val="00D36BB6"/>
    <w:rsid w:val="00D53DEB"/>
    <w:rsid w:val="00D57DE8"/>
    <w:rsid w:val="00D73AAD"/>
    <w:rsid w:val="00D75842"/>
    <w:rsid w:val="00D86FF7"/>
    <w:rsid w:val="00D94D91"/>
    <w:rsid w:val="00DA34DB"/>
    <w:rsid w:val="00DB2AC9"/>
    <w:rsid w:val="00DB7B7C"/>
    <w:rsid w:val="00DD6DF0"/>
    <w:rsid w:val="00E0031C"/>
    <w:rsid w:val="00E0138A"/>
    <w:rsid w:val="00E06430"/>
    <w:rsid w:val="00E22463"/>
    <w:rsid w:val="00E23871"/>
    <w:rsid w:val="00E2774B"/>
    <w:rsid w:val="00E322E9"/>
    <w:rsid w:val="00E400EA"/>
    <w:rsid w:val="00E46EE5"/>
    <w:rsid w:val="00E57F5E"/>
    <w:rsid w:val="00E60FB0"/>
    <w:rsid w:val="00E614A1"/>
    <w:rsid w:val="00E700AD"/>
    <w:rsid w:val="00E74ABD"/>
    <w:rsid w:val="00E83023"/>
    <w:rsid w:val="00E833E4"/>
    <w:rsid w:val="00E92EED"/>
    <w:rsid w:val="00E93A0F"/>
    <w:rsid w:val="00EA3E66"/>
    <w:rsid w:val="00EC0B43"/>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unhideWhenUsed/>
    <w:rsid w:val="00574A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278833483">
      <w:bodyDiv w:val="1"/>
      <w:marLeft w:val="0"/>
      <w:marRight w:val="0"/>
      <w:marTop w:val="0"/>
      <w:marBottom w:val="0"/>
      <w:divBdr>
        <w:top w:val="none" w:sz="0" w:space="0" w:color="auto"/>
        <w:left w:val="none" w:sz="0" w:space="0" w:color="auto"/>
        <w:bottom w:val="none" w:sz="0" w:space="0" w:color="auto"/>
        <w:right w:val="none" w:sz="0" w:space="0" w:color="auto"/>
      </w:divBdr>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dr.doleta.gov/directives/corr_doc.cfm?DOCN=516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886CE-58F1-4304-A410-762581A0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16225</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Trujillo, Sandra - ETA</cp:lastModifiedBy>
  <cp:revision>2</cp:revision>
  <cp:lastPrinted>2020-02-19T15:46:00Z</cp:lastPrinted>
  <dcterms:created xsi:type="dcterms:W3CDTF">2021-06-10T14:01:00Z</dcterms:created>
  <dcterms:modified xsi:type="dcterms:W3CDTF">2021-06-10T14:01:00Z</dcterms:modified>
</cp:coreProperties>
</file>